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F5F5" w14:textId="77777777" w:rsidR="00081EB2" w:rsidRDefault="00081EB2" w:rsidP="00081EB2">
      <w:pPr>
        <w:pStyle w:val="Heading1"/>
        <w:widowControl/>
        <w:autoSpaceDE/>
        <w:autoSpaceDN/>
        <w:spacing w:line="259" w:lineRule="auto"/>
        <w:ind w:left="0"/>
        <w:rPr>
          <w:rFonts w:cs="Arial"/>
          <w:b w:val="0"/>
          <w:sz w:val="18"/>
          <w:szCs w:val="18"/>
        </w:rPr>
      </w:pPr>
    </w:p>
    <w:p w14:paraId="14BEB3F0" w14:textId="3AF306A3" w:rsidR="00081EB2" w:rsidRDefault="00BF3AE6" w:rsidP="00081EB2">
      <w:pPr>
        <w:jc w:val="both"/>
        <w:rPr>
          <w:rFonts w:cs="Arial"/>
          <w:b/>
          <w:sz w:val="18"/>
          <w:szCs w:val="18"/>
        </w:rPr>
      </w:pPr>
      <w:r>
        <w:rPr>
          <w:rFonts w:cs="Arial"/>
          <w:b/>
          <w:sz w:val="18"/>
          <w:szCs w:val="18"/>
        </w:rPr>
        <w:t xml:space="preserve">23 </w:t>
      </w:r>
      <w:r w:rsidR="00182CEF">
        <w:rPr>
          <w:rFonts w:cs="Arial"/>
          <w:b/>
          <w:sz w:val="18"/>
          <w:szCs w:val="18"/>
        </w:rPr>
        <w:t>November 2020</w:t>
      </w:r>
    </w:p>
    <w:p w14:paraId="7309C272" w14:textId="77777777" w:rsidR="00081EB2" w:rsidRDefault="00081EB2" w:rsidP="00081EB2">
      <w:pPr>
        <w:jc w:val="center"/>
        <w:rPr>
          <w:rFonts w:cs="Arial"/>
          <w:b/>
          <w:sz w:val="20"/>
          <w:szCs w:val="18"/>
        </w:rPr>
      </w:pPr>
    </w:p>
    <w:p w14:paraId="58757B76" w14:textId="0CFCE924" w:rsidR="00A3339B" w:rsidRDefault="0049342E" w:rsidP="00CB42AB">
      <w:pPr>
        <w:jc w:val="center"/>
        <w:rPr>
          <w:rFonts w:cs="Arial"/>
          <w:b/>
          <w:sz w:val="20"/>
          <w:szCs w:val="18"/>
        </w:rPr>
      </w:pPr>
      <w:r>
        <w:rPr>
          <w:rFonts w:cs="Arial"/>
          <w:b/>
          <w:sz w:val="20"/>
          <w:szCs w:val="18"/>
        </w:rPr>
        <w:t>Resilient FY20 performance</w:t>
      </w:r>
    </w:p>
    <w:p w14:paraId="2E0E3503" w14:textId="77777777" w:rsidR="00A3339B" w:rsidRDefault="00A3339B" w:rsidP="00CB42AB">
      <w:pPr>
        <w:jc w:val="center"/>
        <w:rPr>
          <w:rFonts w:cs="Arial"/>
          <w:b/>
          <w:sz w:val="20"/>
          <w:szCs w:val="18"/>
        </w:rPr>
      </w:pPr>
    </w:p>
    <w:p w14:paraId="72147114" w14:textId="18527BCD" w:rsidR="00081EB2" w:rsidRPr="00A843CB" w:rsidRDefault="00081EB2" w:rsidP="00081EB2">
      <w:pPr>
        <w:jc w:val="both"/>
        <w:rPr>
          <w:rFonts w:cs="Arial"/>
          <w:sz w:val="18"/>
          <w:szCs w:val="18"/>
        </w:rPr>
      </w:pPr>
      <w:r w:rsidRPr="00A843CB">
        <w:rPr>
          <w:rFonts w:cs="Arial"/>
          <w:sz w:val="18"/>
          <w:szCs w:val="18"/>
        </w:rPr>
        <w:t>Greencore</w:t>
      </w:r>
      <w:r>
        <w:rPr>
          <w:rFonts w:cs="Arial"/>
          <w:sz w:val="18"/>
          <w:szCs w:val="18"/>
        </w:rPr>
        <w:t xml:space="preserve"> Group plc (‘Greencore’ or the ‘Group’), a leading manufacturer of convenience food in the UK, today issues it</w:t>
      </w:r>
      <w:r w:rsidR="00182CEF">
        <w:rPr>
          <w:rFonts w:cs="Arial"/>
          <w:sz w:val="18"/>
          <w:szCs w:val="18"/>
        </w:rPr>
        <w:t xml:space="preserve">s results for the year </w:t>
      </w:r>
      <w:r w:rsidR="00BF3AE6">
        <w:rPr>
          <w:rFonts w:cs="Arial"/>
          <w:sz w:val="18"/>
          <w:szCs w:val="18"/>
        </w:rPr>
        <w:t xml:space="preserve">ended </w:t>
      </w:r>
      <w:r w:rsidR="00182CEF">
        <w:rPr>
          <w:rFonts w:cs="Arial"/>
          <w:sz w:val="18"/>
          <w:szCs w:val="18"/>
        </w:rPr>
        <w:t>25 September 2020</w:t>
      </w:r>
      <w:r>
        <w:rPr>
          <w:rFonts w:cs="Arial"/>
          <w:sz w:val="18"/>
          <w:szCs w:val="18"/>
        </w:rPr>
        <w:t>.</w:t>
      </w:r>
    </w:p>
    <w:p w14:paraId="154306ED" w14:textId="77777777" w:rsidR="00081EB2" w:rsidRDefault="00081EB2" w:rsidP="00081EB2">
      <w:pPr>
        <w:jc w:val="both"/>
        <w:rPr>
          <w:rFonts w:cs="Arial"/>
          <w:b/>
          <w:sz w:val="20"/>
          <w:szCs w:val="18"/>
        </w:rPr>
      </w:pPr>
    </w:p>
    <w:p w14:paraId="476D72E9" w14:textId="77777777" w:rsidR="00081EB2" w:rsidRDefault="00F14E9E" w:rsidP="00081EB2">
      <w:pPr>
        <w:jc w:val="both"/>
        <w:rPr>
          <w:rFonts w:cs="Arial"/>
          <w:b/>
          <w:sz w:val="20"/>
          <w:szCs w:val="18"/>
          <w:vertAlign w:val="superscript"/>
        </w:rPr>
      </w:pPr>
      <w:r>
        <w:rPr>
          <w:rFonts w:cs="Arial"/>
          <w:b/>
          <w:sz w:val="20"/>
          <w:szCs w:val="18"/>
        </w:rPr>
        <w:t>HIGHLIGHTS</w:t>
      </w:r>
      <w:r w:rsidR="00C060CA">
        <w:rPr>
          <w:rFonts w:cs="Arial"/>
          <w:b/>
          <w:sz w:val="20"/>
          <w:szCs w:val="18"/>
          <w:vertAlign w:val="superscript"/>
        </w:rPr>
        <w:t>1</w:t>
      </w:r>
      <w:r w:rsidR="00115113">
        <w:rPr>
          <w:rFonts w:cs="Arial"/>
          <w:b/>
          <w:sz w:val="20"/>
          <w:szCs w:val="18"/>
          <w:vertAlign w:val="superscript"/>
        </w:rPr>
        <w:t>,2</w:t>
      </w:r>
    </w:p>
    <w:p w14:paraId="4CDE330E" w14:textId="77777777" w:rsidR="00081EB2" w:rsidRPr="00E512C6" w:rsidRDefault="00081EB2" w:rsidP="00081EB2">
      <w:pPr>
        <w:jc w:val="both"/>
        <w:rPr>
          <w:rFonts w:cs="Arial"/>
          <w:sz w:val="20"/>
          <w:szCs w:val="18"/>
        </w:rPr>
      </w:pPr>
    </w:p>
    <w:p w14:paraId="035974D5" w14:textId="77777777" w:rsidR="00081EB2" w:rsidRDefault="00F14E9E" w:rsidP="008B4863">
      <w:pPr>
        <w:widowControl/>
        <w:numPr>
          <w:ilvl w:val="0"/>
          <w:numId w:val="4"/>
        </w:numPr>
        <w:tabs>
          <w:tab w:val="num" w:pos="426"/>
        </w:tabs>
        <w:autoSpaceDE/>
        <w:autoSpaceDN/>
        <w:ind w:left="426" w:hanging="284"/>
        <w:jc w:val="both"/>
        <w:rPr>
          <w:rFonts w:cs="Arial"/>
          <w:sz w:val="18"/>
          <w:szCs w:val="18"/>
        </w:rPr>
      </w:pPr>
      <w:r>
        <w:rPr>
          <w:rFonts w:cs="Arial"/>
          <w:sz w:val="18"/>
          <w:szCs w:val="18"/>
        </w:rPr>
        <w:t>Group Revenue of £</w:t>
      </w:r>
      <w:r w:rsidR="00A428AA">
        <w:rPr>
          <w:rFonts w:cs="Arial"/>
          <w:sz w:val="18"/>
          <w:szCs w:val="18"/>
        </w:rPr>
        <w:t>1,</w:t>
      </w:r>
      <w:r w:rsidR="003E3CCF">
        <w:rPr>
          <w:rFonts w:cs="Arial"/>
          <w:sz w:val="18"/>
          <w:szCs w:val="18"/>
        </w:rPr>
        <w:t>264.7</w:t>
      </w:r>
      <w:r>
        <w:rPr>
          <w:rFonts w:cs="Arial"/>
          <w:sz w:val="18"/>
          <w:szCs w:val="18"/>
        </w:rPr>
        <w:t>m</w:t>
      </w:r>
      <w:r w:rsidR="00182CEF">
        <w:rPr>
          <w:rFonts w:cs="Arial"/>
          <w:sz w:val="18"/>
          <w:szCs w:val="18"/>
        </w:rPr>
        <w:t xml:space="preserve">, </w:t>
      </w:r>
      <w:r w:rsidR="00A428AA">
        <w:rPr>
          <w:rFonts w:cs="Arial"/>
          <w:sz w:val="18"/>
          <w:szCs w:val="18"/>
        </w:rPr>
        <w:t>a reduction of 12.</w:t>
      </w:r>
      <w:r w:rsidR="003E3CCF">
        <w:rPr>
          <w:rFonts w:cs="Arial"/>
          <w:sz w:val="18"/>
          <w:szCs w:val="18"/>
        </w:rPr>
        <w:t>5</w:t>
      </w:r>
      <w:r w:rsidR="00A428AA">
        <w:rPr>
          <w:rFonts w:cs="Arial"/>
          <w:sz w:val="18"/>
          <w:szCs w:val="18"/>
        </w:rPr>
        <w:t xml:space="preserve">% </w:t>
      </w:r>
      <w:r w:rsidR="00F44A1D" w:rsidRPr="00F44A1D">
        <w:rPr>
          <w:rFonts w:cs="Arial"/>
          <w:sz w:val="18"/>
          <w:szCs w:val="18"/>
        </w:rPr>
        <w:t xml:space="preserve">impacted by effect of COVID-19 on food to go categories </w:t>
      </w:r>
      <w:r w:rsidR="00F44A1D">
        <w:rPr>
          <w:rFonts w:cs="Arial"/>
          <w:sz w:val="18"/>
          <w:szCs w:val="18"/>
        </w:rPr>
        <w:t xml:space="preserve">in the second half of </w:t>
      </w:r>
      <w:r w:rsidR="00A1004F">
        <w:rPr>
          <w:rFonts w:cs="Arial"/>
          <w:sz w:val="18"/>
          <w:szCs w:val="18"/>
        </w:rPr>
        <w:t>FY20</w:t>
      </w:r>
    </w:p>
    <w:p w14:paraId="19E3D391" w14:textId="488D6484" w:rsidR="00F14E9E" w:rsidRDefault="00F14E9E" w:rsidP="008B4863">
      <w:pPr>
        <w:widowControl/>
        <w:numPr>
          <w:ilvl w:val="0"/>
          <w:numId w:val="4"/>
        </w:numPr>
        <w:tabs>
          <w:tab w:val="num" w:pos="426"/>
        </w:tabs>
        <w:autoSpaceDE/>
        <w:autoSpaceDN/>
        <w:ind w:left="426" w:hanging="284"/>
        <w:jc w:val="both"/>
        <w:rPr>
          <w:rFonts w:cs="Arial"/>
          <w:sz w:val="18"/>
          <w:szCs w:val="18"/>
        </w:rPr>
      </w:pPr>
      <w:r>
        <w:rPr>
          <w:rFonts w:cs="Arial"/>
          <w:sz w:val="18"/>
          <w:szCs w:val="18"/>
        </w:rPr>
        <w:t xml:space="preserve">Adjusted EBITDA of </w:t>
      </w:r>
      <w:r w:rsidR="00F44A1D">
        <w:rPr>
          <w:rFonts w:cs="Arial"/>
          <w:sz w:val="18"/>
          <w:szCs w:val="18"/>
        </w:rPr>
        <w:t>£</w:t>
      </w:r>
      <w:r w:rsidR="003E3CCF">
        <w:rPr>
          <w:rFonts w:cs="Arial"/>
          <w:sz w:val="18"/>
          <w:szCs w:val="18"/>
        </w:rPr>
        <w:t>85.0</w:t>
      </w:r>
      <w:r w:rsidR="00F44A1D">
        <w:rPr>
          <w:rFonts w:cs="Arial"/>
          <w:sz w:val="18"/>
          <w:szCs w:val="18"/>
        </w:rPr>
        <w:t>m</w:t>
      </w:r>
      <w:r w:rsidR="00A560CC">
        <w:rPr>
          <w:rFonts w:cs="Arial"/>
          <w:sz w:val="18"/>
          <w:szCs w:val="18"/>
        </w:rPr>
        <w:t>, after charging £</w:t>
      </w:r>
      <w:r w:rsidR="006F671F">
        <w:rPr>
          <w:rFonts w:cs="Arial"/>
          <w:sz w:val="18"/>
          <w:szCs w:val="18"/>
        </w:rPr>
        <w:t>10.7</w:t>
      </w:r>
      <w:r w:rsidR="00A560CC">
        <w:rPr>
          <w:rFonts w:cs="Arial"/>
          <w:sz w:val="18"/>
          <w:szCs w:val="18"/>
        </w:rPr>
        <w:t xml:space="preserve">m of </w:t>
      </w:r>
      <w:r w:rsidR="0035290A">
        <w:rPr>
          <w:rFonts w:cs="Arial"/>
          <w:sz w:val="18"/>
          <w:szCs w:val="18"/>
        </w:rPr>
        <w:t xml:space="preserve">additional </w:t>
      </w:r>
      <w:r w:rsidR="00A560CC">
        <w:rPr>
          <w:rFonts w:cs="Arial"/>
          <w:sz w:val="18"/>
          <w:szCs w:val="18"/>
        </w:rPr>
        <w:t xml:space="preserve">operating costs </w:t>
      </w:r>
      <w:r w:rsidR="000454DA">
        <w:rPr>
          <w:rFonts w:cs="Arial"/>
          <w:sz w:val="18"/>
          <w:szCs w:val="18"/>
        </w:rPr>
        <w:t xml:space="preserve">resulting from </w:t>
      </w:r>
      <w:r w:rsidR="00A560CC">
        <w:rPr>
          <w:rFonts w:cs="Arial"/>
          <w:sz w:val="18"/>
          <w:szCs w:val="18"/>
        </w:rPr>
        <w:t>the Group</w:t>
      </w:r>
      <w:r w:rsidR="00BF7002">
        <w:rPr>
          <w:rFonts w:cs="Arial"/>
          <w:sz w:val="18"/>
          <w:szCs w:val="18"/>
        </w:rPr>
        <w:t>’s</w:t>
      </w:r>
      <w:r w:rsidR="00A560CC">
        <w:rPr>
          <w:rFonts w:cs="Arial"/>
          <w:sz w:val="18"/>
          <w:szCs w:val="18"/>
        </w:rPr>
        <w:t xml:space="preserve"> </w:t>
      </w:r>
      <w:r w:rsidR="000454DA">
        <w:rPr>
          <w:rFonts w:cs="Arial"/>
          <w:sz w:val="18"/>
          <w:szCs w:val="18"/>
        </w:rPr>
        <w:t xml:space="preserve">response </w:t>
      </w:r>
      <w:r w:rsidR="00A560CC">
        <w:rPr>
          <w:rFonts w:cs="Arial"/>
          <w:sz w:val="18"/>
          <w:szCs w:val="18"/>
        </w:rPr>
        <w:t>to COVID-19</w:t>
      </w:r>
    </w:p>
    <w:p w14:paraId="54382064" w14:textId="77777777" w:rsidR="007744D1" w:rsidRDefault="00081EB2" w:rsidP="007744D1">
      <w:pPr>
        <w:widowControl/>
        <w:numPr>
          <w:ilvl w:val="0"/>
          <w:numId w:val="4"/>
        </w:numPr>
        <w:tabs>
          <w:tab w:val="num" w:pos="426"/>
        </w:tabs>
        <w:autoSpaceDE/>
        <w:autoSpaceDN/>
        <w:ind w:left="426" w:hanging="284"/>
        <w:jc w:val="both"/>
        <w:rPr>
          <w:rFonts w:cs="Arial"/>
          <w:sz w:val="18"/>
          <w:szCs w:val="18"/>
        </w:rPr>
      </w:pPr>
      <w:r w:rsidRPr="007744D1">
        <w:rPr>
          <w:rFonts w:cs="Arial"/>
          <w:sz w:val="18"/>
          <w:szCs w:val="18"/>
        </w:rPr>
        <w:t>Adjuste</w:t>
      </w:r>
      <w:r w:rsidR="00182CEF" w:rsidRPr="007744D1">
        <w:rPr>
          <w:rFonts w:cs="Arial"/>
          <w:sz w:val="18"/>
          <w:szCs w:val="18"/>
        </w:rPr>
        <w:t xml:space="preserve">d Operating Profit of </w:t>
      </w:r>
      <w:r w:rsidR="00D44EA4">
        <w:rPr>
          <w:rFonts w:cs="Arial"/>
          <w:sz w:val="18"/>
          <w:szCs w:val="18"/>
        </w:rPr>
        <w:t>£3</w:t>
      </w:r>
      <w:r w:rsidR="003E3CCF">
        <w:rPr>
          <w:rFonts w:cs="Arial"/>
          <w:sz w:val="18"/>
          <w:szCs w:val="18"/>
        </w:rPr>
        <w:t>2.5</w:t>
      </w:r>
      <w:r w:rsidR="00D44EA4">
        <w:rPr>
          <w:rFonts w:cs="Arial"/>
          <w:sz w:val="18"/>
          <w:szCs w:val="18"/>
        </w:rPr>
        <w:t>m</w:t>
      </w:r>
      <w:r w:rsidR="007744D1" w:rsidRPr="007744D1">
        <w:rPr>
          <w:rFonts w:cs="Arial"/>
          <w:sz w:val="18"/>
          <w:szCs w:val="18"/>
        </w:rPr>
        <w:t xml:space="preserve"> and </w:t>
      </w:r>
      <w:r w:rsidRPr="007744D1">
        <w:rPr>
          <w:rFonts w:cs="Arial"/>
          <w:sz w:val="18"/>
          <w:szCs w:val="18"/>
        </w:rPr>
        <w:t>Adj</w:t>
      </w:r>
      <w:r w:rsidR="00182CEF" w:rsidRPr="007744D1">
        <w:rPr>
          <w:rFonts w:cs="Arial"/>
          <w:sz w:val="18"/>
          <w:szCs w:val="18"/>
        </w:rPr>
        <w:t xml:space="preserve">usted EPS of </w:t>
      </w:r>
      <w:r w:rsidR="003E3CCF">
        <w:rPr>
          <w:rFonts w:cs="Arial"/>
          <w:sz w:val="18"/>
          <w:szCs w:val="18"/>
        </w:rPr>
        <w:t>2.9</w:t>
      </w:r>
      <w:r w:rsidRPr="007744D1">
        <w:rPr>
          <w:rFonts w:cs="Arial"/>
          <w:sz w:val="18"/>
          <w:szCs w:val="18"/>
        </w:rPr>
        <w:t xml:space="preserve"> pence</w:t>
      </w:r>
    </w:p>
    <w:p w14:paraId="083F7772" w14:textId="4E09EB25" w:rsidR="00081EB2" w:rsidRPr="007744D1" w:rsidRDefault="007744D1" w:rsidP="007744D1">
      <w:pPr>
        <w:widowControl/>
        <w:numPr>
          <w:ilvl w:val="0"/>
          <w:numId w:val="4"/>
        </w:numPr>
        <w:tabs>
          <w:tab w:val="num" w:pos="426"/>
        </w:tabs>
        <w:autoSpaceDE/>
        <w:autoSpaceDN/>
        <w:ind w:left="426" w:hanging="284"/>
        <w:jc w:val="both"/>
        <w:rPr>
          <w:rFonts w:cs="Arial"/>
          <w:sz w:val="18"/>
          <w:szCs w:val="18"/>
        </w:rPr>
      </w:pPr>
      <w:r w:rsidRPr="007744D1">
        <w:rPr>
          <w:rFonts w:cs="Arial"/>
          <w:sz w:val="18"/>
          <w:szCs w:val="18"/>
        </w:rPr>
        <w:t xml:space="preserve">Net Debt (excluding lease liabilities) of </w:t>
      </w:r>
      <w:r w:rsidR="00064D78">
        <w:rPr>
          <w:rFonts w:cs="Arial"/>
          <w:sz w:val="18"/>
          <w:szCs w:val="18"/>
        </w:rPr>
        <w:t>£</w:t>
      </w:r>
      <w:r w:rsidR="00E379FF">
        <w:rPr>
          <w:rFonts w:cs="Arial"/>
          <w:sz w:val="18"/>
          <w:szCs w:val="18"/>
        </w:rPr>
        <w:t>350.5</w:t>
      </w:r>
      <w:r w:rsidRPr="007744D1">
        <w:rPr>
          <w:rFonts w:cs="Arial"/>
          <w:sz w:val="18"/>
          <w:szCs w:val="18"/>
        </w:rPr>
        <w:t xml:space="preserve">m </w:t>
      </w:r>
      <w:proofErr w:type="gramStart"/>
      <w:r w:rsidRPr="007744D1">
        <w:rPr>
          <w:rFonts w:cs="Arial"/>
          <w:sz w:val="18"/>
          <w:szCs w:val="18"/>
        </w:rPr>
        <w:t>at</w:t>
      </w:r>
      <w:proofErr w:type="gramEnd"/>
      <w:r w:rsidRPr="007744D1">
        <w:rPr>
          <w:rFonts w:cs="Arial"/>
          <w:sz w:val="18"/>
          <w:szCs w:val="18"/>
        </w:rPr>
        <w:t xml:space="preserve"> </w:t>
      </w:r>
      <w:r w:rsidR="00F44A1D">
        <w:rPr>
          <w:rFonts w:cs="Arial"/>
          <w:sz w:val="18"/>
          <w:szCs w:val="18"/>
        </w:rPr>
        <w:t xml:space="preserve">25 September </w:t>
      </w:r>
      <w:r w:rsidRPr="007744D1">
        <w:rPr>
          <w:rFonts w:cs="Arial"/>
          <w:sz w:val="18"/>
          <w:szCs w:val="18"/>
        </w:rPr>
        <w:t>2020 with Net Debt: EBITDA of</w:t>
      </w:r>
      <w:r w:rsidR="00E358D9">
        <w:rPr>
          <w:rFonts w:cs="Arial"/>
          <w:sz w:val="18"/>
          <w:szCs w:val="18"/>
        </w:rPr>
        <w:t xml:space="preserve"> </w:t>
      </w:r>
      <w:r w:rsidR="00BF1F21">
        <w:rPr>
          <w:rFonts w:cs="Arial"/>
          <w:sz w:val="18"/>
          <w:szCs w:val="18"/>
        </w:rPr>
        <w:t>4.</w:t>
      </w:r>
      <w:r w:rsidR="00133A24">
        <w:rPr>
          <w:rFonts w:cs="Arial"/>
          <w:sz w:val="18"/>
          <w:szCs w:val="18"/>
        </w:rPr>
        <w:t>4</w:t>
      </w:r>
      <w:r w:rsidRPr="007744D1">
        <w:rPr>
          <w:rFonts w:cs="Arial"/>
          <w:sz w:val="18"/>
          <w:szCs w:val="18"/>
        </w:rPr>
        <w:t>x as measured under financing agreements</w:t>
      </w:r>
    </w:p>
    <w:p w14:paraId="05D5FF19" w14:textId="77777777" w:rsidR="00F9624A" w:rsidRDefault="00115113" w:rsidP="008B4863">
      <w:pPr>
        <w:widowControl/>
        <w:numPr>
          <w:ilvl w:val="0"/>
          <w:numId w:val="4"/>
        </w:numPr>
        <w:autoSpaceDE/>
        <w:autoSpaceDN/>
        <w:ind w:left="426" w:hanging="284"/>
        <w:jc w:val="both"/>
        <w:rPr>
          <w:rFonts w:cs="Arial"/>
          <w:sz w:val="18"/>
          <w:szCs w:val="18"/>
        </w:rPr>
      </w:pPr>
      <w:r>
        <w:rPr>
          <w:rFonts w:cs="Arial"/>
          <w:sz w:val="18"/>
          <w:szCs w:val="18"/>
        </w:rPr>
        <w:t>C</w:t>
      </w:r>
      <w:r w:rsidR="00FF30EB">
        <w:rPr>
          <w:rFonts w:cs="Arial"/>
          <w:sz w:val="18"/>
          <w:szCs w:val="18"/>
        </w:rPr>
        <w:t xml:space="preserve">ash and undrawn committed debt facilities of </w:t>
      </w:r>
      <w:r w:rsidR="00A560CC">
        <w:rPr>
          <w:rFonts w:cs="Arial"/>
          <w:sz w:val="18"/>
          <w:szCs w:val="18"/>
        </w:rPr>
        <w:t>£</w:t>
      </w:r>
      <w:r w:rsidR="00D44EA4">
        <w:rPr>
          <w:rFonts w:cs="Arial"/>
          <w:sz w:val="18"/>
          <w:szCs w:val="18"/>
        </w:rPr>
        <w:t>232.0</w:t>
      </w:r>
      <w:r w:rsidR="00A560CC">
        <w:rPr>
          <w:rFonts w:cs="Arial"/>
          <w:sz w:val="18"/>
          <w:szCs w:val="18"/>
        </w:rPr>
        <w:t xml:space="preserve">m </w:t>
      </w:r>
      <w:r w:rsidR="00FF30EB">
        <w:rPr>
          <w:rFonts w:cs="Arial"/>
          <w:sz w:val="18"/>
          <w:szCs w:val="18"/>
        </w:rPr>
        <w:t>at year end</w:t>
      </w:r>
    </w:p>
    <w:p w14:paraId="7DA81BC6" w14:textId="3B7201CF" w:rsidR="007744D1" w:rsidRPr="00E026C4" w:rsidRDefault="00E026C4" w:rsidP="008B4863">
      <w:pPr>
        <w:widowControl/>
        <w:numPr>
          <w:ilvl w:val="0"/>
          <w:numId w:val="4"/>
        </w:numPr>
        <w:autoSpaceDE/>
        <w:autoSpaceDN/>
        <w:ind w:left="426" w:hanging="284"/>
        <w:jc w:val="both"/>
        <w:rPr>
          <w:rFonts w:cs="Arial"/>
          <w:sz w:val="18"/>
          <w:szCs w:val="18"/>
        </w:rPr>
      </w:pPr>
      <w:r w:rsidRPr="005771B0">
        <w:rPr>
          <w:rFonts w:cs="Arial"/>
          <w:sz w:val="18"/>
          <w:szCs w:val="18"/>
        </w:rPr>
        <w:t xml:space="preserve">Revised financing agreements </w:t>
      </w:r>
      <w:r w:rsidR="00BF1A1D">
        <w:rPr>
          <w:rFonts w:cs="Arial"/>
          <w:sz w:val="18"/>
          <w:szCs w:val="18"/>
        </w:rPr>
        <w:t xml:space="preserve">and </w:t>
      </w:r>
      <w:r w:rsidR="00BF1A1D" w:rsidRPr="00E026C4">
        <w:rPr>
          <w:rFonts w:cs="Arial"/>
          <w:sz w:val="18"/>
          <w:szCs w:val="18"/>
        </w:rPr>
        <w:t>amendments on near term covenant conditions</w:t>
      </w:r>
      <w:r w:rsidR="00BF1A1D">
        <w:rPr>
          <w:rFonts w:cs="Arial"/>
          <w:sz w:val="18"/>
          <w:szCs w:val="18"/>
        </w:rPr>
        <w:t xml:space="preserve"> </w:t>
      </w:r>
      <w:r>
        <w:rPr>
          <w:rFonts w:cs="Arial"/>
          <w:sz w:val="18"/>
          <w:szCs w:val="18"/>
        </w:rPr>
        <w:t xml:space="preserve">secured </w:t>
      </w:r>
      <w:r w:rsidRPr="005771B0">
        <w:rPr>
          <w:rFonts w:cs="Arial"/>
          <w:sz w:val="18"/>
          <w:szCs w:val="18"/>
        </w:rPr>
        <w:t>with</w:t>
      </w:r>
      <w:r w:rsidR="00F9624A" w:rsidRPr="00E026C4">
        <w:rPr>
          <w:rFonts w:cs="Arial"/>
          <w:sz w:val="18"/>
          <w:szCs w:val="18"/>
        </w:rPr>
        <w:t xml:space="preserve"> the Group’s bank lending syndicate and </w:t>
      </w:r>
      <w:r w:rsidR="00A560CC" w:rsidRPr="00E026C4">
        <w:rPr>
          <w:rFonts w:cs="Arial"/>
          <w:sz w:val="18"/>
          <w:szCs w:val="18"/>
        </w:rPr>
        <w:t xml:space="preserve">Private Placement </w:t>
      </w:r>
      <w:r w:rsidR="00115113" w:rsidRPr="00E026C4">
        <w:rPr>
          <w:rFonts w:cs="Arial"/>
          <w:sz w:val="18"/>
          <w:szCs w:val="18"/>
        </w:rPr>
        <w:t xml:space="preserve">Note </w:t>
      </w:r>
      <w:r w:rsidR="00A560CC" w:rsidRPr="00E026C4">
        <w:rPr>
          <w:rFonts w:cs="Arial"/>
          <w:sz w:val="18"/>
          <w:szCs w:val="18"/>
        </w:rPr>
        <w:t>holders</w:t>
      </w:r>
      <w:r w:rsidR="00BF1A1D">
        <w:rPr>
          <w:rFonts w:cs="Arial"/>
          <w:sz w:val="18"/>
          <w:szCs w:val="18"/>
        </w:rPr>
        <w:t xml:space="preserve"> </w:t>
      </w:r>
    </w:p>
    <w:p w14:paraId="353E75E3" w14:textId="77777777" w:rsidR="00B31BDE" w:rsidRDefault="00B31BDE" w:rsidP="008B4863">
      <w:pPr>
        <w:widowControl/>
        <w:numPr>
          <w:ilvl w:val="0"/>
          <w:numId w:val="4"/>
        </w:numPr>
        <w:autoSpaceDE/>
        <w:autoSpaceDN/>
        <w:ind w:left="426" w:hanging="284"/>
        <w:jc w:val="both"/>
        <w:rPr>
          <w:rFonts w:cs="Arial"/>
          <w:sz w:val="18"/>
          <w:szCs w:val="18"/>
        </w:rPr>
      </w:pPr>
      <w:r>
        <w:rPr>
          <w:rFonts w:cs="Arial"/>
          <w:sz w:val="18"/>
          <w:szCs w:val="18"/>
        </w:rPr>
        <w:t>Launching a new sustainability strategy built around three pillars: Sourcing with Integrity, Making with Care, and Feeding with Pride</w:t>
      </w:r>
    </w:p>
    <w:p w14:paraId="383D6227" w14:textId="77777777" w:rsidR="00081EB2" w:rsidRDefault="008D2C41" w:rsidP="008B4863">
      <w:pPr>
        <w:widowControl/>
        <w:numPr>
          <w:ilvl w:val="0"/>
          <w:numId w:val="4"/>
        </w:numPr>
        <w:autoSpaceDE/>
        <w:autoSpaceDN/>
        <w:ind w:left="426" w:hanging="284"/>
        <w:jc w:val="both"/>
        <w:rPr>
          <w:rFonts w:cs="Arial"/>
          <w:sz w:val="18"/>
          <w:szCs w:val="18"/>
        </w:rPr>
      </w:pPr>
      <w:r>
        <w:rPr>
          <w:rFonts w:cs="Arial"/>
          <w:sz w:val="18"/>
          <w:szCs w:val="18"/>
        </w:rPr>
        <w:t>As announced on 19 May 2020, the Group will not be proceeding with a final FY20 or an interim FY21 dividend payment</w:t>
      </w:r>
    </w:p>
    <w:p w14:paraId="4D06AEF6" w14:textId="126608AF" w:rsidR="00F45CD1" w:rsidRPr="00084134" w:rsidRDefault="00A4124E" w:rsidP="004B014C">
      <w:pPr>
        <w:widowControl/>
        <w:numPr>
          <w:ilvl w:val="0"/>
          <w:numId w:val="4"/>
        </w:numPr>
        <w:autoSpaceDE/>
        <w:autoSpaceDN/>
        <w:ind w:left="426" w:hanging="284"/>
        <w:jc w:val="both"/>
        <w:rPr>
          <w:rFonts w:cs="Arial"/>
          <w:sz w:val="18"/>
          <w:szCs w:val="18"/>
        </w:rPr>
      </w:pPr>
      <w:r>
        <w:rPr>
          <w:rFonts w:cs="Arial"/>
          <w:sz w:val="18"/>
          <w:szCs w:val="18"/>
        </w:rPr>
        <w:t xml:space="preserve">While the Group anticipates that COVID-19 will continue to have an uncertain impact on its </w:t>
      </w:r>
      <w:proofErr w:type="gramStart"/>
      <w:r>
        <w:rPr>
          <w:rFonts w:cs="Arial"/>
          <w:sz w:val="18"/>
          <w:szCs w:val="18"/>
        </w:rPr>
        <w:t>near term</w:t>
      </w:r>
      <w:proofErr w:type="gramEnd"/>
      <w:r>
        <w:rPr>
          <w:rFonts w:cs="Arial"/>
          <w:sz w:val="18"/>
          <w:szCs w:val="18"/>
        </w:rPr>
        <w:t xml:space="preserve"> trading environment, </w:t>
      </w:r>
      <w:r w:rsidR="000F4DE9">
        <w:rPr>
          <w:rFonts w:cs="Arial"/>
          <w:sz w:val="18"/>
          <w:szCs w:val="18"/>
        </w:rPr>
        <w:t>it</w:t>
      </w:r>
      <w:r>
        <w:rPr>
          <w:rFonts w:cs="Arial"/>
          <w:sz w:val="18"/>
          <w:szCs w:val="18"/>
        </w:rPr>
        <w:t xml:space="preserve"> is well positioned to take advantage of recovering trading conditions as they occur</w:t>
      </w:r>
    </w:p>
    <w:p w14:paraId="1472EFD5" w14:textId="6BDECFFB" w:rsidR="00115113" w:rsidRPr="00BC3F98" w:rsidRDefault="00BC3F98" w:rsidP="005771B0">
      <w:pPr>
        <w:widowControl/>
        <w:numPr>
          <w:ilvl w:val="0"/>
          <w:numId w:val="4"/>
        </w:numPr>
        <w:autoSpaceDE/>
        <w:autoSpaceDN/>
        <w:ind w:left="426" w:hanging="284"/>
        <w:jc w:val="both"/>
        <w:rPr>
          <w:rFonts w:cs="Arial"/>
          <w:sz w:val="18"/>
          <w:szCs w:val="18"/>
        </w:rPr>
      </w:pPr>
      <w:r>
        <w:rPr>
          <w:rFonts w:cs="Arial"/>
          <w:sz w:val="18"/>
          <w:szCs w:val="18"/>
        </w:rPr>
        <w:t>The Group has separately</w:t>
      </w:r>
      <w:r w:rsidRPr="00F45CD1">
        <w:rPr>
          <w:rFonts w:cs="Arial"/>
          <w:sz w:val="18"/>
          <w:szCs w:val="18"/>
        </w:rPr>
        <w:t xml:space="preserve"> announced today </w:t>
      </w:r>
      <w:r>
        <w:rPr>
          <w:rFonts w:cs="Arial"/>
          <w:sz w:val="18"/>
          <w:szCs w:val="18"/>
        </w:rPr>
        <w:t xml:space="preserve">its intention to conduct </w:t>
      </w:r>
      <w:r w:rsidRPr="00F45CD1">
        <w:rPr>
          <w:rFonts w:cs="Arial"/>
          <w:sz w:val="18"/>
          <w:szCs w:val="18"/>
        </w:rPr>
        <w:t>a non-pre-emptive placing of new ordinary shares</w:t>
      </w:r>
      <w:r>
        <w:rPr>
          <w:rFonts w:cs="Arial"/>
          <w:sz w:val="18"/>
          <w:szCs w:val="18"/>
        </w:rPr>
        <w:t xml:space="preserve"> of £0.01 each in the capital of </w:t>
      </w:r>
      <w:r w:rsidR="00557FDA">
        <w:rPr>
          <w:rFonts w:cs="Arial"/>
          <w:sz w:val="18"/>
          <w:szCs w:val="18"/>
        </w:rPr>
        <w:t xml:space="preserve">Greencore </w:t>
      </w:r>
      <w:r>
        <w:rPr>
          <w:rFonts w:cs="Arial"/>
          <w:sz w:val="18"/>
          <w:szCs w:val="18"/>
        </w:rPr>
        <w:t xml:space="preserve">at the placing price (the </w:t>
      </w:r>
      <w:r w:rsidR="008E4671">
        <w:rPr>
          <w:rFonts w:cs="Arial"/>
          <w:sz w:val="18"/>
          <w:szCs w:val="18"/>
        </w:rPr>
        <w:t>‘</w:t>
      </w:r>
      <w:r>
        <w:rPr>
          <w:rFonts w:cs="Arial"/>
          <w:sz w:val="18"/>
          <w:szCs w:val="18"/>
        </w:rPr>
        <w:t>Placing</w:t>
      </w:r>
      <w:r w:rsidR="008E4671">
        <w:rPr>
          <w:rFonts w:cs="Arial"/>
          <w:sz w:val="18"/>
          <w:szCs w:val="18"/>
        </w:rPr>
        <w:t>’</w:t>
      </w:r>
      <w:r>
        <w:rPr>
          <w:rFonts w:cs="Arial"/>
          <w:sz w:val="18"/>
          <w:szCs w:val="18"/>
        </w:rPr>
        <w:t xml:space="preserve">). It is intended that the proposed Placing will result in the Group raising </w:t>
      </w:r>
      <w:r w:rsidRPr="00F45CD1">
        <w:rPr>
          <w:rFonts w:cs="Arial"/>
          <w:sz w:val="18"/>
          <w:szCs w:val="18"/>
        </w:rPr>
        <w:t>gross proceeds of up to £90m as part of the suite of operational and financing measures</w:t>
      </w:r>
      <w:r>
        <w:rPr>
          <w:rFonts w:cs="Arial"/>
          <w:sz w:val="18"/>
          <w:szCs w:val="18"/>
        </w:rPr>
        <w:t xml:space="preserve"> to protect and support growth in the business</w:t>
      </w:r>
    </w:p>
    <w:p w14:paraId="18677767" w14:textId="77777777" w:rsidR="00081EB2" w:rsidRDefault="00081EB2" w:rsidP="00081EB2">
      <w:pPr>
        <w:jc w:val="both"/>
        <w:rPr>
          <w:rFonts w:cs="Arial"/>
          <w:b/>
          <w:sz w:val="20"/>
          <w:szCs w:val="18"/>
        </w:rPr>
      </w:pPr>
    </w:p>
    <w:p w14:paraId="545C66A9" w14:textId="77777777" w:rsidR="00081EB2" w:rsidRDefault="007744D1" w:rsidP="00081EB2">
      <w:pPr>
        <w:jc w:val="both"/>
        <w:rPr>
          <w:rFonts w:cs="Arial"/>
          <w:b/>
          <w:sz w:val="20"/>
          <w:szCs w:val="18"/>
        </w:rPr>
      </w:pPr>
      <w:r>
        <w:rPr>
          <w:rFonts w:cs="Arial"/>
          <w:b/>
          <w:sz w:val="20"/>
          <w:szCs w:val="18"/>
        </w:rPr>
        <w:t>SUMMARY FINANCIAL PERFORMANCE</w:t>
      </w:r>
      <w:r w:rsidR="00C060CA">
        <w:rPr>
          <w:rFonts w:cs="Arial"/>
          <w:b/>
          <w:sz w:val="20"/>
          <w:szCs w:val="18"/>
          <w:vertAlign w:val="superscript"/>
        </w:rPr>
        <w:t>1</w:t>
      </w:r>
      <w:r w:rsidR="00115113">
        <w:rPr>
          <w:rFonts w:cs="Arial"/>
          <w:b/>
          <w:sz w:val="20"/>
          <w:szCs w:val="18"/>
          <w:vertAlign w:val="superscript"/>
        </w:rPr>
        <w:t>,2</w:t>
      </w:r>
    </w:p>
    <w:p w14:paraId="77DB3CBB" w14:textId="77777777" w:rsidR="007744D1" w:rsidRPr="005C7C70" w:rsidRDefault="007744D1" w:rsidP="00081EB2">
      <w:pPr>
        <w:jc w:val="both"/>
        <w:rPr>
          <w:rFonts w:cs="Arial"/>
          <w:b/>
          <w:sz w:val="20"/>
          <w:szCs w:val="18"/>
          <w:vertAlign w:val="superscript"/>
        </w:rPr>
      </w:pP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081EB2" w:rsidRPr="0016388F" w14:paraId="002FB617" w14:textId="77777777" w:rsidTr="00081EB2">
        <w:trPr>
          <w:jc w:val="center"/>
        </w:trPr>
        <w:tc>
          <w:tcPr>
            <w:tcW w:w="4111" w:type="dxa"/>
            <w:noWrap/>
            <w:tcMar>
              <w:top w:w="15" w:type="dxa"/>
              <w:left w:w="15" w:type="dxa"/>
              <w:bottom w:w="0" w:type="dxa"/>
              <w:right w:w="15" w:type="dxa"/>
            </w:tcMar>
            <w:vAlign w:val="bottom"/>
            <w:hideMark/>
          </w:tcPr>
          <w:p w14:paraId="30B5BBE2" w14:textId="77777777" w:rsidR="00081EB2" w:rsidRPr="0016388F" w:rsidRDefault="00081EB2" w:rsidP="00081EB2">
            <w:pPr>
              <w:jc w:val="both"/>
              <w:rPr>
                <w:rFonts w:cs="Arial"/>
                <w:b/>
                <w:bCs/>
                <w:sz w:val="18"/>
                <w:szCs w:val="18"/>
                <w:lang w:val="en-US"/>
              </w:rPr>
            </w:pPr>
            <w:r w:rsidRPr="0016388F">
              <w:rPr>
                <w:rFonts w:cs="Arial"/>
                <w:b/>
                <w:bCs/>
                <w:sz w:val="18"/>
                <w:szCs w:val="18"/>
                <w:lang w:val="en-US"/>
              </w:rPr>
              <w:tab/>
            </w:r>
          </w:p>
        </w:tc>
        <w:tc>
          <w:tcPr>
            <w:tcW w:w="1134" w:type="dxa"/>
            <w:tcMar>
              <w:top w:w="15" w:type="dxa"/>
              <w:left w:w="15" w:type="dxa"/>
              <w:bottom w:w="0" w:type="dxa"/>
              <w:right w:w="15" w:type="dxa"/>
            </w:tcMar>
            <w:vAlign w:val="bottom"/>
            <w:hideMark/>
          </w:tcPr>
          <w:p w14:paraId="46F5A0F2" w14:textId="77777777" w:rsidR="00081EB2" w:rsidRPr="0016388F" w:rsidRDefault="00081EB2" w:rsidP="00081EB2">
            <w:pPr>
              <w:ind w:right="103"/>
              <w:jc w:val="right"/>
              <w:rPr>
                <w:rFonts w:cs="Arial"/>
                <w:b/>
                <w:bCs/>
                <w:sz w:val="18"/>
                <w:szCs w:val="18"/>
                <w:lang w:val="en-US"/>
              </w:rPr>
            </w:pPr>
            <w:r>
              <w:rPr>
                <w:rFonts w:cs="Arial"/>
                <w:b/>
                <w:bCs/>
                <w:sz w:val="18"/>
                <w:szCs w:val="18"/>
                <w:lang w:val="en-US"/>
              </w:rPr>
              <w:t>FY</w:t>
            </w:r>
            <w:r w:rsidR="00182CEF">
              <w:rPr>
                <w:rFonts w:cs="Arial"/>
                <w:b/>
                <w:bCs/>
                <w:sz w:val="18"/>
                <w:szCs w:val="18"/>
                <w:lang w:val="en-US"/>
              </w:rPr>
              <w:t>20</w:t>
            </w:r>
          </w:p>
        </w:tc>
        <w:tc>
          <w:tcPr>
            <w:tcW w:w="1134" w:type="dxa"/>
            <w:hideMark/>
          </w:tcPr>
          <w:p w14:paraId="582C4791" w14:textId="77777777" w:rsidR="00081EB2" w:rsidRPr="0016388F" w:rsidRDefault="00182CEF" w:rsidP="00081EB2">
            <w:pPr>
              <w:ind w:right="103"/>
              <w:jc w:val="right"/>
              <w:rPr>
                <w:rFonts w:cs="Arial"/>
                <w:b/>
                <w:bCs/>
                <w:sz w:val="18"/>
                <w:szCs w:val="18"/>
                <w:lang w:val="en-US"/>
              </w:rPr>
            </w:pPr>
            <w:r>
              <w:rPr>
                <w:rFonts w:cs="Arial"/>
                <w:b/>
                <w:bCs/>
                <w:sz w:val="18"/>
                <w:szCs w:val="18"/>
                <w:lang w:val="en-US"/>
              </w:rPr>
              <w:t>FY19</w:t>
            </w:r>
          </w:p>
        </w:tc>
        <w:tc>
          <w:tcPr>
            <w:tcW w:w="1134" w:type="dxa"/>
            <w:hideMark/>
          </w:tcPr>
          <w:p w14:paraId="35C275D8"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Change</w:t>
            </w:r>
          </w:p>
        </w:tc>
      </w:tr>
      <w:tr w:rsidR="00081EB2" w:rsidRPr="0016388F" w14:paraId="23F7950C" w14:textId="77777777" w:rsidTr="00081EB2">
        <w:trPr>
          <w:trHeight w:val="191"/>
          <w:jc w:val="center"/>
        </w:trPr>
        <w:tc>
          <w:tcPr>
            <w:tcW w:w="4111" w:type="dxa"/>
            <w:noWrap/>
            <w:tcMar>
              <w:top w:w="15" w:type="dxa"/>
              <w:left w:w="15" w:type="dxa"/>
              <w:bottom w:w="0" w:type="dxa"/>
              <w:right w:w="15" w:type="dxa"/>
            </w:tcMar>
            <w:vAlign w:val="bottom"/>
          </w:tcPr>
          <w:p w14:paraId="416942EF" w14:textId="77777777" w:rsidR="00081EB2" w:rsidRPr="0016388F" w:rsidRDefault="00081EB2" w:rsidP="00081EB2">
            <w:pPr>
              <w:jc w:val="both"/>
              <w:rPr>
                <w:rFonts w:cs="Arial"/>
                <w:b/>
                <w:bCs/>
                <w:sz w:val="18"/>
                <w:szCs w:val="18"/>
                <w:lang w:val="en-US"/>
              </w:rPr>
            </w:pPr>
          </w:p>
        </w:tc>
        <w:tc>
          <w:tcPr>
            <w:tcW w:w="1134" w:type="dxa"/>
            <w:tcMar>
              <w:top w:w="15" w:type="dxa"/>
              <w:left w:w="15" w:type="dxa"/>
              <w:bottom w:w="0" w:type="dxa"/>
              <w:right w:w="15" w:type="dxa"/>
            </w:tcMar>
            <w:hideMark/>
          </w:tcPr>
          <w:p w14:paraId="7E39959A"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022D27D1"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195D1B93" w14:textId="77777777" w:rsidR="00081EB2" w:rsidRPr="0016388F" w:rsidRDefault="00081EB2" w:rsidP="00081EB2">
            <w:pPr>
              <w:ind w:right="103"/>
              <w:jc w:val="right"/>
              <w:rPr>
                <w:rFonts w:cs="Arial"/>
                <w:b/>
                <w:bCs/>
                <w:sz w:val="18"/>
                <w:szCs w:val="18"/>
                <w:lang w:val="en-US"/>
              </w:rPr>
            </w:pPr>
          </w:p>
        </w:tc>
      </w:tr>
      <w:tr w:rsidR="00081EB2" w:rsidRPr="0016388F" w14:paraId="4F637789" w14:textId="77777777" w:rsidTr="00081EB2">
        <w:trPr>
          <w:trHeight w:val="191"/>
          <w:jc w:val="center"/>
        </w:trPr>
        <w:tc>
          <w:tcPr>
            <w:tcW w:w="4111" w:type="dxa"/>
            <w:noWrap/>
            <w:tcMar>
              <w:top w:w="15" w:type="dxa"/>
              <w:left w:w="15" w:type="dxa"/>
              <w:bottom w:w="0" w:type="dxa"/>
              <w:right w:w="15" w:type="dxa"/>
            </w:tcMar>
            <w:vAlign w:val="bottom"/>
          </w:tcPr>
          <w:p w14:paraId="6C1DB224" w14:textId="77777777" w:rsidR="00081EB2" w:rsidRPr="003E5DE4" w:rsidRDefault="00081EB2" w:rsidP="00081EB2">
            <w:pPr>
              <w:jc w:val="both"/>
              <w:rPr>
                <w:rFonts w:cs="Arial"/>
                <w:b/>
                <w:bCs/>
                <w:sz w:val="18"/>
                <w:szCs w:val="18"/>
                <w:u w:val="single"/>
                <w:lang w:val="en-US"/>
              </w:rPr>
            </w:pPr>
          </w:p>
        </w:tc>
        <w:tc>
          <w:tcPr>
            <w:tcW w:w="1134" w:type="dxa"/>
            <w:tcMar>
              <w:top w:w="15" w:type="dxa"/>
              <w:left w:w="15" w:type="dxa"/>
              <w:bottom w:w="0" w:type="dxa"/>
              <w:right w:w="15" w:type="dxa"/>
            </w:tcMar>
          </w:tcPr>
          <w:p w14:paraId="4A48058A" w14:textId="77777777" w:rsidR="00081EB2" w:rsidRPr="0016388F" w:rsidRDefault="00081EB2" w:rsidP="00081EB2">
            <w:pPr>
              <w:ind w:right="103"/>
              <w:jc w:val="right"/>
              <w:rPr>
                <w:rFonts w:cs="Arial"/>
                <w:b/>
                <w:bCs/>
                <w:sz w:val="18"/>
                <w:szCs w:val="18"/>
                <w:lang w:val="en-US"/>
              </w:rPr>
            </w:pPr>
          </w:p>
        </w:tc>
        <w:tc>
          <w:tcPr>
            <w:tcW w:w="1134" w:type="dxa"/>
          </w:tcPr>
          <w:p w14:paraId="48095FB7" w14:textId="77777777" w:rsidR="00081EB2" w:rsidRPr="0016388F" w:rsidRDefault="00081EB2" w:rsidP="00081EB2">
            <w:pPr>
              <w:ind w:right="103"/>
              <w:jc w:val="right"/>
              <w:rPr>
                <w:rFonts w:cs="Arial"/>
                <w:b/>
                <w:bCs/>
                <w:sz w:val="18"/>
                <w:szCs w:val="18"/>
                <w:lang w:val="en-US"/>
              </w:rPr>
            </w:pPr>
          </w:p>
        </w:tc>
        <w:tc>
          <w:tcPr>
            <w:tcW w:w="1134" w:type="dxa"/>
          </w:tcPr>
          <w:p w14:paraId="2AA9CE7E" w14:textId="77777777" w:rsidR="00081EB2" w:rsidRPr="0016388F" w:rsidRDefault="00081EB2" w:rsidP="00081EB2">
            <w:pPr>
              <w:ind w:right="103"/>
              <w:jc w:val="right"/>
              <w:rPr>
                <w:rFonts w:cs="Arial"/>
                <w:b/>
                <w:bCs/>
                <w:sz w:val="18"/>
                <w:szCs w:val="18"/>
                <w:lang w:val="en-US"/>
              </w:rPr>
            </w:pPr>
          </w:p>
        </w:tc>
      </w:tr>
      <w:tr w:rsidR="00182CEF" w:rsidRPr="000B4332" w14:paraId="662C1BE9" w14:textId="77777777" w:rsidTr="00081EB2">
        <w:trPr>
          <w:jc w:val="center"/>
        </w:trPr>
        <w:tc>
          <w:tcPr>
            <w:tcW w:w="4111" w:type="dxa"/>
            <w:shd w:val="clear" w:color="auto" w:fill="auto"/>
            <w:noWrap/>
            <w:tcMar>
              <w:top w:w="15" w:type="dxa"/>
              <w:left w:w="15" w:type="dxa"/>
              <w:bottom w:w="0" w:type="dxa"/>
              <w:right w:w="15" w:type="dxa"/>
            </w:tcMar>
            <w:vAlign w:val="center"/>
            <w:hideMark/>
          </w:tcPr>
          <w:p w14:paraId="35EDB2B7" w14:textId="56110A05" w:rsidR="00182CEF" w:rsidRPr="000B4332" w:rsidRDefault="00182CEF" w:rsidP="00182CEF">
            <w:pPr>
              <w:jc w:val="both"/>
              <w:rPr>
                <w:rFonts w:cs="Arial"/>
                <w:sz w:val="18"/>
                <w:szCs w:val="18"/>
                <w:lang w:val="en-US"/>
              </w:rPr>
            </w:pPr>
            <w:r w:rsidRPr="000B4332">
              <w:rPr>
                <w:rFonts w:cs="Arial"/>
                <w:sz w:val="18"/>
                <w:szCs w:val="18"/>
                <w:lang w:val="en-US"/>
              </w:rPr>
              <w:t xml:space="preserve">Group Revenue </w:t>
            </w:r>
          </w:p>
        </w:tc>
        <w:tc>
          <w:tcPr>
            <w:tcW w:w="1134" w:type="dxa"/>
            <w:shd w:val="clear" w:color="auto" w:fill="auto"/>
            <w:noWrap/>
            <w:tcMar>
              <w:top w:w="15" w:type="dxa"/>
              <w:left w:w="15" w:type="dxa"/>
              <w:bottom w:w="0" w:type="dxa"/>
              <w:right w:w="15" w:type="dxa"/>
            </w:tcMar>
          </w:tcPr>
          <w:p w14:paraId="7AEDD830" w14:textId="77777777" w:rsidR="00182CEF" w:rsidRPr="00630759" w:rsidRDefault="003E3CCF" w:rsidP="00182CEF">
            <w:pPr>
              <w:ind w:right="103"/>
              <w:jc w:val="right"/>
              <w:rPr>
                <w:rFonts w:cs="Arial"/>
                <w:bCs/>
                <w:sz w:val="18"/>
                <w:szCs w:val="18"/>
                <w:lang w:val="en-US"/>
              </w:rPr>
            </w:pPr>
            <w:r>
              <w:rPr>
                <w:rFonts w:cs="Arial"/>
                <w:bCs/>
                <w:sz w:val="18"/>
                <w:szCs w:val="18"/>
                <w:lang w:val="en-US"/>
              </w:rPr>
              <w:t>1</w:t>
            </w:r>
            <w:r w:rsidR="00365140">
              <w:rPr>
                <w:rFonts w:cs="Arial"/>
                <w:bCs/>
                <w:sz w:val="18"/>
                <w:szCs w:val="18"/>
                <w:lang w:val="en-US"/>
              </w:rPr>
              <w:t>,</w:t>
            </w:r>
            <w:r>
              <w:rPr>
                <w:rFonts w:cs="Arial"/>
                <w:bCs/>
                <w:sz w:val="18"/>
                <w:szCs w:val="18"/>
                <w:lang w:val="en-US"/>
              </w:rPr>
              <w:t>264.7</w:t>
            </w:r>
          </w:p>
        </w:tc>
        <w:tc>
          <w:tcPr>
            <w:tcW w:w="1134" w:type="dxa"/>
            <w:shd w:val="clear" w:color="auto" w:fill="auto"/>
          </w:tcPr>
          <w:p w14:paraId="118BB51B" w14:textId="77777777" w:rsidR="00182CEF" w:rsidRPr="00630759" w:rsidRDefault="00182CEF" w:rsidP="00182CEF">
            <w:pPr>
              <w:ind w:right="103"/>
              <w:jc w:val="right"/>
              <w:rPr>
                <w:rFonts w:cs="Arial"/>
                <w:bCs/>
                <w:sz w:val="18"/>
                <w:szCs w:val="18"/>
                <w:lang w:val="en-US"/>
              </w:rPr>
            </w:pPr>
            <w:r w:rsidRPr="00630759">
              <w:rPr>
                <w:rFonts w:cs="Arial"/>
                <w:bCs/>
                <w:sz w:val="18"/>
                <w:szCs w:val="18"/>
                <w:lang w:val="en-US"/>
              </w:rPr>
              <w:t>1</w:t>
            </w:r>
            <w:r>
              <w:rPr>
                <w:rFonts w:cs="Arial"/>
                <w:bCs/>
                <w:sz w:val="18"/>
                <w:szCs w:val="18"/>
                <w:lang w:val="en-US"/>
              </w:rPr>
              <w:t>,446.1</w:t>
            </w:r>
          </w:p>
        </w:tc>
        <w:tc>
          <w:tcPr>
            <w:tcW w:w="1134" w:type="dxa"/>
            <w:shd w:val="clear" w:color="auto" w:fill="auto"/>
          </w:tcPr>
          <w:p w14:paraId="37AF9677" w14:textId="77777777" w:rsidR="00182CEF" w:rsidRPr="00630759" w:rsidRDefault="0049342E" w:rsidP="003E3CCF">
            <w:pPr>
              <w:ind w:right="103"/>
              <w:jc w:val="right"/>
              <w:rPr>
                <w:rFonts w:cs="Arial"/>
                <w:bCs/>
                <w:sz w:val="18"/>
                <w:szCs w:val="18"/>
                <w:lang w:val="en-US"/>
              </w:rPr>
            </w:pPr>
            <w:r>
              <w:rPr>
                <w:rFonts w:cs="Arial"/>
                <w:bCs/>
                <w:sz w:val="18"/>
                <w:szCs w:val="18"/>
                <w:lang w:val="en-US"/>
              </w:rPr>
              <w:t>-12.</w:t>
            </w:r>
            <w:r w:rsidR="003E3CCF">
              <w:rPr>
                <w:rFonts w:cs="Arial"/>
                <w:bCs/>
                <w:sz w:val="18"/>
                <w:szCs w:val="18"/>
                <w:lang w:val="en-US"/>
              </w:rPr>
              <w:t>5</w:t>
            </w:r>
            <w:r>
              <w:rPr>
                <w:rFonts w:cs="Arial"/>
                <w:bCs/>
                <w:sz w:val="18"/>
                <w:szCs w:val="18"/>
                <w:lang w:val="en-US"/>
              </w:rPr>
              <w:t>%</w:t>
            </w:r>
          </w:p>
        </w:tc>
      </w:tr>
      <w:tr w:rsidR="00182CEF" w:rsidRPr="000B4332" w14:paraId="561D188F" w14:textId="77777777" w:rsidTr="00081EB2">
        <w:trPr>
          <w:jc w:val="center"/>
        </w:trPr>
        <w:tc>
          <w:tcPr>
            <w:tcW w:w="4111" w:type="dxa"/>
            <w:shd w:val="clear" w:color="auto" w:fill="auto"/>
            <w:noWrap/>
            <w:tcMar>
              <w:top w:w="15" w:type="dxa"/>
              <w:left w:w="15" w:type="dxa"/>
              <w:bottom w:w="0" w:type="dxa"/>
              <w:right w:w="15" w:type="dxa"/>
            </w:tcMar>
            <w:vAlign w:val="center"/>
          </w:tcPr>
          <w:p w14:paraId="45379AD4" w14:textId="77777777" w:rsidR="00182CEF" w:rsidRPr="000B4332" w:rsidRDefault="00182CEF" w:rsidP="00182CEF">
            <w:pPr>
              <w:jc w:val="both"/>
              <w:rPr>
                <w:rFonts w:cs="Arial"/>
                <w:sz w:val="18"/>
                <w:szCs w:val="18"/>
                <w:lang w:val="en-US"/>
              </w:rPr>
            </w:pPr>
            <w:r>
              <w:rPr>
                <w:rFonts w:cs="Arial"/>
                <w:sz w:val="18"/>
                <w:szCs w:val="18"/>
                <w:lang w:val="en-US"/>
              </w:rPr>
              <w:t>Pro Forma Revenue Growth</w:t>
            </w:r>
          </w:p>
        </w:tc>
        <w:tc>
          <w:tcPr>
            <w:tcW w:w="1134" w:type="dxa"/>
            <w:shd w:val="clear" w:color="auto" w:fill="auto"/>
            <w:noWrap/>
            <w:tcMar>
              <w:top w:w="15" w:type="dxa"/>
              <w:left w:w="15" w:type="dxa"/>
              <w:bottom w:w="0" w:type="dxa"/>
              <w:right w:w="15" w:type="dxa"/>
            </w:tcMar>
          </w:tcPr>
          <w:p w14:paraId="013B810D"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62D26E84"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3DE6B0E5" w14:textId="77777777" w:rsidR="00182CEF" w:rsidRPr="00630759" w:rsidRDefault="00BF1F21" w:rsidP="00271DC6">
            <w:pPr>
              <w:ind w:right="103"/>
              <w:jc w:val="right"/>
              <w:rPr>
                <w:rFonts w:cs="Arial"/>
                <w:bCs/>
                <w:sz w:val="18"/>
                <w:szCs w:val="18"/>
                <w:lang w:val="en-US"/>
              </w:rPr>
            </w:pPr>
            <w:r>
              <w:rPr>
                <w:rFonts w:cs="Arial"/>
                <w:bCs/>
                <w:sz w:val="18"/>
                <w:szCs w:val="18"/>
                <w:lang w:val="en-US"/>
              </w:rPr>
              <w:t>-14.</w:t>
            </w:r>
            <w:r w:rsidR="002A6258">
              <w:rPr>
                <w:rFonts w:cs="Arial"/>
                <w:bCs/>
                <w:sz w:val="18"/>
                <w:szCs w:val="18"/>
                <w:lang w:val="en-US"/>
              </w:rPr>
              <w:t>3</w:t>
            </w:r>
            <w:r w:rsidR="0049342E">
              <w:rPr>
                <w:rFonts w:cs="Arial"/>
                <w:bCs/>
                <w:sz w:val="18"/>
                <w:szCs w:val="18"/>
                <w:lang w:val="en-US"/>
              </w:rPr>
              <w:t>%</w:t>
            </w:r>
          </w:p>
        </w:tc>
      </w:tr>
      <w:tr w:rsidR="00182CEF" w:rsidRPr="000B4332" w14:paraId="08693BA7" w14:textId="77777777" w:rsidTr="00081EB2">
        <w:trPr>
          <w:jc w:val="center"/>
        </w:trPr>
        <w:tc>
          <w:tcPr>
            <w:tcW w:w="4111" w:type="dxa"/>
            <w:shd w:val="clear" w:color="auto" w:fill="auto"/>
            <w:noWrap/>
            <w:tcMar>
              <w:top w:w="15" w:type="dxa"/>
              <w:left w:w="15" w:type="dxa"/>
              <w:bottom w:w="0" w:type="dxa"/>
              <w:right w:w="15" w:type="dxa"/>
            </w:tcMar>
            <w:vAlign w:val="center"/>
          </w:tcPr>
          <w:p w14:paraId="3543F7D9" w14:textId="77777777" w:rsidR="00182CEF" w:rsidRPr="000B4332" w:rsidRDefault="00182CEF" w:rsidP="00182CEF">
            <w:pPr>
              <w:jc w:val="both"/>
              <w:rPr>
                <w:rFonts w:cs="Arial"/>
                <w:sz w:val="18"/>
                <w:szCs w:val="18"/>
                <w:lang w:val="en-US"/>
              </w:rPr>
            </w:pPr>
            <w:r w:rsidRPr="000B4332">
              <w:rPr>
                <w:rFonts w:cs="Arial"/>
                <w:sz w:val="18"/>
                <w:szCs w:val="18"/>
                <w:lang w:val="en-US"/>
              </w:rPr>
              <w:t>Adjusted EBITDA</w:t>
            </w:r>
          </w:p>
        </w:tc>
        <w:tc>
          <w:tcPr>
            <w:tcW w:w="1134" w:type="dxa"/>
            <w:shd w:val="clear" w:color="auto" w:fill="auto"/>
            <w:noWrap/>
            <w:tcMar>
              <w:top w:w="15" w:type="dxa"/>
              <w:left w:w="15" w:type="dxa"/>
              <w:bottom w:w="0" w:type="dxa"/>
              <w:right w:w="15" w:type="dxa"/>
            </w:tcMar>
          </w:tcPr>
          <w:p w14:paraId="0B8807C4" w14:textId="77777777" w:rsidR="00182CEF" w:rsidRPr="00630759" w:rsidRDefault="00115113" w:rsidP="003E3CCF">
            <w:pPr>
              <w:ind w:right="103"/>
              <w:jc w:val="right"/>
              <w:rPr>
                <w:rFonts w:cs="Arial"/>
                <w:bCs/>
                <w:sz w:val="18"/>
                <w:szCs w:val="18"/>
                <w:lang w:val="en-US"/>
              </w:rPr>
            </w:pPr>
            <w:r>
              <w:rPr>
                <w:rFonts w:cs="Arial"/>
                <w:bCs/>
                <w:sz w:val="18"/>
                <w:szCs w:val="18"/>
                <w:lang w:val="en-US"/>
              </w:rPr>
              <w:t>85.0</w:t>
            </w:r>
          </w:p>
        </w:tc>
        <w:tc>
          <w:tcPr>
            <w:tcW w:w="1134" w:type="dxa"/>
            <w:shd w:val="clear" w:color="auto" w:fill="auto"/>
          </w:tcPr>
          <w:p w14:paraId="7C9EAC10" w14:textId="77777777" w:rsidR="00182CEF" w:rsidRPr="00630759" w:rsidRDefault="00182CEF" w:rsidP="00182CEF">
            <w:pPr>
              <w:ind w:right="103"/>
              <w:jc w:val="right"/>
              <w:rPr>
                <w:rFonts w:cs="Arial"/>
                <w:bCs/>
                <w:sz w:val="18"/>
                <w:szCs w:val="18"/>
                <w:lang w:val="en-US"/>
              </w:rPr>
            </w:pPr>
            <w:r>
              <w:rPr>
                <w:rFonts w:cs="Arial"/>
                <w:bCs/>
                <w:sz w:val="18"/>
                <w:szCs w:val="18"/>
                <w:lang w:val="en-US"/>
              </w:rPr>
              <w:t>142.0</w:t>
            </w:r>
          </w:p>
        </w:tc>
        <w:tc>
          <w:tcPr>
            <w:tcW w:w="1134" w:type="dxa"/>
            <w:shd w:val="clear" w:color="auto" w:fill="auto"/>
          </w:tcPr>
          <w:p w14:paraId="6E3BD50D" w14:textId="77777777" w:rsidR="00182CEF" w:rsidRPr="00630759" w:rsidRDefault="0049342E" w:rsidP="00271DC6">
            <w:pPr>
              <w:ind w:right="103"/>
              <w:jc w:val="right"/>
              <w:rPr>
                <w:rFonts w:cs="Arial"/>
                <w:bCs/>
                <w:sz w:val="18"/>
                <w:szCs w:val="18"/>
                <w:lang w:val="en-US"/>
              </w:rPr>
            </w:pPr>
            <w:r>
              <w:rPr>
                <w:rFonts w:cs="Arial"/>
                <w:bCs/>
                <w:sz w:val="18"/>
                <w:szCs w:val="18"/>
                <w:lang w:val="en-US"/>
              </w:rPr>
              <w:t>-</w:t>
            </w:r>
            <w:r w:rsidR="002A6258">
              <w:rPr>
                <w:rFonts w:cs="Arial"/>
                <w:bCs/>
                <w:sz w:val="18"/>
                <w:szCs w:val="18"/>
                <w:lang w:val="en-US"/>
              </w:rPr>
              <w:t>40.1</w:t>
            </w:r>
            <w:r>
              <w:rPr>
                <w:rFonts w:cs="Arial"/>
                <w:bCs/>
                <w:sz w:val="18"/>
                <w:szCs w:val="18"/>
                <w:lang w:val="en-US"/>
              </w:rPr>
              <w:t>%</w:t>
            </w:r>
          </w:p>
        </w:tc>
      </w:tr>
      <w:tr w:rsidR="00365140" w:rsidRPr="000B4332" w14:paraId="1DCADD19"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82226BF" w14:textId="77777777" w:rsidR="00365140" w:rsidRPr="000B4332" w:rsidRDefault="00365140" w:rsidP="00365140">
            <w:pPr>
              <w:jc w:val="both"/>
              <w:rPr>
                <w:rFonts w:cs="Arial"/>
                <w:bCs/>
                <w:sz w:val="18"/>
                <w:szCs w:val="18"/>
                <w:lang w:val="en-US"/>
              </w:rPr>
            </w:pPr>
            <w:r w:rsidRPr="000B4332">
              <w:rPr>
                <w:rFonts w:cs="Arial"/>
                <w:bCs/>
                <w:sz w:val="18"/>
                <w:szCs w:val="18"/>
                <w:lang w:val="en-US"/>
              </w:rPr>
              <w:t>Group Operating Profit</w:t>
            </w:r>
          </w:p>
        </w:tc>
        <w:tc>
          <w:tcPr>
            <w:tcW w:w="1134" w:type="dxa"/>
            <w:shd w:val="clear" w:color="auto" w:fill="auto"/>
            <w:noWrap/>
            <w:tcMar>
              <w:top w:w="15" w:type="dxa"/>
              <w:left w:w="15" w:type="dxa"/>
              <w:bottom w:w="0" w:type="dxa"/>
              <w:right w:w="15" w:type="dxa"/>
            </w:tcMar>
            <w:vAlign w:val="center"/>
          </w:tcPr>
          <w:p w14:paraId="61354640" w14:textId="77777777" w:rsidR="00365140" w:rsidRPr="00630759" w:rsidRDefault="00365140" w:rsidP="00365140">
            <w:pPr>
              <w:ind w:right="103"/>
              <w:jc w:val="right"/>
              <w:rPr>
                <w:rFonts w:cs="Arial"/>
                <w:sz w:val="18"/>
                <w:szCs w:val="18"/>
                <w:lang w:val="en-US"/>
              </w:rPr>
            </w:pPr>
            <w:r>
              <w:rPr>
                <w:rFonts w:cs="Arial"/>
                <w:sz w:val="18"/>
                <w:szCs w:val="18"/>
                <w:lang w:val="en-US"/>
              </w:rPr>
              <w:t>12.9</w:t>
            </w:r>
          </w:p>
        </w:tc>
        <w:tc>
          <w:tcPr>
            <w:tcW w:w="1134" w:type="dxa"/>
            <w:shd w:val="clear" w:color="auto" w:fill="auto"/>
            <w:vAlign w:val="center"/>
          </w:tcPr>
          <w:p w14:paraId="53D4EF6C" w14:textId="77777777" w:rsidR="00365140" w:rsidRPr="00630759" w:rsidRDefault="00365140" w:rsidP="00365140">
            <w:pPr>
              <w:ind w:right="103"/>
              <w:jc w:val="right"/>
              <w:rPr>
                <w:rFonts w:cs="Arial"/>
                <w:sz w:val="18"/>
                <w:szCs w:val="18"/>
                <w:lang w:val="en-US"/>
              </w:rPr>
            </w:pPr>
            <w:r>
              <w:rPr>
                <w:rFonts w:cs="Arial"/>
                <w:sz w:val="18"/>
                <w:szCs w:val="18"/>
                <w:lang w:val="en-US"/>
              </w:rPr>
              <w:t>99.8</w:t>
            </w:r>
          </w:p>
        </w:tc>
        <w:tc>
          <w:tcPr>
            <w:tcW w:w="1134" w:type="dxa"/>
            <w:shd w:val="clear" w:color="auto" w:fill="auto"/>
          </w:tcPr>
          <w:p w14:paraId="2AF1EAD6" w14:textId="77777777" w:rsidR="00365140" w:rsidRPr="00630759" w:rsidRDefault="00365140" w:rsidP="00365140">
            <w:pPr>
              <w:ind w:right="103"/>
              <w:jc w:val="right"/>
              <w:rPr>
                <w:rFonts w:cs="Arial"/>
                <w:sz w:val="18"/>
                <w:szCs w:val="18"/>
                <w:lang w:val="en-US"/>
              </w:rPr>
            </w:pPr>
            <w:r>
              <w:rPr>
                <w:rFonts w:cs="Arial"/>
                <w:sz w:val="18"/>
                <w:szCs w:val="18"/>
                <w:lang w:val="en-US"/>
              </w:rPr>
              <w:t>-87.1%</w:t>
            </w:r>
          </w:p>
        </w:tc>
      </w:tr>
      <w:tr w:rsidR="00365140" w:rsidRPr="000B4332" w14:paraId="1117D49B" w14:textId="77777777" w:rsidTr="00365140">
        <w:trPr>
          <w:jc w:val="center"/>
        </w:trPr>
        <w:tc>
          <w:tcPr>
            <w:tcW w:w="4111" w:type="dxa"/>
            <w:shd w:val="clear" w:color="auto" w:fill="auto"/>
            <w:noWrap/>
            <w:tcMar>
              <w:top w:w="15" w:type="dxa"/>
              <w:left w:w="15" w:type="dxa"/>
              <w:bottom w:w="0" w:type="dxa"/>
              <w:right w:w="15" w:type="dxa"/>
            </w:tcMar>
            <w:vAlign w:val="center"/>
            <w:hideMark/>
          </w:tcPr>
          <w:p w14:paraId="0A90DB42" w14:textId="77777777" w:rsidR="00365140" w:rsidRPr="000B4332" w:rsidRDefault="00365140" w:rsidP="00365140">
            <w:pPr>
              <w:jc w:val="both"/>
              <w:rPr>
                <w:rFonts w:cs="Arial"/>
                <w:bCs/>
                <w:sz w:val="18"/>
                <w:szCs w:val="18"/>
                <w:lang w:val="en-US"/>
              </w:rPr>
            </w:pPr>
            <w:r w:rsidRPr="000B4332">
              <w:rPr>
                <w:rFonts w:cs="Arial"/>
                <w:bCs/>
                <w:sz w:val="18"/>
                <w:szCs w:val="18"/>
                <w:lang w:val="en-US"/>
              </w:rPr>
              <w:t>Adjusted Operating Profit</w:t>
            </w:r>
          </w:p>
        </w:tc>
        <w:tc>
          <w:tcPr>
            <w:tcW w:w="1134" w:type="dxa"/>
            <w:shd w:val="clear" w:color="auto" w:fill="auto"/>
            <w:noWrap/>
            <w:tcMar>
              <w:top w:w="15" w:type="dxa"/>
              <w:left w:w="15" w:type="dxa"/>
              <w:bottom w:w="0" w:type="dxa"/>
              <w:right w:w="15" w:type="dxa"/>
            </w:tcMar>
            <w:vAlign w:val="bottom"/>
          </w:tcPr>
          <w:p w14:paraId="723817EA" w14:textId="77777777" w:rsidR="00365140" w:rsidRPr="00630759" w:rsidRDefault="00365140" w:rsidP="00365140">
            <w:pPr>
              <w:ind w:right="103"/>
              <w:jc w:val="right"/>
              <w:rPr>
                <w:rFonts w:cs="Arial"/>
                <w:bCs/>
                <w:sz w:val="18"/>
                <w:szCs w:val="18"/>
                <w:lang w:val="en-US"/>
              </w:rPr>
            </w:pPr>
            <w:r>
              <w:rPr>
                <w:rFonts w:cs="Arial"/>
                <w:bCs/>
                <w:sz w:val="18"/>
                <w:szCs w:val="18"/>
                <w:lang w:val="en-US"/>
              </w:rPr>
              <w:t>32.5</w:t>
            </w:r>
          </w:p>
        </w:tc>
        <w:tc>
          <w:tcPr>
            <w:tcW w:w="1134" w:type="dxa"/>
            <w:shd w:val="clear" w:color="auto" w:fill="auto"/>
            <w:vAlign w:val="bottom"/>
          </w:tcPr>
          <w:p w14:paraId="6CFA5AE6" w14:textId="77777777" w:rsidR="00365140" w:rsidRPr="00630759" w:rsidRDefault="00365140" w:rsidP="00365140">
            <w:pPr>
              <w:ind w:right="103"/>
              <w:jc w:val="right"/>
              <w:rPr>
                <w:rFonts w:cs="Arial"/>
                <w:bCs/>
                <w:sz w:val="18"/>
                <w:szCs w:val="18"/>
                <w:lang w:val="en-US"/>
              </w:rPr>
            </w:pPr>
            <w:r>
              <w:rPr>
                <w:rFonts w:cs="Arial"/>
                <w:bCs/>
                <w:sz w:val="18"/>
                <w:szCs w:val="18"/>
                <w:lang w:val="en-US"/>
              </w:rPr>
              <w:t>105.5</w:t>
            </w:r>
          </w:p>
        </w:tc>
        <w:tc>
          <w:tcPr>
            <w:tcW w:w="1134" w:type="dxa"/>
            <w:shd w:val="clear" w:color="auto" w:fill="auto"/>
          </w:tcPr>
          <w:p w14:paraId="5B7E2329" w14:textId="77777777" w:rsidR="00365140" w:rsidRPr="00630759" w:rsidRDefault="00365140" w:rsidP="00365140">
            <w:pPr>
              <w:ind w:right="103"/>
              <w:jc w:val="right"/>
              <w:rPr>
                <w:rFonts w:cs="Arial"/>
                <w:bCs/>
                <w:sz w:val="18"/>
                <w:szCs w:val="18"/>
                <w:lang w:val="en-US"/>
              </w:rPr>
            </w:pPr>
            <w:r>
              <w:rPr>
                <w:rFonts w:cs="Arial"/>
                <w:bCs/>
                <w:sz w:val="18"/>
                <w:szCs w:val="18"/>
                <w:lang w:val="en-US"/>
              </w:rPr>
              <w:t>-69.2%</w:t>
            </w:r>
          </w:p>
        </w:tc>
      </w:tr>
      <w:tr w:rsidR="00365140" w:rsidRPr="000B4332" w14:paraId="6020F181" w14:textId="77777777" w:rsidTr="00365140">
        <w:trPr>
          <w:jc w:val="center"/>
        </w:trPr>
        <w:tc>
          <w:tcPr>
            <w:tcW w:w="4111" w:type="dxa"/>
            <w:shd w:val="clear" w:color="auto" w:fill="auto"/>
            <w:noWrap/>
            <w:tcMar>
              <w:top w:w="15" w:type="dxa"/>
              <w:left w:w="15" w:type="dxa"/>
              <w:bottom w:w="0" w:type="dxa"/>
              <w:right w:w="15" w:type="dxa"/>
            </w:tcMar>
            <w:vAlign w:val="center"/>
            <w:hideMark/>
          </w:tcPr>
          <w:p w14:paraId="5A4409AF" w14:textId="77777777" w:rsidR="00365140" w:rsidRPr="000B4332" w:rsidRDefault="00365140" w:rsidP="00365140">
            <w:pPr>
              <w:jc w:val="both"/>
              <w:rPr>
                <w:rFonts w:cs="Arial"/>
                <w:bCs/>
                <w:sz w:val="18"/>
                <w:szCs w:val="18"/>
                <w:lang w:val="en-US"/>
              </w:rPr>
            </w:pPr>
            <w:r w:rsidRPr="000B4332">
              <w:rPr>
                <w:rFonts w:cs="Arial"/>
                <w:bCs/>
                <w:sz w:val="18"/>
                <w:szCs w:val="18"/>
                <w:lang w:val="en-US"/>
              </w:rPr>
              <w:t>Adjusted Operating Margin</w:t>
            </w:r>
          </w:p>
        </w:tc>
        <w:tc>
          <w:tcPr>
            <w:tcW w:w="1134" w:type="dxa"/>
            <w:shd w:val="clear" w:color="auto" w:fill="auto"/>
            <w:noWrap/>
            <w:tcMar>
              <w:top w:w="15" w:type="dxa"/>
              <w:left w:w="15" w:type="dxa"/>
              <w:bottom w:w="0" w:type="dxa"/>
              <w:right w:w="15" w:type="dxa"/>
            </w:tcMar>
            <w:vAlign w:val="bottom"/>
          </w:tcPr>
          <w:p w14:paraId="7F34746F" w14:textId="77777777" w:rsidR="00365140" w:rsidRPr="00630759" w:rsidRDefault="00365140" w:rsidP="00365140">
            <w:pPr>
              <w:ind w:right="103"/>
              <w:jc w:val="right"/>
              <w:rPr>
                <w:rFonts w:cs="Arial"/>
                <w:bCs/>
                <w:sz w:val="18"/>
                <w:szCs w:val="18"/>
                <w:lang w:val="en-US"/>
              </w:rPr>
            </w:pPr>
            <w:r>
              <w:rPr>
                <w:rFonts w:cs="Arial"/>
                <w:bCs/>
                <w:sz w:val="18"/>
                <w:szCs w:val="18"/>
                <w:lang w:val="en-US"/>
              </w:rPr>
              <w:t>2.6%</w:t>
            </w:r>
          </w:p>
        </w:tc>
        <w:tc>
          <w:tcPr>
            <w:tcW w:w="1134" w:type="dxa"/>
            <w:shd w:val="clear" w:color="auto" w:fill="auto"/>
            <w:vAlign w:val="bottom"/>
          </w:tcPr>
          <w:p w14:paraId="1A63BBD0" w14:textId="77777777" w:rsidR="00365140" w:rsidRPr="00630759" w:rsidRDefault="00365140" w:rsidP="00365140">
            <w:pPr>
              <w:ind w:right="103"/>
              <w:jc w:val="right"/>
              <w:rPr>
                <w:rFonts w:cs="Arial"/>
                <w:bCs/>
                <w:sz w:val="18"/>
                <w:szCs w:val="18"/>
                <w:lang w:val="en-US"/>
              </w:rPr>
            </w:pPr>
            <w:r>
              <w:rPr>
                <w:rFonts w:cs="Arial"/>
                <w:bCs/>
                <w:sz w:val="18"/>
                <w:szCs w:val="18"/>
                <w:lang w:val="en-US"/>
              </w:rPr>
              <w:t>7.3</w:t>
            </w:r>
            <w:r w:rsidRPr="00630759">
              <w:rPr>
                <w:rFonts w:cs="Arial"/>
                <w:bCs/>
                <w:sz w:val="18"/>
                <w:szCs w:val="18"/>
                <w:lang w:val="en-US"/>
              </w:rPr>
              <w:t>%</w:t>
            </w:r>
          </w:p>
        </w:tc>
        <w:tc>
          <w:tcPr>
            <w:tcW w:w="1134" w:type="dxa"/>
            <w:shd w:val="clear" w:color="auto" w:fill="auto"/>
          </w:tcPr>
          <w:p w14:paraId="7F28ED34" w14:textId="77777777" w:rsidR="00365140" w:rsidRPr="00630759" w:rsidRDefault="00365140" w:rsidP="00365140">
            <w:pPr>
              <w:ind w:right="103"/>
              <w:jc w:val="right"/>
              <w:rPr>
                <w:rFonts w:cs="Arial"/>
                <w:bCs/>
                <w:sz w:val="18"/>
                <w:szCs w:val="18"/>
                <w:lang w:val="en-US"/>
              </w:rPr>
            </w:pPr>
            <w:r>
              <w:rPr>
                <w:rFonts w:cs="Arial"/>
                <w:bCs/>
                <w:sz w:val="18"/>
                <w:szCs w:val="18"/>
                <w:lang w:val="en-US"/>
              </w:rPr>
              <w:t>-470 bps</w:t>
            </w:r>
          </w:p>
        </w:tc>
      </w:tr>
      <w:tr w:rsidR="00365140" w:rsidRPr="000B4332" w14:paraId="2CF009FF"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6ADDC764" w14:textId="2A9E47BF" w:rsidR="00365140" w:rsidRPr="000B4332" w:rsidRDefault="00365140">
            <w:pPr>
              <w:jc w:val="both"/>
              <w:rPr>
                <w:rFonts w:cs="Arial"/>
                <w:bCs/>
                <w:sz w:val="18"/>
                <w:szCs w:val="18"/>
                <w:lang w:val="en-US"/>
              </w:rPr>
            </w:pPr>
            <w:r w:rsidRPr="000B4332">
              <w:rPr>
                <w:rFonts w:cs="Arial"/>
                <w:bCs/>
                <w:sz w:val="18"/>
                <w:szCs w:val="18"/>
                <w:lang w:val="en-US"/>
              </w:rPr>
              <w:t xml:space="preserve">Group </w:t>
            </w:r>
            <w:r>
              <w:rPr>
                <w:rFonts w:cs="Arial"/>
                <w:bCs/>
                <w:sz w:val="18"/>
                <w:szCs w:val="18"/>
                <w:lang w:val="en-US"/>
              </w:rPr>
              <w:t>(Loss)/</w:t>
            </w:r>
            <w:r w:rsidRPr="000B4332">
              <w:rPr>
                <w:rFonts w:cs="Arial"/>
                <w:bCs/>
                <w:sz w:val="18"/>
                <w:szCs w:val="18"/>
                <w:lang w:val="en-US"/>
              </w:rPr>
              <w:t xml:space="preserve">Profit </w:t>
            </w:r>
            <w:r w:rsidR="002C2661">
              <w:rPr>
                <w:rFonts w:cs="Arial"/>
                <w:bCs/>
                <w:sz w:val="18"/>
                <w:szCs w:val="18"/>
                <w:lang w:val="en-US"/>
              </w:rPr>
              <w:t>B</w:t>
            </w:r>
            <w:r w:rsidRPr="000B4332">
              <w:rPr>
                <w:rFonts w:cs="Arial"/>
                <w:bCs/>
                <w:sz w:val="18"/>
                <w:szCs w:val="18"/>
                <w:lang w:val="en-US"/>
              </w:rPr>
              <w:t xml:space="preserve">efore </w:t>
            </w:r>
            <w:r w:rsidR="002C2661">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vAlign w:val="center"/>
          </w:tcPr>
          <w:p w14:paraId="593725E3" w14:textId="77777777" w:rsidR="00365140" w:rsidRPr="00630759" w:rsidRDefault="00365140" w:rsidP="00365140">
            <w:pPr>
              <w:ind w:right="103"/>
              <w:jc w:val="right"/>
              <w:rPr>
                <w:rFonts w:cs="Arial"/>
                <w:sz w:val="18"/>
                <w:szCs w:val="18"/>
                <w:lang w:val="en-US"/>
              </w:rPr>
            </w:pPr>
            <w:r>
              <w:rPr>
                <w:rFonts w:cs="Arial"/>
                <w:sz w:val="18"/>
                <w:szCs w:val="18"/>
                <w:lang w:val="en-US"/>
              </w:rPr>
              <w:t>(10.8)</w:t>
            </w:r>
          </w:p>
        </w:tc>
        <w:tc>
          <w:tcPr>
            <w:tcW w:w="1134" w:type="dxa"/>
            <w:shd w:val="clear" w:color="auto" w:fill="auto"/>
            <w:vAlign w:val="center"/>
          </w:tcPr>
          <w:p w14:paraId="33B5584C" w14:textId="77777777" w:rsidR="00365140" w:rsidRPr="00630759" w:rsidRDefault="00365140" w:rsidP="00365140">
            <w:pPr>
              <w:ind w:right="103"/>
              <w:jc w:val="right"/>
              <w:rPr>
                <w:rFonts w:cs="Arial"/>
                <w:sz w:val="18"/>
                <w:szCs w:val="18"/>
                <w:lang w:val="en-US"/>
              </w:rPr>
            </w:pPr>
            <w:r>
              <w:rPr>
                <w:rFonts w:cs="Arial"/>
                <w:sz w:val="18"/>
                <w:szCs w:val="18"/>
                <w:lang w:val="en-US"/>
              </w:rPr>
              <w:t>56.4</w:t>
            </w:r>
          </w:p>
        </w:tc>
        <w:tc>
          <w:tcPr>
            <w:tcW w:w="1134" w:type="dxa"/>
            <w:shd w:val="clear" w:color="auto" w:fill="auto"/>
          </w:tcPr>
          <w:p w14:paraId="4F09257D" w14:textId="77777777" w:rsidR="00365140" w:rsidRPr="00630759" w:rsidRDefault="00365140" w:rsidP="00365140">
            <w:pPr>
              <w:ind w:right="103"/>
              <w:jc w:val="right"/>
              <w:rPr>
                <w:rFonts w:cs="Arial"/>
                <w:sz w:val="18"/>
                <w:szCs w:val="18"/>
                <w:lang w:val="en-US"/>
              </w:rPr>
            </w:pPr>
            <w:r>
              <w:rPr>
                <w:rFonts w:cs="Arial"/>
                <w:sz w:val="18"/>
                <w:szCs w:val="18"/>
                <w:lang w:val="en-US"/>
              </w:rPr>
              <w:t>nm</w:t>
            </w:r>
          </w:p>
        </w:tc>
      </w:tr>
      <w:tr w:rsidR="00182CEF" w:rsidRPr="000B4332" w14:paraId="5FA1CF93" w14:textId="77777777" w:rsidTr="00081EB2">
        <w:trPr>
          <w:jc w:val="center"/>
        </w:trPr>
        <w:tc>
          <w:tcPr>
            <w:tcW w:w="4111" w:type="dxa"/>
            <w:shd w:val="clear" w:color="auto" w:fill="auto"/>
            <w:noWrap/>
            <w:tcMar>
              <w:top w:w="15" w:type="dxa"/>
              <w:left w:w="15" w:type="dxa"/>
              <w:bottom w:w="0" w:type="dxa"/>
              <w:right w:w="15" w:type="dxa"/>
            </w:tcMar>
            <w:vAlign w:val="center"/>
            <w:hideMark/>
          </w:tcPr>
          <w:p w14:paraId="0FBC5075" w14:textId="684C3394" w:rsidR="00182CEF" w:rsidRPr="000B4332" w:rsidRDefault="00182CEF" w:rsidP="00182CEF">
            <w:pPr>
              <w:jc w:val="both"/>
              <w:rPr>
                <w:rFonts w:cs="Arial"/>
                <w:bCs/>
                <w:sz w:val="18"/>
                <w:szCs w:val="18"/>
                <w:lang w:val="en-US"/>
              </w:rPr>
            </w:pPr>
            <w:r w:rsidRPr="000B4332">
              <w:rPr>
                <w:rFonts w:cs="Arial"/>
                <w:bCs/>
                <w:sz w:val="18"/>
                <w:szCs w:val="18"/>
                <w:lang w:val="en-US"/>
              </w:rPr>
              <w:t xml:space="preserve">Adjusted Profit </w:t>
            </w:r>
            <w:r w:rsidR="002C2661">
              <w:rPr>
                <w:rFonts w:cs="Arial"/>
                <w:bCs/>
                <w:sz w:val="18"/>
                <w:szCs w:val="18"/>
                <w:lang w:val="en-US"/>
              </w:rPr>
              <w:t>B</w:t>
            </w:r>
            <w:r w:rsidRPr="000B4332">
              <w:rPr>
                <w:rFonts w:cs="Arial"/>
                <w:bCs/>
                <w:sz w:val="18"/>
                <w:szCs w:val="18"/>
                <w:lang w:val="en-US"/>
              </w:rPr>
              <w:t xml:space="preserve">efore </w:t>
            </w:r>
            <w:r w:rsidR="002C2661">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vAlign w:val="bottom"/>
          </w:tcPr>
          <w:p w14:paraId="466763A8" w14:textId="77777777" w:rsidR="00182CEF" w:rsidRPr="00630759" w:rsidRDefault="00806D5A">
            <w:pPr>
              <w:ind w:right="103"/>
              <w:jc w:val="right"/>
              <w:rPr>
                <w:rFonts w:cs="Arial"/>
                <w:bCs/>
                <w:sz w:val="18"/>
                <w:szCs w:val="18"/>
                <w:lang w:val="en-US"/>
              </w:rPr>
            </w:pPr>
            <w:r>
              <w:rPr>
                <w:rFonts w:cs="Arial"/>
                <w:bCs/>
                <w:sz w:val="18"/>
                <w:szCs w:val="18"/>
                <w:lang w:val="en-US"/>
              </w:rPr>
              <w:t>17.3</w:t>
            </w:r>
          </w:p>
        </w:tc>
        <w:tc>
          <w:tcPr>
            <w:tcW w:w="1134" w:type="dxa"/>
            <w:shd w:val="clear" w:color="auto" w:fill="auto"/>
            <w:vAlign w:val="bottom"/>
          </w:tcPr>
          <w:p w14:paraId="076704FE" w14:textId="77777777" w:rsidR="00182CEF" w:rsidRPr="00630759" w:rsidRDefault="00182CEF" w:rsidP="00182CEF">
            <w:pPr>
              <w:ind w:right="103"/>
              <w:jc w:val="right"/>
              <w:rPr>
                <w:rFonts w:cs="Arial"/>
                <w:bCs/>
                <w:sz w:val="18"/>
                <w:szCs w:val="18"/>
                <w:lang w:val="en-US"/>
              </w:rPr>
            </w:pPr>
            <w:r>
              <w:rPr>
                <w:rFonts w:cs="Arial"/>
                <w:bCs/>
                <w:sz w:val="18"/>
                <w:szCs w:val="18"/>
                <w:lang w:val="en-US"/>
              </w:rPr>
              <w:t>92.3</w:t>
            </w:r>
          </w:p>
        </w:tc>
        <w:tc>
          <w:tcPr>
            <w:tcW w:w="1134" w:type="dxa"/>
            <w:shd w:val="clear" w:color="auto" w:fill="auto"/>
            <w:vAlign w:val="bottom"/>
          </w:tcPr>
          <w:p w14:paraId="16373967" w14:textId="77777777" w:rsidR="00182CEF" w:rsidRPr="00630759" w:rsidRDefault="0049342E">
            <w:pPr>
              <w:ind w:right="103"/>
              <w:jc w:val="right"/>
              <w:rPr>
                <w:rFonts w:cs="Arial"/>
                <w:bCs/>
                <w:sz w:val="18"/>
                <w:szCs w:val="18"/>
                <w:lang w:val="en-US"/>
              </w:rPr>
            </w:pPr>
            <w:r>
              <w:rPr>
                <w:rFonts w:cs="Arial"/>
                <w:bCs/>
                <w:sz w:val="18"/>
                <w:szCs w:val="18"/>
                <w:lang w:val="en-US"/>
              </w:rPr>
              <w:t>-</w:t>
            </w:r>
            <w:r w:rsidR="00806D5A">
              <w:rPr>
                <w:rFonts w:cs="Arial"/>
                <w:bCs/>
                <w:sz w:val="18"/>
                <w:szCs w:val="18"/>
                <w:lang w:val="en-US"/>
              </w:rPr>
              <w:t>81.3</w:t>
            </w:r>
            <w:r>
              <w:rPr>
                <w:rFonts w:cs="Arial"/>
                <w:bCs/>
                <w:sz w:val="18"/>
                <w:szCs w:val="18"/>
                <w:lang w:val="en-US"/>
              </w:rPr>
              <w:t>%</w:t>
            </w:r>
          </w:p>
        </w:tc>
      </w:tr>
      <w:tr w:rsidR="00182CEF" w:rsidRPr="000B4332" w14:paraId="3F0BFD65" w14:textId="77777777" w:rsidTr="00081EB2">
        <w:trPr>
          <w:jc w:val="center"/>
        </w:trPr>
        <w:tc>
          <w:tcPr>
            <w:tcW w:w="4111" w:type="dxa"/>
            <w:shd w:val="clear" w:color="auto" w:fill="auto"/>
            <w:noWrap/>
            <w:tcMar>
              <w:top w:w="15" w:type="dxa"/>
              <w:left w:w="15" w:type="dxa"/>
              <w:bottom w:w="0" w:type="dxa"/>
              <w:right w:w="15" w:type="dxa"/>
            </w:tcMar>
            <w:vAlign w:val="center"/>
          </w:tcPr>
          <w:p w14:paraId="5DA52C38" w14:textId="77777777" w:rsidR="00182CEF" w:rsidRPr="000B4332" w:rsidRDefault="00182CEF" w:rsidP="00182CEF">
            <w:pPr>
              <w:jc w:val="both"/>
              <w:rPr>
                <w:rFonts w:cs="Arial"/>
                <w:bCs/>
                <w:sz w:val="18"/>
                <w:szCs w:val="18"/>
                <w:lang w:val="en-US"/>
              </w:rPr>
            </w:pPr>
          </w:p>
        </w:tc>
        <w:tc>
          <w:tcPr>
            <w:tcW w:w="1134" w:type="dxa"/>
            <w:shd w:val="clear" w:color="auto" w:fill="auto"/>
            <w:noWrap/>
            <w:tcMar>
              <w:top w:w="15" w:type="dxa"/>
              <w:left w:w="15" w:type="dxa"/>
              <w:bottom w:w="0" w:type="dxa"/>
              <w:right w:w="15" w:type="dxa"/>
            </w:tcMar>
            <w:vAlign w:val="bottom"/>
          </w:tcPr>
          <w:p w14:paraId="249E36D0" w14:textId="77777777" w:rsidR="00182CEF" w:rsidRPr="00630759" w:rsidRDefault="00182CEF" w:rsidP="00182CEF">
            <w:pPr>
              <w:ind w:right="103"/>
              <w:jc w:val="right"/>
              <w:rPr>
                <w:rFonts w:cs="Arial"/>
                <w:bCs/>
                <w:sz w:val="18"/>
                <w:szCs w:val="18"/>
                <w:lang w:val="en-US"/>
              </w:rPr>
            </w:pPr>
          </w:p>
        </w:tc>
        <w:tc>
          <w:tcPr>
            <w:tcW w:w="1134" w:type="dxa"/>
            <w:shd w:val="clear" w:color="auto" w:fill="auto"/>
            <w:vAlign w:val="bottom"/>
          </w:tcPr>
          <w:p w14:paraId="64A99490"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58B551B2" w14:textId="77777777" w:rsidR="00182CEF" w:rsidRPr="00630759" w:rsidRDefault="00182CEF" w:rsidP="00182CEF">
            <w:pPr>
              <w:ind w:right="103"/>
              <w:jc w:val="right"/>
              <w:rPr>
                <w:rFonts w:cs="Arial"/>
                <w:bCs/>
                <w:sz w:val="18"/>
                <w:szCs w:val="18"/>
                <w:lang w:val="en-US"/>
              </w:rPr>
            </w:pPr>
          </w:p>
        </w:tc>
      </w:tr>
      <w:tr w:rsidR="00365140" w:rsidRPr="000B4332" w14:paraId="19A79F15"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A04DC77" w14:textId="77777777" w:rsidR="00365140" w:rsidRPr="000B4332" w:rsidRDefault="00365140" w:rsidP="00365140">
            <w:pPr>
              <w:jc w:val="both"/>
              <w:rPr>
                <w:rFonts w:cs="Arial"/>
                <w:bCs/>
                <w:sz w:val="18"/>
                <w:szCs w:val="18"/>
                <w:lang w:val="en-US"/>
              </w:rPr>
            </w:pPr>
            <w:r w:rsidRPr="000B4332">
              <w:rPr>
                <w:rFonts w:cs="Arial"/>
                <w:bCs/>
                <w:sz w:val="18"/>
                <w:szCs w:val="18"/>
                <w:lang w:val="en-US"/>
              </w:rPr>
              <w:t>Basic EPS (pence)</w:t>
            </w:r>
          </w:p>
        </w:tc>
        <w:tc>
          <w:tcPr>
            <w:tcW w:w="1134" w:type="dxa"/>
            <w:shd w:val="clear" w:color="auto" w:fill="auto"/>
            <w:noWrap/>
            <w:tcMar>
              <w:top w:w="15" w:type="dxa"/>
              <w:left w:w="15" w:type="dxa"/>
              <w:bottom w:w="0" w:type="dxa"/>
              <w:right w:w="15" w:type="dxa"/>
            </w:tcMar>
            <w:vAlign w:val="center"/>
          </w:tcPr>
          <w:p w14:paraId="378A93BA" w14:textId="77777777" w:rsidR="00365140" w:rsidRPr="00630759" w:rsidRDefault="00365140" w:rsidP="00365140">
            <w:pPr>
              <w:ind w:right="103"/>
              <w:jc w:val="right"/>
              <w:rPr>
                <w:rFonts w:cs="Arial"/>
                <w:sz w:val="18"/>
                <w:szCs w:val="18"/>
                <w:lang w:val="en-US"/>
              </w:rPr>
            </w:pPr>
            <w:r>
              <w:rPr>
                <w:rFonts w:cs="Arial"/>
                <w:sz w:val="18"/>
                <w:szCs w:val="18"/>
                <w:lang w:val="en-US"/>
              </w:rPr>
              <w:t>(2.6)</w:t>
            </w:r>
          </w:p>
        </w:tc>
        <w:tc>
          <w:tcPr>
            <w:tcW w:w="1134" w:type="dxa"/>
            <w:shd w:val="clear" w:color="auto" w:fill="auto"/>
            <w:vAlign w:val="center"/>
          </w:tcPr>
          <w:p w14:paraId="5A521FE2" w14:textId="77777777" w:rsidR="00365140" w:rsidRPr="00630759" w:rsidRDefault="00365140" w:rsidP="00365140">
            <w:pPr>
              <w:ind w:right="103"/>
              <w:jc w:val="right"/>
              <w:rPr>
                <w:rFonts w:cs="Arial"/>
                <w:sz w:val="18"/>
                <w:szCs w:val="18"/>
                <w:lang w:val="en-US"/>
              </w:rPr>
            </w:pPr>
            <w:r>
              <w:rPr>
                <w:rFonts w:cs="Arial"/>
                <w:sz w:val="18"/>
                <w:szCs w:val="18"/>
                <w:lang w:val="en-US"/>
              </w:rPr>
              <w:t>19.9</w:t>
            </w:r>
          </w:p>
        </w:tc>
        <w:tc>
          <w:tcPr>
            <w:tcW w:w="1134" w:type="dxa"/>
            <w:shd w:val="clear" w:color="auto" w:fill="auto"/>
          </w:tcPr>
          <w:p w14:paraId="1B9E0EB9" w14:textId="77777777" w:rsidR="00365140" w:rsidRPr="00630759" w:rsidRDefault="00365140" w:rsidP="00365140">
            <w:pPr>
              <w:ind w:right="103"/>
              <w:jc w:val="right"/>
              <w:rPr>
                <w:rFonts w:cs="Arial"/>
                <w:sz w:val="18"/>
                <w:szCs w:val="18"/>
                <w:lang w:val="en-US"/>
              </w:rPr>
            </w:pPr>
            <w:r>
              <w:rPr>
                <w:rFonts w:cs="Arial"/>
                <w:sz w:val="18"/>
                <w:szCs w:val="18"/>
                <w:lang w:val="en-US"/>
              </w:rPr>
              <w:t>nm</w:t>
            </w:r>
          </w:p>
        </w:tc>
      </w:tr>
      <w:tr w:rsidR="00365140" w:rsidRPr="000B4332" w14:paraId="12BF8290"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E8EB43B" w14:textId="77777777" w:rsidR="00365140" w:rsidRPr="000B4332" w:rsidRDefault="00365140" w:rsidP="00365140">
            <w:pPr>
              <w:jc w:val="both"/>
              <w:rPr>
                <w:rFonts w:cs="Arial"/>
                <w:bCs/>
                <w:sz w:val="18"/>
                <w:szCs w:val="18"/>
                <w:lang w:val="en-US"/>
              </w:rPr>
            </w:pPr>
            <w:r w:rsidRPr="000B4332">
              <w:rPr>
                <w:rFonts w:cs="Arial"/>
                <w:bCs/>
                <w:sz w:val="18"/>
                <w:szCs w:val="18"/>
                <w:lang w:val="en-US"/>
              </w:rPr>
              <w:t>Group Exceptional Items (</w:t>
            </w:r>
            <w:r w:rsidRPr="005860C4">
              <w:rPr>
                <w:rFonts w:cs="Arial"/>
                <w:bCs/>
                <w:sz w:val="18"/>
                <w:szCs w:val="18"/>
                <w:lang w:val="en-US"/>
              </w:rPr>
              <w:t>after</w:t>
            </w:r>
            <w:r w:rsidRPr="000B4332">
              <w:rPr>
                <w:rFonts w:cs="Arial"/>
                <w:bCs/>
                <w:sz w:val="18"/>
                <w:szCs w:val="18"/>
                <w:lang w:val="en-US"/>
              </w:rPr>
              <w:t xml:space="preserve"> tax)</w:t>
            </w:r>
          </w:p>
        </w:tc>
        <w:tc>
          <w:tcPr>
            <w:tcW w:w="1134" w:type="dxa"/>
            <w:shd w:val="clear" w:color="auto" w:fill="auto"/>
            <w:noWrap/>
            <w:tcMar>
              <w:top w:w="15" w:type="dxa"/>
              <w:left w:w="15" w:type="dxa"/>
              <w:bottom w:w="0" w:type="dxa"/>
              <w:right w:w="15" w:type="dxa"/>
            </w:tcMar>
            <w:vAlign w:val="center"/>
          </w:tcPr>
          <w:p w14:paraId="53A51FD6" w14:textId="77777777" w:rsidR="00365140" w:rsidRPr="00630759" w:rsidRDefault="00365140" w:rsidP="00365140">
            <w:pPr>
              <w:ind w:right="103"/>
              <w:jc w:val="right"/>
              <w:rPr>
                <w:rFonts w:cs="Arial"/>
                <w:sz w:val="18"/>
                <w:szCs w:val="18"/>
                <w:lang w:val="en-US"/>
              </w:rPr>
            </w:pPr>
            <w:r>
              <w:rPr>
                <w:rFonts w:cs="Arial"/>
                <w:sz w:val="18"/>
                <w:szCs w:val="18"/>
                <w:lang w:val="en-US"/>
              </w:rPr>
              <w:t>(20.5)</w:t>
            </w:r>
          </w:p>
        </w:tc>
        <w:tc>
          <w:tcPr>
            <w:tcW w:w="1134" w:type="dxa"/>
            <w:shd w:val="clear" w:color="auto" w:fill="auto"/>
            <w:vAlign w:val="center"/>
          </w:tcPr>
          <w:p w14:paraId="00C33DDF" w14:textId="77777777" w:rsidR="00365140" w:rsidRPr="00630759" w:rsidRDefault="00365140" w:rsidP="00365140">
            <w:pPr>
              <w:ind w:right="103"/>
              <w:jc w:val="right"/>
              <w:rPr>
                <w:rFonts w:cs="Arial"/>
                <w:sz w:val="18"/>
                <w:szCs w:val="18"/>
                <w:lang w:val="en-US"/>
              </w:rPr>
            </w:pPr>
            <w:r>
              <w:rPr>
                <w:rFonts w:cs="Arial"/>
                <w:sz w:val="18"/>
                <w:szCs w:val="18"/>
                <w:lang w:val="en-US"/>
              </w:rPr>
              <w:t>25.9</w:t>
            </w:r>
          </w:p>
        </w:tc>
        <w:tc>
          <w:tcPr>
            <w:tcW w:w="1134" w:type="dxa"/>
            <w:shd w:val="clear" w:color="auto" w:fill="auto"/>
          </w:tcPr>
          <w:p w14:paraId="5D29416B" w14:textId="77777777" w:rsidR="00365140" w:rsidRPr="00630759" w:rsidRDefault="00365140" w:rsidP="00365140">
            <w:pPr>
              <w:ind w:right="103"/>
              <w:jc w:val="right"/>
              <w:rPr>
                <w:rFonts w:cs="Arial"/>
                <w:sz w:val="18"/>
                <w:szCs w:val="18"/>
                <w:lang w:val="en-US"/>
              </w:rPr>
            </w:pPr>
          </w:p>
        </w:tc>
      </w:tr>
      <w:tr w:rsidR="00182CEF" w:rsidRPr="000B4332" w14:paraId="13717E67" w14:textId="77777777" w:rsidTr="00081EB2">
        <w:trPr>
          <w:jc w:val="center"/>
        </w:trPr>
        <w:tc>
          <w:tcPr>
            <w:tcW w:w="4111" w:type="dxa"/>
            <w:shd w:val="clear" w:color="auto" w:fill="auto"/>
            <w:noWrap/>
            <w:tcMar>
              <w:top w:w="15" w:type="dxa"/>
              <w:left w:w="15" w:type="dxa"/>
              <w:bottom w:w="0" w:type="dxa"/>
              <w:right w:w="15" w:type="dxa"/>
            </w:tcMar>
            <w:vAlign w:val="center"/>
          </w:tcPr>
          <w:p w14:paraId="58008156" w14:textId="77777777" w:rsidR="00182CEF" w:rsidRPr="000B4332" w:rsidRDefault="00182CEF" w:rsidP="00182CEF">
            <w:pPr>
              <w:jc w:val="both"/>
              <w:rPr>
                <w:rFonts w:cs="Arial"/>
                <w:bCs/>
                <w:sz w:val="18"/>
                <w:szCs w:val="18"/>
                <w:lang w:val="en-US"/>
              </w:rPr>
            </w:pPr>
            <w:r w:rsidRPr="000B4332">
              <w:rPr>
                <w:rFonts w:cs="Arial"/>
                <w:bCs/>
                <w:sz w:val="18"/>
                <w:szCs w:val="18"/>
                <w:lang w:val="en-US"/>
              </w:rPr>
              <w:t>Adjusted EPS (pence)</w:t>
            </w:r>
          </w:p>
        </w:tc>
        <w:tc>
          <w:tcPr>
            <w:tcW w:w="1134" w:type="dxa"/>
            <w:shd w:val="clear" w:color="auto" w:fill="auto"/>
            <w:noWrap/>
            <w:tcMar>
              <w:top w:w="15" w:type="dxa"/>
              <w:left w:w="15" w:type="dxa"/>
              <w:bottom w:w="0" w:type="dxa"/>
              <w:right w:w="15" w:type="dxa"/>
            </w:tcMar>
            <w:vAlign w:val="center"/>
          </w:tcPr>
          <w:p w14:paraId="266EB4D5" w14:textId="77777777" w:rsidR="00182CEF" w:rsidRPr="00630759" w:rsidRDefault="001066B6">
            <w:pPr>
              <w:ind w:right="103"/>
              <w:jc w:val="right"/>
              <w:rPr>
                <w:rFonts w:cs="Arial"/>
                <w:sz w:val="18"/>
                <w:szCs w:val="18"/>
                <w:lang w:val="en-US"/>
              </w:rPr>
            </w:pPr>
            <w:r>
              <w:rPr>
                <w:rFonts w:cs="Arial"/>
                <w:sz w:val="18"/>
                <w:szCs w:val="18"/>
                <w:lang w:val="en-US"/>
              </w:rPr>
              <w:t>2.9</w:t>
            </w:r>
          </w:p>
        </w:tc>
        <w:tc>
          <w:tcPr>
            <w:tcW w:w="1134" w:type="dxa"/>
            <w:shd w:val="clear" w:color="auto" w:fill="auto"/>
            <w:vAlign w:val="center"/>
          </w:tcPr>
          <w:p w14:paraId="001C1B23" w14:textId="77777777" w:rsidR="00182CEF" w:rsidRPr="00630759" w:rsidRDefault="00182CEF" w:rsidP="00182CEF">
            <w:pPr>
              <w:ind w:right="103"/>
              <w:jc w:val="right"/>
              <w:rPr>
                <w:rFonts w:cs="Arial"/>
                <w:sz w:val="18"/>
                <w:szCs w:val="18"/>
                <w:lang w:val="en-US"/>
              </w:rPr>
            </w:pPr>
            <w:r>
              <w:rPr>
                <w:rFonts w:cs="Arial"/>
                <w:sz w:val="18"/>
                <w:szCs w:val="18"/>
                <w:lang w:val="en-US"/>
              </w:rPr>
              <w:t>16.0</w:t>
            </w:r>
          </w:p>
        </w:tc>
        <w:tc>
          <w:tcPr>
            <w:tcW w:w="1134" w:type="dxa"/>
            <w:shd w:val="clear" w:color="auto" w:fill="auto"/>
            <w:vAlign w:val="bottom"/>
          </w:tcPr>
          <w:p w14:paraId="5149B354" w14:textId="77777777" w:rsidR="00182CEF" w:rsidRPr="00630759" w:rsidRDefault="0049342E" w:rsidP="00271DC6">
            <w:pPr>
              <w:ind w:right="103"/>
              <w:jc w:val="right"/>
              <w:rPr>
                <w:rFonts w:cs="Arial"/>
                <w:sz w:val="18"/>
                <w:szCs w:val="18"/>
                <w:lang w:val="en-US"/>
              </w:rPr>
            </w:pPr>
            <w:r>
              <w:rPr>
                <w:rFonts w:cs="Arial"/>
                <w:sz w:val="18"/>
                <w:szCs w:val="18"/>
                <w:lang w:val="en-US"/>
              </w:rPr>
              <w:t>-</w:t>
            </w:r>
            <w:r w:rsidR="001066B6">
              <w:rPr>
                <w:rFonts w:cs="Arial"/>
                <w:sz w:val="18"/>
                <w:szCs w:val="18"/>
                <w:lang w:val="en-US"/>
              </w:rPr>
              <w:t>81.9</w:t>
            </w:r>
            <w:r>
              <w:rPr>
                <w:rFonts w:cs="Arial"/>
                <w:sz w:val="18"/>
                <w:szCs w:val="18"/>
                <w:lang w:val="en-US"/>
              </w:rPr>
              <w:t>%</w:t>
            </w:r>
          </w:p>
        </w:tc>
      </w:tr>
      <w:tr w:rsidR="00182CEF" w:rsidRPr="000B4332" w14:paraId="7A166060" w14:textId="77777777" w:rsidTr="00081EB2">
        <w:trPr>
          <w:jc w:val="center"/>
        </w:trPr>
        <w:tc>
          <w:tcPr>
            <w:tcW w:w="4111" w:type="dxa"/>
            <w:shd w:val="clear" w:color="auto" w:fill="auto"/>
            <w:noWrap/>
            <w:tcMar>
              <w:top w:w="15" w:type="dxa"/>
              <w:left w:w="15" w:type="dxa"/>
              <w:bottom w:w="0" w:type="dxa"/>
              <w:right w:w="15" w:type="dxa"/>
            </w:tcMar>
            <w:vAlign w:val="center"/>
            <w:hideMark/>
          </w:tcPr>
          <w:p w14:paraId="040AF1F7" w14:textId="77777777" w:rsidR="00182CEF" w:rsidRPr="000B4332" w:rsidRDefault="00182CEF" w:rsidP="00182CEF">
            <w:pPr>
              <w:jc w:val="both"/>
              <w:rPr>
                <w:rFonts w:cs="Arial"/>
                <w:bCs/>
                <w:sz w:val="18"/>
                <w:szCs w:val="18"/>
                <w:lang w:val="en-US"/>
              </w:rPr>
            </w:pPr>
            <w:r>
              <w:rPr>
                <w:rFonts w:cs="Arial"/>
                <w:bCs/>
                <w:sz w:val="18"/>
                <w:szCs w:val="18"/>
                <w:lang w:val="en-US"/>
              </w:rPr>
              <w:t>Total proposed</w:t>
            </w:r>
            <w:r w:rsidRPr="000B4332">
              <w:rPr>
                <w:rFonts w:cs="Arial"/>
                <w:bCs/>
                <w:sz w:val="18"/>
                <w:szCs w:val="18"/>
                <w:lang w:val="en-US"/>
              </w:rPr>
              <w:t xml:space="preserve"> dividend per share (pence)</w:t>
            </w:r>
          </w:p>
        </w:tc>
        <w:tc>
          <w:tcPr>
            <w:tcW w:w="1134" w:type="dxa"/>
            <w:shd w:val="clear" w:color="auto" w:fill="auto"/>
            <w:noWrap/>
            <w:tcMar>
              <w:top w:w="15" w:type="dxa"/>
              <w:left w:w="15" w:type="dxa"/>
              <w:bottom w:w="0" w:type="dxa"/>
              <w:right w:w="15" w:type="dxa"/>
            </w:tcMar>
            <w:vAlign w:val="bottom"/>
          </w:tcPr>
          <w:p w14:paraId="32F13B37" w14:textId="77777777" w:rsidR="00182CEF" w:rsidRPr="00630759" w:rsidRDefault="0051787E" w:rsidP="00182CEF">
            <w:pPr>
              <w:ind w:right="103"/>
              <w:jc w:val="right"/>
              <w:rPr>
                <w:rFonts w:cs="Arial"/>
                <w:sz w:val="18"/>
                <w:szCs w:val="18"/>
                <w:lang w:val="en-US"/>
              </w:rPr>
            </w:pPr>
            <w:r>
              <w:rPr>
                <w:rFonts w:cs="Arial"/>
                <w:sz w:val="18"/>
                <w:szCs w:val="18"/>
                <w:lang w:val="en-US"/>
              </w:rPr>
              <w:t>-</w:t>
            </w:r>
          </w:p>
        </w:tc>
        <w:tc>
          <w:tcPr>
            <w:tcW w:w="1134" w:type="dxa"/>
            <w:shd w:val="clear" w:color="auto" w:fill="auto"/>
            <w:vAlign w:val="bottom"/>
          </w:tcPr>
          <w:p w14:paraId="6B798671" w14:textId="77777777" w:rsidR="00182CEF" w:rsidRPr="00630759" w:rsidRDefault="00182CEF" w:rsidP="00182CEF">
            <w:pPr>
              <w:ind w:right="103"/>
              <w:jc w:val="right"/>
              <w:rPr>
                <w:rFonts w:cs="Arial"/>
                <w:sz w:val="18"/>
                <w:szCs w:val="18"/>
                <w:lang w:val="en-US"/>
              </w:rPr>
            </w:pPr>
            <w:r>
              <w:rPr>
                <w:rFonts w:cs="Arial"/>
                <w:sz w:val="18"/>
                <w:szCs w:val="18"/>
                <w:lang w:val="en-US"/>
              </w:rPr>
              <w:t>6.20</w:t>
            </w:r>
          </w:p>
        </w:tc>
        <w:tc>
          <w:tcPr>
            <w:tcW w:w="1134" w:type="dxa"/>
            <w:shd w:val="clear" w:color="auto" w:fill="auto"/>
            <w:vAlign w:val="bottom"/>
          </w:tcPr>
          <w:p w14:paraId="3027989C" w14:textId="77777777" w:rsidR="00182CEF" w:rsidRPr="00630759" w:rsidRDefault="00182CEF" w:rsidP="00182CEF">
            <w:pPr>
              <w:ind w:right="103"/>
              <w:jc w:val="right"/>
              <w:rPr>
                <w:rFonts w:cs="Arial"/>
                <w:sz w:val="18"/>
                <w:szCs w:val="18"/>
                <w:lang w:val="en-US"/>
              </w:rPr>
            </w:pPr>
          </w:p>
        </w:tc>
      </w:tr>
      <w:tr w:rsidR="00182CEF" w:rsidRPr="000B4332" w14:paraId="079AECED"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477C3C8F" w14:textId="77777777" w:rsidR="00182CEF" w:rsidRPr="000B4332" w:rsidRDefault="00182CEF" w:rsidP="00182CEF">
            <w:pPr>
              <w:jc w:val="both"/>
              <w:rPr>
                <w:rFonts w:cs="Arial"/>
                <w:b/>
                <w:bCs/>
                <w:sz w:val="18"/>
                <w:szCs w:val="18"/>
                <w:u w:val="single"/>
                <w:lang w:val="en-US"/>
              </w:rPr>
            </w:pPr>
          </w:p>
        </w:tc>
        <w:tc>
          <w:tcPr>
            <w:tcW w:w="1134" w:type="dxa"/>
            <w:shd w:val="clear" w:color="auto" w:fill="auto"/>
            <w:noWrap/>
            <w:tcMar>
              <w:top w:w="15" w:type="dxa"/>
              <w:left w:w="15" w:type="dxa"/>
              <w:bottom w:w="0" w:type="dxa"/>
              <w:right w:w="15" w:type="dxa"/>
            </w:tcMar>
            <w:vAlign w:val="center"/>
          </w:tcPr>
          <w:p w14:paraId="042C1331" w14:textId="77777777" w:rsidR="00182CEF" w:rsidRPr="00630759" w:rsidRDefault="00182CEF" w:rsidP="00182CEF">
            <w:pPr>
              <w:ind w:right="103"/>
              <w:jc w:val="right"/>
              <w:rPr>
                <w:rFonts w:cs="Arial"/>
                <w:sz w:val="18"/>
                <w:szCs w:val="18"/>
                <w:lang w:val="en-US"/>
              </w:rPr>
            </w:pPr>
          </w:p>
        </w:tc>
        <w:tc>
          <w:tcPr>
            <w:tcW w:w="1134" w:type="dxa"/>
            <w:shd w:val="clear" w:color="auto" w:fill="auto"/>
            <w:vAlign w:val="center"/>
          </w:tcPr>
          <w:p w14:paraId="29E8FF17" w14:textId="77777777" w:rsidR="00182CEF" w:rsidRPr="00630759" w:rsidRDefault="00182CEF" w:rsidP="00182CEF">
            <w:pPr>
              <w:ind w:right="103"/>
              <w:jc w:val="right"/>
              <w:rPr>
                <w:rFonts w:cs="Arial"/>
                <w:sz w:val="18"/>
                <w:szCs w:val="18"/>
                <w:lang w:val="en-US"/>
              </w:rPr>
            </w:pPr>
          </w:p>
        </w:tc>
        <w:tc>
          <w:tcPr>
            <w:tcW w:w="1134" w:type="dxa"/>
            <w:shd w:val="clear" w:color="auto" w:fill="auto"/>
          </w:tcPr>
          <w:p w14:paraId="6A8EE959" w14:textId="77777777" w:rsidR="00182CEF" w:rsidRPr="00630759" w:rsidRDefault="00182CEF" w:rsidP="00182CEF">
            <w:pPr>
              <w:ind w:right="103"/>
              <w:jc w:val="right"/>
              <w:rPr>
                <w:rFonts w:cs="Arial"/>
                <w:sz w:val="18"/>
                <w:szCs w:val="18"/>
                <w:lang w:val="en-US"/>
              </w:rPr>
            </w:pPr>
          </w:p>
        </w:tc>
      </w:tr>
      <w:tr w:rsidR="00182CEF" w:rsidRPr="000B4332" w14:paraId="52C87814"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5D8001A9" w14:textId="77777777" w:rsidR="00182CEF" w:rsidRPr="000B4332" w:rsidRDefault="00182CEF" w:rsidP="00182CEF">
            <w:pPr>
              <w:jc w:val="both"/>
              <w:rPr>
                <w:rFonts w:cs="Arial"/>
                <w:bCs/>
                <w:sz w:val="18"/>
                <w:szCs w:val="18"/>
                <w:lang w:val="en-US"/>
              </w:rPr>
            </w:pPr>
            <w:r w:rsidRPr="000B4332">
              <w:rPr>
                <w:rFonts w:cs="Arial"/>
                <w:bCs/>
                <w:sz w:val="18"/>
                <w:szCs w:val="18"/>
                <w:lang w:val="en-US"/>
              </w:rPr>
              <w:t>Free Cash Flow</w:t>
            </w:r>
          </w:p>
        </w:tc>
        <w:tc>
          <w:tcPr>
            <w:tcW w:w="1134" w:type="dxa"/>
            <w:shd w:val="clear" w:color="auto" w:fill="auto"/>
            <w:noWrap/>
            <w:tcMar>
              <w:top w:w="15" w:type="dxa"/>
              <w:left w:w="15" w:type="dxa"/>
              <w:bottom w:w="0" w:type="dxa"/>
              <w:right w:w="15" w:type="dxa"/>
            </w:tcMar>
            <w:vAlign w:val="center"/>
          </w:tcPr>
          <w:p w14:paraId="12CC87C4" w14:textId="4E63B2CB" w:rsidR="00182CEF" w:rsidRPr="00630759" w:rsidRDefault="00BF1F21">
            <w:pPr>
              <w:ind w:right="103"/>
              <w:jc w:val="right"/>
              <w:rPr>
                <w:rFonts w:cs="Arial"/>
                <w:sz w:val="18"/>
                <w:szCs w:val="18"/>
                <w:lang w:val="en-US"/>
              </w:rPr>
            </w:pPr>
            <w:r>
              <w:rPr>
                <w:rFonts w:cs="Arial"/>
                <w:sz w:val="18"/>
                <w:szCs w:val="18"/>
                <w:lang w:val="en-US"/>
              </w:rPr>
              <w:t>(</w:t>
            </w:r>
            <w:r w:rsidR="001A76DE">
              <w:rPr>
                <w:rFonts w:cs="Arial"/>
                <w:sz w:val="18"/>
                <w:szCs w:val="18"/>
                <w:lang w:val="en-US"/>
              </w:rPr>
              <w:t>29.7</w:t>
            </w:r>
            <w:r w:rsidR="00D44EA4">
              <w:rPr>
                <w:rFonts w:cs="Arial"/>
                <w:sz w:val="18"/>
                <w:szCs w:val="18"/>
                <w:lang w:val="en-US"/>
              </w:rPr>
              <w:t>)</w:t>
            </w:r>
          </w:p>
        </w:tc>
        <w:tc>
          <w:tcPr>
            <w:tcW w:w="1134" w:type="dxa"/>
            <w:shd w:val="clear" w:color="auto" w:fill="auto"/>
            <w:vAlign w:val="center"/>
          </w:tcPr>
          <w:p w14:paraId="4B8115BC" w14:textId="77777777" w:rsidR="00182CEF" w:rsidRPr="00630759" w:rsidRDefault="00182CEF" w:rsidP="00182CEF">
            <w:pPr>
              <w:ind w:right="103"/>
              <w:jc w:val="right"/>
              <w:rPr>
                <w:rFonts w:cs="Arial"/>
                <w:sz w:val="18"/>
                <w:szCs w:val="18"/>
                <w:lang w:val="en-US"/>
              </w:rPr>
            </w:pPr>
            <w:r>
              <w:rPr>
                <w:rFonts w:cs="Arial"/>
                <w:sz w:val="18"/>
                <w:szCs w:val="18"/>
                <w:lang w:val="en-US"/>
              </w:rPr>
              <w:t>54.9</w:t>
            </w:r>
          </w:p>
        </w:tc>
        <w:tc>
          <w:tcPr>
            <w:tcW w:w="1134" w:type="dxa"/>
            <w:shd w:val="clear" w:color="auto" w:fill="auto"/>
          </w:tcPr>
          <w:p w14:paraId="322BBB98" w14:textId="2C446E91" w:rsidR="00182CEF" w:rsidRPr="00630759" w:rsidRDefault="00BF1F21">
            <w:pPr>
              <w:ind w:right="103"/>
              <w:jc w:val="right"/>
              <w:rPr>
                <w:rFonts w:cs="Arial"/>
                <w:sz w:val="18"/>
                <w:szCs w:val="18"/>
                <w:lang w:val="en-US"/>
              </w:rPr>
            </w:pPr>
            <w:r>
              <w:rPr>
                <w:rFonts w:cs="Arial"/>
                <w:sz w:val="18"/>
                <w:szCs w:val="18"/>
                <w:lang w:val="en-US"/>
              </w:rPr>
              <w:t>-£</w:t>
            </w:r>
            <w:r w:rsidR="001A76DE">
              <w:rPr>
                <w:rFonts w:cs="Arial"/>
                <w:sz w:val="18"/>
                <w:szCs w:val="18"/>
                <w:lang w:val="en-US"/>
              </w:rPr>
              <w:t>84</w:t>
            </w:r>
            <w:r>
              <w:rPr>
                <w:rFonts w:cs="Arial"/>
                <w:sz w:val="18"/>
                <w:szCs w:val="18"/>
                <w:lang w:val="en-US"/>
              </w:rPr>
              <w:t>.</w:t>
            </w:r>
            <w:r w:rsidR="001A76DE">
              <w:rPr>
                <w:rFonts w:cs="Arial"/>
                <w:sz w:val="18"/>
                <w:szCs w:val="18"/>
                <w:lang w:val="en-US"/>
              </w:rPr>
              <w:t>6m</w:t>
            </w:r>
          </w:p>
        </w:tc>
      </w:tr>
      <w:tr w:rsidR="00182CEF" w:rsidRPr="000B4332" w14:paraId="72791EB8" w14:textId="77777777" w:rsidTr="00081EB2">
        <w:trPr>
          <w:jc w:val="center"/>
        </w:trPr>
        <w:tc>
          <w:tcPr>
            <w:tcW w:w="4111" w:type="dxa"/>
            <w:shd w:val="clear" w:color="auto" w:fill="auto"/>
            <w:noWrap/>
            <w:tcMar>
              <w:top w:w="15" w:type="dxa"/>
              <w:left w:w="15" w:type="dxa"/>
              <w:bottom w:w="0" w:type="dxa"/>
              <w:right w:w="15" w:type="dxa"/>
            </w:tcMar>
            <w:vAlign w:val="center"/>
            <w:hideMark/>
          </w:tcPr>
          <w:p w14:paraId="6FB38A81" w14:textId="77777777" w:rsidR="00182CEF" w:rsidRPr="000B4332" w:rsidRDefault="00182CEF" w:rsidP="00182CEF">
            <w:pPr>
              <w:jc w:val="both"/>
              <w:rPr>
                <w:rFonts w:cs="Arial"/>
                <w:bCs/>
                <w:sz w:val="18"/>
                <w:szCs w:val="18"/>
                <w:lang w:val="en-US"/>
              </w:rPr>
            </w:pPr>
            <w:r w:rsidRPr="000B4332">
              <w:rPr>
                <w:rFonts w:cs="Arial"/>
                <w:bCs/>
                <w:sz w:val="18"/>
                <w:szCs w:val="18"/>
                <w:lang w:val="en-US"/>
              </w:rPr>
              <w:t xml:space="preserve">Net Debt </w:t>
            </w:r>
            <w:r w:rsidR="00E564ED">
              <w:rPr>
                <w:rFonts w:cs="Arial"/>
                <w:bCs/>
                <w:sz w:val="18"/>
                <w:szCs w:val="18"/>
                <w:lang w:val="en-US"/>
              </w:rPr>
              <w:t>(excluding lease liabilities)</w:t>
            </w:r>
          </w:p>
        </w:tc>
        <w:tc>
          <w:tcPr>
            <w:tcW w:w="1134" w:type="dxa"/>
            <w:shd w:val="clear" w:color="auto" w:fill="auto"/>
            <w:noWrap/>
            <w:tcMar>
              <w:top w:w="15" w:type="dxa"/>
              <w:left w:w="15" w:type="dxa"/>
              <w:bottom w:w="0" w:type="dxa"/>
              <w:right w:w="15" w:type="dxa"/>
            </w:tcMar>
            <w:vAlign w:val="center"/>
          </w:tcPr>
          <w:p w14:paraId="55D55EA3" w14:textId="77777777" w:rsidR="00182CEF" w:rsidRPr="00630759" w:rsidRDefault="00E379FF" w:rsidP="00182CEF">
            <w:pPr>
              <w:ind w:right="103"/>
              <w:jc w:val="right"/>
              <w:rPr>
                <w:rFonts w:cs="Arial"/>
                <w:sz w:val="18"/>
                <w:szCs w:val="18"/>
                <w:lang w:val="en-US"/>
              </w:rPr>
            </w:pPr>
            <w:r>
              <w:rPr>
                <w:rFonts w:cs="Arial"/>
                <w:sz w:val="18"/>
                <w:szCs w:val="18"/>
                <w:lang w:val="en-US"/>
              </w:rPr>
              <w:t>350.5</w:t>
            </w:r>
          </w:p>
        </w:tc>
        <w:tc>
          <w:tcPr>
            <w:tcW w:w="1134" w:type="dxa"/>
            <w:shd w:val="clear" w:color="auto" w:fill="auto"/>
            <w:vAlign w:val="center"/>
          </w:tcPr>
          <w:p w14:paraId="759C8314" w14:textId="77777777" w:rsidR="00182CEF" w:rsidRPr="00630759" w:rsidRDefault="00182CEF" w:rsidP="00182CEF">
            <w:pPr>
              <w:ind w:right="103"/>
              <w:jc w:val="right"/>
              <w:rPr>
                <w:rFonts w:cs="Arial"/>
                <w:sz w:val="18"/>
                <w:szCs w:val="18"/>
                <w:lang w:val="en-US"/>
              </w:rPr>
            </w:pPr>
            <w:r>
              <w:rPr>
                <w:rFonts w:cs="Arial"/>
                <w:sz w:val="18"/>
                <w:szCs w:val="18"/>
                <w:lang w:val="en-US"/>
              </w:rPr>
              <w:t>288.5</w:t>
            </w:r>
          </w:p>
        </w:tc>
        <w:tc>
          <w:tcPr>
            <w:tcW w:w="1134" w:type="dxa"/>
            <w:shd w:val="clear" w:color="auto" w:fill="auto"/>
          </w:tcPr>
          <w:p w14:paraId="105D9DBD" w14:textId="77777777" w:rsidR="00182CEF" w:rsidRPr="00630759" w:rsidRDefault="00182CEF" w:rsidP="00182CEF">
            <w:pPr>
              <w:ind w:right="103"/>
              <w:jc w:val="right"/>
              <w:rPr>
                <w:rFonts w:cs="Arial"/>
                <w:sz w:val="18"/>
                <w:szCs w:val="18"/>
                <w:lang w:val="en-US"/>
              </w:rPr>
            </w:pPr>
          </w:p>
        </w:tc>
      </w:tr>
      <w:tr w:rsidR="00182CEF" w:rsidRPr="000B4332" w14:paraId="4505A96D" w14:textId="77777777" w:rsidTr="00081EB2">
        <w:trPr>
          <w:jc w:val="center"/>
        </w:trPr>
        <w:tc>
          <w:tcPr>
            <w:tcW w:w="4111" w:type="dxa"/>
            <w:shd w:val="clear" w:color="auto" w:fill="auto"/>
            <w:noWrap/>
            <w:tcMar>
              <w:top w:w="15" w:type="dxa"/>
              <w:left w:w="15" w:type="dxa"/>
              <w:bottom w:w="0" w:type="dxa"/>
              <w:right w:w="15" w:type="dxa"/>
            </w:tcMar>
            <w:vAlign w:val="center"/>
          </w:tcPr>
          <w:p w14:paraId="2B9C687D" w14:textId="77777777" w:rsidR="00182CEF" w:rsidRPr="000B4332" w:rsidRDefault="00182CEF" w:rsidP="00182CEF">
            <w:pPr>
              <w:jc w:val="both"/>
              <w:rPr>
                <w:rFonts w:cs="Arial"/>
                <w:bCs/>
                <w:sz w:val="18"/>
                <w:szCs w:val="18"/>
                <w:lang w:val="en-US"/>
              </w:rPr>
            </w:pPr>
            <w:r w:rsidRPr="000B4332">
              <w:rPr>
                <w:rFonts w:cs="Arial"/>
                <w:bCs/>
                <w:sz w:val="18"/>
                <w:szCs w:val="18"/>
                <w:lang w:val="en-US"/>
              </w:rPr>
              <w:t xml:space="preserve">Net </w:t>
            </w:r>
            <w:proofErr w:type="spellStart"/>
            <w:proofErr w:type="gramStart"/>
            <w:r w:rsidRPr="000B4332">
              <w:rPr>
                <w:rFonts w:cs="Arial"/>
                <w:bCs/>
                <w:sz w:val="18"/>
                <w:szCs w:val="18"/>
                <w:lang w:val="en-US"/>
              </w:rPr>
              <w:t>Debt:EBITDA</w:t>
            </w:r>
            <w:proofErr w:type="spellEnd"/>
            <w:proofErr w:type="gramEnd"/>
            <w:r w:rsidRPr="000B4332">
              <w:rPr>
                <w:rFonts w:cs="Arial"/>
                <w:bCs/>
                <w:sz w:val="18"/>
                <w:szCs w:val="18"/>
                <w:lang w:val="en-US"/>
              </w:rPr>
              <w:t xml:space="preserve"> as per financing agreements</w:t>
            </w:r>
          </w:p>
        </w:tc>
        <w:tc>
          <w:tcPr>
            <w:tcW w:w="1134" w:type="dxa"/>
            <w:shd w:val="clear" w:color="auto" w:fill="auto"/>
            <w:noWrap/>
            <w:tcMar>
              <w:top w:w="15" w:type="dxa"/>
              <w:left w:w="15" w:type="dxa"/>
              <w:bottom w:w="0" w:type="dxa"/>
              <w:right w:w="15" w:type="dxa"/>
            </w:tcMar>
            <w:vAlign w:val="center"/>
          </w:tcPr>
          <w:p w14:paraId="2A614FC4" w14:textId="0A176FFD" w:rsidR="00182CEF" w:rsidRPr="00630759" w:rsidRDefault="00BF1F21">
            <w:pPr>
              <w:ind w:right="103"/>
              <w:jc w:val="right"/>
              <w:rPr>
                <w:rFonts w:cs="Arial"/>
                <w:sz w:val="18"/>
                <w:szCs w:val="18"/>
                <w:lang w:val="en-US"/>
              </w:rPr>
            </w:pPr>
            <w:r>
              <w:rPr>
                <w:rFonts w:cs="Arial"/>
                <w:sz w:val="18"/>
                <w:szCs w:val="18"/>
                <w:lang w:val="en-US"/>
              </w:rPr>
              <w:t>4.</w:t>
            </w:r>
            <w:r w:rsidR="00133A24">
              <w:rPr>
                <w:rFonts w:cs="Arial"/>
                <w:sz w:val="18"/>
                <w:szCs w:val="18"/>
                <w:lang w:val="en-US"/>
              </w:rPr>
              <w:t>4</w:t>
            </w:r>
            <w:r w:rsidR="00E358D9">
              <w:rPr>
                <w:rFonts w:cs="Arial"/>
                <w:sz w:val="18"/>
                <w:szCs w:val="18"/>
                <w:lang w:val="en-US"/>
              </w:rPr>
              <w:t>x</w:t>
            </w:r>
          </w:p>
        </w:tc>
        <w:tc>
          <w:tcPr>
            <w:tcW w:w="1134" w:type="dxa"/>
            <w:shd w:val="clear" w:color="auto" w:fill="auto"/>
            <w:vAlign w:val="center"/>
          </w:tcPr>
          <w:p w14:paraId="723DC933" w14:textId="77777777" w:rsidR="00182CEF" w:rsidRPr="00630759" w:rsidRDefault="00182CEF" w:rsidP="00182CEF">
            <w:pPr>
              <w:ind w:right="103"/>
              <w:jc w:val="right"/>
              <w:rPr>
                <w:rFonts w:cs="Arial"/>
                <w:sz w:val="18"/>
                <w:szCs w:val="18"/>
                <w:lang w:val="en-US"/>
              </w:rPr>
            </w:pPr>
            <w:r>
              <w:rPr>
                <w:rFonts w:cs="Arial"/>
                <w:sz w:val="18"/>
                <w:szCs w:val="18"/>
                <w:lang w:val="en-US"/>
              </w:rPr>
              <w:t>1.8</w:t>
            </w:r>
            <w:r w:rsidRPr="00630759">
              <w:rPr>
                <w:rFonts w:cs="Arial"/>
                <w:sz w:val="18"/>
                <w:szCs w:val="18"/>
                <w:lang w:val="en-US"/>
              </w:rPr>
              <w:t>x</w:t>
            </w:r>
          </w:p>
        </w:tc>
        <w:tc>
          <w:tcPr>
            <w:tcW w:w="1134" w:type="dxa"/>
            <w:shd w:val="clear" w:color="auto" w:fill="auto"/>
          </w:tcPr>
          <w:p w14:paraId="475C8FCE" w14:textId="77777777" w:rsidR="00182CEF" w:rsidRPr="00630759" w:rsidRDefault="00182CEF" w:rsidP="00182CEF">
            <w:pPr>
              <w:ind w:right="103"/>
              <w:jc w:val="right"/>
              <w:rPr>
                <w:rFonts w:cs="Arial"/>
                <w:sz w:val="18"/>
                <w:szCs w:val="18"/>
                <w:lang w:val="en-US"/>
              </w:rPr>
            </w:pPr>
          </w:p>
        </w:tc>
      </w:tr>
      <w:tr w:rsidR="00182CEF" w:rsidRPr="00962729" w14:paraId="0E4918FA"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0541A167" w14:textId="77777777" w:rsidR="00182CEF" w:rsidRPr="000B4332" w:rsidRDefault="00182CEF" w:rsidP="00182CEF">
            <w:pPr>
              <w:jc w:val="both"/>
              <w:rPr>
                <w:rFonts w:cs="Arial"/>
                <w:bCs/>
                <w:sz w:val="18"/>
                <w:szCs w:val="18"/>
                <w:lang w:val="en-US"/>
              </w:rPr>
            </w:pPr>
            <w:r w:rsidRPr="000B4332">
              <w:rPr>
                <w:rFonts w:cs="Arial"/>
                <w:bCs/>
                <w:sz w:val="18"/>
                <w:szCs w:val="18"/>
                <w:lang w:val="en-US"/>
              </w:rPr>
              <w:t>Return on Invested Capital (“ROIC”)</w:t>
            </w:r>
          </w:p>
        </w:tc>
        <w:tc>
          <w:tcPr>
            <w:tcW w:w="1134" w:type="dxa"/>
            <w:shd w:val="clear" w:color="auto" w:fill="auto"/>
            <w:noWrap/>
            <w:tcMar>
              <w:top w:w="15" w:type="dxa"/>
              <w:left w:w="15" w:type="dxa"/>
              <w:bottom w:w="0" w:type="dxa"/>
              <w:right w:w="15" w:type="dxa"/>
            </w:tcMar>
            <w:vAlign w:val="center"/>
          </w:tcPr>
          <w:p w14:paraId="41D9A7FC" w14:textId="77777777" w:rsidR="00182CEF" w:rsidRPr="00630759" w:rsidRDefault="00D44EA4" w:rsidP="00271DC6">
            <w:pPr>
              <w:ind w:right="103"/>
              <w:jc w:val="right"/>
              <w:rPr>
                <w:rFonts w:cs="Arial"/>
                <w:sz w:val="18"/>
                <w:szCs w:val="18"/>
                <w:lang w:val="en-US"/>
              </w:rPr>
            </w:pPr>
            <w:r>
              <w:rPr>
                <w:rFonts w:cs="Arial"/>
                <w:sz w:val="18"/>
                <w:szCs w:val="18"/>
                <w:lang w:val="en-US"/>
              </w:rPr>
              <w:t>4.</w:t>
            </w:r>
            <w:r w:rsidR="00A42495">
              <w:rPr>
                <w:rFonts w:cs="Arial"/>
                <w:sz w:val="18"/>
                <w:szCs w:val="18"/>
                <w:lang w:val="en-US"/>
              </w:rPr>
              <w:t>1</w:t>
            </w:r>
            <w:r>
              <w:rPr>
                <w:rFonts w:cs="Arial"/>
                <w:sz w:val="18"/>
                <w:szCs w:val="18"/>
                <w:lang w:val="en-US"/>
              </w:rPr>
              <w:t>%</w:t>
            </w:r>
          </w:p>
        </w:tc>
        <w:tc>
          <w:tcPr>
            <w:tcW w:w="1134" w:type="dxa"/>
            <w:shd w:val="clear" w:color="auto" w:fill="auto"/>
            <w:vAlign w:val="center"/>
          </w:tcPr>
          <w:p w14:paraId="560E57E5" w14:textId="77777777" w:rsidR="00182CEF" w:rsidRPr="00630759" w:rsidRDefault="00182CEF" w:rsidP="00182CEF">
            <w:pPr>
              <w:ind w:right="103"/>
              <w:jc w:val="right"/>
              <w:rPr>
                <w:rFonts w:cs="Arial"/>
                <w:sz w:val="18"/>
                <w:szCs w:val="18"/>
                <w:lang w:val="en-US"/>
              </w:rPr>
            </w:pPr>
            <w:r>
              <w:rPr>
                <w:rFonts w:cs="Arial"/>
                <w:sz w:val="18"/>
                <w:szCs w:val="18"/>
                <w:lang w:val="en-US"/>
              </w:rPr>
              <w:t>14.4</w:t>
            </w:r>
            <w:r w:rsidRPr="00630759">
              <w:rPr>
                <w:rFonts w:cs="Arial"/>
                <w:sz w:val="18"/>
                <w:szCs w:val="18"/>
                <w:lang w:val="en-US"/>
              </w:rPr>
              <w:t>%</w:t>
            </w:r>
          </w:p>
        </w:tc>
        <w:tc>
          <w:tcPr>
            <w:tcW w:w="1134" w:type="dxa"/>
            <w:shd w:val="clear" w:color="auto" w:fill="auto"/>
          </w:tcPr>
          <w:p w14:paraId="7F4ED4DD" w14:textId="77777777" w:rsidR="00182CEF" w:rsidRPr="00630759" w:rsidRDefault="00182CEF" w:rsidP="00182CEF">
            <w:pPr>
              <w:ind w:right="103"/>
              <w:jc w:val="right"/>
              <w:rPr>
                <w:rFonts w:cs="Arial"/>
                <w:sz w:val="18"/>
                <w:szCs w:val="18"/>
                <w:lang w:val="en-US"/>
              </w:rPr>
            </w:pPr>
          </w:p>
        </w:tc>
      </w:tr>
      <w:tr w:rsidR="00081EB2" w:rsidRPr="00962729" w14:paraId="0F9F949E" w14:textId="77777777" w:rsidTr="00081EB2">
        <w:trPr>
          <w:trHeight w:val="58"/>
          <w:jc w:val="center"/>
        </w:trPr>
        <w:tc>
          <w:tcPr>
            <w:tcW w:w="4111" w:type="dxa"/>
            <w:shd w:val="clear" w:color="auto" w:fill="auto"/>
            <w:noWrap/>
            <w:tcMar>
              <w:top w:w="15" w:type="dxa"/>
              <w:left w:w="15" w:type="dxa"/>
              <w:bottom w:w="0" w:type="dxa"/>
              <w:right w:w="15" w:type="dxa"/>
            </w:tcMar>
            <w:vAlign w:val="center"/>
          </w:tcPr>
          <w:p w14:paraId="254FD782" w14:textId="77777777" w:rsidR="00081EB2" w:rsidRPr="00962729" w:rsidRDefault="00081EB2" w:rsidP="00081EB2">
            <w:pPr>
              <w:jc w:val="both"/>
              <w:rPr>
                <w:rFonts w:cs="Arial"/>
                <w:bCs/>
                <w:sz w:val="18"/>
                <w:szCs w:val="18"/>
                <w:lang w:val="en-US"/>
              </w:rPr>
            </w:pPr>
          </w:p>
        </w:tc>
        <w:tc>
          <w:tcPr>
            <w:tcW w:w="1134" w:type="dxa"/>
            <w:shd w:val="clear" w:color="auto" w:fill="auto"/>
            <w:noWrap/>
            <w:tcMar>
              <w:top w:w="15" w:type="dxa"/>
              <w:left w:w="15" w:type="dxa"/>
              <w:bottom w:w="0" w:type="dxa"/>
              <w:right w:w="15" w:type="dxa"/>
            </w:tcMar>
            <w:vAlign w:val="center"/>
          </w:tcPr>
          <w:p w14:paraId="030B61E8" w14:textId="77777777" w:rsidR="00081EB2" w:rsidRDefault="00081EB2" w:rsidP="00081EB2">
            <w:pPr>
              <w:ind w:right="103"/>
              <w:jc w:val="right"/>
              <w:rPr>
                <w:rFonts w:cs="Arial"/>
                <w:sz w:val="18"/>
                <w:szCs w:val="18"/>
                <w:lang w:val="en-US"/>
              </w:rPr>
            </w:pPr>
          </w:p>
        </w:tc>
        <w:tc>
          <w:tcPr>
            <w:tcW w:w="1134" w:type="dxa"/>
            <w:shd w:val="clear" w:color="auto" w:fill="auto"/>
            <w:vAlign w:val="center"/>
          </w:tcPr>
          <w:p w14:paraId="66B7C64A" w14:textId="77777777" w:rsidR="00081EB2" w:rsidRDefault="00081EB2" w:rsidP="00081EB2">
            <w:pPr>
              <w:ind w:right="103"/>
              <w:jc w:val="right"/>
              <w:rPr>
                <w:rFonts w:cs="Arial"/>
                <w:sz w:val="18"/>
                <w:szCs w:val="18"/>
                <w:lang w:val="en-US"/>
              </w:rPr>
            </w:pPr>
          </w:p>
        </w:tc>
        <w:tc>
          <w:tcPr>
            <w:tcW w:w="1134" w:type="dxa"/>
            <w:shd w:val="clear" w:color="auto" w:fill="auto"/>
          </w:tcPr>
          <w:p w14:paraId="333EE9E4" w14:textId="77777777" w:rsidR="00081EB2" w:rsidRPr="00962729" w:rsidRDefault="00081EB2" w:rsidP="00081EB2">
            <w:pPr>
              <w:ind w:right="103"/>
              <w:jc w:val="right"/>
              <w:rPr>
                <w:rFonts w:cs="Arial"/>
                <w:sz w:val="18"/>
                <w:szCs w:val="18"/>
                <w:lang w:val="en-US"/>
              </w:rPr>
            </w:pPr>
          </w:p>
        </w:tc>
      </w:tr>
    </w:tbl>
    <w:p w14:paraId="78151B21" w14:textId="77777777" w:rsidR="00081EB2" w:rsidRDefault="00081EB2" w:rsidP="00081EB2"/>
    <w:p w14:paraId="5CBEC7DC" w14:textId="77777777" w:rsidR="00081EB2" w:rsidRPr="00E512C6" w:rsidRDefault="00081EB2" w:rsidP="00081EB2">
      <w:pPr>
        <w:jc w:val="both"/>
        <w:rPr>
          <w:rFonts w:cs="Arial"/>
          <w:b/>
          <w:sz w:val="20"/>
          <w:szCs w:val="18"/>
        </w:rPr>
      </w:pPr>
      <w:r w:rsidRPr="00E512C6">
        <w:rPr>
          <w:rFonts w:cs="Arial"/>
          <w:b/>
          <w:sz w:val="20"/>
          <w:szCs w:val="18"/>
        </w:rPr>
        <w:t>Commenting on the results, Patrick Coveney, Chief Executive Officer, said:</w:t>
      </w:r>
      <w:r w:rsidRPr="00670490">
        <w:rPr>
          <w:rFonts w:cs="Arial"/>
          <w:noProof/>
          <w:sz w:val="18"/>
          <w:szCs w:val="18"/>
        </w:rPr>
        <w:t xml:space="preserve"> </w:t>
      </w:r>
    </w:p>
    <w:p w14:paraId="1E061AF7" w14:textId="77777777" w:rsidR="00081EB2" w:rsidRDefault="00081EB2" w:rsidP="00081EB2">
      <w:pPr>
        <w:jc w:val="both"/>
        <w:rPr>
          <w:rFonts w:cs="Arial"/>
          <w:sz w:val="18"/>
          <w:szCs w:val="18"/>
        </w:rPr>
      </w:pPr>
    </w:p>
    <w:p w14:paraId="618AC95A" w14:textId="77777777" w:rsidR="00010E54" w:rsidRPr="00010E54" w:rsidRDefault="00010E54" w:rsidP="00010E54">
      <w:pPr>
        <w:jc w:val="both"/>
        <w:rPr>
          <w:rFonts w:cs="Arial"/>
          <w:i/>
          <w:sz w:val="18"/>
          <w:szCs w:val="18"/>
        </w:rPr>
      </w:pPr>
      <w:r w:rsidRPr="00010E54">
        <w:rPr>
          <w:rFonts w:cs="Arial"/>
          <w:i/>
          <w:sz w:val="18"/>
          <w:szCs w:val="18"/>
        </w:rPr>
        <w:t>“This has been an exceptionally challenging year for Greencore, and I am enormously proud of the resilience and adaptability that our colleagues have shown in helping to navigate the business through the toughest trading conditions it has ever seen. Having been designated as ‘key workers’, Greencore colleagues have played an instrumental role in helping to feed the UK, and their health and wellbeing remains our number one priority.</w:t>
      </w:r>
    </w:p>
    <w:p w14:paraId="245B5BD6" w14:textId="77777777" w:rsidR="00010E54" w:rsidRPr="00010E54" w:rsidRDefault="00010E54" w:rsidP="00010E54">
      <w:pPr>
        <w:jc w:val="both"/>
        <w:rPr>
          <w:rFonts w:cs="Arial"/>
          <w:i/>
          <w:sz w:val="18"/>
          <w:szCs w:val="18"/>
        </w:rPr>
      </w:pPr>
    </w:p>
    <w:p w14:paraId="5FDEE7EC" w14:textId="77777777" w:rsidR="00010E54" w:rsidRPr="00010E54" w:rsidRDefault="00010E54" w:rsidP="00010E54">
      <w:pPr>
        <w:jc w:val="both"/>
        <w:rPr>
          <w:rFonts w:cs="Arial"/>
          <w:i/>
          <w:sz w:val="18"/>
          <w:szCs w:val="18"/>
        </w:rPr>
      </w:pPr>
      <w:r w:rsidRPr="00010E54">
        <w:rPr>
          <w:rFonts w:cs="Arial"/>
          <w:i/>
          <w:sz w:val="18"/>
          <w:szCs w:val="18"/>
        </w:rPr>
        <w:t xml:space="preserve">There is a direct correlation between the performance of food to go and the nation’s ability to move around freely. As a result, that part of our business has been significantly impacted by the social restrictions that have been put in place </w:t>
      </w:r>
      <w:proofErr w:type="gramStart"/>
      <w:r w:rsidRPr="00010E54">
        <w:rPr>
          <w:rFonts w:cs="Arial"/>
          <w:i/>
          <w:sz w:val="18"/>
          <w:szCs w:val="18"/>
        </w:rPr>
        <w:t>as a result of</w:t>
      </w:r>
      <w:proofErr w:type="gramEnd"/>
      <w:r w:rsidRPr="00010E54">
        <w:rPr>
          <w:rFonts w:cs="Arial"/>
          <w:i/>
          <w:sz w:val="18"/>
          <w:szCs w:val="18"/>
        </w:rPr>
        <w:t xml:space="preserve"> COVID-19. However, we remain confident that demand for our food to go categories will recover strongly as the effect of COVID-19 recedes, and were encouraged by the uplift in demand that we saw in Q4 as the UK economy slowly reopened. </w:t>
      </w:r>
    </w:p>
    <w:p w14:paraId="05743802" w14:textId="77777777" w:rsidR="00010E54" w:rsidRPr="00010E54" w:rsidRDefault="00010E54" w:rsidP="00010E54">
      <w:pPr>
        <w:jc w:val="both"/>
        <w:rPr>
          <w:rFonts w:cs="Arial"/>
          <w:i/>
          <w:sz w:val="18"/>
          <w:szCs w:val="18"/>
        </w:rPr>
      </w:pPr>
    </w:p>
    <w:p w14:paraId="56954E16" w14:textId="686CAA56" w:rsidR="00010E54" w:rsidRPr="00010E54" w:rsidRDefault="00010E54" w:rsidP="00010E54">
      <w:pPr>
        <w:jc w:val="both"/>
        <w:rPr>
          <w:rFonts w:cs="Arial"/>
          <w:i/>
          <w:sz w:val="18"/>
          <w:szCs w:val="18"/>
        </w:rPr>
      </w:pPr>
      <w:r w:rsidRPr="00010E54">
        <w:rPr>
          <w:rFonts w:cs="Arial"/>
          <w:i/>
          <w:sz w:val="18"/>
          <w:szCs w:val="18"/>
        </w:rPr>
        <w:t xml:space="preserve">Throughout the year we have acted quickly and decisively to put in place comprehensive sets of measures to mitigate the impact of COVID-19 on our business. However, </w:t>
      </w:r>
      <w:proofErr w:type="gramStart"/>
      <w:r w:rsidRPr="00010E54">
        <w:rPr>
          <w:rFonts w:cs="Arial"/>
          <w:i/>
          <w:sz w:val="18"/>
          <w:szCs w:val="18"/>
        </w:rPr>
        <w:t>in light of</w:t>
      </w:r>
      <w:proofErr w:type="gramEnd"/>
      <w:r w:rsidRPr="00010E54">
        <w:rPr>
          <w:rFonts w:cs="Arial"/>
          <w:i/>
          <w:sz w:val="18"/>
          <w:szCs w:val="18"/>
        </w:rPr>
        <w:t xml:space="preserve"> the ongoing uncertainty that is being caused by the current lockdown measures, there is a strong rationale </w:t>
      </w:r>
      <w:r w:rsidRPr="00010E54">
        <w:rPr>
          <w:rFonts w:cs="Arial"/>
          <w:i/>
          <w:sz w:val="18"/>
          <w:szCs w:val="18"/>
        </w:rPr>
        <w:lastRenderedPageBreak/>
        <w:t>in further strengthening our balance sheet. Today’s proposed Placing achieves this.</w:t>
      </w:r>
    </w:p>
    <w:p w14:paraId="38E18606" w14:textId="77777777" w:rsidR="00010E54" w:rsidRPr="00010E54" w:rsidRDefault="00010E54" w:rsidP="00010E54">
      <w:pPr>
        <w:jc w:val="both"/>
        <w:rPr>
          <w:rFonts w:cs="Arial"/>
          <w:i/>
          <w:sz w:val="18"/>
          <w:szCs w:val="18"/>
        </w:rPr>
      </w:pPr>
    </w:p>
    <w:p w14:paraId="6B45399D" w14:textId="5DDDB7BC" w:rsidR="00081EB2" w:rsidRDefault="00010E54" w:rsidP="00010E54">
      <w:pPr>
        <w:jc w:val="both"/>
        <w:rPr>
          <w:rFonts w:cs="Arial"/>
          <w:sz w:val="18"/>
          <w:szCs w:val="18"/>
        </w:rPr>
      </w:pPr>
      <w:r w:rsidRPr="00010E54">
        <w:rPr>
          <w:rFonts w:cs="Arial"/>
          <w:i/>
          <w:sz w:val="18"/>
          <w:szCs w:val="18"/>
        </w:rPr>
        <w:t xml:space="preserve">Despite the ongoing uncertainty, we have still been able to secure new business and extend our product range during FY20, and our </w:t>
      </w:r>
      <w:r w:rsidR="00501E35">
        <w:rPr>
          <w:rFonts w:cs="Arial"/>
          <w:i/>
          <w:sz w:val="18"/>
          <w:szCs w:val="18"/>
        </w:rPr>
        <w:t xml:space="preserve">other convenience </w:t>
      </w:r>
      <w:r w:rsidRPr="00010E54">
        <w:rPr>
          <w:rFonts w:cs="Arial"/>
          <w:i/>
          <w:sz w:val="18"/>
          <w:szCs w:val="18"/>
        </w:rPr>
        <w:t>categories have delivered a solid performance. Furthermore, our relationships with our customers are stronger than ever before, having worked in close collaboration with them throughout the pandemic, and they remain firmly committed to the categories in which we operate. As such, notwithstanding the near-term challenges, we are optimistic about the medium-term prospects for Greencore.”</w:t>
      </w:r>
      <w:r w:rsidRPr="00010E54" w:rsidDel="00901CDB">
        <w:rPr>
          <w:rFonts w:cs="Arial"/>
          <w:i/>
          <w:sz w:val="18"/>
          <w:szCs w:val="18"/>
        </w:rPr>
        <w:t xml:space="preserve"> </w:t>
      </w:r>
    </w:p>
    <w:p w14:paraId="59C02B9A" w14:textId="77777777" w:rsidR="00081EB2" w:rsidRPr="0059656F" w:rsidRDefault="00081EB2" w:rsidP="00081EB2">
      <w:pPr>
        <w:rPr>
          <w:rFonts w:cs="Arial"/>
          <w:b/>
          <w:sz w:val="18"/>
          <w:szCs w:val="18"/>
        </w:rPr>
      </w:pPr>
      <w:r w:rsidRPr="001028A0">
        <w:rPr>
          <w:rFonts w:cs="Arial"/>
          <w:b/>
          <w:sz w:val="18"/>
          <w:szCs w:val="18"/>
        </w:rPr>
        <w:t>__________________________________________________________________________________</w:t>
      </w:r>
      <w:r>
        <w:rPr>
          <w:rFonts w:cs="Arial"/>
          <w:b/>
          <w:sz w:val="18"/>
          <w:szCs w:val="18"/>
        </w:rPr>
        <w:t>_________________</w:t>
      </w:r>
      <w:r w:rsidR="00F44A1D">
        <w:rPr>
          <w:rFonts w:cs="Arial"/>
          <w:b/>
          <w:sz w:val="18"/>
          <w:szCs w:val="18"/>
        </w:rPr>
        <w:t>________________</w:t>
      </w:r>
    </w:p>
    <w:p w14:paraId="3C559E9E" w14:textId="77777777" w:rsidR="00081EB2" w:rsidRDefault="00081EB2" w:rsidP="00081EB2">
      <w:pPr>
        <w:adjustRightInd w:val="0"/>
        <w:jc w:val="both"/>
        <w:rPr>
          <w:sz w:val="16"/>
          <w:szCs w:val="16"/>
        </w:rPr>
      </w:pPr>
      <w:r w:rsidRPr="006048FA">
        <w:rPr>
          <w:sz w:val="16"/>
          <w:szCs w:val="16"/>
          <w:vertAlign w:val="superscript"/>
        </w:rPr>
        <w:t xml:space="preserve">1 </w:t>
      </w:r>
      <w:r w:rsidRPr="006048FA">
        <w:rPr>
          <w:sz w:val="16"/>
          <w:szCs w:val="16"/>
        </w:rPr>
        <w:t xml:space="preserve">The Group uses Alternative Performance Measures ('APMs') which are non-IFRS measures to monitor the performance of its operations and of the Group as a whole. These APMs along with their definitions are provided </w:t>
      </w:r>
      <w:r>
        <w:rPr>
          <w:sz w:val="16"/>
          <w:szCs w:val="16"/>
        </w:rPr>
        <w:t>in the Appendix to the Full Year Results Statement.</w:t>
      </w:r>
    </w:p>
    <w:p w14:paraId="5A5DEDAB" w14:textId="6FD03AA4" w:rsidR="006B4ED6" w:rsidRDefault="00E379FF" w:rsidP="00E379FF">
      <w:pPr>
        <w:adjustRightInd w:val="0"/>
        <w:jc w:val="both"/>
        <w:rPr>
          <w:sz w:val="16"/>
          <w:szCs w:val="16"/>
        </w:rPr>
      </w:pPr>
      <w:r>
        <w:rPr>
          <w:sz w:val="16"/>
          <w:szCs w:val="16"/>
          <w:vertAlign w:val="superscript"/>
        </w:rPr>
        <w:t>2</w:t>
      </w:r>
      <w:r w:rsidRPr="006048FA">
        <w:rPr>
          <w:sz w:val="16"/>
          <w:szCs w:val="16"/>
          <w:vertAlign w:val="superscript"/>
        </w:rPr>
        <w:t xml:space="preserve"> </w:t>
      </w:r>
      <w:r w:rsidRPr="00504172">
        <w:rPr>
          <w:sz w:val="16"/>
          <w:szCs w:val="16"/>
        </w:rPr>
        <w:t>Net Debt</w:t>
      </w:r>
      <w:r w:rsidR="006F671F">
        <w:rPr>
          <w:sz w:val="16"/>
          <w:szCs w:val="16"/>
        </w:rPr>
        <w:t xml:space="preserve"> (excluding lease liabilities)</w:t>
      </w:r>
      <w:r w:rsidRPr="00504172">
        <w:rPr>
          <w:sz w:val="16"/>
          <w:szCs w:val="16"/>
        </w:rPr>
        <w:t xml:space="preserve"> includes a £5.9m modification </w:t>
      </w:r>
      <w:r w:rsidR="005B1460" w:rsidRPr="00504172">
        <w:rPr>
          <w:sz w:val="16"/>
          <w:szCs w:val="16"/>
        </w:rPr>
        <w:t>charge</w:t>
      </w:r>
      <w:r w:rsidRPr="00504172">
        <w:rPr>
          <w:sz w:val="16"/>
          <w:szCs w:val="16"/>
        </w:rPr>
        <w:t xml:space="preserve"> </w:t>
      </w:r>
      <w:r w:rsidR="00504172">
        <w:rPr>
          <w:sz w:val="16"/>
          <w:szCs w:val="16"/>
        </w:rPr>
        <w:t xml:space="preserve">in the income statement in the year, </w:t>
      </w:r>
      <w:r w:rsidR="00010E54" w:rsidRPr="00010E54">
        <w:rPr>
          <w:sz w:val="16"/>
          <w:szCs w:val="16"/>
        </w:rPr>
        <w:t>reflecting the incremental interest costs that will be incurred by the Group in future periods as a re</w:t>
      </w:r>
      <w:r w:rsidR="00010E54">
        <w:rPr>
          <w:sz w:val="16"/>
          <w:szCs w:val="16"/>
        </w:rPr>
        <w:t xml:space="preserve">sult of the covenant amendments </w:t>
      </w:r>
      <w:r w:rsidR="00DE30F3">
        <w:rPr>
          <w:sz w:val="16"/>
          <w:szCs w:val="16"/>
        </w:rPr>
        <w:t>(refer to Note 7)</w:t>
      </w:r>
      <w:r>
        <w:rPr>
          <w:sz w:val="16"/>
          <w:szCs w:val="16"/>
        </w:rPr>
        <w:t>. Net Debt for the purpose of calculating leverage under the Group’s financing agreements was £344.6m</w:t>
      </w:r>
      <w:r w:rsidR="001F03E5">
        <w:rPr>
          <w:sz w:val="16"/>
          <w:szCs w:val="16"/>
        </w:rPr>
        <w:t>.</w:t>
      </w:r>
      <w:r w:rsidR="006B4ED6">
        <w:rPr>
          <w:sz w:val="16"/>
          <w:szCs w:val="16"/>
        </w:rPr>
        <w:t xml:space="preserve"> </w:t>
      </w:r>
      <w:r w:rsidR="003E5493">
        <w:rPr>
          <w:sz w:val="16"/>
          <w:szCs w:val="16"/>
        </w:rPr>
        <w:t xml:space="preserve"> </w:t>
      </w:r>
    </w:p>
    <w:p w14:paraId="607393C8" w14:textId="77777777" w:rsidR="00115113" w:rsidRDefault="00115113" w:rsidP="00115113">
      <w:pPr>
        <w:adjustRightInd w:val="0"/>
        <w:jc w:val="both"/>
        <w:rPr>
          <w:sz w:val="16"/>
          <w:szCs w:val="16"/>
        </w:rPr>
      </w:pPr>
    </w:p>
    <w:p w14:paraId="5048BCA2" w14:textId="7F8BB6ED" w:rsidR="00F45CD1" w:rsidRDefault="00557FDA" w:rsidP="006B1CD2">
      <w:pPr>
        <w:spacing w:after="120"/>
        <w:jc w:val="both"/>
        <w:rPr>
          <w:sz w:val="16"/>
          <w:szCs w:val="16"/>
        </w:rPr>
      </w:pPr>
      <w:r>
        <w:rPr>
          <w:rFonts w:cs="Arial"/>
          <w:b/>
          <w:sz w:val="20"/>
          <w:szCs w:val="18"/>
        </w:rPr>
        <w:t xml:space="preserve">PROPOSED </w:t>
      </w:r>
      <w:r w:rsidR="00B87BAD">
        <w:rPr>
          <w:rFonts w:cs="Arial"/>
          <w:b/>
          <w:sz w:val="20"/>
          <w:szCs w:val="18"/>
        </w:rPr>
        <w:t>EQUITY PLACING</w:t>
      </w:r>
    </w:p>
    <w:p w14:paraId="70FE54BA" w14:textId="01C5AB34" w:rsidR="00BC3F98" w:rsidRDefault="007F11AD" w:rsidP="00BC3F98">
      <w:pPr>
        <w:spacing w:after="120"/>
        <w:jc w:val="both"/>
        <w:rPr>
          <w:rFonts w:cs="Arial"/>
          <w:sz w:val="18"/>
          <w:szCs w:val="18"/>
        </w:rPr>
      </w:pPr>
      <w:r w:rsidRPr="005771B0">
        <w:rPr>
          <w:rFonts w:cs="Arial"/>
          <w:sz w:val="18"/>
          <w:szCs w:val="18"/>
        </w:rPr>
        <w:t xml:space="preserve">The Group has separately announced today a non-pre-emptive equity placing of new </w:t>
      </w:r>
      <w:r w:rsidR="00355A8F" w:rsidRPr="005771B0">
        <w:rPr>
          <w:rFonts w:cs="Arial"/>
          <w:sz w:val="18"/>
          <w:szCs w:val="18"/>
        </w:rPr>
        <w:t>ordinary s</w:t>
      </w:r>
      <w:r w:rsidRPr="005771B0">
        <w:rPr>
          <w:rFonts w:cs="Arial"/>
          <w:sz w:val="18"/>
          <w:szCs w:val="18"/>
        </w:rPr>
        <w:t xml:space="preserve">hare targeting gross proceeds of up to £90m as part of the suite of operational financing measures to protect and support growth in the business. </w:t>
      </w:r>
      <w:r w:rsidR="00BC3F98">
        <w:rPr>
          <w:rFonts w:cs="Arial"/>
          <w:sz w:val="18"/>
          <w:szCs w:val="18"/>
        </w:rPr>
        <w:t>The Group</w:t>
      </w:r>
      <w:r w:rsidR="00BC3F98" w:rsidRPr="00CB2DB8">
        <w:rPr>
          <w:rFonts w:cs="Arial"/>
          <w:sz w:val="18"/>
          <w:szCs w:val="18"/>
        </w:rPr>
        <w:t xml:space="preserve"> consulted with </w:t>
      </w:r>
      <w:proofErr w:type="gramStart"/>
      <w:r w:rsidR="00BC3F98" w:rsidRPr="00CB2DB8">
        <w:rPr>
          <w:rFonts w:cs="Arial"/>
          <w:sz w:val="18"/>
          <w:szCs w:val="18"/>
        </w:rPr>
        <w:t>a number of</w:t>
      </w:r>
      <w:proofErr w:type="gramEnd"/>
      <w:r w:rsidR="00BC3F98" w:rsidRPr="00CB2DB8">
        <w:rPr>
          <w:rFonts w:cs="Arial"/>
          <w:sz w:val="18"/>
          <w:szCs w:val="18"/>
        </w:rPr>
        <w:t xml:space="preserve"> </w:t>
      </w:r>
      <w:r w:rsidR="00BC3F98">
        <w:rPr>
          <w:rFonts w:cs="Arial"/>
          <w:sz w:val="18"/>
          <w:szCs w:val="18"/>
        </w:rPr>
        <w:t xml:space="preserve">its </w:t>
      </w:r>
      <w:r w:rsidR="00BC3F98" w:rsidRPr="00CB2DB8">
        <w:rPr>
          <w:rFonts w:cs="Arial"/>
          <w:sz w:val="18"/>
          <w:szCs w:val="18"/>
        </w:rPr>
        <w:t xml:space="preserve">major shareholders on the rationale for, and the structure of, the </w:t>
      </w:r>
      <w:r w:rsidR="00BC3F98">
        <w:rPr>
          <w:rFonts w:cs="Arial"/>
          <w:sz w:val="18"/>
          <w:szCs w:val="18"/>
        </w:rPr>
        <w:t>proposed P</w:t>
      </w:r>
      <w:r w:rsidR="00BC3F98" w:rsidRPr="00CB2DB8">
        <w:rPr>
          <w:rFonts w:cs="Arial"/>
          <w:sz w:val="18"/>
          <w:szCs w:val="18"/>
        </w:rPr>
        <w:t xml:space="preserve">lacing prior to this announcement. </w:t>
      </w:r>
      <w:r w:rsidR="00BC3F98">
        <w:rPr>
          <w:rFonts w:cs="Arial"/>
          <w:sz w:val="18"/>
          <w:szCs w:val="18"/>
        </w:rPr>
        <w:t>The P</w:t>
      </w:r>
      <w:r w:rsidR="00BC3F98" w:rsidRPr="00442FFE">
        <w:rPr>
          <w:rFonts w:cs="Arial"/>
          <w:sz w:val="18"/>
          <w:szCs w:val="18"/>
        </w:rPr>
        <w:t>lacing structure has been chosen as it minimises cost, time to completion and management distraction during an unprecedented time for the Group. The consultation has confirmed the B</w:t>
      </w:r>
      <w:r w:rsidR="00BC3F98">
        <w:rPr>
          <w:rFonts w:cs="Arial"/>
          <w:sz w:val="18"/>
          <w:szCs w:val="18"/>
        </w:rPr>
        <w:t>oard's unanimous view that the P</w:t>
      </w:r>
      <w:r w:rsidR="00BC3F98" w:rsidRPr="00442FFE">
        <w:rPr>
          <w:rFonts w:cs="Arial"/>
          <w:sz w:val="18"/>
          <w:szCs w:val="18"/>
        </w:rPr>
        <w:t xml:space="preserve">lacing is in the best interest of shareholders, as well as </w:t>
      </w:r>
      <w:r w:rsidR="00BC3F98">
        <w:rPr>
          <w:rFonts w:cs="Arial"/>
          <w:sz w:val="18"/>
          <w:szCs w:val="18"/>
        </w:rPr>
        <w:t xml:space="preserve">wider stakeholders in </w:t>
      </w:r>
      <w:r w:rsidR="00557FDA">
        <w:rPr>
          <w:rFonts w:cs="Arial"/>
          <w:sz w:val="18"/>
          <w:szCs w:val="18"/>
        </w:rPr>
        <w:t>Greencore</w:t>
      </w:r>
      <w:r w:rsidR="00BC3F98">
        <w:rPr>
          <w:rFonts w:cs="Arial"/>
          <w:sz w:val="18"/>
          <w:szCs w:val="18"/>
        </w:rPr>
        <w:t xml:space="preserve">. </w:t>
      </w:r>
      <w:r w:rsidR="00BC3F98" w:rsidRPr="00CB2DB8">
        <w:rPr>
          <w:rFonts w:cs="Arial"/>
          <w:sz w:val="18"/>
          <w:szCs w:val="18"/>
        </w:rPr>
        <w:t xml:space="preserve">Directors and members of </w:t>
      </w:r>
      <w:r w:rsidR="00BC3F98">
        <w:rPr>
          <w:rFonts w:cs="Arial"/>
          <w:sz w:val="18"/>
          <w:szCs w:val="18"/>
        </w:rPr>
        <w:t>the Group’s</w:t>
      </w:r>
      <w:r w:rsidR="00BC3F98" w:rsidRPr="00CB2DB8">
        <w:rPr>
          <w:rFonts w:cs="Arial"/>
          <w:sz w:val="18"/>
          <w:szCs w:val="18"/>
        </w:rPr>
        <w:t xml:space="preserve"> senior management team will be par</w:t>
      </w:r>
      <w:r w:rsidR="00BC3F98" w:rsidRPr="008A7D73">
        <w:rPr>
          <w:rFonts w:cs="Arial"/>
          <w:sz w:val="18"/>
          <w:szCs w:val="18"/>
        </w:rPr>
        <w:t xml:space="preserve">ticipating alongside the </w:t>
      </w:r>
      <w:r w:rsidR="00BC3F98" w:rsidRPr="00CB2DB8">
        <w:rPr>
          <w:rFonts w:cs="Arial"/>
          <w:sz w:val="18"/>
          <w:szCs w:val="18"/>
        </w:rPr>
        <w:t>placing and intend to contrib</w:t>
      </w:r>
      <w:r w:rsidR="00BC3F98">
        <w:rPr>
          <w:rFonts w:cs="Arial"/>
          <w:sz w:val="18"/>
          <w:szCs w:val="18"/>
        </w:rPr>
        <w:t>ute around £</w:t>
      </w:r>
      <w:r w:rsidR="007903A4">
        <w:rPr>
          <w:rFonts w:cs="Arial"/>
          <w:sz w:val="18"/>
          <w:szCs w:val="18"/>
        </w:rPr>
        <w:t xml:space="preserve">0.7m </w:t>
      </w:r>
      <w:r w:rsidR="00BC3F98" w:rsidRPr="00442FFE">
        <w:rPr>
          <w:rFonts w:cs="Arial"/>
          <w:sz w:val="18"/>
          <w:szCs w:val="18"/>
        </w:rPr>
        <w:t>in total.</w:t>
      </w:r>
    </w:p>
    <w:p w14:paraId="083DA0EA" w14:textId="77777777" w:rsidR="006B1CD2" w:rsidRDefault="006B1CD2" w:rsidP="006B1CD2">
      <w:pPr>
        <w:spacing w:after="120"/>
        <w:jc w:val="both"/>
        <w:rPr>
          <w:rFonts w:cs="Arial"/>
          <w:b/>
          <w:sz w:val="20"/>
          <w:szCs w:val="18"/>
        </w:rPr>
      </w:pPr>
      <w:r>
        <w:rPr>
          <w:rFonts w:cs="Arial"/>
          <w:b/>
          <w:sz w:val="20"/>
          <w:szCs w:val="18"/>
        </w:rPr>
        <w:t>COVID-19 UPDATE</w:t>
      </w:r>
      <w:r w:rsidR="00C4080F">
        <w:rPr>
          <w:rFonts w:cs="Arial"/>
          <w:b/>
          <w:sz w:val="20"/>
          <w:szCs w:val="18"/>
          <w:vertAlign w:val="superscript"/>
        </w:rPr>
        <w:t>1</w:t>
      </w:r>
      <w:r w:rsidR="006B4ED6">
        <w:rPr>
          <w:rFonts w:cs="Arial"/>
          <w:b/>
          <w:sz w:val="20"/>
          <w:szCs w:val="18"/>
          <w:vertAlign w:val="superscript"/>
        </w:rPr>
        <w:t>,2</w:t>
      </w:r>
    </w:p>
    <w:p w14:paraId="3F52F006" w14:textId="0B2E6BE9" w:rsidR="008F2433" w:rsidRDefault="00115113" w:rsidP="003175D6">
      <w:pPr>
        <w:tabs>
          <w:tab w:val="num" w:pos="426"/>
        </w:tabs>
        <w:jc w:val="both"/>
        <w:rPr>
          <w:rFonts w:cs="Arial"/>
          <w:sz w:val="18"/>
          <w:szCs w:val="18"/>
        </w:rPr>
      </w:pPr>
      <w:r>
        <w:rPr>
          <w:rFonts w:cs="Arial"/>
          <w:sz w:val="18"/>
          <w:szCs w:val="18"/>
        </w:rPr>
        <w:t xml:space="preserve">The Group </w:t>
      </w:r>
      <w:r w:rsidR="000454DA">
        <w:rPr>
          <w:rFonts w:cs="Arial"/>
          <w:sz w:val="18"/>
          <w:szCs w:val="18"/>
        </w:rPr>
        <w:t xml:space="preserve">performance was </w:t>
      </w:r>
      <w:r>
        <w:rPr>
          <w:rFonts w:cs="Arial"/>
          <w:sz w:val="18"/>
          <w:szCs w:val="18"/>
        </w:rPr>
        <w:t xml:space="preserve">broadly in line with plan for much of the first half of FY20, until the outbreak of the COVID-19 pandemic and the implementation of mobility </w:t>
      </w:r>
      <w:r w:rsidR="00D364A5">
        <w:rPr>
          <w:rFonts w:cs="Arial"/>
          <w:sz w:val="18"/>
          <w:szCs w:val="18"/>
        </w:rPr>
        <w:t xml:space="preserve">and other </w:t>
      </w:r>
      <w:r>
        <w:rPr>
          <w:rFonts w:cs="Arial"/>
          <w:sz w:val="18"/>
          <w:szCs w:val="18"/>
        </w:rPr>
        <w:t>restrictions in the UK during March. Since then t</w:t>
      </w:r>
      <w:r w:rsidR="00CA31DC" w:rsidRPr="00CA31DC">
        <w:rPr>
          <w:rFonts w:cs="Arial"/>
          <w:sz w:val="18"/>
          <w:szCs w:val="18"/>
        </w:rPr>
        <w:t xml:space="preserve">he Group </w:t>
      </w:r>
      <w:r>
        <w:rPr>
          <w:rFonts w:cs="Arial"/>
          <w:sz w:val="18"/>
          <w:szCs w:val="18"/>
        </w:rPr>
        <w:t xml:space="preserve">has managed </w:t>
      </w:r>
      <w:r w:rsidR="00CA31DC" w:rsidRPr="00CA31DC">
        <w:rPr>
          <w:rFonts w:cs="Arial"/>
          <w:sz w:val="18"/>
          <w:szCs w:val="18"/>
        </w:rPr>
        <w:t>through this challenging trading environment with three priorities – keeping our people safe, feeding</w:t>
      </w:r>
      <w:r w:rsidR="00CA31DC">
        <w:rPr>
          <w:rFonts w:cs="Arial"/>
          <w:sz w:val="18"/>
          <w:szCs w:val="18"/>
        </w:rPr>
        <w:t xml:space="preserve"> </w:t>
      </w:r>
      <w:r w:rsidR="00CA31DC" w:rsidRPr="00CA31DC">
        <w:rPr>
          <w:rFonts w:cs="Arial"/>
          <w:sz w:val="18"/>
          <w:szCs w:val="18"/>
        </w:rPr>
        <w:t xml:space="preserve">the UK, and protecting our business. </w:t>
      </w:r>
    </w:p>
    <w:p w14:paraId="6BCEE6CD" w14:textId="77777777" w:rsidR="003175D6" w:rsidRDefault="003175D6" w:rsidP="003175D6">
      <w:pPr>
        <w:tabs>
          <w:tab w:val="num" w:pos="426"/>
        </w:tabs>
        <w:jc w:val="both"/>
        <w:rPr>
          <w:rFonts w:cs="Arial"/>
          <w:sz w:val="18"/>
          <w:szCs w:val="18"/>
        </w:rPr>
      </w:pPr>
    </w:p>
    <w:p w14:paraId="7B793164" w14:textId="0EEE8584" w:rsidR="006B1CD2" w:rsidRDefault="008F2433" w:rsidP="00ED0EF2">
      <w:pPr>
        <w:tabs>
          <w:tab w:val="num" w:pos="426"/>
        </w:tabs>
        <w:spacing w:after="120"/>
        <w:jc w:val="both"/>
        <w:rPr>
          <w:rFonts w:cs="Arial"/>
          <w:sz w:val="18"/>
          <w:szCs w:val="18"/>
        </w:rPr>
      </w:pPr>
      <w:r>
        <w:rPr>
          <w:rFonts w:cs="Arial"/>
          <w:sz w:val="18"/>
          <w:szCs w:val="18"/>
        </w:rPr>
        <w:t xml:space="preserve">The </w:t>
      </w:r>
      <w:r w:rsidRPr="00CA31DC">
        <w:rPr>
          <w:rFonts w:cs="Arial"/>
          <w:sz w:val="18"/>
          <w:szCs w:val="18"/>
        </w:rPr>
        <w:t xml:space="preserve">food industry has </w:t>
      </w:r>
      <w:r w:rsidR="00D633C8">
        <w:rPr>
          <w:rFonts w:cs="Arial"/>
          <w:sz w:val="18"/>
          <w:szCs w:val="18"/>
        </w:rPr>
        <w:t>been</w:t>
      </w:r>
      <w:r w:rsidR="00D633C8" w:rsidRPr="00CA31DC">
        <w:rPr>
          <w:rFonts w:cs="Arial"/>
          <w:sz w:val="18"/>
          <w:szCs w:val="18"/>
        </w:rPr>
        <w:t xml:space="preserve"> </w:t>
      </w:r>
      <w:r>
        <w:rPr>
          <w:rFonts w:cs="Arial"/>
          <w:sz w:val="18"/>
          <w:szCs w:val="18"/>
        </w:rPr>
        <w:t xml:space="preserve">an essential </w:t>
      </w:r>
      <w:r w:rsidRPr="00CA31DC">
        <w:rPr>
          <w:rFonts w:cs="Arial"/>
          <w:sz w:val="18"/>
          <w:szCs w:val="18"/>
        </w:rPr>
        <w:t>component of UK infrastructure through</w:t>
      </w:r>
      <w:r>
        <w:rPr>
          <w:rFonts w:cs="Arial"/>
          <w:sz w:val="18"/>
          <w:szCs w:val="18"/>
        </w:rPr>
        <w:t xml:space="preserve"> </w:t>
      </w:r>
      <w:r w:rsidRPr="00CA31DC">
        <w:rPr>
          <w:rFonts w:cs="Arial"/>
          <w:sz w:val="18"/>
          <w:szCs w:val="18"/>
        </w:rPr>
        <w:t>this pandemic</w:t>
      </w:r>
      <w:r>
        <w:rPr>
          <w:rFonts w:cs="Arial"/>
          <w:sz w:val="18"/>
          <w:szCs w:val="18"/>
        </w:rPr>
        <w:t xml:space="preserve"> and Greencore is playing an important role</w:t>
      </w:r>
      <w:r w:rsidR="003175D6">
        <w:rPr>
          <w:rFonts w:cs="Arial"/>
          <w:sz w:val="18"/>
          <w:szCs w:val="18"/>
        </w:rPr>
        <w:t xml:space="preserve"> </w:t>
      </w:r>
      <w:r w:rsidR="00D633C8">
        <w:rPr>
          <w:rFonts w:cs="Arial"/>
          <w:sz w:val="18"/>
          <w:szCs w:val="18"/>
        </w:rPr>
        <w:t>in this regard</w:t>
      </w:r>
      <w:r>
        <w:rPr>
          <w:rFonts w:cs="Arial"/>
          <w:sz w:val="18"/>
          <w:szCs w:val="18"/>
        </w:rPr>
        <w:t xml:space="preserve">. </w:t>
      </w:r>
      <w:r w:rsidR="00CA31DC" w:rsidRPr="00CA31DC">
        <w:rPr>
          <w:rFonts w:cs="Arial"/>
          <w:sz w:val="18"/>
          <w:szCs w:val="18"/>
        </w:rPr>
        <w:t xml:space="preserve">The organisation </w:t>
      </w:r>
      <w:r w:rsidR="008D2C41">
        <w:rPr>
          <w:rFonts w:cs="Arial"/>
          <w:sz w:val="18"/>
          <w:szCs w:val="18"/>
        </w:rPr>
        <w:t>continues to function</w:t>
      </w:r>
      <w:r w:rsidR="00CA31DC" w:rsidRPr="00CA31DC">
        <w:rPr>
          <w:rFonts w:cs="Arial"/>
          <w:sz w:val="18"/>
          <w:szCs w:val="18"/>
        </w:rPr>
        <w:t xml:space="preserve"> well in demanding working circumstances, with</w:t>
      </w:r>
      <w:r w:rsidR="00CA31DC">
        <w:rPr>
          <w:rFonts w:cs="Arial"/>
          <w:sz w:val="18"/>
          <w:szCs w:val="18"/>
        </w:rPr>
        <w:t xml:space="preserve"> </w:t>
      </w:r>
      <w:r w:rsidR="00CA31DC" w:rsidRPr="00CA31DC">
        <w:rPr>
          <w:rFonts w:cs="Arial"/>
          <w:sz w:val="18"/>
          <w:szCs w:val="18"/>
        </w:rPr>
        <w:t>a resilient supply chain and production network enabling strong levels of customer service.</w:t>
      </w:r>
      <w:r w:rsidR="008C5BAF">
        <w:rPr>
          <w:rFonts w:cs="Arial"/>
          <w:sz w:val="18"/>
          <w:szCs w:val="18"/>
        </w:rPr>
        <w:t xml:space="preserve"> </w:t>
      </w:r>
      <w:r w:rsidR="008C5BAF" w:rsidRPr="008C5BAF">
        <w:rPr>
          <w:rFonts w:cs="Arial"/>
          <w:sz w:val="18"/>
          <w:szCs w:val="18"/>
        </w:rPr>
        <w:t>However, the reduction in mobility caused by the UK national lockdown period during the second half of FY20 clearly had a mater</w:t>
      </w:r>
      <w:r w:rsidR="008C5BAF">
        <w:rPr>
          <w:rFonts w:cs="Arial"/>
          <w:sz w:val="18"/>
          <w:szCs w:val="18"/>
        </w:rPr>
        <w:t>i</w:t>
      </w:r>
      <w:r w:rsidR="008C5BAF" w:rsidRPr="008C5BAF">
        <w:rPr>
          <w:rFonts w:cs="Arial"/>
          <w:sz w:val="18"/>
          <w:szCs w:val="18"/>
        </w:rPr>
        <w:t xml:space="preserve">al, </w:t>
      </w:r>
      <w:r w:rsidR="00833D08">
        <w:rPr>
          <w:rFonts w:cs="Arial"/>
          <w:sz w:val="18"/>
          <w:szCs w:val="18"/>
        </w:rPr>
        <w:t>albeit</w:t>
      </w:r>
      <w:r w:rsidR="00833D08" w:rsidRPr="008C5BAF">
        <w:rPr>
          <w:rFonts w:cs="Arial"/>
          <w:sz w:val="18"/>
          <w:szCs w:val="18"/>
        </w:rPr>
        <w:t xml:space="preserve"> </w:t>
      </w:r>
      <w:r w:rsidR="008C5BAF" w:rsidRPr="008C5BAF">
        <w:rPr>
          <w:rFonts w:cs="Arial"/>
          <w:sz w:val="18"/>
          <w:szCs w:val="18"/>
        </w:rPr>
        <w:t>temporary, effect on the Group’s trading performance.</w:t>
      </w:r>
    </w:p>
    <w:p w14:paraId="17332AB5" w14:textId="77777777" w:rsidR="006B1CD2" w:rsidRPr="00CA31DC" w:rsidRDefault="00F44A1D" w:rsidP="00ED0EF2">
      <w:pPr>
        <w:spacing w:after="120"/>
        <w:jc w:val="both"/>
        <w:rPr>
          <w:rFonts w:cs="Arial"/>
          <w:b/>
          <w:sz w:val="18"/>
          <w:szCs w:val="18"/>
        </w:rPr>
      </w:pPr>
      <w:r>
        <w:rPr>
          <w:rFonts w:cs="Arial"/>
          <w:b/>
          <w:sz w:val="18"/>
          <w:szCs w:val="18"/>
        </w:rPr>
        <w:t xml:space="preserve">Keeping </w:t>
      </w:r>
      <w:r w:rsidR="00EC559B">
        <w:rPr>
          <w:rFonts w:cs="Arial"/>
          <w:b/>
          <w:sz w:val="18"/>
          <w:szCs w:val="18"/>
        </w:rPr>
        <w:t xml:space="preserve">people </w:t>
      </w:r>
      <w:r>
        <w:rPr>
          <w:rFonts w:cs="Arial"/>
          <w:b/>
          <w:sz w:val="18"/>
          <w:szCs w:val="18"/>
        </w:rPr>
        <w:t>safe</w:t>
      </w:r>
    </w:p>
    <w:p w14:paraId="20FA153B" w14:textId="7885FBFD" w:rsidR="00B50793" w:rsidRDefault="008F2433" w:rsidP="00ED0EF2">
      <w:pPr>
        <w:tabs>
          <w:tab w:val="num" w:pos="426"/>
        </w:tabs>
        <w:spacing w:after="120"/>
        <w:jc w:val="both"/>
        <w:rPr>
          <w:rFonts w:cs="Arial"/>
          <w:sz w:val="18"/>
          <w:szCs w:val="18"/>
        </w:rPr>
      </w:pPr>
      <w:r>
        <w:rPr>
          <w:rFonts w:cs="Arial"/>
          <w:sz w:val="18"/>
          <w:szCs w:val="18"/>
        </w:rPr>
        <w:t>Over the course of the pandemic t</w:t>
      </w:r>
      <w:r w:rsidRPr="00CA31DC">
        <w:rPr>
          <w:rFonts w:cs="Arial"/>
          <w:sz w:val="18"/>
          <w:szCs w:val="18"/>
        </w:rPr>
        <w:t>he</w:t>
      </w:r>
      <w:r>
        <w:rPr>
          <w:rFonts w:cs="Arial"/>
          <w:sz w:val="18"/>
          <w:szCs w:val="18"/>
        </w:rPr>
        <w:t xml:space="preserve"> </w:t>
      </w:r>
      <w:r w:rsidRPr="00CA31DC">
        <w:rPr>
          <w:rFonts w:cs="Arial"/>
          <w:sz w:val="18"/>
          <w:szCs w:val="18"/>
        </w:rPr>
        <w:t xml:space="preserve">Group </w:t>
      </w:r>
      <w:r w:rsidR="00806816" w:rsidRPr="00CA31DC">
        <w:rPr>
          <w:rFonts w:cs="Arial"/>
          <w:sz w:val="18"/>
          <w:szCs w:val="18"/>
        </w:rPr>
        <w:t xml:space="preserve">has carried out an extensive range of </w:t>
      </w:r>
      <w:r w:rsidR="00D633C8">
        <w:rPr>
          <w:rFonts w:cs="Arial"/>
          <w:sz w:val="18"/>
          <w:szCs w:val="18"/>
        </w:rPr>
        <w:t xml:space="preserve">practical </w:t>
      </w:r>
      <w:r w:rsidR="00806816" w:rsidRPr="00CA31DC">
        <w:rPr>
          <w:rFonts w:cs="Arial"/>
          <w:sz w:val="18"/>
          <w:szCs w:val="18"/>
        </w:rPr>
        <w:t>measures to support and improve colleague safety across its</w:t>
      </w:r>
      <w:r w:rsidR="00806816">
        <w:rPr>
          <w:rFonts w:cs="Arial"/>
          <w:sz w:val="18"/>
          <w:szCs w:val="18"/>
        </w:rPr>
        <w:t xml:space="preserve"> </w:t>
      </w:r>
      <w:r w:rsidR="00806816" w:rsidRPr="00CA31DC">
        <w:rPr>
          <w:rFonts w:cs="Arial"/>
          <w:sz w:val="18"/>
          <w:szCs w:val="18"/>
        </w:rPr>
        <w:t>manufacturing and distribution network</w:t>
      </w:r>
      <w:r w:rsidR="00806816">
        <w:rPr>
          <w:rFonts w:cs="Arial"/>
          <w:sz w:val="18"/>
          <w:szCs w:val="18"/>
        </w:rPr>
        <w:t xml:space="preserve">, such as </w:t>
      </w:r>
      <w:r w:rsidR="00D633C8">
        <w:rPr>
          <w:rFonts w:cs="Arial"/>
          <w:sz w:val="18"/>
          <w:szCs w:val="18"/>
        </w:rPr>
        <w:t>protective</w:t>
      </w:r>
      <w:r w:rsidR="00D633C8" w:rsidRPr="008F2433">
        <w:rPr>
          <w:rFonts w:cs="Arial"/>
          <w:sz w:val="18"/>
          <w:szCs w:val="18"/>
        </w:rPr>
        <w:t xml:space="preserve"> </w:t>
      </w:r>
      <w:r w:rsidRPr="008F2433">
        <w:rPr>
          <w:rFonts w:cs="Arial"/>
          <w:sz w:val="18"/>
          <w:szCs w:val="18"/>
        </w:rPr>
        <w:t xml:space="preserve">screening, reset factory layouts, extra space in changing and amenity areas, reconfigured shift patterns, </w:t>
      </w:r>
      <w:r w:rsidR="000454DA">
        <w:rPr>
          <w:rFonts w:cs="Arial"/>
          <w:sz w:val="18"/>
          <w:szCs w:val="18"/>
        </w:rPr>
        <w:t xml:space="preserve">providing </w:t>
      </w:r>
      <w:r w:rsidRPr="008F2433">
        <w:rPr>
          <w:rFonts w:cs="Arial"/>
          <w:sz w:val="18"/>
          <w:szCs w:val="18"/>
        </w:rPr>
        <w:t xml:space="preserve">additional </w:t>
      </w:r>
      <w:r w:rsidR="004C3DBE">
        <w:rPr>
          <w:rFonts w:cs="Arial"/>
          <w:sz w:val="18"/>
          <w:szCs w:val="18"/>
        </w:rPr>
        <w:t xml:space="preserve">personal protective equipment </w:t>
      </w:r>
      <w:r w:rsidR="00BF3AE6">
        <w:rPr>
          <w:rFonts w:cs="Arial"/>
          <w:sz w:val="18"/>
          <w:szCs w:val="18"/>
        </w:rPr>
        <w:t>(‘</w:t>
      </w:r>
      <w:r w:rsidRPr="008F2433">
        <w:rPr>
          <w:rFonts w:cs="Arial"/>
          <w:sz w:val="18"/>
          <w:szCs w:val="18"/>
        </w:rPr>
        <w:t>PPE</w:t>
      </w:r>
      <w:r w:rsidR="00BF3AE6">
        <w:rPr>
          <w:rFonts w:cs="Arial"/>
          <w:sz w:val="18"/>
          <w:szCs w:val="18"/>
        </w:rPr>
        <w:t>’)</w:t>
      </w:r>
      <w:r w:rsidR="00BF3AE6" w:rsidRPr="008F2433">
        <w:rPr>
          <w:rFonts w:cs="Arial"/>
          <w:sz w:val="18"/>
          <w:szCs w:val="18"/>
        </w:rPr>
        <w:t xml:space="preserve"> </w:t>
      </w:r>
      <w:r w:rsidRPr="008F2433">
        <w:rPr>
          <w:rFonts w:cs="Arial"/>
          <w:sz w:val="18"/>
          <w:szCs w:val="18"/>
        </w:rPr>
        <w:t xml:space="preserve">to </w:t>
      </w:r>
      <w:r>
        <w:rPr>
          <w:rFonts w:cs="Arial"/>
          <w:sz w:val="18"/>
          <w:szCs w:val="18"/>
        </w:rPr>
        <w:t xml:space="preserve">colleagues </w:t>
      </w:r>
      <w:r w:rsidRPr="008F2433">
        <w:rPr>
          <w:rFonts w:cs="Arial"/>
          <w:sz w:val="18"/>
          <w:szCs w:val="18"/>
        </w:rPr>
        <w:t>and tempe</w:t>
      </w:r>
      <w:r w:rsidR="00806816">
        <w:rPr>
          <w:rFonts w:cs="Arial"/>
          <w:sz w:val="18"/>
          <w:szCs w:val="18"/>
        </w:rPr>
        <w:t xml:space="preserve">rature checking at facilities. </w:t>
      </w:r>
      <w:r>
        <w:rPr>
          <w:rFonts w:cs="Arial"/>
          <w:sz w:val="18"/>
          <w:szCs w:val="18"/>
        </w:rPr>
        <w:t xml:space="preserve">The Group has </w:t>
      </w:r>
      <w:r w:rsidRPr="008F2433">
        <w:rPr>
          <w:rFonts w:cs="Arial"/>
          <w:sz w:val="18"/>
          <w:szCs w:val="18"/>
        </w:rPr>
        <w:t xml:space="preserve">also worked very hard on cultural and behavioural commitments to ensure that everybody across </w:t>
      </w:r>
      <w:r>
        <w:rPr>
          <w:rFonts w:cs="Arial"/>
          <w:sz w:val="18"/>
          <w:szCs w:val="18"/>
        </w:rPr>
        <w:t xml:space="preserve">the </w:t>
      </w:r>
      <w:r w:rsidRPr="008F2433">
        <w:rPr>
          <w:rFonts w:cs="Arial"/>
          <w:sz w:val="18"/>
          <w:szCs w:val="18"/>
        </w:rPr>
        <w:t>network is focused on keeping people safe</w:t>
      </w:r>
      <w:r>
        <w:rPr>
          <w:rFonts w:cs="Arial"/>
          <w:sz w:val="18"/>
          <w:szCs w:val="18"/>
        </w:rPr>
        <w:t xml:space="preserve"> and maintaining hygiene protocols</w:t>
      </w:r>
      <w:r w:rsidR="003175D6">
        <w:rPr>
          <w:rFonts w:cs="Arial"/>
          <w:sz w:val="18"/>
          <w:szCs w:val="18"/>
        </w:rPr>
        <w:t xml:space="preserve">. </w:t>
      </w:r>
    </w:p>
    <w:p w14:paraId="59E0C732" w14:textId="77777777" w:rsidR="00BD2E2C" w:rsidRDefault="004C3DBE" w:rsidP="00ED0EF2">
      <w:pPr>
        <w:tabs>
          <w:tab w:val="num" w:pos="426"/>
        </w:tabs>
        <w:spacing w:after="120"/>
        <w:jc w:val="both"/>
        <w:rPr>
          <w:rFonts w:cs="Arial"/>
          <w:sz w:val="18"/>
          <w:szCs w:val="18"/>
        </w:rPr>
      </w:pPr>
      <w:r w:rsidRPr="00F839BE">
        <w:rPr>
          <w:rFonts w:cs="Arial"/>
          <w:sz w:val="18"/>
          <w:szCs w:val="18"/>
        </w:rPr>
        <w:t>T</w:t>
      </w:r>
      <w:r w:rsidR="003175D6" w:rsidRPr="00F839BE">
        <w:rPr>
          <w:rFonts w:cs="Arial"/>
          <w:sz w:val="18"/>
          <w:szCs w:val="18"/>
        </w:rPr>
        <w:t>he Group’s production network has functioned resiliently through the pandemic</w:t>
      </w:r>
      <w:r w:rsidR="00F839BE">
        <w:rPr>
          <w:rFonts w:cs="Arial"/>
          <w:sz w:val="18"/>
          <w:szCs w:val="18"/>
        </w:rPr>
        <w:t xml:space="preserve">. </w:t>
      </w:r>
      <w:r w:rsidR="00806816">
        <w:rPr>
          <w:rFonts w:cs="Arial"/>
          <w:sz w:val="18"/>
          <w:szCs w:val="18"/>
        </w:rPr>
        <w:t>T</w:t>
      </w:r>
      <w:r w:rsidR="00F839BE">
        <w:rPr>
          <w:rFonts w:cs="Arial"/>
          <w:sz w:val="18"/>
          <w:szCs w:val="18"/>
        </w:rPr>
        <w:t>his included the ramping down and subsequent recommencement of production at the Group’s Bow, Atherstone and Heathrow facilities in response to demand changes in the first months of the outbreak. It also included the movement of a proportion of production to other sites following a</w:t>
      </w:r>
      <w:r w:rsidR="00F839BE" w:rsidRPr="00F839BE">
        <w:rPr>
          <w:rFonts w:cs="Arial"/>
          <w:sz w:val="18"/>
          <w:szCs w:val="18"/>
        </w:rPr>
        <w:t xml:space="preserve"> </w:t>
      </w:r>
      <w:r w:rsidR="00F839BE">
        <w:rPr>
          <w:rFonts w:cs="Arial"/>
          <w:sz w:val="18"/>
          <w:szCs w:val="18"/>
        </w:rPr>
        <w:t>temporary cessation in</w:t>
      </w:r>
      <w:r w:rsidR="00F839BE" w:rsidRPr="00F839BE">
        <w:rPr>
          <w:rFonts w:cs="Arial"/>
          <w:sz w:val="18"/>
          <w:szCs w:val="18"/>
        </w:rPr>
        <w:t xml:space="preserve"> production at the Northampton site during August 2020 following the COVID-19 outbreak in the area and at the site. </w:t>
      </w:r>
    </w:p>
    <w:p w14:paraId="77EA60DD" w14:textId="685F7DFD" w:rsidR="006B1CD2" w:rsidRPr="00CA31DC" w:rsidRDefault="00BD2E2C" w:rsidP="00ED0EF2">
      <w:pPr>
        <w:tabs>
          <w:tab w:val="num" w:pos="426"/>
        </w:tabs>
        <w:spacing w:after="120"/>
        <w:jc w:val="both"/>
        <w:rPr>
          <w:rFonts w:cs="Arial"/>
          <w:b/>
          <w:sz w:val="18"/>
          <w:szCs w:val="18"/>
        </w:rPr>
      </w:pPr>
      <w:r w:rsidRPr="00BD2E2C">
        <w:rPr>
          <w:rFonts w:cs="Arial"/>
          <w:sz w:val="18"/>
          <w:szCs w:val="18"/>
        </w:rPr>
        <w:t xml:space="preserve"> </w:t>
      </w:r>
      <w:r w:rsidR="006B1CD2" w:rsidRPr="00CA31DC">
        <w:rPr>
          <w:rFonts w:cs="Arial"/>
          <w:b/>
          <w:sz w:val="18"/>
          <w:szCs w:val="18"/>
        </w:rPr>
        <w:t>Feeding the UK</w:t>
      </w:r>
    </w:p>
    <w:p w14:paraId="7592F09F" w14:textId="5CB1EA15" w:rsidR="00BF49F1" w:rsidRPr="00BF49F1" w:rsidRDefault="00833D08" w:rsidP="00ED0EF2">
      <w:pPr>
        <w:tabs>
          <w:tab w:val="num" w:pos="426"/>
        </w:tabs>
        <w:spacing w:after="120"/>
        <w:jc w:val="both"/>
        <w:rPr>
          <w:rFonts w:cs="Arial"/>
          <w:sz w:val="18"/>
          <w:szCs w:val="18"/>
        </w:rPr>
      </w:pPr>
      <w:r>
        <w:rPr>
          <w:rFonts w:cs="Arial"/>
          <w:sz w:val="18"/>
          <w:szCs w:val="18"/>
        </w:rPr>
        <w:t xml:space="preserve">The Group worked closely and collaboratively with its customers throughout the initial response to the pandemic and the subsequent recovery in demand. </w:t>
      </w:r>
      <w:r w:rsidR="00BF49F1" w:rsidRPr="00BF49F1">
        <w:rPr>
          <w:rFonts w:cs="Arial"/>
          <w:sz w:val="18"/>
          <w:szCs w:val="18"/>
        </w:rPr>
        <w:t xml:space="preserve">Initially this took the form of rationalising </w:t>
      </w:r>
      <w:r w:rsidR="00E7732C">
        <w:rPr>
          <w:rFonts w:cs="Arial"/>
          <w:sz w:val="18"/>
          <w:szCs w:val="18"/>
        </w:rPr>
        <w:t>product</w:t>
      </w:r>
      <w:r w:rsidR="00BF49F1" w:rsidRPr="00BF49F1">
        <w:rPr>
          <w:rFonts w:cs="Arial"/>
          <w:sz w:val="18"/>
          <w:szCs w:val="18"/>
        </w:rPr>
        <w:t xml:space="preserve"> ranges </w:t>
      </w:r>
      <w:r w:rsidR="00D633C8" w:rsidRPr="00BF49F1">
        <w:rPr>
          <w:rFonts w:cs="Arial"/>
          <w:sz w:val="18"/>
          <w:szCs w:val="18"/>
        </w:rPr>
        <w:t xml:space="preserve">in an efficient and economical way </w:t>
      </w:r>
      <w:r w:rsidR="00BF49F1" w:rsidRPr="00BF49F1">
        <w:rPr>
          <w:rFonts w:cs="Arial"/>
          <w:sz w:val="18"/>
          <w:szCs w:val="18"/>
        </w:rPr>
        <w:t xml:space="preserve">to meet </w:t>
      </w:r>
      <w:r w:rsidR="00D633C8">
        <w:rPr>
          <w:rFonts w:cs="Arial"/>
          <w:sz w:val="18"/>
          <w:szCs w:val="18"/>
        </w:rPr>
        <w:t>altered</w:t>
      </w:r>
      <w:r w:rsidR="00D633C8" w:rsidRPr="00BF49F1">
        <w:rPr>
          <w:rFonts w:cs="Arial"/>
          <w:sz w:val="18"/>
          <w:szCs w:val="18"/>
        </w:rPr>
        <w:t xml:space="preserve"> </w:t>
      </w:r>
      <w:r w:rsidR="00BF49F1" w:rsidRPr="00BF49F1">
        <w:rPr>
          <w:rFonts w:cs="Arial"/>
          <w:sz w:val="18"/>
          <w:szCs w:val="18"/>
        </w:rPr>
        <w:t xml:space="preserve">demand patterns, while also maintaining </w:t>
      </w:r>
      <w:r w:rsidR="006B19A3">
        <w:rPr>
          <w:rFonts w:cs="Arial"/>
          <w:sz w:val="18"/>
          <w:szCs w:val="18"/>
        </w:rPr>
        <w:t xml:space="preserve">customer service metrics and </w:t>
      </w:r>
      <w:r w:rsidR="00BF49F1" w:rsidRPr="00BF49F1">
        <w:rPr>
          <w:rFonts w:cs="Arial"/>
          <w:sz w:val="18"/>
          <w:szCs w:val="18"/>
        </w:rPr>
        <w:t xml:space="preserve">the integrity </w:t>
      </w:r>
      <w:r w:rsidR="006B19A3">
        <w:rPr>
          <w:rFonts w:cs="Arial"/>
          <w:sz w:val="18"/>
          <w:szCs w:val="18"/>
        </w:rPr>
        <w:t xml:space="preserve">of </w:t>
      </w:r>
      <w:r w:rsidR="00806816">
        <w:rPr>
          <w:rFonts w:cs="Arial"/>
          <w:sz w:val="18"/>
          <w:szCs w:val="18"/>
        </w:rPr>
        <w:t xml:space="preserve">the supply chain.  </w:t>
      </w:r>
      <w:r w:rsidR="00BF49F1" w:rsidRPr="00BF49F1">
        <w:rPr>
          <w:rFonts w:cs="Arial"/>
          <w:sz w:val="18"/>
          <w:szCs w:val="18"/>
        </w:rPr>
        <w:t xml:space="preserve">In more recent </w:t>
      </w:r>
      <w:r w:rsidR="006B19A3">
        <w:rPr>
          <w:rFonts w:cs="Arial"/>
          <w:sz w:val="18"/>
          <w:szCs w:val="18"/>
        </w:rPr>
        <w:t xml:space="preserve">months, the Group </w:t>
      </w:r>
      <w:r w:rsidR="00BF49F1" w:rsidRPr="00BF49F1">
        <w:rPr>
          <w:rFonts w:cs="Arial"/>
          <w:sz w:val="18"/>
          <w:szCs w:val="18"/>
        </w:rPr>
        <w:t xml:space="preserve">has </w:t>
      </w:r>
      <w:r w:rsidR="006B19A3">
        <w:rPr>
          <w:rFonts w:cs="Arial"/>
          <w:sz w:val="18"/>
          <w:szCs w:val="18"/>
        </w:rPr>
        <w:t xml:space="preserve">focussed </w:t>
      </w:r>
      <w:r w:rsidR="00BF49F1" w:rsidRPr="00BF49F1">
        <w:rPr>
          <w:rFonts w:cs="Arial"/>
          <w:sz w:val="18"/>
          <w:szCs w:val="18"/>
        </w:rPr>
        <w:t xml:space="preserve">on working with customers to build back their businesses rapidly and sharing consumer, shopper, channel, </w:t>
      </w:r>
      <w:proofErr w:type="gramStart"/>
      <w:r w:rsidR="00BF49F1" w:rsidRPr="00BF49F1">
        <w:rPr>
          <w:rFonts w:cs="Arial"/>
          <w:sz w:val="18"/>
          <w:szCs w:val="18"/>
        </w:rPr>
        <w:t>format</w:t>
      </w:r>
      <w:proofErr w:type="gramEnd"/>
      <w:r w:rsidR="00BF49F1" w:rsidRPr="00BF49F1">
        <w:rPr>
          <w:rFonts w:cs="Arial"/>
          <w:sz w:val="18"/>
          <w:szCs w:val="18"/>
        </w:rPr>
        <w:t xml:space="preserve"> and regional insights to enable them to capitalise on this recovering demand.  These customer relationships have been critical to </w:t>
      </w:r>
      <w:r w:rsidR="006B19A3">
        <w:rPr>
          <w:rFonts w:cs="Arial"/>
          <w:sz w:val="18"/>
          <w:szCs w:val="18"/>
        </w:rPr>
        <w:t xml:space="preserve">the </w:t>
      </w:r>
      <w:r w:rsidR="00BF49F1" w:rsidRPr="00BF49F1">
        <w:rPr>
          <w:rFonts w:cs="Arial"/>
          <w:sz w:val="18"/>
          <w:szCs w:val="18"/>
        </w:rPr>
        <w:t xml:space="preserve">business </w:t>
      </w:r>
      <w:r w:rsidR="006B19A3">
        <w:rPr>
          <w:rFonts w:cs="Arial"/>
          <w:sz w:val="18"/>
          <w:szCs w:val="18"/>
        </w:rPr>
        <w:t xml:space="preserve">and </w:t>
      </w:r>
      <w:r w:rsidR="00D633C8">
        <w:rPr>
          <w:rFonts w:cs="Arial"/>
          <w:sz w:val="18"/>
          <w:szCs w:val="18"/>
        </w:rPr>
        <w:t xml:space="preserve">they </w:t>
      </w:r>
      <w:r w:rsidR="006B19A3">
        <w:rPr>
          <w:rFonts w:cs="Arial"/>
          <w:sz w:val="18"/>
          <w:szCs w:val="18"/>
        </w:rPr>
        <w:t xml:space="preserve">have </w:t>
      </w:r>
      <w:r w:rsidR="00BF49F1" w:rsidRPr="00BF49F1">
        <w:rPr>
          <w:rFonts w:cs="Arial"/>
          <w:sz w:val="18"/>
          <w:szCs w:val="18"/>
        </w:rPr>
        <w:t xml:space="preserve">deepened through the challenges of </w:t>
      </w:r>
      <w:r w:rsidR="006B19A3">
        <w:rPr>
          <w:rFonts w:cs="Arial"/>
          <w:sz w:val="18"/>
          <w:szCs w:val="18"/>
        </w:rPr>
        <w:t>COVID</w:t>
      </w:r>
      <w:r w:rsidR="00BF49F1" w:rsidRPr="00BF49F1">
        <w:rPr>
          <w:rFonts w:cs="Arial"/>
          <w:sz w:val="18"/>
          <w:szCs w:val="18"/>
        </w:rPr>
        <w:noBreakHyphen/>
        <w:t xml:space="preserve">19.  </w:t>
      </w:r>
    </w:p>
    <w:p w14:paraId="4B86E010" w14:textId="77777777" w:rsidR="00BD2E2C" w:rsidRDefault="00FE6030" w:rsidP="00ED0EF2">
      <w:pPr>
        <w:tabs>
          <w:tab w:val="num" w:pos="426"/>
        </w:tabs>
        <w:spacing w:after="120"/>
        <w:jc w:val="both"/>
        <w:rPr>
          <w:rFonts w:cs="Arial"/>
          <w:sz w:val="18"/>
          <w:szCs w:val="18"/>
        </w:rPr>
      </w:pPr>
      <w:r w:rsidRPr="00FE6030">
        <w:rPr>
          <w:rFonts w:cs="Arial"/>
          <w:sz w:val="18"/>
          <w:szCs w:val="18"/>
        </w:rPr>
        <w:t xml:space="preserve">The Group has also stepped up its </w:t>
      </w:r>
      <w:r w:rsidR="00D633C8">
        <w:rPr>
          <w:rFonts w:cs="Arial"/>
          <w:sz w:val="18"/>
          <w:szCs w:val="18"/>
        </w:rPr>
        <w:t xml:space="preserve">broader </w:t>
      </w:r>
      <w:r w:rsidRPr="00FE6030">
        <w:rPr>
          <w:rFonts w:cs="Arial"/>
          <w:sz w:val="18"/>
          <w:szCs w:val="18"/>
        </w:rPr>
        <w:t xml:space="preserve">engagement in multiple ways at national, regional and local level by working with national charities, supporting shielded communities and supporting ad hoc donations across the business to contribute towards local community initiatives all over the UK.  </w:t>
      </w:r>
    </w:p>
    <w:p w14:paraId="327DC4C8" w14:textId="77777777" w:rsidR="006B1CD2" w:rsidRPr="006B1CD2" w:rsidRDefault="006B1CD2" w:rsidP="00ED0EF2">
      <w:pPr>
        <w:spacing w:after="120"/>
        <w:jc w:val="both"/>
        <w:rPr>
          <w:rFonts w:cs="Arial"/>
          <w:b/>
          <w:sz w:val="18"/>
          <w:szCs w:val="18"/>
        </w:rPr>
      </w:pPr>
      <w:r w:rsidRPr="006B1CD2">
        <w:rPr>
          <w:rFonts w:cs="Arial"/>
          <w:b/>
          <w:sz w:val="18"/>
          <w:szCs w:val="18"/>
        </w:rPr>
        <w:t>Protecting our business</w:t>
      </w:r>
    </w:p>
    <w:p w14:paraId="1DF2FFFB" w14:textId="77777777" w:rsidR="00904D20" w:rsidRDefault="00E7732C" w:rsidP="00904D20">
      <w:pPr>
        <w:jc w:val="both"/>
        <w:rPr>
          <w:rFonts w:cs="Arial"/>
          <w:sz w:val="18"/>
          <w:szCs w:val="18"/>
        </w:rPr>
      </w:pPr>
      <w:r>
        <w:rPr>
          <w:rFonts w:cs="Arial"/>
          <w:sz w:val="18"/>
          <w:szCs w:val="18"/>
        </w:rPr>
        <w:t xml:space="preserve">Whilst COVID-19 is clearly impacting </w:t>
      </w:r>
      <w:r w:rsidR="00833D08">
        <w:rPr>
          <w:rFonts w:cs="Arial"/>
          <w:sz w:val="18"/>
          <w:szCs w:val="18"/>
        </w:rPr>
        <w:t xml:space="preserve">the Group’s </w:t>
      </w:r>
      <w:r>
        <w:rPr>
          <w:rFonts w:cs="Arial"/>
          <w:sz w:val="18"/>
          <w:szCs w:val="18"/>
        </w:rPr>
        <w:t>short term performance, the Group has taken a comprehensive set of actions to ensure that it is strongly positioned to build back</w:t>
      </w:r>
      <w:r w:rsidR="00904D20">
        <w:rPr>
          <w:rFonts w:cs="Arial"/>
          <w:sz w:val="18"/>
          <w:szCs w:val="18"/>
        </w:rPr>
        <w:t xml:space="preserve"> the business as the pandemic eases, and to enable it to be </w:t>
      </w:r>
      <w:r w:rsidR="00754A00" w:rsidRPr="00754A00">
        <w:rPr>
          <w:rFonts w:cs="Arial"/>
          <w:sz w:val="18"/>
          <w:szCs w:val="18"/>
        </w:rPr>
        <w:t xml:space="preserve">one of the </w:t>
      </w:r>
      <w:r w:rsidR="00904D20">
        <w:rPr>
          <w:rFonts w:cs="Arial"/>
          <w:sz w:val="18"/>
          <w:szCs w:val="18"/>
        </w:rPr>
        <w:t xml:space="preserve">longer term </w:t>
      </w:r>
      <w:r w:rsidR="00754A00" w:rsidRPr="00754A00">
        <w:rPr>
          <w:rFonts w:cs="Arial"/>
          <w:sz w:val="18"/>
          <w:szCs w:val="18"/>
        </w:rPr>
        <w:t>winners in UK convenience food.</w:t>
      </w:r>
      <w:r w:rsidR="00904D20">
        <w:rPr>
          <w:rFonts w:cs="Arial"/>
          <w:sz w:val="18"/>
          <w:szCs w:val="18"/>
        </w:rPr>
        <w:t xml:space="preserve"> </w:t>
      </w:r>
    </w:p>
    <w:p w14:paraId="0E52F310" w14:textId="77777777" w:rsidR="00904D20" w:rsidRDefault="00904D20" w:rsidP="00904D20">
      <w:pPr>
        <w:jc w:val="both"/>
        <w:rPr>
          <w:rFonts w:cs="Arial"/>
          <w:sz w:val="18"/>
          <w:szCs w:val="18"/>
        </w:rPr>
      </w:pPr>
    </w:p>
    <w:p w14:paraId="1F436D1A" w14:textId="77777777" w:rsidR="00064D78" w:rsidRPr="0051787E" w:rsidRDefault="00064D78" w:rsidP="00064D78">
      <w:pPr>
        <w:jc w:val="both"/>
        <w:rPr>
          <w:rFonts w:cs="Arial"/>
          <w:sz w:val="18"/>
          <w:szCs w:val="18"/>
        </w:rPr>
      </w:pPr>
      <w:r w:rsidRPr="0051787E">
        <w:rPr>
          <w:rFonts w:cs="Arial"/>
          <w:sz w:val="18"/>
          <w:szCs w:val="18"/>
        </w:rPr>
        <w:t xml:space="preserve">The Group’s initiatives are informed by modelling a set of scenarios that reflect the Group’s considered and conservative view on </w:t>
      </w:r>
      <w:proofErr w:type="gramStart"/>
      <w:r w:rsidRPr="0051787E">
        <w:rPr>
          <w:rFonts w:cs="Arial"/>
          <w:sz w:val="18"/>
          <w:szCs w:val="18"/>
        </w:rPr>
        <w:t>short and medium term</w:t>
      </w:r>
      <w:proofErr w:type="gramEnd"/>
      <w:r w:rsidRPr="0051787E">
        <w:rPr>
          <w:rFonts w:cs="Arial"/>
          <w:sz w:val="18"/>
          <w:szCs w:val="18"/>
        </w:rPr>
        <w:t xml:space="preserve"> </w:t>
      </w:r>
      <w:r>
        <w:rPr>
          <w:rFonts w:cs="Arial"/>
          <w:sz w:val="18"/>
          <w:szCs w:val="18"/>
        </w:rPr>
        <w:t>trading</w:t>
      </w:r>
      <w:r w:rsidRPr="0051787E">
        <w:rPr>
          <w:rFonts w:cs="Arial"/>
          <w:sz w:val="18"/>
          <w:szCs w:val="18"/>
        </w:rPr>
        <w:t xml:space="preserve">, and </w:t>
      </w:r>
      <w:r>
        <w:rPr>
          <w:rFonts w:cs="Arial"/>
          <w:sz w:val="18"/>
          <w:szCs w:val="18"/>
        </w:rPr>
        <w:t>ensuring</w:t>
      </w:r>
      <w:r w:rsidRPr="0051787E">
        <w:rPr>
          <w:rFonts w:cs="Arial"/>
          <w:sz w:val="18"/>
          <w:szCs w:val="18"/>
        </w:rPr>
        <w:t xml:space="preserve"> </w:t>
      </w:r>
      <w:r w:rsidR="00EC559B">
        <w:rPr>
          <w:rFonts w:cs="Arial"/>
          <w:sz w:val="18"/>
          <w:szCs w:val="18"/>
        </w:rPr>
        <w:t>the Group is</w:t>
      </w:r>
      <w:r w:rsidRPr="0051787E">
        <w:rPr>
          <w:rFonts w:cs="Arial"/>
          <w:sz w:val="18"/>
          <w:szCs w:val="18"/>
        </w:rPr>
        <w:t xml:space="preserve"> efficiently and effectively funded t</w:t>
      </w:r>
      <w:r>
        <w:rPr>
          <w:rFonts w:cs="Arial"/>
          <w:sz w:val="18"/>
          <w:szCs w:val="18"/>
        </w:rPr>
        <w:t>hrough any of these scenarios.</w:t>
      </w:r>
    </w:p>
    <w:p w14:paraId="78BD5270" w14:textId="77777777" w:rsidR="00064D78" w:rsidRDefault="00064D78" w:rsidP="00904D20">
      <w:pPr>
        <w:jc w:val="both"/>
        <w:rPr>
          <w:rFonts w:cs="Arial"/>
          <w:sz w:val="18"/>
          <w:szCs w:val="18"/>
        </w:rPr>
      </w:pPr>
    </w:p>
    <w:p w14:paraId="613A902A" w14:textId="77777777" w:rsidR="008967BE" w:rsidRPr="00660EC8" w:rsidRDefault="008967BE" w:rsidP="008967BE">
      <w:pPr>
        <w:jc w:val="both"/>
        <w:rPr>
          <w:rFonts w:eastAsiaTheme="minorHAnsi"/>
          <w:lang w:bidi="ar-SA"/>
        </w:rPr>
      </w:pPr>
      <w:r w:rsidRPr="005771B0">
        <w:rPr>
          <w:iCs/>
          <w:sz w:val="18"/>
          <w:szCs w:val="18"/>
        </w:rPr>
        <w:t xml:space="preserve">The Group incurred COVID-19 related costs of £24.6m, comprising £10.7m of operating costs and £13.9m of exceptional charges. </w:t>
      </w:r>
    </w:p>
    <w:p w14:paraId="1EB975EC" w14:textId="77777777" w:rsidR="008967BE" w:rsidRPr="00660EC8" w:rsidRDefault="008967BE" w:rsidP="008967BE">
      <w:pPr>
        <w:jc w:val="both"/>
      </w:pPr>
      <w:r w:rsidRPr="005771B0">
        <w:rPr>
          <w:iCs/>
          <w:sz w:val="18"/>
          <w:szCs w:val="18"/>
        </w:rPr>
        <w:t> </w:t>
      </w:r>
    </w:p>
    <w:p w14:paraId="4BEDB055" w14:textId="272A7F52" w:rsidR="008967BE" w:rsidRPr="00660EC8" w:rsidRDefault="008967BE" w:rsidP="008967BE">
      <w:pPr>
        <w:widowControl/>
        <w:numPr>
          <w:ilvl w:val="0"/>
          <w:numId w:val="65"/>
        </w:numPr>
        <w:jc w:val="both"/>
        <w:rPr>
          <w:rFonts w:eastAsia="Times New Roman"/>
        </w:rPr>
      </w:pPr>
      <w:r w:rsidRPr="005771B0">
        <w:rPr>
          <w:rFonts w:eastAsia="Times New Roman"/>
          <w:iCs/>
          <w:sz w:val="18"/>
          <w:szCs w:val="18"/>
        </w:rPr>
        <w:t xml:space="preserve">Operating costs of £10.7 m comprised £2.5m of front-line employee recognition payments, £5.5m of incremental costs relating to furloughed colleagues, £1.9m of other costs incurred to reconfigure production areas and implement measures to ensure safe </w:t>
      </w:r>
      <w:r w:rsidRPr="005771B0">
        <w:rPr>
          <w:rFonts w:eastAsia="Times New Roman"/>
          <w:iCs/>
          <w:sz w:val="18"/>
          <w:szCs w:val="18"/>
        </w:rPr>
        <w:lastRenderedPageBreak/>
        <w:t>working and social distancing, and £0.8m of costs in relation to the temporary closure of sites. These operating costs are net of UK Government assistance of £21.3m received under the Coronavirus Job Retention Scheme</w:t>
      </w:r>
      <w:r>
        <w:rPr>
          <w:rFonts w:eastAsia="Times New Roman"/>
          <w:iCs/>
          <w:sz w:val="18"/>
          <w:szCs w:val="18"/>
        </w:rPr>
        <w:t>; and</w:t>
      </w:r>
    </w:p>
    <w:p w14:paraId="78927F4C" w14:textId="2463383E" w:rsidR="008967BE" w:rsidRPr="00660EC8" w:rsidRDefault="008967BE" w:rsidP="008967BE">
      <w:pPr>
        <w:widowControl/>
        <w:numPr>
          <w:ilvl w:val="0"/>
          <w:numId w:val="65"/>
        </w:numPr>
        <w:jc w:val="both"/>
        <w:rPr>
          <w:rFonts w:eastAsia="Times New Roman"/>
        </w:rPr>
      </w:pPr>
      <w:r w:rsidRPr="005771B0">
        <w:rPr>
          <w:rFonts w:eastAsia="Times New Roman"/>
          <w:iCs/>
          <w:sz w:val="18"/>
          <w:szCs w:val="18"/>
        </w:rPr>
        <w:t>Exceptional items of £13.9m comprise £1.2m of transaction costs relating to the modification of debt facilities, a £5.9m modification charge reflecting the incremental interest costs that will be incurred by the Group in future periods as a result of the covenant amendments, inventory and plant and equipment impairment of £4.8m and restructuring costs of £2.0m</w:t>
      </w:r>
      <w:r>
        <w:rPr>
          <w:rFonts w:eastAsia="Times New Roman"/>
          <w:iCs/>
          <w:sz w:val="18"/>
          <w:szCs w:val="18"/>
        </w:rPr>
        <w:t>.</w:t>
      </w:r>
    </w:p>
    <w:p w14:paraId="57A66B53" w14:textId="5AFF2747" w:rsidR="00084134" w:rsidRDefault="00A4124E" w:rsidP="00A4124E">
      <w:pPr>
        <w:jc w:val="both"/>
        <w:rPr>
          <w:rFonts w:cs="Arial"/>
          <w:sz w:val="18"/>
          <w:szCs w:val="18"/>
        </w:rPr>
      </w:pPr>
      <w:r w:rsidRPr="005771B0" w:rsidDel="00A4124E">
        <w:rPr>
          <w:rFonts w:cs="Arial"/>
          <w:sz w:val="18"/>
          <w:szCs w:val="18"/>
        </w:rPr>
        <w:t xml:space="preserve"> </w:t>
      </w:r>
    </w:p>
    <w:p w14:paraId="26704265" w14:textId="5AD25080" w:rsidR="00904D20" w:rsidRDefault="00904D20" w:rsidP="00904D20">
      <w:pPr>
        <w:jc w:val="both"/>
        <w:rPr>
          <w:rFonts w:cs="Arial"/>
          <w:sz w:val="18"/>
          <w:szCs w:val="18"/>
        </w:rPr>
      </w:pPr>
      <w:r>
        <w:rPr>
          <w:rFonts w:cs="Arial"/>
          <w:sz w:val="18"/>
          <w:szCs w:val="18"/>
        </w:rPr>
        <w:t>Actions taken during FY20</w:t>
      </w:r>
      <w:r w:rsidR="004752B0">
        <w:rPr>
          <w:rFonts w:cs="Arial"/>
          <w:sz w:val="18"/>
          <w:szCs w:val="18"/>
        </w:rPr>
        <w:t xml:space="preserve"> to protect profitability</w:t>
      </w:r>
      <w:r>
        <w:rPr>
          <w:rFonts w:cs="Arial"/>
          <w:sz w:val="18"/>
          <w:szCs w:val="18"/>
        </w:rPr>
        <w:t xml:space="preserve"> included rapidly tightening the Group’s food to go network to adjust to demand changes,</w:t>
      </w:r>
      <w:r w:rsidR="00BC2155">
        <w:rPr>
          <w:rFonts w:cs="Arial"/>
          <w:sz w:val="18"/>
          <w:szCs w:val="18"/>
        </w:rPr>
        <w:t xml:space="preserve"> shift optimisation,</w:t>
      </w:r>
      <w:r>
        <w:rPr>
          <w:rFonts w:cs="Arial"/>
          <w:sz w:val="18"/>
          <w:szCs w:val="18"/>
        </w:rPr>
        <w:t xml:space="preserve"> furloughing a substantial proportion of colleagues using the Government’s Coronavirus Job Retention Scheme, </w:t>
      </w:r>
      <w:r w:rsidR="00BC2155">
        <w:rPr>
          <w:rFonts w:cs="Arial"/>
          <w:sz w:val="18"/>
          <w:szCs w:val="18"/>
        </w:rPr>
        <w:t>reducing agency labour, deferring product development</w:t>
      </w:r>
      <w:r>
        <w:rPr>
          <w:rFonts w:cs="Arial"/>
          <w:sz w:val="18"/>
          <w:szCs w:val="18"/>
        </w:rPr>
        <w:t xml:space="preserve">, </w:t>
      </w:r>
      <w:r w:rsidR="00BC2155">
        <w:rPr>
          <w:rFonts w:cs="Arial"/>
          <w:sz w:val="18"/>
          <w:szCs w:val="18"/>
        </w:rPr>
        <w:t xml:space="preserve">pay freezes, </w:t>
      </w:r>
      <w:r>
        <w:rPr>
          <w:rFonts w:cs="Arial"/>
          <w:sz w:val="18"/>
          <w:szCs w:val="18"/>
        </w:rPr>
        <w:t xml:space="preserve">and agreeing voluntary reductions in </w:t>
      </w:r>
      <w:r w:rsidR="0051787E">
        <w:rPr>
          <w:rFonts w:cs="Arial"/>
          <w:sz w:val="18"/>
          <w:szCs w:val="18"/>
        </w:rPr>
        <w:t xml:space="preserve">compensation for the </w:t>
      </w:r>
      <w:r>
        <w:rPr>
          <w:rFonts w:cs="Arial"/>
          <w:sz w:val="18"/>
          <w:szCs w:val="18"/>
        </w:rPr>
        <w:t>Board</w:t>
      </w:r>
      <w:r w:rsidR="001E1337">
        <w:rPr>
          <w:rFonts w:cs="Arial"/>
          <w:sz w:val="18"/>
          <w:szCs w:val="18"/>
        </w:rPr>
        <w:t xml:space="preserve"> </w:t>
      </w:r>
      <w:r w:rsidR="00D633C8">
        <w:rPr>
          <w:rFonts w:cs="Arial"/>
          <w:sz w:val="18"/>
          <w:szCs w:val="18"/>
        </w:rPr>
        <w:t>and the wider senior management team</w:t>
      </w:r>
      <w:r>
        <w:rPr>
          <w:rFonts w:cs="Arial"/>
          <w:sz w:val="18"/>
          <w:szCs w:val="18"/>
        </w:rPr>
        <w:t xml:space="preserve">. </w:t>
      </w:r>
      <w:r w:rsidR="00754A00" w:rsidRPr="00CA31DC">
        <w:rPr>
          <w:rFonts w:cs="Arial"/>
          <w:sz w:val="18"/>
          <w:szCs w:val="18"/>
        </w:rPr>
        <w:t>The impact from the full suite of mitigating actions</w:t>
      </w:r>
      <w:r w:rsidR="00DE30F3">
        <w:rPr>
          <w:rFonts w:cs="Arial"/>
          <w:sz w:val="18"/>
          <w:szCs w:val="18"/>
        </w:rPr>
        <w:t>,</w:t>
      </w:r>
      <w:r w:rsidR="001B6E82">
        <w:rPr>
          <w:rFonts w:cs="Arial"/>
          <w:sz w:val="18"/>
          <w:szCs w:val="18"/>
        </w:rPr>
        <w:t xml:space="preserve"> taken since the pandemic began</w:t>
      </w:r>
      <w:r w:rsidR="00DE30F3">
        <w:rPr>
          <w:rFonts w:cs="Arial"/>
          <w:sz w:val="18"/>
          <w:szCs w:val="18"/>
        </w:rPr>
        <w:t>,</w:t>
      </w:r>
      <w:r w:rsidR="001B6E82">
        <w:rPr>
          <w:rFonts w:cs="Arial"/>
          <w:sz w:val="18"/>
          <w:szCs w:val="18"/>
        </w:rPr>
        <w:t xml:space="preserve"> enabled </w:t>
      </w:r>
      <w:r w:rsidR="00754A00" w:rsidRPr="00CA31DC">
        <w:rPr>
          <w:rFonts w:cs="Arial"/>
          <w:sz w:val="18"/>
          <w:szCs w:val="18"/>
        </w:rPr>
        <w:t xml:space="preserve">the Group to </w:t>
      </w:r>
      <w:r w:rsidR="001B6E82">
        <w:rPr>
          <w:rFonts w:cs="Arial"/>
          <w:sz w:val="18"/>
          <w:szCs w:val="18"/>
        </w:rPr>
        <w:t xml:space="preserve">generate </w:t>
      </w:r>
      <w:r w:rsidR="00754A00" w:rsidRPr="00CA31DC">
        <w:rPr>
          <w:rFonts w:cs="Arial"/>
          <w:sz w:val="18"/>
          <w:szCs w:val="18"/>
        </w:rPr>
        <w:t xml:space="preserve">modestly positive </w:t>
      </w:r>
      <w:r w:rsidR="00F36CCE">
        <w:rPr>
          <w:rFonts w:cs="Arial"/>
          <w:sz w:val="18"/>
          <w:szCs w:val="18"/>
        </w:rPr>
        <w:t xml:space="preserve">Adjusted </w:t>
      </w:r>
      <w:r w:rsidR="00754A00" w:rsidRPr="00CA31DC">
        <w:rPr>
          <w:rFonts w:cs="Arial"/>
          <w:sz w:val="18"/>
          <w:szCs w:val="18"/>
        </w:rPr>
        <w:t>EBITDA</w:t>
      </w:r>
      <w:r w:rsidR="001B6E82">
        <w:rPr>
          <w:rFonts w:cs="Arial"/>
          <w:sz w:val="18"/>
          <w:szCs w:val="18"/>
        </w:rPr>
        <w:t xml:space="preserve"> in Q3</w:t>
      </w:r>
      <w:r w:rsidR="00F36CCE">
        <w:rPr>
          <w:rFonts w:cs="Arial"/>
          <w:sz w:val="18"/>
          <w:szCs w:val="18"/>
        </w:rPr>
        <w:t xml:space="preserve"> and a further improvement in </w:t>
      </w:r>
      <w:r w:rsidR="00833D08">
        <w:rPr>
          <w:rFonts w:cs="Arial"/>
          <w:sz w:val="18"/>
          <w:szCs w:val="18"/>
        </w:rPr>
        <w:t>Q4</w:t>
      </w:r>
      <w:r w:rsidR="00F36CCE">
        <w:rPr>
          <w:rFonts w:cs="Arial"/>
          <w:sz w:val="18"/>
          <w:szCs w:val="18"/>
        </w:rPr>
        <w:t xml:space="preserve">. </w:t>
      </w:r>
    </w:p>
    <w:p w14:paraId="3BAFDE1B" w14:textId="77777777" w:rsidR="00BD2E2C" w:rsidRPr="00904D20" w:rsidRDefault="00BD2E2C" w:rsidP="00BD2E2C">
      <w:pPr>
        <w:jc w:val="both"/>
        <w:rPr>
          <w:rFonts w:cs="Arial"/>
          <w:sz w:val="18"/>
          <w:szCs w:val="18"/>
          <w:highlight w:val="yellow"/>
        </w:rPr>
      </w:pPr>
    </w:p>
    <w:p w14:paraId="64E87B3D" w14:textId="77777777" w:rsidR="004752B0" w:rsidRPr="0081071F" w:rsidRDefault="004752B0" w:rsidP="00064D78">
      <w:pPr>
        <w:adjustRightInd w:val="0"/>
        <w:jc w:val="both"/>
        <w:rPr>
          <w:sz w:val="18"/>
          <w:szCs w:val="18"/>
        </w:rPr>
      </w:pPr>
      <w:r w:rsidRPr="0081071F">
        <w:rPr>
          <w:sz w:val="18"/>
          <w:szCs w:val="18"/>
        </w:rPr>
        <w:t>In FY20</w:t>
      </w:r>
      <w:r w:rsidR="00D633C8">
        <w:rPr>
          <w:sz w:val="18"/>
          <w:szCs w:val="18"/>
        </w:rPr>
        <w:t>,</w:t>
      </w:r>
      <w:r w:rsidRPr="0081071F">
        <w:rPr>
          <w:sz w:val="18"/>
          <w:szCs w:val="18"/>
        </w:rPr>
        <w:t xml:space="preserve"> the Group deferred a substantial portion of non-essential capital expenditure, deferred cash contributions to the defined benefit pension schemes, and suspended dividend payments, </w:t>
      </w:r>
      <w:proofErr w:type="gramStart"/>
      <w:r w:rsidRPr="0081071F">
        <w:rPr>
          <w:sz w:val="18"/>
          <w:szCs w:val="18"/>
        </w:rPr>
        <w:t>in order to</w:t>
      </w:r>
      <w:proofErr w:type="gramEnd"/>
      <w:r w:rsidRPr="0081071F">
        <w:rPr>
          <w:sz w:val="18"/>
          <w:szCs w:val="18"/>
        </w:rPr>
        <w:t xml:space="preserve"> manage cash outflows. </w:t>
      </w:r>
    </w:p>
    <w:p w14:paraId="45CCAD4D" w14:textId="77777777" w:rsidR="004752B0" w:rsidRPr="0081071F" w:rsidRDefault="004752B0" w:rsidP="00064D78">
      <w:pPr>
        <w:adjustRightInd w:val="0"/>
        <w:jc w:val="both"/>
        <w:rPr>
          <w:sz w:val="18"/>
          <w:szCs w:val="18"/>
        </w:rPr>
      </w:pPr>
    </w:p>
    <w:p w14:paraId="58212A27" w14:textId="77777777" w:rsidR="00BC2155" w:rsidRPr="00464D3F" w:rsidRDefault="00BC129B" w:rsidP="00BC129B">
      <w:pPr>
        <w:adjustRightInd w:val="0"/>
        <w:jc w:val="both"/>
        <w:rPr>
          <w:sz w:val="18"/>
          <w:szCs w:val="18"/>
        </w:rPr>
      </w:pPr>
      <w:r w:rsidRPr="00464D3F">
        <w:rPr>
          <w:sz w:val="18"/>
          <w:szCs w:val="18"/>
        </w:rPr>
        <w:t xml:space="preserve">The Group </w:t>
      </w:r>
      <w:r w:rsidR="00AE03E8" w:rsidRPr="00464D3F">
        <w:rPr>
          <w:sz w:val="18"/>
          <w:szCs w:val="18"/>
        </w:rPr>
        <w:t xml:space="preserve">retained </w:t>
      </w:r>
      <w:r w:rsidR="0049342E" w:rsidRPr="00464D3F">
        <w:rPr>
          <w:sz w:val="18"/>
          <w:szCs w:val="18"/>
        </w:rPr>
        <w:t xml:space="preserve">cash and undrawn committed bank facilities of £232.0m </w:t>
      </w:r>
      <w:proofErr w:type="gramStart"/>
      <w:r w:rsidR="0049342E" w:rsidRPr="00464D3F">
        <w:rPr>
          <w:sz w:val="18"/>
          <w:szCs w:val="18"/>
        </w:rPr>
        <w:t>at</w:t>
      </w:r>
      <w:proofErr w:type="gramEnd"/>
      <w:r w:rsidR="0049342E" w:rsidRPr="00464D3F">
        <w:rPr>
          <w:sz w:val="18"/>
          <w:szCs w:val="18"/>
        </w:rPr>
        <w:t xml:space="preserve"> 25 September 2020.</w:t>
      </w:r>
      <w:r w:rsidR="00806816" w:rsidRPr="00464D3F">
        <w:rPr>
          <w:sz w:val="18"/>
          <w:szCs w:val="18"/>
        </w:rPr>
        <w:t xml:space="preserve"> </w:t>
      </w:r>
    </w:p>
    <w:p w14:paraId="0B5B0971" w14:textId="77777777" w:rsidR="00BC2155" w:rsidRPr="00464D3F" w:rsidRDefault="00BC2155" w:rsidP="00BC129B">
      <w:pPr>
        <w:adjustRightInd w:val="0"/>
        <w:jc w:val="both"/>
        <w:rPr>
          <w:sz w:val="18"/>
          <w:szCs w:val="18"/>
        </w:rPr>
      </w:pPr>
    </w:p>
    <w:p w14:paraId="027D29A2" w14:textId="4C8E650F" w:rsidR="00947A36" w:rsidRPr="00464D3F" w:rsidRDefault="00947A36" w:rsidP="00BC129B">
      <w:pPr>
        <w:adjustRightInd w:val="0"/>
        <w:jc w:val="both"/>
        <w:rPr>
          <w:sz w:val="18"/>
          <w:szCs w:val="18"/>
        </w:rPr>
      </w:pPr>
      <w:r w:rsidRPr="00464D3F">
        <w:rPr>
          <w:sz w:val="18"/>
          <w:szCs w:val="18"/>
        </w:rPr>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support from its bank lending syndicate and its Private Placement Note holders. </w:t>
      </w:r>
      <w:r w:rsidR="00AD1084">
        <w:rPr>
          <w:sz w:val="18"/>
          <w:szCs w:val="18"/>
        </w:rPr>
        <w:t>Of the key features, t</w:t>
      </w:r>
      <w:r w:rsidRPr="00464D3F">
        <w:rPr>
          <w:sz w:val="18"/>
          <w:szCs w:val="18"/>
        </w:rPr>
        <w:t>he Group has:</w:t>
      </w:r>
    </w:p>
    <w:p w14:paraId="16B2EDDE" w14:textId="77777777" w:rsidR="00947A36" w:rsidRPr="00464D3F" w:rsidRDefault="00947A36" w:rsidP="00BC129B">
      <w:pPr>
        <w:adjustRightInd w:val="0"/>
        <w:jc w:val="both"/>
        <w:rPr>
          <w:sz w:val="18"/>
          <w:szCs w:val="18"/>
        </w:rPr>
      </w:pPr>
    </w:p>
    <w:p w14:paraId="695C1219" w14:textId="77777777" w:rsidR="00832182" w:rsidRPr="00602FBB" w:rsidRDefault="00832182" w:rsidP="00832182">
      <w:pPr>
        <w:pStyle w:val="ListParagraph"/>
        <w:numPr>
          <w:ilvl w:val="0"/>
          <w:numId w:val="51"/>
        </w:numPr>
        <w:adjustRightInd w:val="0"/>
        <w:jc w:val="both"/>
        <w:rPr>
          <w:sz w:val="18"/>
          <w:szCs w:val="18"/>
        </w:rPr>
      </w:pPr>
      <w:r w:rsidRPr="00602FBB">
        <w:rPr>
          <w:sz w:val="18"/>
          <w:szCs w:val="18"/>
        </w:rPr>
        <w:t xml:space="preserve">Extended the maturity of its £75m revolving credit bank facility by two years to March 2023 </w:t>
      </w:r>
    </w:p>
    <w:p w14:paraId="0C2F3F9F" w14:textId="06507BF4" w:rsidR="00832182" w:rsidRPr="00602FBB" w:rsidRDefault="00832182" w:rsidP="00832182">
      <w:pPr>
        <w:pStyle w:val="ListParagraph"/>
        <w:numPr>
          <w:ilvl w:val="0"/>
          <w:numId w:val="51"/>
        </w:numPr>
        <w:adjustRightInd w:val="0"/>
        <w:jc w:val="both"/>
        <w:rPr>
          <w:sz w:val="18"/>
          <w:szCs w:val="18"/>
        </w:rPr>
      </w:pPr>
      <w:r w:rsidRPr="00602FBB">
        <w:rPr>
          <w:sz w:val="18"/>
          <w:szCs w:val="18"/>
        </w:rPr>
        <w:t xml:space="preserve">Refinanced the Group’s £50m bilateral loan for a new </w:t>
      </w:r>
      <w:proofErr w:type="gramStart"/>
      <w:r w:rsidR="00E44C56">
        <w:rPr>
          <w:sz w:val="18"/>
          <w:szCs w:val="18"/>
        </w:rPr>
        <w:t>three</w:t>
      </w:r>
      <w:r w:rsidRPr="00602FBB">
        <w:rPr>
          <w:sz w:val="18"/>
          <w:szCs w:val="18"/>
        </w:rPr>
        <w:t xml:space="preserve"> year</w:t>
      </w:r>
      <w:proofErr w:type="gramEnd"/>
      <w:r w:rsidRPr="00602FBB">
        <w:rPr>
          <w:sz w:val="18"/>
          <w:szCs w:val="18"/>
        </w:rPr>
        <w:t xml:space="preserve"> term maturing in January 2024</w:t>
      </w:r>
    </w:p>
    <w:p w14:paraId="0BA877E1" w14:textId="77777777" w:rsidR="00832182" w:rsidRPr="00602FBB" w:rsidRDefault="00832182" w:rsidP="00832182">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2.0x</w:t>
      </w:r>
    </w:p>
    <w:p w14:paraId="590BA04B" w14:textId="77777777" w:rsidR="00832182" w:rsidRPr="00602FBB" w:rsidRDefault="00832182" w:rsidP="00832182">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p>
    <w:p w14:paraId="2E1147DF" w14:textId="6B808416" w:rsidR="00832182" w:rsidRPr="005771B0" w:rsidRDefault="00832182" w:rsidP="005771B0">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040221">
        <w:rPr>
          <w:sz w:val="18"/>
          <w:szCs w:val="18"/>
        </w:rPr>
        <w:t>m</w:t>
      </w:r>
      <w:r w:rsidRPr="00602FBB">
        <w:rPr>
          <w:sz w:val="18"/>
          <w:szCs w:val="18"/>
        </w:rPr>
        <w:t>-</w:t>
      </w:r>
      <w:r w:rsidR="00040221">
        <w:rPr>
          <w:sz w:val="18"/>
          <w:szCs w:val="18"/>
        </w:rPr>
        <w:t>£</w:t>
      </w:r>
      <w:r w:rsidRPr="00602FBB">
        <w:rPr>
          <w:sz w:val="18"/>
          <w:szCs w:val="18"/>
        </w:rPr>
        <w:t>125m</w:t>
      </w:r>
    </w:p>
    <w:p w14:paraId="67FEFBB1" w14:textId="58AFE69A" w:rsidR="00832182" w:rsidRPr="006E7165" w:rsidRDefault="00832182" w:rsidP="00832182">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040221">
        <w:rPr>
          <w:sz w:val="18"/>
          <w:szCs w:val="18"/>
        </w:rPr>
        <w:t>m</w:t>
      </w:r>
      <w:r>
        <w:rPr>
          <w:sz w:val="18"/>
          <w:szCs w:val="18"/>
        </w:rPr>
        <w:t>-</w:t>
      </w:r>
      <w:r w:rsidR="000F75C5">
        <w:rPr>
          <w:sz w:val="18"/>
          <w:szCs w:val="18"/>
        </w:rPr>
        <w:t>£</w:t>
      </w:r>
      <w:r>
        <w:rPr>
          <w:sz w:val="18"/>
          <w:szCs w:val="18"/>
        </w:rPr>
        <w:t>550</w:t>
      </w:r>
      <w:r w:rsidR="00040221">
        <w:rPr>
          <w:sz w:val="18"/>
          <w:szCs w:val="18"/>
        </w:rPr>
        <w:t>m</w:t>
      </w:r>
    </w:p>
    <w:p w14:paraId="6AAA3207" w14:textId="0332B696" w:rsidR="0048309B" w:rsidRPr="005771B0" w:rsidRDefault="0048309B" w:rsidP="005771B0">
      <w:pPr>
        <w:adjustRightInd w:val="0"/>
        <w:ind w:left="360"/>
        <w:jc w:val="both"/>
        <w:rPr>
          <w:sz w:val="18"/>
          <w:szCs w:val="18"/>
        </w:rPr>
      </w:pPr>
    </w:p>
    <w:p w14:paraId="1E4E2E6E" w14:textId="2954AFCD" w:rsidR="0048309B" w:rsidRDefault="00FB6F7D" w:rsidP="00BF2432">
      <w:pPr>
        <w:adjustRightInd w:val="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4EBB4CAB" w14:textId="77777777" w:rsidR="00FB6F7D" w:rsidRDefault="00FB6F7D" w:rsidP="00BF2432">
      <w:pPr>
        <w:adjustRightInd w:val="0"/>
        <w:jc w:val="both"/>
        <w:rPr>
          <w:sz w:val="18"/>
          <w:szCs w:val="18"/>
        </w:rPr>
      </w:pPr>
    </w:p>
    <w:p w14:paraId="2DCFBED3" w14:textId="08A6AEAD" w:rsidR="00DE1738" w:rsidRPr="0081071F" w:rsidRDefault="00ED297A" w:rsidP="00ED0EF2">
      <w:pPr>
        <w:adjustRightInd w:val="0"/>
        <w:spacing w:after="120"/>
        <w:jc w:val="both"/>
        <w:rPr>
          <w:sz w:val="18"/>
          <w:szCs w:val="18"/>
        </w:rPr>
      </w:pPr>
      <w:r w:rsidRPr="00ED297A">
        <w:rPr>
          <w:sz w:val="18"/>
          <w:szCs w:val="18"/>
        </w:rPr>
        <w:t xml:space="preserve">The proposed </w:t>
      </w:r>
      <w:r w:rsidR="00B24490">
        <w:rPr>
          <w:sz w:val="18"/>
          <w:szCs w:val="18"/>
        </w:rPr>
        <w:t>P</w:t>
      </w:r>
      <w:r w:rsidRPr="00ED297A">
        <w:rPr>
          <w:sz w:val="18"/>
          <w:szCs w:val="18"/>
        </w:rPr>
        <w:t xml:space="preserve">lacing enables the Group to proactively manage debt levels to ensure appropriate liquidity and leverage headroom, including through more extreme downside scenarios, avoid a set of further cost and capital reduction actions now which would compromise </w:t>
      </w:r>
      <w:r>
        <w:rPr>
          <w:sz w:val="18"/>
          <w:szCs w:val="18"/>
        </w:rPr>
        <w:t>the Group’s</w:t>
      </w:r>
      <w:r w:rsidRPr="00ED297A">
        <w:rPr>
          <w:sz w:val="18"/>
          <w:szCs w:val="18"/>
        </w:rPr>
        <w:t xml:space="preserve"> ability to </w:t>
      </w:r>
      <w:r>
        <w:rPr>
          <w:sz w:val="18"/>
          <w:szCs w:val="18"/>
        </w:rPr>
        <w:t>build back</w:t>
      </w:r>
      <w:r w:rsidR="00B24490">
        <w:rPr>
          <w:sz w:val="18"/>
          <w:szCs w:val="18"/>
        </w:rPr>
        <w:t xml:space="preserve"> effectively post-</w:t>
      </w:r>
      <w:r w:rsidRPr="00ED297A">
        <w:rPr>
          <w:sz w:val="18"/>
          <w:szCs w:val="18"/>
        </w:rPr>
        <w:t>COVID</w:t>
      </w:r>
      <w:r w:rsidR="00B24490">
        <w:rPr>
          <w:sz w:val="18"/>
          <w:szCs w:val="18"/>
        </w:rPr>
        <w:t>-19</w:t>
      </w:r>
      <w:r w:rsidRPr="00ED297A">
        <w:rPr>
          <w:sz w:val="18"/>
          <w:szCs w:val="18"/>
        </w:rPr>
        <w:t xml:space="preserve">, enable </w:t>
      </w:r>
      <w:r>
        <w:rPr>
          <w:sz w:val="18"/>
          <w:szCs w:val="18"/>
        </w:rPr>
        <w:t>the Group</w:t>
      </w:r>
      <w:r w:rsidRPr="00ED297A">
        <w:rPr>
          <w:sz w:val="18"/>
          <w:szCs w:val="18"/>
        </w:rPr>
        <w:t xml:space="preserve"> to fully deliver new business already landed and pursue incremental opportunities targeted for FY21 and continue appropriate levels of investment to drive forward </w:t>
      </w:r>
      <w:r>
        <w:rPr>
          <w:sz w:val="18"/>
          <w:szCs w:val="18"/>
        </w:rPr>
        <w:t>the Group’s</w:t>
      </w:r>
      <w:r w:rsidRPr="00ED297A">
        <w:rPr>
          <w:sz w:val="18"/>
          <w:szCs w:val="18"/>
        </w:rPr>
        <w:t xml:space="preserve"> productivity enhancement initiatives, including in automation</w:t>
      </w:r>
      <w:r w:rsidR="00B24490">
        <w:rPr>
          <w:sz w:val="18"/>
          <w:szCs w:val="18"/>
        </w:rPr>
        <w:t>.</w:t>
      </w:r>
    </w:p>
    <w:p w14:paraId="2C73E537" w14:textId="77777777" w:rsidR="00806816" w:rsidRPr="00806816" w:rsidRDefault="00806816" w:rsidP="00ED0EF2">
      <w:pPr>
        <w:spacing w:after="120"/>
        <w:jc w:val="both"/>
        <w:rPr>
          <w:rFonts w:cs="Arial"/>
          <w:b/>
          <w:sz w:val="20"/>
          <w:szCs w:val="18"/>
        </w:rPr>
      </w:pPr>
      <w:r w:rsidRPr="00806816">
        <w:rPr>
          <w:rFonts w:cs="Arial"/>
          <w:b/>
          <w:sz w:val="20"/>
          <w:szCs w:val="18"/>
        </w:rPr>
        <w:t>SUSTAINABILITY</w:t>
      </w:r>
    </w:p>
    <w:p w14:paraId="752D3FC0" w14:textId="4B8CEC23" w:rsidR="00806816" w:rsidRDefault="00806816" w:rsidP="00806816">
      <w:pPr>
        <w:jc w:val="both"/>
        <w:rPr>
          <w:rFonts w:cs="Arial"/>
          <w:sz w:val="18"/>
          <w:szCs w:val="18"/>
        </w:rPr>
      </w:pPr>
      <w:r>
        <w:rPr>
          <w:rFonts w:cs="Arial"/>
          <w:sz w:val="18"/>
          <w:szCs w:val="18"/>
        </w:rPr>
        <w:t>The Group has separately published its Sustainability Report (</w:t>
      </w:r>
      <w:r w:rsidR="00833D08">
        <w:rPr>
          <w:rFonts w:cs="Arial"/>
          <w:sz w:val="18"/>
          <w:szCs w:val="18"/>
        </w:rPr>
        <w:t>www.</w:t>
      </w:r>
      <w:r w:rsidR="000454DA">
        <w:rPr>
          <w:rFonts w:cs="Arial"/>
          <w:i/>
          <w:sz w:val="18"/>
          <w:szCs w:val="18"/>
        </w:rPr>
        <w:t>makingeverydaytastebetter.com</w:t>
      </w:r>
      <w:r>
        <w:rPr>
          <w:rFonts w:cs="Arial"/>
          <w:sz w:val="18"/>
          <w:szCs w:val="18"/>
        </w:rPr>
        <w:t xml:space="preserve">) that describes how sustainability is embedded through the business model and in the overall strategic objectives of the Group. The Group aims </w:t>
      </w:r>
      <w:r w:rsidRPr="00604124">
        <w:rPr>
          <w:rFonts w:cs="Arial"/>
          <w:sz w:val="18"/>
          <w:szCs w:val="18"/>
        </w:rPr>
        <w:t xml:space="preserve">to lead the sustainability agenda for </w:t>
      </w:r>
      <w:r>
        <w:rPr>
          <w:rFonts w:cs="Arial"/>
          <w:sz w:val="18"/>
          <w:szCs w:val="18"/>
        </w:rPr>
        <w:t xml:space="preserve">the </w:t>
      </w:r>
      <w:r w:rsidRPr="00604124">
        <w:rPr>
          <w:rFonts w:cs="Arial"/>
          <w:sz w:val="18"/>
          <w:szCs w:val="18"/>
        </w:rPr>
        <w:t>sector</w:t>
      </w:r>
      <w:r>
        <w:rPr>
          <w:rFonts w:cs="Arial"/>
          <w:sz w:val="18"/>
          <w:szCs w:val="18"/>
        </w:rPr>
        <w:t xml:space="preserve"> and the </w:t>
      </w:r>
      <w:r w:rsidRPr="00604124">
        <w:rPr>
          <w:rFonts w:cs="Arial"/>
          <w:sz w:val="18"/>
          <w:szCs w:val="18"/>
        </w:rPr>
        <w:t xml:space="preserve">strategy has been informed by </w:t>
      </w:r>
      <w:r w:rsidR="00833D08">
        <w:rPr>
          <w:rFonts w:cs="Arial"/>
          <w:sz w:val="18"/>
          <w:szCs w:val="18"/>
        </w:rPr>
        <w:t xml:space="preserve">extensive </w:t>
      </w:r>
      <w:r w:rsidRPr="00604124">
        <w:rPr>
          <w:rFonts w:cs="Arial"/>
          <w:sz w:val="18"/>
          <w:szCs w:val="18"/>
        </w:rPr>
        <w:t xml:space="preserve">stakeholder consultation and feedback. </w:t>
      </w:r>
      <w:r>
        <w:rPr>
          <w:rFonts w:cs="Arial"/>
          <w:sz w:val="18"/>
          <w:szCs w:val="18"/>
        </w:rPr>
        <w:t>The Group is also a</w:t>
      </w:r>
      <w:r w:rsidRPr="00604124">
        <w:rPr>
          <w:rFonts w:cs="Arial"/>
          <w:sz w:val="18"/>
          <w:szCs w:val="18"/>
        </w:rPr>
        <w:t xml:space="preserve">ligning </w:t>
      </w:r>
      <w:r>
        <w:rPr>
          <w:rFonts w:cs="Arial"/>
          <w:sz w:val="18"/>
          <w:szCs w:val="18"/>
        </w:rPr>
        <w:t xml:space="preserve">its </w:t>
      </w:r>
      <w:r w:rsidRPr="00604124">
        <w:rPr>
          <w:rFonts w:cs="Arial"/>
          <w:sz w:val="18"/>
          <w:szCs w:val="18"/>
        </w:rPr>
        <w:t xml:space="preserve">annual sustainability reporting with the Global Reporting Initiative (GRI) framework </w:t>
      </w:r>
      <w:r>
        <w:rPr>
          <w:rFonts w:cs="Arial"/>
          <w:sz w:val="18"/>
          <w:szCs w:val="18"/>
        </w:rPr>
        <w:t xml:space="preserve">to ensure enhanced and </w:t>
      </w:r>
      <w:r w:rsidRPr="00604124">
        <w:rPr>
          <w:rFonts w:cs="Arial"/>
          <w:sz w:val="18"/>
          <w:szCs w:val="18"/>
        </w:rPr>
        <w:t xml:space="preserve">transparent </w:t>
      </w:r>
      <w:r>
        <w:rPr>
          <w:rFonts w:cs="Arial"/>
          <w:sz w:val="18"/>
          <w:szCs w:val="18"/>
        </w:rPr>
        <w:t xml:space="preserve">disclosure. </w:t>
      </w:r>
    </w:p>
    <w:p w14:paraId="63F3A19C" w14:textId="77777777" w:rsidR="00806816" w:rsidRDefault="00806816" w:rsidP="00806816">
      <w:pPr>
        <w:jc w:val="both"/>
        <w:rPr>
          <w:rFonts w:cs="Arial"/>
          <w:sz w:val="18"/>
          <w:szCs w:val="18"/>
        </w:rPr>
      </w:pPr>
    </w:p>
    <w:p w14:paraId="148BB710" w14:textId="77777777" w:rsidR="00806816" w:rsidRDefault="00806816" w:rsidP="00ED0EF2">
      <w:pPr>
        <w:spacing w:after="120"/>
        <w:jc w:val="both"/>
        <w:rPr>
          <w:rFonts w:cs="Arial"/>
          <w:sz w:val="18"/>
          <w:szCs w:val="18"/>
        </w:rPr>
      </w:pPr>
      <w:r>
        <w:rPr>
          <w:rFonts w:cs="Arial"/>
          <w:sz w:val="18"/>
          <w:szCs w:val="18"/>
        </w:rPr>
        <w:t xml:space="preserve">The Group’s sustainability strategy is built around three pillars: Sourcing with </w:t>
      </w:r>
      <w:r w:rsidR="00193E09">
        <w:rPr>
          <w:rFonts w:cs="Arial"/>
          <w:sz w:val="18"/>
          <w:szCs w:val="18"/>
        </w:rPr>
        <w:t>Integrity</w:t>
      </w:r>
      <w:r>
        <w:rPr>
          <w:rFonts w:cs="Arial"/>
          <w:sz w:val="18"/>
          <w:szCs w:val="18"/>
        </w:rPr>
        <w:t xml:space="preserve">, </w:t>
      </w:r>
      <w:r w:rsidR="00193E09">
        <w:rPr>
          <w:rFonts w:cs="Arial"/>
          <w:sz w:val="18"/>
          <w:szCs w:val="18"/>
        </w:rPr>
        <w:t xml:space="preserve">Making </w:t>
      </w:r>
      <w:r>
        <w:rPr>
          <w:rFonts w:cs="Arial"/>
          <w:sz w:val="18"/>
          <w:szCs w:val="18"/>
        </w:rPr>
        <w:t xml:space="preserve">with </w:t>
      </w:r>
      <w:r w:rsidR="00193E09">
        <w:rPr>
          <w:rFonts w:cs="Arial"/>
          <w:sz w:val="18"/>
          <w:szCs w:val="18"/>
        </w:rPr>
        <w:t>Care</w:t>
      </w:r>
      <w:r>
        <w:rPr>
          <w:rFonts w:cs="Arial"/>
          <w:sz w:val="18"/>
          <w:szCs w:val="18"/>
        </w:rPr>
        <w:t xml:space="preserve">, and </w:t>
      </w:r>
      <w:r w:rsidR="00193E09">
        <w:rPr>
          <w:rFonts w:cs="Arial"/>
          <w:sz w:val="18"/>
          <w:szCs w:val="18"/>
        </w:rPr>
        <w:t xml:space="preserve">Feeding </w:t>
      </w:r>
      <w:r>
        <w:rPr>
          <w:rFonts w:cs="Arial"/>
          <w:sz w:val="18"/>
          <w:szCs w:val="18"/>
        </w:rPr>
        <w:t xml:space="preserve">with </w:t>
      </w:r>
      <w:r w:rsidR="00193E09">
        <w:rPr>
          <w:rFonts w:cs="Arial"/>
          <w:sz w:val="18"/>
          <w:szCs w:val="18"/>
        </w:rPr>
        <w:t>Pride</w:t>
      </w:r>
      <w:r>
        <w:rPr>
          <w:rFonts w:cs="Arial"/>
          <w:sz w:val="18"/>
          <w:szCs w:val="18"/>
        </w:rPr>
        <w:t xml:space="preserve">. Each pillar contains a set of priorities – an aspirational goal supported by specific milestone targets and </w:t>
      </w:r>
      <w:proofErr w:type="gramStart"/>
      <w:r>
        <w:rPr>
          <w:rFonts w:cs="Arial"/>
          <w:sz w:val="18"/>
          <w:szCs w:val="18"/>
        </w:rPr>
        <w:t>short term</w:t>
      </w:r>
      <w:proofErr w:type="gramEnd"/>
      <w:r>
        <w:rPr>
          <w:rFonts w:cs="Arial"/>
          <w:sz w:val="18"/>
          <w:szCs w:val="18"/>
        </w:rPr>
        <w:t xml:space="preserve"> actions that relate to the most material sustainability challenges, risks and opportunities facing the business.</w:t>
      </w:r>
    </w:p>
    <w:p w14:paraId="357547F1" w14:textId="77777777" w:rsidR="00806816" w:rsidRPr="00806816" w:rsidRDefault="00806816" w:rsidP="00ED0EF2">
      <w:pPr>
        <w:spacing w:after="120"/>
        <w:jc w:val="both"/>
        <w:rPr>
          <w:rFonts w:cs="Arial"/>
          <w:b/>
          <w:sz w:val="20"/>
          <w:szCs w:val="18"/>
        </w:rPr>
      </w:pPr>
      <w:r w:rsidRPr="00806816">
        <w:rPr>
          <w:rFonts w:cs="Arial"/>
          <w:b/>
          <w:sz w:val="20"/>
          <w:szCs w:val="18"/>
        </w:rPr>
        <w:t>BREXIT</w:t>
      </w:r>
    </w:p>
    <w:p w14:paraId="491D92D9" w14:textId="0CC8AA8E" w:rsidR="00806816" w:rsidRDefault="00806816" w:rsidP="00ED0EF2">
      <w:pPr>
        <w:spacing w:after="120"/>
        <w:jc w:val="both"/>
        <w:rPr>
          <w:rFonts w:cs="Arial"/>
          <w:sz w:val="18"/>
          <w:szCs w:val="18"/>
        </w:rPr>
      </w:pPr>
      <w:r w:rsidRPr="005609D2">
        <w:rPr>
          <w:rFonts w:cs="Arial"/>
          <w:sz w:val="18"/>
          <w:szCs w:val="18"/>
        </w:rPr>
        <w:t xml:space="preserve">While the nature of the UK’s exit from the EU remains </w:t>
      </w:r>
      <w:r>
        <w:rPr>
          <w:rFonts w:cs="Arial"/>
          <w:sz w:val="18"/>
          <w:szCs w:val="18"/>
        </w:rPr>
        <w:t>uncertain</w:t>
      </w:r>
      <w:r w:rsidRPr="005609D2">
        <w:rPr>
          <w:rFonts w:cs="Arial"/>
          <w:sz w:val="18"/>
          <w:szCs w:val="18"/>
        </w:rPr>
        <w:t xml:space="preserve">, </w:t>
      </w:r>
      <w:r>
        <w:rPr>
          <w:rFonts w:cs="Arial"/>
          <w:sz w:val="18"/>
          <w:szCs w:val="18"/>
        </w:rPr>
        <w:t xml:space="preserve">the Group </w:t>
      </w:r>
      <w:r w:rsidRPr="005609D2">
        <w:rPr>
          <w:rFonts w:cs="Arial"/>
          <w:sz w:val="18"/>
          <w:szCs w:val="18"/>
        </w:rPr>
        <w:t>continue</w:t>
      </w:r>
      <w:r>
        <w:rPr>
          <w:rFonts w:cs="Arial"/>
          <w:sz w:val="18"/>
          <w:szCs w:val="18"/>
        </w:rPr>
        <w:t>s</w:t>
      </w:r>
      <w:r w:rsidRPr="005609D2">
        <w:rPr>
          <w:rFonts w:cs="Arial"/>
          <w:sz w:val="18"/>
          <w:szCs w:val="18"/>
        </w:rPr>
        <w:t xml:space="preserve"> to monitor closely the potential implications on </w:t>
      </w:r>
      <w:r>
        <w:rPr>
          <w:rFonts w:cs="Arial"/>
          <w:sz w:val="18"/>
          <w:szCs w:val="18"/>
        </w:rPr>
        <w:t xml:space="preserve">the </w:t>
      </w:r>
      <w:r w:rsidRPr="005609D2">
        <w:rPr>
          <w:rFonts w:cs="Arial"/>
          <w:sz w:val="18"/>
          <w:szCs w:val="18"/>
        </w:rPr>
        <w:t xml:space="preserve">business, including, in particular, any potential changes to </w:t>
      </w:r>
      <w:r>
        <w:rPr>
          <w:rFonts w:cs="Arial"/>
          <w:sz w:val="18"/>
          <w:szCs w:val="18"/>
        </w:rPr>
        <w:t xml:space="preserve">prospective demand, </w:t>
      </w:r>
      <w:r w:rsidRPr="005609D2">
        <w:rPr>
          <w:rFonts w:cs="Arial"/>
          <w:sz w:val="18"/>
          <w:szCs w:val="18"/>
        </w:rPr>
        <w:t>the supply chain and the availability and cost of labour</w:t>
      </w:r>
      <w:r w:rsidRPr="00193E09">
        <w:rPr>
          <w:rFonts w:cs="Arial"/>
          <w:sz w:val="18"/>
          <w:szCs w:val="18"/>
        </w:rPr>
        <w:t>.</w:t>
      </w:r>
      <w:r w:rsidRPr="00B52755">
        <w:rPr>
          <w:rFonts w:cs="Arial"/>
          <w:sz w:val="18"/>
          <w:szCs w:val="18"/>
        </w:rPr>
        <w:t xml:space="preserve"> </w:t>
      </w:r>
      <w:r w:rsidRPr="005609D2">
        <w:rPr>
          <w:rFonts w:cs="Arial"/>
          <w:sz w:val="18"/>
          <w:szCs w:val="18"/>
        </w:rPr>
        <w:t xml:space="preserve">Detailed contingency planning is in place to mitigate these challenges and </w:t>
      </w:r>
      <w:r w:rsidR="004217C0">
        <w:rPr>
          <w:rFonts w:cs="Arial"/>
          <w:sz w:val="18"/>
          <w:szCs w:val="18"/>
        </w:rPr>
        <w:t xml:space="preserve">to </w:t>
      </w:r>
      <w:r w:rsidRPr="005609D2">
        <w:rPr>
          <w:rFonts w:cs="Arial"/>
          <w:sz w:val="18"/>
          <w:szCs w:val="18"/>
        </w:rPr>
        <w:t xml:space="preserve">support dialogue with our customers, government, the wider </w:t>
      </w:r>
      <w:proofErr w:type="gramStart"/>
      <w:r w:rsidRPr="005609D2">
        <w:rPr>
          <w:rFonts w:cs="Arial"/>
          <w:sz w:val="18"/>
          <w:szCs w:val="18"/>
        </w:rPr>
        <w:t>industry</w:t>
      </w:r>
      <w:proofErr w:type="gramEnd"/>
      <w:r w:rsidRPr="005609D2">
        <w:rPr>
          <w:rFonts w:cs="Arial"/>
          <w:sz w:val="18"/>
          <w:szCs w:val="18"/>
        </w:rPr>
        <w:t xml:space="preserve"> and other stakeholders.</w:t>
      </w:r>
    </w:p>
    <w:p w14:paraId="0E975B7D" w14:textId="77777777" w:rsidR="00806816" w:rsidRDefault="00806816" w:rsidP="00ED0EF2">
      <w:pPr>
        <w:spacing w:after="120"/>
        <w:jc w:val="both"/>
        <w:rPr>
          <w:rFonts w:cs="Arial"/>
          <w:sz w:val="18"/>
          <w:szCs w:val="18"/>
        </w:rPr>
      </w:pPr>
      <w:r>
        <w:rPr>
          <w:rFonts w:cs="Arial"/>
          <w:sz w:val="18"/>
          <w:szCs w:val="18"/>
        </w:rPr>
        <w:t xml:space="preserve">The Group continues to believe that the risks from Brexit are manageable in the medium term, while acknowledging potential near-term challenges associated with a disorderly exit. The direct financial impact </w:t>
      </w:r>
      <w:r w:rsidRPr="0002184D">
        <w:rPr>
          <w:rFonts w:cs="Arial"/>
          <w:sz w:val="18"/>
          <w:szCs w:val="18"/>
        </w:rPr>
        <w:t>associated with preparation</w:t>
      </w:r>
      <w:r w:rsidDel="00E3640A">
        <w:rPr>
          <w:rFonts w:cs="Arial"/>
          <w:sz w:val="18"/>
          <w:szCs w:val="18"/>
        </w:rPr>
        <w:t xml:space="preserve"> </w:t>
      </w:r>
      <w:r>
        <w:rPr>
          <w:rFonts w:cs="Arial"/>
          <w:sz w:val="18"/>
          <w:szCs w:val="18"/>
        </w:rPr>
        <w:t>for Brexit was modest in FY20.</w:t>
      </w:r>
    </w:p>
    <w:p w14:paraId="36E7EB2A" w14:textId="77777777" w:rsidR="00081EB2" w:rsidRPr="00E512C6" w:rsidRDefault="007823AD" w:rsidP="00ED0EF2">
      <w:pPr>
        <w:spacing w:after="120"/>
        <w:jc w:val="both"/>
        <w:rPr>
          <w:rFonts w:cs="Arial"/>
          <w:b/>
          <w:sz w:val="20"/>
          <w:szCs w:val="18"/>
        </w:rPr>
      </w:pPr>
      <w:r>
        <w:rPr>
          <w:rFonts w:cs="Arial"/>
          <w:b/>
          <w:sz w:val="20"/>
          <w:szCs w:val="18"/>
        </w:rPr>
        <w:t xml:space="preserve">CURRENT TRADING AND </w:t>
      </w:r>
      <w:r w:rsidR="00081EB2" w:rsidRPr="00904D20">
        <w:rPr>
          <w:rFonts w:cs="Arial"/>
          <w:b/>
          <w:sz w:val="20"/>
          <w:szCs w:val="18"/>
        </w:rPr>
        <w:t>OUTLOOK</w:t>
      </w:r>
      <w:r w:rsidR="006B4ED6">
        <w:rPr>
          <w:rFonts w:cs="Arial"/>
          <w:b/>
          <w:sz w:val="20"/>
          <w:szCs w:val="18"/>
          <w:vertAlign w:val="superscript"/>
        </w:rPr>
        <w:t>1</w:t>
      </w:r>
    </w:p>
    <w:p w14:paraId="7A358345" w14:textId="6AEFFAA0" w:rsidR="00D06D17" w:rsidRPr="005771B0" w:rsidRDefault="00D06D17" w:rsidP="00ED0EF2">
      <w:pPr>
        <w:spacing w:after="120"/>
        <w:jc w:val="both"/>
        <w:rPr>
          <w:rFonts w:cs="Arial"/>
          <w:sz w:val="18"/>
          <w:szCs w:val="18"/>
        </w:rPr>
      </w:pPr>
      <w:r w:rsidRPr="005771B0">
        <w:rPr>
          <w:rFonts w:cs="Arial"/>
          <w:sz w:val="18"/>
          <w:szCs w:val="18"/>
        </w:rPr>
        <w:t xml:space="preserve">The recent resurgence of COVID-19 cases across the UK led to the introduction of tiered regional restrictions in October and this impeded the pace of recovery in </w:t>
      </w:r>
      <w:r w:rsidR="00AA41C8">
        <w:rPr>
          <w:rFonts w:cs="Arial"/>
          <w:sz w:val="18"/>
          <w:szCs w:val="18"/>
        </w:rPr>
        <w:t xml:space="preserve">revenue </w:t>
      </w:r>
      <w:r w:rsidRPr="005771B0">
        <w:rPr>
          <w:rFonts w:cs="Arial"/>
          <w:sz w:val="18"/>
          <w:szCs w:val="18"/>
        </w:rPr>
        <w:t xml:space="preserve">in food to go categories that had been evident at the end of FY20. </w:t>
      </w:r>
      <w:r w:rsidR="00AA41C8">
        <w:rPr>
          <w:rFonts w:cs="Arial"/>
          <w:sz w:val="18"/>
          <w:szCs w:val="18"/>
        </w:rPr>
        <w:t>Revenue</w:t>
      </w:r>
      <w:r w:rsidR="00AA41C8" w:rsidRPr="005771B0">
        <w:rPr>
          <w:rFonts w:cs="Arial"/>
          <w:sz w:val="18"/>
          <w:szCs w:val="18"/>
        </w:rPr>
        <w:t xml:space="preserve"> </w:t>
      </w:r>
      <w:r w:rsidRPr="005771B0">
        <w:rPr>
          <w:rFonts w:cs="Arial"/>
          <w:sz w:val="18"/>
          <w:szCs w:val="18"/>
        </w:rPr>
        <w:t>in the Group’s food to go categories was approximately 22% below prior year levels</w:t>
      </w:r>
      <w:r w:rsidR="00833D08">
        <w:rPr>
          <w:rFonts w:cs="Arial"/>
          <w:sz w:val="18"/>
          <w:szCs w:val="18"/>
        </w:rPr>
        <w:t xml:space="preserve"> in the first five trading weeks of FY21</w:t>
      </w:r>
      <w:r w:rsidR="0035290A">
        <w:rPr>
          <w:rFonts w:cs="Arial"/>
          <w:sz w:val="18"/>
          <w:szCs w:val="18"/>
        </w:rPr>
        <w:t xml:space="preserve">, while </w:t>
      </w:r>
      <w:r w:rsidR="00E358D9">
        <w:rPr>
          <w:rFonts w:cs="Arial"/>
          <w:sz w:val="18"/>
          <w:szCs w:val="18"/>
        </w:rPr>
        <w:t xml:space="preserve">performance in </w:t>
      </w:r>
      <w:r w:rsidR="0035290A">
        <w:rPr>
          <w:rFonts w:cs="Arial"/>
          <w:sz w:val="18"/>
          <w:szCs w:val="18"/>
        </w:rPr>
        <w:t xml:space="preserve">the Group’s other convenience categories was </w:t>
      </w:r>
      <w:r w:rsidR="00E358D9">
        <w:rPr>
          <w:rFonts w:cs="Arial"/>
          <w:sz w:val="18"/>
          <w:szCs w:val="18"/>
        </w:rPr>
        <w:t>flat</w:t>
      </w:r>
      <w:r w:rsidR="0035290A">
        <w:rPr>
          <w:rFonts w:cs="Arial"/>
          <w:sz w:val="18"/>
          <w:szCs w:val="18"/>
        </w:rPr>
        <w:t xml:space="preserve"> </w:t>
      </w:r>
      <w:r w:rsidR="00E358D9">
        <w:rPr>
          <w:rFonts w:cs="Arial"/>
          <w:sz w:val="18"/>
          <w:szCs w:val="18"/>
        </w:rPr>
        <w:t xml:space="preserve">with </w:t>
      </w:r>
      <w:r w:rsidR="0035290A">
        <w:rPr>
          <w:rFonts w:cs="Arial"/>
          <w:sz w:val="18"/>
          <w:szCs w:val="18"/>
        </w:rPr>
        <w:t>prior year levels</w:t>
      </w:r>
      <w:r w:rsidRPr="005771B0">
        <w:rPr>
          <w:rFonts w:cs="Arial"/>
          <w:sz w:val="18"/>
          <w:szCs w:val="18"/>
        </w:rPr>
        <w:t xml:space="preserve">. </w:t>
      </w:r>
    </w:p>
    <w:p w14:paraId="71F9E62C" w14:textId="19294C4D" w:rsidR="00D06D17" w:rsidRPr="005771B0" w:rsidRDefault="00D06D17" w:rsidP="00ED0EF2">
      <w:pPr>
        <w:spacing w:after="120"/>
        <w:jc w:val="both"/>
        <w:rPr>
          <w:rFonts w:cs="Arial"/>
          <w:sz w:val="18"/>
          <w:szCs w:val="18"/>
        </w:rPr>
      </w:pPr>
      <w:r w:rsidRPr="005771B0">
        <w:rPr>
          <w:rFonts w:cs="Arial"/>
          <w:sz w:val="18"/>
          <w:szCs w:val="18"/>
        </w:rPr>
        <w:t xml:space="preserve">Further mobility restrictions were reintroduced in early November for a planned four-week period of </w:t>
      </w:r>
      <w:r w:rsidR="00833D08">
        <w:rPr>
          <w:rFonts w:cs="Arial"/>
          <w:sz w:val="18"/>
          <w:szCs w:val="18"/>
        </w:rPr>
        <w:t xml:space="preserve">nationwide </w:t>
      </w:r>
      <w:r w:rsidRPr="005771B0">
        <w:rPr>
          <w:rFonts w:cs="Arial"/>
          <w:sz w:val="18"/>
          <w:szCs w:val="18"/>
        </w:rPr>
        <w:t xml:space="preserve">lockdown. The impact of these restrictions, while not as severe as that experienced in the first lockdown, has further impacted food to go demand. </w:t>
      </w:r>
      <w:r w:rsidR="00AA41C8">
        <w:rPr>
          <w:rFonts w:cs="Arial"/>
          <w:sz w:val="18"/>
          <w:szCs w:val="18"/>
        </w:rPr>
        <w:t xml:space="preserve">Revenue </w:t>
      </w:r>
      <w:r w:rsidRPr="005771B0">
        <w:rPr>
          <w:rFonts w:cs="Arial"/>
          <w:sz w:val="18"/>
          <w:szCs w:val="18"/>
        </w:rPr>
        <w:t xml:space="preserve">in the Group’s food to go categories was approximately </w:t>
      </w:r>
      <w:r w:rsidR="00833D08">
        <w:rPr>
          <w:rFonts w:cs="Arial"/>
          <w:sz w:val="18"/>
          <w:szCs w:val="18"/>
        </w:rPr>
        <w:t>26</w:t>
      </w:r>
      <w:r w:rsidRPr="005771B0">
        <w:rPr>
          <w:rFonts w:cs="Arial"/>
          <w:sz w:val="18"/>
          <w:szCs w:val="18"/>
        </w:rPr>
        <w:t>% below prior year levels</w:t>
      </w:r>
      <w:r w:rsidR="00833D08">
        <w:rPr>
          <w:rFonts w:cs="Arial"/>
          <w:sz w:val="18"/>
          <w:szCs w:val="18"/>
        </w:rPr>
        <w:t xml:space="preserve"> in the first two </w:t>
      </w:r>
      <w:r w:rsidR="002C2661">
        <w:rPr>
          <w:rFonts w:cs="Arial"/>
          <w:sz w:val="18"/>
          <w:szCs w:val="18"/>
        </w:rPr>
        <w:t xml:space="preserve">trading </w:t>
      </w:r>
      <w:r w:rsidR="00833D08">
        <w:rPr>
          <w:rFonts w:cs="Arial"/>
          <w:sz w:val="18"/>
          <w:szCs w:val="18"/>
        </w:rPr>
        <w:t>weeks</w:t>
      </w:r>
      <w:r w:rsidR="002C2661">
        <w:rPr>
          <w:rFonts w:cs="Arial"/>
          <w:sz w:val="18"/>
          <w:szCs w:val="18"/>
        </w:rPr>
        <w:t xml:space="preserve"> affected by</w:t>
      </w:r>
      <w:r w:rsidR="00833D08">
        <w:rPr>
          <w:rFonts w:cs="Arial"/>
          <w:sz w:val="18"/>
          <w:szCs w:val="18"/>
        </w:rPr>
        <w:t xml:space="preserve"> the nationwide lockdown</w:t>
      </w:r>
      <w:r w:rsidR="0035290A">
        <w:rPr>
          <w:rFonts w:cs="Arial"/>
          <w:sz w:val="18"/>
          <w:szCs w:val="18"/>
        </w:rPr>
        <w:t xml:space="preserve">, while </w:t>
      </w:r>
      <w:r w:rsidR="00E358D9">
        <w:rPr>
          <w:rFonts w:cs="Arial"/>
          <w:sz w:val="18"/>
          <w:szCs w:val="18"/>
        </w:rPr>
        <w:t>performance</w:t>
      </w:r>
      <w:r w:rsidR="0035290A">
        <w:rPr>
          <w:rFonts w:cs="Arial"/>
          <w:sz w:val="18"/>
          <w:szCs w:val="18"/>
        </w:rPr>
        <w:t xml:space="preserve"> in the Group’s other convenience categories was approximately</w:t>
      </w:r>
      <w:r w:rsidR="00E358D9">
        <w:rPr>
          <w:rFonts w:cs="Arial"/>
          <w:sz w:val="18"/>
          <w:szCs w:val="18"/>
        </w:rPr>
        <w:t xml:space="preserve"> 1</w:t>
      </w:r>
      <w:r w:rsidR="0035290A">
        <w:rPr>
          <w:rFonts w:cs="Arial"/>
          <w:sz w:val="18"/>
          <w:szCs w:val="18"/>
        </w:rPr>
        <w:t xml:space="preserve">% </w:t>
      </w:r>
      <w:r w:rsidR="00E358D9">
        <w:rPr>
          <w:rFonts w:cs="Arial"/>
          <w:sz w:val="18"/>
          <w:szCs w:val="18"/>
        </w:rPr>
        <w:t xml:space="preserve">below </w:t>
      </w:r>
      <w:r w:rsidR="0035290A">
        <w:rPr>
          <w:rFonts w:cs="Arial"/>
          <w:sz w:val="18"/>
          <w:szCs w:val="18"/>
        </w:rPr>
        <w:t>prior year levels</w:t>
      </w:r>
      <w:r w:rsidRPr="005771B0">
        <w:rPr>
          <w:rFonts w:cs="Arial"/>
          <w:sz w:val="18"/>
          <w:szCs w:val="18"/>
        </w:rPr>
        <w:t xml:space="preserve">. </w:t>
      </w:r>
    </w:p>
    <w:p w14:paraId="1B002CC8" w14:textId="77777777" w:rsidR="00D06D17" w:rsidRPr="005771B0" w:rsidRDefault="00D06D17" w:rsidP="00ED0EF2">
      <w:pPr>
        <w:spacing w:after="120"/>
        <w:jc w:val="both"/>
        <w:rPr>
          <w:rFonts w:cs="Arial"/>
          <w:sz w:val="18"/>
          <w:szCs w:val="18"/>
        </w:rPr>
      </w:pPr>
      <w:r w:rsidRPr="005771B0">
        <w:rPr>
          <w:rFonts w:cs="Arial"/>
          <w:sz w:val="18"/>
          <w:szCs w:val="18"/>
        </w:rPr>
        <w:lastRenderedPageBreak/>
        <w:t xml:space="preserve">The Group anticipates that the duration and severity of the COVID-19 pandemic will continue to have an uncertain impact on its trading environment, and </w:t>
      </w:r>
      <w:proofErr w:type="gramStart"/>
      <w:r w:rsidRPr="005771B0">
        <w:rPr>
          <w:rFonts w:cs="Arial"/>
          <w:sz w:val="18"/>
          <w:szCs w:val="18"/>
        </w:rPr>
        <w:t>in particular on</w:t>
      </w:r>
      <w:proofErr w:type="gramEnd"/>
      <w:r w:rsidRPr="005771B0">
        <w:rPr>
          <w:rFonts w:cs="Arial"/>
          <w:sz w:val="18"/>
          <w:szCs w:val="18"/>
        </w:rPr>
        <w:t xml:space="preserve"> demand in its food to go categories, in FY21. Further cost mitigants have already been adopted to protect the business, including use of the new furlough supports, pay freezes, elimination of discretionary spending, and a reduction in planned capital expenditures.</w:t>
      </w:r>
      <w:r w:rsidR="00E03B32">
        <w:rPr>
          <w:rFonts w:cs="Arial"/>
          <w:sz w:val="18"/>
          <w:szCs w:val="18"/>
        </w:rPr>
        <w:t xml:space="preserve"> The Group’s financial guidance remains suspended.  </w:t>
      </w:r>
    </w:p>
    <w:p w14:paraId="7B2B3ECF" w14:textId="50AE3730" w:rsidR="00D06D17" w:rsidRPr="005771B0" w:rsidRDefault="00D06D17" w:rsidP="00ED0EF2">
      <w:pPr>
        <w:spacing w:after="120"/>
        <w:jc w:val="both"/>
        <w:rPr>
          <w:rFonts w:cs="Arial"/>
          <w:sz w:val="18"/>
          <w:szCs w:val="18"/>
        </w:rPr>
      </w:pPr>
      <w:r w:rsidRPr="005771B0">
        <w:rPr>
          <w:rFonts w:cs="Arial"/>
          <w:sz w:val="18"/>
          <w:szCs w:val="18"/>
        </w:rPr>
        <w:t xml:space="preserve">Notwithstanding this </w:t>
      </w:r>
      <w:proofErr w:type="gramStart"/>
      <w:r w:rsidRPr="005771B0">
        <w:rPr>
          <w:rFonts w:cs="Arial"/>
          <w:sz w:val="18"/>
          <w:szCs w:val="18"/>
        </w:rPr>
        <w:t>near term</w:t>
      </w:r>
      <w:proofErr w:type="gramEnd"/>
      <w:r w:rsidRPr="005771B0">
        <w:rPr>
          <w:rFonts w:cs="Arial"/>
          <w:sz w:val="18"/>
          <w:szCs w:val="18"/>
        </w:rPr>
        <w:t xml:space="preserve"> uncertainty, the Group is well positioned to take advantage of recovering trading conditions as they occur. As the effect of COVID-19 recedes, demand in the Group’s food to go categories is likely to bounce back strongly. Indeed, the strong recovery in demand for food to go categories already observed during the second half of FY20 demonstrated that the business responds very positively as mobility restrictions are eased. Customers’ commitment to, and investment in, food to go categories and formats remains very supportive. Furthermore, new business wins already secured </w:t>
      </w:r>
      <w:r w:rsidR="00F4505D">
        <w:rPr>
          <w:rFonts w:cs="Arial"/>
          <w:sz w:val="18"/>
          <w:szCs w:val="18"/>
        </w:rPr>
        <w:t xml:space="preserve">together with other opportunities </w:t>
      </w:r>
      <w:r w:rsidRPr="005771B0">
        <w:rPr>
          <w:rFonts w:cs="Arial"/>
          <w:sz w:val="18"/>
          <w:szCs w:val="18"/>
        </w:rPr>
        <w:t xml:space="preserve">in a consolidating supply market will help </w:t>
      </w:r>
      <w:r w:rsidR="00BF1A1D">
        <w:rPr>
          <w:rFonts w:cs="Arial"/>
          <w:sz w:val="18"/>
          <w:szCs w:val="18"/>
        </w:rPr>
        <w:t xml:space="preserve">provide </w:t>
      </w:r>
      <w:r w:rsidR="00AD1084">
        <w:rPr>
          <w:rFonts w:cs="Arial"/>
          <w:sz w:val="18"/>
          <w:szCs w:val="18"/>
        </w:rPr>
        <w:t xml:space="preserve">an </w:t>
      </w:r>
      <w:r w:rsidR="00BF1A1D">
        <w:rPr>
          <w:rFonts w:cs="Arial"/>
          <w:sz w:val="18"/>
          <w:szCs w:val="18"/>
        </w:rPr>
        <w:t xml:space="preserve">additional </w:t>
      </w:r>
      <w:r w:rsidRPr="005771B0">
        <w:rPr>
          <w:rFonts w:cs="Arial"/>
          <w:sz w:val="18"/>
          <w:szCs w:val="18"/>
        </w:rPr>
        <w:t xml:space="preserve">underpin </w:t>
      </w:r>
      <w:r w:rsidR="00BF1A1D">
        <w:rPr>
          <w:rFonts w:cs="Arial"/>
          <w:sz w:val="18"/>
          <w:szCs w:val="18"/>
        </w:rPr>
        <w:t xml:space="preserve">to this anticipated </w:t>
      </w:r>
      <w:r w:rsidRPr="005771B0">
        <w:rPr>
          <w:rFonts w:cs="Arial"/>
          <w:sz w:val="18"/>
          <w:szCs w:val="18"/>
        </w:rPr>
        <w:t xml:space="preserve">build back in Group revenue. </w:t>
      </w:r>
    </w:p>
    <w:p w14:paraId="48B49668" w14:textId="47A080BB" w:rsidR="006B1CD2" w:rsidRDefault="006B1CD2" w:rsidP="00ED0EF2">
      <w:pPr>
        <w:spacing w:after="120"/>
        <w:jc w:val="both"/>
        <w:rPr>
          <w:rFonts w:cs="Arial"/>
          <w:b/>
          <w:bCs/>
          <w:sz w:val="20"/>
          <w:szCs w:val="18"/>
        </w:rPr>
      </w:pPr>
      <w:r>
        <w:rPr>
          <w:rFonts w:cs="Arial"/>
          <w:b/>
          <w:bCs/>
          <w:sz w:val="20"/>
          <w:szCs w:val="18"/>
        </w:rPr>
        <w:t>ADOPTION OF IFRS 16 LEASES</w:t>
      </w:r>
    </w:p>
    <w:p w14:paraId="52FB02AD" w14:textId="300E29C0" w:rsidR="00BD2E2C" w:rsidRPr="00F14E9E" w:rsidRDefault="000454DA" w:rsidP="00ED0EF2">
      <w:pPr>
        <w:spacing w:after="120"/>
        <w:jc w:val="both"/>
        <w:rPr>
          <w:rFonts w:cs="Arial"/>
          <w:sz w:val="18"/>
          <w:szCs w:val="18"/>
        </w:rPr>
      </w:pPr>
      <w:r>
        <w:rPr>
          <w:rFonts w:cs="Arial"/>
          <w:sz w:val="18"/>
          <w:szCs w:val="18"/>
        </w:rPr>
        <w:t>The</w:t>
      </w:r>
      <w:r w:rsidR="00BD2E2C" w:rsidRPr="00F14E9E">
        <w:rPr>
          <w:rFonts w:cs="Arial"/>
          <w:sz w:val="18"/>
          <w:szCs w:val="18"/>
        </w:rPr>
        <w:t xml:space="preserve"> Group adopted IFRS 16 Leases, the new accounting standard for leases</w:t>
      </w:r>
      <w:r>
        <w:rPr>
          <w:rFonts w:cs="Arial"/>
          <w:sz w:val="18"/>
          <w:szCs w:val="18"/>
        </w:rPr>
        <w:t>, for the financial year ended 25 September 2020</w:t>
      </w:r>
      <w:r w:rsidR="00BD2E2C" w:rsidRPr="00F14E9E">
        <w:rPr>
          <w:rFonts w:cs="Arial"/>
          <w:sz w:val="18"/>
          <w:szCs w:val="18"/>
        </w:rPr>
        <w:t>. The Group transitioned to the standard using the modified retrospective approach, which does not require the restatement of comparative periods. On transition the Group recognised a right-of-use lease asset of £</w:t>
      </w:r>
      <w:r w:rsidR="00365140">
        <w:rPr>
          <w:rFonts w:cs="Arial"/>
          <w:sz w:val="18"/>
          <w:szCs w:val="18"/>
        </w:rPr>
        <w:t>50.0</w:t>
      </w:r>
      <w:r w:rsidR="00BD2E2C" w:rsidRPr="00F14E9E">
        <w:rPr>
          <w:rFonts w:cs="Arial"/>
          <w:sz w:val="18"/>
          <w:szCs w:val="18"/>
        </w:rPr>
        <w:t>m and a lease liability of £</w:t>
      </w:r>
      <w:r w:rsidR="00365140">
        <w:rPr>
          <w:rFonts w:cs="Arial"/>
          <w:sz w:val="18"/>
          <w:szCs w:val="18"/>
        </w:rPr>
        <w:t>54.1</w:t>
      </w:r>
      <w:r w:rsidR="00BD2E2C" w:rsidRPr="00F14E9E">
        <w:rPr>
          <w:rFonts w:cs="Arial"/>
          <w:sz w:val="18"/>
          <w:szCs w:val="18"/>
        </w:rPr>
        <w:t xml:space="preserve">m. </w:t>
      </w:r>
      <w:r w:rsidR="003E5493">
        <w:rPr>
          <w:rFonts w:cs="Arial"/>
          <w:sz w:val="18"/>
          <w:szCs w:val="18"/>
        </w:rPr>
        <w:t xml:space="preserve">This has been adjusted since reporting on 27 March 2020 and a reconciliation is provided in Note 1 to the Financial Statements. </w:t>
      </w:r>
      <w:r w:rsidR="00BD2E2C" w:rsidRPr="00F14E9E">
        <w:rPr>
          <w:rFonts w:cs="Arial"/>
          <w:sz w:val="18"/>
          <w:szCs w:val="18"/>
        </w:rPr>
        <w:t xml:space="preserve">The impact on the Group’s </w:t>
      </w:r>
      <w:r w:rsidR="00F14E9E" w:rsidRPr="00F14E9E">
        <w:rPr>
          <w:rFonts w:cs="Arial"/>
          <w:sz w:val="18"/>
          <w:szCs w:val="18"/>
        </w:rPr>
        <w:t>FY</w:t>
      </w:r>
      <w:r w:rsidR="00BD2E2C" w:rsidRPr="00F14E9E">
        <w:rPr>
          <w:rFonts w:cs="Arial"/>
          <w:sz w:val="18"/>
          <w:szCs w:val="18"/>
        </w:rPr>
        <w:t>20 results are detailed in the Financial Review, and are summarised as follows</w:t>
      </w:r>
      <w:r w:rsidR="003E5493">
        <w:rPr>
          <w:rFonts w:cs="Arial"/>
          <w:sz w:val="18"/>
          <w:szCs w:val="18"/>
        </w:rPr>
        <w:t>:</w:t>
      </w:r>
    </w:p>
    <w:tbl>
      <w:tblPr>
        <w:tblStyle w:val="TableGrid"/>
        <w:tblW w:w="0" w:type="auto"/>
        <w:jc w:val="center"/>
        <w:tblLook w:val="04A0" w:firstRow="1" w:lastRow="0" w:firstColumn="1" w:lastColumn="0" w:noHBand="0" w:noVBand="1"/>
      </w:tblPr>
      <w:tblGrid>
        <w:gridCol w:w="3038"/>
        <w:gridCol w:w="1498"/>
      </w:tblGrid>
      <w:tr w:rsidR="00BD2E2C" w:rsidRPr="00BD2E2C" w14:paraId="06B7C433" w14:textId="77777777" w:rsidTr="00BD2E2C">
        <w:trPr>
          <w:jc w:val="center"/>
        </w:trPr>
        <w:tc>
          <w:tcPr>
            <w:tcW w:w="3038" w:type="dxa"/>
          </w:tcPr>
          <w:p w14:paraId="2E32BCFE" w14:textId="77777777" w:rsidR="00BD2E2C" w:rsidRPr="00BD2E2C" w:rsidRDefault="00BD2E2C" w:rsidP="00BD2E2C">
            <w:pPr>
              <w:spacing w:line="276" w:lineRule="auto"/>
              <w:jc w:val="both"/>
              <w:rPr>
                <w:rFonts w:cs="Arial"/>
                <w:b/>
                <w:bCs/>
                <w:sz w:val="18"/>
                <w:szCs w:val="18"/>
              </w:rPr>
            </w:pPr>
            <w:r w:rsidRPr="00BD2E2C">
              <w:rPr>
                <w:rFonts w:cs="Arial"/>
                <w:b/>
                <w:bCs/>
                <w:sz w:val="18"/>
                <w:szCs w:val="18"/>
              </w:rPr>
              <w:t xml:space="preserve">Performance Measures </w:t>
            </w:r>
          </w:p>
        </w:tc>
        <w:tc>
          <w:tcPr>
            <w:tcW w:w="1498" w:type="dxa"/>
          </w:tcPr>
          <w:p w14:paraId="6B8920AF" w14:textId="77777777" w:rsidR="00BD2E2C" w:rsidRPr="00BD2E2C" w:rsidRDefault="00BD2E2C" w:rsidP="00BD2E2C">
            <w:pPr>
              <w:jc w:val="both"/>
              <w:rPr>
                <w:rFonts w:cs="Arial"/>
                <w:b/>
                <w:bCs/>
                <w:sz w:val="18"/>
                <w:szCs w:val="18"/>
              </w:rPr>
            </w:pPr>
            <w:r w:rsidRPr="00BD2E2C">
              <w:rPr>
                <w:rFonts w:cs="Arial"/>
                <w:b/>
                <w:bCs/>
                <w:sz w:val="18"/>
                <w:szCs w:val="18"/>
              </w:rPr>
              <w:t>£m</w:t>
            </w:r>
          </w:p>
        </w:tc>
      </w:tr>
      <w:tr w:rsidR="00BD2E2C" w:rsidRPr="00BD2E2C" w14:paraId="255923FC" w14:textId="77777777" w:rsidTr="00BD2E2C">
        <w:trPr>
          <w:jc w:val="center"/>
        </w:trPr>
        <w:tc>
          <w:tcPr>
            <w:tcW w:w="3038" w:type="dxa"/>
          </w:tcPr>
          <w:p w14:paraId="52EE9E49" w14:textId="77777777" w:rsidR="00BD2E2C" w:rsidRPr="00BD2E2C" w:rsidRDefault="00D44EA4" w:rsidP="00BD2E2C">
            <w:pPr>
              <w:jc w:val="both"/>
              <w:rPr>
                <w:rFonts w:cs="Arial"/>
                <w:bCs/>
                <w:sz w:val="18"/>
                <w:szCs w:val="18"/>
              </w:rPr>
            </w:pPr>
            <w:r w:rsidRPr="00BD2E2C">
              <w:rPr>
                <w:rFonts w:cs="Arial"/>
                <w:bCs/>
                <w:sz w:val="18"/>
                <w:szCs w:val="18"/>
              </w:rPr>
              <w:t>EBITDA</w:t>
            </w:r>
            <w:r w:rsidRPr="00BD2E2C" w:rsidDel="00D44EA4">
              <w:rPr>
                <w:rFonts w:cs="Arial"/>
                <w:bCs/>
                <w:sz w:val="18"/>
                <w:szCs w:val="18"/>
              </w:rPr>
              <w:t xml:space="preserve"> </w:t>
            </w:r>
          </w:p>
        </w:tc>
        <w:tc>
          <w:tcPr>
            <w:tcW w:w="1498" w:type="dxa"/>
          </w:tcPr>
          <w:p w14:paraId="273B347B" w14:textId="77777777" w:rsidR="00BD2E2C" w:rsidRPr="00BD2E2C" w:rsidRDefault="00D44EA4" w:rsidP="00271DC6">
            <w:pPr>
              <w:jc w:val="both"/>
              <w:rPr>
                <w:rFonts w:cs="Arial"/>
                <w:bCs/>
                <w:sz w:val="18"/>
                <w:szCs w:val="18"/>
              </w:rPr>
            </w:pPr>
            <w:r>
              <w:rPr>
                <w:rFonts w:cs="Arial"/>
                <w:bCs/>
                <w:sz w:val="18"/>
                <w:szCs w:val="18"/>
              </w:rPr>
              <w:t>+12.</w:t>
            </w:r>
            <w:r w:rsidR="00A42495">
              <w:rPr>
                <w:rFonts w:cs="Arial"/>
                <w:bCs/>
                <w:sz w:val="18"/>
                <w:szCs w:val="18"/>
              </w:rPr>
              <w:t>9</w:t>
            </w:r>
          </w:p>
        </w:tc>
      </w:tr>
      <w:tr w:rsidR="00BD2E2C" w:rsidRPr="00BD2E2C" w14:paraId="3E2A131A" w14:textId="77777777" w:rsidTr="00BD2E2C">
        <w:trPr>
          <w:jc w:val="center"/>
        </w:trPr>
        <w:tc>
          <w:tcPr>
            <w:tcW w:w="3038" w:type="dxa"/>
          </w:tcPr>
          <w:p w14:paraId="67C63118" w14:textId="77777777" w:rsidR="00BD2E2C" w:rsidRPr="00BD2E2C" w:rsidRDefault="00D44EA4" w:rsidP="00BD2E2C">
            <w:pPr>
              <w:jc w:val="both"/>
              <w:rPr>
                <w:rFonts w:cs="Arial"/>
                <w:bCs/>
                <w:sz w:val="18"/>
                <w:szCs w:val="18"/>
              </w:rPr>
            </w:pPr>
            <w:r w:rsidRPr="00BD2E2C">
              <w:rPr>
                <w:rFonts w:cs="Arial"/>
                <w:bCs/>
                <w:sz w:val="18"/>
                <w:szCs w:val="18"/>
              </w:rPr>
              <w:t>Group Operating Profit</w:t>
            </w:r>
          </w:p>
        </w:tc>
        <w:tc>
          <w:tcPr>
            <w:tcW w:w="1498" w:type="dxa"/>
          </w:tcPr>
          <w:p w14:paraId="3956488D" w14:textId="69CCEE3A" w:rsidR="00BD2E2C" w:rsidRPr="00BD2E2C" w:rsidRDefault="008E690E">
            <w:pPr>
              <w:jc w:val="both"/>
              <w:rPr>
                <w:rFonts w:cs="Arial"/>
                <w:bCs/>
                <w:sz w:val="18"/>
                <w:szCs w:val="18"/>
              </w:rPr>
            </w:pPr>
            <w:r>
              <w:rPr>
                <w:rFonts w:cs="Arial"/>
                <w:bCs/>
                <w:sz w:val="18"/>
                <w:szCs w:val="18"/>
              </w:rPr>
              <w:t>immaterial</w:t>
            </w:r>
          </w:p>
        </w:tc>
      </w:tr>
      <w:tr w:rsidR="00BD2E2C" w:rsidRPr="00BD2E2C" w14:paraId="6015AFB9" w14:textId="77777777" w:rsidTr="00BD2E2C">
        <w:trPr>
          <w:jc w:val="center"/>
        </w:trPr>
        <w:tc>
          <w:tcPr>
            <w:tcW w:w="3038" w:type="dxa"/>
          </w:tcPr>
          <w:p w14:paraId="6F2BAA07" w14:textId="77777777" w:rsidR="00BD2E2C" w:rsidRPr="00BD2E2C" w:rsidRDefault="00BD2E2C" w:rsidP="00BD2E2C">
            <w:pPr>
              <w:jc w:val="both"/>
              <w:rPr>
                <w:rFonts w:cs="Arial"/>
                <w:bCs/>
                <w:sz w:val="18"/>
                <w:szCs w:val="18"/>
              </w:rPr>
            </w:pPr>
            <w:r w:rsidRPr="00BD2E2C">
              <w:rPr>
                <w:rFonts w:cs="Arial"/>
                <w:bCs/>
                <w:sz w:val="18"/>
                <w:szCs w:val="18"/>
              </w:rPr>
              <w:t xml:space="preserve">Group Profit before taxation </w:t>
            </w:r>
          </w:p>
        </w:tc>
        <w:tc>
          <w:tcPr>
            <w:tcW w:w="1498" w:type="dxa"/>
          </w:tcPr>
          <w:p w14:paraId="7926C9B9" w14:textId="77777777" w:rsidR="00BD2E2C" w:rsidRPr="00BD2E2C" w:rsidRDefault="00994019">
            <w:pPr>
              <w:jc w:val="both"/>
              <w:rPr>
                <w:rFonts w:cs="Arial"/>
                <w:bCs/>
                <w:sz w:val="18"/>
                <w:szCs w:val="18"/>
              </w:rPr>
            </w:pPr>
            <w:r>
              <w:rPr>
                <w:rFonts w:cs="Arial"/>
                <w:bCs/>
                <w:sz w:val="18"/>
                <w:szCs w:val="18"/>
              </w:rPr>
              <w:t>-</w:t>
            </w:r>
            <w:r w:rsidR="00A33D49">
              <w:rPr>
                <w:rFonts w:cs="Arial"/>
                <w:bCs/>
                <w:sz w:val="18"/>
                <w:szCs w:val="18"/>
              </w:rPr>
              <w:t>1.2</w:t>
            </w:r>
          </w:p>
        </w:tc>
      </w:tr>
      <w:tr w:rsidR="00F14E9E" w:rsidRPr="00BD2E2C" w14:paraId="77BFFDCC" w14:textId="77777777" w:rsidTr="00BD2E2C">
        <w:trPr>
          <w:jc w:val="center"/>
        </w:trPr>
        <w:tc>
          <w:tcPr>
            <w:tcW w:w="3038" w:type="dxa"/>
          </w:tcPr>
          <w:p w14:paraId="3B032D3D" w14:textId="77777777" w:rsidR="00F14E9E" w:rsidRPr="00BD2E2C" w:rsidRDefault="00F14E9E" w:rsidP="00F14E9E">
            <w:pPr>
              <w:jc w:val="both"/>
              <w:rPr>
                <w:rFonts w:cs="Arial"/>
                <w:bCs/>
                <w:sz w:val="18"/>
                <w:szCs w:val="18"/>
              </w:rPr>
            </w:pPr>
            <w:r w:rsidRPr="00BD2E2C">
              <w:rPr>
                <w:rFonts w:cs="Arial"/>
                <w:bCs/>
                <w:sz w:val="18"/>
                <w:szCs w:val="18"/>
              </w:rPr>
              <w:t xml:space="preserve">Basic EPS (p) </w:t>
            </w:r>
          </w:p>
        </w:tc>
        <w:tc>
          <w:tcPr>
            <w:tcW w:w="1498" w:type="dxa"/>
          </w:tcPr>
          <w:p w14:paraId="03EB5F9F" w14:textId="77777777" w:rsidR="00F14E9E" w:rsidRPr="00BD2E2C" w:rsidRDefault="00865915" w:rsidP="00F14E9E">
            <w:pPr>
              <w:jc w:val="both"/>
              <w:rPr>
                <w:rFonts w:cs="Arial"/>
                <w:bCs/>
                <w:sz w:val="18"/>
                <w:szCs w:val="18"/>
              </w:rPr>
            </w:pPr>
            <w:r>
              <w:rPr>
                <w:rFonts w:cs="Arial"/>
                <w:bCs/>
                <w:sz w:val="18"/>
                <w:szCs w:val="18"/>
              </w:rPr>
              <w:t>-0.3</w:t>
            </w:r>
          </w:p>
        </w:tc>
      </w:tr>
      <w:tr w:rsidR="00F14E9E" w:rsidRPr="00BD2E2C" w14:paraId="5DB81521" w14:textId="77777777" w:rsidTr="00BD2E2C">
        <w:trPr>
          <w:jc w:val="center"/>
        </w:trPr>
        <w:tc>
          <w:tcPr>
            <w:tcW w:w="3038" w:type="dxa"/>
          </w:tcPr>
          <w:p w14:paraId="1B786D4D" w14:textId="77777777" w:rsidR="00F14E9E" w:rsidRPr="00BD2E2C" w:rsidRDefault="00F14E9E" w:rsidP="00F14E9E">
            <w:pPr>
              <w:jc w:val="both"/>
              <w:rPr>
                <w:rFonts w:cs="Arial"/>
                <w:bCs/>
                <w:sz w:val="18"/>
                <w:szCs w:val="18"/>
              </w:rPr>
            </w:pPr>
            <w:r w:rsidRPr="00BD2E2C">
              <w:rPr>
                <w:rFonts w:cs="Arial"/>
                <w:bCs/>
                <w:sz w:val="18"/>
                <w:szCs w:val="18"/>
              </w:rPr>
              <w:t xml:space="preserve">Net Debt </w:t>
            </w:r>
          </w:p>
        </w:tc>
        <w:tc>
          <w:tcPr>
            <w:tcW w:w="1498" w:type="dxa"/>
          </w:tcPr>
          <w:p w14:paraId="7605F5EA" w14:textId="75DC25FF" w:rsidR="00F14E9E" w:rsidRPr="00BD2E2C" w:rsidRDefault="00994019" w:rsidP="00F14E9E">
            <w:pPr>
              <w:jc w:val="both"/>
              <w:rPr>
                <w:rFonts w:cs="Arial"/>
                <w:bCs/>
                <w:sz w:val="18"/>
                <w:szCs w:val="18"/>
              </w:rPr>
            </w:pPr>
            <w:r>
              <w:rPr>
                <w:rFonts w:cs="Arial"/>
                <w:bCs/>
                <w:sz w:val="18"/>
                <w:szCs w:val="18"/>
              </w:rPr>
              <w:t>+60.</w:t>
            </w:r>
            <w:r w:rsidR="007733F8">
              <w:rPr>
                <w:rFonts w:cs="Arial"/>
                <w:bCs/>
                <w:sz w:val="18"/>
                <w:szCs w:val="18"/>
              </w:rPr>
              <w:t>7</w:t>
            </w:r>
          </w:p>
        </w:tc>
      </w:tr>
    </w:tbl>
    <w:p w14:paraId="7A0F8E64" w14:textId="77777777" w:rsidR="00BD2E2C" w:rsidRPr="00F14E9E" w:rsidRDefault="00BD2E2C" w:rsidP="00F14E9E">
      <w:pPr>
        <w:jc w:val="both"/>
        <w:rPr>
          <w:rFonts w:cs="Arial"/>
          <w:sz w:val="18"/>
          <w:szCs w:val="18"/>
        </w:rPr>
      </w:pPr>
    </w:p>
    <w:p w14:paraId="41D698C0" w14:textId="77777777" w:rsidR="00BD2E2C" w:rsidRPr="00F14E9E" w:rsidRDefault="00BD2E2C" w:rsidP="00ED0EF2">
      <w:pPr>
        <w:spacing w:after="120"/>
        <w:jc w:val="both"/>
        <w:rPr>
          <w:rFonts w:cs="Arial"/>
          <w:sz w:val="18"/>
          <w:szCs w:val="18"/>
        </w:rPr>
      </w:pPr>
      <w:r w:rsidRPr="00F14E9E">
        <w:rPr>
          <w:rFonts w:cs="Arial"/>
          <w:sz w:val="18"/>
          <w:szCs w:val="18"/>
        </w:rPr>
        <w:t>The impact of IFRS 16 on the Group’s APMs are detailed in the Appendix to this Report</w:t>
      </w:r>
      <w:r w:rsidR="00F14E9E">
        <w:rPr>
          <w:rFonts w:cs="Arial"/>
          <w:sz w:val="18"/>
          <w:szCs w:val="18"/>
        </w:rPr>
        <w:t>.</w:t>
      </w:r>
    </w:p>
    <w:p w14:paraId="37351BC3" w14:textId="77777777" w:rsidR="00081EB2" w:rsidRPr="00E512C6" w:rsidRDefault="00081EB2" w:rsidP="00ED0EF2">
      <w:pPr>
        <w:spacing w:after="120"/>
        <w:jc w:val="both"/>
        <w:rPr>
          <w:rFonts w:cs="Arial"/>
          <w:sz w:val="20"/>
          <w:szCs w:val="18"/>
          <w:highlight w:val="yellow"/>
        </w:rPr>
      </w:pPr>
      <w:r>
        <w:rPr>
          <w:rFonts w:cs="Arial"/>
          <w:b/>
          <w:bCs/>
          <w:sz w:val="20"/>
          <w:szCs w:val="18"/>
        </w:rPr>
        <w:t>Basis of preparation</w:t>
      </w:r>
    </w:p>
    <w:p w14:paraId="0B76DCE3" w14:textId="01A4DE5F" w:rsidR="00081EB2" w:rsidRDefault="00081EB2" w:rsidP="00ED0EF2">
      <w:pPr>
        <w:spacing w:after="120"/>
        <w:jc w:val="both"/>
        <w:rPr>
          <w:rFonts w:cs="Arial"/>
          <w:bCs/>
          <w:sz w:val="18"/>
          <w:szCs w:val="18"/>
        </w:rPr>
      </w:pPr>
      <w:r>
        <w:rPr>
          <w:rFonts w:cs="Arial"/>
          <w:bCs/>
          <w:sz w:val="18"/>
          <w:szCs w:val="18"/>
        </w:rPr>
        <w:t xml:space="preserve">The financial information included within this Results Statement has been extracted from the audited consolidated financial statements of Greencore Group plc. Details of the basis of preparation can be found in Note 1 to the attached financial information. </w:t>
      </w:r>
    </w:p>
    <w:p w14:paraId="5000BB7D" w14:textId="77777777" w:rsidR="00081EB2" w:rsidRPr="00E512C6" w:rsidRDefault="00081EB2" w:rsidP="00ED0EF2">
      <w:pPr>
        <w:spacing w:after="120"/>
        <w:jc w:val="both"/>
        <w:rPr>
          <w:rFonts w:cs="Arial"/>
          <w:sz w:val="20"/>
          <w:szCs w:val="18"/>
          <w:highlight w:val="yellow"/>
        </w:rPr>
      </w:pPr>
      <w:r w:rsidRPr="00E512C6">
        <w:rPr>
          <w:rFonts w:cs="Arial"/>
          <w:b/>
          <w:bCs/>
          <w:sz w:val="20"/>
          <w:szCs w:val="18"/>
        </w:rPr>
        <w:t>Forward‐looking statements</w:t>
      </w:r>
    </w:p>
    <w:p w14:paraId="47258705" w14:textId="413B08C5" w:rsidR="00AD42B3" w:rsidRPr="00A1004F" w:rsidRDefault="00AD42B3" w:rsidP="00ED0EF2">
      <w:pPr>
        <w:spacing w:after="120"/>
        <w:rPr>
          <w:rFonts w:cs="Arial"/>
          <w:bCs/>
          <w:sz w:val="18"/>
          <w:szCs w:val="18"/>
        </w:rPr>
      </w:pPr>
      <w:r w:rsidRPr="00A1004F">
        <w:rPr>
          <w:rFonts w:cs="Arial"/>
          <w:bCs/>
          <w:sz w:val="18"/>
          <w:szCs w:val="18"/>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t>
      </w:r>
      <w:proofErr w:type="spellStart"/>
      <w:r w:rsidRPr="00A1004F">
        <w:rPr>
          <w:rFonts w:cs="Arial"/>
          <w:bCs/>
          <w:sz w:val="18"/>
          <w:szCs w:val="18"/>
        </w:rPr>
        <w:t>‘will</w:t>
      </w:r>
      <w:proofErr w:type="spellEnd"/>
      <w:r w:rsidRPr="00A1004F">
        <w:rPr>
          <w:rFonts w:cs="Arial"/>
          <w:bCs/>
          <w:sz w:val="18"/>
          <w:szCs w:val="18"/>
        </w:rPr>
        <w:t xml:space="preserve">’, ‘aims’, ‘anticipates’, ‘continue’, ‘could’, ‘should’, ‘expects’, ‘is expected to’, ‘may’, ‘estimates’, ‘believes’, ‘intends’, ‘projects’, ‘targets’, or the negative thereof, or similar expressions.  </w:t>
      </w:r>
    </w:p>
    <w:p w14:paraId="05B9B824" w14:textId="0635A578" w:rsidR="00AD42B3" w:rsidRPr="00CB42AB" w:rsidRDefault="00AD42B3" w:rsidP="00ED0EF2">
      <w:pPr>
        <w:spacing w:after="120"/>
        <w:rPr>
          <w:rFonts w:cs="Arial"/>
          <w:bCs/>
          <w:sz w:val="18"/>
          <w:szCs w:val="18"/>
        </w:rPr>
      </w:pPr>
      <w:r w:rsidRPr="00A1004F">
        <w:rPr>
          <w:rFonts w:cs="Arial"/>
          <w:bCs/>
          <w:sz w:val="18"/>
          <w:szCs w:val="18"/>
        </w:rPr>
        <w:t xml:space="preserve">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w:t>
      </w:r>
      <w:proofErr w:type="gramStart"/>
      <w:r w:rsidRPr="00A1004F">
        <w:rPr>
          <w:rFonts w:cs="Arial"/>
          <w:bCs/>
          <w:sz w:val="18"/>
          <w:szCs w:val="18"/>
        </w:rPr>
        <w:t>A number of</w:t>
      </w:r>
      <w:proofErr w:type="gramEnd"/>
      <w:r w:rsidRPr="00A1004F">
        <w:rPr>
          <w:rFonts w:cs="Arial"/>
          <w:bCs/>
          <w:sz w:val="18"/>
          <w:szCs w:val="18"/>
        </w:rPr>
        <w:t xml:space="preserve"> material factors could cause actual results and developments to differ materially from those expressed or implied by forward-looking statements.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w:t>
      </w:r>
    </w:p>
    <w:p w14:paraId="1930B84A" w14:textId="77777777" w:rsidR="000940FB" w:rsidRPr="00E512C6" w:rsidRDefault="00E509A4" w:rsidP="00ED0EF2">
      <w:pPr>
        <w:spacing w:after="120"/>
        <w:jc w:val="both"/>
        <w:rPr>
          <w:rFonts w:cs="Arial"/>
          <w:b/>
          <w:sz w:val="20"/>
          <w:szCs w:val="18"/>
        </w:rPr>
      </w:pPr>
      <w:r>
        <w:rPr>
          <w:rFonts w:cs="Arial"/>
          <w:b/>
          <w:sz w:val="20"/>
          <w:szCs w:val="18"/>
        </w:rPr>
        <w:t>CONFERENCE CALL</w:t>
      </w:r>
    </w:p>
    <w:p w14:paraId="022C9117" w14:textId="5319979A" w:rsidR="000940FB" w:rsidRDefault="00E509A4" w:rsidP="00ED0EF2">
      <w:pPr>
        <w:spacing w:after="120"/>
        <w:jc w:val="both"/>
        <w:rPr>
          <w:rFonts w:cs="Arial"/>
          <w:sz w:val="18"/>
          <w:szCs w:val="18"/>
        </w:rPr>
      </w:pPr>
      <w:r w:rsidRPr="00E509A4">
        <w:rPr>
          <w:rFonts w:cs="Arial"/>
          <w:sz w:val="18"/>
          <w:szCs w:val="18"/>
        </w:rPr>
        <w:t xml:space="preserve">A conference call for investors and analysts will be held at 8.30am </w:t>
      </w:r>
      <w:r w:rsidR="000454DA">
        <w:rPr>
          <w:rFonts w:cs="Arial"/>
          <w:sz w:val="18"/>
          <w:szCs w:val="18"/>
        </w:rPr>
        <w:t>on 24 November 2020</w:t>
      </w:r>
      <w:r w:rsidRPr="00E509A4">
        <w:rPr>
          <w:rFonts w:cs="Arial"/>
          <w:sz w:val="18"/>
          <w:szCs w:val="18"/>
        </w:rPr>
        <w:t>.  Registration and dial in details are available at www. greencore.com/investor-relations/</w:t>
      </w:r>
    </w:p>
    <w:p w14:paraId="3FE888C5" w14:textId="77777777" w:rsidR="000940FB" w:rsidRDefault="000940FB" w:rsidP="00ED0EF2">
      <w:pPr>
        <w:spacing w:after="120"/>
        <w:jc w:val="both"/>
        <w:rPr>
          <w:rFonts w:cs="Arial"/>
          <w:b/>
          <w:sz w:val="20"/>
          <w:szCs w:val="18"/>
        </w:rPr>
      </w:pPr>
      <w:r w:rsidRPr="00E512C6">
        <w:rPr>
          <w:rFonts w:cs="Arial"/>
          <w:b/>
          <w:sz w:val="20"/>
          <w:szCs w:val="18"/>
        </w:rPr>
        <w:t>For further information, please contact:</w:t>
      </w:r>
    </w:p>
    <w:p w14:paraId="56D3CB3A" w14:textId="77777777" w:rsidR="00A47927" w:rsidRDefault="00A47927" w:rsidP="000940FB">
      <w:pPr>
        <w:jc w:val="both"/>
        <w:rPr>
          <w:rFonts w:cs="Arial"/>
          <w:b/>
          <w:sz w:val="20"/>
          <w:szCs w:val="18"/>
        </w:rPr>
      </w:pPr>
    </w:p>
    <w:tbl>
      <w:tblPr>
        <w:tblW w:w="8820" w:type="dxa"/>
        <w:jc w:val="center"/>
        <w:tblLayout w:type="fixed"/>
        <w:tblCellMar>
          <w:left w:w="0" w:type="dxa"/>
        </w:tblCellMar>
        <w:tblLook w:val="04A0" w:firstRow="1" w:lastRow="0" w:firstColumn="1" w:lastColumn="0" w:noHBand="0" w:noVBand="1"/>
      </w:tblPr>
      <w:tblGrid>
        <w:gridCol w:w="2547"/>
        <w:gridCol w:w="3573"/>
        <w:gridCol w:w="2700"/>
      </w:tblGrid>
      <w:tr w:rsidR="00E509A4" w14:paraId="6B7FDA6C" w14:textId="77777777" w:rsidTr="00E509A4">
        <w:trPr>
          <w:jc w:val="center"/>
        </w:trPr>
        <w:tc>
          <w:tcPr>
            <w:tcW w:w="2547" w:type="dxa"/>
            <w:shd w:val="clear" w:color="auto" w:fill="auto"/>
            <w:hideMark/>
          </w:tcPr>
          <w:p w14:paraId="16284BDC" w14:textId="77777777" w:rsidR="00E509A4" w:rsidRPr="00E509A4" w:rsidRDefault="00E509A4" w:rsidP="00E509A4">
            <w:pPr>
              <w:rPr>
                <w:rFonts w:cs="Arial"/>
                <w:bCs/>
                <w:sz w:val="18"/>
                <w:szCs w:val="18"/>
                <w:lang w:val="en-US"/>
              </w:rPr>
            </w:pPr>
            <w:r w:rsidRPr="00E509A4">
              <w:rPr>
                <w:rFonts w:cs="Arial"/>
                <w:bCs/>
                <w:sz w:val="18"/>
                <w:szCs w:val="18"/>
                <w:lang w:val="en-US"/>
              </w:rPr>
              <w:t>Patrick Coveney</w:t>
            </w:r>
          </w:p>
        </w:tc>
        <w:tc>
          <w:tcPr>
            <w:tcW w:w="3573" w:type="dxa"/>
            <w:shd w:val="clear" w:color="auto" w:fill="auto"/>
            <w:hideMark/>
          </w:tcPr>
          <w:p w14:paraId="22F2FDF5" w14:textId="77777777" w:rsidR="00E509A4" w:rsidRPr="00E509A4" w:rsidRDefault="00E509A4" w:rsidP="00E509A4">
            <w:pPr>
              <w:rPr>
                <w:rFonts w:cs="Arial"/>
                <w:bCs/>
                <w:sz w:val="18"/>
                <w:szCs w:val="18"/>
                <w:lang w:val="en-US"/>
              </w:rPr>
            </w:pPr>
            <w:r w:rsidRPr="00E509A4">
              <w:rPr>
                <w:rFonts w:cs="Arial"/>
                <w:bCs/>
                <w:sz w:val="18"/>
                <w:szCs w:val="18"/>
                <w:lang w:val="en-US"/>
              </w:rPr>
              <w:t>Chief Executive Officer</w:t>
            </w:r>
          </w:p>
        </w:tc>
        <w:tc>
          <w:tcPr>
            <w:tcW w:w="2700" w:type="dxa"/>
            <w:shd w:val="clear" w:color="auto" w:fill="auto"/>
            <w:hideMark/>
          </w:tcPr>
          <w:p w14:paraId="5F055AF9"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3313</w:t>
            </w:r>
          </w:p>
        </w:tc>
      </w:tr>
      <w:tr w:rsidR="00E509A4" w14:paraId="6D6B1E68" w14:textId="77777777" w:rsidTr="00E509A4">
        <w:trPr>
          <w:jc w:val="center"/>
        </w:trPr>
        <w:tc>
          <w:tcPr>
            <w:tcW w:w="2547" w:type="dxa"/>
            <w:shd w:val="clear" w:color="auto" w:fill="auto"/>
            <w:hideMark/>
          </w:tcPr>
          <w:p w14:paraId="22EB4484" w14:textId="77777777" w:rsidR="00E509A4" w:rsidRPr="00E509A4" w:rsidRDefault="00E509A4" w:rsidP="00E509A4">
            <w:pPr>
              <w:rPr>
                <w:rFonts w:cs="Arial"/>
                <w:bCs/>
                <w:sz w:val="18"/>
                <w:szCs w:val="18"/>
                <w:lang w:val="en-US"/>
              </w:rPr>
            </w:pPr>
            <w:r w:rsidRPr="00E509A4">
              <w:rPr>
                <w:rFonts w:cs="Arial"/>
                <w:bCs/>
                <w:sz w:val="18"/>
                <w:szCs w:val="18"/>
                <w:lang w:val="en-US"/>
              </w:rPr>
              <w:t>Emma Hynes</w:t>
            </w:r>
          </w:p>
        </w:tc>
        <w:tc>
          <w:tcPr>
            <w:tcW w:w="3573" w:type="dxa"/>
            <w:shd w:val="clear" w:color="auto" w:fill="auto"/>
            <w:hideMark/>
          </w:tcPr>
          <w:p w14:paraId="36B0495B" w14:textId="77777777" w:rsidR="00E509A4" w:rsidRPr="00E509A4" w:rsidRDefault="00E509A4" w:rsidP="00E509A4">
            <w:pPr>
              <w:rPr>
                <w:rFonts w:cs="Arial"/>
                <w:bCs/>
                <w:sz w:val="18"/>
                <w:szCs w:val="18"/>
                <w:lang w:val="en-US"/>
              </w:rPr>
            </w:pPr>
            <w:r w:rsidRPr="00E509A4">
              <w:rPr>
                <w:rFonts w:cs="Arial"/>
                <w:bCs/>
                <w:sz w:val="18"/>
                <w:szCs w:val="18"/>
                <w:lang w:val="en-US"/>
              </w:rPr>
              <w:t>Chief Financial Officer</w:t>
            </w:r>
          </w:p>
        </w:tc>
        <w:tc>
          <w:tcPr>
            <w:tcW w:w="2700" w:type="dxa"/>
            <w:shd w:val="clear" w:color="auto" w:fill="auto"/>
            <w:hideMark/>
          </w:tcPr>
          <w:p w14:paraId="23FAF3E3"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3307</w:t>
            </w:r>
          </w:p>
        </w:tc>
      </w:tr>
      <w:tr w:rsidR="00E509A4" w14:paraId="2C4F9336" w14:textId="77777777" w:rsidTr="00E509A4">
        <w:trPr>
          <w:jc w:val="center"/>
        </w:trPr>
        <w:tc>
          <w:tcPr>
            <w:tcW w:w="2547" w:type="dxa"/>
            <w:shd w:val="clear" w:color="auto" w:fill="auto"/>
            <w:hideMark/>
          </w:tcPr>
          <w:p w14:paraId="417A7EE8" w14:textId="77777777" w:rsidR="00E509A4" w:rsidRPr="00E509A4" w:rsidRDefault="00E509A4" w:rsidP="00E509A4">
            <w:pPr>
              <w:rPr>
                <w:rFonts w:cs="Arial"/>
                <w:bCs/>
                <w:sz w:val="18"/>
                <w:szCs w:val="18"/>
                <w:lang w:val="en-US"/>
              </w:rPr>
            </w:pPr>
            <w:r w:rsidRPr="00E509A4">
              <w:rPr>
                <w:rFonts w:cs="Arial"/>
                <w:bCs/>
                <w:sz w:val="18"/>
                <w:szCs w:val="18"/>
                <w:lang w:val="en-US"/>
              </w:rPr>
              <w:t>Jack Gorman</w:t>
            </w:r>
          </w:p>
        </w:tc>
        <w:tc>
          <w:tcPr>
            <w:tcW w:w="3573" w:type="dxa"/>
            <w:shd w:val="clear" w:color="auto" w:fill="auto"/>
            <w:hideMark/>
          </w:tcPr>
          <w:p w14:paraId="13635F54" w14:textId="77777777" w:rsidR="00E509A4" w:rsidRPr="00E509A4" w:rsidRDefault="00E509A4" w:rsidP="00E509A4">
            <w:pPr>
              <w:rPr>
                <w:rFonts w:cs="Arial"/>
                <w:bCs/>
                <w:sz w:val="18"/>
                <w:szCs w:val="18"/>
                <w:lang w:val="en-US"/>
              </w:rPr>
            </w:pPr>
            <w:r w:rsidRPr="00E509A4">
              <w:rPr>
                <w:rFonts w:cs="Arial"/>
                <w:bCs/>
                <w:sz w:val="18"/>
                <w:szCs w:val="18"/>
                <w:lang w:val="en-US"/>
              </w:rPr>
              <w:t>Head of Capital Markets</w:t>
            </w:r>
          </w:p>
        </w:tc>
        <w:tc>
          <w:tcPr>
            <w:tcW w:w="2700" w:type="dxa"/>
            <w:shd w:val="clear" w:color="auto" w:fill="auto"/>
            <w:hideMark/>
          </w:tcPr>
          <w:p w14:paraId="664CD335"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3308</w:t>
            </w:r>
          </w:p>
        </w:tc>
      </w:tr>
      <w:tr w:rsidR="00E509A4" w14:paraId="44CBF563" w14:textId="77777777" w:rsidTr="00E509A4">
        <w:trPr>
          <w:jc w:val="center"/>
        </w:trPr>
        <w:tc>
          <w:tcPr>
            <w:tcW w:w="2547" w:type="dxa"/>
            <w:shd w:val="clear" w:color="auto" w:fill="auto"/>
          </w:tcPr>
          <w:p w14:paraId="03CF5B3C" w14:textId="77777777" w:rsidR="00E509A4" w:rsidRPr="00E509A4" w:rsidRDefault="00E509A4" w:rsidP="00E509A4">
            <w:pPr>
              <w:rPr>
                <w:rFonts w:cs="Arial"/>
                <w:bCs/>
                <w:sz w:val="18"/>
                <w:szCs w:val="18"/>
                <w:lang w:val="en-US"/>
              </w:rPr>
            </w:pPr>
          </w:p>
        </w:tc>
        <w:tc>
          <w:tcPr>
            <w:tcW w:w="3573" w:type="dxa"/>
            <w:shd w:val="clear" w:color="auto" w:fill="auto"/>
          </w:tcPr>
          <w:p w14:paraId="44EBAD64" w14:textId="77777777" w:rsidR="00E509A4" w:rsidRPr="00E509A4" w:rsidRDefault="00E509A4" w:rsidP="00E509A4">
            <w:pPr>
              <w:rPr>
                <w:rFonts w:cs="Arial"/>
                <w:bCs/>
                <w:sz w:val="18"/>
                <w:szCs w:val="18"/>
                <w:lang w:val="en-US"/>
              </w:rPr>
            </w:pPr>
          </w:p>
        </w:tc>
        <w:tc>
          <w:tcPr>
            <w:tcW w:w="2700" w:type="dxa"/>
            <w:shd w:val="clear" w:color="auto" w:fill="auto"/>
          </w:tcPr>
          <w:p w14:paraId="2067AFB2" w14:textId="77777777" w:rsidR="00E509A4" w:rsidRPr="00E509A4" w:rsidRDefault="00E509A4" w:rsidP="00E509A4">
            <w:pPr>
              <w:rPr>
                <w:rFonts w:cs="Arial"/>
                <w:bCs/>
                <w:sz w:val="18"/>
                <w:szCs w:val="18"/>
                <w:lang w:val="en-US"/>
              </w:rPr>
            </w:pPr>
          </w:p>
        </w:tc>
      </w:tr>
      <w:tr w:rsidR="00E509A4" w14:paraId="7702884E" w14:textId="77777777" w:rsidTr="00E509A4">
        <w:trPr>
          <w:jc w:val="center"/>
        </w:trPr>
        <w:tc>
          <w:tcPr>
            <w:tcW w:w="2547" w:type="dxa"/>
            <w:shd w:val="clear" w:color="auto" w:fill="auto"/>
            <w:hideMark/>
          </w:tcPr>
          <w:p w14:paraId="5F91B9DE" w14:textId="77777777" w:rsidR="00E509A4" w:rsidRPr="00E509A4" w:rsidRDefault="00E509A4" w:rsidP="00E509A4">
            <w:pPr>
              <w:rPr>
                <w:rFonts w:cs="Arial"/>
                <w:bCs/>
                <w:sz w:val="18"/>
                <w:szCs w:val="18"/>
                <w:lang w:val="en-US"/>
              </w:rPr>
            </w:pPr>
          </w:p>
        </w:tc>
        <w:tc>
          <w:tcPr>
            <w:tcW w:w="3573" w:type="dxa"/>
            <w:shd w:val="clear" w:color="auto" w:fill="auto"/>
            <w:hideMark/>
          </w:tcPr>
          <w:p w14:paraId="749470DB" w14:textId="77777777" w:rsidR="00E509A4" w:rsidRPr="00E509A4" w:rsidRDefault="00E509A4" w:rsidP="00E509A4">
            <w:pPr>
              <w:rPr>
                <w:rFonts w:cs="Arial"/>
                <w:bCs/>
                <w:sz w:val="18"/>
                <w:szCs w:val="18"/>
                <w:lang w:val="en-US"/>
              </w:rPr>
            </w:pPr>
          </w:p>
        </w:tc>
        <w:tc>
          <w:tcPr>
            <w:tcW w:w="2700" w:type="dxa"/>
            <w:shd w:val="clear" w:color="auto" w:fill="auto"/>
            <w:hideMark/>
          </w:tcPr>
          <w:p w14:paraId="7DBA8162" w14:textId="77777777" w:rsidR="00E509A4" w:rsidRPr="00E509A4" w:rsidRDefault="00E509A4" w:rsidP="00E509A4">
            <w:pPr>
              <w:rPr>
                <w:rFonts w:cs="Arial"/>
                <w:bCs/>
                <w:sz w:val="18"/>
                <w:szCs w:val="18"/>
                <w:lang w:val="en-US"/>
              </w:rPr>
            </w:pPr>
          </w:p>
        </w:tc>
      </w:tr>
      <w:tr w:rsidR="00E509A4" w14:paraId="04B064D6" w14:textId="77777777" w:rsidTr="00E509A4">
        <w:trPr>
          <w:jc w:val="center"/>
        </w:trPr>
        <w:tc>
          <w:tcPr>
            <w:tcW w:w="2547" w:type="dxa"/>
            <w:shd w:val="clear" w:color="auto" w:fill="auto"/>
            <w:hideMark/>
          </w:tcPr>
          <w:p w14:paraId="37341458" w14:textId="77777777" w:rsidR="00E509A4" w:rsidRPr="00E509A4" w:rsidRDefault="00E509A4" w:rsidP="00E509A4">
            <w:pPr>
              <w:rPr>
                <w:rFonts w:cs="Arial"/>
                <w:bCs/>
                <w:sz w:val="18"/>
                <w:szCs w:val="18"/>
                <w:lang w:val="en-US"/>
              </w:rPr>
            </w:pPr>
            <w:r w:rsidRPr="00E509A4">
              <w:rPr>
                <w:rFonts w:cs="Arial"/>
                <w:bCs/>
                <w:sz w:val="18"/>
                <w:szCs w:val="18"/>
                <w:lang w:val="en-US"/>
              </w:rPr>
              <w:t xml:space="preserve">Rob Greening or Sam </w:t>
            </w:r>
            <w:proofErr w:type="spellStart"/>
            <w:r w:rsidRPr="00E509A4">
              <w:rPr>
                <w:rFonts w:cs="Arial"/>
                <w:bCs/>
                <w:sz w:val="18"/>
                <w:szCs w:val="18"/>
                <w:lang w:val="en-US"/>
              </w:rPr>
              <w:t>Austrums</w:t>
            </w:r>
            <w:proofErr w:type="spellEnd"/>
          </w:p>
        </w:tc>
        <w:tc>
          <w:tcPr>
            <w:tcW w:w="3573" w:type="dxa"/>
            <w:shd w:val="clear" w:color="auto" w:fill="auto"/>
            <w:hideMark/>
          </w:tcPr>
          <w:p w14:paraId="63FD3F1F" w14:textId="77777777" w:rsidR="00E509A4" w:rsidRPr="00E509A4" w:rsidRDefault="00E509A4" w:rsidP="00E509A4">
            <w:pPr>
              <w:rPr>
                <w:rFonts w:cs="Arial"/>
                <w:bCs/>
                <w:sz w:val="18"/>
                <w:szCs w:val="18"/>
                <w:lang w:val="en-US"/>
              </w:rPr>
            </w:pPr>
            <w:r w:rsidRPr="00E509A4">
              <w:rPr>
                <w:rFonts w:cs="Arial"/>
                <w:bCs/>
                <w:sz w:val="18"/>
                <w:szCs w:val="18"/>
                <w:lang w:val="en-US"/>
              </w:rPr>
              <w:t>Powerscourt</w:t>
            </w:r>
          </w:p>
        </w:tc>
        <w:tc>
          <w:tcPr>
            <w:tcW w:w="2700" w:type="dxa"/>
            <w:shd w:val="clear" w:color="auto" w:fill="auto"/>
            <w:hideMark/>
          </w:tcPr>
          <w:p w14:paraId="056B6939" w14:textId="77777777" w:rsidR="00E509A4" w:rsidRPr="00E509A4" w:rsidRDefault="00E509A4" w:rsidP="00E509A4">
            <w:pPr>
              <w:rPr>
                <w:rFonts w:cs="Arial"/>
                <w:bCs/>
                <w:sz w:val="18"/>
                <w:szCs w:val="18"/>
                <w:lang w:val="en-US"/>
              </w:rPr>
            </w:pPr>
            <w:r w:rsidRPr="00E509A4">
              <w:rPr>
                <w:rFonts w:cs="Arial"/>
                <w:bCs/>
                <w:sz w:val="18"/>
                <w:szCs w:val="18"/>
                <w:lang w:val="en-US"/>
              </w:rPr>
              <w:t>Tel: +44 (0) 20 7250 1446</w:t>
            </w:r>
          </w:p>
        </w:tc>
      </w:tr>
      <w:tr w:rsidR="00E509A4" w14:paraId="6372930E" w14:textId="77777777" w:rsidTr="00E509A4">
        <w:trPr>
          <w:jc w:val="center"/>
        </w:trPr>
        <w:tc>
          <w:tcPr>
            <w:tcW w:w="2547" w:type="dxa"/>
            <w:shd w:val="clear" w:color="auto" w:fill="auto"/>
            <w:hideMark/>
          </w:tcPr>
          <w:p w14:paraId="7E1910E6" w14:textId="77777777" w:rsidR="00E509A4" w:rsidRPr="00E509A4" w:rsidRDefault="00E509A4" w:rsidP="00E509A4">
            <w:pPr>
              <w:rPr>
                <w:rFonts w:cs="Arial"/>
                <w:bCs/>
                <w:sz w:val="18"/>
                <w:szCs w:val="18"/>
                <w:lang w:val="en-US"/>
              </w:rPr>
            </w:pPr>
            <w:r w:rsidRPr="00E509A4">
              <w:rPr>
                <w:rFonts w:cs="Arial"/>
                <w:bCs/>
                <w:sz w:val="18"/>
                <w:szCs w:val="18"/>
                <w:lang w:val="en-US"/>
              </w:rPr>
              <w:t>Billy Murphy or Louise Walsh</w:t>
            </w:r>
          </w:p>
        </w:tc>
        <w:tc>
          <w:tcPr>
            <w:tcW w:w="3573" w:type="dxa"/>
            <w:shd w:val="clear" w:color="auto" w:fill="auto"/>
            <w:hideMark/>
          </w:tcPr>
          <w:p w14:paraId="22AA395F" w14:textId="77777777" w:rsidR="00E509A4" w:rsidRPr="00E509A4" w:rsidRDefault="00E509A4" w:rsidP="00E509A4">
            <w:pPr>
              <w:rPr>
                <w:rFonts w:cs="Arial"/>
                <w:bCs/>
                <w:sz w:val="18"/>
                <w:szCs w:val="18"/>
                <w:lang w:val="en-US"/>
              </w:rPr>
            </w:pPr>
            <w:r w:rsidRPr="00E509A4">
              <w:rPr>
                <w:rFonts w:cs="Arial"/>
                <w:bCs/>
                <w:sz w:val="18"/>
                <w:szCs w:val="18"/>
                <w:lang w:val="en-US"/>
              </w:rPr>
              <w:t xml:space="preserve">Drury | Porter </w:t>
            </w:r>
            <w:proofErr w:type="spellStart"/>
            <w:r w:rsidRPr="00E509A4">
              <w:rPr>
                <w:rFonts w:cs="Arial"/>
                <w:bCs/>
                <w:sz w:val="18"/>
                <w:szCs w:val="18"/>
                <w:lang w:val="en-US"/>
              </w:rPr>
              <w:t>Novelli</w:t>
            </w:r>
            <w:proofErr w:type="spellEnd"/>
          </w:p>
        </w:tc>
        <w:tc>
          <w:tcPr>
            <w:tcW w:w="2700" w:type="dxa"/>
            <w:shd w:val="clear" w:color="auto" w:fill="auto"/>
            <w:hideMark/>
          </w:tcPr>
          <w:p w14:paraId="7767C80D" w14:textId="77777777" w:rsidR="00E509A4" w:rsidRPr="00E509A4" w:rsidRDefault="00E509A4" w:rsidP="00E509A4">
            <w:pPr>
              <w:rPr>
                <w:rFonts w:cs="Arial"/>
                <w:bCs/>
                <w:sz w:val="18"/>
                <w:szCs w:val="18"/>
                <w:lang w:val="en-US"/>
              </w:rPr>
            </w:pPr>
            <w:r w:rsidRPr="00E509A4">
              <w:rPr>
                <w:rFonts w:cs="Arial"/>
                <w:bCs/>
                <w:sz w:val="18"/>
                <w:szCs w:val="18"/>
                <w:lang w:val="en-US"/>
              </w:rPr>
              <w:t>Tel: +353 (0) 1 260 5000</w:t>
            </w:r>
          </w:p>
        </w:tc>
      </w:tr>
    </w:tbl>
    <w:p w14:paraId="3D807580" w14:textId="77777777" w:rsidR="000940FB" w:rsidRPr="00FF4280" w:rsidRDefault="000940FB" w:rsidP="000940FB">
      <w:pPr>
        <w:jc w:val="both"/>
        <w:rPr>
          <w:rFonts w:cs="Arial"/>
          <w:sz w:val="18"/>
          <w:szCs w:val="18"/>
        </w:rPr>
      </w:pPr>
    </w:p>
    <w:p w14:paraId="78619961" w14:textId="77777777" w:rsidR="000940FB" w:rsidRPr="00E512C6" w:rsidRDefault="000940FB" w:rsidP="00ED0EF2">
      <w:pPr>
        <w:adjustRightInd w:val="0"/>
        <w:spacing w:after="120"/>
        <w:jc w:val="both"/>
        <w:rPr>
          <w:b/>
          <w:bCs/>
          <w:color w:val="000000"/>
          <w:sz w:val="20"/>
          <w:szCs w:val="18"/>
        </w:rPr>
      </w:pPr>
      <w:r w:rsidRPr="00E512C6">
        <w:rPr>
          <w:b/>
          <w:bCs/>
          <w:color w:val="000000"/>
          <w:sz w:val="20"/>
          <w:szCs w:val="18"/>
        </w:rPr>
        <w:t xml:space="preserve">About Greencore </w:t>
      </w:r>
    </w:p>
    <w:p w14:paraId="402253CE" w14:textId="4CE2050A" w:rsidR="00C860C1" w:rsidRPr="002B4347" w:rsidRDefault="00010E54" w:rsidP="00ED0EF2">
      <w:pPr>
        <w:spacing w:after="120"/>
        <w:jc w:val="both"/>
        <w:rPr>
          <w:color w:val="000000"/>
          <w:sz w:val="18"/>
          <w:szCs w:val="18"/>
        </w:rPr>
      </w:pPr>
      <w:r w:rsidRPr="00010E54">
        <w:rPr>
          <w:color w:val="000000"/>
          <w:sz w:val="18"/>
          <w:szCs w:val="18"/>
        </w:rPr>
        <w:t xml:space="preserve">We are a leading manufacturer of convenience food in the UK and our purpose is to make </w:t>
      </w:r>
      <w:proofErr w:type="gramStart"/>
      <w:r w:rsidRPr="00010E54">
        <w:rPr>
          <w:color w:val="000000"/>
          <w:sz w:val="18"/>
          <w:szCs w:val="18"/>
        </w:rPr>
        <w:t>every day</w:t>
      </w:r>
      <w:proofErr w:type="gramEnd"/>
      <w:r w:rsidRPr="00010E54">
        <w:rPr>
          <w:color w:val="000000"/>
          <w:sz w:val="18"/>
          <w:szCs w:val="18"/>
        </w:rPr>
        <w:t xml:space="preserve"> taste better. We supply </w:t>
      </w:r>
      <w:proofErr w:type="gramStart"/>
      <w:r w:rsidRPr="00010E54">
        <w:rPr>
          <w:color w:val="000000"/>
          <w:sz w:val="18"/>
          <w:szCs w:val="18"/>
        </w:rPr>
        <w:t>all of</w:t>
      </w:r>
      <w:proofErr w:type="gramEnd"/>
      <w:r w:rsidRPr="00010E54">
        <w:rPr>
          <w:color w:val="000000"/>
          <w:sz w:val="18"/>
          <w:szCs w:val="18"/>
        </w:rPr>
        <w:t xml:space="preserve">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14007F23" w14:textId="77777777" w:rsidR="00C860C1" w:rsidRPr="002B4347" w:rsidRDefault="00C860C1" w:rsidP="00ED0EF2">
      <w:pPr>
        <w:spacing w:after="120"/>
        <w:jc w:val="both"/>
        <w:rPr>
          <w:color w:val="000000"/>
          <w:sz w:val="18"/>
          <w:szCs w:val="18"/>
        </w:rPr>
      </w:pPr>
      <w:r w:rsidRPr="002B4347">
        <w:rPr>
          <w:color w:val="000000"/>
          <w:sz w:val="18"/>
          <w:szCs w:val="18"/>
        </w:rPr>
        <w:t>In FY20 we manufactured 619</w:t>
      </w:r>
      <w:r w:rsidR="00CA6D7C">
        <w:rPr>
          <w:color w:val="000000"/>
          <w:sz w:val="18"/>
          <w:szCs w:val="18"/>
        </w:rPr>
        <w:t>m</w:t>
      </w:r>
      <w:r w:rsidRPr="002B4347">
        <w:rPr>
          <w:color w:val="000000"/>
          <w:sz w:val="18"/>
          <w:szCs w:val="18"/>
        </w:rPr>
        <w:t xml:space="preserve"> sandwiches and other food to go products, 116</w:t>
      </w:r>
      <w:r w:rsidR="00CA6D7C">
        <w:rPr>
          <w:color w:val="000000"/>
          <w:sz w:val="18"/>
          <w:szCs w:val="18"/>
        </w:rPr>
        <w:t>m</w:t>
      </w:r>
      <w:r w:rsidRPr="002B4347">
        <w:rPr>
          <w:color w:val="000000"/>
          <w:sz w:val="18"/>
          <w:szCs w:val="18"/>
        </w:rPr>
        <w:t xml:space="preserve"> chilled prepared meals, and 264</w:t>
      </w:r>
      <w:r w:rsidR="00CA6D7C">
        <w:rPr>
          <w:color w:val="000000"/>
          <w:sz w:val="18"/>
          <w:szCs w:val="18"/>
        </w:rPr>
        <w:t>m</w:t>
      </w:r>
      <w:r w:rsidRPr="002B4347">
        <w:rPr>
          <w:color w:val="000000"/>
          <w:sz w:val="18"/>
          <w:szCs w:val="18"/>
        </w:rPr>
        <w:t xml:space="preserve"> bottles of cooking sauces, </w:t>
      </w:r>
      <w:proofErr w:type="gramStart"/>
      <w:r w:rsidRPr="002B4347">
        <w:rPr>
          <w:color w:val="000000"/>
          <w:sz w:val="18"/>
          <w:szCs w:val="18"/>
        </w:rPr>
        <w:t>pickles</w:t>
      </w:r>
      <w:proofErr w:type="gramEnd"/>
      <w:r w:rsidRPr="002B4347">
        <w:rPr>
          <w:color w:val="000000"/>
          <w:sz w:val="18"/>
          <w:szCs w:val="18"/>
        </w:rPr>
        <w:t xml:space="preserve"> and condiments. We carry out more than 10,000 direct to store deliveries each day. We have 16 world-class manufacturing sites in the </w:t>
      </w:r>
      <w:r w:rsidRPr="002B4347">
        <w:rPr>
          <w:color w:val="000000"/>
          <w:sz w:val="18"/>
          <w:szCs w:val="18"/>
        </w:rPr>
        <w:lastRenderedPageBreak/>
        <w:t xml:space="preserve">UK, with industry-leading technology and supply chain capabilities. </w:t>
      </w:r>
      <w:r w:rsidR="00CA6D7C">
        <w:rPr>
          <w:color w:val="000000"/>
          <w:sz w:val="18"/>
          <w:szCs w:val="18"/>
        </w:rPr>
        <w:t xml:space="preserve">We generated revenues of £1.3bn in </w:t>
      </w:r>
      <w:r w:rsidRPr="002B4347">
        <w:rPr>
          <w:color w:val="000000"/>
          <w:sz w:val="18"/>
          <w:szCs w:val="18"/>
        </w:rPr>
        <w:t>FY20 and employ approximately 12,200 people. We are headquartered in Dublin, Ireland.</w:t>
      </w:r>
    </w:p>
    <w:p w14:paraId="710FE36A" w14:textId="77777777" w:rsidR="00C860C1" w:rsidRPr="00C860C1" w:rsidRDefault="00C860C1" w:rsidP="00ED0EF2">
      <w:pPr>
        <w:spacing w:after="120"/>
        <w:jc w:val="both"/>
        <w:rPr>
          <w:color w:val="000000"/>
          <w:sz w:val="18"/>
          <w:szCs w:val="18"/>
          <w:highlight w:val="yellow"/>
        </w:rPr>
      </w:pPr>
      <w:r w:rsidRPr="002B4347">
        <w:rPr>
          <w:color w:val="000000"/>
          <w:sz w:val="18"/>
          <w:szCs w:val="18"/>
        </w:rPr>
        <w:t xml:space="preserve">For further information go to </w:t>
      </w:r>
      <w:hyperlink r:id="rId11" w:history="1">
        <w:r w:rsidRPr="002B4347">
          <w:rPr>
            <w:rStyle w:val="Hyperlink"/>
            <w:rFonts w:cs="Calibri"/>
            <w:sz w:val="18"/>
            <w:szCs w:val="18"/>
          </w:rPr>
          <w:t>www.greencore.com</w:t>
        </w:r>
      </w:hyperlink>
      <w:r w:rsidRPr="002B4347">
        <w:rPr>
          <w:color w:val="000000"/>
          <w:sz w:val="18"/>
          <w:szCs w:val="18"/>
        </w:rPr>
        <w:t xml:space="preserve"> or follow Greencore on social media.</w:t>
      </w:r>
    </w:p>
    <w:p w14:paraId="26EFF60E" w14:textId="77777777" w:rsidR="00ED0EF2" w:rsidRDefault="00ED0EF2" w:rsidP="00ED0EF2">
      <w:pPr>
        <w:spacing w:after="120"/>
        <w:jc w:val="both"/>
        <w:rPr>
          <w:rFonts w:cs="Arial"/>
          <w:b/>
          <w:sz w:val="20"/>
          <w:szCs w:val="18"/>
        </w:rPr>
      </w:pPr>
    </w:p>
    <w:p w14:paraId="18A78ADF" w14:textId="77777777" w:rsidR="003B7495" w:rsidRPr="00CB7CCC" w:rsidRDefault="003B7495" w:rsidP="00ED0EF2">
      <w:pPr>
        <w:spacing w:after="120"/>
        <w:jc w:val="both"/>
        <w:rPr>
          <w:rFonts w:cs="Arial"/>
          <w:b/>
          <w:sz w:val="20"/>
          <w:szCs w:val="18"/>
        </w:rPr>
      </w:pPr>
      <w:r w:rsidRPr="00CB7CCC">
        <w:rPr>
          <w:rFonts w:cs="Arial"/>
          <w:b/>
          <w:sz w:val="20"/>
          <w:szCs w:val="18"/>
        </w:rPr>
        <w:t>OPERATING REVIEW</w:t>
      </w:r>
      <w:r w:rsidR="00C060CA" w:rsidRPr="00CB7CCC">
        <w:rPr>
          <w:rFonts w:cs="Arial"/>
          <w:b/>
          <w:sz w:val="20"/>
          <w:szCs w:val="18"/>
          <w:vertAlign w:val="superscript"/>
        </w:rPr>
        <w:t>1</w:t>
      </w:r>
      <w:r w:rsidR="00115113" w:rsidRPr="00CB7CCC">
        <w:rPr>
          <w:rFonts w:cs="Arial"/>
          <w:b/>
          <w:sz w:val="20"/>
          <w:szCs w:val="18"/>
          <w:vertAlign w:val="superscript"/>
        </w:rPr>
        <w:t>,2</w:t>
      </w:r>
    </w:p>
    <w:p w14:paraId="6E874402" w14:textId="77777777" w:rsidR="00E564ED" w:rsidRDefault="00E564ED" w:rsidP="00ED0EF2">
      <w:pPr>
        <w:spacing w:after="120"/>
        <w:jc w:val="both"/>
        <w:rPr>
          <w:rFonts w:cs="Arial"/>
          <w:b/>
          <w:sz w:val="18"/>
          <w:szCs w:val="18"/>
          <w:u w:val="single"/>
        </w:rPr>
      </w:pPr>
    </w:p>
    <w:p w14:paraId="5648E701" w14:textId="77777777" w:rsidR="003B7495" w:rsidRPr="00CB7CCC" w:rsidRDefault="003B7495" w:rsidP="00ED0EF2">
      <w:pPr>
        <w:spacing w:after="120"/>
        <w:jc w:val="both"/>
        <w:rPr>
          <w:rFonts w:cs="Arial"/>
          <w:b/>
          <w:sz w:val="18"/>
          <w:szCs w:val="18"/>
          <w:u w:val="single"/>
        </w:rPr>
      </w:pPr>
      <w:r w:rsidRPr="00CB7CCC">
        <w:rPr>
          <w:rFonts w:cs="Arial"/>
          <w:b/>
          <w:sz w:val="18"/>
          <w:szCs w:val="18"/>
          <w:u w:val="single"/>
        </w:rPr>
        <w:t>Convenience Foods UK &amp; Ireland</w:t>
      </w:r>
    </w:p>
    <w:p w14:paraId="45D2E8F4" w14:textId="77777777" w:rsidR="003B7495" w:rsidRPr="00CB7CCC" w:rsidRDefault="003B7495" w:rsidP="00CB7CCC">
      <w:pPr>
        <w:jc w:val="both"/>
        <w:rPr>
          <w:rFonts w:cs="Arial"/>
          <w:b/>
          <w:sz w:val="18"/>
          <w:szCs w:val="18"/>
          <w:u w:val="single"/>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01"/>
        <w:gridCol w:w="1701"/>
        <w:gridCol w:w="1701"/>
        <w:gridCol w:w="1701"/>
      </w:tblGrid>
      <w:tr w:rsidR="003B7495" w:rsidRPr="00CB7CCC" w14:paraId="57FFEB62" w14:textId="77777777" w:rsidTr="005771B0">
        <w:tc>
          <w:tcPr>
            <w:tcW w:w="2977" w:type="dxa"/>
          </w:tcPr>
          <w:p w14:paraId="473FBF71" w14:textId="77777777" w:rsidR="003B7495" w:rsidRPr="00CB7CCC" w:rsidRDefault="003B7495" w:rsidP="00CB7CCC">
            <w:pPr>
              <w:jc w:val="both"/>
              <w:rPr>
                <w:rFonts w:cs="Arial"/>
                <w:b/>
                <w:sz w:val="18"/>
                <w:szCs w:val="18"/>
                <w:lang w:val="en-US"/>
              </w:rPr>
            </w:pPr>
          </w:p>
        </w:tc>
        <w:tc>
          <w:tcPr>
            <w:tcW w:w="1701" w:type="dxa"/>
            <w:hideMark/>
          </w:tcPr>
          <w:p w14:paraId="73A033FB" w14:textId="77777777" w:rsidR="003B7495" w:rsidRPr="00CB7CCC" w:rsidRDefault="003B7495" w:rsidP="00CB7CCC">
            <w:pPr>
              <w:jc w:val="right"/>
              <w:rPr>
                <w:rFonts w:cs="Arial"/>
                <w:b/>
                <w:sz w:val="18"/>
                <w:szCs w:val="18"/>
                <w:lang w:val="en-US"/>
              </w:rPr>
            </w:pPr>
            <w:r w:rsidRPr="00CB7CCC">
              <w:rPr>
                <w:rFonts w:cs="Arial"/>
                <w:b/>
                <w:sz w:val="18"/>
                <w:szCs w:val="18"/>
                <w:lang w:val="en-US"/>
              </w:rPr>
              <w:t>FY</w:t>
            </w:r>
            <w:r w:rsidR="001E0537" w:rsidRPr="00CB7CCC">
              <w:rPr>
                <w:rFonts w:cs="Arial"/>
                <w:b/>
                <w:sz w:val="18"/>
                <w:szCs w:val="18"/>
                <w:lang w:val="en-US"/>
              </w:rPr>
              <w:t>20</w:t>
            </w:r>
          </w:p>
          <w:p w14:paraId="63F70D88"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1701" w:type="dxa"/>
          </w:tcPr>
          <w:p w14:paraId="17CF033C" w14:textId="77777777" w:rsidR="001E0537" w:rsidRPr="00CB7CCC" w:rsidRDefault="001E0537" w:rsidP="00CB7CCC">
            <w:pPr>
              <w:jc w:val="right"/>
              <w:rPr>
                <w:rFonts w:cs="Arial"/>
                <w:b/>
                <w:sz w:val="18"/>
                <w:szCs w:val="18"/>
                <w:lang w:val="en-US"/>
              </w:rPr>
            </w:pPr>
            <w:r w:rsidRPr="00CB7CCC">
              <w:rPr>
                <w:rFonts w:cs="Arial"/>
                <w:b/>
                <w:sz w:val="18"/>
                <w:szCs w:val="18"/>
                <w:lang w:val="en-US"/>
              </w:rPr>
              <w:t>FY19</w:t>
            </w:r>
          </w:p>
          <w:p w14:paraId="7BBBCCB1" w14:textId="77777777" w:rsidR="003B7495" w:rsidRPr="00CB7CCC" w:rsidRDefault="001E0537" w:rsidP="00CB7CCC">
            <w:pPr>
              <w:jc w:val="right"/>
              <w:rPr>
                <w:rFonts w:cs="Arial"/>
                <w:b/>
                <w:sz w:val="18"/>
                <w:szCs w:val="18"/>
                <w:lang w:val="en-US"/>
              </w:rPr>
            </w:pPr>
            <w:r w:rsidRPr="00CB7CCC">
              <w:rPr>
                <w:rFonts w:cs="Arial"/>
                <w:b/>
                <w:sz w:val="18"/>
                <w:szCs w:val="18"/>
                <w:lang w:val="en-US"/>
              </w:rPr>
              <w:t>£m</w:t>
            </w:r>
          </w:p>
        </w:tc>
        <w:tc>
          <w:tcPr>
            <w:tcW w:w="1701" w:type="dxa"/>
            <w:hideMark/>
          </w:tcPr>
          <w:p w14:paraId="6EA88F78"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p>
          <w:p w14:paraId="5394E175" w14:textId="77777777" w:rsidR="003B7495" w:rsidRPr="00CB7CCC" w:rsidRDefault="003B7495" w:rsidP="00CB7CCC">
            <w:pPr>
              <w:jc w:val="right"/>
              <w:rPr>
                <w:rFonts w:cs="Arial"/>
                <w:b/>
                <w:sz w:val="18"/>
                <w:szCs w:val="18"/>
                <w:lang w:val="en-US"/>
              </w:rPr>
            </w:pPr>
            <w:r w:rsidRPr="00CB7CCC">
              <w:rPr>
                <w:rFonts w:cs="Arial"/>
                <w:b/>
                <w:sz w:val="18"/>
                <w:szCs w:val="18"/>
                <w:lang w:val="en-US"/>
              </w:rPr>
              <w:t>(As reported)</w:t>
            </w:r>
          </w:p>
        </w:tc>
        <w:tc>
          <w:tcPr>
            <w:tcW w:w="1701" w:type="dxa"/>
            <w:hideMark/>
          </w:tcPr>
          <w:p w14:paraId="119A30E1"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p>
          <w:p w14:paraId="6351E660" w14:textId="77777777" w:rsidR="003B7495" w:rsidRPr="00CB7CCC" w:rsidRDefault="003B7495" w:rsidP="00CB7CCC">
            <w:pPr>
              <w:jc w:val="right"/>
              <w:rPr>
                <w:rFonts w:cs="Arial"/>
                <w:b/>
                <w:sz w:val="18"/>
                <w:szCs w:val="18"/>
                <w:lang w:val="en-US"/>
              </w:rPr>
            </w:pPr>
            <w:r w:rsidRPr="00CB7CCC">
              <w:rPr>
                <w:rFonts w:cs="Arial"/>
                <w:b/>
                <w:sz w:val="18"/>
                <w:szCs w:val="18"/>
                <w:lang w:val="en-US"/>
              </w:rPr>
              <w:t>(Pro Forma basis)</w:t>
            </w:r>
          </w:p>
        </w:tc>
      </w:tr>
      <w:tr w:rsidR="001E0537" w:rsidRPr="00CB7CCC" w14:paraId="5CECC775" w14:textId="77777777" w:rsidTr="005771B0">
        <w:tc>
          <w:tcPr>
            <w:tcW w:w="2977" w:type="dxa"/>
            <w:hideMark/>
          </w:tcPr>
          <w:p w14:paraId="0FF5E7C5" w14:textId="77777777" w:rsidR="001E0537" w:rsidRPr="00CB7CCC" w:rsidRDefault="001E0537" w:rsidP="00CB7CCC">
            <w:pPr>
              <w:jc w:val="both"/>
              <w:rPr>
                <w:rFonts w:cs="Arial"/>
                <w:sz w:val="18"/>
                <w:szCs w:val="18"/>
                <w:lang w:val="en-US"/>
              </w:rPr>
            </w:pPr>
            <w:r w:rsidRPr="00CB7CCC">
              <w:rPr>
                <w:rFonts w:cs="Arial"/>
                <w:sz w:val="18"/>
                <w:szCs w:val="18"/>
                <w:lang w:val="en-US"/>
              </w:rPr>
              <w:t>Revenue</w:t>
            </w:r>
          </w:p>
        </w:tc>
        <w:tc>
          <w:tcPr>
            <w:tcW w:w="1701" w:type="dxa"/>
            <w:shd w:val="clear" w:color="auto" w:fill="auto"/>
          </w:tcPr>
          <w:p w14:paraId="67C929E2" w14:textId="77777777" w:rsidR="001E0537" w:rsidRPr="00CB7CCC" w:rsidRDefault="0051787E" w:rsidP="00CB7CCC">
            <w:pPr>
              <w:jc w:val="right"/>
              <w:rPr>
                <w:rFonts w:cs="Arial"/>
                <w:sz w:val="18"/>
                <w:szCs w:val="18"/>
                <w:lang w:val="en-US"/>
              </w:rPr>
            </w:pPr>
            <w:r w:rsidRPr="00CB7CCC">
              <w:rPr>
                <w:rFonts w:cs="Arial"/>
                <w:sz w:val="18"/>
                <w:szCs w:val="18"/>
                <w:lang w:val="en-US"/>
              </w:rPr>
              <w:t>1,</w:t>
            </w:r>
            <w:r w:rsidR="003E3CCF" w:rsidRPr="00CB7CCC">
              <w:rPr>
                <w:rFonts w:cs="Arial"/>
                <w:sz w:val="18"/>
                <w:szCs w:val="18"/>
                <w:lang w:val="en-US"/>
              </w:rPr>
              <w:t>264.7</w:t>
            </w:r>
          </w:p>
        </w:tc>
        <w:tc>
          <w:tcPr>
            <w:tcW w:w="1701" w:type="dxa"/>
            <w:shd w:val="clear" w:color="auto" w:fill="auto"/>
          </w:tcPr>
          <w:p w14:paraId="2B58C195" w14:textId="77777777" w:rsidR="001E0537" w:rsidRPr="00CB7CCC" w:rsidRDefault="001E0537" w:rsidP="00CB7CCC">
            <w:pPr>
              <w:jc w:val="right"/>
              <w:rPr>
                <w:rFonts w:cs="Arial"/>
                <w:sz w:val="18"/>
                <w:szCs w:val="18"/>
                <w:lang w:val="en-US"/>
              </w:rPr>
            </w:pPr>
            <w:r w:rsidRPr="00CB7CCC">
              <w:rPr>
                <w:rFonts w:cs="Arial"/>
                <w:sz w:val="18"/>
                <w:szCs w:val="18"/>
                <w:lang w:val="en-US"/>
              </w:rPr>
              <w:t>1,446.1</w:t>
            </w:r>
          </w:p>
        </w:tc>
        <w:tc>
          <w:tcPr>
            <w:tcW w:w="1701" w:type="dxa"/>
            <w:shd w:val="clear" w:color="auto" w:fill="auto"/>
          </w:tcPr>
          <w:p w14:paraId="07073BFC" w14:textId="77777777" w:rsidR="001E0537" w:rsidRPr="00CB7CCC" w:rsidRDefault="00CA6D7C" w:rsidP="00CB7CCC">
            <w:pPr>
              <w:jc w:val="right"/>
              <w:rPr>
                <w:rFonts w:cs="Arial"/>
                <w:sz w:val="18"/>
                <w:szCs w:val="18"/>
                <w:lang w:val="en-US"/>
              </w:rPr>
            </w:pPr>
            <w:r w:rsidRPr="00CB7CCC">
              <w:rPr>
                <w:rFonts w:cs="Arial"/>
                <w:sz w:val="18"/>
                <w:szCs w:val="18"/>
                <w:lang w:val="en-US"/>
              </w:rPr>
              <w:t>-12.</w:t>
            </w:r>
            <w:r w:rsidR="003E3CCF" w:rsidRPr="00CB7CCC">
              <w:rPr>
                <w:rFonts w:cs="Arial"/>
                <w:sz w:val="18"/>
                <w:szCs w:val="18"/>
                <w:lang w:val="en-US"/>
              </w:rPr>
              <w:t>5</w:t>
            </w:r>
            <w:r w:rsidRPr="00CB7CCC">
              <w:rPr>
                <w:rFonts w:cs="Arial"/>
                <w:sz w:val="18"/>
                <w:szCs w:val="18"/>
                <w:lang w:val="en-US"/>
              </w:rPr>
              <w:t>%</w:t>
            </w:r>
          </w:p>
        </w:tc>
        <w:tc>
          <w:tcPr>
            <w:tcW w:w="1701" w:type="dxa"/>
          </w:tcPr>
          <w:p w14:paraId="3B94F7A2" w14:textId="77777777" w:rsidR="001E0537" w:rsidRPr="00CB7CCC" w:rsidRDefault="00BF1F21" w:rsidP="00CB7CCC">
            <w:pPr>
              <w:jc w:val="right"/>
              <w:rPr>
                <w:rFonts w:cs="Arial"/>
                <w:sz w:val="18"/>
                <w:szCs w:val="18"/>
                <w:lang w:val="en-US"/>
              </w:rPr>
            </w:pPr>
            <w:r w:rsidRPr="00CB7CCC">
              <w:rPr>
                <w:rFonts w:cs="Arial"/>
                <w:sz w:val="18"/>
                <w:szCs w:val="18"/>
                <w:lang w:val="en-US"/>
              </w:rPr>
              <w:t>-14.</w:t>
            </w:r>
            <w:r w:rsidR="002A6258" w:rsidRPr="00CB7CCC">
              <w:rPr>
                <w:rFonts w:cs="Arial"/>
                <w:sz w:val="18"/>
                <w:szCs w:val="18"/>
                <w:lang w:val="en-US"/>
              </w:rPr>
              <w:t>3</w:t>
            </w:r>
            <w:r w:rsidR="00CA6D7C" w:rsidRPr="00CB7CCC">
              <w:rPr>
                <w:rFonts w:cs="Arial"/>
                <w:sz w:val="18"/>
                <w:szCs w:val="18"/>
                <w:lang w:val="en-US"/>
              </w:rPr>
              <w:t>%</w:t>
            </w:r>
          </w:p>
        </w:tc>
      </w:tr>
      <w:tr w:rsidR="001E0537" w:rsidRPr="00CB7CCC" w14:paraId="4EF79F43" w14:textId="77777777" w:rsidTr="005771B0">
        <w:tc>
          <w:tcPr>
            <w:tcW w:w="2977" w:type="dxa"/>
          </w:tcPr>
          <w:p w14:paraId="02ACC9E5" w14:textId="77777777" w:rsidR="001E0537" w:rsidRPr="00CB7CCC" w:rsidRDefault="001E0537" w:rsidP="00CB7CCC">
            <w:pPr>
              <w:jc w:val="both"/>
              <w:rPr>
                <w:rFonts w:cs="Arial"/>
                <w:sz w:val="18"/>
                <w:szCs w:val="18"/>
                <w:lang w:val="en-US"/>
              </w:rPr>
            </w:pPr>
            <w:r w:rsidRPr="00CB7CCC">
              <w:rPr>
                <w:rFonts w:cs="Arial"/>
                <w:sz w:val="18"/>
                <w:szCs w:val="18"/>
                <w:lang w:val="en-US"/>
              </w:rPr>
              <w:t>Adjusted Operating Profit</w:t>
            </w:r>
          </w:p>
        </w:tc>
        <w:tc>
          <w:tcPr>
            <w:tcW w:w="1701" w:type="dxa"/>
            <w:shd w:val="clear" w:color="auto" w:fill="auto"/>
          </w:tcPr>
          <w:p w14:paraId="39CA095E" w14:textId="77777777" w:rsidR="001E0537" w:rsidRPr="00CB7CCC" w:rsidRDefault="002A6258" w:rsidP="00CB7CCC">
            <w:pPr>
              <w:jc w:val="right"/>
              <w:rPr>
                <w:rFonts w:cs="Arial"/>
                <w:sz w:val="18"/>
                <w:szCs w:val="18"/>
                <w:lang w:val="en-US"/>
              </w:rPr>
            </w:pPr>
            <w:r w:rsidRPr="00CB7CCC">
              <w:rPr>
                <w:rFonts w:cs="Arial"/>
                <w:sz w:val="18"/>
                <w:szCs w:val="18"/>
                <w:lang w:val="en-US"/>
              </w:rPr>
              <w:t>32.5</w:t>
            </w:r>
          </w:p>
        </w:tc>
        <w:tc>
          <w:tcPr>
            <w:tcW w:w="1701" w:type="dxa"/>
            <w:shd w:val="clear" w:color="auto" w:fill="auto"/>
          </w:tcPr>
          <w:p w14:paraId="16D63751" w14:textId="77777777" w:rsidR="001E0537" w:rsidRPr="00CB7CCC" w:rsidRDefault="001E0537" w:rsidP="00CB7CCC">
            <w:pPr>
              <w:jc w:val="right"/>
              <w:rPr>
                <w:rFonts w:cs="Arial"/>
                <w:sz w:val="18"/>
                <w:szCs w:val="18"/>
                <w:lang w:val="en-US"/>
              </w:rPr>
            </w:pPr>
            <w:r w:rsidRPr="00CB7CCC">
              <w:rPr>
                <w:rFonts w:cs="Arial"/>
                <w:sz w:val="18"/>
                <w:szCs w:val="18"/>
                <w:lang w:val="en-US"/>
              </w:rPr>
              <w:t>105.5</w:t>
            </w:r>
          </w:p>
        </w:tc>
        <w:tc>
          <w:tcPr>
            <w:tcW w:w="1701" w:type="dxa"/>
            <w:shd w:val="clear" w:color="auto" w:fill="auto"/>
          </w:tcPr>
          <w:p w14:paraId="3314D294" w14:textId="77777777" w:rsidR="001E0537" w:rsidRPr="00CB7CCC" w:rsidRDefault="00CA6D7C" w:rsidP="00CB7CCC">
            <w:pPr>
              <w:jc w:val="right"/>
              <w:rPr>
                <w:rFonts w:cs="Arial"/>
                <w:sz w:val="18"/>
                <w:szCs w:val="18"/>
                <w:lang w:val="en-US"/>
              </w:rPr>
            </w:pPr>
            <w:r w:rsidRPr="00CB7CCC">
              <w:rPr>
                <w:rFonts w:cs="Arial"/>
                <w:sz w:val="18"/>
                <w:szCs w:val="18"/>
                <w:lang w:val="en-US"/>
              </w:rPr>
              <w:t>-</w:t>
            </w:r>
            <w:r w:rsidR="002A6258" w:rsidRPr="00CB7CCC">
              <w:rPr>
                <w:rFonts w:cs="Arial"/>
                <w:sz w:val="18"/>
                <w:szCs w:val="18"/>
                <w:lang w:val="en-US"/>
              </w:rPr>
              <w:t>69.2</w:t>
            </w:r>
            <w:r w:rsidRPr="00CB7CCC">
              <w:rPr>
                <w:rFonts w:cs="Arial"/>
                <w:sz w:val="18"/>
                <w:szCs w:val="18"/>
                <w:lang w:val="en-US"/>
              </w:rPr>
              <w:t>%</w:t>
            </w:r>
          </w:p>
        </w:tc>
        <w:tc>
          <w:tcPr>
            <w:tcW w:w="1701" w:type="dxa"/>
          </w:tcPr>
          <w:p w14:paraId="40DF3B6D" w14:textId="77777777" w:rsidR="001E0537" w:rsidRPr="00CB7CCC" w:rsidRDefault="001E0537" w:rsidP="00CB7CCC">
            <w:pPr>
              <w:jc w:val="right"/>
              <w:rPr>
                <w:rFonts w:cs="Arial"/>
                <w:sz w:val="18"/>
                <w:szCs w:val="18"/>
                <w:lang w:val="en-US"/>
              </w:rPr>
            </w:pPr>
          </w:p>
        </w:tc>
      </w:tr>
      <w:tr w:rsidR="001E0537" w:rsidRPr="00CB7CCC" w14:paraId="6CD0C2E1" w14:textId="77777777" w:rsidTr="005771B0">
        <w:tc>
          <w:tcPr>
            <w:tcW w:w="2977" w:type="dxa"/>
            <w:hideMark/>
          </w:tcPr>
          <w:p w14:paraId="0CA59EF1" w14:textId="77777777" w:rsidR="001E0537" w:rsidRPr="00CB7CCC" w:rsidRDefault="001E0537" w:rsidP="00CB7CCC">
            <w:pPr>
              <w:jc w:val="both"/>
              <w:rPr>
                <w:rFonts w:cs="Arial"/>
                <w:sz w:val="18"/>
                <w:szCs w:val="18"/>
                <w:lang w:val="en-US"/>
              </w:rPr>
            </w:pPr>
            <w:r w:rsidRPr="00CB7CCC">
              <w:rPr>
                <w:rFonts w:cs="Arial"/>
                <w:sz w:val="18"/>
                <w:szCs w:val="18"/>
                <w:lang w:val="en-US"/>
              </w:rPr>
              <w:t>Adjusted Operating Margin %</w:t>
            </w:r>
          </w:p>
        </w:tc>
        <w:tc>
          <w:tcPr>
            <w:tcW w:w="1701" w:type="dxa"/>
            <w:shd w:val="clear" w:color="auto" w:fill="auto"/>
          </w:tcPr>
          <w:p w14:paraId="48CF2F9C" w14:textId="77777777" w:rsidR="001E0537" w:rsidRPr="00CB7CCC" w:rsidRDefault="00BF1F21" w:rsidP="00CB7CCC">
            <w:pPr>
              <w:jc w:val="right"/>
              <w:rPr>
                <w:rFonts w:cs="Arial"/>
                <w:sz w:val="18"/>
                <w:szCs w:val="18"/>
                <w:lang w:val="en-US"/>
              </w:rPr>
            </w:pPr>
            <w:r w:rsidRPr="00CB7CCC">
              <w:rPr>
                <w:rFonts w:cs="Arial"/>
                <w:sz w:val="18"/>
                <w:szCs w:val="18"/>
                <w:lang w:val="en-US"/>
              </w:rPr>
              <w:t>2.</w:t>
            </w:r>
            <w:r w:rsidR="002A6258" w:rsidRPr="00CB7CCC">
              <w:rPr>
                <w:rFonts w:cs="Arial"/>
                <w:sz w:val="18"/>
                <w:szCs w:val="18"/>
                <w:lang w:val="en-US"/>
              </w:rPr>
              <w:t>6</w:t>
            </w:r>
            <w:r w:rsidR="00994019" w:rsidRPr="00CB7CCC">
              <w:rPr>
                <w:rFonts w:cs="Arial"/>
                <w:sz w:val="18"/>
                <w:szCs w:val="18"/>
                <w:lang w:val="en-US"/>
              </w:rPr>
              <w:t>%</w:t>
            </w:r>
          </w:p>
        </w:tc>
        <w:tc>
          <w:tcPr>
            <w:tcW w:w="1701" w:type="dxa"/>
            <w:shd w:val="clear" w:color="auto" w:fill="auto"/>
          </w:tcPr>
          <w:p w14:paraId="4F624604" w14:textId="77777777" w:rsidR="001E0537" w:rsidRPr="00CB7CCC" w:rsidRDefault="001E0537" w:rsidP="00CB7CCC">
            <w:pPr>
              <w:jc w:val="right"/>
              <w:rPr>
                <w:rFonts w:cs="Arial"/>
                <w:sz w:val="18"/>
                <w:szCs w:val="18"/>
                <w:lang w:val="en-US"/>
              </w:rPr>
            </w:pPr>
            <w:r w:rsidRPr="00CB7CCC">
              <w:rPr>
                <w:rFonts w:cs="Arial"/>
                <w:sz w:val="18"/>
                <w:szCs w:val="18"/>
                <w:lang w:val="en-US"/>
              </w:rPr>
              <w:t>7.3%</w:t>
            </w:r>
          </w:p>
        </w:tc>
        <w:tc>
          <w:tcPr>
            <w:tcW w:w="1701" w:type="dxa"/>
            <w:shd w:val="clear" w:color="auto" w:fill="auto"/>
          </w:tcPr>
          <w:p w14:paraId="0824F933" w14:textId="77777777" w:rsidR="001E0537" w:rsidRPr="00CB7CCC" w:rsidRDefault="00CA6D7C" w:rsidP="00CB7CCC">
            <w:pPr>
              <w:jc w:val="right"/>
              <w:rPr>
                <w:rFonts w:cs="Arial"/>
                <w:sz w:val="18"/>
                <w:szCs w:val="18"/>
                <w:lang w:val="en-US"/>
              </w:rPr>
            </w:pPr>
            <w:r w:rsidRPr="00CB7CCC">
              <w:rPr>
                <w:rFonts w:cs="Arial"/>
                <w:sz w:val="18"/>
                <w:szCs w:val="18"/>
                <w:lang w:val="en-US"/>
              </w:rPr>
              <w:t>-4</w:t>
            </w:r>
            <w:r w:rsidR="002A6258" w:rsidRPr="00CB7CCC">
              <w:rPr>
                <w:rFonts w:cs="Arial"/>
                <w:sz w:val="18"/>
                <w:szCs w:val="18"/>
                <w:lang w:val="en-US"/>
              </w:rPr>
              <w:t>7</w:t>
            </w:r>
            <w:r w:rsidRPr="00CB7CCC">
              <w:rPr>
                <w:rFonts w:cs="Arial"/>
                <w:sz w:val="18"/>
                <w:szCs w:val="18"/>
                <w:lang w:val="en-US"/>
              </w:rPr>
              <w:t>0 bps</w:t>
            </w:r>
          </w:p>
        </w:tc>
        <w:tc>
          <w:tcPr>
            <w:tcW w:w="1701" w:type="dxa"/>
          </w:tcPr>
          <w:p w14:paraId="0D78C2AB" w14:textId="77777777" w:rsidR="001E0537" w:rsidRPr="00CB7CCC" w:rsidRDefault="001E0537" w:rsidP="00CB7CCC">
            <w:pPr>
              <w:jc w:val="right"/>
              <w:rPr>
                <w:rFonts w:cs="Arial"/>
                <w:sz w:val="18"/>
                <w:szCs w:val="18"/>
                <w:lang w:val="en-US"/>
              </w:rPr>
            </w:pPr>
          </w:p>
        </w:tc>
      </w:tr>
      <w:tr w:rsidR="001E0537" w:rsidRPr="00CB7CCC" w14:paraId="75C9ED77" w14:textId="77777777" w:rsidTr="005771B0">
        <w:tc>
          <w:tcPr>
            <w:tcW w:w="2977" w:type="dxa"/>
          </w:tcPr>
          <w:p w14:paraId="1FD12AC0" w14:textId="77777777" w:rsidR="001E0537" w:rsidRPr="00CB7CCC" w:rsidRDefault="001E0537" w:rsidP="00CB7CCC">
            <w:pPr>
              <w:jc w:val="both"/>
              <w:rPr>
                <w:rFonts w:cs="Arial"/>
                <w:sz w:val="18"/>
                <w:szCs w:val="18"/>
                <w:lang w:val="en-US"/>
              </w:rPr>
            </w:pPr>
            <w:r w:rsidRPr="00CB7CCC">
              <w:rPr>
                <w:rFonts w:cs="Arial"/>
                <w:sz w:val="18"/>
                <w:szCs w:val="18"/>
                <w:lang w:val="en-US"/>
              </w:rPr>
              <w:t>Group Operating Profit</w:t>
            </w:r>
          </w:p>
        </w:tc>
        <w:tc>
          <w:tcPr>
            <w:tcW w:w="1701" w:type="dxa"/>
            <w:shd w:val="clear" w:color="auto" w:fill="auto"/>
          </w:tcPr>
          <w:p w14:paraId="3661C8B7" w14:textId="77777777" w:rsidR="001E0537" w:rsidRPr="00CB7CCC" w:rsidRDefault="002A6258" w:rsidP="00CB7CCC">
            <w:pPr>
              <w:jc w:val="right"/>
              <w:rPr>
                <w:rFonts w:cs="Arial"/>
                <w:sz w:val="18"/>
                <w:szCs w:val="18"/>
                <w:lang w:val="en-US"/>
              </w:rPr>
            </w:pPr>
            <w:r w:rsidRPr="00CB7CCC">
              <w:rPr>
                <w:rFonts w:cs="Arial"/>
                <w:sz w:val="18"/>
                <w:szCs w:val="18"/>
                <w:lang w:val="en-US"/>
              </w:rPr>
              <w:t>12.9</w:t>
            </w:r>
          </w:p>
        </w:tc>
        <w:tc>
          <w:tcPr>
            <w:tcW w:w="1701" w:type="dxa"/>
            <w:shd w:val="clear" w:color="auto" w:fill="auto"/>
          </w:tcPr>
          <w:p w14:paraId="605DDA76" w14:textId="77777777" w:rsidR="001E0537" w:rsidRPr="00CB7CCC" w:rsidRDefault="001E0537" w:rsidP="00CB7CCC">
            <w:pPr>
              <w:jc w:val="right"/>
              <w:rPr>
                <w:rFonts w:cs="Arial"/>
                <w:sz w:val="18"/>
                <w:szCs w:val="18"/>
                <w:lang w:val="en-US"/>
              </w:rPr>
            </w:pPr>
            <w:r w:rsidRPr="00CB7CCC">
              <w:rPr>
                <w:rFonts w:cs="Arial"/>
                <w:sz w:val="18"/>
                <w:szCs w:val="18"/>
                <w:lang w:val="en-US"/>
              </w:rPr>
              <w:t>99.8</w:t>
            </w:r>
          </w:p>
        </w:tc>
        <w:tc>
          <w:tcPr>
            <w:tcW w:w="1701" w:type="dxa"/>
            <w:shd w:val="clear" w:color="auto" w:fill="auto"/>
          </w:tcPr>
          <w:p w14:paraId="0B92D3BC" w14:textId="77777777" w:rsidR="001E0537" w:rsidRPr="00CB7CCC" w:rsidRDefault="00CA6D7C" w:rsidP="00CB7CCC">
            <w:pPr>
              <w:jc w:val="right"/>
              <w:rPr>
                <w:rFonts w:cs="Arial"/>
                <w:sz w:val="18"/>
                <w:szCs w:val="18"/>
                <w:lang w:val="en-US"/>
              </w:rPr>
            </w:pPr>
            <w:r w:rsidRPr="00CB7CCC">
              <w:rPr>
                <w:rFonts w:cs="Arial"/>
                <w:sz w:val="18"/>
                <w:szCs w:val="18"/>
                <w:lang w:val="en-US"/>
              </w:rPr>
              <w:t>-</w:t>
            </w:r>
            <w:r w:rsidR="00CF7F90" w:rsidRPr="00CB7CCC">
              <w:rPr>
                <w:rFonts w:cs="Arial"/>
                <w:sz w:val="18"/>
                <w:szCs w:val="18"/>
                <w:lang w:val="en-US"/>
              </w:rPr>
              <w:t>87.1</w:t>
            </w:r>
            <w:r w:rsidRPr="00CB7CCC">
              <w:rPr>
                <w:rFonts w:cs="Arial"/>
                <w:sz w:val="18"/>
                <w:szCs w:val="18"/>
                <w:lang w:val="en-US"/>
              </w:rPr>
              <w:t>%</w:t>
            </w:r>
          </w:p>
        </w:tc>
        <w:tc>
          <w:tcPr>
            <w:tcW w:w="1701" w:type="dxa"/>
          </w:tcPr>
          <w:p w14:paraId="1AD1983C" w14:textId="77777777" w:rsidR="001E0537" w:rsidRPr="00CB7CCC" w:rsidRDefault="001E0537" w:rsidP="00CB7CCC">
            <w:pPr>
              <w:jc w:val="right"/>
              <w:rPr>
                <w:rFonts w:cs="Arial"/>
                <w:sz w:val="18"/>
                <w:szCs w:val="18"/>
                <w:lang w:val="en-US"/>
              </w:rPr>
            </w:pPr>
          </w:p>
        </w:tc>
      </w:tr>
    </w:tbl>
    <w:p w14:paraId="26C6C511" w14:textId="5F6F8DCD" w:rsidR="00FC492D" w:rsidRDefault="00FC492D" w:rsidP="00CB7CCC">
      <w:pPr>
        <w:jc w:val="both"/>
        <w:rPr>
          <w:rFonts w:cs="Arial"/>
          <w:b/>
          <w:sz w:val="18"/>
          <w:szCs w:val="18"/>
        </w:rPr>
      </w:pPr>
    </w:p>
    <w:p w14:paraId="559FCE15" w14:textId="77777777" w:rsidR="00C13769" w:rsidRPr="00CB7CCC" w:rsidRDefault="00C13769" w:rsidP="00CB7CCC">
      <w:pPr>
        <w:jc w:val="both"/>
        <w:rPr>
          <w:rFonts w:cs="Arial"/>
          <w:b/>
          <w:sz w:val="18"/>
          <w:szCs w:val="18"/>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43"/>
        <w:gridCol w:w="1243"/>
        <w:gridCol w:w="1378"/>
        <w:gridCol w:w="1510"/>
        <w:gridCol w:w="1306"/>
      </w:tblGrid>
      <w:tr w:rsidR="00E564ED" w:rsidRPr="00CB7CCC" w14:paraId="09CA3B41" w14:textId="77777777" w:rsidTr="00947A36">
        <w:trPr>
          <w:jc w:val="center"/>
        </w:trPr>
        <w:tc>
          <w:tcPr>
            <w:tcW w:w="2895" w:type="dxa"/>
          </w:tcPr>
          <w:p w14:paraId="3282DB71" w14:textId="77777777" w:rsidR="00E564ED" w:rsidRPr="00CB7CCC" w:rsidRDefault="00E564ED" w:rsidP="00CB7CCC">
            <w:pPr>
              <w:jc w:val="both"/>
              <w:rPr>
                <w:rFonts w:cs="Arial"/>
                <w:b/>
                <w:sz w:val="18"/>
                <w:szCs w:val="18"/>
                <w:lang w:val="en-US"/>
              </w:rPr>
            </w:pPr>
          </w:p>
        </w:tc>
        <w:tc>
          <w:tcPr>
            <w:tcW w:w="6780" w:type="dxa"/>
            <w:gridSpan w:val="5"/>
            <w:hideMark/>
          </w:tcPr>
          <w:p w14:paraId="612955B7" w14:textId="77777777" w:rsidR="00E564ED" w:rsidRPr="00CB7CCC" w:rsidRDefault="00E564ED" w:rsidP="005771B0">
            <w:pPr>
              <w:tabs>
                <w:tab w:val="left" w:pos="1296"/>
                <w:tab w:val="center" w:pos="2584"/>
              </w:tabs>
              <w:jc w:val="center"/>
              <w:rPr>
                <w:rFonts w:cs="Arial"/>
                <w:b/>
                <w:sz w:val="18"/>
                <w:szCs w:val="18"/>
                <w:lang w:val="en-US"/>
              </w:rPr>
            </w:pPr>
            <w:r w:rsidRPr="00CB7CCC">
              <w:rPr>
                <w:rFonts w:cs="Arial"/>
                <w:b/>
                <w:sz w:val="18"/>
                <w:szCs w:val="18"/>
                <w:lang w:val="en-US"/>
              </w:rPr>
              <w:t>Pro Forma Revenue Growth</w:t>
            </w:r>
          </w:p>
        </w:tc>
      </w:tr>
      <w:tr w:rsidR="00E564ED" w:rsidRPr="00CB7CCC" w14:paraId="52F162AD" w14:textId="77777777" w:rsidTr="005771B0">
        <w:trPr>
          <w:jc w:val="center"/>
        </w:trPr>
        <w:tc>
          <w:tcPr>
            <w:tcW w:w="2895" w:type="dxa"/>
          </w:tcPr>
          <w:p w14:paraId="2E4FE410" w14:textId="77777777" w:rsidR="00E564ED" w:rsidRPr="00CB7CCC" w:rsidRDefault="00E564ED" w:rsidP="00CB7CCC">
            <w:pPr>
              <w:jc w:val="both"/>
              <w:rPr>
                <w:rFonts w:cs="Arial"/>
                <w:b/>
                <w:sz w:val="18"/>
                <w:szCs w:val="18"/>
                <w:lang w:val="en-US"/>
              </w:rPr>
            </w:pPr>
          </w:p>
        </w:tc>
        <w:tc>
          <w:tcPr>
            <w:tcW w:w="1343" w:type="dxa"/>
          </w:tcPr>
          <w:p w14:paraId="49ECFD2C" w14:textId="77777777" w:rsidR="00E564ED" w:rsidRPr="00CB7CCC" w:rsidRDefault="00E564ED" w:rsidP="00CB7CCC">
            <w:pPr>
              <w:jc w:val="right"/>
              <w:rPr>
                <w:rFonts w:cs="Arial"/>
                <w:b/>
                <w:sz w:val="18"/>
                <w:szCs w:val="18"/>
                <w:lang w:val="en-US"/>
              </w:rPr>
            </w:pPr>
            <w:r w:rsidRPr="00CB7CCC">
              <w:rPr>
                <w:rFonts w:cs="Arial"/>
                <w:b/>
                <w:sz w:val="18"/>
                <w:szCs w:val="18"/>
                <w:lang w:val="en-US"/>
              </w:rPr>
              <w:t>Q1 2020</w:t>
            </w:r>
          </w:p>
        </w:tc>
        <w:tc>
          <w:tcPr>
            <w:tcW w:w="1243" w:type="dxa"/>
          </w:tcPr>
          <w:p w14:paraId="23B96624" w14:textId="77777777" w:rsidR="00E564ED" w:rsidRPr="00CB7CCC" w:rsidRDefault="00E564ED" w:rsidP="00CB7CCC">
            <w:pPr>
              <w:jc w:val="right"/>
              <w:rPr>
                <w:rFonts w:cs="Arial"/>
                <w:b/>
                <w:sz w:val="18"/>
                <w:szCs w:val="18"/>
                <w:lang w:val="en-US"/>
              </w:rPr>
            </w:pPr>
            <w:r w:rsidRPr="00CB7CCC">
              <w:rPr>
                <w:rFonts w:cs="Arial"/>
                <w:b/>
                <w:sz w:val="18"/>
                <w:szCs w:val="18"/>
                <w:lang w:val="en-US"/>
              </w:rPr>
              <w:t>Q2 2020</w:t>
            </w:r>
          </w:p>
        </w:tc>
        <w:tc>
          <w:tcPr>
            <w:tcW w:w="1378" w:type="dxa"/>
          </w:tcPr>
          <w:p w14:paraId="1A902ECC" w14:textId="77777777" w:rsidR="00E564ED" w:rsidRPr="00CB7CCC" w:rsidRDefault="00E564ED" w:rsidP="00CB7CCC">
            <w:pPr>
              <w:jc w:val="right"/>
              <w:rPr>
                <w:rFonts w:cs="Arial"/>
                <w:b/>
                <w:sz w:val="18"/>
                <w:szCs w:val="18"/>
                <w:lang w:val="en-US"/>
              </w:rPr>
            </w:pPr>
            <w:r w:rsidRPr="00CB7CCC">
              <w:rPr>
                <w:rFonts w:cs="Arial"/>
                <w:b/>
                <w:sz w:val="18"/>
                <w:szCs w:val="18"/>
                <w:lang w:val="en-US"/>
              </w:rPr>
              <w:t>Q3 2020</w:t>
            </w:r>
          </w:p>
        </w:tc>
        <w:tc>
          <w:tcPr>
            <w:tcW w:w="1510" w:type="dxa"/>
          </w:tcPr>
          <w:p w14:paraId="28601909" w14:textId="77777777" w:rsidR="00E564ED" w:rsidRPr="00CB7CCC" w:rsidRDefault="00E564ED" w:rsidP="00CB7CCC">
            <w:pPr>
              <w:jc w:val="right"/>
              <w:rPr>
                <w:rFonts w:cs="Arial"/>
                <w:b/>
                <w:sz w:val="18"/>
                <w:szCs w:val="18"/>
                <w:lang w:val="en-US"/>
              </w:rPr>
            </w:pPr>
            <w:r w:rsidRPr="00CB7CCC">
              <w:rPr>
                <w:rFonts w:cs="Arial"/>
                <w:b/>
                <w:sz w:val="18"/>
                <w:szCs w:val="18"/>
                <w:lang w:val="en-US"/>
              </w:rPr>
              <w:t>Q4 2020</w:t>
            </w:r>
          </w:p>
        </w:tc>
        <w:tc>
          <w:tcPr>
            <w:tcW w:w="1306" w:type="dxa"/>
          </w:tcPr>
          <w:p w14:paraId="09AD2858" w14:textId="77777777" w:rsidR="00E564ED" w:rsidRPr="00CB7CCC" w:rsidRDefault="00E564ED" w:rsidP="00CB7CCC">
            <w:pPr>
              <w:jc w:val="right"/>
              <w:rPr>
                <w:rFonts w:cs="Arial"/>
                <w:b/>
                <w:sz w:val="18"/>
                <w:szCs w:val="18"/>
                <w:lang w:val="en-US"/>
              </w:rPr>
            </w:pPr>
            <w:r>
              <w:rPr>
                <w:rFonts w:cs="Arial"/>
                <w:b/>
                <w:sz w:val="18"/>
                <w:szCs w:val="18"/>
                <w:lang w:val="en-US"/>
              </w:rPr>
              <w:t>FY20</w:t>
            </w:r>
          </w:p>
        </w:tc>
      </w:tr>
      <w:tr w:rsidR="00E564ED" w:rsidRPr="00CB7CCC" w14:paraId="3148F789" w14:textId="77777777" w:rsidTr="005771B0">
        <w:trPr>
          <w:jc w:val="center"/>
        </w:trPr>
        <w:tc>
          <w:tcPr>
            <w:tcW w:w="2895" w:type="dxa"/>
            <w:hideMark/>
          </w:tcPr>
          <w:p w14:paraId="11637538" w14:textId="77777777" w:rsidR="00E564ED" w:rsidRPr="00CB7CCC" w:rsidRDefault="00E564ED" w:rsidP="00CB7CCC">
            <w:pPr>
              <w:jc w:val="both"/>
              <w:rPr>
                <w:rFonts w:cs="Arial"/>
                <w:sz w:val="18"/>
                <w:szCs w:val="18"/>
                <w:lang w:val="en-US"/>
              </w:rPr>
            </w:pPr>
            <w:r w:rsidRPr="00CB7CCC">
              <w:rPr>
                <w:rFonts w:cs="Arial"/>
                <w:sz w:val="18"/>
                <w:szCs w:val="18"/>
                <w:lang w:val="en-US"/>
              </w:rPr>
              <w:t>Group</w:t>
            </w:r>
          </w:p>
        </w:tc>
        <w:tc>
          <w:tcPr>
            <w:tcW w:w="1343" w:type="dxa"/>
            <w:shd w:val="clear" w:color="auto" w:fill="auto"/>
          </w:tcPr>
          <w:p w14:paraId="2F94AE2D"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75EABD1A"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378" w:type="dxa"/>
            <w:shd w:val="clear" w:color="auto" w:fill="auto"/>
          </w:tcPr>
          <w:p w14:paraId="49657698" w14:textId="77777777" w:rsidR="00E564ED" w:rsidRPr="00CB7CCC" w:rsidRDefault="00E564ED" w:rsidP="00CB7CCC">
            <w:pPr>
              <w:jc w:val="right"/>
              <w:rPr>
                <w:rFonts w:cs="Arial"/>
                <w:sz w:val="18"/>
                <w:szCs w:val="18"/>
                <w:lang w:val="en-US"/>
              </w:rPr>
            </w:pPr>
            <w:r w:rsidRPr="00CB7CCC">
              <w:rPr>
                <w:rFonts w:cs="Arial"/>
                <w:sz w:val="18"/>
                <w:szCs w:val="18"/>
                <w:lang w:val="en-US"/>
              </w:rPr>
              <w:t>-36%</w:t>
            </w:r>
          </w:p>
        </w:tc>
        <w:tc>
          <w:tcPr>
            <w:tcW w:w="1510" w:type="dxa"/>
          </w:tcPr>
          <w:p w14:paraId="548391A4" w14:textId="77777777" w:rsidR="00E564ED" w:rsidRPr="00CB7CCC" w:rsidRDefault="00E564ED" w:rsidP="00CB7CCC">
            <w:pPr>
              <w:jc w:val="right"/>
              <w:rPr>
                <w:rFonts w:cs="Arial"/>
                <w:sz w:val="18"/>
                <w:szCs w:val="18"/>
                <w:lang w:val="en-US"/>
              </w:rPr>
            </w:pPr>
            <w:r w:rsidRPr="00CB7CCC">
              <w:rPr>
                <w:rFonts w:cs="Arial"/>
                <w:sz w:val="18"/>
                <w:szCs w:val="18"/>
                <w:lang w:val="en-US"/>
              </w:rPr>
              <w:t>-20%</w:t>
            </w:r>
          </w:p>
        </w:tc>
        <w:tc>
          <w:tcPr>
            <w:tcW w:w="1306" w:type="dxa"/>
          </w:tcPr>
          <w:p w14:paraId="5677140C" w14:textId="77777777" w:rsidR="00E564ED" w:rsidRPr="00CB7CCC" w:rsidRDefault="00E564ED" w:rsidP="00CB7CCC">
            <w:pPr>
              <w:jc w:val="right"/>
              <w:rPr>
                <w:rFonts w:cs="Arial"/>
                <w:sz w:val="18"/>
                <w:szCs w:val="18"/>
                <w:lang w:val="en-US"/>
              </w:rPr>
            </w:pPr>
            <w:r>
              <w:rPr>
                <w:rFonts w:cs="Arial"/>
                <w:sz w:val="18"/>
                <w:szCs w:val="18"/>
                <w:lang w:val="en-US"/>
              </w:rPr>
              <w:t>-14%</w:t>
            </w:r>
          </w:p>
        </w:tc>
      </w:tr>
      <w:tr w:rsidR="00E564ED" w:rsidRPr="00CB7CCC" w14:paraId="48E0A6AA" w14:textId="77777777" w:rsidTr="005771B0">
        <w:trPr>
          <w:jc w:val="center"/>
        </w:trPr>
        <w:tc>
          <w:tcPr>
            <w:tcW w:w="2895" w:type="dxa"/>
          </w:tcPr>
          <w:p w14:paraId="574D212E" w14:textId="77777777" w:rsidR="00E564ED" w:rsidRPr="00CB7CCC" w:rsidRDefault="00E564ED" w:rsidP="00CB7CCC">
            <w:pPr>
              <w:jc w:val="both"/>
              <w:rPr>
                <w:rFonts w:cs="Arial"/>
                <w:sz w:val="18"/>
                <w:szCs w:val="18"/>
                <w:lang w:val="en-US"/>
              </w:rPr>
            </w:pPr>
            <w:r w:rsidRPr="00CB7CCC">
              <w:rPr>
                <w:rFonts w:cs="Arial"/>
                <w:sz w:val="18"/>
                <w:szCs w:val="18"/>
                <w:lang w:val="en-US"/>
              </w:rPr>
              <w:t>Food to go categories</w:t>
            </w:r>
          </w:p>
        </w:tc>
        <w:tc>
          <w:tcPr>
            <w:tcW w:w="1343" w:type="dxa"/>
            <w:shd w:val="clear" w:color="auto" w:fill="auto"/>
          </w:tcPr>
          <w:p w14:paraId="44FEB674"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7AAA6AAF" w14:textId="77777777" w:rsidR="00E564ED" w:rsidRPr="00CB7CCC" w:rsidRDefault="00E564ED" w:rsidP="00CB7CCC">
            <w:pPr>
              <w:jc w:val="right"/>
              <w:rPr>
                <w:rFonts w:cs="Arial"/>
                <w:sz w:val="18"/>
                <w:szCs w:val="18"/>
                <w:lang w:val="en-US"/>
              </w:rPr>
            </w:pPr>
            <w:r w:rsidRPr="00CB7CCC">
              <w:rPr>
                <w:rFonts w:cs="Arial"/>
                <w:sz w:val="18"/>
                <w:szCs w:val="18"/>
                <w:lang w:val="en-US"/>
              </w:rPr>
              <w:t>-5%</w:t>
            </w:r>
          </w:p>
        </w:tc>
        <w:tc>
          <w:tcPr>
            <w:tcW w:w="1378" w:type="dxa"/>
            <w:shd w:val="clear" w:color="auto" w:fill="auto"/>
          </w:tcPr>
          <w:p w14:paraId="76CBC703" w14:textId="77777777" w:rsidR="00E564ED" w:rsidRPr="00CB7CCC" w:rsidRDefault="00E564ED" w:rsidP="00CB7CCC">
            <w:pPr>
              <w:jc w:val="right"/>
              <w:rPr>
                <w:rFonts w:cs="Arial"/>
                <w:sz w:val="18"/>
                <w:szCs w:val="18"/>
                <w:lang w:val="en-US"/>
              </w:rPr>
            </w:pPr>
            <w:r w:rsidRPr="00CB7CCC">
              <w:rPr>
                <w:rFonts w:cs="Arial"/>
                <w:sz w:val="18"/>
                <w:szCs w:val="18"/>
                <w:lang w:val="en-US"/>
              </w:rPr>
              <w:t>-53%</w:t>
            </w:r>
          </w:p>
        </w:tc>
        <w:tc>
          <w:tcPr>
            <w:tcW w:w="1510" w:type="dxa"/>
          </w:tcPr>
          <w:p w14:paraId="029EBFA5" w14:textId="77777777" w:rsidR="00E564ED" w:rsidRPr="00CB7CCC" w:rsidRDefault="00E564ED" w:rsidP="00CB7CCC">
            <w:pPr>
              <w:jc w:val="right"/>
              <w:rPr>
                <w:rFonts w:cs="Arial"/>
                <w:sz w:val="18"/>
                <w:szCs w:val="18"/>
                <w:lang w:val="en-US"/>
              </w:rPr>
            </w:pPr>
            <w:r w:rsidRPr="00CB7CCC">
              <w:rPr>
                <w:rFonts w:cs="Arial"/>
                <w:sz w:val="18"/>
                <w:szCs w:val="18"/>
                <w:lang w:val="en-US"/>
              </w:rPr>
              <w:t>-29%</w:t>
            </w:r>
          </w:p>
        </w:tc>
        <w:tc>
          <w:tcPr>
            <w:tcW w:w="1306" w:type="dxa"/>
          </w:tcPr>
          <w:p w14:paraId="1F2AD2AB" w14:textId="77777777" w:rsidR="00E564ED" w:rsidRPr="00CB7CCC" w:rsidRDefault="00E564ED" w:rsidP="00CB7CCC">
            <w:pPr>
              <w:jc w:val="right"/>
              <w:rPr>
                <w:rFonts w:cs="Arial"/>
                <w:sz w:val="18"/>
                <w:szCs w:val="18"/>
                <w:lang w:val="en-US"/>
              </w:rPr>
            </w:pPr>
            <w:r>
              <w:rPr>
                <w:rFonts w:cs="Arial"/>
                <w:sz w:val="18"/>
                <w:szCs w:val="18"/>
                <w:lang w:val="en-US"/>
              </w:rPr>
              <w:t>-23%</w:t>
            </w:r>
          </w:p>
        </w:tc>
      </w:tr>
      <w:tr w:rsidR="00E564ED" w:rsidRPr="00CB7CCC" w14:paraId="0D6E3450" w14:textId="77777777" w:rsidTr="005771B0">
        <w:trPr>
          <w:jc w:val="center"/>
        </w:trPr>
        <w:tc>
          <w:tcPr>
            <w:tcW w:w="2895" w:type="dxa"/>
            <w:hideMark/>
          </w:tcPr>
          <w:p w14:paraId="6D66AF9B" w14:textId="77777777" w:rsidR="00E564ED" w:rsidRPr="00CB7CCC" w:rsidRDefault="00E564ED" w:rsidP="00CB7CCC">
            <w:pPr>
              <w:jc w:val="both"/>
              <w:rPr>
                <w:rFonts w:cs="Arial"/>
                <w:sz w:val="18"/>
                <w:szCs w:val="18"/>
                <w:lang w:val="en-US"/>
              </w:rPr>
            </w:pPr>
            <w:r w:rsidRPr="00CB7CCC">
              <w:rPr>
                <w:rFonts w:cs="Arial"/>
                <w:sz w:val="18"/>
                <w:szCs w:val="18"/>
                <w:lang w:val="en-US"/>
              </w:rPr>
              <w:t>Other convenience food categories</w:t>
            </w:r>
          </w:p>
        </w:tc>
        <w:tc>
          <w:tcPr>
            <w:tcW w:w="1343" w:type="dxa"/>
            <w:shd w:val="clear" w:color="auto" w:fill="auto"/>
          </w:tcPr>
          <w:p w14:paraId="176BC413"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1C4DBCA2" w14:textId="77777777" w:rsidR="00E564ED" w:rsidRPr="00CB7CCC" w:rsidRDefault="00E564ED" w:rsidP="00CB7CCC">
            <w:pPr>
              <w:jc w:val="right"/>
              <w:rPr>
                <w:rFonts w:cs="Arial"/>
                <w:sz w:val="18"/>
                <w:szCs w:val="18"/>
                <w:lang w:val="en-US"/>
              </w:rPr>
            </w:pPr>
            <w:r w:rsidRPr="00CB7CCC">
              <w:rPr>
                <w:rFonts w:cs="Arial"/>
                <w:sz w:val="18"/>
                <w:szCs w:val="18"/>
                <w:lang w:val="en-US"/>
              </w:rPr>
              <w:t>+7%</w:t>
            </w:r>
          </w:p>
        </w:tc>
        <w:tc>
          <w:tcPr>
            <w:tcW w:w="1378" w:type="dxa"/>
            <w:shd w:val="clear" w:color="auto" w:fill="auto"/>
          </w:tcPr>
          <w:p w14:paraId="6D4A6160" w14:textId="77777777" w:rsidR="00E564ED" w:rsidRPr="00CB7CCC" w:rsidRDefault="00E564ED" w:rsidP="00CB7CCC">
            <w:pPr>
              <w:jc w:val="right"/>
              <w:rPr>
                <w:rFonts w:cs="Arial"/>
                <w:sz w:val="18"/>
                <w:szCs w:val="18"/>
                <w:lang w:val="en-US"/>
              </w:rPr>
            </w:pPr>
            <w:r w:rsidRPr="00CB7CCC">
              <w:rPr>
                <w:rFonts w:cs="Arial"/>
                <w:sz w:val="18"/>
                <w:szCs w:val="18"/>
                <w:lang w:val="en-US"/>
              </w:rPr>
              <w:t>+2%</w:t>
            </w:r>
          </w:p>
        </w:tc>
        <w:tc>
          <w:tcPr>
            <w:tcW w:w="1510" w:type="dxa"/>
          </w:tcPr>
          <w:p w14:paraId="59868780" w14:textId="77777777" w:rsidR="00E564ED" w:rsidRPr="00CB7CCC" w:rsidRDefault="00E564ED" w:rsidP="00CB7CCC">
            <w:pPr>
              <w:jc w:val="right"/>
              <w:rPr>
                <w:rFonts w:cs="Arial"/>
                <w:sz w:val="18"/>
                <w:szCs w:val="18"/>
                <w:lang w:val="en-US"/>
              </w:rPr>
            </w:pPr>
            <w:r w:rsidRPr="00CB7CCC">
              <w:rPr>
                <w:rFonts w:cs="Arial"/>
                <w:sz w:val="18"/>
                <w:szCs w:val="18"/>
                <w:lang w:val="en-US"/>
              </w:rPr>
              <w:t>+3%</w:t>
            </w:r>
          </w:p>
        </w:tc>
        <w:tc>
          <w:tcPr>
            <w:tcW w:w="1306" w:type="dxa"/>
          </w:tcPr>
          <w:p w14:paraId="19091B6F" w14:textId="77777777" w:rsidR="00E564ED" w:rsidRPr="00CB7CCC" w:rsidRDefault="00E564ED" w:rsidP="00CB7CCC">
            <w:pPr>
              <w:jc w:val="right"/>
              <w:rPr>
                <w:rFonts w:cs="Arial"/>
                <w:sz w:val="18"/>
                <w:szCs w:val="18"/>
                <w:lang w:val="en-US"/>
              </w:rPr>
            </w:pPr>
            <w:r>
              <w:rPr>
                <w:rFonts w:cs="Arial"/>
                <w:sz w:val="18"/>
                <w:szCs w:val="18"/>
                <w:lang w:val="en-US"/>
              </w:rPr>
              <w:t>+3%</w:t>
            </w:r>
          </w:p>
        </w:tc>
      </w:tr>
    </w:tbl>
    <w:p w14:paraId="57D9A35F" w14:textId="77777777" w:rsidR="00166BAE" w:rsidRPr="00CB7CCC" w:rsidRDefault="00166BAE" w:rsidP="00CB7CCC">
      <w:pPr>
        <w:jc w:val="both"/>
        <w:rPr>
          <w:rFonts w:cs="Arial"/>
          <w:b/>
          <w:sz w:val="18"/>
          <w:szCs w:val="18"/>
        </w:rPr>
      </w:pPr>
    </w:p>
    <w:p w14:paraId="535D6A33" w14:textId="77777777" w:rsidR="00166BAE" w:rsidRPr="00CB7CCC" w:rsidRDefault="00166BAE" w:rsidP="00CB7CCC">
      <w:pPr>
        <w:jc w:val="both"/>
        <w:rPr>
          <w:rFonts w:cs="Arial"/>
          <w:b/>
          <w:sz w:val="18"/>
          <w:szCs w:val="18"/>
        </w:rPr>
      </w:pPr>
    </w:p>
    <w:p w14:paraId="41BFF594" w14:textId="77777777" w:rsidR="003B7495" w:rsidRPr="00CB7CCC" w:rsidRDefault="003B7495" w:rsidP="00CB7CCC">
      <w:pPr>
        <w:jc w:val="both"/>
        <w:rPr>
          <w:rFonts w:cs="Arial"/>
          <w:b/>
          <w:sz w:val="18"/>
          <w:szCs w:val="18"/>
        </w:rPr>
      </w:pPr>
      <w:r w:rsidRPr="00CB7CCC">
        <w:rPr>
          <w:rFonts w:cs="Arial"/>
          <w:b/>
          <w:sz w:val="18"/>
          <w:szCs w:val="18"/>
        </w:rPr>
        <w:t>Strategic developments</w:t>
      </w:r>
    </w:p>
    <w:p w14:paraId="7C3CFA71" w14:textId="77777777" w:rsidR="003B7495" w:rsidRPr="00CB7CCC" w:rsidRDefault="003B7495" w:rsidP="00CB7CCC">
      <w:pPr>
        <w:jc w:val="both"/>
        <w:rPr>
          <w:rFonts w:cs="Arial"/>
          <w:sz w:val="18"/>
          <w:szCs w:val="18"/>
        </w:rPr>
      </w:pPr>
    </w:p>
    <w:p w14:paraId="4A60AC6C" w14:textId="15E82AB3" w:rsidR="00273B2F" w:rsidRPr="00CB7CCC" w:rsidRDefault="00273B2F" w:rsidP="00ED0EF2">
      <w:pPr>
        <w:spacing w:after="120"/>
        <w:jc w:val="both"/>
        <w:rPr>
          <w:rFonts w:cs="Arial"/>
          <w:sz w:val="18"/>
          <w:szCs w:val="18"/>
        </w:rPr>
      </w:pPr>
      <w:r w:rsidRPr="00CB7CCC">
        <w:rPr>
          <w:rFonts w:cs="Arial"/>
          <w:sz w:val="18"/>
          <w:szCs w:val="18"/>
        </w:rPr>
        <w:t>The Group</w:t>
      </w:r>
      <w:r w:rsidR="009D2699" w:rsidRPr="00CB7CCC">
        <w:rPr>
          <w:rFonts w:cs="Arial"/>
          <w:sz w:val="18"/>
          <w:szCs w:val="18"/>
        </w:rPr>
        <w:t>’s</w:t>
      </w:r>
      <w:r w:rsidRPr="00CB7CCC">
        <w:rPr>
          <w:rFonts w:cs="Arial"/>
          <w:sz w:val="18"/>
          <w:szCs w:val="18"/>
        </w:rPr>
        <w:t xml:space="preserve"> strategy</w:t>
      </w:r>
      <w:r w:rsidR="009D2699" w:rsidRPr="00CB7CCC">
        <w:rPr>
          <w:rFonts w:cs="Arial"/>
          <w:sz w:val="18"/>
          <w:szCs w:val="18"/>
        </w:rPr>
        <w:t xml:space="preserve"> and</w:t>
      </w:r>
      <w:r w:rsidR="00604124" w:rsidRPr="00CB7CCC">
        <w:rPr>
          <w:rFonts w:cs="Arial"/>
          <w:sz w:val="18"/>
          <w:szCs w:val="18"/>
        </w:rPr>
        <w:t xml:space="preserve"> </w:t>
      </w:r>
      <w:r w:rsidR="009D2699" w:rsidRPr="00CB7CCC">
        <w:rPr>
          <w:rFonts w:cs="Arial"/>
          <w:sz w:val="18"/>
          <w:szCs w:val="18"/>
        </w:rPr>
        <w:t xml:space="preserve">its </w:t>
      </w:r>
      <w:r w:rsidRPr="00CB7CCC">
        <w:rPr>
          <w:rFonts w:cs="Arial"/>
          <w:sz w:val="18"/>
          <w:szCs w:val="18"/>
        </w:rPr>
        <w:t xml:space="preserve">commercial, </w:t>
      </w:r>
      <w:proofErr w:type="gramStart"/>
      <w:r w:rsidRPr="00CB7CCC">
        <w:rPr>
          <w:rFonts w:cs="Arial"/>
          <w:sz w:val="18"/>
          <w:szCs w:val="18"/>
        </w:rPr>
        <w:t>operational</w:t>
      </w:r>
      <w:proofErr w:type="gramEnd"/>
      <w:r w:rsidRPr="00CB7CCC">
        <w:rPr>
          <w:rFonts w:cs="Arial"/>
          <w:sz w:val="18"/>
          <w:szCs w:val="18"/>
        </w:rPr>
        <w:t xml:space="preserve"> and organisational objectives</w:t>
      </w:r>
      <w:r w:rsidR="009D2699" w:rsidRPr="00CB7CCC">
        <w:rPr>
          <w:rFonts w:cs="Arial"/>
          <w:sz w:val="18"/>
          <w:szCs w:val="18"/>
        </w:rPr>
        <w:t xml:space="preserve"> </w:t>
      </w:r>
      <w:r w:rsidRPr="00CB7CCC">
        <w:rPr>
          <w:rFonts w:cs="Arial"/>
          <w:sz w:val="18"/>
          <w:szCs w:val="18"/>
        </w:rPr>
        <w:t xml:space="preserve">remained relevant through FY20 </w:t>
      </w:r>
      <w:r w:rsidR="00C63691" w:rsidRPr="00CB7CCC">
        <w:rPr>
          <w:rFonts w:cs="Arial"/>
          <w:sz w:val="18"/>
          <w:szCs w:val="18"/>
        </w:rPr>
        <w:t xml:space="preserve">notwithstanding </w:t>
      </w:r>
      <w:r w:rsidRPr="00CB7CCC">
        <w:rPr>
          <w:rFonts w:cs="Arial"/>
          <w:sz w:val="18"/>
          <w:szCs w:val="18"/>
        </w:rPr>
        <w:t xml:space="preserve">the challenges presented by the COVID-19 </w:t>
      </w:r>
      <w:r w:rsidR="00851289">
        <w:rPr>
          <w:rFonts w:cs="Arial"/>
          <w:sz w:val="18"/>
          <w:szCs w:val="18"/>
        </w:rPr>
        <w:t>pandemic</w:t>
      </w:r>
      <w:r w:rsidRPr="00CB7CCC">
        <w:rPr>
          <w:rFonts w:cs="Arial"/>
          <w:sz w:val="18"/>
          <w:szCs w:val="18"/>
        </w:rPr>
        <w:t xml:space="preserve">. </w:t>
      </w:r>
      <w:r w:rsidR="009D2699" w:rsidRPr="00CB7CCC">
        <w:rPr>
          <w:rFonts w:cs="Arial"/>
          <w:sz w:val="18"/>
          <w:szCs w:val="18"/>
        </w:rPr>
        <w:t xml:space="preserve">They </w:t>
      </w:r>
      <w:r w:rsidRPr="00CB7CCC">
        <w:rPr>
          <w:rFonts w:cs="Arial"/>
          <w:sz w:val="18"/>
          <w:szCs w:val="18"/>
        </w:rPr>
        <w:t xml:space="preserve">formed a critical element of the Group’s capability to </w:t>
      </w:r>
      <w:r w:rsidR="00CB3BB5" w:rsidRPr="00CB7CCC">
        <w:rPr>
          <w:rFonts w:cs="Arial"/>
          <w:sz w:val="18"/>
          <w:szCs w:val="18"/>
        </w:rPr>
        <w:t xml:space="preserve">start </w:t>
      </w:r>
      <w:r w:rsidRPr="00CB7CCC">
        <w:rPr>
          <w:rFonts w:cs="Arial"/>
          <w:sz w:val="18"/>
          <w:szCs w:val="18"/>
        </w:rPr>
        <w:t>rebuild</w:t>
      </w:r>
      <w:r w:rsidR="00CB3BB5" w:rsidRPr="00CB7CCC">
        <w:rPr>
          <w:rFonts w:cs="Arial"/>
          <w:sz w:val="18"/>
          <w:szCs w:val="18"/>
        </w:rPr>
        <w:t>ing</w:t>
      </w:r>
      <w:r w:rsidRPr="00CB7CCC">
        <w:rPr>
          <w:rFonts w:cs="Arial"/>
          <w:sz w:val="18"/>
          <w:szCs w:val="18"/>
        </w:rPr>
        <w:t xml:space="preserve"> the business rapidly</w:t>
      </w:r>
      <w:r w:rsidR="00CB3BB5" w:rsidRPr="00CB7CCC">
        <w:rPr>
          <w:rFonts w:cs="Arial"/>
          <w:sz w:val="18"/>
          <w:szCs w:val="18"/>
        </w:rPr>
        <w:t xml:space="preserve"> during the second half of the year</w:t>
      </w:r>
      <w:r w:rsidRPr="00CB7CCC">
        <w:rPr>
          <w:rFonts w:cs="Arial"/>
          <w:sz w:val="18"/>
          <w:szCs w:val="18"/>
        </w:rPr>
        <w:t>.</w:t>
      </w:r>
    </w:p>
    <w:p w14:paraId="5E84282C" w14:textId="77777777" w:rsidR="00CA28F7" w:rsidRPr="00CB7CCC" w:rsidRDefault="00CB3BB5" w:rsidP="00ED0EF2">
      <w:pPr>
        <w:spacing w:after="120"/>
        <w:jc w:val="both"/>
        <w:rPr>
          <w:rFonts w:cs="Arial"/>
          <w:sz w:val="18"/>
          <w:szCs w:val="18"/>
        </w:rPr>
      </w:pPr>
      <w:r w:rsidRPr="00CB7CCC">
        <w:rPr>
          <w:rFonts w:cs="Arial"/>
          <w:sz w:val="18"/>
          <w:szCs w:val="18"/>
        </w:rPr>
        <w:t xml:space="preserve">There was intensive commercial engagement and activity during the year as the Group </w:t>
      </w:r>
      <w:r w:rsidR="00CA28F7" w:rsidRPr="00CB7CCC">
        <w:rPr>
          <w:rFonts w:cs="Arial"/>
          <w:sz w:val="18"/>
          <w:szCs w:val="18"/>
        </w:rPr>
        <w:t xml:space="preserve">worked closer than ever with customers through </w:t>
      </w:r>
      <w:r w:rsidR="0051440C" w:rsidRPr="00CB7CCC">
        <w:rPr>
          <w:rFonts w:cs="Arial"/>
          <w:sz w:val="18"/>
          <w:szCs w:val="18"/>
        </w:rPr>
        <w:t xml:space="preserve">the response to COVID-19. Joint initiatives that were already in place on supply chain, waste and availability were modified to reflect the rapid change in consumer demand and shopper behaviours. </w:t>
      </w:r>
      <w:r w:rsidRPr="00CB7CCC">
        <w:rPr>
          <w:rFonts w:cs="Arial"/>
          <w:sz w:val="18"/>
          <w:szCs w:val="18"/>
        </w:rPr>
        <w:t xml:space="preserve">The Group worked with customers to simplify product ranges at the outbreak of the pandemic and then to quickly rebuild the </w:t>
      </w:r>
      <w:r w:rsidR="004B1380" w:rsidRPr="00CB7CCC">
        <w:rPr>
          <w:rFonts w:cs="Arial"/>
          <w:sz w:val="18"/>
          <w:szCs w:val="18"/>
        </w:rPr>
        <w:t>relevant ranges</w:t>
      </w:r>
      <w:r w:rsidRPr="00CB7CCC">
        <w:rPr>
          <w:rFonts w:cs="Arial"/>
          <w:sz w:val="18"/>
          <w:szCs w:val="18"/>
        </w:rPr>
        <w:t xml:space="preserve"> </w:t>
      </w:r>
      <w:r w:rsidR="00CA28F7" w:rsidRPr="00CB7CCC">
        <w:rPr>
          <w:rFonts w:cs="Arial"/>
          <w:sz w:val="18"/>
          <w:szCs w:val="18"/>
        </w:rPr>
        <w:t>as demand returned</w:t>
      </w:r>
      <w:r w:rsidRPr="00CB7CCC">
        <w:rPr>
          <w:rFonts w:cs="Arial"/>
          <w:sz w:val="18"/>
          <w:szCs w:val="18"/>
        </w:rPr>
        <w:t xml:space="preserve">, </w:t>
      </w:r>
      <w:r w:rsidR="00CA28F7" w:rsidRPr="00CB7CCC">
        <w:rPr>
          <w:rFonts w:cs="Arial"/>
          <w:sz w:val="18"/>
          <w:szCs w:val="18"/>
        </w:rPr>
        <w:t xml:space="preserve">especially in </w:t>
      </w:r>
      <w:r w:rsidR="00303831" w:rsidRPr="00CB7CCC">
        <w:rPr>
          <w:rFonts w:cs="Arial"/>
          <w:sz w:val="18"/>
          <w:szCs w:val="18"/>
        </w:rPr>
        <w:t>food to go</w:t>
      </w:r>
      <w:r w:rsidR="00CA28F7" w:rsidRPr="00CB7CCC">
        <w:rPr>
          <w:rFonts w:cs="Arial"/>
          <w:sz w:val="18"/>
          <w:szCs w:val="18"/>
        </w:rPr>
        <w:t xml:space="preserve"> categories.</w:t>
      </w:r>
    </w:p>
    <w:p w14:paraId="7855AB62" w14:textId="111561EF" w:rsidR="00CB3BB5" w:rsidRPr="00CB7CCC" w:rsidRDefault="00C8532F" w:rsidP="00ED0EF2">
      <w:pPr>
        <w:spacing w:after="120"/>
        <w:jc w:val="both"/>
        <w:rPr>
          <w:rFonts w:cs="Arial"/>
          <w:sz w:val="18"/>
          <w:szCs w:val="18"/>
        </w:rPr>
      </w:pPr>
      <w:r w:rsidRPr="00CB7CCC">
        <w:rPr>
          <w:rFonts w:cs="Arial"/>
          <w:sz w:val="18"/>
          <w:szCs w:val="18"/>
        </w:rPr>
        <w:t xml:space="preserve">Market dynamics have also created significant opportunities to secure </w:t>
      </w:r>
      <w:r w:rsidR="00E40D3F" w:rsidRPr="00CB7CCC">
        <w:rPr>
          <w:rFonts w:cs="Arial"/>
          <w:sz w:val="18"/>
          <w:szCs w:val="18"/>
        </w:rPr>
        <w:t>new business</w:t>
      </w:r>
      <w:r w:rsidR="00D633C8" w:rsidRPr="00CB7CCC">
        <w:rPr>
          <w:rFonts w:cs="Arial"/>
          <w:sz w:val="18"/>
          <w:szCs w:val="18"/>
        </w:rPr>
        <w:t>,</w:t>
      </w:r>
      <w:r w:rsidRPr="00CB7CCC">
        <w:rPr>
          <w:rFonts w:cs="Arial"/>
          <w:sz w:val="18"/>
          <w:szCs w:val="18"/>
        </w:rPr>
        <w:t xml:space="preserve"> </w:t>
      </w:r>
      <w:r w:rsidR="00226D1A" w:rsidRPr="00CB7CCC">
        <w:rPr>
          <w:rFonts w:cs="Arial"/>
          <w:sz w:val="18"/>
          <w:szCs w:val="18"/>
        </w:rPr>
        <w:t>support</w:t>
      </w:r>
      <w:r w:rsidR="00D633C8" w:rsidRPr="00CB7CCC">
        <w:rPr>
          <w:rFonts w:cs="Arial"/>
          <w:sz w:val="18"/>
          <w:szCs w:val="18"/>
        </w:rPr>
        <w:t>ing</w:t>
      </w:r>
      <w:r w:rsidR="00226D1A" w:rsidRPr="00CB7CCC">
        <w:rPr>
          <w:rFonts w:cs="Arial"/>
          <w:sz w:val="18"/>
          <w:szCs w:val="18"/>
        </w:rPr>
        <w:t xml:space="preserve"> the strategic objective of</w:t>
      </w:r>
      <w:r w:rsidRPr="00CB7CCC">
        <w:rPr>
          <w:rFonts w:cs="Arial"/>
          <w:sz w:val="18"/>
          <w:szCs w:val="18"/>
        </w:rPr>
        <w:t xml:space="preserve"> diversifying the Group’s product and channel footprint. In FY20 the Group extended its product range with </w:t>
      </w:r>
      <w:proofErr w:type="gramStart"/>
      <w:r w:rsidRPr="00CB7CCC">
        <w:rPr>
          <w:rFonts w:cs="Arial"/>
          <w:sz w:val="18"/>
          <w:szCs w:val="18"/>
        </w:rPr>
        <w:t>a number of</w:t>
      </w:r>
      <w:proofErr w:type="gramEnd"/>
      <w:r w:rsidRPr="00CB7CCC">
        <w:rPr>
          <w:rFonts w:cs="Arial"/>
          <w:sz w:val="18"/>
          <w:szCs w:val="18"/>
        </w:rPr>
        <w:t xml:space="preserve"> existing </w:t>
      </w:r>
      <w:r w:rsidR="00562C39" w:rsidRPr="00CB7CCC">
        <w:rPr>
          <w:rFonts w:cs="Arial"/>
          <w:sz w:val="18"/>
          <w:szCs w:val="18"/>
        </w:rPr>
        <w:t xml:space="preserve">and new </w:t>
      </w:r>
      <w:r w:rsidRPr="00CB7CCC">
        <w:rPr>
          <w:rFonts w:cs="Arial"/>
          <w:sz w:val="18"/>
          <w:szCs w:val="18"/>
        </w:rPr>
        <w:t xml:space="preserve">food to go customers. The Group also broadened its </w:t>
      </w:r>
      <w:r w:rsidR="004B1380" w:rsidRPr="00CB7CCC">
        <w:rPr>
          <w:rFonts w:cs="Arial"/>
          <w:sz w:val="18"/>
          <w:szCs w:val="18"/>
        </w:rPr>
        <w:t>channel p</w:t>
      </w:r>
      <w:r w:rsidR="00562C39" w:rsidRPr="00CB7CCC">
        <w:rPr>
          <w:rFonts w:cs="Arial"/>
          <w:sz w:val="18"/>
          <w:szCs w:val="18"/>
        </w:rPr>
        <w:t xml:space="preserve">resence </w:t>
      </w:r>
      <w:r w:rsidR="0051615F">
        <w:rPr>
          <w:rFonts w:cs="Arial"/>
          <w:sz w:val="18"/>
          <w:szCs w:val="18"/>
        </w:rPr>
        <w:t xml:space="preserve">in food to </w:t>
      </w:r>
      <w:r w:rsidR="0051615F" w:rsidRPr="00002662">
        <w:rPr>
          <w:rFonts w:cs="Arial"/>
          <w:sz w:val="18"/>
          <w:szCs w:val="18"/>
        </w:rPr>
        <w:t xml:space="preserve">go categories. </w:t>
      </w:r>
      <w:r w:rsidRPr="00CB7CCC">
        <w:rPr>
          <w:rFonts w:cs="Arial"/>
          <w:sz w:val="18"/>
          <w:szCs w:val="18"/>
        </w:rPr>
        <w:t xml:space="preserve">New business was </w:t>
      </w:r>
      <w:r w:rsidR="00002662">
        <w:rPr>
          <w:rFonts w:cs="Arial"/>
          <w:sz w:val="18"/>
          <w:szCs w:val="18"/>
        </w:rPr>
        <w:t xml:space="preserve">also </w:t>
      </w:r>
      <w:r w:rsidRPr="00CB7CCC">
        <w:rPr>
          <w:rFonts w:cs="Arial"/>
          <w:sz w:val="18"/>
          <w:szCs w:val="18"/>
        </w:rPr>
        <w:t xml:space="preserve">secured in </w:t>
      </w:r>
      <w:r w:rsidR="00002662">
        <w:rPr>
          <w:rFonts w:cs="Arial"/>
          <w:sz w:val="18"/>
          <w:szCs w:val="18"/>
        </w:rPr>
        <w:t xml:space="preserve">the Group’s Direct to Store distribution network and </w:t>
      </w:r>
      <w:r w:rsidRPr="00CB7CCC">
        <w:rPr>
          <w:rFonts w:cs="Arial"/>
          <w:sz w:val="18"/>
          <w:szCs w:val="18"/>
        </w:rPr>
        <w:t>several other convenience categories.</w:t>
      </w:r>
      <w:r w:rsidR="00BA27DD" w:rsidRPr="00CB7CCC">
        <w:rPr>
          <w:rFonts w:cs="Arial"/>
          <w:sz w:val="18"/>
          <w:szCs w:val="18"/>
        </w:rPr>
        <w:t xml:space="preserve"> </w:t>
      </w:r>
    </w:p>
    <w:p w14:paraId="5EED4FA2" w14:textId="41A50DE9" w:rsidR="00833D08" w:rsidRDefault="00CA28F7" w:rsidP="00ED0EF2">
      <w:pPr>
        <w:spacing w:after="120"/>
        <w:jc w:val="both"/>
        <w:rPr>
          <w:rFonts w:cs="Arial"/>
          <w:sz w:val="18"/>
          <w:szCs w:val="18"/>
        </w:rPr>
      </w:pPr>
      <w:proofErr w:type="spellStart"/>
      <w:r w:rsidRPr="00CB7CCC">
        <w:rPr>
          <w:rFonts w:cs="Arial"/>
          <w:sz w:val="18"/>
          <w:szCs w:val="18"/>
        </w:rPr>
        <w:t>Freshtime</w:t>
      </w:r>
      <w:proofErr w:type="spellEnd"/>
      <w:r w:rsidRPr="00CB7CCC">
        <w:rPr>
          <w:rFonts w:cs="Arial"/>
          <w:sz w:val="18"/>
          <w:szCs w:val="18"/>
        </w:rPr>
        <w:t xml:space="preserve">, acquired in September 2019, </w:t>
      </w:r>
      <w:r w:rsidR="00CC6DE0" w:rsidRPr="00CB7CCC">
        <w:rPr>
          <w:rFonts w:cs="Arial"/>
          <w:sz w:val="18"/>
          <w:szCs w:val="18"/>
        </w:rPr>
        <w:t xml:space="preserve">has </w:t>
      </w:r>
      <w:r w:rsidR="000454DA">
        <w:rPr>
          <w:rFonts w:cs="Arial"/>
          <w:sz w:val="18"/>
          <w:szCs w:val="18"/>
        </w:rPr>
        <w:t>been successfully integrated</w:t>
      </w:r>
      <w:r w:rsidRPr="00CB7CCC">
        <w:rPr>
          <w:rFonts w:cs="Arial"/>
          <w:sz w:val="18"/>
          <w:szCs w:val="18"/>
        </w:rPr>
        <w:t xml:space="preserve"> into the Group. It has successfully extended the Group’s presence in meal salads and chilled snacking and as such provides a platform to drive growth and improve Group returns in these categories. </w:t>
      </w:r>
    </w:p>
    <w:p w14:paraId="2B00B152" w14:textId="2B2F0ACE" w:rsidR="00CA28F7" w:rsidRPr="00CB7CCC" w:rsidRDefault="00CA28F7" w:rsidP="00ED0EF2">
      <w:pPr>
        <w:spacing w:after="120"/>
        <w:jc w:val="both"/>
        <w:rPr>
          <w:rFonts w:cs="Arial"/>
          <w:sz w:val="18"/>
          <w:szCs w:val="18"/>
        </w:rPr>
      </w:pPr>
      <w:r w:rsidRPr="00CB7CCC">
        <w:rPr>
          <w:rFonts w:cs="Arial"/>
          <w:sz w:val="18"/>
          <w:szCs w:val="18"/>
        </w:rPr>
        <w:t>In H1</w:t>
      </w:r>
      <w:r w:rsidR="00D633C8" w:rsidRPr="00CB7CCC">
        <w:rPr>
          <w:rFonts w:cs="Arial"/>
          <w:sz w:val="18"/>
          <w:szCs w:val="18"/>
        </w:rPr>
        <w:t>,</w:t>
      </w:r>
      <w:r w:rsidRPr="00CB7CCC">
        <w:rPr>
          <w:rFonts w:cs="Arial"/>
          <w:sz w:val="18"/>
          <w:szCs w:val="18"/>
        </w:rPr>
        <w:t xml:space="preserve"> the Group </w:t>
      </w:r>
      <w:r w:rsidR="003E2376" w:rsidRPr="00CB7CCC">
        <w:rPr>
          <w:rFonts w:cs="Arial"/>
          <w:sz w:val="18"/>
          <w:szCs w:val="18"/>
        </w:rPr>
        <w:t>opened a</w:t>
      </w:r>
      <w:r w:rsidRPr="00CB7CCC">
        <w:rPr>
          <w:rFonts w:cs="Arial"/>
          <w:sz w:val="18"/>
          <w:szCs w:val="18"/>
        </w:rPr>
        <w:t xml:space="preserve"> new distribution centre in Tamworth that enhances capacity and will maximise cost and operational efficiencies in the Group’s Direct to Store distribution model.</w:t>
      </w:r>
    </w:p>
    <w:p w14:paraId="04153DA3" w14:textId="77777777" w:rsidR="009D2699" w:rsidRPr="00CB7CCC" w:rsidRDefault="00CA28F7" w:rsidP="00ED0EF2">
      <w:pPr>
        <w:spacing w:after="120"/>
        <w:jc w:val="both"/>
        <w:rPr>
          <w:rFonts w:cs="Arial"/>
          <w:sz w:val="18"/>
          <w:szCs w:val="18"/>
        </w:rPr>
      </w:pPr>
      <w:r w:rsidRPr="00CB7CCC">
        <w:rPr>
          <w:rFonts w:cs="Arial"/>
          <w:sz w:val="18"/>
          <w:szCs w:val="18"/>
        </w:rPr>
        <w:t>In FY20</w:t>
      </w:r>
      <w:r w:rsidR="00D633C8" w:rsidRPr="00CB7CCC">
        <w:rPr>
          <w:rFonts w:cs="Arial"/>
          <w:sz w:val="18"/>
          <w:szCs w:val="18"/>
        </w:rPr>
        <w:t>,</w:t>
      </w:r>
      <w:r w:rsidRPr="00CB7CCC">
        <w:rPr>
          <w:rFonts w:cs="Arial"/>
          <w:sz w:val="18"/>
          <w:szCs w:val="18"/>
        </w:rPr>
        <w:t xml:space="preserve"> the Group continued to make good progress on its Greencore Excellence agendas across its commercial</w:t>
      </w:r>
      <w:r w:rsidR="0051440C" w:rsidRPr="00CB7CCC">
        <w:rPr>
          <w:rFonts w:cs="Arial"/>
          <w:sz w:val="18"/>
          <w:szCs w:val="18"/>
        </w:rPr>
        <w:t xml:space="preserve">, </w:t>
      </w:r>
      <w:proofErr w:type="gramStart"/>
      <w:r w:rsidR="0051440C" w:rsidRPr="00CB7CCC">
        <w:rPr>
          <w:rFonts w:cs="Arial"/>
          <w:sz w:val="18"/>
          <w:szCs w:val="18"/>
        </w:rPr>
        <w:t>purchasing</w:t>
      </w:r>
      <w:proofErr w:type="gramEnd"/>
      <w:r w:rsidRPr="00CB7CCC">
        <w:rPr>
          <w:rFonts w:cs="Arial"/>
          <w:sz w:val="18"/>
          <w:szCs w:val="18"/>
        </w:rPr>
        <w:t xml:space="preserve"> and operational </w:t>
      </w:r>
      <w:r w:rsidR="006F4273" w:rsidRPr="00CB7CCC">
        <w:rPr>
          <w:rFonts w:cs="Arial"/>
          <w:sz w:val="18"/>
          <w:szCs w:val="18"/>
        </w:rPr>
        <w:t>functions.</w:t>
      </w:r>
      <w:r w:rsidRPr="00CB7CCC">
        <w:rPr>
          <w:rFonts w:cs="Arial"/>
          <w:sz w:val="18"/>
          <w:szCs w:val="18"/>
        </w:rPr>
        <w:t xml:space="preserve"> The </w:t>
      </w:r>
      <w:r w:rsidR="00604124" w:rsidRPr="00CB7CCC">
        <w:rPr>
          <w:rFonts w:cs="Arial"/>
          <w:sz w:val="18"/>
          <w:szCs w:val="18"/>
        </w:rPr>
        <w:t>objective</w:t>
      </w:r>
      <w:r w:rsidRPr="00CB7CCC">
        <w:rPr>
          <w:rFonts w:cs="Arial"/>
          <w:sz w:val="18"/>
          <w:szCs w:val="18"/>
        </w:rPr>
        <w:t xml:space="preserve"> is to codify distinctive and repeatable ways of working which unlock value and create competitive advantage.</w:t>
      </w:r>
      <w:r w:rsidR="0051440C" w:rsidRPr="00CB7CCC">
        <w:rPr>
          <w:rFonts w:cs="Arial"/>
          <w:sz w:val="18"/>
          <w:szCs w:val="18"/>
        </w:rPr>
        <w:t xml:space="preserve"> S</w:t>
      </w:r>
      <w:r w:rsidRPr="00CB7CCC">
        <w:rPr>
          <w:rFonts w:cs="Arial"/>
          <w:sz w:val="18"/>
          <w:szCs w:val="18"/>
        </w:rPr>
        <w:t>ignificant operational improvement opportunities</w:t>
      </w:r>
      <w:r w:rsidR="0051440C" w:rsidRPr="00CB7CCC">
        <w:rPr>
          <w:rFonts w:cs="Arial"/>
          <w:sz w:val="18"/>
          <w:szCs w:val="18"/>
        </w:rPr>
        <w:t xml:space="preserve"> have been identified and implemented</w:t>
      </w:r>
      <w:r w:rsidRPr="00CB7CCC">
        <w:rPr>
          <w:rFonts w:cs="Arial"/>
          <w:sz w:val="18"/>
          <w:szCs w:val="18"/>
        </w:rPr>
        <w:t xml:space="preserve">, through a combination of optimisation of current process and </w:t>
      </w:r>
      <w:r w:rsidR="0051440C" w:rsidRPr="00CB7CCC">
        <w:rPr>
          <w:rFonts w:cs="Arial"/>
          <w:sz w:val="18"/>
          <w:szCs w:val="18"/>
        </w:rPr>
        <w:t xml:space="preserve">implementation of new </w:t>
      </w:r>
      <w:r w:rsidRPr="00CB7CCC">
        <w:rPr>
          <w:rFonts w:cs="Arial"/>
          <w:sz w:val="18"/>
          <w:szCs w:val="18"/>
        </w:rPr>
        <w:t xml:space="preserve">processes, </w:t>
      </w:r>
      <w:proofErr w:type="gramStart"/>
      <w:r w:rsidRPr="00CB7CCC">
        <w:rPr>
          <w:rFonts w:cs="Arial"/>
          <w:sz w:val="18"/>
          <w:szCs w:val="18"/>
        </w:rPr>
        <w:t>technologies</w:t>
      </w:r>
      <w:proofErr w:type="gramEnd"/>
      <w:r w:rsidRPr="00CB7CCC">
        <w:rPr>
          <w:rFonts w:cs="Arial"/>
          <w:sz w:val="18"/>
          <w:szCs w:val="18"/>
        </w:rPr>
        <w:t xml:space="preserve"> and automation. </w:t>
      </w:r>
    </w:p>
    <w:p w14:paraId="616A2DD7" w14:textId="77777777" w:rsidR="00CA28F7" w:rsidRPr="00CB7CCC" w:rsidRDefault="0051440C" w:rsidP="00ED0EF2">
      <w:pPr>
        <w:spacing w:after="120"/>
        <w:jc w:val="both"/>
        <w:rPr>
          <w:rFonts w:cs="Arial"/>
          <w:sz w:val="18"/>
          <w:szCs w:val="18"/>
        </w:rPr>
      </w:pPr>
      <w:r w:rsidRPr="00CB7CCC">
        <w:rPr>
          <w:rFonts w:cs="Arial"/>
          <w:sz w:val="18"/>
          <w:szCs w:val="18"/>
        </w:rPr>
        <w:t>The Group prioritised its automation programme for continued investment through FY20</w:t>
      </w:r>
      <w:r w:rsidR="009D2699" w:rsidRPr="00CB7CCC">
        <w:rPr>
          <w:rFonts w:cs="Arial"/>
          <w:sz w:val="18"/>
          <w:szCs w:val="18"/>
        </w:rPr>
        <w:t xml:space="preserve">. This programme is designed </w:t>
      </w:r>
      <w:r w:rsidRPr="00CB7CCC">
        <w:rPr>
          <w:rFonts w:cs="Arial"/>
          <w:sz w:val="18"/>
          <w:szCs w:val="18"/>
        </w:rPr>
        <w:t xml:space="preserve">to </w:t>
      </w:r>
      <w:r w:rsidR="00CA28F7" w:rsidRPr="00CB7CCC">
        <w:rPr>
          <w:rFonts w:cs="Arial"/>
          <w:sz w:val="18"/>
          <w:szCs w:val="18"/>
        </w:rPr>
        <w:t xml:space="preserve">drive </w:t>
      </w:r>
      <w:r w:rsidR="009D2699" w:rsidRPr="00CB7CCC">
        <w:rPr>
          <w:rFonts w:cs="Arial"/>
          <w:sz w:val="18"/>
          <w:szCs w:val="18"/>
        </w:rPr>
        <w:t xml:space="preserve">production </w:t>
      </w:r>
      <w:r w:rsidR="00CA28F7" w:rsidRPr="00CB7CCC">
        <w:rPr>
          <w:rFonts w:cs="Arial"/>
          <w:sz w:val="18"/>
          <w:szCs w:val="18"/>
        </w:rPr>
        <w:t xml:space="preserve">efficiencies to help offset labour inflation, </w:t>
      </w:r>
      <w:r w:rsidRPr="00CB7CCC">
        <w:rPr>
          <w:rFonts w:cs="Arial"/>
          <w:sz w:val="18"/>
          <w:szCs w:val="18"/>
        </w:rPr>
        <w:t xml:space="preserve">to </w:t>
      </w:r>
      <w:r w:rsidR="009D2699" w:rsidRPr="00CB7CCC">
        <w:rPr>
          <w:rFonts w:cs="Arial"/>
          <w:sz w:val="18"/>
          <w:szCs w:val="18"/>
        </w:rPr>
        <w:t xml:space="preserve">help manage </w:t>
      </w:r>
      <w:r w:rsidRPr="00CB7CCC">
        <w:rPr>
          <w:rFonts w:cs="Arial"/>
          <w:sz w:val="18"/>
          <w:szCs w:val="18"/>
        </w:rPr>
        <w:t xml:space="preserve">labour availability, and to enable and support </w:t>
      </w:r>
      <w:r w:rsidR="00CA28F7" w:rsidRPr="00CB7CCC">
        <w:rPr>
          <w:rFonts w:cs="Arial"/>
          <w:sz w:val="18"/>
          <w:szCs w:val="18"/>
        </w:rPr>
        <w:t xml:space="preserve">social distancing </w:t>
      </w:r>
      <w:r w:rsidRPr="00CB7CCC">
        <w:rPr>
          <w:rFonts w:cs="Arial"/>
          <w:sz w:val="18"/>
          <w:szCs w:val="18"/>
        </w:rPr>
        <w:t xml:space="preserve">across the </w:t>
      </w:r>
      <w:r w:rsidR="009D2699" w:rsidRPr="00CB7CCC">
        <w:rPr>
          <w:rFonts w:cs="Arial"/>
          <w:sz w:val="18"/>
          <w:szCs w:val="18"/>
        </w:rPr>
        <w:t xml:space="preserve">Group’s </w:t>
      </w:r>
      <w:r w:rsidRPr="00CB7CCC">
        <w:rPr>
          <w:rFonts w:cs="Arial"/>
          <w:sz w:val="18"/>
          <w:szCs w:val="18"/>
        </w:rPr>
        <w:t xml:space="preserve">production network. </w:t>
      </w:r>
      <w:r w:rsidR="009D2699" w:rsidRPr="00CB7CCC">
        <w:rPr>
          <w:rFonts w:cs="Arial"/>
          <w:sz w:val="18"/>
          <w:szCs w:val="18"/>
        </w:rPr>
        <w:t>In FY20</w:t>
      </w:r>
      <w:r w:rsidR="00D633C8" w:rsidRPr="00CB7CCC">
        <w:rPr>
          <w:rFonts w:cs="Arial"/>
          <w:sz w:val="18"/>
          <w:szCs w:val="18"/>
        </w:rPr>
        <w:t>,</w:t>
      </w:r>
      <w:r w:rsidR="009D2699" w:rsidRPr="00CB7CCC">
        <w:rPr>
          <w:rFonts w:cs="Arial"/>
          <w:sz w:val="18"/>
          <w:szCs w:val="18"/>
        </w:rPr>
        <w:t xml:space="preserve"> s</w:t>
      </w:r>
      <w:r w:rsidRPr="00CB7CCC">
        <w:rPr>
          <w:rFonts w:cs="Arial"/>
          <w:sz w:val="18"/>
          <w:szCs w:val="18"/>
        </w:rPr>
        <w:t xml:space="preserve">everal </w:t>
      </w:r>
      <w:r w:rsidR="004B1380" w:rsidRPr="00CB7CCC">
        <w:rPr>
          <w:rFonts w:cs="Arial"/>
          <w:sz w:val="18"/>
          <w:szCs w:val="18"/>
        </w:rPr>
        <w:t>prototypes</w:t>
      </w:r>
      <w:r w:rsidR="00CA28F7" w:rsidRPr="00CB7CCC">
        <w:rPr>
          <w:rFonts w:cs="Arial"/>
          <w:sz w:val="18"/>
          <w:szCs w:val="18"/>
        </w:rPr>
        <w:t xml:space="preserve"> </w:t>
      </w:r>
      <w:r w:rsidR="009D2699" w:rsidRPr="00CB7CCC">
        <w:rPr>
          <w:rFonts w:cs="Arial"/>
          <w:sz w:val="18"/>
          <w:szCs w:val="18"/>
        </w:rPr>
        <w:t xml:space="preserve">were installed successfully </w:t>
      </w:r>
      <w:r w:rsidR="00CA28F7" w:rsidRPr="00CB7CCC">
        <w:rPr>
          <w:rFonts w:cs="Arial"/>
          <w:sz w:val="18"/>
          <w:szCs w:val="18"/>
        </w:rPr>
        <w:t>with a</w:t>
      </w:r>
      <w:r w:rsidRPr="00CB7CCC">
        <w:rPr>
          <w:rFonts w:cs="Arial"/>
          <w:sz w:val="18"/>
          <w:szCs w:val="18"/>
        </w:rPr>
        <w:t>n accelerated</w:t>
      </w:r>
      <w:r w:rsidR="00CA28F7" w:rsidRPr="00CB7CCC">
        <w:rPr>
          <w:rFonts w:cs="Arial"/>
          <w:sz w:val="18"/>
          <w:szCs w:val="18"/>
        </w:rPr>
        <w:t xml:space="preserve"> </w:t>
      </w:r>
      <w:r w:rsidRPr="00CB7CCC">
        <w:rPr>
          <w:rFonts w:cs="Arial"/>
          <w:sz w:val="18"/>
          <w:szCs w:val="18"/>
        </w:rPr>
        <w:t>roll</w:t>
      </w:r>
      <w:r w:rsidR="00CA28F7" w:rsidRPr="00CB7CCC">
        <w:rPr>
          <w:rFonts w:cs="Arial"/>
          <w:sz w:val="18"/>
          <w:szCs w:val="18"/>
        </w:rPr>
        <w:t xml:space="preserve">out </w:t>
      </w:r>
      <w:r w:rsidRPr="00CB7CCC">
        <w:rPr>
          <w:rFonts w:cs="Arial"/>
          <w:sz w:val="18"/>
          <w:szCs w:val="18"/>
        </w:rPr>
        <w:t xml:space="preserve">planned </w:t>
      </w:r>
      <w:r w:rsidR="00CA28F7" w:rsidRPr="00CB7CCC">
        <w:rPr>
          <w:rFonts w:cs="Arial"/>
          <w:sz w:val="18"/>
          <w:szCs w:val="18"/>
        </w:rPr>
        <w:t xml:space="preserve">across the network </w:t>
      </w:r>
      <w:r w:rsidRPr="00CB7CCC">
        <w:rPr>
          <w:rFonts w:cs="Arial"/>
          <w:sz w:val="18"/>
          <w:szCs w:val="18"/>
        </w:rPr>
        <w:t xml:space="preserve">in </w:t>
      </w:r>
      <w:r w:rsidR="006F4273" w:rsidRPr="00CB7CCC">
        <w:rPr>
          <w:rFonts w:cs="Arial"/>
          <w:sz w:val="18"/>
          <w:szCs w:val="18"/>
        </w:rPr>
        <w:t xml:space="preserve">the </w:t>
      </w:r>
      <w:r w:rsidR="009D2699" w:rsidRPr="00CB7CCC">
        <w:rPr>
          <w:rFonts w:cs="Arial"/>
          <w:sz w:val="18"/>
          <w:szCs w:val="18"/>
        </w:rPr>
        <w:t>coming years</w:t>
      </w:r>
      <w:r w:rsidRPr="00CB7CCC">
        <w:rPr>
          <w:rFonts w:cs="Arial"/>
          <w:sz w:val="18"/>
          <w:szCs w:val="18"/>
        </w:rPr>
        <w:t xml:space="preserve">. </w:t>
      </w:r>
    </w:p>
    <w:p w14:paraId="20169BC8" w14:textId="77777777" w:rsidR="00CA28F7" w:rsidRPr="00CB7CCC" w:rsidRDefault="00CC6DE0" w:rsidP="00ED0EF2">
      <w:pPr>
        <w:spacing w:after="120"/>
        <w:jc w:val="both"/>
        <w:rPr>
          <w:rFonts w:cs="Arial"/>
          <w:sz w:val="18"/>
          <w:szCs w:val="18"/>
        </w:rPr>
      </w:pPr>
      <w:r w:rsidRPr="00CB7CCC">
        <w:rPr>
          <w:rFonts w:cs="Arial"/>
          <w:sz w:val="18"/>
          <w:szCs w:val="18"/>
        </w:rPr>
        <w:t>The Group</w:t>
      </w:r>
      <w:r w:rsidR="00CA28F7" w:rsidRPr="00CB7CCC">
        <w:rPr>
          <w:rFonts w:cs="Arial"/>
          <w:sz w:val="18"/>
          <w:szCs w:val="18"/>
        </w:rPr>
        <w:t xml:space="preserve"> </w:t>
      </w:r>
      <w:r w:rsidRPr="00CB7CCC">
        <w:rPr>
          <w:rFonts w:cs="Arial"/>
          <w:sz w:val="18"/>
          <w:szCs w:val="18"/>
        </w:rPr>
        <w:t xml:space="preserve">has </w:t>
      </w:r>
      <w:r w:rsidR="00CA28F7" w:rsidRPr="00CB7CCC">
        <w:rPr>
          <w:rFonts w:cs="Arial"/>
          <w:sz w:val="18"/>
          <w:szCs w:val="18"/>
        </w:rPr>
        <w:t xml:space="preserve">continued to evolve </w:t>
      </w:r>
      <w:r w:rsidR="009D2699" w:rsidRPr="00CB7CCC">
        <w:rPr>
          <w:rFonts w:cs="Arial"/>
          <w:sz w:val="18"/>
          <w:szCs w:val="18"/>
        </w:rPr>
        <w:t>its</w:t>
      </w:r>
      <w:r w:rsidRPr="00CB7CCC">
        <w:rPr>
          <w:rFonts w:cs="Arial"/>
          <w:sz w:val="18"/>
          <w:szCs w:val="18"/>
        </w:rPr>
        <w:t xml:space="preserve"> </w:t>
      </w:r>
      <w:r w:rsidR="00CA28F7" w:rsidRPr="00CB7CCC">
        <w:rPr>
          <w:rFonts w:cs="Arial"/>
          <w:sz w:val="18"/>
          <w:szCs w:val="18"/>
        </w:rPr>
        <w:t xml:space="preserve">technical and food safety agenda throughout FY20, with a </w:t>
      </w:r>
      <w:proofErr w:type="gramStart"/>
      <w:r w:rsidR="00CA28F7" w:rsidRPr="00CB7CCC">
        <w:rPr>
          <w:rFonts w:cs="Arial"/>
          <w:sz w:val="18"/>
          <w:szCs w:val="18"/>
        </w:rPr>
        <w:t>particular focus</w:t>
      </w:r>
      <w:proofErr w:type="gramEnd"/>
      <w:r w:rsidR="00CA28F7" w:rsidRPr="00CB7CCC">
        <w:rPr>
          <w:rFonts w:cs="Arial"/>
          <w:sz w:val="18"/>
          <w:szCs w:val="18"/>
        </w:rPr>
        <w:t xml:space="preserve"> on reinforcing governance, continued innovation and ongoing supplier engagement. </w:t>
      </w:r>
      <w:r w:rsidR="00604124" w:rsidRPr="00CB7CCC">
        <w:rPr>
          <w:rFonts w:cs="Arial"/>
          <w:sz w:val="18"/>
          <w:szCs w:val="18"/>
        </w:rPr>
        <w:t>Enhanced technology and data analytics capability is enabling the Group to also improve forecasting accuracy, identify margin enhancement opportunities, and improve traceability.</w:t>
      </w:r>
    </w:p>
    <w:p w14:paraId="5B6ABDEC" w14:textId="77777777" w:rsidR="004B1380" w:rsidRPr="00CB7CCC" w:rsidRDefault="004B1380" w:rsidP="00ED0EF2">
      <w:pPr>
        <w:spacing w:after="120"/>
        <w:jc w:val="both"/>
        <w:rPr>
          <w:rFonts w:cs="Arial"/>
          <w:b/>
          <w:sz w:val="18"/>
          <w:szCs w:val="18"/>
        </w:rPr>
      </w:pPr>
      <w:r w:rsidRPr="00CB7CCC">
        <w:rPr>
          <w:rFonts w:cs="Arial"/>
          <w:b/>
          <w:sz w:val="18"/>
          <w:szCs w:val="18"/>
        </w:rPr>
        <w:t>COVID-19</w:t>
      </w:r>
    </w:p>
    <w:p w14:paraId="3A8FDFEE" w14:textId="0F1F76BB" w:rsidR="00115113" w:rsidRPr="00CB7CCC" w:rsidRDefault="00DE30F3" w:rsidP="00ED0EF2">
      <w:pPr>
        <w:tabs>
          <w:tab w:val="num" w:pos="426"/>
        </w:tabs>
        <w:spacing w:after="120"/>
        <w:jc w:val="both"/>
        <w:rPr>
          <w:rFonts w:cs="Arial"/>
          <w:sz w:val="18"/>
          <w:szCs w:val="18"/>
        </w:rPr>
      </w:pPr>
      <w:r>
        <w:rPr>
          <w:rFonts w:cs="Arial"/>
          <w:sz w:val="18"/>
          <w:szCs w:val="18"/>
        </w:rPr>
        <w:t>Greencore, as with t</w:t>
      </w:r>
      <w:r w:rsidR="00115113" w:rsidRPr="00CB7CCC">
        <w:rPr>
          <w:rFonts w:cs="Arial"/>
          <w:sz w:val="18"/>
          <w:szCs w:val="18"/>
        </w:rPr>
        <w:t>he chilled food industry</w:t>
      </w:r>
      <w:r>
        <w:rPr>
          <w:rFonts w:cs="Arial"/>
          <w:sz w:val="18"/>
          <w:szCs w:val="18"/>
        </w:rPr>
        <w:t>,</w:t>
      </w:r>
      <w:r w:rsidR="00115113" w:rsidRPr="00CB7CCC">
        <w:rPr>
          <w:rFonts w:cs="Arial"/>
          <w:sz w:val="18"/>
          <w:szCs w:val="18"/>
        </w:rPr>
        <w:t xml:space="preserve"> has very high levels of safety and hygiene on site as a matter of course. Over the course of the pandemic the Group has engaged intensively with regulatory bodies including the Health &amp; Safety Executive and Public Health England to augment this further, and has carried out an extensive range of measures to support and improve colleague safety across its manufacturing and distribution network. </w:t>
      </w:r>
    </w:p>
    <w:p w14:paraId="583E3527" w14:textId="29041F3F" w:rsidR="00115113" w:rsidRPr="00CB7CCC" w:rsidRDefault="00115113" w:rsidP="00ED0EF2">
      <w:pPr>
        <w:tabs>
          <w:tab w:val="num" w:pos="426"/>
        </w:tabs>
        <w:spacing w:after="120"/>
        <w:jc w:val="both"/>
        <w:rPr>
          <w:rFonts w:cs="Arial"/>
          <w:sz w:val="18"/>
          <w:szCs w:val="18"/>
        </w:rPr>
      </w:pPr>
      <w:r w:rsidRPr="00CB7CCC">
        <w:rPr>
          <w:rFonts w:cs="Arial"/>
          <w:sz w:val="18"/>
          <w:szCs w:val="18"/>
        </w:rPr>
        <w:t xml:space="preserve">The Group has also worked very hard on cultural and behavioural commitments to ensure that everybody across the network is focused on keeping people safe and maintaining hygiene protocols. Extensive occupational health support is in place for colleagues in facilities and those who are working from home. </w:t>
      </w:r>
    </w:p>
    <w:p w14:paraId="78D79E69" w14:textId="77777777" w:rsidR="00115113" w:rsidRPr="00CB7CCC" w:rsidRDefault="00115113" w:rsidP="00ED0EF2">
      <w:pPr>
        <w:tabs>
          <w:tab w:val="num" w:pos="426"/>
        </w:tabs>
        <w:spacing w:after="120"/>
        <w:jc w:val="both"/>
        <w:rPr>
          <w:rFonts w:cs="Arial"/>
          <w:sz w:val="18"/>
          <w:szCs w:val="18"/>
        </w:rPr>
      </w:pPr>
      <w:r w:rsidRPr="00CB7CCC">
        <w:rPr>
          <w:rFonts w:cs="Arial"/>
          <w:sz w:val="18"/>
          <w:szCs w:val="18"/>
        </w:rPr>
        <w:lastRenderedPageBreak/>
        <w:t xml:space="preserve">The Group’s production network has also functioned resiliently through the pandemic. </w:t>
      </w:r>
      <w:proofErr w:type="gramStart"/>
      <w:r w:rsidRPr="00CB7CCC">
        <w:rPr>
          <w:rFonts w:cs="Arial"/>
          <w:sz w:val="18"/>
          <w:szCs w:val="18"/>
        </w:rPr>
        <w:t>In particular this</w:t>
      </w:r>
      <w:proofErr w:type="gramEnd"/>
      <w:r w:rsidRPr="00CB7CCC">
        <w:rPr>
          <w:rFonts w:cs="Arial"/>
          <w:sz w:val="18"/>
          <w:szCs w:val="18"/>
        </w:rPr>
        <w:t xml:space="preserve"> included the ramping down and subsequent recommencement of production at the Group’s Bow, Atherstone and Heathrow facilities in response to demand changes in the first months of the outbreak. It also included the movement of a proportion of production to other sites following a temporary cessation in production at the Northampton site during August 2020 following the COVID-19 outbreak in the area and at the site. The Group worked closely with the relevant health and government authorities to bring the site back safely into full production by the middle of September 2020</w:t>
      </w:r>
      <w:r w:rsidR="00034D4A" w:rsidRPr="00CB7CCC">
        <w:rPr>
          <w:rFonts w:cs="Arial"/>
          <w:sz w:val="18"/>
          <w:szCs w:val="18"/>
        </w:rPr>
        <w:t xml:space="preserve">. </w:t>
      </w:r>
      <w:r w:rsidRPr="00CB7CCC">
        <w:rPr>
          <w:rFonts w:cs="Arial"/>
          <w:sz w:val="18"/>
          <w:szCs w:val="18"/>
        </w:rPr>
        <w:t xml:space="preserve">The Group remains highly vigilant around the potential for further disruption to sites </w:t>
      </w:r>
      <w:proofErr w:type="gramStart"/>
      <w:r w:rsidRPr="00CB7CCC">
        <w:rPr>
          <w:rFonts w:cs="Arial"/>
          <w:sz w:val="18"/>
          <w:szCs w:val="18"/>
        </w:rPr>
        <w:t>as a result of</w:t>
      </w:r>
      <w:proofErr w:type="gramEnd"/>
      <w:r w:rsidRPr="00CB7CCC">
        <w:rPr>
          <w:rFonts w:cs="Arial"/>
          <w:sz w:val="18"/>
          <w:szCs w:val="18"/>
        </w:rPr>
        <w:t xml:space="preserve"> localised outbreaks and remains well prepared for such possibilities.</w:t>
      </w:r>
    </w:p>
    <w:p w14:paraId="2C7775AA" w14:textId="12EBD154" w:rsidR="003B7495" w:rsidRPr="00CB7CCC" w:rsidRDefault="00115113" w:rsidP="00ED0EF2">
      <w:pPr>
        <w:tabs>
          <w:tab w:val="num" w:pos="426"/>
        </w:tabs>
        <w:spacing w:after="120"/>
        <w:jc w:val="both"/>
        <w:rPr>
          <w:rFonts w:cs="Arial"/>
          <w:b/>
          <w:sz w:val="18"/>
          <w:szCs w:val="18"/>
        </w:rPr>
      </w:pPr>
      <w:r w:rsidRPr="00CB7CCC">
        <w:rPr>
          <w:rFonts w:cs="Arial"/>
          <w:i/>
          <w:sz w:val="18"/>
          <w:szCs w:val="18"/>
        </w:rPr>
        <w:t xml:space="preserve"> </w:t>
      </w:r>
      <w:r w:rsidR="003B7495" w:rsidRPr="00CB7CCC">
        <w:rPr>
          <w:rFonts w:cs="Arial"/>
          <w:b/>
          <w:sz w:val="18"/>
          <w:szCs w:val="18"/>
        </w:rPr>
        <w:t>Performance</w:t>
      </w:r>
    </w:p>
    <w:p w14:paraId="0DBC03B3" w14:textId="77777777" w:rsidR="007744D1" w:rsidRPr="00CB7CCC" w:rsidRDefault="007744D1" w:rsidP="00ED0EF2">
      <w:pPr>
        <w:spacing w:after="120"/>
        <w:jc w:val="both"/>
        <w:rPr>
          <w:rFonts w:cs="Arial"/>
          <w:sz w:val="18"/>
          <w:szCs w:val="18"/>
        </w:rPr>
      </w:pPr>
      <w:r w:rsidRPr="00CB7CCC">
        <w:rPr>
          <w:rFonts w:cs="Arial"/>
          <w:sz w:val="18"/>
          <w:szCs w:val="18"/>
        </w:rPr>
        <w:t xml:space="preserve">Reported revenue </w:t>
      </w:r>
      <w:r w:rsidR="00AD2803" w:rsidRPr="00CB7CCC">
        <w:rPr>
          <w:rFonts w:cs="Arial"/>
          <w:sz w:val="18"/>
          <w:szCs w:val="18"/>
        </w:rPr>
        <w:t>decreased</w:t>
      </w:r>
      <w:r w:rsidRPr="00CB7CCC">
        <w:rPr>
          <w:rFonts w:cs="Arial"/>
          <w:sz w:val="18"/>
          <w:szCs w:val="18"/>
        </w:rPr>
        <w:t xml:space="preserve"> by </w:t>
      </w:r>
      <w:r w:rsidR="0051787E" w:rsidRPr="00CB7CCC">
        <w:rPr>
          <w:rFonts w:cs="Arial"/>
          <w:sz w:val="18"/>
          <w:szCs w:val="18"/>
        </w:rPr>
        <w:t>12.</w:t>
      </w:r>
      <w:r w:rsidR="003E3CCF" w:rsidRPr="00CB7CCC">
        <w:rPr>
          <w:rFonts w:cs="Arial"/>
          <w:sz w:val="18"/>
          <w:szCs w:val="18"/>
        </w:rPr>
        <w:t>5</w:t>
      </w:r>
      <w:r w:rsidRPr="00CB7CCC">
        <w:rPr>
          <w:rFonts w:cs="Arial"/>
          <w:sz w:val="18"/>
          <w:szCs w:val="18"/>
        </w:rPr>
        <w:t>% to £</w:t>
      </w:r>
      <w:r w:rsidR="0051787E" w:rsidRPr="00CB7CCC">
        <w:rPr>
          <w:rFonts w:cs="Arial"/>
          <w:sz w:val="18"/>
          <w:szCs w:val="18"/>
        </w:rPr>
        <w:t>1,</w:t>
      </w:r>
      <w:r w:rsidR="003E3CCF" w:rsidRPr="00CB7CCC">
        <w:rPr>
          <w:rFonts w:cs="Arial"/>
          <w:sz w:val="18"/>
          <w:szCs w:val="18"/>
        </w:rPr>
        <w:t>264.7</w:t>
      </w:r>
      <w:r w:rsidRPr="00CB7CCC">
        <w:rPr>
          <w:rFonts w:cs="Arial"/>
          <w:sz w:val="18"/>
          <w:szCs w:val="18"/>
        </w:rPr>
        <w:t xml:space="preserve">m in </w:t>
      </w:r>
      <w:r w:rsidR="00AD2803" w:rsidRPr="00CB7CCC">
        <w:rPr>
          <w:rFonts w:cs="Arial"/>
          <w:sz w:val="18"/>
          <w:szCs w:val="18"/>
        </w:rPr>
        <w:t>FY20</w:t>
      </w:r>
      <w:r w:rsidRPr="00CB7CCC">
        <w:rPr>
          <w:rFonts w:cs="Arial"/>
          <w:sz w:val="18"/>
          <w:szCs w:val="18"/>
        </w:rPr>
        <w:t xml:space="preserve">. </w:t>
      </w:r>
      <w:r w:rsidR="00AD2803" w:rsidRPr="00CB7CCC">
        <w:rPr>
          <w:rFonts w:cs="Arial"/>
          <w:sz w:val="18"/>
          <w:szCs w:val="18"/>
        </w:rPr>
        <w:t>On a pro forma basis revenue decreased by</w:t>
      </w:r>
      <w:r w:rsidR="00BF1F21" w:rsidRPr="00CB7CCC">
        <w:rPr>
          <w:rFonts w:cs="Arial"/>
          <w:sz w:val="18"/>
          <w:szCs w:val="18"/>
        </w:rPr>
        <w:t xml:space="preserve"> 14.</w:t>
      </w:r>
      <w:r w:rsidR="002A6258" w:rsidRPr="00CB7CCC">
        <w:rPr>
          <w:rFonts w:cs="Arial"/>
          <w:sz w:val="18"/>
          <w:szCs w:val="18"/>
        </w:rPr>
        <w:t>3</w:t>
      </w:r>
      <w:r w:rsidR="00AD2803" w:rsidRPr="00CB7CCC">
        <w:rPr>
          <w:rFonts w:cs="Arial"/>
          <w:sz w:val="18"/>
          <w:szCs w:val="18"/>
        </w:rPr>
        <w:t xml:space="preserve">%, </w:t>
      </w:r>
      <w:r w:rsidRPr="00CB7CCC">
        <w:rPr>
          <w:rFonts w:cs="Arial"/>
          <w:sz w:val="18"/>
          <w:szCs w:val="18"/>
        </w:rPr>
        <w:t xml:space="preserve">after adjusting for the acquisition of </w:t>
      </w:r>
      <w:proofErr w:type="spellStart"/>
      <w:r w:rsidRPr="00CB7CCC">
        <w:rPr>
          <w:rFonts w:cs="Arial"/>
          <w:sz w:val="18"/>
          <w:szCs w:val="18"/>
        </w:rPr>
        <w:t>Freshtime</w:t>
      </w:r>
      <w:proofErr w:type="spellEnd"/>
      <w:r w:rsidRPr="00CB7CCC">
        <w:rPr>
          <w:rFonts w:cs="Arial"/>
          <w:sz w:val="18"/>
          <w:szCs w:val="18"/>
        </w:rPr>
        <w:t>, the exit of longer life ready meals manufacturing at the Kiveton facility in H1 19, and any movement in foreign exchange. Adjusted Operating Profit fell by</w:t>
      </w:r>
      <w:r w:rsidR="00F1379A" w:rsidRPr="00CB7CCC">
        <w:rPr>
          <w:rFonts w:cs="Arial"/>
          <w:sz w:val="18"/>
          <w:szCs w:val="18"/>
        </w:rPr>
        <w:t xml:space="preserve"> </w:t>
      </w:r>
      <w:r w:rsidR="002A6258" w:rsidRPr="00CB7CCC">
        <w:rPr>
          <w:rFonts w:cs="Arial"/>
          <w:sz w:val="18"/>
          <w:szCs w:val="18"/>
        </w:rPr>
        <w:t>69.2</w:t>
      </w:r>
      <w:r w:rsidRPr="00CB7CCC">
        <w:rPr>
          <w:rFonts w:cs="Arial"/>
          <w:sz w:val="18"/>
          <w:szCs w:val="18"/>
        </w:rPr>
        <w:t>% to £</w:t>
      </w:r>
      <w:r w:rsidR="002A6258" w:rsidRPr="00CB7CCC">
        <w:rPr>
          <w:rFonts w:cs="Arial"/>
          <w:sz w:val="18"/>
          <w:szCs w:val="18"/>
        </w:rPr>
        <w:t>32.5</w:t>
      </w:r>
      <w:r w:rsidRPr="00CB7CCC">
        <w:rPr>
          <w:rFonts w:cs="Arial"/>
          <w:sz w:val="18"/>
          <w:szCs w:val="18"/>
        </w:rPr>
        <w:t xml:space="preserve">m and Adjusted Operating Margin fell by </w:t>
      </w:r>
      <w:r w:rsidR="00F1379A" w:rsidRPr="00CB7CCC">
        <w:rPr>
          <w:rFonts w:cs="Arial"/>
          <w:sz w:val="18"/>
          <w:szCs w:val="18"/>
        </w:rPr>
        <w:t>4</w:t>
      </w:r>
      <w:r w:rsidR="002A6258" w:rsidRPr="00CB7CCC">
        <w:rPr>
          <w:rFonts w:cs="Arial"/>
          <w:sz w:val="18"/>
          <w:szCs w:val="18"/>
        </w:rPr>
        <w:t>7</w:t>
      </w:r>
      <w:r w:rsidR="00F1379A" w:rsidRPr="00CB7CCC">
        <w:rPr>
          <w:rFonts w:cs="Arial"/>
          <w:sz w:val="18"/>
          <w:szCs w:val="18"/>
        </w:rPr>
        <w:t>0b</w:t>
      </w:r>
      <w:r w:rsidRPr="00CB7CCC">
        <w:rPr>
          <w:rFonts w:cs="Arial"/>
          <w:sz w:val="18"/>
          <w:szCs w:val="18"/>
        </w:rPr>
        <w:t xml:space="preserve">ps to </w:t>
      </w:r>
      <w:r w:rsidR="00994019" w:rsidRPr="00CB7CCC">
        <w:rPr>
          <w:rFonts w:cs="Arial"/>
          <w:sz w:val="18"/>
          <w:szCs w:val="18"/>
        </w:rPr>
        <w:t>2.</w:t>
      </w:r>
      <w:r w:rsidR="002A6258" w:rsidRPr="00CB7CCC">
        <w:rPr>
          <w:rFonts w:cs="Arial"/>
          <w:sz w:val="18"/>
          <w:szCs w:val="18"/>
        </w:rPr>
        <w:t>6</w:t>
      </w:r>
      <w:r w:rsidRPr="00CB7CCC">
        <w:rPr>
          <w:rFonts w:cs="Arial"/>
          <w:sz w:val="18"/>
          <w:szCs w:val="18"/>
        </w:rPr>
        <w:t xml:space="preserve">%. </w:t>
      </w:r>
    </w:p>
    <w:p w14:paraId="2D9F0839" w14:textId="77777777" w:rsidR="007744D1" w:rsidRPr="00CB7CCC" w:rsidRDefault="00E9724C" w:rsidP="00ED0EF2">
      <w:pPr>
        <w:spacing w:after="120"/>
        <w:jc w:val="both"/>
        <w:rPr>
          <w:rFonts w:cs="Arial"/>
          <w:sz w:val="18"/>
          <w:szCs w:val="18"/>
        </w:rPr>
      </w:pPr>
      <w:r w:rsidRPr="00CB7CCC">
        <w:rPr>
          <w:rFonts w:cs="Arial"/>
          <w:sz w:val="18"/>
          <w:szCs w:val="18"/>
        </w:rPr>
        <w:t xml:space="preserve">The UK trading environment </w:t>
      </w:r>
      <w:r w:rsidR="009D2699" w:rsidRPr="00CB7CCC">
        <w:rPr>
          <w:rFonts w:cs="Arial"/>
          <w:sz w:val="18"/>
          <w:szCs w:val="18"/>
        </w:rPr>
        <w:t xml:space="preserve">had </w:t>
      </w:r>
      <w:r w:rsidRPr="00CB7CCC">
        <w:rPr>
          <w:rFonts w:cs="Arial"/>
          <w:sz w:val="18"/>
          <w:szCs w:val="18"/>
        </w:rPr>
        <w:t xml:space="preserve">demonstrated encouraging signs of improvement before </w:t>
      </w:r>
      <w:r w:rsidR="00203BA6" w:rsidRPr="00CB7CCC">
        <w:rPr>
          <w:rFonts w:cs="Arial"/>
          <w:sz w:val="18"/>
          <w:szCs w:val="18"/>
        </w:rPr>
        <w:t xml:space="preserve">the outbreak of COVID-19 in March and the related </w:t>
      </w:r>
      <w:r w:rsidRPr="00CB7CCC">
        <w:rPr>
          <w:rFonts w:cs="Arial"/>
          <w:sz w:val="18"/>
          <w:szCs w:val="18"/>
        </w:rPr>
        <w:t>imposition of social restriction</w:t>
      </w:r>
      <w:r w:rsidR="00203BA6" w:rsidRPr="00CB7CCC">
        <w:rPr>
          <w:rFonts w:cs="Arial"/>
          <w:sz w:val="18"/>
          <w:szCs w:val="18"/>
        </w:rPr>
        <w:t>s by the UK Government</w:t>
      </w:r>
      <w:r w:rsidRPr="00CB7CCC">
        <w:rPr>
          <w:rFonts w:cs="Arial"/>
          <w:sz w:val="18"/>
          <w:szCs w:val="18"/>
        </w:rPr>
        <w:t xml:space="preserve">. </w:t>
      </w:r>
      <w:r w:rsidR="001D743F" w:rsidRPr="00CB7CCC">
        <w:rPr>
          <w:rFonts w:cs="Arial"/>
          <w:sz w:val="18"/>
          <w:szCs w:val="18"/>
        </w:rPr>
        <w:t xml:space="preserve">The business was significantly impacted in March and April by the effect that these social restriction measures had on consumer demand, most particularly in food to go categories. While </w:t>
      </w:r>
      <w:r w:rsidR="00AD2803" w:rsidRPr="00CB7CCC">
        <w:rPr>
          <w:rFonts w:cs="Arial"/>
          <w:sz w:val="18"/>
          <w:szCs w:val="18"/>
        </w:rPr>
        <w:t xml:space="preserve">UK consumer sentiment and broader </w:t>
      </w:r>
      <w:r w:rsidRPr="00CB7CCC">
        <w:rPr>
          <w:rFonts w:cs="Arial"/>
          <w:sz w:val="18"/>
          <w:szCs w:val="18"/>
        </w:rPr>
        <w:t xml:space="preserve">economic activity </w:t>
      </w:r>
      <w:r w:rsidR="001D743F" w:rsidRPr="00CB7CCC">
        <w:rPr>
          <w:rFonts w:cs="Arial"/>
          <w:sz w:val="18"/>
          <w:szCs w:val="18"/>
        </w:rPr>
        <w:t xml:space="preserve">remained </w:t>
      </w:r>
      <w:r w:rsidRPr="00CB7CCC">
        <w:rPr>
          <w:rFonts w:cs="Arial"/>
          <w:sz w:val="18"/>
          <w:szCs w:val="18"/>
        </w:rPr>
        <w:t>both fragile and subdued</w:t>
      </w:r>
      <w:r w:rsidR="009D2699" w:rsidRPr="00CB7CCC">
        <w:rPr>
          <w:rFonts w:cs="Arial"/>
          <w:sz w:val="18"/>
          <w:szCs w:val="18"/>
        </w:rPr>
        <w:t>, t</w:t>
      </w:r>
      <w:r w:rsidR="001D743F" w:rsidRPr="00CB7CCC">
        <w:rPr>
          <w:rFonts w:cs="Arial"/>
          <w:sz w:val="18"/>
          <w:szCs w:val="18"/>
        </w:rPr>
        <w:t>he Group saw a progressive uplift in demand as the economy slowly reopened and as customers reset product ranges, formats and service models to this new environment.</w:t>
      </w:r>
    </w:p>
    <w:p w14:paraId="4DAD6043" w14:textId="77777777" w:rsidR="007744D1" w:rsidRPr="00CB7CCC" w:rsidRDefault="001D743F" w:rsidP="00ED0EF2">
      <w:pPr>
        <w:spacing w:after="120"/>
        <w:jc w:val="both"/>
        <w:rPr>
          <w:rFonts w:cs="Arial"/>
          <w:sz w:val="18"/>
          <w:szCs w:val="18"/>
        </w:rPr>
      </w:pPr>
      <w:r w:rsidRPr="00CB7CCC">
        <w:rPr>
          <w:rFonts w:cs="Arial"/>
          <w:sz w:val="18"/>
          <w:szCs w:val="18"/>
        </w:rPr>
        <w:t xml:space="preserve">FY20 </w:t>
      </w:r>
      <w:r w:rsidR="007744D1" w:rsidRPr="00CB7CCC">
        <w:rPr>
          <w:rFonts w:cs="Arial"/>
          <w:sz w:val="18"/>
          <w:szCs w:val="18"/>
        </w:rPr>
        <w:t xml:space="preserve">revenue in the Group’s food to go categories (comprising sandwiches, salads, </w:t>
      </w:r>
      <w:proofErr w:type="gramStart"/>
      <w:r w:rsidR="007744D1" w:rsidRPr="00CB7CCC">
        <w:rPr>
          <w:rFonts w:cs="Arial"/>
          <w:sz w:val="18"/>
          <w:szCs w:val="18"/>
        </w:rPr>
        <w:t>sushi</w:t>
      </w:r>
      <w:proofErr w:type="gramEnd"/>
      <w:r w:rsidR="007744D1" w:rsidRPr="00CB7CCC">
        <w:rPr>
          <w:rFonts w:cs="Arial"/>
          <w:sz w:val="18"/>
          <w:szCs w:val="18"/>
        </w:rPr>
        <w:t xml:space="preserve"> and chilled snacking) totalled £</w:t>
      </w:r>
      <w:r w:rsidR="00994019" w:rsidRPr="00CB7CCC">
        <w:rPr>
          <w:rFonts w:cs="Arial"/>
          <w:sz w:val="18"/>
          <w:szCs w:val="18"/>
        </w:rPr>
        <w:t>7</w:t>
      </w:r>
      <w:r w:rsidR="002B3CC7" w:rsidRPr="00CB7CCC">
        <w:rPr>
          <w:rFonts w:cs="Arial"/>
          <w:sz w:val="18"/>
          <w:szCs w:val="18"/>
        </w:rPr>
        <w:t>72.9</w:t>
      </w:r>
      <w:r w:rsidR="007744D1" w:rsidRPr="00CB7CCC">
        <w:rPr>
          <w:rFonts w:cs="Arial"/>
          <w:sz w:val="18"/>
          <w:szCs w:val="18"/>
        </w:rPr>
        <w:t xml:space="preserve">m and accounted for approximately </w:t>
      </w:r>
      <w:r w:rsidR="00D92F01" w:rsidRPr="00CB7CCC">
        <w:rPr>
          <w:rFonts w:cs="Arial"/>
          <w:sz w:val="18"/>
          <w:szCs w:val="18"/>
        </w:rPr>
        <w:t>61</w:t>
      </w:r>
      <w:r w:rsidR="007744D1" w:rsidRPr="00CB7CCC">
        <w:rPr>
          <w:rFonts w:cs="Arial"/>
          <w:sz w:val="18"/>
          <w:szCs w:val="18"/>
        </w:rPr>
        <w:t xml:space="preserve">% of reported revenue. Reported revenues </w:t>
      </w:r>
      <w:r w:rsidR="00166BAE" w:rsidRPr="00CB7CCC">
        <w:rPr>
          <w:rFonts w:cs="Arial"/>
          <w:sz w:val="18"/>
          <w:szCs w:val="18"/>
        </w:rPr>
        <w:t>declined</w:t>
      </w:r>
      <w:r w:rsidR="007744D1" w:rsidRPr="00CB7CCC">
        <w:rPr>
          <w:rFonts w:cs="Arial"/>
          <w:sz w:val="18"/>
          <w:szCs w:val="18"/>
        </w:rPr>
        <w:t xml:space="preserve"> by </w:t>
      </w:r>
      <w:r w:rsidR="00D92F01" w:rsidRPr="00CB7CCC">
        <w:rPr>
          <w:rFonts w:cs="Arial"/>
          <w:sz w:val="18"/>
          <w:szCs w:val="18"/>
        </w:rPr>
        <w:t>19.</w:t>
      </w:r>
      <w:r w:rsidR="002B3CC7" w:rsidRPr="00CB7CCC">
        <w:rPr>
          <w:rFonts w:cs="Arial"/>
          <w:sz w:val="18"/>
          <w:szCs w:val="18"/>
        </w:rPr>
        <w:t>7</w:t>
      </w:r>
      <w:r w:rsidR="007744D1" w:rsidRPr="00CB7CCC">
        <w:rPr>
          <w:rFonts w:cs="Arial"/>
          <w:sz w:val="18"/>
          <w:szCs w:val="18"/>
        </w:rPr>
        <w:t xml:space="preserve">% in these categories, </w:t>
      </w:r>
      <w:r w:rsidR="00166BAE" w:rsidRPr="00CB7CCC">
        <w:rPr>
          <w:rFonts w:cs="Arial"/>
          <w:sz w:val="18"/>
          <w:szCs w:val="18"/>
        </w:rPr>
        <w:t xml:space="preserve">driven by </w:t>
      </w:r>
      <w:r w:rsidR="000E77E9" w:rsidRPr="00CB7CCC">
        <w:rPr>
          <w:rFonts w:cs="Arial"/>
          <w:sz w:val="18"/>
          <w:szCs w:val="18"/>
        </w:rPr>
        <w:t>the impact of COVID-19</w:t>
      </w:r>
      <w:r w:rsidR="00166BAE" w:rsidRPr="00CB7CCC">
        <w:rPr>
          <w:rFonts w:cs="Arial"/>
          <w:sz w:val="18"/>
          <w:szCs w:val="18"/>
        </w:rPr>
        <w:t xml:space="preserve"> and partly offset by the </w:t>
      </w:r>
      <w:r w:rsidR="007744D1" w:rsidRPr="00CB7CCC">
        <w:rPr>
          <w:rFonts w:cs="Arial"/>
          <w:sz w:val="18"/>
          <w:szCs w:val="18"/>
        </w:rPr>
        <w:t xml:space="preserve">acquisition of </w:t>
      </w:r>
      <w:proofErr w:type="spellStart"/>
      <w:r w:rsidR="007744D1" w:rsidRPr="00CB7CCC">
        <w:rPr>
          <w:rFonts w:cs="Arial"/>
          <w:sz w:val="18"/>
          <w:szCs w:val="18"/>
        </w:rPr>
        <w:t>Freshtime</w:t>
      </w:r>
      <w:proofErr w:type="spellEnd"/>
      <w:r w:rsidR="007744D1" w:rsidRPr="00CB7CCC">
        <w:rPr>
          <w:rFonts w:cs="Arial"/>
          <w:sz w:val="18"/>
          <w:szCs w:val="18"/>
        </w:rPr>
        <w:t xml:space="preserve">. </w:t>
      </w:r>
      <w:r w:rsidR="00166BAE" w:rsidRPr="00CB7CCC">
        <w:rPr>
          <w:rFonts w:cs="Arial"/>
          <w:sz w:val="18"/>
          <w:szCs w:val="18"/>
        </w:rPr>
        <w:t xml:space="preserve">Adjusting for </w:t>
      </w:r>
      <w:r w:rsidR="007744D1" w:rsidRPr="00CB7CCC">
        <w:rPr>
          <w:rFonts w:cs="Arial"/>
          <w:sz w:val="18"/>
          <w:szCs w:val="18"/>
        </w:rPr>
        <w:t xml:space="preserve">this acquisition, Pro Forma Revenue declined by </w:t>
      </w:r>
      <w:r w:rsidR="00F1379A" w:rsidRPr="00CB7CCC">
        <w:rPr>
          <w:rFonts w:cs="Arial"/>
          <w:sz w:val="18"/>
          <w:szCs w:val="18"/>
        </w:rPr>
        <w:t>22.</w:t>
      </w:r>
      <w:r w:rsidR="00BC2100" w:rsidRPr="00CB7CCC">
        <w:rPr>
          <w:rFonts w:cs="Arial"/>
          <w:sz w:val="18"/>
          <w:szCs w:val="18"/>
        </w:rPr>
        <w:t>6</w:t>
      </w:r>
      <w:r w:rsidR="007744D1" w:rsidRPr="00CB7CCC">
        <w:rPr>
          <w:rFonts w:cs="Arial"/>
          <w:sz w:val="18"/>
          <w:szCs w:val="18"/>
        </w:rPr>
        <w:t xml:space="preserve">%. </w:t>
      </w:r>
    </w:p>
    <w:p w14:paraId="75DB0344" w14:textId="1E2F8F3A" w:rsidR="00C70366" w:rsidRPr="00CB7CCC" w:rsidRDefault="007744D1" w:rsidP="00ED0EF2">
      <w:pPr>
        <w:tabs>
          <w:tab w:val="num" w:pos="426"/>
        </w:tabs>
        <w:spacing w:after="120"/>
        <w:jc w:val="both"/>
        <w:rPr>
          <w:rFonts w:cs="Arial"/>
          <w:sz w:val="18"/>
          <w:szCs w:val="18"/>
        </w:rPr>
      </w:pPr>
      <w:r w:rsidRPr="00CB7CCC">
        <w:rPr>
          <w:rFonts w:cs="Arial"/>
          <w:sz w:val="18"/>
          <w:szCs w:val="18"/>
        </w:rPr>
        <w:t xml:space="preserve">Underlying product revenue growth in food to go categories was broadly in line with plan for most of H1 20. </w:t>
      </w:r>
      <w:r w:rsidR="00166BAE" w:rsidRPr="00CB7CCC">
        <w:rPr>
          <w:rFonts w:cs="Arial"/>
          <w:sz w:val="18"/>
          <w:szCs w:val="18"/>
        </w:rPr>
        <w:t>From the middle of March, t</w:t>
      </w:r>
      <w:r w:rsidRPr="00CB7CCC">
        <w:rPr>
          <w:rFonts w:cs="Arial"/>
          <w:sz w:val="18"/>
          <w:szCs w:val="18"/>
        </w:rPr>
        <w:t xml:space="preserve">rading </w:t>
      </w:r>
      <w:r w:rsidR="00166BAE" w:rsidRPr="00CB7CCC">
        <w:rPr>
          <w:rFonts w:cs="Arial"/>
          <w:sz w:val="18"/>
          <w:szCs w:val="18"/>
        </w:rPr>
        <w:t xml:space="preserve">was </w:t>
      </w:r>
      <w:r w:rsidRPr="00CB7CCC">
        <w:rPr>
          <w:rFonts w:cs="Arial"/>
          <w:sz w:val="18"/>
          <w:szCs w:val="18"/>
        </w:rPr>
        <w:t xml:space="preserve">negatively impacted by significantly reduced demand in grocery retail, as well as the restrictions on trading activity applied to other convenience and food service channels. </w:t>
      </w:r>
      <w:r w:rsidR="00C70366" w:rsidRPr="00CB7CCC">
        <w:rPr>
          <w:rFonts w:cs="Arial"/>
          <w:sz w:val="18"/>
          <w:szCs w:val="18"/>
        </w:rPr>
        <w:t xml:space="preserve">Underlying demand improved </w:t>
      </w:r>
      <w:r w:rsidR="004217C0" w:rsidRPr="00CB7CCC">
        <w:rPr>
          <w:rFonts w:cs="Arial"/>
          <w:sz w:val="18"/>
          <w:szCs w:val="18"/>
        </w:rPr>
        <w:t xml:space="preserve">gradually </w:t>
      </w:r>
      <w:r w:rsidR="00C70366" w:rsidRPr="00CB7CCC">
        <w:rPr>
          <w:rFonts w:cs="Arial"/>
          <w:sz w:val="18"/>
          <w:szCs w:val="18"/>
        </w:rPr>
        <w:t xml:space="preserve">through the second half. Pro forma revenue for food to go categories in Q4 was </w:t>
      </w:r>
      <w:r w:rsidR="000454DA">
        <w:rPr>
          <w:rFonts w:cs="Arial"/>
          <w:sz w:val="18"/>
          <w:szCs w:val="18"/>
        </w:rPr>
        <w:t>29</w:t>
      </w:r>
      <w:r w:rsidR="00C70366" w:rsidRPr="00CB7CCC">
        <w:rPr>
          <w:rFonts w:cs="Arial"/>
          <w:sz w:val="18"/>
          <w:szCs w:val="18"/>
        </w:rPr>
        <w:t xml:space="preserve">% below prior year levels, an improvement on the 53% reduction in Q3. </w:t>
      </w:r>
    </w:p>
    <w:p w14:paraId="5B5E3BA6" w14:textId="22136BBA" w:rsidR="007744D1" w:rsidRPr="00CB7CCC" w:rsidRDefault="007744D1" w:rsidP="00ED0EF2">
      <w:pPr>
        <w:spacing w:after="120"/>
        <w:jc w:val="both"/>
        <w:rPr>
          <w:rFonts w:cs="Arial"/>
          <w:sz w:val="18"/>
          <w:szCs w:val="18"/>
        </w:rPr>
      </w:pPr>
      <w:r w:rsidRPr="00CB7CCC">
        <w:rPr>
          <w:rFonts w:cs="Arial"/>
          <w:sz w:val="18"/>
          <w:szCs w:val="18"/>
        </w:rPr>
        <w:t xml:space="preserve">Revenue for the distribution of </w:t>
      </w:r>
      <w:proofErr w:type="gramStart"/>
      <w:r w:rsidRPr="00CB7CCC">
        <w:rPr>
          <w:rFonts w:cs="Arial"/>
          <w:sz w:val="18"/>
          <w:szCs w:val="18"/>
        </w:rPr>
        <w:t>third party</w:t>
      </w:r>
      <w:proofErr w:type="gramEnd"/>
      <w:r w:rsidRPr="00CB7CCC">
        <w:rPr>
          <w:rFonts w:cs="Arial"/>
          <w:sz w:val="18"/>
          <w:szCs w:val="18"/>
        </w:rPr>
        <w:t xml:space="preserve"> products accounted for approximately </w:t>
      </w:r>
      <w:r w:rsidR="00B17564" w:rsidRPr="00CB7CCC">
        <w:rPr>
          <w:rFonts w:cs="Arial"/>
          <w:sz w:val="18"/>
          <w:szCs w:val="18"/>
        </w:rPr>
        <w:t>6</w:t>
      </w:r>
      <w:r w:rsidRPr="00CB7CCC">
        <w:rPr>
          <w:rFonts w:cs="Arial"/>
          <w:sz w:val="18"/>
          <w:szCs w:val="18"/>
        </w:rPr>
        <w:t>% of Group revenue</w:t>
      </w:r>
      <w:r w:rsidR="00FE6030" w:rsidRPr="00CB7CCC">
        <w:rPr>
          <w:rFonts w:cs="Arial"/>
          <w:sz w:val="18"/>
          <w:szCs w:val="18"/>
        </w:rPr>
        <w:t xml:space="preserve"> </w:t>
      </w:r>
      <w:r w:rsidR="00C70366" w:rsidRPr="00CB7CCC">
        <w:rPr>
          <w:rFonts w:cs="Arial"/>
          <w:sz w:val="18"/>
          <w:szCs w:val="18"/>
        </w:rPr>
        <w:t xml:space="preserve">in FY20 </w:t>
      </w:r>
      <w:r w:rsidR="00FE6030" w:rsidRPr="00CB7CCC">
        <w:rPr>
          <w:rFonts w:cs="Arial"/>
          <w:sz w:val="18"/>
          <w:szCs w:val="18"/>
        </w:rPr>
        <w:t>and benefitted from new customer wins in the period</w:t>
      </w:r>
      <w:r w:rsidRPr="00CB7CCC">
        <w:rPr>
          <w:rFonts w:cs="Arial"/>
          <w:sz w:val="18"/>
          <w:szCs w:val="18"/>
        </w:rPr>
        <w:t xml:space="preserve">. Following the acquisition of </w:t>
      </w:r>
      <w:proofErr w:type="spellStart"/>
      <w:r w:rsidRPr="00CB7CCC">
        <w:rPr>
          <w:rFonts w:cs="Arial"/>
          <w:sz w:val="18"/>
          <w:szCs w:val="18"/>
        </w:rPr>
        <w:t>Freshtime</w:t>
      </w:r>
      <w:proofErr w:type="spellEnd"/>
      <w:r w:rsidRPr="00CB7CCC">
        <w:rPr>
          <w:rFonts w:cs="Arial"/>
          <w:sz w:val="18"/>
          <w:szCs w:val="18"/>
        </w:rPr>
        <w:t xml:space="preserve"> in September 2019, revenue from its products that were previously distributed by Greencore is now classified as underlying product revenue. </w:t>
      </w:r>
    </w:p>
    <w:p w14:paraId="684C9B50" w14:textId="77777777" w:rsidR="007744D1" w:rsidRPr="00CB7CCC" w:rsidRDefault="007744D1" w:rsidP="00ED0EF2">
      <w:pPr>
        <w:spacing w:after="120"/>
        <w:jc w:val="both"/>
        <w:rPr>
          <w:rFonts w:cs="Arial"/>
          <w:sz w:val="18"/>
          <w:szCs w:val="18"/>
        </w:rPr>
      </w:pPr>
      <w:r w:rsidRPr="00CB7CCC">
        <w:rPr>
          <w:rFonts w:cs="Arial"/>
          <w:sz w:val="18"/>
          <w:szCs w:val="18"/>
        </w:rPr>
        <w:t xml:space="preserve">The Group’s other convenience categories comprise activities in the chilled ready meals, chilled soups and sauces, chilled quiche, ambient sauces and pickles, and frozen Yorkshire Pudding categories, as well as Irish ingredients trading businesses. Reported revenue across these businesses increased by </w:t>
      </w:r>
      <w:r w:rsidR="00D92F01" w:rsidRPr="00CB7CCC">
        <w:rPr>
          <w:rFonts w:cs="Arial"/>
          <w:sz w:val="18"/>
          <w:szCs w:val="18"/>
        </w:rPr>
        <w:t>1.7</w:t>
      </w:r>
      <w:r w:rsidRPr="00CB7CCC">
        <w:rPr>
          <w:rFonts w:cs="Arial"/>
          <w:sz w:val="18"/>
          <w:szCs w:val="18"/>
        </w:rPr>
        <w:t>% to £</w:t>
      </w:r>
      <w:r w:rsidR="00994019" w:rsidRPr="00CB7CCC">
        <w:rPr>
          <w:rFonts w:cs="Arial"/>
          <w:sz w:val="18"/>
          <w:szCs w:val="18"/>
        </w:rPr>
        <w:t>491.8</w:t>
      </w:r>
      <w:r w:rsidR="00994019" w:rsidRPr="00CB7CCC" w:rsidDel="00994019">
        <w:rPr>
          <w:rFonts w:cs="Arial"/>
          <w:sz w:val="18"/>
          <w:szCs w:val="18"/>
        </w:rPr>
        <w:t xml:space="preserve"> </w:t>
      </w:r>
      <w:r w:rsidRPr="00CB7CCC">
        <w:rPr>
          <w:rFonts w:cs="Arial"/>
          <w:sz w:val="18"/>
          <w:szCs w:val="18"/>
        </w:rPr>
        <w:t>m</w:t>
      </w:r>
      <w:r w:rsidR="000E77E9" w:rsidRPr="00CB7CCC">
        <w:rPr>
          <w:rFonts w:cs="Arial"/>
          <w:sz w:val="18"/>
          <w:szCs w:val="18"/>
        </w:rPr>
        <w:t xml:space="preserve"> in FY20</w:t>
      </w:r>
      <w:r w:rsidRPr="00CB7CCC">
        <w:rPr>
          <w:rFonts w:cs="Arial"/>
          <w:sz w:val="18"/>
          <w:szCs w:val="18"/>
        </w:rPr>
        <w:t xml:space="preserve">. Pro Forma Revenue increased by </w:t>
      </w:r>
      <w:r w:rsidR="00F1379A" w:rsidRPr="00CB7CCC">
        <w:rPr>
          <w:rFonts w:cs="Arial"/>
          <w:sz w:val="18"/>
          <w:szCs w:val="18"/>
        </w:rPr>
        <w:t>3.2</w:t>
      </w:r>
      <w:r w:rsidRPr="00CB7CCC">
        <w:rPr>
          <w:rFonts w:cs="Arial"/>
          <w:sz w:val="18"/>
          <w:szCs w:val="18"/>
        </w:rPr>
        <w:t xml:space="preserve">%, </w:t>
      </w:r>
      <w:r w:rsidR="000E77E9" w:rsidRPr="00CB7CCC">
        <w:rPr>
          <w:rFonts w:cs="Arial"/>
          <w:sz w:val="18"/>
          <w:szCs w:val="18"/>
        </w:rPr>
        <w:t>after</w:t>
      </w:r>
      <w:r w:rsidRPr="00CB7CCC">
        <w:rPr>
          <w:rFonts w:cs="Arial"/>
          <w:sz w:val="18"/>
          <w:szCs w:val="18"/>
        </w:rPr>
        <w:t xml:space="preserve"> adjusting for movements in foreign exchange and excluding sites that have ceased trading. This was driven by strong growth in </w:t>
      </w:r>
      <w:r w:rsidR="00FC492D" w:rsidRPr="00CB7CCC">
        <w:rPr>
          <w:rFonts w:cs="Arial"/>
          <w:sz w:val="18"/>
          <w:szCs w:val="18"/>
        </w:rPr>
        <w:t>the Group’s cooking sauce business through the second half of the year, while revenue in the ready meals business was broadly unchanged</w:t>
      </w:r>
      <w:r w:rsidRPr="00CB7CCC">
        <w:rPr>
          <w:rFonts w:cs="Arial"/>
          <w:sz w:val="18"/>
          <w:szCs w:val="18"/>
        </w:rPr>
        <w:t xml:space="preserve">. Revenue in the Group’s Irish ingredients trading businesses </w:t>
      </w:r>
      <w:r w:rsidR="00FC492D" w:rsidRPr="00CB7CCC">
        <w:rPr>
          <w:rFonts w:cs="Arial"/>
          <w:sz w:val="18"/>
          <w:szCs w:val="18"/>
        </w:rPr>
        <w:t xml:space="preserve">increased </w:t>
      </w:r>
      <w:r w:rsidRPr="00CB7CCC">
        <w:rPr>
          <w:rFonts w:cs="Arial"/>
          <w:sz w:val="18"/>
          <w:szCs w:val="18"/>
        </w:rPr>
        <w:t xml:space="preserve">modestly in </w:t>
      </w:r>
      <w:r w:rsidR="00FC492D" w:rsidRPr="00CB7CCC">
        <w:rPr>
          <w:rFonts w:cs="Arial"/>
          <w:sz w:val="18"/>
          <w:szCs w:val="18"/>
        </w:rPr>
        <w:t>FY20</w:t>
      </w:r>
      <w:r w:rsidRPr="00CB7CCC">
        <w:rPr>
          <w:rFonts w:cs="Arial"/>
          <w:sz w:val="18"/>
          <w:szCs w:val="18"/>
        </w:rPr>
        <w:t xml:space="preserve">. </w:t>
      </w:r>
    </w:p>
    <w:p w14:paraId="3EEEEE27" w14:textId="77777777" w:rsidR="007744D1" w:rsidRPr="00CB7CCC" w:rsidRDefault="007744D1" w:rsidP="00ED0EF2">
      <w:pPr>
        <w:spacing w:after="120"/>
        <w:jc w:val="both"/>
        <w:rPr>
          <w:rFonts w:cs="Arial"/>
          <w:sz w:val="18"/>
          <w:szCs w:val="18"/>
        </w:rPr>
      </w:pPr>
      <w:r w:rsidRPr="00CB7CCC">
        <w:rPr>
          <w:rFonts w:cs="Arial"/>
          <w:sz w:val="18"/>
          <w:szCs w:val="18"/>
        </w:rPr>
        <w:t xml:space="preserve">Inflation trends in the Group’s main UK cost components were broadly as anticipated. Raw material and packaging costs rose by </w:t>
      </w:r>
      <w:r w:rsidR="00BC2100" w:rsidRPr="00CB7CCC">
        <w:rPr>
          <w:rFonts w:cs="Arial"/>
          <w:sz w:val="18"/>
          <w:szCs w:val="18"/>
        </w:rPr>
        <w:t>less than</w:t>
      </w:r>
      <w:r w:rsidRPr="00CB7CCC">
        <w:rPr>
          <w:rFonts w:cs="Arial"/>
          <w:sz w:val="18"/>
          <w:szCs w:val="18"/>
        </w:rPr>
        <w:t xml:space="preserve"> </w:t>
      </w:r>
      <w:r w:rsidR="00166B4C" w:rsidRPr="00CB7CCC">
        <w:rPr>
          <w:rFonts w:cs="Arial"/>
          <w:sz w:val="18"/>
          <w:szCs w:val="18"/>
        </w:rPr>
        <w:t>1</w:t>
      </w:r>
      <w:r w:rsidRPr="00CB7CCC">
        <w:rPr>
          <w:rFonts w:cs="Arial"/>
          <w:sz w:val="18"/>
          <w:szCs w:val="18"/>
        </w:rPr>
        <w:t xml:space="preserve">% in </w:t>
      </w:r>
      <w:r w:rsidR="00FE6030" w:rsidRPr="00CB7CCC">
        <w:rPr>
          <w:rFonts w:cs="Arial"/>
          <w:sz w:val="18"/>
          <w:szCs w:val="18"/>
        </w:rPr>
        <w:t>FY20</w:t>
      </w:r>
      <w:r w:rsidRPr="00CB7CCC">
        <w:rPr>
          <w:rFonts w:cs="Arial"/>
          <w:sz w:val="18"/>
          <w:szCs w:val="18"/>
        </w:rPr>
        <w:t xml:space="preserve">. Direct labour inflation </w:t>
      </w:r>
      <w:r w:rsidR="00D633C8" w:rsidRPr="00CB7CCC">
        <w:rPr>
          <w:rFonts w:cs="Arial"/>
          <w:sz w:val="18"/>
          <w:szCs w:val="18"/>
        </w:rPr>
        <w:t>was</w:t>
      </w:r>
      <w:r w:rsidRPr="00CB7CCC">
        <w:rPr>
          <w:rFonts w:cs="Arial"/>
          <w:sz w:val="18"/>
          <w:szCs w:val="18"/>
        </w:rPr>
        <w:t xml:space="preserve"> approximately</w:t>
      </w:r>
      <w:r w:rsidR="001151BA" w:rsidRPr="00CB7CCC">
        <w:rPr>
          <w:rFonts w:cs="Arial"/>
          <w:sz w:val="18"/>
          <w:szCs w:val="18"/>
        </w:rPr>
        <w:t xml:space="preserve"> 5</w:t>
      </w:r>
      <w:r w:rsidRPr="00CB7CCC">
        <w:rPr>
          <w:rFonts w:cs="Arial"/>
          <w:sz w:val="18"/>
          <w:szCs w:val="18"/>
        </w:rPr>
        <w:t xml:space="preserve">%. </w:t>
      </w:r>
    </w:p>
    <w:p w14:paraId="191CA032" w14:textId="38E002A6" w:rsidR="003B7495" w:rsidRPr="00CB7CCC" w:rsidRDefault="007744D1" w:rsidP="00ED0EF2">
      <w:pPr>
        <w:spacing w:after="120"/>
        <w:jc w:val="both"/>
        <w:rPr>
          <w:rFonts w:cs="Arial"/>
          <w:sz w:val="18"/>
          <w:szCs w:val="18"/>
        </w:rPr>
      </w:pPr>
      <w:r w:rsidRPr="00CB7CCC">
        <w:rPr>
          <w:rFonts w:cs="Arial"/>
          <w:sz w:val="18"/>
          <w:szCs w:val="18"/>
        </w:rPr>
        <w:t xml:space="preserve">Overall, </w:t>
      </w:r>
      <w:r w:rsidR="00A26502" w:rsidRPr="00CB7CCC">
        <w:rPr>
          <w:rFonts w:cs="Arial"/>
          <w:sz w:val="18"/>
          <w:szCs w:val="18"/>
        </w:rPr>
        <w:t xml:space="preserve">Group Operating Profit declined from £99.8m to £12.9m. </w:t>
      </w:r>
      <w:r w:rsidRPr="00CB7CCC">
        <w:rPr>
          <w:rFonts w:cs="Arial"/>
          <w:sz w:val="18"/>
          <w:szCs w:val="18"/>
        </w:rPr>
        <w:t>Adjusted Operating Profit declined by £</w:t>
      </w:r>
      <w:r w:rsidR="00CA6D7C" w:rsidRPr="00CB7CCC">
        <w:rPr>
          <w:rFonts w:cs="Arial"/>
          <w:sz w:val="18"/>
          <w:szCs w:val="18"/>
        </w:rPr>
        <w:t>7</w:t>
      </w:r>
      <w:r w:rsidR="00596788" w:rsidRPr="00CB7CCC">
        <w:rPr>
          <w:rFonts w:cs="Arial"/>
          <w:sz w:val="18"/>
          <w:szCs w:val="18"/>
        </w:rPr>
        <w:t>3.0</w:t>
      </w:r>
      <w:r w:rsidRPr="00CB7CCC">
        <w:rPr>
          <w:rFonts w:cs="Arial"/>
          <w:sz w:val="18"/>
          <w:szCs w:val="18"/>
        </w:rPr>
        <w:t>m to £</w:t>
      </w:r>
      <w:r w:rsidR="00994019" w:rsidRPr="00CB7CCC">
        <w:rPr>
          <w:rFonts w:cs="Arial"/>
          <w:sz w:val="18"/>
          <w:szCs w:val="18"/>
        </w:rPr>
        <w:t>3</w:t>
      </w:r>
      <w:r w:rsidR="002A6258" w:rsidRPr="00CB7CCC">
        <w:rPr>
          <w:rFonts w:cs="Arial"/>
          <w:sz w:val="18"/>
          <w:szCs w:val="18"/>
        </w:rPr>
        <w:t>2.5</w:t>
      </w:r>
      <w:r w:rsidRPr="00CB7CCC">
        <w:rPr>
          <w:rFonts w:cs="Arial"/>
          <w:sz w:val="18"/>
          <w:szCs w:val="18"/>
        </w:rPr>
        <w:t>m</w:t>
      </w:r>
      <w:r w:rsidR="00A26502" w:rsidRPr="00CB7CCC">
        <w:rPr>
          <w:rFonts w:cs="Arial"/>
          <w:sz w:val="18"/>
          <w:szCs w:val="18"/>
        </w:rPr>
        <w:t xml:space="preserve">, </w:t>
      </w:r>
      <w:r w:rsidR="008D4EB2" w:rsidRPr="00CB7CCC">
        <w:rPr>
          <w:rFonts w:cs="Arial"/>
          <w:sz w:val="18"/>
          <w:szCs w:val="18"/>
        </w:rPr>
        <w:t>after charging £1</w:t>
      </w:r>
      <w:r w:rsidR="006F671F">
        <w:rPr>
          <w:rFonts w:cs="Arial"/>
          <w:sz w:val="18"/>
          <w:szCs w:val="18"/>
        </w:rPr>
        <w:t>0.7</w:t>
      </w:r>
      <w:r w:rsidR="008D4EB2" w:rsidRPr="00CB7CCC">
        <w:rPr>
          <w:rFonts w:cs="Arial"/>
          <w:sz w:val="18"/>
          <w:szCs w:val="18"/>
        </w:rPr>
        <w:t xml:space="preserve">m of COVID-19 related operating costs. </w:t>
      </w:r>
      <w:r w:rsidR="00FE6030" w:rsidRPr="00CB7CCC">
        <w:rPr>
          <w:rFonts w:cs="Arial"/>
          <w:sz w:val="18"/>
          <w:szCs w:val="18"/>
        </w:rPr>
        <w:t>The Group experienced a decline in profitability i</w:t>
      </w:r>
      <w:r w:rsidRPr="00CB7CCC">
        <w:rPr>
          <w:rFonts w:cs="Arial"/>
          <w:sz w:val="18"/>
          <w:szCs w:val="18"/>
        </w:rPr>
        <w:t xml:space="preserve">n its food to go categories, </w:t>
      </w:r>
      <w:r w:rsidR="00FE6030" w:rsidRPr="00CB7CCC">
        <w:rPr>
          <w:rFonts w:cs="Arial"/>
          <w:sz w:val="18"/>
          <w:szCs w:val="18"/>
        </w:rPr>
        <w:t xml:space="preserve">reflecting the significant </w:t>
      </w:r>
      <w:r w:rsidR="0073627A" w:rsidRPr="00CB7CCC">
        <w:rPr>
          <w:rFonts w:cs="Arial"/>
          <w:sz w:val="18"/>
          <w:szCs w:val="18"/>
        </w:rPr>
        <w:t xml:space="preserve">revenue </w:t>
      </w:r>
      <w:r w:rsidR="00FE6030" w:rsidRPr="00CB7CCC">
        <w:rPr>
          <w:rFonts w:cs="Arial"/>
          <w:sz w:val="18"/>
          <w:szCs w:val="18"/>
        </w:rPr>
        <w:t xml:space="preserve">reduction in the second half of the year that was only partly offset by associated cost mitigating measures and </w:t>
      </w:r>
      <w:r w:rsidRPr="00CB7CCC">
        <w:rPr>
          <w:rFonts w:cs="Arial"/>
          <w:sz w:val="18"/>
          <w:szCs w:val="18"/>
        </w:rPr>
        <w:t xml:space="preserve">the </w:t>
      </w:r>
      <w:r w:rsidR="00FE6030" w:rsidRPr="00CB7CCC">
        <w:rPr>
          <w:rFonts w:cs="Arial"/>
          <w:sz w:val="18"/>
          <w:szCs w:val="18"/>
        </w:rPr>
        <w:t xml:space="preserve">first full year contribution from the acquisition </w:t>
      </w:r>
      <w:r w:rsidRPr="00CB7CCC">
        <w:rPr>
          <w:rFonts w:cs="Arial"/>
          <w:sz w:val="18"/>
          <w:szCs w:val="18"/>
        </w:rPr>
        <w:t xml:space="preserve">of the </w:t>
      </w:r>
      <w:proofErr w:type="spellStart"/>
      <w:r w:rsidRPr="00CB7CCC">
        <w:rPr>
          <w:rFonts w:cs="Arial"/>
          <w:sz w:val="18"/>
          <w:szCs w:val="18"/>
        </w:rPr>
        <w:t>Freshtime</w:t>
      </w:r>
      <w:proofErr w:type="spellEnd"/>
      <w:r w:rsidR="00FE6030" w:rsidRPr="00CB7CCC">
        <w:rPr>
          <w:rFonts w:cs="Arial"/>
          <w:sz w:val="18"/>
          <w:szCs w:val="18"/>
        </w:rPr>
        <w:t xml:space="preserve"> business. Profitability in </w:t>
      </w:r>
      <w:r w:rsidRPr="00CB7CCC">
        <w:rPr>
          <w:rFonts w:cs="Arial"/>
          <w:sz w:val="18"/>
          <w:szCs w:val="18"/>
        </w:rPr>
        <w:t>the Group’s other convenience categories</w:t>
      </w:r>
      <w:r w:rsidR="00FE6030" w:rsidRPr="00CB7CCC">
        <w:rPr>
          <w:rFonts w:cs="Arial"/>
          <w:sz w:val="18"/>
          <w:szCs w:val="18"/>
        </w:rPr>
        <w:t xml:space="preserve"> improved in FY20</w:t>
      </w:r>
      <w:r w:rsidRPr="00CB7CCC">
        <w:rPr>
          <w:rFonts w:cs="Arial"/>
          <w:sz w:val="18"/>
          <w:szCs w:val="18"/>
        </w:rPr>
        <w:t xml:space="preserve">, </w:t>
      </w:r>
      <w:proofErr w:type="gramStart"/>
      <w:r w:rsidRPr="00CB7CCC">
        <w:rPr>
          <w:rFonts w:cs="Arial"/>
          <w:sz w:val="18"/>
          <w:szCs w:val="18"/>
        </w:rPr>
        <w:t>in particular in</w:t>
      </w:r>
      <w:proofErr w:type="gramEnd"/>
      <w:r w:rsidRPr="00CB7CCC">
        <w:rPr>
          <w:rFonts w:cs="Arial"/>
          <w:sz w:val="18"/>
          <w:szCs w:val="18"/>
        </w:rPr>
        <w:t xml:space="preserve"> the ready meals business following the reset of its product and facili</w:t>
      </w:r>
      <w:r w:rsidR="0073627A" w:rsidRPr="00CB7CCC">
        <w:rPr>
          <w:rFonts w:cs="Arial"/>
          <w:sz w:val="18"/>
          <w:szCs w:val="18"/>
        </w:rPr>
        <w:t>ty footprint during FY19.</w:t>
      </w:r>
    </w:p>
    <w:p w14:paraId="7A3A4B58" w14:textId="77777777" w:rsidR="003B7495" w:rsidRPr="00CB7CCC" w:rsidRDefault="003B7495" w:rsidP="00ED0EF2">
      <w:pPr>
        <w:spacing w:after="120"/>
        <w:jc w:val="both"/>
        <w:rPr>
          <w:rFonts w:cs="Arial"/>
          <w:b/>
          <w:sz w:val="18"/>
          <w:szCs w:val="18"/>
        </w:rPr>
      </w:pPr>
    </w:p>
    <w:p w14:paraId="4A25FBF9" w14:textId="77777777" w:rsidR="003B7495" w:rsidRPr="00CB7CCC" w:rsidRDefault="003B7495" w:rsidP="00CB7CCC">
      <w:pPr>
        <w:jc w:val="both"/>
        <w:rPr>
          <w:rFonts w:cs="Arial"/>
          <w:b/>
          <w:sz w:val="18"/>
          <w:szCs w:val="18"/>
          <w:u w:val="single"/>
        </w:rPr>
      </w:pPr>
      <w:r w:rsidRPr="00CB7CCC">
        <w:rPr>
          <w:rFonts w:cs="Arial"/>
          <w:b/>
          <w:sz w:val="18"/>
          <w:szCs w:val="18"/>
          <w:u w:val="single"/>
        </w:rPr>
        <w:t>Group Cash Flow and Returns</w:t>
      </w:r>
    </w:p>
    <w:p w14:paraId="2E406283" w14:textId="77777777" w:rsidR="003B7495" w:rsidRPr="00CB7CCC" w:rsidRDefault="003B7495" w:rsidP="00CB7CCC">
      <w:pPr>
        <w:jc w:val="both"/>
        <w:rPr>
          <w:rFonts w:cs="Arial"/>
          <w:b/>
          <w:bCs/>
          <w:sz w:val="18"/>
          <w:szCs w:val="18"/>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993"/>
        <w:gridCol w:w="992"/>
        <w:gridCol w:w="1134"/>
      </w:tblGrid>
      <w:tr w:rsidR="003B7495" w:rsidRPr="00CB7CCC" w14:paraId="43E9765B" w14:textId="77777777" w:rsidTr="00D80872">
        <w:trPr>
          <w:jc w:val="center"/>
        </w:trPr>
        <w:tc>
          <w:tcPr>
            <w:tcW w:w="3964" w:type="dxa"/>
          </w:tcPr>
          <w:p w14:paraId="77101A5F" w14:textId="77777777" w:rsidR="003B7495" w:rsidRPr="00CB7CCC" w:rsidRDefault="003B7495" w:rsidP="00CB7CCC">
            <w:pPr>
              <w:jc w:val="both"/>
              <w:rPr>
                <w:rFonts w:cs="Arial"/>
                <w:b/>
                <w:sz w:val="18"/>
                <w:szCs w:val="18"/>
                <w:lang w:val="en-US"/>
              </w:rPr>
            </w:pPr>
          </w:p>
        </w:tc>
        <w:tc>
          <w:tcPr>
            <w:tcW w:w="993" w:type="dxa"/>
            <w:hideMark/>
          </w:tcPr>
          <w:p w14:paraId="3FD0A619" w14:textId="77777777" w:rsidR="003B7495" w:rsidRPr="00CB7CCC" w:rsidRDefault="001E0537" w:rsidP="00CB7CCC">
            <w:pPr>
              <w:jc w:val="right"/>
              <w:rPr>
                <w:rFonts w:cs="Arial"/>
                <w:b/>
                <w:sz w:val="18"/>
                <w:szCs w:val="18"/>
                <w:lang w:val="en-US"/>
              </w:rPr>
            </w:pPr>
            <w:r w:rsidRPr="00CB7CCC">
              <w:rPr>
                <w:rFonts w:cs="Arial"/>
                <w:b/>
                <w:sz w:val="18"/>
                <w:szCs w:val="18"/>
                <w:lang w:val="en-US"/>
              </w:rPr>
              <w:t>FY20</w:t>
            </w:r>
          </w:p>
          <w:p w14:paraId="4280E306"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992" w:type="dxa"/>
            <w:hideMark/>
          </w:tcPr>
          <w:p w14:paraId="65924421" w14:textId="77777777" w:rsidR="003B7495" w:rsidRPr="00CB7CCC" w:rsidRDefault="001E0537" w:rsidP="00CB7CCC">
            <w:pPr>
              <w:jc w:val="right"/>
              <w:rPr>
                <w:rFonts w:cs="Arial"/>
                <w:b/>
                <w:sz w:val="18"/>
                <w:szCs w:val="18"/>
                <w:lang w:val="en-US"/>
              </w:rPr>
            </w:pPr>
            <w:r w:rsidRPr="00CB7CCC">
              <w:rPr>
                <w:rFonts w:cs="Arial"/>
                <w:b/>
                <w:sz w:val="18"/>
                <w:szCs w:val="18"/>
                <w:lang w:val="en-US"/>
              </w:rPr>
              <w:t>FY19</w:t>
            </w:r>
          </w:p>
          <w:p w14:paraId="374C95DB"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1134" w:type="dxa"/>
            <w:hideMark/>
          </w:tcPr>
          <w:p w14:paraId="101DD3AB"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r w:rsidR="007706C0" w:rsidRPr="00CB7CCC">
              <w:rPr>
                <w:rFonts w:cs="Arial"/>
                <w:b/>
                <w:sz w:val="18"/>
                <w:szCs w:val="18"/>
                <w:lang w:val="en-US"/>
              </w:rPr>
              <w:t xml:space="preserve"> (as reported)</w:t>
            </w:r>
          </w:p>
          <w:p w14:paraId="634E0A2E" w14:textId="77777777" w:rsidR="003B7495" w:rsidRPr="00CB7CCC" w:rsidRDefault="003B7495" w:rsidP="00CB7CCC">
            <w:pPr>
              <w:jc w:val="right"/>
              <w:rPr>
                <w:rFonts w:cs="Arial"/>
                <w:b/>
                <w:sz w:val="18"/>
                <w:szCs w:val="18"/>
                <w:lang w:val="en-US"/>
              </w:rPr>
            </w:pPr>
          </w:p>
        </w:tc>
      </w:tr>
      <w:tr w:rsidR="001E0537" w:rsidRPr="00CB7CCC" w14:paraId="5865F176" w14:textId="77777777" w:rsidTr="00D80872">
        <w:trPr>
          <w:jc w:val="center"/>
        </w:trPr>
        <w:tc>
          <w:tcPr>
            <w:tcW w:w="3964" w:type="dxa"/>
          </w:tcPr>
          <w:p w14:paraId="6E6E4D42" w14:textId="77777777" w:rsidR="001E0537" w:rsidRPr="00CB7CCC" w:rsidRDefault="001E0537" w:rsidP="00CB7CCC">
            <w:pPr>
              <w:jc w:val="both"/>
              <w:rPr>
                <w:rFonts w:cs="Arial"/>
                <w:sz w:val="18"/>
                <w:szCs w:val="18"/>
                <w:lang w:val="en-US"/>
              </w:rPr>
            </w:pPr>
            <w:r w:rsidRPr="00CB7CCC">
              <w:rPr>
                <w:rFonts w:cs="Arial"/>
                <w:sz w:val="18"/>
                <w:szCs w:val="18"/>
                <w:lang w:val="en-US"/>
              </w:rPr>
              <w:t>Free Cash Flow</w:t>
            </w:r>
          </w:p>
        </w:tc>
        <w:tc>
          <w:tcPr>
            <w:tcW w:w="993" w:type="dxa"/>
          </w:tcPr>
          <w:p w14:paraId="1896D2C4" w14:textId="04D275F2" w:rsidR="001E0537" w:rsidRPr="00CB7CCC" w:rsidRDefault="00994019">
            <w:pPr>
              <w:jc w:val="right"/>
              <w:rPr>
                <w:rFonts w:cs="Arial"/>
                <w:sz w:val="18"/>
                <w:szCs w:val="18"/>
                <w:lang w:val="en-US"/>
              </w:rPr>
            </w:pPr>
            <w:r w:rsidRPr="00CB7CCC">
              <w:rPr>
                <w:rFonts w:cs="Arial"/>
                <w:sz w:val="18"/>
                <w:szCs w:val="18"/>
                <w:lang w:val="en-US"/>
              </w:rPr>
              <w:t>(</w:t>
            </w:r>
            <w:r w:rsidR="001A76DE">
              <w:rPr>
                <w:rFonts w:cs="Arial"/>
                <w:sz w:val="18"/>
                <w:szCs w:val="18"/>
                <w:lang w:val="en-US"/>
              </w:rPr>
              <w:t>29.7</w:t>
            </w:r>
            <w:r w:rsidRPr="00CB7CCC">
              <w:rPr>
                <w:rFonts w:cs="Arial"/>
                <w:sz w:val="18"/>
                <w:szCs w:val="18"/>
                <w:lang w:val="en-US"/>
              </w:rPr>
              <w:t>)</w:t>
            </w:r>
          </w:p>
        </w:tc>
        <w:tc>
          <w:tcPr>
            <w:tcW w:w="992" w:type="dxa"/>
          </w:tcPr>
          <w:p w14:paraId="6D20715B" w14:textId="77777777" w:rsidR="001E0537" w:rsidRPr="00CB7CCC" w:rsidRDefault="001E0537" w:rsidP="00CB7CCC">
            <w:pPr>
              <w:jc w:val="right"/>
              <w:rPr>
                <w:rFonts w:cs="Arial"/>
                <w:sz w:val="18"/>
                <w:szCs w:val="18"/>
                <w:lang w:val="en-US"/>
              </w:rPr>
            </w:pPr>
            <w:r w:rsidRPr="00CB7CCC">
              <w:rPr>
                <w:rFonts w:cs="Arial"/>
                <w:sz w:val="18"/>
                <w:szCs w:val="18"/>
                <w:lang w:val="en-US"/>
              </w:rPr>
              <w:t>54.9</w:t>
            </w:r>
          </w:p>
        </w:tc>
        <w:tc>
          <w:tcPr>
            <w:tcW w:w="1134" w:type="dxa"/>
          </w:tcPr>
          <w:p w14:paraId="10A9AD31" w14:textId="19037E03" w:rsidR="001E0537" w:rsidRPr="00CB7CCC" w:rsidRDefault="00F1379A">
            <w:pPr>
              <w:jc w:val="right"/>
              <w:rPr>
                <w:rFonts w:cs="Arial"/>
                <w:sz w:val="18"/>
                <w:szCs w:val="18"/>
                <w:lang w:val="en-US"/>
              </w:rPr>
            </w:pPr>
            <w:r w:rsidRPr="00CB7CCC">
              <w:rPr>
                <w:rFonts w:cs="Arial"/>
                <w:sz w:val="18"/>
                <w:szCs w:val="18"/>
                <w:lang w:val="en-US"/>
              </w:rPr>
              <w:t>-£8</w:t>
            </w:r>
            <w:r w:rsidR="001A76DE">
              <w:rPr>
                <w:rFonts w:cs="Arial"/>
                <w:sz w:val="18"/>
                <w:szCs w:val="18"/>
                <w:lang w:val="en-US"/>
              </w:rPr>
              <w:t>4.6</w:t>
            </w:r>
            <w:r w:rsidRPr="00CB7CCC">
              <w:rPr>
                <w:rFonts w:cs="Arial"/>
                <w:sz w:val="18"/>
                <w:szCs w:val="18"/>
                <w:lang w:val="en-US"/>
              </w:rPr>
              <w:t>m</w:t>
            </w:r>
          </w:p>
        </w:tc>
      </w:tr>
      <w:tr w:rsidR="001E0537" w:rsidRPr="00CB7CCC" w14:paraId="7CE46E44" w14:textId="77777777" w:rsidTr="00D80872">
        <w:trPr>
          <w:jc w:val="center"/>
        </w:trPr>
        <w:tc>
          <w:tcPr>
            <w:tcW w:w="3964" w:type="dxa"/>
            <w:hideMark/>
          </w:tcPr>
          <w:p w14:paraId="59ED32B4" w14:textId="43CEAC6A" w:rsidR="001E0537" w:rsidRPr="00CB7CCC" w:rsidRDefault="001E0537" w:rsidP="00CB7CCC">
            <w:pPr>
              <w:jc w:val="both"/>
              <w:rPr>
                <w:rFonts w:cs="Arial"/>
                <w:sz w:val="18"/>
                <w:szCs w:val="18"/>
                <w:lang w:val="en-US"/>
              </w:rPr>
            </w:pPr>
            <w:r w:rsidRPr="00CB7CCC">
              <w:rPr>
                <w:rFonts w:cs="Arial"/>
                <w:sz w:val="18"/>
                <w:szCs w:val="18"/>
                <w:lang w:val="en-US"/>
              </w:rPr>
              <w:t>Net Debt</w:t>
            </w:r>
            <w:r w:rsidR="007F11AD">
              <w:rPr>
                <w:rFonts w:cs="Arial"/>
                <w:sz w:val="18"/>
                <w:szCs w:val="18"/>
                <w:lang w:val="en-US"/>
              </w:rPr>
              <w:t xml:space="preserve"> (excluding lease liabilities)</w:t>
            </w:r>
          </w:p>
        </w:tc>
        <w:tc>
          <w:tcPr>
            <w:tcW w:w="993" w:type="dxa"/>
          </w:tcPr>
          <w:p w14:paraId="7BBF0060" w14:textId="77777777" w:rsidR="001E0537" w:rsidRPr="00CB7CCC" w:rsidRDefault="00E379FF" w:rsidP="00CB7CCC">
            <w:pPr>
              <w:jc w:val="right"/>
              <w:rPr>
                <w:rFonts w:cs="Arial"/>
                <w:sz w:val="18"/>
                <w:szCs w:val="18"/>
                <w:lang w:val="en-US"/>
              </w:rPr>
            </w:pPr>
            <w:r w:rsidRPr="00CB7CCC">
              <w:rPr>
                <w:rFonts w:cs="Arial"/>
                <w:sz w:val="18"/>
                <w:szCs w:val="18"/>
                <w:lang w:val="en-US"/>
              </w:rPr>
              <w:t>350.5</w:t>
            </w:r>
          </w:p>
        </w:tc>
        <w:tc>
          <w:tcPr>
            <w:tcW w:w="992" w:type="dxa"/>
          </w:tcPr>
          <w:p w14:paraId="697E4CAC" w14:textId="77777777" w:rsidR="001E0537" w:rsidRPr="00CB7CCC" w:rsidRDefault="001E0537" w:rsidP="00CB7CCC">
            <w:pPr>
              <w:jc w:val="right"/>
              <w:rPr>
                <w:rFonts w:cs="Arial"/>
                <w:sz w:val="18"/>
                <w:szCs w:val="18"/>
                <w:lang w:val="en-US"/>
              </w:rPr>
            </w:pPr>
            <w:r w:rsidRPr="00CB7CCC">
              <w:rPr>
                <w:rFonts w:cs="Arial"/>
                <w:sz w:val="18"/>
                <w:szCs w:val="18"/>
                <w:lang w:val="en-US"/>
              </w:rPr>
              <w:t>288.5</w:t>
            </w:r>
          </w:p>
        </w:tc>
        <w:tc>
          <w:tcPr>
            <w:tcW w:w="1134" w:type="dxa"/>
          </w:tcPr>
          <w:p w14:paraId="2D504E9B" w14:textId="77777777" w:rsidR="001E0537" w:rsidRPr="00CB7CCC" w:rsidRDefault="001E0537" w:rsidP="00CB7CCC">
            <w:pPr>
              <w:jc w:val="right"/>
              <w:rPr>
                <w:rFonts w:cs="Arial"/>
                <w:sz w:val="18"/>
                <w:szCs w:val="18"/>
                <w:lang w:val="en-US"/>
              </w:rPr>
            </w:pPr>
          </w:p>
        </w:tc>
      </w:tr>
      <w:tr w:rsidR="001E0537" w:rsidRPr="00CB7CCC" w14:paraId="17DED23E" w14:textId="77777777" w:rsidTr="00D80872">
        <w:trPr>
          <w:jc w:val="center"/>
        </w:trPr>
        <w:tc>
          <w:tcPr>
            <w:tcW w:w="3964" w:type="dxa"/>
          </w:tcPr>
          <w:p w14:paraId="62671E5D" w14:textId="77777777" w:rsidR="001E0537" w:rsidRPr="00CB7CCC" w:rsidRDefault="001E0537" w:rsidP="00CB7CCC">
            <w:pPr>
              <w:jc w:val="both"/>
              <w:rPr>
                <w:rFonts w:cs="Arial"/>
                <w:sz w:val="18"/>
                <w:szCs w:val="18"/>
                <w:lang w:val="en-US"/>
              </w:rPr>
            </w:pPr>
            <w:r w:rsidRPr="00CB7CCC">
              <w:rPr>
                <w:rFonts w:cs="Arial"/>
                <w:sz w:val="18"/>
                <w:szCs w:val="18"/>
                <w:lang w:val="en-US"/>
              </w:rPr>
              <w:t xml:space="preserve">Net </w:t>
            </w:r>
            <w:proofErr w:type="spellStart"/>
            <w:proofErr w:type="gramStart"/>
            <w:r w:rsidRPr="00CB7CCC">
              <w:rPr>
                <w:rFonts w:cs="Arial"/>
                <w:sz w:val="18"/>
                <w:szCs w:val="18"/>
                <w:lang w:val="en-US"/>
              </w:rPr>
              <w:t>Debt:EBITDA</w:t>
            </w:r>
            <w:proofErr w:type="spellEnd"/>
            <w:proofErr w:type="gramEnd"/>
            <w:r w:rsidRPr="00CB7CCC">
              <w:rPr>
                <w:rFonts w:cs="Arial"/>
                <w:sz w:val="18"/>
                <w:szCs w:val="18"/>
                <w:lang w:val="en-US"/>
              </w:rPr>
              <w:t xml:space="preserve"> as per financing agreements</w:t>
            </w:r>
          </w:p>
        </w:tc>
        <w:tc>
          <w:tcPr>
            <w:tcW w:w="993" w:type="dxa"/>
          </w:tcPr>
          <w:p w14:paraId="2904B2C6" w14:textId="6B1434C2" w:rsidR="001E0537" w:rsidRPr="00CB7CCC" w:rsidRDefault="00F1379A">
            <w:pPr>
              <w:jc w:val="right"/>
              <w:rPr>
                <w:rFonts w:cs="Arial"/>
                <w:sz w:val="18"/>
                <w:szCs w:val="18"/>
                <w:lang w:val="en-US"/>
              </w:rPr>
            </w:pPr>
            <w:r w:rsidRPr="00CB7CCC">
              <w:rPr>
                <w:rFonts w:cs="Arial"/>
                <w:sz w:val="18"/>
                <w:szCs w:val="18"/>
                <w:lang w:val="en-US"/>
              </w:rPr>
              <w:t>4.</w:t>
            </w:r>
            <w:r w:rsidR="00133A24">
              <w:rPr>
                <w:rFonts w:cs="Arial"/>
                <w:sz w:val="18"/>
                <w:szCs w:val="18"/>
                <w:lang w:val="en-US"/>
              </w:rPr>
              <w:t>4</w:t>
            </w:r>
            <w:r w:rsidR="00E358D9">
              <w:rPr>
                <w:rFonts w:cs="Arial"/>
                <w:sz w:val="18"/>
                <w:szCs w:val="18"/>
                <w:lang w:val="en-US"/>
              </w:rPr>
              <w:t>x</w:t>
            </w:r>
          </w:p>
        </w:tc>
        <w:tc>
          <w:tcPr>
            <w:tcW w:w="992" w:type="dxa"/>
          </w:tcPr>
          <w:p w14:paraId="344B195E" w14:textId="77777777" w:rsidR="001E0537" w:rsidRPr="00CB7CCC" w:rsidRDefault="001E0537" w:rsidP="00CB7CCC">
            <w:pPr>
              <w:jc w:val="right"/>
              <w:rPr>
                <w:rFonts w:cs="Arial"/>
                <w:sz w:val="18"/>
                <w:szCs w:val="18"/>
                <w:lang w:val="en-US"/>
              </w:rPr>
            </w:pPr>
            <w:r w:rsidRPr="00CB7CCC">
              <w:rPr>
                <w:rFonts w:cs="Arial"/>
                <w:sz w:val="18"/>
                <w:szCs w:val="18"/>
                <w:lang w:val="en-US"/>
              </w:rPr>
              <w:t>1.8x</w:t>
            </w:r>
          </w:p>
        </w:tc>
        <w:tc>
          <w:tcPr>
            <w:tcW w:w="1134" w:type="dxa"/>
          </w:tcPr>
          <w:p w14:paraId="4018F0E8" w14:textId="77777777" w:rsidR="001E0537" w:rsidRPr="00CB7CCC" w:rsidRDefault="001E0537" w:rsidP="00CB7CCC">
            <w:pPr>
              <w:jc w:val="right"/>
              <w:rPr>
                <w:rFonts w:cs="Arial"/>
                <w:sz w:val="18"/>
                <w:szCs w:val="18"/>
                <w:lang w:val="en-US"/>
              </w:rPr>
            </w:pPr>
          </w:p>
        </w:tc>
      </w:tr>
      <w:tr w:rsidR="001E0537" w:rsidRPr="00CB7CCC" w14:paraId="1C09EBB6" w14:textId="77777777" w:rsidTr="00D80872">
        <w:trPr>
          <w:jc w:val="center"/>
        </w:trPr>
        <w:tc>
          <w:tcPr>
            <w:tcW w:w="3964" w:type="dxa"/>
            <w:hideMark/>
          </w:tcPr>
          <w:p w14:paraId="5A3465D2" w14:textId="77777777" w:rsidR="001E0537" w:rsidRPr="00CB7CCC" w:rsidRDefault="001E0537" w:rsidP="00CB7CCC">
            <w:pPr>
              <w:jc w:val="both"/>
              <w:rPr>
                <w:rFonts w:cs="Arial"/>
                <w:sz w:val="18"/>
                <w:szCs w:val="18"/>
                <w:lang w:val="en-US"/>
              </w:rPr>
            </w:pPr>
            <w:r w:rsidRPr="00CB7CCC">
              <w:rPr>
                <w:rFonts w:cs="Arial"/>
                <w:sz w:val="18"/>
                <w:szCs w:val="18"/>
                <w:lang w:val="en-US"/>
              </w:rPr>
              <w:t xml:space="preserve">ROIC </w:t>
            </w:r>
          </w:p>
        </w:tc>
        <w:tc>
          <w:tcPr>
            <w:tcW w:w="993" w:type="dxa"/>
          </w:tcPr>
          <w:p w14:paraId="27330634" w14:textId="77777777" w:rsidR="001E0537" w:rsidRPr="00CB7CCC" w:rsidRDefault="00A42495" w:rsidP="00CB7CCC">
            <w:pPr>
              <w:jc w:val="right"/>
              <w:rPr>
                <w:rFonts w:cs="Arial"/>
                <w:sz w:val="18"/>
                <w:szCs w:val="18"/>
                <w:lang w:val="en-US"/>
              </w:rPr>
            </w:pPr>
            <w:r w:rsidRPr="00CB7CCC">
              <w:rPr>
                <w:rFonts w:cs="Arial"/>
                <w:sz w:val="18"/>
                <w:szCs w:val="18"/>
                <w:lang w:val="en-US"/>
              </w:rPr>
              <w:t>4.1</w:t>
            </w:r>
            <w:r w:rsidR="00994019" w:rsidRPr="00CB7CCC">
              <w:rPr>
                <w:rFonts w:cs="Arial"/>
                <w:sz w:val="18"/>
                <w:szCs w:val="18"/>
                <w:lang w:val="en-US"/>
              </w:rPr>
              <w:t>%</w:t>
            </w:r>
          </w:p>
        </w:tc>
        <w:tc>
          <w:tcPr>
            <w:tcW w:w="992" w:type="dxa"/>
          </w:tcPr>
          <w:p w14:paraId="6B81B55B" w14:textId="77777777" w:rsidR="001E0537" w:rsidRPr="00CB7CCC" w:rsidRDefault="001E0537" w:rsidP="00CB7CCC">
            <w:pPr>
              <w:jc w:val="right"/>
              <w:rPr>
                <w:rFonts w:cs="Arial"/>
                <w:sz w:val="18"/>
                <w:szCs w:val="18"/>
                <w:lang w:val="en-US"/>
              </w:rPr>
            </w:pPr>
            <w:r w:rsidRPr="00CB7CCC">
              <w:rPr>
                <w:rFonts w:cs="Arial"/>
                <w:sz w:val="18"/>
                <w:szCs w:val="18"/>
                <w:lang w:val="en-US"/>
              </w:rPr>
              <w:t>14.4%</w:t>
            </w:r>
          </w:p>
        </w:tc>
        <w:tc>
          <w:tcPr>
            <w:tcW w:w="1134" w:type="dxa"/>
          </w:tcPr>
          <w:p w14:paraId="6A17544D" w14:textId="77777777" w:rsidR="001E0537" w:rsidRPr="00CB7CCC" w:rsidRDefault="001E0537" w:rsidP="00CB7CCC">
            <w:pPr>
              <w:jc w:val="right"/>
              <w:rPr>
                <w:rFonts w:cs="Arial"/>
                <w:sz w:val="18"/>
                <w:szCs w:val="18"/>
                <w:lang w:val="en-US"/>
              </w:rPr>
            </w:pPr>
          </w:p>
        </w:tc>
      </w:tr>
    </w:tbl>
    <w:p w14:paraId="43A46182" w14:textId="77777777" w:rsidR="003B7495" w:rsidRPr="00CB7CCC" w:rsidRDefault="003B7495" w:rsidP="00CB7CCC">
      <w:pPr>
        <w:jc w:val="both"/>
        <w:rPr>
          <w:rFonts w:cs="Arial"/>
          <w:sz w:val="18"/>
          <w:szCs w:val="18"/>
        </w:rPr>
      </w:pPr>
    </w:p>
    <w:p w14:paraId="1B698D36" w14:textId="77777777" w:rsidR="003B7495" w:rsidRPr="00CB7CCC" w:rsidRDefault="003B7495" w:rsidP="00ED0EF2">
      <w:pPr>
        <w:spacing w:after="120"/>
        <w:jc w:val="both"/>
        <w:rPr>
          <w:rFonts w:cs="Arial"/>
          <w:b/>
          <w:sz w:val="18"/>
          <w:szCs w:val="18"/>
        </w:rPr>
      </w:pPr>
      <w:r w:rsidRPr="00CB7CCC">
        <w:rPr>
          <w:rFonts w:cs="Arial"/>
          <w:b/>
          <w:sz w:val="18"/>
          <w:szCs w:val="18"/>
        </w:rPr>
        <w:t xml:space="preserve">Strategic developments </w:t>
      </w:r>
    </w:p>
    <w:p w14:paraId="2CE9E7B4" w14:textId="7FE973B6" w:rsidR="00AF5D3B" w:rsidRPr="00CB7CCC" w:rsidRDefault="00AF5D3B" w:rsidP="00ED0EF2">
      <w:pPr>
        <w:adjustRightInd w:val="0"/>
        <w:spacing w:after="120"/>
        <w:jc w:val="both"/>
        <w:rPr>
          <w:sz w:val="18"/>
          <w:szCs w:val="18"/>
        </w:rPr>
      </w:pPr>
      <w:r w:rsidRPr="00CB7CCC">
        <w:rPr>
          <w:sz w:val="18"/>
          <w:szCs w:val="18"/>
        </w:rPr>
        <w:t xml:space="preserve">The Group’s capital allocation model ensured a prudent financial profile for the business </w:t>
      </w:r>
      <w:r w:rsidR="00002662">
        <w:rPr>
          <w:sz w:val="18"/>
          <w:szCs w:val="18"/>
        </w:rPr>
        <w:t xml:space="preserve">as it entered FY20 </w:t>
      </w:r>
      <w:r w:rsidRPr="00CB7CCC">
        <w:rPr>
          <w:sz w:val="18"/>
          <w:szCs w:val="18"/>
        </w:rPr>
        <w:t xml:space="preserve">and a strong foundation from which to respond to the challenges presented by the COVID-19 </w:t>
      </w:r>
      <w:r w:rsidR="00851289">
        <w:rPr>
          <w:sz w:val="18"/>
          <w:szCs w:val="18"/>
        </w:rPr>
        <w:t>pandemic</w:t>
      </w:r>
      <w:r w:rsidRPr="00CB7CCC">
        <w:rPr>
          <w:sz w:val="18"/>
          <w:szCs w:val="18"/>
        </w:rPr>
        <w:t>.</w:t>
      </w:r>
    </w:p>
    <w:p w14:paraId="2C788179" w14:textId="77777777" w:rsidR="00DB3BCB" w:rsidRPr="00CB7CCC" w:rsidRDefault="00DB3BCB" w:rsidP="00ED0EF2">
      <w:pPr>
        <w:adjustRightInd w:val="0"/>
        <w:spacing w:after="120"/>
        <w:jc w:val="both"/>
        <w:rPr>
          <w:sz w:val="18"/>
          <w:szCs w:val="18"/>
        </w:rPr>
      </w:pPr>
      <w:r w:rsidRPr="00CB7CCC">
        <w:rPr>
          <w:sz w:val="18"/>
          <w:szCs w:val="18"/>
        </w:rPr>
        <w:t>The Group implemented a range of mitigating actions in H2 to manage cash outflows, including the deferral of a substantial portion of no</w:t>
      </w:r>
      <w:r w:rsidR="00860662" w:rsidRPr="00CB7CCC">
        <w:rPr>
          <w:sz w:val="18"/>
          <w:szCs w:val="18"/>
        </w:rPr>
        <w:t>n-essential capital expenditure</w:t>
      </w:r>
      <w:r w:rsidRPr="00CB7CCC">
        <w:rPr>
          <w:sz w:val="18"/>
          <w:szCs w:val="18"/>
        </w:rPr>
        <w:t>, a deferral of cash contributions to the defined benefit pension schemes, and the suspension of dividend payments.</w:t>
      </w:r>
    </w:p>
    <w:p w14:paraId="2B2D8DF6" w14:textId="3A091557" w:rsidR="00391117" w:rsidRPr="005771B0" w:rsidRDefault="00AF5D3B" w:rsidP="00ED0EF2">
      <w:pPr>
        <w:adjustRightInd w:val="0"/>
        <w:spacing w:after="120"/>
        <w:jc w:val="both"/>
        <w:rPr>
          <w:sz w:val="18"/>
          <w:szCs w:val="18"/>
        </w:rPr>
      </w:pPr>
      <w:r w:rsidRPr="00391117">
        <w:rPr>
          <w:sz w:val="18"/>
          <w:szCs w:val="18"/>
        </w:rPr>
        <w:t xml:space="preserve">In FY20 </w:t>
      </w:r>
      <w:r w:rsidR="00E509A4" w:rsidRPr="00391117">
        <w:rPr>
          <w:sz w:val="18"/>
          <w:szCs w:val="18"/>
        </w:rPr>
        <w:t>the Group focus</w:t>
      </w:r>
      <w:r w:rsidR="00C73630" w:rsidRPr="00391117">
        <w:rPr>
          <w:sz w:val="18"/>
          <w:szCs w:val="18"/>
        </w:rPr>
        <w:t xml:space="preserve">sed on balance sheet strength, </w:t>
      </w:r>
      <w:proofErr w:type="gramStart"/>
      <w:r w:rsidR="00C73630" w:rsidRPr="00391117">
        <w:rPr>
          <w:sz w:val="18"/>
          <w:szCs w:val="18"/>
        </w:rPr>
        <w:t>liquidity</w:t>
      </w:r>
      <w:proofErr w:type="gramEnd"/>
      <w:r w:rsidR="00C73630" w:rsidRPr="00391117">
        <w:rPr>
          <w:sz w:val="18"/>
          <w:szCs w:val="18"/>
        </w:rPr>
        <w:t xml:space="preserve"> and flexibility</w:t>
      </w:r>
      <w:r w:rsidR="00391117" w:rsidRPr="00391117">
        <w:rPr>
          <w:sz w:val="18"/>
          <w:szCs w:val="18"/>
        </w:rPr>
        <w:t xml:space="preserve"> with the support of its bank lending syndicate and Private Placement </w:t>
      </w:r>
      <w:r w:rsidR="00DE30F3">
        <w:rPr>
          <w:sz w:val="18"/>
          <w:szCs w:val="18"/>
        </w:rPr>
        <w:t>N</w:t>
      </w:r>
      <w:r w:rsidR="00391117" w:rsidRPr="00391117">
        <w:rPr>
          <w:sz w:val="18"/>
          <w:szCs w:val="18"/>
        </w:rPr>
        <w:t>ote holders</w:t>
      </w:r>
      <w:r w:rsidR="00C73630" w:rsidRPr="00391117">
        <w:rPr>
          <w:sz w:val="18"/>
          <w:szCs w:val="18"/>
        </w:rPr>
        <w:t>. In H1 the Group extended</w:t>
      </w:r>
      <w:r w:rsidR="00E509A4" w:rsidRPr="00391117">
        <w:rPr>
          <w:sz w:val="18"/>
          <w:szCs w:val="18"/>
        </w:rPr>
        <w:t xml:space="preserve"> the maturity of its £340m revolving credit bank facility to January 2025</w:t>
      </w:r>
      <w:r w:rsidR="00391117" w:rsidRPr="005771B0">
        <w:rPr>
          <w:sz w:val="18"/>
          <w:szCs w:val="18"/>
        </w:rPr>
        <w:t xml:space="preserve">. </w:t>
      </w:r>
    </w:p>
    <w:p w14:paraId="3403F424" w14:textId="77777777" w:rsidR="0038116F" w:rsidRPr="00464D3F" w:rsidRDefault="0038116F" w:rsidP="00ED0EF2">
      <w:pPr>
        <w:adjustRightInd w:val="0"/>
        <w:spacing w:after="120"/>
        <w:jc w:val="both"/>
        <w:rPr>
          <w:sz w:val="18"/>
          <w:szCs w:val="18"/>
        </w:rPr>
      </w:pPr>
      <w:r w:rsidRPr="00464D3F">
        <w:rPr>
          <w:sz w:val="18"/>
          <w:szCs w:val="18"/>
        </w:rPr>
        <w:t xml:space="preserve">The Group retained cash and undrawn committed bank facilities of £232.0m </w:t>
      </w:r>
      <w:proofErr w:type="gramStart"/>
      <w:r w:rsidRPr="00464D3F">
        <w:rPr>
          <w:sz w:val="18"/>
          <w:szCs w:val="18"/>
        </w:rPr>
        <w:t>at</w:t>
      </w:r>
      <w:proofErr w:type="gramEnd"/>
      <w:r w:rsidRPr="00464D3F">
        <w:rPr>
          <w:sz w:val="18"/>
          <w:szCs w:val="18"/>
        </w:rPr>
        <w:t xml:space="preserve"> 25 September 2020. </w:t>
      </w:r>
    </w:p>
    <w:p w14:paraId="6FE2157A" w14:textId="77777777" w:rsidR="0038116F" w:rsidRPr="00464D3F" w:rsidRDefault="0038116F" w:rsidP="00ED0EF2">
      <w:pPr>
        <w:adjustRightInd w:val="0"/>
        <w:spacing w:after="120"/>
        <w:jc w:val="both"/>
        <w:rPr>
          <w:sz w:val="18"/>
          <w:szCs w:val="18"/>
        </w:rPr>
      </w:pPr>
      <w:r w:rsidRPr="00464D3F">
        <w:rPr>
          <w:sz w:val="18"/>
          <w:szCs w:val="18"/>
        </w:rPr>
        <w:lastRenderedPageBreak/>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support from its bank lending syndicate and its Private Placement Note holders. </w:t>
      </w:r>
      <w:r>
        <w:rPr>
          <w:sz w:val="18"/>
          <w:szCs w:val="18"/>
        </w:rPr>
        <w:t>Of the key features, t</w:t>
      </w:r>
      <w:r w:rsidRPr="00464D3F">
        <w:rPr>
          <w:sz w:val="18"/>
          <w:szCs w:val="18"/>
        </w:rPr>
        <w:t>he Group has:</w:t>
      </w:r>
    </w:p>
    <w:p w14:paraId="06851331" w14:textId="77777777" w:rsidR="0038116F" w:rsidRPr="00602FBB" w:rsidRDefault="0038116F" w:rsidP="0038116F">
      <w:pPr>
        <w:pStyle w:val="ListParagraph"/>
        <w:numPr>
          <w:ilvl w:val="0"/>
          <w:numId w:val="51"/>
        </w:numPr>
        <w:adjustRightInd w:val="0"/>
        <w:jc w:val="both"/>
        <w:rPr>
          <w:sz w:val="18"/>
          <w:szCs w:val="18"/>
        </w:rPr>
      </w:pPr>
      <w:r w:rsidRPr="00602FBB">
        <w:rPr>
          <w:sz w:val="18"/>
          <w:szCs w:val="18"/>
        </w:rPr>
        <w:t xml:space="preserve">Extended the maturity of its £75m revolving credit bank facility by two years to March 2023 </w:t>
      </w:r>
    </w:p>
    <w:p w14:paraId="3A3DE384" w14:textId="0984722A" w:rsidR="0038116F" w:rsidRPr="00602FBB" w:rsidRDefault="0038116F" w:rsidP="0038116F">
      <w:pPr>
        <w:pStyle w:val="ListParagraph"/>
        <w:numPr>
          <w:ilvl w:val="0"/>
          <w:numId w:val="51"/>
        </w:numPr>
        <w:adjustRightInd w:val="0"/>
        <w:jc w:val="both"/>
        <w:rPr>
          <w:sz w:val="18"/>
          <w:szCs w:val="18"/>
        </w:rPr>
      </w:pPr>
      <w:r w:rsidRPr="00602FBB">
        <w:rPr>
          <w:sz w:val="18"/>
          <w:szCs w:val="18"/>
        </w:rPr>
        <w:t xml:space="preserve">Refinanced the Group’s £50m bilateral loan for a new </w:t>
      </w:r>
      <w:proofErr w:type="gramStart"/>
      <w:r w:rsidR="00E44C56">
        <w:rPr>
          <w:sz w:val="18"/>
          <w:szCs w:val="18"/>
        </w:rPr>
        <w:t>three</w:t>
      </w:r>
      <w:r w:rsidRPr="00602FBB">
        <w:rPr>
          <w:sz w:val="18"/>
          <w:szCs w:val="18"/>
        </w:rPr>
        <w:t xml:space="preserve"> year</w:t>
      </w:r>
      <w:proofErr w:type="gramEnd"/>
      <w:r w:rsidRPr="00602FBB">
        <w:rPr>
          <w:sz w:val="18"/>
          <w:szCs w:val="18"/>
        </w:rPr>
        <w:t xml:space="preserve"> term maturing in January 2024</w:t>
      </w:r>
    </w:p>
    <w:p w14:paraId="734E18F0" w14:textId="77777777" w:rsidR="0038116F" w:rsidRPr="00602FBB" w:rsidRDefault="0038116F" w:rsidP="0038116F">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2.0x</w:t>
      </w:r>
    </w:p>
    <w:p w14:paraId="161FB52A" w14:textId="77777777" w:rsidR="0038116F" w:rsidRPr="00602FBB" w:rsidRDefault="0038116F" w:rsidP="0038116F">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p>
    <w:p w14:paraId="5975B70A" w14:textId="11CECB87" w:rsidR="0038116F" w:rsidRPr="004C6A70" w:rsidRDefault="0038116F" w:rsidP="0038116F">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68024B">
        <w:rPr>
          <w:sz w:val="18"/>
          <w:szCs w:val="18"/>
        </w:rPr>
        <w:t>m</w:t>
      </w:r>
      <w:r w:rsidRPr="00602FBB">
        <w:rPr>
          <w:sz w:val="18"/>
          <w:szCs w:val="18"/>
        </w:rPr>
        <w:t>-</w:t>
      </w:r>
      <w:r w:rsidR="00E44C56">
        <w:rPr>
          <w:sz w:val="18"/>
          <w:szCs w:val="18"/>
        </w:rPr>
        <w:t>£</w:t>
      </w:r>
      <w:r w:rsidRPr="00602FBB">
        <w:rPr>
          <w:sz w:val="18"/>
          <w:szCs w:val="18"/>
        </w:rPr>
        <w:t>125m</w:t>
      </w:r>
    </w:p>
    <w:p w14:paraId="13FBEFF9" w14:textId="1E1CDC03" w:rsidR="0038116F" w:rsidRPr="006E7165" w:rsidRDefault="0038116F" w:rsidP="0038116F">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68024B">
        <w:rPr>
          <w:sz w:val="18"/>
          <w:szCs w:val="18"/>
        </w:rPr>
        <w:t>m</w:t>
      </w:r>
      <w:r>
        <w:rPr>
          <w:sz w:val="18"/>
          <w:szCs w:val="18"/>
        </w:rPr>
        <w:t>-</w:t>
      </w:r>
      <w:r w:rsidR="0015304C">
        <w:rPr>
          <w:sz w:val="18"/>
          <w:szCs w:val="18"/>
        </w:rPr>
        <w:t>£</w:t>
      </w:r>
      <w:r>
        <w:rPr>
          <w:sz w:val="18"/>
          <w:szCs w:val="18"/>
        </w:rPr>
        <w:t>550m</w:t>
      </w:r>
    </w:p>
    <w:p w14:paraId="4331E82B" w14:textId="77777777" w:rsidR="0038116F" w:rsidRPr="004C6A70" w:rsidRDefault="0038116F" w:rsidP="0038116F">
      <w:pPr>
        <w:adjustRightInd w:val="0"/>
        <w:ind w:left="360"/>
        <w:jc w:val="both"/>
        <w:rPr>
          <w:sz w:val="18"/>
          <w:szCs w:val="18"/>
        </w:rPr>
      </w:pPr>
    </w:p>
    <w:p w14:paraId="6CA482C0" w14:textId="68CF6E42" w:rsidR="0038116F" w:rsidRDefault="0038116F" w:rsidP="00ED0EF2">
      <w:pPr>
        <w:adjustRightInd w:val="0"/>
        <w:spacing w:after="12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33D6B722" w14:textId="700353ED" w:rsidR="00E509A4" w:rsidRPr="00CB7CCC" w:rsidRDefault="003258B7" w:rsidP="00ED0EF2">
      <w:pPr>
        <w:adjustRightInd w:val="0"/>
        <w:spacing w:after="120"/>
        <w:jc w:val="both"/>
        <w:rPr>
          <w:sz w:val="18"/>
          <w:szCs w:val="18"/>
        </w:rPr>
      </w:pPr>
      <w:r w:rsidRPr="00CB7CCC">
        <w:rPr>
          <w:sz w:val="18"/>
          <w:szCs w:val="18"/>
        </w:rPr>
        <w:t xml:space="preserve">In </w:t>
      </w:r>
      <w:proofErr w:type="gramStart"/>
      <w:r w:rsidRPr="00CB7CCC">
        <w:rPr>
          <w:sz w:val="18"/>
          <w:szCs w:val="18"/>
        </w:rPr>
        <w:t>July 2020</w:t>
      </w:r>
      <w:proofErr w:type="gramEnd"/>
      <w:r w:rsidRPr="00CB7CCC">
        <w:rPr>
          <w:sz w:val="18"/>
          <w:szCs w:val="18"/>
        </w:rPr>
        <w:t xml:space="preserve"> the Group announced that it had entered into a conditional agreement to sell its interests in its molasses trading businesses to United Molasses Marketing (Ireland) Limited and United Molasses Marketing Limited. The Group is selling its interests for a cash consideration of approximately £15.6m, subject to customary working capital adjustments. The </w:t>
      </w:r>
      <w:r w:rsidR="00DE30F3">
        <w:rPr>
          <w:sz w:val="18"/>
          <w:szCs w:val="18"/>
        </w:rPr>
        <w:t>t</w:t>
      </w:r>
      <w:r w:rsidRPr="00CB7CCC">
        <w:rPr>
          <w:sz w:val="18"/>
          <w:szCs w:val="18"/>
        </w:rPr>
        <w:t xml:space="preserve">ransaction is subject to the approval of relevant anti-trust authorities which is </w:t>
      </w:r>
      <w:r w:rsidR="00557436" w:rsidRPr="00CB7CCC">
        <w:rPr>
          <w:sz w:val="18"/>
          <w:szCs w:val="18"/>
        </w:rPr>
        <w:t>ongoing</w:t>
      </w:r>
      <w:r w:rsidRPr="00CB7CCC">
        <w:rPr>
          <w:sz w:val="18"/>
          <w:szCs w:val="18"/>
        </w:rPr>
        <w:t xml:space="preserve">. The proceeds will be used to further strengthen the Group's balance sheet. </w:t>
      </w:r>
    </w:p>
    <w:p w14:paraId="5BF3A572" w14:textId="77777777" w:rsidR="003B7495" w:rsidRPr="00CB7CCC" w:rsidRDefault="003B7495" w:rsidP="00ED0EF2">
      <w:pPr>
        <w:spacing w:after="120"/>
        <w:jc w:val="both"/>
        <w:rPr>
          <w:rFonts w:cs="Arial"/>
          <w:b/>
          <w:bCs/>
          <w:sz w:val="18"/>
          <w:szCs w:val="18"/>
        </w:rPr>
      </w:pPr>
      <w:r w:rsidRPr="00CB7CCC">
        <w:rPr>
          <w:rFonts w:cs="Arial"/>
          <w:b/>
          <w:bCs/>
          <w:sz w:val="18"/>
          <w:szCs w:val="18"/>
        </w:rPr>
        <w:t>Performance</w:t>
      </w:r>
    </w:p>
    <w:p w14:paraId="173170E5" w14:textId="69EE39A7" w:rsidR="003B7495" w:rsidRPr="00CB7CCC" w:rsidRDefault="003B7495" w:rsidP="00ED0EF2">
      <w:pPr>
        <w:adjustRightInd w:val="0"/>
        <w:spacing w:after="120"/>
        <w:jc w:val="both"/>
        <w:rPr>
          <w:sz w:val="18"/>
          <w:szCs w:val="18"/>
        </w:rPr>
      </w:pPr>
      <w:r w:rsidRPr="00CB7CCC">
        <w:rPr>
          <w:sz w:val="18"/>
          <w:szCs w:val="18"/>
        </w:rPr>
        <w:t xml:space="preserve">Free Cash Flow was </w:t>
      </w:r>
      <w:r w:rsidR="00112C3B" w:rsidRPr="00CB7CCC">
        <w:rPr>
          <w:sz w:val="18"/>
          <w:szCs w:val="18"/>
        </w:rPr>
        <w:t xml:space="preserve">a </w:t>
      </w:r>
      <w:r w:rsidR="001E0537" w:rsidRPr="00CB7CCC">
        <w:rPr>
          <w:sz w:val="18"/>
          <w:szCs w:val="18"/>
        </w:rPr>
        <w:t>£</w:t>
      </w:r>
      <w:r w:rsidR="00E202FB">
        <w:rPr>
          <w:sz w:val="18"/>
          <w:szCs w:val="18"/>
        </w:rPr>
        <w:t>29.7</w:t>
      </w:r>
      <w:r w:rsidRPr="00CB7CCC">
        <w:rPr>
          <w:sz w:val="18"/>
          <w:szCs w:val="18"/>
        </w:rPr>
        <w:t xml:space="preserve">m </w:t>
      </w:r>
      <w:r w:rsidR="00557436" w:rsidRPr="00CB7CCC">
        <w:rPr>
          <w:sz w:val="18"/>
          <w:szCs w:val="18"/>
        </w:rPr>
        <w:t xml:space="preserve">outflow </w:t>
      </w:r>
      <w:r w:rsidRPr="00CB7CCC">
        <w:rPr>
          <w:sz w:val="18"/>
          <w:szCs w:val="18"/>
        </w:rPr>
        <w:t xml:space="preserve">in </w:t>
      </w:r>
      <w:r w:rsidR="001E0537" w:rsidRPr="00CB7CCC">
        <w:rPr>
          <w:sz w:val="18"/>
          <w:szCs w:val="18"/>
        </w:rPr>
        <w:t xml:space="preserve">FY20 compared to </w:t>
      </w:r>
      <w:r w:rsidR="00F1379A" w:rsidRPr="00CB7CCC">
        <w:rPr>
          <w:sz w:val="18"/>
          <w:szCs w:val="18"/>
        </w:rPr>
        <w:t xml:space="preserve">an inflow of </w:t>
      </w:r>
      <w:r w:rsidR="001E0537" w:rsidRPr="00CB7CCC">
        <w:rPr>
          <w:sz w:val="18"/>
          <w:szCs w:val="18"/>
        </w:rPr>
        <w:t>£54.9</w:t>
      </w:r>
      <w:r w:rsidRPr="00CB7CCC">
        <w:rPr>
          <w:sz w:val="18"/>
          <w:szCs w:val="18"/>
        </w:rPr>
        <w:t>m in FY1</w:t>
      </w:r>
      <w:r w:rsidR="001E0537" w:rsidRPr="00CB7CCC">
        <w:rPr>
          <w:sz w:val="18"/>
          <w:szCs w:val="18"/>
        </w:rPr>
        <w:t>9</w:t>
      </w:r>
      <w:r w:rsidRPr="00CB7CCC">
        <w:rPr>
          <w:sz w:val="18"/>
          <w:szCs w:val="18"/>
        </w:rPr>
        <w:t xml:space="preserve">, the decrease primarily reflecting </w:t>
      </w:r>
      <w:r w:rsidR="00C63AD2" w:rsidRPr="00CB7CCC">
        <w:rPr>
          <w:sz w:val="18"/>
          <w:szCs w:val="18"/>
        </w:rPr>
        <w:t xml:space="preserve">reduced profitability and </w:t>
      </w:r>
      <w:r w:rsidRPr="00CB7CCC">
        <w:rPr>
          <w:sz w:val="18"/>
          <w:szCs w:val="18"/>
        </w:rPr>
        <w:t xml:space="preserve">the </w:t>
      </w:r>
      <w:r w:rsidR="00112C3B" w:rsidRPr="00CB7CCC">
        <w:rPr>
          <w:sz w:val="18"/>
          <w:szCs w:val="18"/>
        </w:rPr>
        <w:t>working capital outflows associated with reduced demand in the Group’s food to go categories</w:t>
      </w:r>
      <w:r w:rsidRPr="00CB7CCC">
        <w:rPr>
          <w:sz w:val="18"/>
          <w:szCs w:val="18"/>
        </w:rPr>
        <w:t xml:space="preserve">. </w:t>
      </w:r>
      <w:r w:rsidR="00994019" w:rsidRPr="00CB7CCC">
        <w:rPr>
          <w:sz w:val="18"/>
          <w:szCs w:val="18"/>
        </w:rPr>
        <w:t xml:space="preserve">The conversion rate of Adjusted EBITDA was </w:t>
      </w:r>
      <w:r w:rsidR="00F1379A" w:rsidRPr="00CB7CCC">
        <w:rPr>
          <w:sz w:val="18"/>
          <w:szCs w:val="18"/>
        </w:rPr>
        <w:t>negative</w:t>
      </w:r>
      <w:r w:rsidR="00994019" w:rsidRPr="00CB7CCC">
        <w:rPr>
          <w:sz w:val="18"/>
          <w:szCs w:val="18"/>
        </w:rPr>
        <w:t xml:space="preserve"> in FY20 </w:t>
      </w:r>
      <w:r w:rsidR="001E0537" w:rsidRPr="00CB7CCC">
        <w:rPr>
          <w:sz w:val="18"/>
          <w:szCs w:val="18"/>
        </w:rPr>
        <w:t>(FY19: 36</w:t>
      </w:r>
      <w:r w:rsidRPr="00CB7CCC">
        <w:rPr>
          <w:sz w:val="18"/>
          <w:szCs w:val="18"/>
        </w:rPr>
        <w:t xml:space="preserve">%). </w:t>
      </w:r>
      <w:r w:rsidR="00112C3B" w:rsidRPr="00CB7CCC">
        <w:rPr>
          <w:sz w:val="18"/>
          <w:szCs w:val="18"/>
        </w:rPr>
        <w:t xml:space="preserve">The impact of higher </w:t>
      </w:r>
      <w:r w:rsidRPr="00CB7CCC">
        <w:rPr>
          <w:sz w:val="18"/>
          <w:szCs w:val="18"/>
        </w:rPr>
        <w:t>working capital outflows</w:t>
      </w:r>
      <w:r w:rsidR="00112C3B" w:rsidRPr="00CB7CCC">
        <w:rPr>
          <w:sz w:val="18"/>
          <w:szCs w:val="18"/>
        </w:rPr>
        <w:t xml:space="preserve"> was partly offset by lower pension cash contributions and lower maintenance capex</w:t>
      </w:r>
      <w:r w:rsidRPr="00CB7CCC">
        <w:rPr>
          <w:sz w:val="18"/>
          <w:szCs w:val="18"/>
        </w:rPr>
        <w:t>.</w:t>
      </w:r>
      <w:r w:rsidR="00E509A4" w:rsidRPr="00CB7CCC">
        <w:rPr>
          <w:sz w:val="18"/>
          <w:szCs w:val="18"/>
        </w:rPr>
        <w:t xml:space="preserve"> </w:t>
      </w:r>
      <w:r w:rsidRPr="00CB7CCC">
        <w:rPr>
          <w:sz w:val="18"/>
          <w:szCs w:val="18"/>
        </w:rPr>
        <w:t xml:space="preserve">Several other factors had a </w:t>
      </w:r>
      <w:r w:rsidR="00112C3B" w:rsidRPr="00CB7CCC">
        <w:rPr>
          <w:sz w:val="18"/>
          <w:szCs w:val="18"/>
        </w:rPr>
        <w:t xml:space="preserve">mitigating </w:t>
      </w:r>
      <w:r w:rsidRPr="00CB7CCC">
        <w:rPr>
          <w:sz w:val="18"/>
          <w:szCs w:val="18"/>
        </w:rPr>
        <w:t xml:space="preserve">impact on </w:t>
      </w:r>
      <w:r w:rsidR="00112C3B" w:rsidRPr="00CB7CCC">
        <w:rPr>
          <w:sz w:val="18"/>
          <w:szCs w:val="18"/>
        </w:rPr>
        <w:t xml:space="preserve">the levels of overall </w:t>
      </w:r>
      <w:r w:rsidRPr="00CB7CCC">
        <w:rPr>
          <w:sz w:val="18"/>
          <w:szCs w:val="18"/>
        </w:rPr>
        <w:t xml:space="preserve">cash </w:t>
      </w:r>
      <w:r w:rsidR="00112C3B" w:rsidRPr="00CB7CCC">
        <w:rPr>
          <w:sz w:val="18"/>
          <w:szCs w:val="18"/>
        </w:rPr>
        <w:t>out</w:t>
      </w:r>
      <w:r w:rsidRPr="00CB7CCC">
        <w:rPr>
          <w:sz w:val="18"/>
          <w:szCs w:val="18"/>
        </w:rPr>
        <w:t xml:space="preserve">flow during </w:t>
      </w:r>
      <w:r w:rsidR="001E0537" w:rsidRPr="00CB7CCC">
        <w:rPr>
          <w:sz w:val="18"/>
          <w:szCs w:val="18"/>
        </w:rPr>
        <w:t>FY20</w:t>
      </w:r>
      <w:r w:rsidR="00112C3B" w:rsidRPr="00CB7CCC">
        <w:rPr>
          <w:sz w:val="18"/>
          <w:szCs w:val="18"/>
        </w:rPr>
        <w:t>, principally the decision not to pay an interim FY20 dividend</w:t>
      </w:r>
      <w:r w:rsidRPr="00CB7CCC">
        <w:rPr>
          <w:sz w:val="18"/>
          <w:szCs w:val="18"/>
        </w:rPr>
        <w:t xml:space="preserve">. </w:t>
      </w:r>
    </w:p>
    <w:p w14:paraId="3F9B0485" w14:textId="4CAADEB2" w:rsidR="003B7495" w:rsidRPr="00CB7CCC" w:rsidRDefault="00166B4C" w:rsidP="00ED0EF2">
      <w:pPr>
        <w:adjustRightInd w:val="0"/>
        <w:spacing w:after="120"/>
        <w:jc w:val="both"/>
        <w:rPr>
          <w:sz w:val="18"/>
          <w:szCs w:val="18"/>
        </w:rPr>
      </w:pPr>
      <w:r w:rsidRPr="00CB7CCC">
        <w:rPr>
          <w:sz w:val="18"/>
          <w:szCs w:val="18"/>
        </w:rPr>
        <w:t>The Group’s Net Debt at 25 September 2020 was £</w:t>
      </w:r>
      <w:r w:rsidR="00E358D9">
        <w:rPr>
          <w:sz w:val="18"/>
          <w:szCs w:val="18"/>
        </w:rPr>
        <w:t>411.2</w:t>
      </w:r>
      <w:r w:rsidRPr="00CB7CCC">
        <w:rPr>
          <w:sz w:val="18"/>
          <w:szCs w:val="18"/>
        </w:rPr>
        <w:t>m, an increase of £122.</w:t>
      </w:r>
      <w:r w:rsidR="00E358D9">
        <w:rPr>
          <w:sz w:val="18"/>
          <w:szCs w:val="18"/>
        </w:rPr>
        <w:t>7</w:t>
      </w:r>
      <w:r w:rsidR="00E358D9" w:rsidRPr="00CB7CCC">
        <w:rPr>
          <w:sz w:val="18"/>
          <w:szCs w:val="18"/>
        </w:rPr>
        <w:t xml:space="preserve">m </w:t>
      </w:r>
      <w:r w:rsidRPr="00CB7CCC">
        <w:rPr>
          <w:sz w:val="18"/>
          <w:szCs w:val="18"/>
        </w:rPr>
        <w:t>compared to the prior year period</w:t>
      </w:r>
      <w:r w:rsidR="00E202FB">
        <w:rPr>
          <w:sz w:val="18"/>
          <w:szCs w:val="18"/>
        </w:rPr>
        <w:t xml:space="preserve"> which includes the impact of IFRS 16 lease obligations of £60.7m</w:t>
      </w:r>
      <w:r w:rsidR="00115CF4" w:rsidRPr="00CB7CCC">
        <w:rPr>
          <w:sz w:val="18"/>
          <w:szCs w:val="18"/>
        </w:rPr>
        <w:t xml:space="preserve">. </w:t>
      </w:r>
      <w:r w:rsidR="003B7495" w:rsidRPr="00CB7CCC">
        <w:rPr>
          <w:sz w:val="18"/>
          <w:szCs w:val="18"/>
        </w:rPr>
        <w:t xml:space="preserve">Net Debt </w:t>
      </w:r>
      <w:r w:rsidRPr="00CB7CCC">
        <w:rPr>
          <w:sz w:val="18"/>
          <w:szCs w:val="18"/>
        </w:rPr>
        <w:t xml:space="preserve">excluding lease liabilities </w:t>
      </w:r>
      <w:r w:rsidR="00112C3B" w:rsidRPr="00CB7CCC">
        <w:rPr>
          <w:sz w:val="18"/>
          <w:szCs w:val="18"/>
        </w:rPr>
        <w:t xml:space="preserve">increased </w:t>
      </w:r>
      <w:r w:rsidR="003B7495" w:rsidRPr="00CB7CCC">
        <w:rPr>
          <w:sz w:val="18"/>
          <w:szCs w:val="18"/>
        </w:rPr>
        <w:t>to £</w:t>
      </w:r>
      <w:r w:rsidR="00E379FF" w:rsidRPr="00CB7CCC">
        <w:rPr>
          <w:sz w:val="18"/>
          <w:szCs w:val="18"/>
        </w:rPr>
        <w:t>350.5</w:t>
      </w:r>
      <w:r w:rsidR="003B7495" w:rsidRPr="00CB7CCC">
        <w:rPr>
          <w:sz w:val="18"/>
          <w:szCs w:val="18"/>
        </w:rPr>
        <w:t xml:space="preserve">m </w:t>
      </w:r>
      <w:r w:rsidR="001E0537" w:rsidRPr="00CB7CCC">
        <w:rPr>
          <w:sz w:val="18"/>
          <w:szCs w:val="18"/>
        </w:rPr>
        <w:t>from £288.5</w:t>
      </w:r>
      <w:r w:rsidR="003B7495" w:rsidRPr="00CB7CCC">
        <w:rPr>
          <w:sz w:val="18"/>
          <w:szCs w:val="18"/>
        </w:rPr>
        <w:t xml:space="preserve">m </w:t>
      </w:r>
      <w:r w:rsidR="001E0537" w:rsidRPr="00CB7CCC">
        <w:rPr>
          <w:sz w:val="18"/>
          <w:szCs w:val="18"/>
        </w:rPr>
        <w:t>at the end of FY19</w:t>
      </w:r>
      <w:r w:rsidR="003B7495" w:rsidRPr="00CB7CCC">
        <w:rPr>
          <w:sz w:val="18"/>
          <w:szCs w:val="18"/>
        </w:rPr>
        <w:t xml:space="preserve">. The Group’s Net </w:t>
      </w:r>
      <w:proofErr w:type="spellStart"/>
      <w:proofErr w:type="gramStart"/>
      <w:r w:rsidR="003B7495" w:rsidRPr="00CB7CCC">
        <w:rPr>
          <w:sz w:val="18"/>
          <w:szCs w:val="18"/>
        </w:rPr>
        <w:t>Debt:EBITDA</w:t>
      </w:r>
      <w:proofErr w:type="spellEnd"/>
      <w:proofErr w:type="gramEnd"/>
      <w:r w:rsidR="003B7495" w:rsidRPr="00CB7CCC">
        <w:rPr>
          <w:sz w:val="18"/>
          <w:szCs w:val="18"/>
        </w:rPr>
        <w:t xml:space="preserve"> leverage as measured under financing agreements was </w:t>
      </w:r>
      <w:r w:rsidR="00F1379A" w:rsidRPr="00CB7CCC">
        <w:rPr>
          <w:rFonts w:cs="Arial"/>
          <w:sz w:val="18"/>
          <w:szCs w:val="18"/>
        </w:rPr>
        <w:t>4.</w:t>
      </w:r>
      <w:r w:rsidR="00133A24">
        <w:rPr>
          <w:rFonts w:cs="Arial"/>
          <w:sz w:val="18"/>
          <w:szCs w:val="18"/>
        </w:rPr>
        <w:t>4</w:t>
      </w:r>
      <w:r w:rsidR="00E358D9">
        <w:rPr>
          <w:rFonts w:cs="Arial"/>
          <w:sz w:val="18"/>
          <w:szCs w:val="18"/>
        </w:rPr>
        <w:t>x</w:t>
      </w:r>
      <w:r w:rsidR="003B7495" w:rsidRPr="00CB7CCC">
        <w:rPr>
          <w:sz w:val="18"/>
          <w:szCs w:val="18"/>
        </w:rPr>
        <w:t xml:space="preserve"> a</w:t>
      </w:r>
      <w:r w:rsidR="001E0537" w:rsidRPr="00CB7CCC">
        <w:rPr>
          <w:sz w:val="18"/>
          <w:szCs w:val="18"/>
        </w:rPr>
        <w:t xml:space="preserve">t year end. This compared to </w:t>
      </w:r>
      <w:r w:rsidR="00112C3B" w:rsidRPr="00CB7CCC">
        <w:rPr>
          <w:sz w:val="18"/>
          <w:szCs w:val="18"/>
        </w:rPr>
        <w:t>2.1</w:t>
      </w:r>
      <w:r w:rsidR="001E0537" w:rsidRPr="00CB7CCC">
        <w:rPr>
          <w:sz w:val="18"/>
          <w:szCs w:val="18"/>
        </w:rPr>
        <w:t>x at the end of March 2020 and 1.8x at the end of September 2019</w:t>
      </w:r>
      <w:r w:rsidR="003B7495" w:rsidRPr="00CB7CCC">
        <w:rPr>
          <w:sz w:val="18"/>
          <w:szCs w:val="18"/>
        </w:rPr>
        <w:t xml:space="preserve">. </w:t>
      </w:r>
      <w:r w:rsidR="003B7495" w:rsidRPr="00CB7CCC">
        <w:rPr>
          <w:rFonts w:cs="Arial"/>
          <w:sz w:val="18"/>
          <w:szCs w:val="18"/>
        </w:rPr>
        <w:t xml:space="preserve">As </w:t>
      </w:r>
      <w:proofErr w:type="gramStart"/>
      <w:r w:rsidR="003B7495" w:rsidRPr="00CB7CCC">
        <w:rPr>
          <w:rFonts w:cs="Arial"/>
          <w:sz w:val="18"/>
          <w:szCs w:val="18"/>
        </w:rPr>
        <w:t>at</w:t>
      </w:r>
      <w:proofErr w:type="gramEnd"/>
      <w:r w:rsidR="003B7495" w:rsidRPr="00CB7CCC">
        <w:rPr>
          <w:rFonts w:cs="Arial"/>
          <w:sz w:val="18"/>
          <w:szCs w:val="18"/>
        </w:rPr>
        <w:t xml:space="preserve"> 2</w:t>
      </w:r>
      <w:r w:rsidR="00063B5F" w:rsidRPr="00CB7CCC">
        <w:rPr>
          <w:rFonts w:cs="Arial"/>
          <w:sz w:val="18"/>
          <w:szCs w:val="18"/>
        </w:rPr>
        <w:t>5 September 2020</w:t>
      </w:r>
      <w:r w:rsidR="003B7495" w:rsidRPr="00CB7CCC">
        <w:rPr>
          <w:rFonts w:cs="Arial"/>
          <w:sz w:val="18"/>
          <w:szCs w:val="18"/>
        </w:rPr>
        <w:t xml:space="preserve">, the Group had committed facilities of </w:t>
      </w:r>
      <w:r w:rsidR="00063B5F" w:rsidRPr="00CB7CCC">
        <w:rPr>
          <w:rFonts w:cs="Arial"/>
          <w:sz w:val="18"/>
          <w:szCs w:val="18"/>
        </w:rPr>
        <w:t>£</w:t>
      </w:r>
      <w:r w:rsidR="00112C3B" w:rsidRPr="00CB7CCC">
        <w:rPr>
          <w:rFonts w:cs="Arial"/>
          <w:sz w:val="18"/>
          <w:szCs w:val="18"/>
        </w:rPr>
        <w:t>57</w:t>
      </w:r>
      <w:r w:rsidR="00CF0951" w:rsidRPr="00CB7CCC">
        <w:rPr>
          <w:rFonts w:cs="Arial"/>
          <w:sz w:val="18"/>
          <w:szCs w:val="18"/>
        </w:rPr>
        <w:t>7.9</w:t>
      </w:r>
      <w:r w:rsidR="003B7495" w:rsidRPr="00CB7CCC">
        <w:rPr>
          <w:rFonts w:cs="Arial"/>
          <w:sz w:val="18"/>
          <w:szCs w:val="18"/>
        </w:rPr>
        <w:t xml:space="preserve">m with a weighted average maturity of </w:t>
      </w:r>
      <w:r w:rsidR="00112C3B" w:rsidRPr="00CB7CCC">
        <w:rPr>
          <w:rFonts w:cs="Arial"/>
          <w:sz w:val="18"/>
          <w:szCs w:val="18"/>
        </w:rPr>
        <w:t>3.3</w:t>
      </w:r>
      <w:r w:rsidR="003B7495" w:rsidRPr="00CB7CCC">
        <w:rPr>
          <w:rFonts w:cs="Arial"/>
          <w:sz w:val="18"/>
          <w:szCs w:val="18"/>
        </w:rPr>
        <w:t xml:space="preserve"> years. </w:t>
      </w:r>
      <w:r w:rsidR="00507A59">
        <w:rPr>
          <w:sz w:val="18"/>
          <w:szCs w:val="18"/>
        </w:rPr>
        <w:t>Following the revised financing agreements secured after year end the weighted average maturity of these facilities is now 3.6 years.</w:t>
      </w:r>
    </w:p>
    <w:p w14:paraId="73DD22E3" w14:textId="181E964E" w:rsidR="003B7495" w:rsidRDefault="00063B5F" w:rsidP="00ED0EF2">
      <w:pPr>
        <w:spacing w:after="120"/>
        <w:jc w:val="both"/>
        <w:rPr>
          <w:sz w:val="18"/>
          <w:szCs w:val="18"/>
        </w:rPr>
      </w:pPr>
      <w:r w:rsidRPr="00CB7CCC">
        <w:rPr>
          <w:sz w:val="18"/>
          <w:szCs w:val="18"/>
        </w:rPr>
        <w:t xml:space="preserve">ROIC was </w:t>
      </w:r>
      <w:r w:rsidR="0089269C" w:rsidRPr="00CB7CCC">
        <w:rPr>
          <w:rFonts w:cs="Arial"/>
          <w:sz w:val="18"/>
          <w:szCs w:val="18"/>
        </w:rPr>
        <w:t>4.</w:t>
      </w:r>
      <w:r w:rsidR="00A42495" w:rsidRPr="00CB7CCC">
        <w:rPr>
          <w:rFonts w:cs="Arial"/>
          <w:sz w:val="18"/>
          <w:szCs w:val="18"/>
        </w:rPr>
        <w:t>1</w:t>
      </w:r>
      <w:r w:rsidR="003B7495" w:rsidRPr="00CB7CCC">
        <w:rPr>
          <w:sz w:val="18"/>
          <w:szCs w:val="18"/>
        </w:rPr>
        <w:t xml:space="preserve">% for the 12 months ended </w:t>
      </w:r>
      <w:r w:rsidRPr="00CB7CCC">
        <w:rPr>
          <w:sz w:val="18"/>
          <w:szCs w:val="18"/>
        </w:rPr>
        <w:t>25 September 2020</w:t>
      </w:r>
      <w:r w:rsidR="003B7495" w:rsidRPr="00CB7CCC">
        <w:rPr>
          <w:sz w:val="18"/>
          <w:szCs w:val="18"/>
        </w:rPr>
        <w:t xml:space="preserve">, compared to </w:t>
      </w:r>
      <w:r w:rsidRPr="00CB7CCC">
        <w:rPr>
          <w:sz w:val="18"/>
          <w:szCs w:val="18"/>
        </w:rPr>
        <w:t>14.4</w:t>
      </w:r>
      <w:r w:rsidR="003B7495" w:rsidRPr="00CB7CCC">
        <w:rPr>
          <w:sz w:val="18"/>
          <w:szCs w:val="18"/>
        </w:rPr>
        <w:t xml:space="preserve">% for the 12 months ended </w:t>
      </w:r>
      <w:r w:rsidRPr="00CB7CCC">
        <w:rPr>
          <w:sz w:val="18"/>
          <w:szCs w:val="18"/>
        </w:rPr>
        <w:t>27</w:t>
      </w:r>
      <w:r w:rsidR="003B7495" w:rsidRPr="00CB7CCC">
        <w:rPr>
          <w:sz w:val="18"/>
          <w:szCs w:val="18"/>
        </w:rPr>
        <w:t xml:space="preserve"> September</w:t>
      </w:r>
      <w:r w:rsidRPr="00CB7CCC">
        <w:rPr>
          <w:sz w:val="18"/>
          <w:szCs w:val="18"/>
        </w:rPr>
        <w:t xml:space="preserve"> 2019</w:t>
      </w:r>
      <w:r w:rsidR="003B7495" w:rsidRPr="00CB7CCC">
        <w:rPr>
          <w:sz w:val="18"/>
          <w:szCs w:val="18"/>
        </w:rPr>
        <w:t xml:space="preserve">. The reduction was primarily driven by </w:t>
      </w:r>
      <w:r w:rsidR="00FB1B22" w:rsidRPr="00CB7CCC">
        <w:rPr>
          <w:sz w:val="18"/>
          <w:szCs w:val="18"/>
        </w:rPr>
        <w:t>reduced profitability in the period. Average invested capital also increased</w:t>
      </w:r>
      <w:r w:rsidR="008967BE">
        <w:rPr>
          <w:sz w:val="18"/>
          <w:szCs w:val="18"/>
        </w:rPr>
        <w:t xml:space="preserve"> primarily due to the impact of the recognition of right-to-use assets </w:t>
      </w:r>
      <w:r w:rsidR="005C00CE" w:rsidRPr="00CB7CCC">
        <w:rPr>
          <w:sz w:val="18"/>
          <w:szCs w:val="18"/>
        </w:rPr>
        <w:t>recognised under IFRS 16</w:t>
      </w:r>
      <w:r w:rsidR="008967BE">
        <w:rPr>
          <w:sz w:val="18"/>
          <w:szCs w:val="18"/>
        </w:rPr>
        <w:t xml:space="preserve"> </w:t>
      </w:r>
      <w:r w:rsidR="008967BE" w:rsidRPr="005771B0">
        <w:rPr>
          <w:i/>
          <w:sz w:val="18"/>
          <w:szCs w:val="18"/>
        </w:rPr>
        <w:t>Leases</w:t>
      </w:r>
      <w:r w:rsidR="005C00CE" w:rsidRPr="00CB7CCC">
        <w:rPr>
          <w:sz w:val="18"/>
          <w:szCs w:val="18"/>
        </w:rPr>
        <w:t>.</w:t>
      </w:r>
      <w:r w:rsidR="003B7495" w:rsidRPr="00CB7CCC">
        <w:rPr>
          <w:sz w:val="18"/>
          <w:szCs w:val="18"/>
        </w:rPr>
        <w:t xml:space="preserve">   </w:t>
      </w:r>
    </w:p>
    <w:p w14:paraId="05905EAC" w14:textId="77777777" w:rsidR="003B7495" w:rsidRPr="00CB7CCC" w:rsidRDefault="003B7495" w:rsidP="00ED0EF2">
      <w:pPr>
        <w:spacing w:after="120"/>
        <w:jc w:val="both"/>
        <w:rPr>
          <w:sz w:val="18"/>
          <w:szCs w:val="18"/>
        </w:rPr>
      </w:pPr>
      <w:r w:rsidRPr="00CB7CCC">
        <w:rPr>
          <w:rFonts w:cs="Arial"/>
          <w:b/>
          <w:sz w:val="20"/>
          <w:szCs w:val="18"/>
        </w:rPr>
        <w:t>FINANCIAL REVIEW</w:t>
      </w:r>
      <w:r w:rsidR="00C060CA" w:rsidRPr="00CB7CCC">
        <w:rPr>
          <w:rFonts w:cs="Arial"/>
          <w:b/>
          <w:sz w:val="20"/>
          <w:szCs w:val="18"/>
          <w:vertAlign w:val="superscript"/>
        </w:rPr>
        <w:t>1</w:t>
      </w:r>
      <w:r w:rsidR="00115113" w:rsidRPr="00CB7CCC">
        <w:rPr>
          <w:rFonts w:cs="Arial"/>
          <w:b/>
          <w:sz w:val="20"/>
          <w:szCs w:val="18"/>
          <w:vertAlign w:val="superscript"/>
        </w:rPr>
        <w:t>,2</w:t>
      </w:r>
    </w:p>
    <w:p w14:paraId="42AB0002" w14:textId="77777777" w:rsidR="003B7495" w:rsidRPr="00CB7CCC" w:rsidRDefault="003B7495" w:rsidP="00ED0EF2">
      <w:pPr>
        <w:pStyle w:val="Default"/>
        <w:spacing w:after="120"/>
        <w:jc w:val="both"/>
        <w:rPr>
          <w:rFonts w:asciiTheme="minorHAnsi" w:hAnsiTheme="minorHAnsi" w:cs="Arial"/>
          <w:b/>
          <w:bCs/>
          <w:sz w:val="18"/>
          <w:szCs w:val="18"/>
        </w:rPr>
      </w:pPr>
      <w:r w:rsidRPr="00CB7CCC">
        <w:rPr>
          <w:rFonts w:asciiTheme="minorHAnsi" w:hAnsiTheme="minorHAnsi" w:cs="Arial"/>
          <w:b/>
          <w:bCs/>
          <w:sz w:val="18"/>
          <w:szCs w:val="18"/>
        </w:rPr>
        <w:t xml:space="preserve">Revenue and Operating Profit </w:t>
      </w:r>
    </w:p>
    <w:p w14:paraId="352C16D5" w14:textId="77777777" w:rsidR="006B20D0" w:rsidRPr="00CB7CCC" w:rsidRDefault="003B7495" w:rsidP="00ED0EF2">
      <w:pPr>
        <w:adjustRightInd w:val="0"/>
        <w:spacing w:after="120"/>
        <w:jc w:val="both"/>
        <w:rPr>
          <w:sz w:val="18"/>
          <w:szCs w:val="18"/>
        </w:rPr>
      </w:pPr>
      <w:r w:rsidRPr="00CB7CCC">
        <w:rPr>
          <w:sz w:val="18"/>
          <w:szCs w:val="18"/>
        </w:rPr>
        <w:t>Reported revenue in the period was £</w:t>
      </w:r>
      <w:r w:rsidR="0089269C" w:rsidRPr="00CB7CCC">
        <w:rPr>
          <w:rFonts w:cs="Arial"/>
          <w:sz w:val="18"/>
          <w:szCs w:val="18"/>
        </w:rPr>
        <w:t>1,</w:t>
      </w:r>
      <w:r w:rsidR="003E3CCF" w:rsidRPr="00CB7CCC">
        <w:rPr>
          <w:rFonts w:cs="Arial"/>
          <w:sz w:val="18"/>
          <w:szCs w:val="18"/>
        </w:rPr>
        <w:t>264.7</w:t>
      </w:r>
      <w:r w:rsidRPr="00CB7CCC">
        <w:rPr>
          <w:sz w:val="18"/>
          <w:szCs w:val="18"/>
        </w:rPr>
        <w:t xml:space="preserve">m, a decrease of </w:t>
      </w:r>
      <w:r w:rsidR="005C00CE" w:rsidRPr="00CB7CCC">
        <w:rPr>
          <w:rFonts w:cs="Arial"/>
          <w:sz w:val="18"/>
          <w:szCs w:val="18"/>
        </w:rPr>
        <w:t>12.</w:t>
      </w:r>
      <w:r w:rsidR="003E3CCF" w:rsidRPr="00CB7CCC">
        <w:rPr>
          <w:rFonts w:cs="Arial"/>
          <w:sz w:val="18"/>
          <w:szCs w:val="18"/>
        </w:rPr>
        <w:t>5</w:t>
      </w:r>
      <w:r w:rsidRPr="00CB7CCC">
        <w:rPr>
          <w:sz w:val="18"/>
          <w:szCs w:val="18"/>
        </w:rPr>
        <w:t xml:space="preserve">% </w:t>
      </w:r>
      <w:r w:rsidR="00063B5F" w:rsidRPr="00CB7CCC">
        <w:rPr>
          <w:sz w:val="18"/>
          <w:szCs w:val="18"/>
        </w:rPr>
        <w:t>compared to FY19</w:t>
      </w:r>
      <w:r w:rsidR="006B20D0" w:rsidRPr="00CB7CCC">
        <w:rPr>
          <w:sz w:val="18"/>
          <w:szCs w:val="18"/>
        </w:rPr>
        <w:t xml:space="preserve">, primarily reflecting the </w:t>
      </w:r>
      <w:r w:rsidR="002179C5" w:rsidRPr="00CB7CCC">
        <w:rPr>
          <w:sz w:val="18"/>
          <w:szCs w:val="18"/>
        </w:rPr>
        <w:t>impact of COVID-19 on demand in food to go categories</w:t>
      </w:r>
      <w:r w:rsidR="006B20D0" w:rsidRPr="00CB7CCC">
        <w:rPr>
          <w:sz w:val="18"/>
          <w:szCs w:val="18"/>
        </w:rPr>
        <w:t xml:space="preserve">. </w:t>
      </w:r>
      <w:r w:rsidR="00063B5F" w:rsidRPr="00CB7CCC">
        <w:rPr>
          <w:sz w:val="18"/>
          <w:szCs w:val="18"/>
        </w:rPr>
        <w:t xml:space="preserve">Pro Forma Revenue </w:t>
      </w:r>
      <w:r w:rsidR="002179C5" w:rsidRPr="00CB7CCC">
        <w:rPr>
          <w:sz w:val="18"/>
          <w:szCs w:val="18"/>
        </w:rPr>
        <w:t xml:space="preserve">decreased by </w:t>
      </w:r>
      <w:r w:rsidR="00F1379A" w:rsidRPr="00CB7CCC">
        <w:rPr>
          <w:rFonts w:cs="Arial"/>
          <w:sz w:val="18"/>
          <w:szCs w:val="18"/>
        </w:rPr>
        <w:t>14.</w:t>
      </w:r>
      <w:r w:rsidR="002A6258" w:rsidRPr="00CB7CCC">
        <w:rPr>
          <w:rFonts w:cs="Arial"/>
          <w:sz w:val="18"/>
          <w:szCs w:val="18"/>
        </w:rPr>
        <w:t>3</w:t>
      </w:r>
      <w:r w:rsidRPr="00CB7CCC">
        <w:rPr>
          <w:sz w:val="18"/>
          <w:szCs w:val="18"/>
        </w:rPr>
        <w:t xml:space="preserve">%. </w:t>
      </w:r>
    </w:p>
    <w:p w14:paraId="3F1479ED" w14:textId="683676DE" w:rsidR="000C59A2" w:rsidRPr="00CB7CCC" w:rsidRDefault="006B20D0" w:rsidP="00ED0EF2">
      <w:pPr>
        <w:spacing w:after="120"/>
        <w:jc w:val="both"/>
        <w:rPr>
          <w:sz w:val="18"/>
          <w:szCs w:val="18"/>
        </w:rPr>
      </w:pPr>
      <w:r w:rsidRPr="00CB7CCC">
        <w:rPr>
          <w:sz w:val="18"/>
          <w:szCs w:val="18"/>
        </w:rPr>
        <w:t>Group</w:t>
      </w:r>
      <w:r w:rsidR="003B7495" w:rsidRPr="00CB7CCC">
        <w:rPr>
          <w:sz w:val="18"/>
          <w:szCs w:val="18"/>
        </w:rPr>
        <w:t xml:space="preserve"> Operating Profit</w:t>
      </w:r>
      <w:r w:rsidR="00063B5F" w:rsidRPr="00CB7CCC">
        <w:rPr>
          <w:sz w:val="18"/>
          <w:szCs w:val="18"/>
        </w:rPr>
        <w:t xml:space="preserve"> decreased from £99.8m to £</w:t>
      </w:r>
      <w:r w:rsidR="002A6258" w:rsidRPr="00CB7CCC">
        <w:rPr>
          <w:rFonts w:cs="Arial"/>
          <w:sz w:val="18"/>
          <w:szCs w:val="18"/>
        </w:rPr>
        <w:t>12.9</w:t>
      </w:r>
      <w:r w:rsidRPr="00CB7CCC">
        <w:rPr>
          <w:sz w:val="18"/>
          <w:szCs w:val="18"/>
        </w:rPr>
        <w:t xml:space="preserve">m </w:t>
      </w:r>
      <w:proofErr w:type="gramStart"/>
      <w:r w:rsidRPr="00CB7CCC">
        <w:rPr>
          <w:sz w:val="18"/>
          <w:szCs w:val="18"/>
        </w:rPr>
        <w:t>as a result of</w:t>
      </w:r>
      <w:proofErr w:type="gramEnd"/>
      <w:r w:rsidRPr="00CB7CCC">
        <w:rPr>
          <w:sz w:val="18"/>
          <w:szCs w:val="18"/>
        </w:rPr>
        <w:t xml:space="preserve"> </w:t>
      </w:r>
      <w:r w:rsidR="002179C5" w:rsidRPr="00CB7CCC">
        <w:rPr>
          <w:sz w:val="18"/>
          <w:szCs w:val="18"/>
        </w:rPr>
        <w:t xml:space="preserve">significantly lower revenue in FY20 and </w:t>
      </w:r>
      <w:r w:rsidRPr="00CB7CCC">
        <w:rPr>
          <w:sz w:val="18"/>
          <w:szCs w:val="18"/>
        </w:rPr>
        <w:t>a</w:t>
      </w:r>
      <w:r w:rsidR="002179C5" w:rsidRPr="00CB7CCC">
        <w:rPr>
          <w:sz w:val="18"/>
          <w:szCs w:val="18"/>
        </w:rPr>
        <w:t>n</w:t>
      </w:r>
      <w:r w:rsidRPr="00CB7CCC">
        <w:rPr>
          <w:sz w:val="18"/>
          <w:szCs w:val="18"/>
        </w:rPr>
        <w:t xml:space="preserve"> </w:t>
      </w:r>
      <w:r w:rsidR="002179C5" w:rsidRPr="00CB7CCC">
        <w:rPr>
          <w:sz w:val="18"/>
          <w:szCs w:val="18"/>
        </w:rPr>
        <w:t xml:space="preserve">increase </w:t>
      </w:r>
      <w:r w:rsidRPr="00CB7CCC">
        <w:rPr>
          <w:sz w:val="18"/>
          <w:szCs w:val="18"/>
        </w:rPr>
        <w:t>in the l</w:t>
      </w:r>
      <w:r w:rsidR="00063B5F" w:rsidRPr="00CB7CCC">
        <w:rPr>
          <w:sz w:val="18"/>
          <w:szCs w:val="18"/>
        </w:rPr>
        <w:t>evel of exceptional items in FY20</w:t>
      </w:r>
      <w:r w:rsidRPr="00CB7CCC">
        <w:rPr>
          <w:sz w:val="18"/>
          <w:szCs w:val="18"/>
        </w:rPr>
        <w:t>. Adjusted Operating Profit</w:t>
      </w:r>
      <w:r w:rsidR="003B7495" w:rsidRPr="00CB7CCC">
        <w:rPr>
          <w:sz w:val="18"/>
          <w:szCs w:val="18"/>
        </w:rPr>
        <w:t xml:space="preserve"> of £</w:t>
      </w:r>
      <w:r w:rsidR="0089269C" w:rsidRPr="00CB7CCC">
        <w:rPr>
          <w:rFonts w:cs="Arial"/>
          <w:sz w:val="18"/>
          <w:szCs w:val="18"/>
        </w:rPr>
        <w:t>3</w:t>
      </w:r>
      <w:r w:rsidR="002A6258" w:rsidRPr="00CB7CCC">
        <w:rPr>
          <w:rFonts w:cs="Arial"/>
          <w:sz w:val="18"/>
          <w:szCs w:val="18"/>
        </w:rPr>
        <w:t>2.5</w:t>
      </w:r>
      <w:r w:rsidR="003B7495" w:rsidRPr="00CB7CCC">
        <w:rPr>
          <w:sz w:val="18"/>
          <w:szCs w:val="18"/>
        </w:rPr>
        <w:t xml:space="preserve">m was </w:t>
      </w:r>
      <w:r w:rsidR="002A6258" w:rsidRPr="00CB7CCC">
        <w:rPr>
          <w:rFonts w:cs="Arial"/>
          <w:sz w:val="18"/>
          <w:szCs w:val="18"/>
        </w:rPr>
        <w:t>69.2</w:t>
      </w:r>
      <w:r w:rsidR="00063B5F" w:rsidRPr="00CB7CCC">
        <w:rPr>
          <w:sz w:val="18"/>
          <w:szCs w:val="18"/>
        </w:rPr>
        <w:t>% lower</w:t>
      </w:r>
      <w:r w:rsidR="003B7495" w:rsidRPr="00CB7CCC">
        <w:rPr>
          <w:sz w:val="18"/>
          <w:szCs w:val="18"/>
        </w:rPr>
        <w:t xml:space="preserve"> than in </w:t>
      </w:r>
      <w:r w:rsidR="00063B5F" w:rsidRPr="00CB7CCC">
        <w:rPr>
          <w:sz w:val="18"/>
          <w:szCs w:val="18"/>
        </w:rPr>
        <w:t>FY19</w:t>
      </w:r>
      <w:r w:rsidR="00627525" w:rsidRPr="00CB7CCC">
        <w:rPr>
          <w:sz w:val="18"/>
          <w:szCs w:val="18"/>
        </w:rPr>
        <w:t xml:space="preserve"> with </w:t>
      </w:r>
      <w:r w:rsidR="002179C5" w:rsidRPr="00CB7CCC">
        <w:rPr>
          <w:sz w:val="18"/>
          <w:szCs w:val="18"/>
        </w:rPr>
        <w:t xml:space="preserve">lower </w:t>
      </w:r>
      <w:r w:rsidR="003B7495" w:rsidRPr="00CB7CCC">
        <w:rPr>
          <w:sz w:val="18"/>
          <w:szCs w:val="18"/>
        </w:rPr>
        <w:t xml:space="preserve">profits </w:t>
      </w:r>
      <w:r w:rsidR="00063B5F" w:rsidRPr="00CB7CCC">
        <w:rPr>
          <w:sz w:val="18"/>
          <w:szCs w:val="18"/>
        </w:rPr>
        <w:t>in food to go categories in FY20</w:t>
      </w:r>
      <w:r w:rsidR="003B7495" w:rsidRPr="00CB7CCC">
        <w:rPr>
          <w:sz w:val="18"/>
          <w:szCs w:val="18"/>
        </w:rPr>
        <w:t xml:space="preserve"> </w:t>
      </w:r>
      <w:r w:rsidR="002179C5" w:rsidRPr="00CB7CCC">
        <w:rPr>
          <w:sz w:val="18"/>
          <w:szCs w:val="18"/>
        </w:rPr>
        <w:t xml:space="preserve">partly offset by an improved </w:t>
      </w:r>
      <w:r w:rsidR="003B7495" w:rsidRPr="00CB7CCC">
        <w:rPr>
          <w:sz w:val="18"/>
          <w:szCs w:val="18"/>
        </w:rPr>
        <w:t xml:space="preserve">performance in the Group’s other convenience categories. Adjusted Operating Margin was </w:t>
      </w:r>
      <w:r w:rsidR="0089269C" w:rsidRPr="00CB7CCC">
        <w:rPr>
          <w:rFonts w:cs="Arial"/>
          <w:sz w:val="18"/>
          <w:szCs w:val="18"/>
        </w:rPr>
        <w:t>2.</w:t>
      </w:r>
      <w:r w:rsidR="002A6258" w:rsidRPr="00CB7CCC">
        <w:rPr>
          <w:rFonts w:cs="Arial"/>
          <w:sz w:val="18"/>
          <w:szCs w:val="18"/>
        </w:rPr>
        <w:t>6</w:t>
      </w:r>
      <w:r w:rsidR="003B7495" w:rsidRPr="00CB7CCC">
        <w:rPr>
          <w:sz w:val="18"/>
          <w:szCs w:val="18"/>
        </w:rPr>
        <w:t xml:space="preserve">%, </w:t>
      </w:r>
      <w:r w:rsidR="002A6258" w:rsidRPr="00CB7CCC">
        <w:rPr>
          <w:rFonts w:cs="Arial"/>
          <w:sz w:val="18"/>
          <w:szCs w:val="18"/>
        </w:rPr>
        <w:t>470</w:t>
      </w:r>
      <w:r w:rsidR="003B7495" w:rsidRPr="00CB7CCC">
        <w:rPr>
          <w:sz w:val="18"/>
          <w:szCs w:val="18"/>
        </w:rPr>
        <w:t xml:space="preserve"> basis points </w:t>
      </w:r>
      <w:r w:rsidR="002179C5" w:rsidRPr="00CB7CCC">
        <w:rPr>
          <w:sz w:val="18"/>
          <w:szCs w:val="18"/>
        </w:rPr>
        <w:t xml:space="preserve">lower </w:t>
      </w:r>
      <w:r w:rsidR="003B7495" w:rsidRPr="00CB7CCC">
        <w:rPr>
          <w:sz w:val="18"/>
          <w:szCs w:val="18"/>
        </w:rPr>
        <w:t xml:space="preserve">than the prior year. </w:t>
      </w:r>
    </w:p>
    <w:p w14:paraId="4BBB13D1" w14:textId="77777777" w:rsidR="003B7495" w:rsidRPr="00CB7CCC" w:rsidRDefault="003B7495" w:rsidP="00ED0EF2">
      <w:pPr>
        <w:spacing w:after="120"/>
        <w:jc w:val="both"/>
        <w:rPr>
          <w:rFonts w:cs="Arial"/>
          <w:b/>
          <w:sz w:val="18"/>
          <w:szCs w:val="18"/>
        </w:rPr>
      </w:pPr>
      <w:r w:rsidRPr="00CB7CCC">
        <w:rPr>
          <w:rFonts w:cs="Arial"/>
          <w:b/>
          <w:sz w:val="18"/>
          <w:szCs w:val="18"/>
        </w:rPr>
        <w:t xml:space="preserve">Net finance costs </w:t>
      </w:r>
    </w:p>
    <w:p w14:paraId="62F41EFA" w14:textId="17F36605" w:rsidR="002179C5" w:rsidRPr="00CB7CCC" w:rsidRDefault="002179C5" w:rsidP="00ED0EF2">
      <w:pPr>
        <w:adjustRightInd w:val="0"/>
        <w:spacing w:after="120"/>
        <w:jc w:val="both"/>
        <w:rPr>
          <w:sz w:val="18"/>
          <w:szCs w:val="18"/>
        </w:rPr>
      </w:pPr>
      <w:r w:rsidRPr="00CB7CCC">
        <w:rPr>
          <w:sz w:val="18"/>
          <w:szCs w:val="18"/>
        </w:rPr>
        <w:t>The Group’s net bank interest payable was £</w:t>
      </w:r>
      <w:r w:rsidR="00DE5BAB" w:rsidRPr="00CB7CCC">
        <w:rPr>
          <w:rFonts w:cs="Arial"/>
          <w:sz w:val="18"/>
          <w:szCs w:val="18"/>
        </w:rPr>
        <w:t>14.</w:t>
      </w:r>
      <w:r w:rsidR="0068024B">
        <w:rPr>
          <w:rFonts w:cs="Arial"/>
          <w:sz w:val="18"/>
          <w:szCs w:val="18"/>
        </w:rPr>
        <w:t>7</w:t>
      </w:r>
      <w:r w:rsidR="001A76DE" w:rsidRPr="00CB7CCC">
        <w:rPr>
          <w:sz w:val="18"/>
          <w:szCs w:val="18"/>
        </w:rPr>
        <w:t xml:space="preserve">m </w:t>
      </w:r>
      <w:r w:rsidRPr="00CB7CCC">
        <w:rPr>
          <w:sz w:val="18"/>
          <w:szCs w:val="18"/>
        </w:rPr>
        <w:t xml:space="preserve">in </w:t>
      </w:r>
      <w:r w:rsidR="00094927" w:rsidRPr="00CB7CCC">
        <w:rPr>
          <w:sz w:val="18"/>
          <w:szCs w:val="18"/>
        </w:rPr>
        <w:t>FY20, a</w:t>
      </w:r>
      <w:r w:rsidR="00DE5BAB" w:rsidRPr="00CB7CCC">
        <w:rPr>
          <w:sz w:val="18"/>
          <w:szCs w:val="18"/>
        </w:rPr>
        <w:t>n increase</w:t>
      </w:r>
      <w:r w:rsidRPr="00CB7CCC">
        <w:rPr>
          <w:sz w:val="18"/>
          <w:szCs w:val="18"/>
        </w:rPr>
        <w:t xml:space="preserve"> </w:t>
      </w:r>
      <w:r w:rsidRPr="00DE30F3">
        <w:rPr>
          <w:sz w:val="18"/>
          <w:szCs w:val="18"/>
        </w:rPr>
        <w:t>of £</w:t>
      </w:r>
      <w:r w:rsidR="00DE5BAB" w:rsidRPr="00DE30F3">
        <w:rPr>
          <w:rFonts w:cs="Arial"/>
          <w:sz w:val="18"/>
          <w:szCs w:val="18"/>
        </w:rPr>
        <w:t>0.</w:t>
      </w:r>
      <w:r w:rsidR="003C06AD" w:rsidRPr="00DE30F3">
        <w:rPr>
          <w:rFonts w:cs="Arial"/>
          <w:sz w:val="18"/>
          <w:szCs w:val="18"/>
        </w:rPr>
        <w:t>5</w:t>
      </w:r>
      <w:r w:rsidR="003C06AD" w:rsidRPr="00DE30F3">
        <w:rPr>
          <w:sz w:val="18"/>
          <w:szCs w:val="18"/>
        </w:rPr>
        <w:t xml:space="preserve">m </w:t>
      </w:r>
      <w:r w:rsidRPr="00DE30F3">
        <w:rPr>
          <w:sz w:val="18"/>
          <w:szCs w:val="18"/>
        </w:rPr>
        <w:t>versus</w:t>
      </w:r>
      <w:r w:rsidRPr="00CB7CCC">
        <w:rPr>
          <w:sz w:val="18"/>
          <w:szCs w:val="18"/>
        </w:rPr>
        <w:t xml:space="preserve"> FY19. The </w:t>
      </w:r>
      <w:r w:rsidR="00DE5BAB" w:rsidRPr="00CB7CCC">
        <w:rPr>
          <w:sz w:val="18"/>
          <w:szCs w:val="18"/>
        </w:rPr>
        <w:t xml:space="preserve">increase </w:t>
      </w:r>
      <w:r w:rsidRPr="00CB7CCC">
        <w:rPr>
          <w:sz w:val="18"/>
          <w:szCs w:val="18"/>
        </w:rPr>
        <w:t xml:space="preserve">was driven by </w:t>
      </w:r>
      <w:r w:rsidR="00596788" w:rsidRPr="00CB7CCC">
        <w:rPr>
          <w:sz w:val="18"/>
          <w:szCs w:val="18"/>
        </w:rPr>
        <w:t xml:space="preserve">lower net interest income </w:t>
      </w:r>
      <w:r w:rsidRPr="00CB7CCC">
        <w:rPr>
          <w:sz w:val="18"/>
          <w:szCs w:val="18"/>
        </w:rPr>
        <w:t xml:space="preserve">in the year. </w:t>
      </w:r>
      <w:r w:rsidR="00E202FB" w:rsidRPr="00CB7CCC">
        <w:rPr>
          <w:sz w:val="18"/>
          <w:szCs w:val="18"/>
        </w:rPr>
        <w:t xml:space="preserve">The Group </w:t>
      </w:r>
      <w:r w:rsidR="00E202FB">
        <w:rPr>
          <w:sz w:val="18"/>
          <w:szCs w:val="18"/>
        </w:rPr>
        <w:t xml:space="preserve">also </w:t>
      </w:r>
      <w:r w:rsidR="00E202FB" w:rsidRPr="00CB7CCC">
        <w:rPr>
          <w:sz w:val="18"/>
          <w:szCs w:val="18"/>
        </w:rPr>
        <w:t>recognised a £</w:t>
      </w:r>
      <w:r w:rsidR="00E202FB" w:rsidRPr="00CB7CCC">
        <w:rPr>
          <w:rFonts w:cs="Arial"/>
          <w:sz w:val="18"/>
          <w:szCs w:val="18"/>
        </w:rPr>
        <w:t>1.2</w:t>
      </w:r>
      <w:r w:rsidR="00E202FB" w:rsidRPr="00CB7CCC">
        <w:rPr>
          <w:sz w:val="18"/>
          <w:szCs w:val="18"/>
        </w:rPr>
        <w:t xml:space="preserve">m interest charge relating to the </w:t>
      </w:r>
      <w:r w:rsidR="00E202FB">
        <w:rPr>
          <w:sz w:val="18"/>
          <w:szCs w:val="18"/>
        </w:rPr>
        <w:t xml:space="preserve">interest payable on </w:t>
      </w:r>
      <w:r w:rsidR="00E202FB" w:rsidRPr="00CB7CCC">
        <w:rPr>
          <w:sz w:val="18"/>
          <w:szCs w:val="18"/>
        </w:rPr>
        <w:t>lease liabilit</w:t>
      </w:r>
      <w:r w:rsidR="00E202FB">
        <w:rPr>
          <w:sz w:val="18"/>
          <w:szCs w:val="18"/>
        </w:rPr>
        <w:t>ies</w:t>
      </w:r>
      <w:r w:rsidR="00E202FB" w:rsidRPr="00CB7CCC">
        <w:rPr>
          <w:sz w:val="18"/>
          <w:szCs w:val="18"/>
        </w:rPr>
        <w:t xml:space="preserve"> in the </w:t>
      </w:r>
      <w:r w:rsidR="00E202FB">
        <w:rPr>
          <w:sz w:val="18"/>
          <w:szCs w:val="18"/>
        </w:rPr>
        <w:t>year</w:t>
      </w:r>
      <w:r w:rsidR="00E202FB" w:rsidRPr="00CB7CCC">
        <w:rPr>
          <w:sz w:val="18"/>
          <w:szCs w:val="18"/>
        </w:rPr>
        <w:t>.</w:t>
      </w:r>
    </w:p>
    <w:p w14:paraId="446368F1" w14:textId="62006515" w:rsidR="002179C5" w:rsidRPr="00CB7CCC" w:rsidRDefault="002179C5" w:rsidP="00ED0EF2">
      <w:pPr>
        <w:adjustRightInd w:val="0"/>
        <w:spacing w:after="120"/>
        <w:jc w:val="both"/>
        <w:rPr>
          <w:sz w:val="18"/>
          <w:szCs w:val="18"/>
        </w:rPr>
      </w:pPr>
      <w:r w:rsidRPr="00CB7CCC">
        <w:rPr>
          <w:sz w:val="18"/>
          <w:szCs w:val="18"/>
        </w:rPr>
        <w:t>The Group’s non-cash finance charge, before exceptional items, in FY20 was £</w:t>
      </w:r>
      <w:r w:rsidR="00E202FB">
        <w:rPr>
          <w:sz w:val="18"/>
          <w:szCs w:val="18"/>
        </w:rPr>
        <w:t>1.3</w:t>
      </w:r>
      <w:r w:rsidRPr="00CB7CCC">
        <w:rPr>
          <w:sz w:val="18"/>
          <w:szCs w:val="18"/>
        </w:rPr>
        <w:t xml:space="preserve">m (FY19: £4.7m). </w:t>
      </w:r>
      <w:r w:rsidR="00E202FB">
        <w:rPr>
          <w:sz w:val="18"/>
          <w:szCs w:val="18"/>
        </w:rPr>
        <w:t>The</w:t>
      </w:r>
      <w:r w:rsidR="00E202FB" w:rsidRPr="00CB7CCC">
        <w:rPr>
          <w:sz w:val="18"/>
          <w:szCs w:val="18"/>
        </w:rPr>
        <w:t xml:space="preserve"> </w:t>
      </w:r>
      <w:r w:rsidRPr="00CB7CCC">
        <w:rPr>
          <w:sz w:val="18"/>
          <w:szCs w:val="18"/>
        </w:rPr>
        <w:t xml:space="preserve">change in the fair value of derivatives and related debt adjustments in the period </w:t>
      </w:r>
      <w:r w:rsidR="00060356" w:rsidRPr="00CB7CCC">
        <w:rPr>
          <w:sz w:val="18"/>
          <w:szCs w:val="18"/>
        </w:rPr>
        <w:t xml:space="preserve">was a </w:t>
      </w:r>
      <w:r w:rsidR="00DE5BAB" w:rsidRPr="00CB7CCC">
        <w:rPr>
          <w:sz w:val="18"/>
          <w:szCs w:val="18"/>
        </w:rPr>
        <w:t>£0.7m</w:t>
      </w:r>
      <w:r w:rsidR="00060356" w:rsidRPr="00CB7CCC">
        <w:rPr>
          <w:sz w:val="18"/>
          <w:szCs w:val="18"/>
        </w:rPr>
        <w:t xml:space="preserve"> credit</w:t>
      </w:r>
      <w:r w:rsidRPr="00CB7CCC">
        <w:rPr>
          <w:sz w:val="18"/>
          <w:szCs w:val="18"/>
        </w:rPr>
        <w:t xml:space="preserve"> (FY19 charge: £2.1m)</w:t>
      </w:r>
      <w:r w:rsidR="00E202FB">
        <w:rPr>
          <w:sz w:val="18"/>
          <w:szCs w:val="18"/>
        </w:rPr>
        <w:t xml:space="preserve"> and t</w:t>
      </w:r>
      <w:r w:rsidRPr="00CB7CCC">
        <w:rPr>
          <w:sz w:val="18"/>
          <w:szCs w:val="18"/>
        </w:rPr>
        <w:t>he non-cash pension financing charge of £</w:t>
      </w:r>
      <w:r w:rsidR="00DE5BAB" w:rsidRPr="00CB7CCC">
        <w:rPr>
          <w:rFonts w:cs="Arial"/>
          <w:sz w:val="18"/>
          <w:szCs w:val="18"/>
        </w:rPr>
        <w:t>1.9</w:t>
      </w:r>
      <w:r w:rsidRPr="00CB7CCC">
        <w:rPr>
          <w:sz w:val="18"/>
          <w:szCs w:val="18"/>
        </w:rPr>
        <w:t>m was £</w:t>
      </w:r>
      <w:r w:rsidR="00DE5BAB" w:rsidRPr="00CB7CCC">
        <w:rPr>
          <w:rFonts w:cs="Arial"/>
          <w:sz w:val="18"/>
          <w:szCs w:val="18"/>
        </w:rPr>
        <w:t>0.6</w:t>
      </w:r>
      <w:r w:rsidRPr="00CB7CCC">
        <w:rPr>
          <w:sz w:val="18"/>
          <w:szCs w:val="18"/>
        </w:rPr>
        <w:t>m lower than the FY19 charge of £2.5m.</w:t>
      </w:r>
    </w:p>
    <w:p w14:paraId="700D9DDB" w14:textId="6CD021E7" w:rsidR="003B7495" w:rsidRPr="00CB7CCC" w:rsidRDefault="003B7495" w:rsidP="00ED0EF2">
      <w:pPr>
        <w:adjustRightInd w:val="0"/>
        <w:spacing w:after="120"/>
        <w:jc w:val="both"/>
        <w:rPr>
          <w:sz w:val="18"/>
          <w:szCs w:val="18"/>
        </w:rPr>
      </w:pPr>
      <w:r w:rsidRPr="00CB7CCC">
        <w:rPr>
          <w:sz w:val="18"/>
          <w:szCs w:val="18"/>
        </w:rPr>
        <w:t>The exceptional non-cash finance charges are detailed below in Exceptional Items</w:t>
      </w:r>
      <w:r w:rsidR="000454DA">
        <w:rPr>
          <w:sz w:val="18"/>
          <w:szCs w:val="18"/>
        </w:rPr>
        <w:t xml:space="preserve">, </w:t>
      </w:r>
      <w:r w:rsidR="00880F61">
        <w:rPr>
          <w:sz w:val="18"/>
          <w:szCs w:val="18"/>
        </w:rPr>
        <w:t xml:space="preserve">classified as </w:t>
      </w:r>
      <w:r w:rsidR="000454DA">
        <w:rPr>
          <w:sz w:val="18"/>
          <w:szCs w:val="18"/>
        </w:rPr>
        <w:t xml:space="preserve">debt restructuring </w:t>
      </w:r>
      <w:r w:rsidR="000F75C5">
        <w:rPr>
          <w:sz w:val="18"/>
          <w:szCs w:val="18"/>
        </w:rPr>
        <w:t>and modification</w:t>
      </w:r>
      <w:r w:rsidRPr="00CB7CCC">
        <w:rPr>
          <w:sz w:val="18"/>
          <w:szCs w:val="18"/>
        </w:rPr>
        <w:t>.</w:t>
      </w:r>
    </w:p>
    <w:p w14:paraId="72F276A3" w14:textId="77777777" w:rsidR="006B20D0" w:rsidRPr="00CB7CCC" w:rsidRDefault="006B20D0" w:rsidP="00ED0EF2">
      <w:pPr>
        <w:spacing w:after="120"/>
        <w:jc w:val="both"/>
        <w:rPr>
          <w:rFonts w:cs="Arial"/>
          <w:b/>
          <w:sz w:val="18"/>
          <w:szCs w:val="18"/>
        </w:rPr>
      </w:pPr>
      <w:r w:rsidRPr="00CB7CCC">
        <w:rPr>
          <w:rFonts w:cs="Arial"/>
          <w:b/>
          <w:sz w:val="18"/>
          <w:szCs w:val="18"/>
        </w:rPr>
        <w:t xml:space="preserve">Profit before taxation </w:t>
      </w:r>
    </w:p>
    <w:p w14:paraId="5ABE2DD2" w14:textId="77777777" w:rsidR="006B20D0" w:rsidRPr="00CB7CCC" w:rsidRDefault="006B20D0" w:rsidP="00ED0EF2">
      <w:pPr>
        <w:adjustRightInd w:val="0"/>
        <w:spacing w:after="120"/>
        <w:jc w:val="both"/>
        <w:rPr>
          <w:sz w:val="18"/>
          <w:szCs w:val="18"/>
        </w:rPr>
      </w:pPr>
      <w:r w:rsidRPr="00CB7CCC">
        <w:rPr>
          <w:sz w:val="18"/>
          <w:szCs w:val="18"/>
        </w:rPr>
        <w:t xml:space="preserve">The Group’s Profit before taxation </w:t>
      </w:r>
      <w:r w:rsidR="00BE6DAC" w:rsidRPr="00CB7CCC">
        <w:rPr>
          <w:sz w:val="18"/>
          <w:szCs w:val="18"/>
        </w:rPr>
        <w:t>decreased</w:t>
      </w:r>
      <w:r w:rsidR="008914A9" w:rsidRPr="00CB7CCC">
        <w:rPr>
          <w:sz w:val="18"/>
          <w:szCs w:val="18"/>
        </w:rPr>
        <w:t xml:space="preserve"> from £</w:t>
      </w:r>
      <w:r w:rsidR="006A08DA" w:rsidRPr="00CB7CCC">
        <w:rPr>
          <w:sz w:val="18"/>
          <w:szCs w:val="18"/>
        </w:rPr>
        <w:t>56.4</w:t>
      </w:r>
      <w:r w:rsidR="008914A9" w:rsidRPr="00CB7CCC">
        <w:rPr>
          <w:sz w:val="18"/>
          <w:szCs w:val="18"/>
        </w:rPr>
        <w:t xml:space="preserve">m in FY19 to </w:t>
      </w:r>
      <w:r w:rsidR="006A08DA" w:rsidRPr="00CB7CCC">
        <w:rPr>
          <w:sz w:val="18"/>
          <w:szCs w:val="18"/>
        </w:rPr>
        <w:t xml:space="preserve">a loss of </w:t>
      </w:r>
      <w:r w:rsidR="008914A9" w:rsidRPr="00CB7CCC">
        <w:rPr>
          <w:sz w:val="18"/>
          <w:szCs w:val="18"/>
        </w:rPr>
        <w:t>£</w:t>
      </w:r>
      <w:r w:rsidR="00F1379A" w:rsidRPr="00CB7CCC">
        <w:rPr>
          <w:rFonts w:cs="Arial"/>
          <w:sz w:val="18"/>
          <w:szCs w:val="18"/>
        </w:rPr>
        <w:t>10.</w:t>
      </w:r>
      <w:r w:rsidR="003C06AD" w:rsidRPr="00CB7CCC">
        <w:rPr>
          <w:rFonts w:cs="Arial"/>
          <w:sz w:val="18"/>
          <w:szCs w:val="18"/>
        </w:rPr>
        <w:t>8</w:t>
      </w:r>
      <w:r w:rsidR="003C06AD" w:rsidRPr="00CB7CCC">
        <w:rPr>
          <w:sz w:val="18"/>
          <w:szCs w:val="18"/>
        </w:rPr>
        <w:t xml:space="preserve">m </w:t>
      </w:r>
      <w:r w:rsidR="008914A9" w:rsidRPr="00CB7CCC">
        <w:rPr>
          <w:sz w:val="18"/>
          <w:szCs w:val="18"/>
        </w:rPr>
        <w:t>in FY20</w:t>
      </w:r>
      <w:r w:rsidRPr="00CB7CCC">
        <w:rPr>
          <w:sz w:val="18"/>
          <w:szCs w:val="18"/>
        </w:rPr>
        <w:t xml:space="preserve">, </w:t>
      </w:r>
      <w:r w:rsidR="00BE6DAC" w:rsidRPr="00CB7CCC">
        <w:rPr>
          <w:sz w:val="18"/>
          <w:szCs w:val="18"/>
        </w:rPr>
        <w:t xml:space="preserve">driven by lower </w:t>
      </w:r>
      <w:r w:rsidRPr="00CB7CCC">
        <w:rPr>
          <w:sz w:val="18"/>
          <w:szCs w:val="18"/>
        </w:rPr>
        <w:t xml:space="preserve">Group Operating Profit </w:t>
      </w:r>
      <w:r w:rsidR="00A63F49" w:rsidRPr="00CB7CCC">
        <w:rPr>
          <w:sz w:val="18"/>
          <w:szCs w:val="18"/>
        </w:rPr>
        <w:t xml:space="preserve">and partly offset by lower </w:t>
      </w:r>
      <w:r w:rsidRPr="00CB7CCC">
        <w:rPr>
          <w:sz w:val="18"/>
          <w:szCs w:val="18"/>
        </w:rPr>
        <w:t>finance costs</w:t>
      </w:r>
      <w:r w:rsidR="00627525" w:rsidRPr="00CB7CCC">
        <w:rPr>
          <w:sz w:val="18"/>
          <w:szCs w:val="18"/>
        </w:rPr>
        <w:t xml:space="preserve"> </w:t>
      </w:r>
      <w:r w:rsidR="00A63F49" w:rsidRPr="00CB7CCC">
        <w:rPr>
          <w:sz w:val="18"/>
          <w:szCs w:val="18"/>
        </w:rPr>
        <w:t xml:space="preserve">as compared to the FY19 costs </w:t>
      </w:r>
      <w:r w:rsidR="00627525" w:rsidRPr="00CB7CCC">
        <w:rPr>
          <w:sz w:val="18"/>
          <w:szCs w:val="18"/>
        </w:rPr>
        <w:t>which include</w:t>
      </w:r>
      <w:r w:rsidR="00A63F49" w:rsidRPr="00CB7CCC">
        <w:rPr>
          <w:sz w:val="18"/>
          <w:szCs w:val="18"/>
        </w:rPr>
        <w:t>d</w:t>
      </w:r>
      <w:r w:rsidR="00627525" w:rsidRPr="00CB7CCC">
        <w:rPr>
          <w:sz w:val="18"/>
          <w:szCs w:val="18"/>
        </w:rPr>
        <w:t xml:space="preserve"> an exceptional finance charge</w:t>
      </w:r>
      <w:r w:rsidRPr="00CB7CCC">
        <w:rPr>
          <w:sz w:val="18"/>
          <w:szCs w:val="18"/>
        </w:rPr>
        <w:t>. Adjusted Profit B</w:t>
      </w:r>
      <w:r w:rsidR="008914A9" w:rsidRPr="00CB7CCC">
        <w:rPr>
          <w:sz w:val="18"/>
          <w:szCs w:val="18"/>
        </w:rPr>
        <w:t>efore Tax in the period was £</w:t>
      </w:r>
      <w:r w:rsidR="00D50D61">
        <w:rPr>
          <w:rFonts w:cs="Arial"/>
          <w:sz w:val="18"/>
          <w:szCs w:val="18"/>
        </w:rPr>
        <w:t>17.3</w:t>
      </w:r>
      <w:r w:rsidRPr="00CB7CCC">
        <w:rPr>
          <w:sz w:val="18"/>
          <w:szCs w:val="18"/>
        </w:rPr>
        <w:t>m (</w:t>
      </w:r>
      <w:r w:rsidR="008914A9" w:rsidRPr="00CB7CCC">
        <w:rPr>
          <w:sz w:val="18"/>
          <w:szCs w:val="18"/>
        </w:rPr>
        <w:t>FY19</w:t>
      </w:r>
      <w:r w:rsidRPr="00CB7CCC">
        <w:rPr>
          <w:sz w:val="18"/>
          <w:szCs w:val="18"/>
        </w:rPr>
        <w:t>:</w:t>
      </w:r>
      <w:r w:rsidR="004A1A54" w:rsidRPr="00CB7CCC">
        <w:rPr>
          <w:sz w:val="18"/>
          <w:szCs w:val="18"/>
        </w:rPr>
        <w:t xml:space="preserve"> </w:t>
      </w:r>
      <w:r w:rsidR="008914A9" w:rsidRPr="00CB7CCC">
        <w:rPr>
          <w:sz w:val="18"/>
          <w:szCs w:val="18"/>
        </w:rPr>
        <w:t>£92.3</w:t>
      </w:r>
      <w:r w:rsidRPr="00CB7CCC">
        <w:rPr>
          <w:sz w:val="18"/>
          <w:szCs w:val="18"/>
        </w:rPr>
        <w:t xml:space="preserve">m), primarily driven by a reduction in </w:t>
      </w:r>
      <w:r w:rsidR="00BE6DAC" w:rsidRPr="00CB7CCC">
        <w:rPr>
          <w:sz w:val="18"/>
          <w:szCs w:val="18"/>
        </w:rPr>
        <w:t>Adjusted Operating Profit.</w:t>
      </w:r>
    </w:p>
    <w:p w14:paraId="481B6013" w14:textId="77777777" w:rsidR="003B7495" w:rsidRPr="00CB7CCC" w:rsidRDefault="003B7495" w:rsidP="00ED0EF2">
      <w:pPr>
        <w:pStyle w:val="Default"/>
        <w:spacing w:after="120"/>
        <w:jc w:val="both"/>
        <w:rPr>
          <w:rFonts w:asciiTheme="minorHAnsi" w:hAnsiTheme="minorHAnsi" w:cs="Arial"/>
          <w:sz w:val="18"/>
          <w:szCs w:val="18"/>
        </w:rPr>
      </w:pPr>
      <w:r w:rsidRPr="00CB7CCC">
        <w:rPr>
          <w:rFonts w:asciiTheme="minorHAnsi" w:hAnsiTheme="minorHAnsi" w:cs="Arial"/>
          <w:b/>
          <w:bCs/>
          <w:sz w:val="18"/>
          <w:szCs w:val="18"/>
        </w:rPr>
        <w:t xml:space="preserve">Taxation </w:t>
      </w:r>
    </w:p>
    <w:p w14:paraId="5D418C99" w14:textId="77777777" w:rsidR="003B7495" w:rsidRPr="00CB7CCC" w:rsidRDefault="00BE6DAC" w:rsidP="00ED0EF2">
      <w:pPr>
        <w:adjustRightInd w:val="0"/>
        <w:spacing w:after="120"/>
        <w:jc w:val="both"/>
        <w:rPr>
          <w:sz w:val="18"/>
          <w:szCs w:val="18"/>
        </w:rPr>
      </w:pPr>
      <w:r w:rsidRPr="00CB7CCC">
        <w:rPr>
          <w:sz w:val="18"/>
          <w:szCs w:val="18"/>
        </w:rPr>
        <w:t xml:space="preserve">The Group’s effective tax rate in FY20 (including the tax impact associated with pension finance items) was </w:t>
      </w:r>
      <w:r w:rsidR="00E4294E" w:rsidRPr="00CB7CCC">
        <w:rPr>
          <w:rFonts w:cs="Arial"/>
          <w:sz w:val="18"/>
          <w:szCs w:val="18"/>
        </w:rPr>
        <w:t>13</w:t>
      </w:r>
      <w:r w:rsidRPr="00CB7CCC">
        <w:rPr>
          <w:sz w:val="18"/>
          <w:szCs w:val="18"/>
        </w:rPr>
        <w:t>% (FY19: 15%). This reflects the rate benefit resulting from the restatement of the deferred tax assets, arising from the decision by the UK Government to maintain the UK corporation tax rate at 19%. This decision not to decrease the UK corporation tax rate to 17% results in a one-off tax credit to the income statement, with a corresponding increase to the Group’s net deferred tax asset.</w:t>
      </w:r>
    </w:p>
    <w:p w14:paraId="56DB1F05"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Exceptional items</w:t>
      </w:r>
    </w:p>
    <w:p w14:paraId="2F41D8B0" w14:textId="77777777" w:rsidR="003B7495" w:rsidRPr="00CB7CCC" w:rsidRDefault="003B7495" w:rsidP="00ED0EF2">
      <w:pPr>
        <w:adjustRightInd w:val="0"/>
        <w:spacing w:after="120"/>
        <w:jc w:val="both"/>
        <w:rPr>
          <w:sz w:val="18"/>
          <w:szCs w:val="18"/>
        </w:rPr>
      </w:pPr>
      <w:r w:rsidRPr="00CB7CCC">
        <w:rPr>
          <w:sz w:val="18"/>
          <w:szCs w:val="18"/>
        </w:rPr>
        <w:lastRenderedPageBreak/>
        <w:t xml:space="preserve">The Group had a pre‐tax exceptional </w:t>
      </w:r>
      <w:r w:rsidR="00BE6DAC" w:rsidRPr="00CB7CCC">
        <w:rPr>
          <w:sz w:val="18"/>
          <w:szCs w:val="18"/>
        </w:rPr>
        <w:t>charge</w:t>
      </w:r>
      <w:r w:rsidRPr="00CB7CCC">
        <w:rPr>
          <w:sz w:val="18"/>
          <w:szCs w:val="18"/>
        </w:rPr>
        <w:t xml:space="preserve"> of £</w:t>
      </w:r>
      <w:r w:rsidR="00E4294E" w:rsidRPr="00CB7CCC">
        <w:rPr>
          <w:rFonts w:cs="Arial"/>
          <w:sz w:val="18"/>
          <w:szCs w:val="18"/>
        </w:rPr>
        <w:t>2</w:t>
      </w:r>
      <w:r w:rsidR="003C06AD" w:rsidRPr="00CB7CCC">
        <w:rPr>
          <w:rFonts w:cs="Arial"/>
          <w:sz w:val="18"/>
          <w:szCs w:val="18"/>
        </w:rPr>
        <w:t>2.8</w:t>
      </w:r>
      <w:r w:rsidRPr="00CB7CCC">
        <w:rPr>
          <w:sz w:val="18"/>
          <w:szCs w:val="18"/>
        </w:rPr>
        <w:t xml:space="preserve">m in </w:t>
      </w:r>
      <w:r w:rsidR="008914A9" w:rsidRPr="00CB7CCC">
        <w:rPr>
          <w:sz w:val="18"/>
          <w:szCs w:val="18"/>
        </w:rPr>
        <w:t>FY20</w:t>
      </w:r>
      <w:r w:rsidRPr="00CB7CCC">
        <w:rPr>
          <w:sz w:val="18"/>
          <w:szCs w:val="18"/>
        </w:rPr>
        <w:t xml:space="preserve">, and an </w:t>
      </w:r>
      <w:proofErr w:type="gramStart"/>
      <w:r w:rsidRPr="00CB7CCC">
        <w:rPr>
          <w:sz w:val="18"/>
          <w:szCs w:val="18"/>
        </w:rPr>
        <w:t>after tax</w:t>
      </w:r>
      <w:proofErr w:type="gramEnd"/>
      <w:r w:rsidRPr="00CB7CCC">
        <w:rPr>
          <w:sz w:val="18"/>
          <w:szCs w:val="18"/>
        </w:rPr>
        <w:t xml:space="preserve"> </w:t>
      </w:r>
      <w:r w:rsidR="00BE6DAC" w:rsidRPr="00CB7CCC">
        <w:rPr>
          <w:sz w:val="18"/>
          <w:szCs w:val="18"/>
        </w:rPr>
        <w:t xml:space="preserve">charge </w:t>
      </w:r>
      <w:r w:rsidRPr="00CB7CCC">
        <w:rPr>
          <w:sz w:val="18"/>
          <w:szCs w:val="18"/>
        </w:rPr>
        <w:t>of £</w:t>
      </w:r>
      <w:r w:rsidR="001066B6" w:rsidRPr="00CB7CCC">
        <w:rPr>
          <w:rFonts w:cs="Arial"/>
          <w:sz w:val="18"/>
          <w:szCs w:val="18"/>
        </w:rPr>
        <w:t>20.5</w:t>
      </w:r>
      <w:r w:rsidRPr="00CB7CCC">
        <w:rPr>
          <w:sz w:val="18"/>
          <w:szCs w:val="18"/>
        </w:rPr>
        <w:t>m, comprised as follows:</w:t>
      </w:r>
    </w:p>
    <w:p w14:paraId="0C229190" w14:textId="77777777" w:rsidR="00E509A4" w:rsidRPr="00CB7CCC" w:rsidRDefault="00E509A4" w:rsidP="00CB7CCC">
      <w:pPr>
        <w:adjustRightInd w:val="0"/>
        <w:jc w:val="both"/>
        <w:rPr>
          <w:sz w:val="18"/>
          <w:szCs w:val="18"/>
        </w:rPr>
      </w:pPr>
    </w:p>
    <w:tbl>
      <w:tblPr>
        <w:tblStyle w:val="TableGrid"/>
        <w:tblW w:w="0" w:type="auto"/>
        <w:jc w:val="center"/>
        <w:tblLook w:val="04A0" w:firstRow="1" w:lastRow="0" w:firstColumn="1" w:lastColumn="0" w:noHBand="0" w:noVBand="1"/>
      </w:tblPr>
      <w:tblGrid>
        <w:gridCol w:w="5255"/>
        <w:gridCol w:w="1347"/>
      </w:tblGrid>
      <w:tr w:rsidR="003B7495" w:rsidRPr="00CB7CCC" w14:paraId="7E94754B" w14:textId="77777777" w:rsidTr="00D80872">
        <w:trPr>
          <w:jc w:val="center"/>
        </w:trPr>
        <w:tc>
          <w:tcPr>
            <w:tcW w:w="5255" w:type="dxa"/>
          </w:tcPr>
          <w:p w14:paraId="2536E894" w14:textId="77777777" w:rsidR="003B7495" w:rsidRPr="00CB7CCC" w:rsidRDefault="003B7495" w:rsidP="00CB7CCC">
            <w:pPr>
              <w:autoSpaceDE w:val="0"/>
              <w:autoSpaceDN w:val="0"/>
              <w:adjustRightInd w:val="0"/>
              <w:rPr>
                <w:b/>
                <w:sz w:val="18"/>
                <w:szCs w:val="18"/>
              </w:rPr>
            </w:pPr>
            <w:r w:rsidRPr="00CB7CCC">
              <w:rPr>
                <w:b/>
                <w:sz w:val="18"/>
                <w:szCs w:val="18"/>
              </w:rPr>
              <w:t>Exceptional Items</w:t>
            </w:r>
          </w:p>
        </w:tc>
        <w:tc>
          <w:tcPr>
            <w:tcW w:w="1347" w:type="dxa"/>
          </w:tcPr>
          <w:p w14:paraId="46853022" w14:textId="77777777" w:rsidR="003B7495" w:rsidRPr="00CB7CCC" w:rsidRDefault="003B7495" w:rsidP="00CB7CCC">
            <w:pPr>
              <w:autoSpaceDE w:val="0"/>
              <w:autoSpaceDN w:val="0"/>
              <w:adjustRightInd w:val="0"/>
              <w:jc w:val="right"/>
              <w:rPr>
                <w:b/>
                <w:sz w:val="18"/>
                <w:szCs w:val="18"/>
              </w:rPr>
            </w:pPr>
            <w:r w:rsidRPr="00CB7CCC">
              <w:rPr>
                <w:b/>
                <w:sz w:val="18"/>
                <w:szCs w:val="18"/>
              </w:rPr>
              <w:t>£m</w:t>
            </w:r>
          </w:p>
        </w:tc>
      </w:tr>
      <w:tr w:rsidR="00BD24CB" w:rsidRPr="00CB7CCC" w14:paraId="3F333222" w14:textId="77777777" w:rsidTr="00D80872">
        <w:trPr>
          <w:jc w:val="center"/>
        </w:trPr>
        <w:tc>
          <w:tcPr>
            <w:tcW w:w="5255" w:type="dxa"/>
          </w:tcPr>
          <w:p w14:paraId="2064C27F" w14:textId="0B3E3655" w:rsidR="00BD24CB" w:rsidRDefault="000F75C5" w:rsidP="00BD24CB">
            <w:pPr>
              <w:adjustRightInd w:val="0"/>
              <w:rPr>
                <w:sz w:val="18"/>
                <w:szCs w:val="18"/>
              </w:rPr>
            </w:pPr>
            <w:r>
              <w:rPr>
                <w:sz w:val="18"/>
                <w:szCs w:val="18"/>
              </w:rPr>
              <w:t>Debt restructuring and modification</w:t>
            </w:r>
          </w:p>
        </w:tc>
        <w:tc>
          <w:tcPr>
            <w:tcW w:w="1347" w:type="dxa"/>
          </w:tcPr>
          <w:p w14:paraId="54864C8A" w14:textId="77777777" w:rsidR="00BD24CB" w:rsidRPr="00CB7CCC" w:rsidRDefault="00BD24CB" w:rsidP="00BD24CB">
            <w:pPr>
              <w:adjustRightInd w:val="0"/>
              <w:jc w:val="right"/>
              <w:rPr>
                <w:sz w:val="18"/>
                <w:szCs w:val="18"/>
              </w:rPr>
            </w:pPr>
            <w:r w:rsidRPr="00CB7CCC">
              <w:rPr>
                <w:sz w:val="18"/>
                <w:szCs w:val="18"/>
              </w:rPr>
              <w:t>(7.1)</w:t>
            </w:r>
          </w:p>
        </w:tc>
      </w:tr>
      <w:tr w:rsidR="00BD24CB" w:rsidRPr="00CB7CCC" w14:paraId="47D9ADC9" w14:textId="77777777" w:rsidTr="00D80872">
        <w:trPr>
          <w:jc w:val="center"/>
        </w:trPr>
        <w:tc>
          <w:tcPr>
            <w:tcW w:w="5255" w:type="dxa"/>
          </w:tcPr>
          <w:p w14:paraId="2A1720B0" w14:textId="07B18EE9" w:rsidR="00BD24CB" w:rsidRPr="00CB7CCC" w:rsidRDefault="00BD24CB">
            <w:pPr>
              <w:adjustRightInd w:val="0"/>
              <w:rPr>
                <w:b/>
                <w:sz w:val="18"/>
                <w:szCs w:val="18"/>
              </w:rPr>
            </w:pPr>
            <w:r>
              <w:rPr>
                <w:sz w:val="18"/>
                <w:szCs w:val="18"/>
              </w:rPr>
              <w:t>Non-core p</w:t>
            </w:r>
            <w:r w:rsidRPr="00CB7CCC">
              <w:rPr>
                <w:sz w:val="18"/>
                <w:szCs w:val="18"/>
              </w:rPr>
              <w:t>roperty related charges</w:t>
            </w:r>
          </w:p>
        </w:tc>
        <w:tc>
          <w:tcPr>
            <w:tcW w:w="1347" w:type="dxa"/>
          </w:tcPr>
          <w:p w14:paraId="544DCDB6" w14:textId="77777777" w:rsidR="00BD24CB" w:rsidRPr="00CB7CCC" w:rsidRDefault="00BD24CB" w:rsidP="00BD24CB">
            <w:pPr>
              <w:adjustRightInd w:val="0"/>
              <w:jc w:val="right"/>
              <w:rPr>
                <w:sz w:val="18"/>
                <w:szCs w:val="18"/>
              </w:rPr>
            </w:pPr>
            <w:r w:rsidRPr="00CB7CCC">
              <w:rPr>
                <w:sz w:val="18"/>
                <w:szCs w:val="18"/>
              </w:rPr>
              <w:t>(8.2)</w:t>
            </w:r>
          </w:p>
        </w:tc>
      </w:tr>
      <w:tr w:rsidR="00BD24CB" w:rsidRPr="00CB7CCC" w14:paraId="582BB31C" w14:textId="77777777" w:rsidTr="00973FBD">
        <w:trPr>
          <w:jc w:val="center"/>
        </w:trPr>
        <w:tc>
          <w:tcPr>
            <w:tcW w:w="5255" w:type="dxa"/>
          </w:tcPr>
          <w:p w14:paraId="194EA24D" w14:textId="77777777" w:rsidR="00BD24CB" w:rsidRPr="00CB7CCC" w:rsidRDefault="00BD24CB" w:rsidP="00BD24CB">
            <w:pPr>
              <w:adjustRightInd w:val="0"/>
              <w:rPr>
                <w:sz w:val="18"/>
                <w:szCs w:val="18"/>
              </w:rPr>
            </w:pPr>
            <w:r>
              <w:rPr>
                <w:sz w:val="18"/>
                <w:szCs w:val="18"/>
              </w:rPr>
              <w:t xml:space="preserve">Inventory and plant and equipment </w:t>
            </w:r>
            <w:r w:rsidRPr="00CB7CCC">
              <w:rPr>
                <w:sz w:val="18"/>
                <w:szCs w:val="18"/>
              </w:rPr>
              <w:t>impairment</w:t>
            </w:r>
          </w:p>
        </w:tc>
        <w:tc>
          <w:tcPr>
            <w:tcW w:w="1347" w:type="dxa"/>
          </w:tcPr>
          <w:p w14:paraId="78B523CF" w14:textId="77777777" w:rsidR="00BD24CB" w:rsidRPr="00CB7CCC" w:rsidRDefault="00BD24CB" w:rsidP="00BD24CB">
            <w:pPr>
              <w:adjustRightInd w:val="0"/>
              <w:jc w:val="right"/>
              <w:rPr>
                <w:sz w:val="18"/>
                <w:szCs w:val="18"/>
              </w:rPr>
            </w:pPr>
            <w:r w:rsidRPr="00CB7CCC">
              <w:rPr>
                <w:sz w:val="18"/>
                <w:szCs w:val="18"/>
              </w:rPr>
              <w:t>(4.8)</w:t>
            </w:r>
          </w:p>
        </w:tc>
      </w:tr>
      <w:tr w:rsidR="00BD24CB" w:rsidRPr="00CB7CCC" w14:paraId="2C6CF25C" w14:textId="77777777" w:rsidTr="00572549">
        <w:trPr>
          <w:jc w:val="center"/>
        </w:trPr>
        <w:tc>
          <w:tcPr>
            <w:tcW w:w="5255" w:type="dxa"/>
          </w:tcPr>
          <w:p w14:paraId="1F831D34" w14:textId="77777777" w:rsidR="00BD24CB" w:rsidRPr="00CB7CCC" w:rsidRDefault="00BD24CB" w:rsidP="00BD24CB">
            <w:pPr>
              <w:adjustRightInd w:val="0"/>
              <w:rPr>
                <w:sz w:val="18"/>
                <w:szCs w:val="18"/>
              </w:rPr>
            </w:pPr>
            <w:r w:rsidRPr="00CB7CCC">
              <w:rPr>
                <w:sz w:val="18"/>
                <w:szCs w:val="18"/>
              </w:rPr>
              <w:t>Transaction and integration costs</w:t>
            </w:r>
          </w:p>
        </w:tc>
        <w:tc>
          <w:tcPr>
            <w:tcW w:w="1347" w:type="dxa"/>
          </w:tcPr>
          <w:p w14:paraId="04041A2D" w14:textId="77777777" w:rsidR="00BD24CB" w:rsidRPr="00CB7CCC" w:rsidRDefault="00BD24CB" w:rsidP="00BD24CB">
            <w:pPr>
              <w:adjustRightInd w:val="0"/>
              <w:jc w:val="right"/>
              <w:rPr>
                <w:sz w:val="18"/>
                <w:szCs w:val="18"/>
              </w:rPr>
            </w:pPr>
            <w:r w:rsidRPr="00CB7CCC">
              <w:rPr>
                <w:sz w:val="18"/>
                <w:szCs w:val="18"/>
              </w:rPr>
              <w:t>(2.9)</w:t>
            </w:r>
          </w:p>
        </w:tc>
      </w:tr>
      <w:tr w:rsidR="00BD24CB" w:rsidRPr="00CB7CCC" w14:paraId="71084E0E" w14:textId="77777777" w:rsidTr="00D80872">
        <w:trPr>
          <w:jc w:val="center"/>
        </w:trPr>
        <w:tc>
          <w:tcPr>
            <w:tcW w:w="5255" w:type="dxa"/>
          </w:tcPr>
          <w:p w14:paraId="6A9A8E3C" w14:textId="77777777" w:rsidR="00BD24CB" w:rsidRPr="00CB7CCC" w:rsidRDefault="00BD24CB" w:rsidP="00BD24CB">
            <w:pPr>
              <w:autoSpaceDE w:val="0"/>
              <w:autoSpaceDN w:val="0"/>
              <w:adjustRightInd w:val="0"/>
              <w:rPr>
                <w:sz w:val="18"/>
                <w:szCs w:val="18"/>
              </w:rPr>
            </w:pPr>
            <w:r w:rsidRPr="00CB7CCC">
              <w:rPr>
                <w:sz w:val="18"/>
                <w:szCs w:val="18"/>
              </w:rPr>
              <w:t>Restructuring costs</w:t>
            </w:r>
          </w:p>
        </w:tc>
        <w:tc>
          <w:tcPr>
            <w:tcW w:w="1347" w:type="dxa"/>
          </w:tcPr>
          <w:p w14:paraId="464F7355" w14:textId="77777777" w:rsidR="00BD24CB" w:rsidRPr="00CB7CCC" w:rsidRDefault="00BD24CB" w:rsidP="00BD24CB">
            <w:pPr>
              <w:autoSpaceDE w:val="0"/>
              <w:autoSpaceDN w:val="0"/>
              <w:adjustRightInd w:val="0"/>
              <w:jc w:val="right"/>
              <w:rPr>
                <w:sz w:val="18"/>
                <w:szCs w:val="18"/>
              </w:rPr>
            </w:pPr>
            <w:r w:rsidRPr="00CB7CCC">
              <w:rPr>
                <w:sz w:val="18"/>
                <w:szCs w:val="18"/>
              </w:rPr>
              <w:t>(2.0)</w:t>
            </w:r>
          </w:p>
        </w:tc>
      </w:tr>
      <w:tr w:rsidR="00BD24CB" w:rsidRPr="00CB7CCC" w14:paraId="41EC35B0" w14:textId="77777777" w:rsidTr="00D80872">
        <w:trPr>
          <w:jc w:val="center"/>
        </w:trPr>
        <w:tc>
          <w:tcPr>
            <w:tcW w:w="5255" w:type="dxa"/>
          </w:tcPr>
          <w:p w14:paraId="66A7688B" w14:textId="77777777" w:rsidR="00BD24CB" w:rsidRPr="00CB7CCC" w:rsidRDefault="00BD24CB" w:rsidP="00BD24CB">
            <w:pPr>
              <w:autoSpaceDE w:val="0"/>
              <w:autoSpaceDN w:val="0"/>
              <w:adjustRightInd w:val="0"/>
              <w:rPr>
                <w:sz w:val="18"/>
                <w:szCs w:val="18"/>
              </w:rPr>
            </w:pPr>
            <w:r w:rsidRPr="00CB7CCC">
              <w:rPr>
                <w:sz w:val="18"/>
                <w:szCs w:val="18"/>
              </w:rPr>
              <w:t>Legacy US legal matters</w:t>
            </w:r>
          </w:p>
        </w:tc>
        <w:tc>
          <w:tcPr>
            <w:tcW w:w="1347" w:type="dxa"/>
          </w:tcPr>
          <w:p w14:paraId="3F628745" w14:textId="77777777" w:rsidR="00BD24CB" w:rsidRPr="00CB7CCC" w:rsidRDefault="00BD24CB" w:rsidP="00BD24CB">
            <w:pPr>
              <w:autoSpaceDE w:val="0"/>
              <w:autoSpaceDN w:val="0"/>
              <w:adjustRightInd w:val="0"/>
              <w:jc w:val="right"/>
              <w:rPr>
                <w:sz w:val="18"/>
                <w:szCs w:val="18"/>
              </w:rPr>
            </w:pPr>
            <w:r w:rsidRPr="00CB7CCC">
              <w:rPr>
                <w:sz w:val="18"/>
                <w:szCs w:val="18"/>
              </w:rPr>
              <w:t>2.2</w:t>
            </w:r>
          </w:p>
        </w:tc>
      </w:tr>
      <w:tr w:rsidR="00BD24CB" w:rsidRPr="00CB7CCC" w14:paraId="5D11A64D" w14:textId="77777777" w:rsidTr="00D80872">
        <w:trPr>
          <w:jc w:val="center"/>
        </w:trPr>
        <w:tc>
          <w:tcPr>
            <w:tcW w:w="5255" w:type="dxa"/>
          </w:tcPr>
          <w:p w14:paraId="1DD46FB1" w14:textId="77777777" w:rsidR="00BD24CB" w:rsidRPr="00CB7CCC" w:rsidRDefault="00BD24CB" w:rsidP="00BD24CB">
            <w:pPr>
              <w:autoSpaceDE w:val="0"/>
              <w:autoSpaceDN w:val="0"/>
              <w:adjustRightInd w:val="0"/>
              <w:rPr>
                <w:b/>
                <w:sz w:val="18"/>
                <w:szCs w:val="18"/>
              </w:rPr>
            </w:pPr>
            <w:r w:rsidRPr="00CB7CCC">
              <w:rPr>
                <w:b/>
                <w:sz w:val="18"/>
                <w:szCs w:val="18"/>
              </w:rPr>
              <w:t xml:space="preserve">Exceptional items (before tax) </w:t>
            </w:r>
          </w:p>
        </w:tc>
        <w:tc>
          <w:tcPr>
            <w:tcW w:w="1347" w:type="dxa"/>
            <w:shd w:val="clear" w:color="auto" w:fill="auto"/>
          </w:tcPr>
          <w:p w14:paraId="79CD891A" w14:textId="77777777" w:rsidR="00BD24CB" w:rsidRPr="00CB7CCC" w:rsidRDefault="00BD24CB" w:rsidP="00BD24CB">
            <w:pPr>
              <w:autoSpaceDE w:val="0"/>
              <w:autoSpaceDN w:val="0"/>
              <w:adjustRightInd w:val="0"/>
              <w:jc w:val="right"/>
              <w:rPr>
                <w:b/>
                <w:sz w:val="18"/>
                <w:szCs w:val="18"/>
              </w:rPr>
            </w:pPr>
            <w:r w:rsidRPr="00CB7CCC">
              <w:rPr>
                <w:b/>
                <w:sz w:val="18"/>
                <w:szCs w:val="18"/>
              </w:rPr>
              <w:t>(22.8)</w:t>
            </w:r>
          </w:p>
        </w:tc>
      </w:tr>
      <w:tr w:rsidR="00BD24CB" w:rsidRPr="00CB7CCC" w14:paraId="12A57EFA" w14:textId="77777777" w:rsidTr="00D80872">
        <w:trPr>
          <w:jc w:val="center"/>
        </w:trPr>
        <w:tc>
          <w:tcPr>
            <w:tcW w:w="5255" w:type="dxa"/>
          </w:tcPr>
          <w:p w14:paraId="0925BB8E" w14:textId="77777777" w:rsidR="00BD24CB" w:rsidRPr="00CB7CCC" w:rsidRDefault="00BD24CB" w:rsidP="00BD24CB">
            <w:pPr>
              <w:autoSpaceDE w:val="0"/>
              <w:autoSpaceDN w:val="0"/>
              <w:adjustRightInd w:val="0"/>
              <w:rPr>
                <w:sz w:val="18"/>
                <w:szCs w:val="18"/>
              </w:rPr>
            </w:pPr>
            <w:r w:rsidRPr="00CB7CCC">
              <w:rPr>
                <w:sz w:val="18"/>
                <w:szCs w:val="18"/>
              </w:rPr>
              <w:t xml:space="preserve">Tax on exceptional items </w:t>
            </w:r>
          </w:p>
        </w:tc>
        <w:tc>
          <w:tcPr>
            <w:tcW w:w="1347" w:type="dxa"/>
            <w:shd w:val="clear" w:color="auto" w:fill="auto"/>
          </w:tcPr>
          <w:p w14:paraId="0798F96D" w14:textId="77777777" w:rsidR="00BD24CB" w:rsidRPr="00CB7CCC" w:rsidRDefault="00BD24CB" w:rsidP="00BD24CB">
            <w:pPr>
              <w:autoSpaceDE w:val="0"/>
              <w:autoSpaceDN w:val="0"/>
              <w:adjustRightInd w:val="0"/>
              <w:jc w:val="right"/>
              <w:rPr>
                <w:sz w:val="18"/>
                <w:szCs w:val="18"/>
              </w:rPr>
            </w:pPr>
            <w:r w:rsidRPr="00CB7CCC">
              <w:rPr>
                <w:sz w:val="18"/>
                <w:szCs w:val="18"/>
              </w:rPr>
              <w:t>2.3</w:t>
            </w:r>
          </w:p>
        </w:tc>
      </w:tr>
      <w:tr w:rsidR="00BD24CB" w:rsidRPr="00CB7CCC" w14:paraId="73244C7A" w14:textId="77777777" w:rsidTr="00D80872">
        <w:trPr>
          <w:jc w:val="center"/>
        </w:trPr>
        <w:tc>
          <w:tcPr>
            <w:tcW w:w="5255" w:type="dxa"/>
          </w:tcPr>
          <w:p w14:paraId="7204EF05" w14:textId="77777777" w:rsidR="00BD24CB" w:rsidRPr="00CB7CCC" w:rsidRDefault="00BD24CB" w:rsidP="00BD24CB">
            <w:pPr>
              <w:autoSpaceDE w:val="0"/>
              <w:autoSpaceDN w:val="0"/>
              <w:adjustRightInd w:val="0"/>
              <w:rPr>
                <w:b/>
                <w:sz w:val="18"/>
                <w:szCs w:val="18"/>
              </w:rPr>
            </w:pPr>
            <w:r w:rsidRPr="00CB7CCC">
              <w:rPr>
                <w:b/>
                <w:sz w:val="18"/>
                <w:szCs w:val="18"/>
              </w:rPr>
              <w:t xml:space="preserve">Exceptional items (after tax) </w:t>
            </w:r>
          </w:p>
        </w:tc>
        <w:tc>
          <w:tcPr>
            <w:tcW w:w="1347" w:type="dxa"/>
            <w:shd w:val="clear" w:color="auto" w:fill="auto"/>
          </w:tcPr>
          <w:p w14:paraId="4252877B" w14:textId="77777777" w:rsidR="00BD24CB" w:rsidRPr="00CB7CCC" w:rsidRDefault="00BD24CB" w:rsidP="00BD24CB">
            <w:pPr>
              <w:autoSpaceDE w:val="0"/>
              <w:autoSpaceDN w:val="0"/>
              <w:adjustRightInd w:val="0"/>
              <w:jc w:val="right"/>
              <w:rPr>
                <w:b/>
                <w:sz w:val="18"/>
                <w:szCs w:val="18"/>
              </w:rPr>
            </w:pPr>
            <w:r w:rsidRPr="00CB7CCC">
              <w:rPr>
                <w:b/>
                <w:sz w:val="18"/>
                <w:szCs w:val="18"/>
              </w:rPr>
              <w:t>(20.5)</w:t>
            </w:r>
          </w:p>
        </w:tc>
      </w:tr>
    </w:tbl>
    <w:p w14:paraId="5296D982" w14:textId="77777777" w:rsidR="00E509A4" w:rsidRPr="00CB7CCC" w:rsidRDefault="00E509A4" w:rsidP="00CB7CCC">
      <w:pPr>
        <w:pStyle w:val="Default"/>
        <w:spacing w:after="120"/>
        <w:jc w:val="both"/>
        <w:rPr>
          <w:rFonts w:asciiTheme="minorHAnsi" w:hAnsiTheme="minorHAnsi" w:cs="Arial"/>
          <w:b/>
          <w:bCs/>
          <w:sz w:val="18"/>
          <w:szCs w:val="18"/>
          <w:lang w:val="en-GB"/>
        </w:rPr>
      </w:pPr>
    </w:p>
    <w:p w14:paraId="58DB2D3D" w14:textId="77777777" w:rsidR="003B7495" w:rsidRPr="00CB7CCC" w:rsidRDefault="003B7495" w:rsidP="00ED0EF2">
      <w:pPr>
        <w:pStyle w:val="Default"/>
        <w:spacing w:after="120"/>
        <w:jc w:val="both"/>
        <w:rPr>
          <w:rFonts w:asciiTheme="minorHAnsi" w:hAnsiTheme="minorHAnsi" w:cs="Arial"/>
          <w:sz w:val="18"/>
          <w:szCs w:val="18"/>
          <w:lang w:val="en-GB"/>
        </w:rPr>
      </w:pPr>
      <w:r w:rsidRPr="00CB7CCC">
        <w:rPr>
          <w:rFonts w:asciiTheme="minorHAnsi" w:hAnsiTheme="minorHAnsi" w:cs="Arial"/>
          <w:b/>
          <w:bCs/>
          <w:sz w:val="18"/>
          <w:szCs w:val="18"/>
          <w:lang w:val="en-GB"/>
        </w:rPr>
        <w:t xml:space="preserve">Earnings per share </w:t>
      </w:r>
    </w:p>
    <w:p w14:paraId="6B6368FB" w14:textId="77777777" w:rsidR="006B20D0" w:rsidRPr="00CB7CCC" w:rsidRDefault="004B145F" w:rsidP="00ED0EF2">
      <w:pPr>
        <w:adjustRightInd w:val="0"/>
        <w:spacing w:after="120"/>
        <w:jc w:val="both"/>
        <w:rPr>
          <w:sz w:val="18"/>
          <w:szCs w:val="18"/>
        </w:rPr>
      </w:pPr>
      <w:r w:rsidRPr="00CB7CCC">
        <w:rPr>
          <w:sz w:val="18"/>
          <w:szCs w:val="18"/>
        </w:rPr>
        <w:t>The Group’s b</w:t>
      </w:r>
      <w:r w:rsidR="006B20D0" w:rsidRPr="00CB7CCC">
        <w:rPr>
          <w:sz w:val="18"/>
          <w:szCs w:val="18"/>
        </w:rPr>
        <w:t xml:space="preserve">asic </w:t>
      </w:r>
      <w:r w:rsidRPr="00CB7CCC">
        <w:rPr>
          <w:sz w:val="18"/>
          <w:szCs w:val="18"/>
        </w:rPr>
        <w:t xml:space="preserve">loss </w:t>
      </w:r>
      <w:r w:rsidR="006B20D0" w:rsidRPr="00CB7CCC">
        <w:rPr>
          <w:sz w:val="18"/>
          <w:szCs w:val="18"/>
        </w:rPr>
        <w:t xml:space="preserve">per share for was </w:t>
      </w:r>
      <w:r w:rsidR="00A63F49" w:rsidRPr="00CB7CCC">
        <w:rPr>
          <w:rFonts w:cs="Arial"/>
          <w:sz w:val="18"/>
          <w:szCs w:val="18"/>
        </w:rPr>
        <w:t>2.</w:t>
      </w:r>
      <w:r w:rsidR="001066B6" w:rsidRPr="00CB7CCC">
        <w:rPr>
          <w:rFonts w:cs="Arial"/>
          <w:sz w:val="18"/>
          <w:szCs w:val="18"/>
        </w:rPr>
        <w:t>6</w:t>
      </w:r>
      <w:r w:rsidR="00A913F3" w:rsidRPr="00CB7CCC">
        <w:rPr>
          <w:sz w:val="18"/>
          <w:szCs w:val="18"/>
        </w:rPr>
        <w:t xml:space="preserve"> </w:t>
      </w:r>
      <w:r w:rsidR="00460143" w:rsidRPr="00CB7CCC">
        <w:rPr>
          <w:sz w:val="18"/>
          <w:szCs w:val="18"/>
        </w:rPr>
        <w:t xml:space="preserve">pence </w:t>
      </w:r>
      <w:r w:rsidRPr="00CB7CCC">
        <w:rPr>
          <w:sz w:val="18"/>
          <w:szCs w:val="18"/>
        </w:rPr>
        <w:t>compared to basic earnings per share in FY19 of</w:t>
      </w:r>
      <w:r w:rsidR="00460143" w:rsidRPr="00CB7CCC">
        <w:rPr>
          <w:sz w:val="18"/>
          <w:szCs w:val="18"/>
        </w:rPr>
        <w:t xml:space="preserve"> 19.9</w:t>
      </w:r>
      <w:r w:rsidR="006B20D0" w:rsidRPr="00CB7CCC">
        <w:rPr>
          <w:sz w:val="18"/>
          <w:szCs w:val="18"/>
        </w:rPr>
        <w:t xml:space="preserve"> p</w:t>
      </w:r>
      <w:r w:rsidR="00460143" w:rsidRPr="00CB7CCC">
        <w:rPr>
          <w:sz w:val="18"/>
          <w:szCs w:val="18"/>
        </w:rPr>
        <w:t>ence. This was driven by a £</w:t>
      </w:r>
      <w:r w:rsidR="00596788" w:rsidRPr="00CB7CCC">
        <w:rPr>
          <w:rFonts w:cs="Arial"/>
          <w:sz w:val="18"/>
          <w:szCs w:val="18"/>
        </w:rPr>
        <w:t>52</w:t>
      </w:r>
      <w:r w:rsidR="00572549" w:rsidRPr="00CB7CCC">
        <w:rPr>
          <w:rFonts w:cs="Arial"/>
          <w:sz w:val="18"/>
          <w:szCs w:val="18"/>
        </w:rPr>
        <w:t>.</w:t>
      </w:r>
      <w:r w:rsidR="00321447" w:rsidRPr="00CB7CCC">
        <w:rPr>
          <w:rFonts w:cs="Arial"/>
          <w:sz w:val="18"/>
          <w:szCs w:val="18"/>
        </w:rPr>
        <w:t>7</w:t>
      </w:r>
      <w:r w:rsidR="006B20D0" w:rsidRPr="00CB7CCC">
        <w:rPr>
          <w:sz w:val="18"/>
          <w:szCs w:val="18"/>
        </w:rPr>
        <w:t xml:space="preserve">m </w:t>
      </w:r>
      <w:r w:rsidRPr="00CB7CCC">
        <w:rPr>
          <w:sz w:val="18"/>
          <w:szCs w:val="18"/>
        </w:rPr>
        <w:t>reduction</w:t>
      </w:r>
      <w:r w:rsidR="006B20D0" w:rsidRPr="00CB7CCC">
        <w:rPr>
          <w:sz w:val="18"/>
          <w:szCs w:val="18"/>
        </w:rPr>
        <w:t xml:space="preserve"> in </w:t>
      </w:r>
      <w:r w:rsidRPr="00CB7CCC">
        <w:rPr>
          <w:sz w:val="18"/>
          <w:szCs w:val="18"/>
        </w:rPr>
        <w:t>E</w:t>
      </w:r>
      <w:r w:rsidR="006B20D0" w:rsidRPr="00CB7CCC">
        <w:rPr>
          <w:sz w:val="18"/>
          <w:szCs w:val="18"/>
        </w:rPr>
        <w:t>arnings</w:t>
      </w:r>
      <w:r w:rsidR="00E202FB">
        <w:rPr>
          <w:sz w:val="18"/>
          <w:szCs w:val="18"/>
        </w:rPr>
        <w:t xml:space="preserve"> in FY20</w:t>
      </w:r>
      <w:r w:rsidR="006B20D0" w:rsidRPr="00CB7CCC">
        <w:rPr>
          <w:sz w:val="18"/>
          <w:szCs w:val="18"/>
        </w:rPr>
        <w:t xml:space="preserve"> </w:t>
      </w:r>
      <w:r w:rsidRPr="00CB7CCC">
        <w:rPr>
          <w:sz w:val="18"/>
          <w:szCs w:val="18"/>
        </w:rPr>
        <w:t xml:space="preserve">and </w:t>
      </w:r>
      <w:r w:rsidR="00572549" w:rsidRPr="00CB7CCC">
        <w:rPr>
          <w:sz w:val="18"/>
          <w:szCs w:val="18"/>
        </w:rPr>
        <w:t>the elimination of Earnings from discontinued operations in FY19 of £64.8m</w:t>
      </w:r>
      <w:r w:rsidR="006B20D0" w:rsidRPr="00CB7CCC">
        <w:rPr>
          <w:sz w:val="18"/>
          <w:szCs w:val="18"/>
        </w:rPr>
        <w:t>. The weighted average number of shares in issue</w:t>
      </w:r>
      <w:r w:rsidR="00460143" w:rsidRPr="00CB7CCC">
        <w:rPr>
          <w:sz w:val="18"/>
          <w:szCs w:val="18"/>
        </w:rPr>
        <w:t xml:space="preserve"> in FY20 was </w:t>
      </w:r>
      <w:r w:rsidR="00572549" w:rsidRPr="00CB7CCC">
        <w:rPr>
          <w:rFonts w:cs="Arial"/>
          <w:sz w:val="18"/>
          <w:szCs w:val="18"/>
        </w:rPr>
        <w:t>443.9</w:t>
      </w:r>
      <w:r w:rsidR="00460143" w:rsidRPr="00CB7CCC">
        <w:rPr>
          <w:sz w:val="18"/>
          <w:szCs w:val="18"/>
        </w:rPr>
        <w:t>m (FY19: 532.0</w:t>
      </w:r>
      <w:r w:rsidR="006B20D0" w:rsidRPr="00CB7CCC">
        <w:rPr>
          <w:sz w:val="18"/>
          <w:szCs w:val="18"/>
        </w:rPr>
        <w:t>m).</w:t>
      </w:r>
    </w:p>
    <w:p w14:paraId="491221C8" w14:textId="77777777" w:rsidR="006B20D0" w:rsidRPr="00CB7CCC" w:rsidRDefault="006B20D0" w:rsidP="00ED0EF2">
      <w:pPr>
        <w:adjustRightInd w:val="0"/>
        <w:spacing w:after="120"/>
        <w:jc w:val="both"/>
        <w:rPr>
          <w:sz w:val="18"/>
          <w:szCs w:val="18"/>
        </w:rPr>
      </w:pPr>
      <w:r w:rsidRPr="00CB7CCC">
        <w:rPr>
          <w:sz w:val="18"/>
          <w:szCs w:val="18"/>
        </w:rPr>
        <w:t xml:space="preserve">Adjusted Earnings </w:t>
      </w:r>
      <w:r w:rsidR="00460143" w:rsidRPr="00CB7CCC">
        <w:rPr>
          <w:sz w:val="18"/>
          <w:szCs w:val="18"/>
        </w:rPr>
        <w:t xml:space="preserve">were </w:t>
      </w:r>
      <w:r w:rsidR="00572549" w:rsidRPr="00CB7CCC">
        <w:rPr>
          <w:rFonts w:cs="Arial"/>
          <w:sz w:val="18"/>
          <w:szCs w:val="18"/>
        </w:rPr>
        <w:t>£1</w:t>
      </w:r>
      <w:r w:rsidR="003C06AD" w:rsidRPr="00CB7CCC">
        <w:rPr>
          <w:rFonts w:cs="Arial"/>
          <w:sz w:val="18"/>
          <w:szCs w:val="18"/>
        </w:rPr>
        <w:t>3.0</w:t>
      </w:r>
      <w:r w:rsidR="00572549" w:rsidRPr="00CB7CCC">
        <w:rPr>
          <w:rFonts w:cs="Arial"/>
          <w:sz w:val="18"/>
          <w:szCs w:val="18"/>
        </w:rPr>
        <w:t>m</w:t>
      </w:r>
      <w:r w:rsidR="00460143" w:rsidRPr="00CB7CCC">
        <w:rPr>
          <w:sz w:val="18"/>
          <w:szCs w:val="18"/>
        </w:rPr>
        <w:t xml:space="preserve"> in the period, £</w:t>
      </w:r>
      <w:r w:rsidR="00572549" w:rsidRPr="00CB7CCC">
        <w:rPr>
          <w:rFonts w:cs="Arial"/>
          <w:sz w:val="18"/>
          <w:szCs w:val="18"/>
        </w:rPr>
        <w:t>7</w:t>
      </w:r>
      <w:r w:rsidR="003C06AD" w:rsidRPr="00CB7CCC">
        <w:rPr>
          <w:rFonts w:cs="Arial"/>
          <w:sz w:val="18"/>
          <w:szCs w:val="18"/>
        </w:rPr>
        <w:t>1.9</w:t>
      </w:r>
      <w:r w:rsidRPr="00CB7CCC">
        <w:rPr>
          <w:sz w:val="18"/>
          <w:szCs w:val="18"/>
        </w:rPr>
        <w:t xml:space="preserve">m behind prior year levels largely due to </w:t>
      </w:r>
      <w:r w:rsidR="00572549" w:rsidRPr="00CB7CCC">
        <w:rPr>
          <w:sz w:val="18"/>
          <w:szCs w:val="18"/>
        </w:rPr>
        <w:t xml:space="preserve">a reduction in </w:t>
      </w:r>
      <w:r w:rsidR="004B145F" w:rsidRPr="00CB7CCC">
        <w:rPr>
          <w:sz w:val="18"/>
          <w:szCs w:val="18"/>
        </w:rPr>
        <w:t>Adjusted Operating Profit</w:t>
      </w:r>
      <w:r w:rsidRPr="00CB7CCC">
        <w:rPr>
          <w:sz w:val="18"/>
          <w:szCs w:val="18"/>
        </w:rPr>
        <w:t>. Adjusted earnings per sh</w:t>
      </w:r>
      <w:r w:rsidR="00460143" w:rsidRPr="00CB7CCC">
        <w:rPr>
          <w:sz w:val="18"/>
          <w:szCs w:val="18"/>
        </w:rPr>
        <w:t xml:space="preserve">are of </w:t>
      </w:r>
      <w:r w:rsidR="001066B6" w:rsidRPr="00CB7CCC">
        <w:rPr>
          <w:rFonts w:cs="Arial"/>
          <w:sz w:val="18"/>
          <w:szCs w:val="18"/>
        </w:rPr>
        <w:t>2.9</w:t>
      </w:r>
      <w:r w:rsidR="00460143" w:rsidRPr="00CB7CCC">
        <w:rPr>
          <w:sz w:val="18"/>
          <w:szCs w:val="18"/>
        </w:rPr>
        <w:t xml:space="preserve"> pence was </w:t>
      </w:r>
      <w:r w:rsidR="001066B6" w:rsidRPr="00CB7CCC">
        <w:rPr>
          <w:rFonts w:cs="Arial"/>
          <w:sz w:val="18"/>
          <w:szCs w:val="18"/>
        </w:rPr>
        <w:t>81.9</w:t>
      </w:r>
      <w:r w:rsidR="00460143" w:rsidRPr="00CB7CCC">
        <w:rPr>
          <w:sz w:val="18"/>
          <w:szCs w:val="18"/>
        </w:rPr>
        <w:t xml:space="preserve">% </w:t>
      </w:r>
      <w:r w:rsidR="004B145F" w:rsidRPr="00CB7CCC">
        <w:rPr>
          <w:sz w:val="18"/>
          <w:szCs w:val="18"/>
        </w:rPr>
        <w:t xml:space="preserve">behind </w:t>
      </w:r>
      <w:r w:rsidR="00460143" w:rsidRPr="00CB7CCC">
        <w:rPr>
          <w:sz w:val="18"/>
          <w:szCs w:val="18"/>
        </w:rPr>
        <w:t>FY19</w:t>
      </w:r>
      <w:r w:rsidRPr="00CB7CCC">
        <w:rPr>
          <w:sz w:val="18"/>
          <w:szCs w:val="18"/>
        </w:rPr>
        <w:t xml:space="preserve">. </w:t>
      </w:r>
    </w:p>
    <w:p w14:paraId="44AED9F5"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Cash Flow and Net Debt</w:t>
      </w:r>
    </w:p>
    <w:p w14:paraId="02EC5B0F" w14:textId="27190519" w:rsidR="009429A6" w:rsidRPr="00CB7CCC" w:rsidRDefault="009429A6" w:rsidP="00ED0EF2">
      <w:pPr>
        <w:adjustRightInd w:val="0"/>
        <w:spacing w:after="120"/>
        <w:jc w:val="both"/>
        <w:rPr>
          <w:sz w:val="18"/>
          <w:szCs w:val="18"/>
        </w:rPr>
      </w:pPr>
      <w:r w:rsidRPr="00CB7CCC">
        <w:rPr>
          <w:sz w:val="18"/>
          <w:szCs w:val="18"/>
        </w:rPr>
        <w:t>Adjusted EBITDA was £</w:t>
      </w:r>
      <w:r w:rsidR="00572549" w:rsidRPr="00CB7CCC">
        <w:rPr>
          <w:sz w:val="18"/>
          <w:szCs w:val="18"/>
        </w:rPr>
        <w:t>5</w:t>
      </w:r>
      <w:r w:rsidR="003C06AD" w:rsidRPr="00CB7CCC">
        <w:rPr>
          <w:sz w:val="18"/>
          <w:szCs w:val="18"/>
        </w:rPr>
        <w:t>7.0</w:t>
      </w:r>
      <w:r w:rsidRPr="00CB7CCC">
        <w:rPr>
          <w:sz w:val="18"/>
          <w:szCs w:val="18"/>
        </w:rPr>
        <w:t xml:space="preserve">m </w:t>
      </w:r>
      <w:r w:rsidR="009B33AE" w:rsidRPr="00CB7CCC">
        <w:rPr>
          <w:sz w:val="18"/>
          <w:szCs w:val="18"/>
        </w:rPr>
        <w:t xml:space="preserve">lower </w:t>
      </w:r>
      <w:r w:rsidRPr="00CB7CCC">
        <w:rPr>
          <w:sz w:val="18"/>
          <w:szCs w:val="18"/>
        </w:rPr>
        <w:t xml:space="preserve">in </w:t>
      </w:r>
      <w:r w:rsidR="009B33AE" w:rsidRPr="00CB7CCC">
        <w:rPr>
          <w:sz w:val="18"/>
          <w:szCs w:val="18"/>
        </w:rPr>
        <w:t>FY</w:t>
      </w:r>
      <w:r w:rsidRPr="00CB7CCC">
        <w:rPr>
          <w:sz w:val="18"/>
          <w:szCs w:val="18"/>
        </w:rPr>
        <w:t>20 at £</w:t>
      </w:r>
      <w:r w:rsidR="00115113" w:rsidRPr="00CB7CCC">
        <w:rPr>
          <w:sz w:val="18"/>
          <w:szCs w:val="18"/>
        </w:rPr>
        <w:t>85.0</w:t>
      </w:r>
      <w:r w:rsidRPr="00CB7CCC">
        <w:rPr>
          <w:sz w:val="18"/>
          <w:szCs w:val="18"/>
        </w:rPr>
        <w:t>m, after the impact of IFRS 16</w:t>
      </w:r>
      <w:r w:rsidR="000454DA">
        <w:rPr>
          <w:sz w:val="18"/>
          <w:szCs w:val="18"/>
        </w:rPr>
        <w:t xml:space="preserve"> that increased the FY20 outturn by £12.9m</w:t>
      </w:r>
      <w:r w:rsidRPr="00CB7CCC">
        <w:rPr>
          <w:sz w:val="18"/>
          <w:szCs w:val="18"/>
        </w:rPr>
        <w:t>. The Group incurred a net working capital outflow of £</w:t>
      </w:r>
      <w:r w:rsidR="00EA272C">
        <w:rPr>
          <w:sz w:val="18"/>
          <w:szCs w:val="18"/>
        </w:rPr>
        <w:t>46.1</w:t>
      </w:r>
      <w:r w:rsidR="004F36F7" w:rsidRPr="00CB7CCC">
        <w:rPr>
          <w:sz w:val="18"/>
          <w:szCs w:val="18"/>
        </w:rPr>
        <w:t>m</w:t>
      </w:r>
      <w:r w:rsidRPr="00CB7CCC">
        <w:rPr>
          <w:sz w:val="18"/>
          <w:szCs w:val="18"/>
        </w:rPr>
        <w:t>. Maintenance capital expenditure of £</w:t>
      </w:r>
      <w:r w:rsidR="00572549" w:rsidRPr="00CB7CCC">
        <w:rPr>
          <w:sz w:val="18"/>
          <w:szCs w:val="18"/>
        </w:rPr>
        <w:t>18.</w:t>
      </w:r>
      <w:r w:rsidR="00321447" w:rsidRPr="00CB7CCC">
        <w:rPr>
          <w:sz w:val="18"/>
          <w:szCs w:val="18"/>
        </w:rPr>
        <w:t>9</w:t>
      </w:r>
      <w:r w:rsidRPr="00CB7CCC">
        <w:rPr>
          <w:sz w:val="18"/>
          <w:szCs w:val="18"/>
        </w:rPr>
        <w:t>m was incurred in the period (</w:t>
      </w:r>
      <w:r w:rsidR="009B33AE" w:rsidRPr="00CB7CCC">
        <w:rPr>
          <w:sz w:val="18"/>
          <w:szCs w:val="18"/>
        </w:rPr>
        <w:t>FY</w:t>
      </w:r>
      <w:r w:rsidRPr="00CB7CCC">
        <w:rPr>
          <w:sz w:val="18"/>
          <w:szCs w:val="18"/>
        </w:rPr>
        <w:t>19: £</w:t>
      </w:r>
      <w:r w:rsidR="009B33AE" w:rsidRPr="00CB7CCC">
        <w:rPr>
          <w:sz w:val="18"/>
          <w:szCs w:val="18"/>
        </w:rPr>
        <w:t>30.6</w:t>
      </w:r>
      <w:r w:rsidRPr="00CB7CCC">
        <w:rPr>
          <w:sz w:val="18"/>
          <w:szCs w:val="18"/>
        </w:rPr>
        <w:t>m). The cash outflow in respect of exceptional charges was £</w:t>
      </w:r>
      <w:r w:rsidR="00EA272C">
        <w:rPr>
          <w:sz w:val="18"/>
          <w:szCs w:val="18"/>
        </w:rPr>
        <w:t>10.1</w:t>
      </w:r>
      <w:r w:rsidR="00CF0951" w:rsidRPr="00CB7CCC">
        <w:rPr>
          <w:sz w:val="18"/>
          <w:szCs w:val="18"/>
        </w:rPr>
        <w:t xml:space="preserve">m </w:t>
      </w:r>
      <w:r w:rsidR="009B33AE" w:rsidRPr="00CB7CCC">
        <w:rPr>
          <w:sz w:val="18"/>
          <w:szCs w:val="18"/>
        </w:rPr>
        <w:t>(FY</w:t>
      </w:r>
      <w:r w:rsidRPr="00CB7CCC">
        <w:rPr>
          <w:sz w:val="18"/>
          <w:szCs w:val="18"/>
        </w:rPr>
        <w:t>19: £</w:t>
      </w:r>
      <w:r w:rsidR="009B33AE" w:rsidRPr="00CB7CCC">
        <w:rPr>
          <w:sz w:val="18"/>
          <w:szCs w:val="18"/>
        </w:rPr>
        <w:t>9.6</w:t>
      </w:r>
      <w:r w:rsidRPr="00CB7CCC">
        <w:rPr>
          <w:sz w:val="18"/>
          <w:szCs w:val="18"/>
        </w:rPr>
        <w:t>m), of which £</w:t>
      </w:r>
      <w:r w:rsidR="00572549" w:rsidRPr="00CB7CCC">
        <w:rPr>
          <w:sz w:val="18"/>
          <w:szCs w:val="18"/>
        </w:rPr>
        <w:t>3.</w:t>
      </w:r>
      <w:r w:rsidR="004F36F7">
        <w:rPr>
          <w:sz w:val="18"/>
          <w:szCs w:val="18"/>
        </w:rPr>
        <w:t>0</w:t>
      </w:r>
      <w:r w:rsidR="004F36F7" w:rsidRPr="00CB7CCC">
        <w:rPr>
          <w:sz w:val="18"/>
          <w:szCs w:val="18"/>
        </w:rPr>
        <w:t xml:space="preserve">m </w:t>
      </w:r>
      <w:r w:rsidRPr="00CB7CCC">
        <w:rPr>
          <w:sz w:val="18"/>
          <w:szCs w:val="18"/>
        </w:rPr>
        <w:t>related to prior year exceptional charges.</w:t>
      </w:r>
    </w:p>
    <w:p w14:paraId="552D6B37" w14:textId="22B2C2B7" w:rsidR="009429A6" w:rsidRPr="00CB7CCC" w:rsidRDefault="009429A6" w:rsidP="00ED0EF2">
      <w:pPr>
        <w:adjustRightInd w:val="0"/>
        <w:spacing w:after="120"/>
        <w:jc w:val="both"/>
        <w:rPr>
          <w:sz w:val="18"/>
          <w:szCs w:val="18"/>
        </w:rPr>
      </w:pPr>
      <w:r w:rsidRPr="00CB7CCC">
        <w:rPr>
          <w:sz w:val="18"/>
          <w:szCs w:val="18"/>
        </w:rPr>
        <w:t>Interest paid in the period was £</w:t>
      </w:r>
      <w:r w:rsidR="00572549" w:rsidRPr="00CB7CCC">
        <w:rPr>
          <w:sz w:val="18"/>
          <w:szCs w:val="18"/>
        </w:rPr>
        <w:t>14.</w:t>
      </w:r>
      <w:r w:rsidR="001A76DE">
        <w:rPr>
          <w:sz w:val="18"/>
          <w:szCs w:val="18"/>
        </w:rPr>
        <w:t>3</w:t>
      </w:r>
      <w:r w:rsidRPr="00CB7CCC">
        <w:rPr>
          <w:sz w:val="18"/>
          <w:szCs w:val="18"/>
        </w:rPr>
        <w:t>m, including interest on lease liabilities (</w:t>
      </w:r>
      <w:r w:rsidR="009B33AE" w:rsidRPr="00CB7CCC">
        <w:rPr>
          <w:sz w:val="18"/>
          <w:szCs w:val="18"/>
        </w:rPr>
        <w:t>FY</w:t>
      </w:r>
      <w:r w:rsidRPr="00CB7CCC">
        <w:rPr>
          <w:sz w:val="18"/>
          <w:szCs w:val="18"/>
        </w:rPr>
        <w:t>19: £</w:t>
      </w:r>
      <w:r w:rsidR="009B33AE" w:rsidRPr="00CB7CCC">
        <w:rPr>
          <w:sz w:val="18"/>
          <w:szCs w:val="18"/>
        </w:rPr>
        <w:t>16.9</w:t>
      </w:r>
      <w:r w:rsidRPr="00CB7CCC">
        <w:rPr>
          <w:sz w:val="18"/>
          <w:szCs w:val="18"/>
        </w:rPr>
        <w:t>m)</w:t>
      </w:r>
      <w:r w:rsidR="00572549" w:rsidRPr="00CB7CCC">
        <w:rPr>
          <w:sz w:val="18"/>
          <w:szCs w:val="18"/>
        </w:rPr>
        <w:t>, a reduction on FY19</w:t>
      </w:r>
      <w:r w:rsidR="00D633C8" w:rsidRPr="00CB7CCC">
        <w:rPr>
          <w:sz w:val="18"/>
          <w:szCs w:val="18"/>
        </w:rPr>
        <w:t xml:space="preserve"> </w:t>
      </w:r>
      <w:r w:rsidRPr="00CB7CCC">
        <w:rPr>
          <w:sz w:val="18"/>
          <w:szCs w:val="18"/>
        </w:rPr>
        <w:t>primarily reflecting the impact of closing out swaps in the prior year. Cash tax increased by £</w:t>
      </w:r>
      <w:r w:rsidR="00B6765B" w:rsidRPr="00CB7CCC">
        <w:rPr>
          <w:sz w:val="18"/>
          <w:szCs w:val="18"/>
        </w:rPr>
        <w:t>1.1</w:t>
      </w:r>
      <w:r w:rsidRPr="00CB7CCC">
        <w:rPr>
          <w:sz w:val="18"/>
          <w:szCs w:val="18"/>
        </w:rPr>
        <w:t>m to £</w:t>
      </w:r>
      <w:r w:rsidR="00B6765B" w:rsidRPr="00CB7CCC">
        <w:rPr>
          <w:sz w:val="18"/>
          <w:szCs w:val="18"/>
        </w:rPr>
        <w:t>4.6</w:t>
      </w:r>
      <w:r w:rsidRPr="00CB7CCC">
        <w:rPr>
          <w:sz w:val="18"/>
          <w:szCs w:val="18"/>
        </w:rPr>
        <w:t xml:space="preserve">m due to a one-off change in rules for the timing of UK corporation tax payments impacting </w:t>
      </w:r>
      <w:r w:rsidR="00884F29" w:rsidRPr="00CB7CCC">
        <w:rPr>
          <w:sz w:val="18"/>
          <w:szCs w:val="18"/>
        </w:rPr>
        <w:t>FY</w:t>
      </w:r>
      <w:r w:rsidRPr="00CB7CCC">
        <w:rPr>
          <w:sz w:val="18"/>
          <w:szCs w:val="18"/>
        </w:rPr>
        <w:t>20</w:t>
      </w:r>
      <w:r w:rsidR="001B2FC6" w:rsidRPr="00CB7CCC">
        <w:rPr>
          <w:sz w:val="18"/>
          <w:szCs w:val="18"/>
        </w:rPr>
        <w:t xml:space="preserve">. </w:t>
      </w:r>
      <w:r w:rsidRPr="00CB7CCC">
        <w:rPr>
          <w:sz w:val="18"/>
          <w:szCs w:val="18"/>
        </w:rPr>
        <w:t>The cash tax rate for the Group is expected to rise towards the Group’s effective rate in the medium term as a result of increased profitability and a reduction in the degree to which UK losses may be utilised in any one year. The Group’s cash funding for defined benefit pension schemes was £</w:t>
      </w:r>
      <w:r w:rsidR="00B6765B" w:rsidRPr="00CB7CCC">
        <w:rPr>
          <w:sz w:val="18"/>
          <w:szCs w:val="18"/>
        </w:rPr>
        <w:t>9.</w:t>
      </w:r>
      <w:r w:rsidR="004F36F7">
        <w:rPr>
          <w:sz w:val="18"/>
          <w:szCs w:val="18"/>
        </w:rPr>
        <w:t>4</w:t>
      </w:r>
      <w:r w:rsidR="004F36F7" w:rsidRPr="00CB7CCC">
        <w:rPr>
          <w:sz w:val="18"/>
          <w:szCs w:val="18"/>
        </w:rPr>
        <w:t xml:space="preserve">m </w:t>
      </w:r>
      <w:r w:rsidRPr="00CB7CCC">
        <w:rPr>
          <w:sz w:val="18"/>
          <w:szCs w:val="18"/>
        </w:rPr>
        <w:t>(</w:t>
      </w:r>
      <w:r w:rsidR="009B33AE" w:rsidRPr="00CB7CCC">
        <w:rPr>
          <w:sz w:val="18"/>
          <w:szCs w:val="18"/>
        </w:rPr>
        <w:t>FY</w:t>
      </w:r>
      <w:r w:rsidRPr="00CB7CCC">
        <w:rPr>
          <w:sz w:val="18"/>
          <w:szCs w:val="18"/>
        </w:rPr>
        <w:t>19: £</w:t>
      </w:r>
      <w:r w:rsidR="009B33AE" w:rsidRPr="00CB7CCC">
        <w:rPr>
          <w:sz w:val="18"/>
          <w:szCs w:val="18"/>
        </w:rPr>
        <w:t>16.0</w:t>
      </w:r>
      <w:r w:rsidRPr="00CB7CCC">
        <w:rPr>
          <w:sz w:val="18"/>
          <w:szCs w:val="18"/>
        </w:rPr>
        <w:t>m)</w:t>
      </w:r>
      <w:r w:rsidR="000F2C66" w:rsidRPr="00CB7CCC">
        <w:rPr>
          <w:sz w:val="18"/>
          <w:szCs w:val="18"/>
        </w:rPr>
        <w:t>, reflecting the decision to defer cash contributions in the second half of the year</w:t>
      </w:r>
      <w:r w:rsidRPr="00CB7CCC">
        <w:rPr>
          <w:sz w:val="18"/>
          <w:szCs w:val="18"/>
        </w:rPr>
        <w:t>.</w:t>
      </w:r>
    </w:p>
    <w:p w14:paraId="5046AF34" w14:textId="7034CB30" w:rsidR="009429A6" w:rsidRPr="00CB7CCC" w:rsidRDefault="009429A6" w:rsidP="00ED0EF2">
      <w:pPr>
        <w:adjustRightInd w:val="0"/>
        <w:spacing w:after="120"/>
        <w:jc w:val="both"/>
        <w:rPr>
          <w:sz w:val="18"/>
          <w:szCs w:val="18"/>
        </w:rPr>
      </w:pPr>
      <w:r w:rsidRPr="00CB7CCC">
        <w:rPr>
          <w:sz w:val="18"/>
          <w:szCs w:val="18"/>
        </w:rPr>
        <w:t xml:space="preserve">These movements resulted in a Free Cash </w:t>
      </w:r>
      <w:r w:rsidR="009B33AE" w:rsidRPr="00CB7CCC">
        <w:rPr>
          <w:sz w:val="18"/>
          <w:szCs w:val="18"/>
        </w:rPr>
        <w:t xml:space="preserve">outflow </w:t>
      </w:r>
      <w:r w:rsidRPr="00CB7CCC">
        <w:rPr>
          <w:sz w:val="18"/>
          <w:szCs w:val="18"/>
        </w:rPr>
        <w:t>of £</w:t>
      </w:r>
      <w:r w:rsidR="0035290A">
        <w:rPr>
          <w:sz w:val="18"/>
          <w:szCs w:val="18"/>
        </w:rPr>
        <w:t>29.7</w:t>
      </w:r>
      <w:r w:rsidRPr="00CB7CCC">
        <w:rPr>
          <w:sz w:val="18"/>
          <w:szCs w:val="18"/>
        </w:rPr>
        <w:t xml:space="preserve">m compared to an </w:t>
      </w:r>
      <w:r w:rsidR="00884F29" w:rsidRPr="00CB7CCC">
        <w:rPr>
          <w:sz w:val="18"/>
          <w:szCs w:val="18"/>
        </w:rPr>
        <w:t>inflow</w:t>
      </w:r>
      <w:r w:rsidRPr="00CB7CCC">
        <w:rPr>
          <w:sz w:val="18"/>
          <w:szCs w:val="18"/>
        </w:rPr>
        <w:t xml:space="preserve"> of £</w:t>
      </w:r>
      <w:r w:rsidR="00884F29" w:rsidRPr="00CB7CCC">
        <w:rPr>
          <w:sz w:val="18"/>
          <w:szCs w:val="18"/>
        </w:rPr>
        <w:t>54.9</w:t>
      </w:r>
      <w:r w:rsidRPr="00CB7CCC">
        <w:rPr>
          <w:sz w:val="18"/>
          <w:szCs w:val="18"/>
        </w:rPr>
        <w:t xml:space="preserve">m in </w:t>
      </w:r>
      <w:r w:rsidR="00884F29" w:rsidRPr="00CB7CCC">
        <w:rPr>
          <w:sz w:val="18"/>
          <w:szCs w:val="18"/>
        </w:rPr>
        <w:t>FY</w:t>
      </w:r>
      <w:r w:rsidRPr="00CB7CCC">
        <w:rPr>
          <w:sz w:val="18"/>
          <w:szCs w:val="18"/>
        </w:rPr>
        <w:t xml:space="preserve">19 driven by </w:t>
      </w:r>
      <w:r w:rsidR="00884F29" w:rsidRPr="00CB7CCC">
        <w:rPr>
          <w:sz w:val="18"/>
          <w:szCs w:val="18"/>
        </w:rPr>
        <w:t>lower profitability</w:t>
      </w:r>
      <w:r w:rsidR="00E037F4">
        <w:rPr>
          <w:sz w:val="18"/>
          <w:szCs w:val="18"/>
        </w:rPr>
        <w:t xml:space="preserve"> and </w:t>
      </w:r>
      <w:r w:rsidR="00884F29" w:rsidRPr="00CB7CCC">
        <w:rPr>
          <w:sz w:val="18"/>
          <w:szCs w:val="18"/>
        </w:rPr>
        <w:t xml:space="preserve">higher </w:t>
      </w:r>
      <w:r w:rsidRPr="00CB7CCC">
        <w:rPr>
          <w:sz w:val="18"/>
          <w:szCs w:val="18"/>
        </w:rPr>
        <w:t>working capital outflows</w:t>
      </w:r>
      <w:r w:rsidR="00E037F4">
        <w:rPr>
          <w:sz w:val="18"/>
          <w:szCs w:val="18"/>
        </w:rPr>
        <w:t>, partially offset by</w:t>
      </w:r>
      <w:r w:rsidRPr="00CB7CCC">
        <w:rPr>
          <w:sz w:val="18"/>
          <w:szCs w:val="18"/>
        </w:rPr>
        <w:t xml:space="preserve"> the non-recurrence of cash outflows associated with discontinued operations.</w:t>
      </w:r>
    </w:p>
    <w:p w14:paraId="49B89259" w14:textId="77777777" w:rsidR="009429A6" w:rsidRPr="00CB7CCC" w:rsidRDefault="009429A6" w:rsidP="00ED0EF2">
      <w:pPr>
        <w:adjustRightInd w:val="0"/>
        <w:spacing w:after="120"/>
        <w:jc w:val="both"/>
        <w:rPr>
          <w:sz w:val="18"/>
          <w:szCs w:val="18"/>
        </w:rPr>
      </w:pPr>
      <w:r w:rsidRPr="00CB7CCC">
        <w:rPr>
          <w:sz w:val="18"/>
          <w:szCs w:val="18"/>
        </w:rPr>
        <w:t xml:space="preserve">In </w:t>
      </w:r>
      <w:r w:rsidR="00884F29" w:rsidRPr="00CB7CCC">
        <w:rPr>
          <w:sz w:val="18"/>
          <w:szCs w:val="18"/>
        </w:rPr>
        <w:t>FY</w:t>
      </w:r>
      <w:r w:rsidRPr="00CB7CCC">
        <w:rPr>
          <w:sz w:val="18"/>
          <w:szCs w:val="18"/>
        </w:rPr>
        <w:t>20, the Group incurred strategic capital expenditure of £</w:t>
      </w:r>
      <w:r w:rsidR="000F2C66" w:rsidRPr="00CB7CCC">
        <w:rPr>
          <w:sz w:val="18"/>
          <w:szCs w:val="18"/>
        </w:rPr>
        <w:t>13.0</w:t>
      </w:r>
      <w:r w:rsidR="00884F29" w:rsidRPr="00CB7CCC">
        <w:rPr>
          <w:sz w:val="18"/>
          <w:szCs w:val="18"/>
        </w:rPr>
        <w:t>m (FY</w:t>
      </w:r>
      <w:r w:rsidRPr="00CB7CCC">
        <w:rPr>
          <w:sz w:val="18"/>
          <w:szCs w:val="18"/>
        </w:rPr>
        <w:t>19: £</w:t>
      </w:r>
      <w:r w:rsidR="00884F29" w:rsidRPr="00CB7CCC">
        <w:rPr>
          <w:sz w:val="18"/>
          <w:szCs w:val="18"/>
        </w:rPr>
        <w:t>13.6</w:t>
      </w:r>
      <w:r w:rsidRPr="00CB7CCC">
        <w:rPr>
          <w:sz w:val="18"/>
          <w:szCs w:val="18"/>
        </w:rPr>
        <w:t>m including £</w:t>
      </w:r>
      <w:r w:rsidR="00884F29" w:rsidRPr="00CB7CCC">
        <w:rPr>
          <w:sz w:val="18"/>
          <w:szCs w:val="18"/>
        </w:rPr>
        <w:t>1.2</w:t>
      </w:r>
      <w:r w:rsidRPr="00CB7CCC">
        <w:rPr>
          <w:sz w:val="18"/>
          <w:szCs w:val="18"/>
        </w:rPr>
        <w:t>m on discontinued operations)</w:t>
      </w:r>
      <w:r w:rsidR="00D633C8" w:rsidRPr="00CB7CCC">
        <w:rPr>
          <w:sz w:val="18"/>
          <w:szCs w:val="18"/>
        </w:rPr>
        <w:t>.</w:t>
      </w:r>
    </w:p>
    <w:p w14:paraId="691E0AA8" w14:textId="10EC96B6" w:rsidR="009429A6" w:rsidRPr="00CB7CCC" w:rsidRDefault="009429A6" w:rsidP="00ED0EF2">
      <w:pPr>
        <w:adjustRightInd w:val="0"/>
        <w:spacing w:after="120"/>
        <w:jc w:val="both"/>
        <w:rPr>
          <w:sz w:val="18"/>
          <w:szCs w:val="18"/>
        </w:rPr>
      </w:pPr>
      <w:r w:rsidRPr="00CB7CCC">
        <w:rPr>
          <w:sz w:val="18"/>
          <w:szCs w:val="18"/>
        </w:rPr>
        <w:t>Equity dividend cash payments decreased significantly to £</w:t>
      </w:r>
      <w:r w:rsidR="00884F29" w:rsidRPr="00CB7CCC">
        <w:rPr>
          <w:sz w:val="18"/>
          <w:szCs w:val="18"/>
        </w:rPr>
        <w:t>16.7</w:t>
      </w:r>
      <w:r w:rsidRPr="00CB7CCC">
        <w:rPr>
          <w:sz w:val="18"/>
          <w:szCs w:val="18"/>
        </w:rPr>
        <w:t>m (</w:t>
      </w:r>
      <w:r w:rsidR="00884F29" w:rsidRPr="00CB7CCC">
        <w:rPr>
          <w:sz w:val="18"/>
          <w:szCs w:val="18"/>
        </w:rPr>
        <w:t>FY</w:t>
      </w:r>
      <w:r w:rsidRPr="00CB7CCC">
        <w:rPr>
          <w:sz w:val="18"/>
          <w:szCs w:val="18"/>
        </w:rPr>
        <w:t>19: £</w:t>
      </w:r>
      <w:r w:rsidR="00884F29" w:rsidRPr="00CB7CCC">
        <w:rPr>
          <w:sz w:val="18"/>
          <w:szCs w:val="18"/>
        </w:rPr>
        <w:t>50.3</w:t>
      </w:r>
      <w:r w:rsidRPr="00CB7CCC">
        <w:rPr>
          <w:sz w:val="18"/>
          <w:szCs w:val="18"/>
        </w:rPr>
        <w:t xml:space="preserve">m). </w:t>
      </w:r>
      <w:r w:rsidR="000F2C66" w:rsidRPr="00CB7CCC">
        <w:rPr>
          <w:rFonts w:cs="Arial"/>
          <w:sz w:val="18"/>
          <w:szCs w:val="18"/>
        </w:rPr>
        <w:t xml:space="preserve">As announced on 30 March 2020, the Group did not proceed with the payment of an interim FY20 dividend. </w:t>
      </w:r>
      <w:r w:rsidRPr="00CB7CCC">
        <w:rPr>
          <w:sz w:val="18"/>
          <w:szCs w:val="18"/>
        </w:rPr>
        <w:t xml:space="preserve">The </w:t>
      </w:r>
      <w:r w:rsidR="00010E54">
        <w:rPr>
          <w:sz w:val="18"/>
          <w:szCs w:val="18"/>
        </w:rPr>
        <w:t xml:space="preserve">FY19 final dividend </w:t>
      </w:r>
      <w:r w:rsidRPr="00CB7CCC">
        <w:rPr>
          <w:sz w:val="18"/>
          <w:szCs w:val="18"/>
        </w:rPr>
        <w:t xml:space="preserve">payment </w:t>
      </w:r>
      <w:r w:rsidR="00010E54">
        <w:rPr>
          <w:sz w:val="18"/>
          <w:szCs w:val="18"/>
        </w:rPr>
        <w:t xml:space="preserve">made </w:t>
      </w:r>
      <w:r w:rsidR="00AB48C0" w:rsidRPr="00CB7CCC">
        <w:rPr>
          <w:sz w:val="18"/>
          <w:szCs w:val="18"/>
        </w:rPr>
        <w:t xml:space="preserve">in FY20 was </w:t>
      </w:r>
      <w:r w:rsidRPr="00CB7CCC">
        <w:rPr>
          <w:sz w:val="18"/>
          <w:szCs w:val="18"/>
        </w:rPr>
        <w:t xml:space="preserve">made on a reduced number of shares, reflecting the impact of the Group’s tender offer which was executed in January 2019. The </w:t>
      </w:r>
      <w:r w:rsidR="00884F29" w:rsidRPr="00CB7CCC">
        <w:rPr>
          <w:sz w:val="18"/>
          <w:szCs w:val="18"/>
        </w:rPr>
        <w:t xml:space="preserve">FY19 </w:t>
      </w:r>
      <w:r w:rsidRPr="00CB7CCC">
        <w:rPr>
          <w:sz w:val="18"/>
          <w:szCs w:val="18"/>
        </w:rPr>
        <w:t>period also included the change in the phasing of dividend cash payments resulting from the removal of the scrip dividend option (the interim and final dividend for FY18</w:t>
      </w:r>
      <w:r w:rsidR="00884F29" w:rsidRPr="00CB7CCC">
        <w:rPr>
          <w:sz w:val="18"/>
          <w:szCs w:val="18"/>
        </w:rPr>
        <w:t>, and the interim dividend for FY19,</w:t>
      </w:r>
      <w:r w:rsidRPr="00CB7CCC">
        <w:rPr>
          <w:sz w:val="18"/>
          <w:szCs w:val="18"/>
        </w:rPr>
        <w:t xml:space="preserve"> were paid during </w:t>
      </w:r>
      <w:r w:rsidR="00884F29" w:rsidRPr="00CB7CCC">
        <w:rPr>
          <w:sz w:val="18"/>
          <w:szCs w:val="18"/>
        </w:rPr>
        <w:t>FY19</w:t>
      </w:r>
      <w:r w:rsidRPr="00CB7CCC">
        <w:rPr>
          <w:sz w:val="18"/>
          <w:szCs w:val="18"/>
        </w:rPr>
        <w:t>).</w:t>
      </w:r>
    </w:p>
    <w:p w14:paraId="4B6F66F0" w14:textId="77F71B77" w:rsidR="009429A6" w:rsidRPr="00CB7CCC" w:rsidRDefault="009429A6" w:rsidP="00ED0EF2">
      <w:pPr>
        <w:adjustRightInd w:val="0"/>
        <w:spacing w:after="120"/>
        <w:jc w:val="both"/>
        <w:rPr>
          <w:sz w:val="18"/>
          <w:szCs w:val="18"/>
        </w:rPr>
      </w:pPr>
      <w:r w:rsidRPr="00CB7CCC">
        <w:rPr>
          <w:sz w:val="18"/>
          <w:szCs w:val="18"/>
        </w:rPr>
        <w:t xml:space="preserve">The Group’s Net Debt at </w:t>
      </w:r>
      <w:r w:rsidR="00166B4C" w:rsidRPr="00CB7CCC">
        <w:rPr>
          <w:sz w:val="18"/>
          <w:szCs w:val="18"/>
        </w:rPr>
        <w:t>25 September</w:t>
      </w:r>
      <w:r w:rsidRPr="00CB7CCC">
        <w:rPr>
          <w:sz w:val="18"/>
          <w:szCs w:val="18"/>
        </w:rPr>
        <w:t xml:space="preserve"> 2020 was £</w:t>
      </w:r>
      <w:r w:rsidR="00AB48C0" w:rsidRPr="00CB7CCC">
        <w:rPr>
          <w:sz w:val="18"/>
          <w:szCs w:val="18"/>
        </w:rPr>
        <w:t>41</w:t>
      </w:r>
      <w:r w:rsidR="00E358D9">
        <w:rPr>
          <w:sz w:val="18"/>
          <w:szCs w:val="18"/>
        </w:rPr>
        <w:t>1.2</w:t>
      </w:r>
      <w:r w:rsidRPr="00CB7CCC">
        <w:rPr>
          <w:sz w:val="18"/>
          <w:szCs w:val="18"/>
        </w:rPr>
        <w:t>m, an increase of £</w:t>
      </w:r>
      <w:r w:rsidR="00AB48C0" w:rsidRPr="00CB7CCC">
        <w:rPr>
          <w:sz w:val="18"/>
          <w:szCs w:val="18"/>
        </w:rPr>
        <w:t>122.</w:t>
      </w:r>
      <w:r w:rsidR="00E358D9">
        <w:rPr>
          <w:sz w:val="18"/>
          <w:szCs w:val="18"/>
        </w:rPr>
        <w:t>7</w:t>
      </w:r>
      <w:r w:rsidRPr="00CB7CCC">
        <w:rPr>
          <w:sz w:val="18"/>
          <w:szCs w:val="18"/>
        </w:rPr>
        <w:t xml:space="preserve">m compared to the prior year period, </w:t>
      </w:r>
      <w:r w:rsidR="00884F29" w:rsidRPr="00CB7CCC">
        <w:rPr>
          <w:sz w:val="18"/>
          <w:szCs w:val="18"/>
        </w:rPr>
        <w:t xml:space="preserve">driven </w:t>
      </w:r>
      <w:r w:rsidR="00596788" w:rsidRPr="00CB7CCC">
        <w:rPr>
          <w:sz w:val="18"/>
          <w:szCs w:val="18"/>
        </w:rPr>
        <w:t xml:space="preserve">primarily </w:t>
      </w:r>
      <w:r w:rsidR="00884F29" w:rsidRPr="00CB7CCC">
        <w:rPr>
          <w:sz w:val="18"/>
          <w:szCs w:val="18"/>
        </w:rPr>
        <w:t xml:space="preserve">by the cash outflows described previously as well as the impact of </w:t>
      </w:r>
      <w:r w:rsidRPr="00CB7CCC">
        <w:rPr>
          <w:sz w:val="18"/>
          <w:szCs w:val="18"/>
        </w:rPr>
        <w:t>IFRS 16 lease obligations of £</w:t>
      </w:r>
      <w:r w:rsidR="00AB48C0" w:rsidRPr="00CB7CCC">
        <w:rPr>
          <w:sz w:val="18"/>
          <w:szCs w:val="18"/>
        </w:rPr>
        <w:t>60.</w:t>
      </w:r>
      <w:r w:rsidR="00E358D9">
        <w:rPr>
          <w:sz w:val="18"/>
          <w:szCs w:val="18"/>
        </w:rPr>
        <w:t>7</w:t>
      </w:r>
      <w:r w:rsidRPr="00CB7CCC">
        <w:rPr>
          <w:sz w:val="18"/>
          <w:szCs w:val="18"/>
        </w:rPr>
        <w:t>m.</w:t>
      </w:r>
    </w:p>
    <w:p w14:paraId="4F32CE97"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 xml:space="preserve">Financing </w:t>
      </w:r>
    </w:p>
    <w:p w14:paraId="6B2C64A0" w14:textId="4D638DC3" w:rsidR="00AB48C0" w:rsidRPr="00391117" w:rsidRDefault="00AB48C0" w:rsidP="00ED0EF2">
      <w:pPr>
        <w:widowControl/>
        <w:adjustRightInd w:val="0"/>
        <w:spacing w:after="120"/>
        <w:jc w:val="both"/>
        <w:rPr>
          <w:rFonts w:eastAsiaTheme="minorHAnsi"/>
          <w:color w:val="000000"/>
          <w:sz w:val="18"/>
          <w:szCs w:val="18"/>
          <w:lang w:eastAsia="en-US" w:bidi="ar-SA"/>
        </w:rPr>
      </w:pPr>
      <w:r w:rsidRPr="00391117">
        <w:rPr>
          <w:sz w:val="18"/>
          <w:szCs w:val="18"/>
        </w:rPr>
        <w:t xml:space="preserve">The Group </w:t>
      </w:r>
      <w:r w:rsidR="00002C50" w:rsidRPr="00391117">
        <w:rPr>
          <w:sz w:val="18"/>
          <w:szCs w:val="18"/>
        </w:rPr>
        <w:t>had</w:t>
      </w:r>
      <w:r w:rsidRPr="00391117">
        <w:rPr>
          <w:sz w:val="18"/>
          <w:szCs w:val="18"/>
        </w:rPr>
        <w:t xml:space="preserve"> total committed debt facilities of £</w:t>
      </w:r>
      <w:r w:rsidRPr="00391117">
        <w:rPr>
          <w:rFonts w:cs="Arial"/>
          <w:sz w:val="18"/>
          <w:szCs w:val="18"/>
        </w:rPr>
        <w:t>577.9</w:t>
      </w:r>
      <w:r w:rsidRPr="00391117">
        <w:rPr>
          <w:sz w:val="18"/>
          <w:szCs w:val="18"/>
        </w:rPr>
        <w:t xml:space="preserve">m </w:t>
      </w:r>
      <w:proofErr w:type="gramStart"/>
      <w:r w:rsidRPr="00391117">
        <w:rPr>
          <w:sz w:val="18"/>
          <w:szCs w:val="18"/>
        </w:rPr>
        <w:t>at</w:t>
      </w:r>
      <w:proofErr w:type="gramEnd"/>
      <w:r w:rsidRPr="00391117">
        <w:rPr>
          <w:sz w:val="18"/>
          <w:szCs w:val="18"/>
        </w:rPr>
        <w:t xml:space="preserve"> 25 September 2020 and a weighted average maturity of </w:t>
      </w:r>
      <w:r w:rsidRPr="00391117">
        <w:rPr>
          <w:rFonts w:cs="Arial"/>
          <w:sz w:val="18"/>
          <w:szCs w:val="18"/>
        </w:rPr>
        <w:t>3.3</w:t>
      </w:r>
      <w:r w:rsidRPr="00391117">
        <w:rPr>
          <w:sz w:val="18"/>
          <w:szCs w:val="18"/>
        </w:rPr>
        <w:t xml:space="preserve"> years. </w:t>
      </w:r>
      <w:r w:rsidR="0038116F">
        <w:rPr>
          <w:sz w:val="18"/>
          <w:szCs w:val="18"/>
        </w:rPr>
        <w:t xml:space="preserve">Following the revised financing agreements secured after year end the weighted average maturity of these facilities is now 3.6 years. </w:t>
      </w:r>
      <w:r w:rsidR="0038116F">
        <w:rPr>
          <w:rFonts w:eastAsiaTheme="minorHAnsi"/>
          <w:color w:val="000000"/>
          <w:sz w:val="18"/>
          <w:szCs w:val="18"/>
          <w:lang w:eastAsia="en-US" w:bidi="ar-SA"/>
        </w:rPr>
        <w:t>The facilities</w:t>
      </w:r>
      <w:r w:rsidR="000F4DE9">
        <w:rPr>
          <w:rFonts w:eastAsiaTheme="minorHAnsi"/>
          <w:color w:val="000000"/>
          <w:sz w:val="18"/>
          <w:szCs w:val="18"/>
          <w:lang w:eastAsia="en-US" w:bidi="ar-SA"/>
        </w:rPr>
        <w:t xml:space="preserve"> </w:t>
      </w:r>
      <w:r w:rsidRPr="00391117">
        <w:rPr>
          <w:rFonts w:eastAsiaTheme="minorHAnsi"/>
          <w:color w:val="000000"/>
          <w:sz w:val="18"/>
          <w:szCs w:val="18"/>
          <w:lang w:eastAsia="en-US" w:bidi="ar-SA"/>
        </w:rPr>
        <w:t xml:space="preserve">comprise: </w:t>
      </w:r>
    </w:p>
    <w:p w14:paraId="211D2BF0" w14:textId="77777777" w:rsidR="00AB48C0" w:rsidRPr="00391117" w:rsidRDefault="00AB48C0" w:rsidP="00CB7CCC">
      <w:pPr>
        <w:widowControl/>
        <w:adjustRightInd w:val="0"/>
        <w:rPr>
          <w:rFonts w:eastAsiaTheme="minorHAnsi"/>
          <w:color w:val="000000"/>
          <w:sz w:val="18"/>
          <w:szCs w:val="18"/>
          <w:lang w:eastAsia="en-US" w:bidi="ar-SA"/>
        </w:rPr>
      </w:pPr>
    </w:p>
    <w:p w14:paraId="772B598C" w14:textId="7F4247B4"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 xml:space="preserve">A £340m revolving credit bank facility with a maturity date of January 2025. </w:t>
      </w:r>
    </w:p>
    <w:p w14:paraId="55173503" w14:textId="3AFF825D"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A £50m bilateral bank facility with a maturity date of January 202</w:t>
      </w:r>
      <w:r w:rsidR="0038116F">
        <w:rPr>
          <w:rFonts w:eastAsiaTheme="minorHAnsi"/>
          <w:color w:val="000000"/>
          <w:sz w:val="18"/>
          <w:szCs w:val="18"/>
          <w:lang w:eastAsia="en-US" w:bidi="ar-SA"/>
        </w:rPr>
        <w:t>4</w:t>
      </w:r>
      <w:r w:rsidRPr="005771B0">
        <w:rPr>
          <w:rFonts w:eastAsiaTheme="minorHAnsi"/>
          <w:color w:val="000000"/>
          <w:sz w:val="18"/>
          <w:szCs w:val="18"/>
          <w:lang w:eastAsia="en-US" w:bidi="ar-SA"/>
        </w:rPr>
        <w:t xml:space="preserve">. </w:t>
      </w:r>
    </w:p>
    <w:p w14:paraId="76599651" w14:textId="7738EB1F"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 xml:space="preserve">£112.9m of outstanding Private Placement notes with maturities ranging between October 2021 and June 2026. </w:t>
      </w:r>
    </w:p>
    <w:p w14:paraId="65E8A6A5" w14:textId="01B44355" w:rsidR="00AB48C0" w:rsidRPr="005771B0" w:rsidRDefault="00AB48C0" w:rsidP="005771B0">
      <w:pPr>
        <w:pStyle w:val="ListParagraph"/>
        <w:widowControl/>
        <w:numPr>
          <w:ilvl w:val="0"/>
          <w:numId w:val="59"/>
        </w:numPr>
        <w:adjustRightInd w:val="0"/>
        <w:ind w:left="709"/>
        <w:rPr>
          <w:rFonts w:eastAsiaTheme="minorHAnsi"/>
          <w:color w:val="000000"/>
          <w:sz w:val="18"/>
          <w:szCs w:val="18"/>
          <w:lang w:eastAsia="en-US" w:bidi="ar-SA"/>
        </w:rPr>
      </w:pPr>
      <w:r w:rsidRPr="005771B0">
        <w:rPr>
          <w:rFonts w:eastAsiaTheme="minorHAnsi"/>
          <w:color w:val="000000"/>
          <w:sz w:val="18"/>
          <w:szCs w:val="18"/>
          <w:lang w:eastAsia="en-US" w:bidi="ar-SA"/>
        </w:rPr>
        <w:t>A revolving credit bank facility of £75m, with a maturity date of March 202</w:t>
      </w:r>
      <w:r w:rsidR="0038116F">
        <w:rPr>
          <w:rFonts w:eastAsiaTheme="minorHAnsi"/>
          <w:color w:val="000000"/>
          <w:sz w:val="18"/>
          <w:szCs w:val="18"/>
          <w:lang w:eastAsia="en-US" w:bidi="ar-SA"/>
        </w:rPr>
        <w:t>3</w:t>
      </w:r>
      <w:r w:rsidRPr="005771B0">
        <w:rPr>
          <w:rFonts w:eastAsiaTheme="minorHAnsi"/>
          <w:color w:val="000000"/>
          <w:sz w:val="18"/>
          <w:szCs w:val="18"/>
          <w:lang w:eastAsia="en-US" w:bidi="ar-SA"/>
        </w:rPr>
        <w:t xml:space="preserve">. </w:t>
      </w:r>
    </w:p>
    <w:p w14:paraId="294E06A6" w14:textId="77777777" w:rsidR="00AB48C0" w:rsidRPr="00391117" w:rsidRDefault="00AB48C0" w:rsidP="00CB7CCC">
      <w:pPr>
        <w:adjustRightInd w:val="0"/>
        <w:jc w:val="both"/>
        <w:rPr>
          <w:sz w:val="18"/>
          <w:szCs w:val="18"/>
        </w:rPr>
      </w:pPr>
    </w:p>
    <w:p w14:paraId="3161C7B3" w14:textId="77777777" w:rsidR="00BC129B" w:rsidRPr="00CB7CCC" w:rsidRDefault="00BC129B" w:rsidP="00ED0EF2">
      <w:pPr>
        <w:adjustRightInd w:val="0"/>
        <w:spacing w:after="120"/>
        <w:jc w:val="both"/>
        <w:rPr>
          <w:sz w:val="18"/>
          <w:szCs w:val="18"/>
        </w:rPr>
      </w:pPr>
      <w:r w:rsidRPr="00391117">
        <w:rPr>
          <w:sz w:val="18"/>
          <w:szCs w:val="18"/>
        </w:rPr>
        <w:t xml:space="preserve">The Group had cash and undrawn committed facilities of £232.0m </w:t>
      </w:r>
      <w:proofErr w:type="gramStart"/>
      <w:r w:rsidRPr="00391117">
        <w:rPr>
          <w:sz w:val="18"/>
          <w:szCs w:val="18"/>
        </w:rPr>
        <w:t>at</w:t>
      </w:r>
      <w:proofErr w:type="gramEnd"/>
      <w:r w:rsidRPr="00391117">
        <w:rPr>
          <w:sz w:val="18"/>
          <w:szCs w:val="18"/>
        </w:rPr>
        <w:t xml:space="preserve"> 25 September 2020, compared to £216.6m as at 27 September 2019.</w:t>
      </w:r>
    </w:p>
    <w:p w14:paraId="4B990844"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Pensions</w:t>
      </w:r>
    </w:p>
    <w:p w14:paraId="48DF0486" w14:textId="7B87BB4A" w:rsidR="009429A6" w:rsidRPr="00CB7CCC" w:rsidRDefault="009429A6" w:rsidP="00ED0EF2">
      <w:pPr>
        <w:adjustRightInd w:val="0"/>
        <w:spacing w:after="120"/>
        <w:jc w:val="both"/>
        <w:rPr>
          <w:sz w:val="18"/>
          <w:szCs w:val="18"/>
        </w:rPr>
      </w:pPr>
      <w:r w:rsidRPr="00CB7CCC">
        <w:rPr>
          <w:sz w:val="18"/>
          <w:szCs w:val="18"/>
        </w:rPr>
        <w:t xml:space="preserve">All legacy defined benefit pension schemes are closed to future accrual. The net pension deficit relating to legacy defined pension schemes, before related deferred tax, </w:t>
      </w:r>
      <w:proofErr w:type="gramStart"/>
      <w:r w:rsidRPr="00CB7CCC">
        <w:rPr>
          <w:sz w:val="18"/>
          <w:szCs w:val="18"/>
        </w:rPr>
        <w:t>at</w:t>
      </w:r>
      <w:proofErr w:type="gramEnd"/>
      <w:r w:rsidRPr="00CB7CCC">
        <w:rPr>
          <w:sz w:val="18"/>
          <w:szCs w:val="18"/>
        </w:rPr>
        <w:t xml:space="preserve"> </w:t>
      </w:r>
      <w:r w:rsidR="00DB040F" w:rsidRPr="00CB7CCC">
        <w:rPr>
          <w:sz w:val="18"/>
          <w:szCs w:val="18"/>
        </w:rPr>
        <w:t>25 September</w:t>
      </w:r>
      <w:r w:rsidRPr="00CB7CCC">
        <w:rPr>
          <w:sz w:val="18"/>
          <w:szCs w:val="18"/>
        </w:rPr>
        <w:t xml:space="preserve"> 2020 was £</w:t>
      </w:r>
      <w:r w:rsidR="00A1004F" w:rsidRPr="00CB7CCC">
        <w:rPr>
          <w:sz w:val="18"/>
          <w:szCs w:val="18"/>
        </w:rPr>
        <w:t>82.1</w:t>
      </w:r>
      <w:r w:rsidRPr="00CB7CCC">
        <w:rPr>
          <w:sz w:val="18"/>
          <w:szCs w:val="18"/>
        </w:rPr>
        <w:t>m, £</w:t>
      </w:r>
      <w:r w:rsidR="00DA33FB" w:rsidRPr="00CB7CCC">
        <w:rPr>
          <w:sz w:val="18"/>
          <w:szCs w:val="18"/>
        </w:rPr>
        <w:t>9</w:t>
      </w:r>
      <w:r w:rsidR="00A1004F" w:rsidRPr="00CB7CCC">
        <w:rPr>
          <w:sz w:val="18"/>
          <w:szCs w:val="18"/>
        </w:rPr>
        <w:t>.9</w:t>
      </w:r>
      <w:r w:rsidRPr="00CB7CCC">
        <w:rPr>
          <w:sz w:val="18"/>
          <w:szCs w:val="18"/>
        </w:rPr>
        <w:t>m lower than the position at 27 September 2019. The net pension deficit after related deferred tax was £</w:t>
      </w:r>
      <w:r w:rsidR="00A42495" w:rsidRPr="00CB7CCC">
        <w:rPr>
          <w:sz w:val="18"/>
          <w:szCs w:val="18"/>
        </w:rPr>
        <w:t>63.8</w:t>
      </w:r>
      <w:r w:rsidRPr="00CB7CCC">
        <w:rPr>
          <w:sz w:val="18"/>
          <w:szCs w:val="18"/>
        </w:rPr>
        <w:t>m</w:t>
      </w:r>
      <w:r w:rsidR="00DB040F" w:rsidRPr="00CB7CCC">
        <w:rPr>
          <w:sz w:val="18"/>
          <w:szCs w:val="18"/>
        </w:rPr>
        <w:t xml:space="preserve"> (FY19: £74.8m</w:t>
      </w:r>
      <w:r w:rsidR="00DB040F" w:rsidRPr="00880F61">
        <w:rPr>
          <w:sz w:val="18"/>
          <w:szCs w:val="18"/>
        </w:rPr>
        <w:t>)</w:t>
      </w:r>
      <w:r w:rsidRPr="00880F61">
        <w:rPr>
          <w:sz w:val="18"/>
          <w:szCs w:val="18"/>
        </w:rPr>
        <w:t>. The decrease in net pension deficit was driven principally by</w:t>
      </w:r>
      <w:r w:rsidR="00880F61">
        <w:rPr>
          <w:sz w:val="18"/>
          <w:szCs w:val="18"/>
        </w:rPr>
        <w:t xml:space="preserve"> the Group’s ongoing contributions to the schemes during the year</w:t>
      </w:r>
      <w:r w:rsidRPr="00880F61">
        <w:rPr>
          <w:sz w:val="18"/>
          <w:szCs w:val="18"/>
        </w:rPr>
        <w:t>.</w:t>
      </w:r>
    </w:p>
    <w:p w14:paraId="34A9E0C5" w14:textId="77777777" w:rsidR="00DA33FB" w:rsidRPr="00CB7CCC" w:rsidRDefault="00DA33FB" w:rsidP="00ED0EF2">
      <w:pPr>
        <w:adjustRightInd w:val="0"/>
        <w:spacing w:after="120"/>
        <w:jc w:val="both"/>
        <w:rPr>
          <w:sz w:val="18"/>
          <w:szCs w:val="18"/>
        </w:rPr>
      </w:pPr>
      <w:r w:rsidRPr="00CB7CCC">
        <w:rPr>
          <w:sz w:val="18"/>
          <w:szCs w:val="18"/>
        </w:rPr>
        <w:t>In FY20 the Group entered a formal agreement with the Trustees of the legacy defined benefit pension scheme in the UK to defer cash contributions to the pension for a period of six months which resulted in a reduction of cash contributions in FY20 of £4.9m.</w:t>
      </w:r>
    </w:p>
    <w:p w14:paraId="279827BD" w14:textId="77777777" w:rsidR="003B7495" w:rsidRPr="00CB7CCC" w:rsidRDefault="009429A6" w:rsidP="00ED0EF2">
      <w:pPr>
        <w:adjustRightInd w:val="0"/>
        <w:spacing w:after="120"/>
        <w:jc w:val="both"/>
        <w:rPr>
          <w:sz w:val="18"/>
          <w:szCs w:val="18"/>
        </w:rPr>
      </w:pPr>
      <w:r w:rsidRPr="00CB7CCC">
        <w:rPr>
          <w:sz w:val="18"/>
          <w:szCs w:val="18"/>
        </w:rPr>
        <w:t>The valuations and funding obligations of the Group’s legacy defined benefit pension schemes are assessed on a triennial basis with the relevant trustees</w:t>
      </w:r>
      <w:r w:rsidR="000709F3" w:rsidRPr="00CB7CCC">
        <w:rPr>
          <w:sz w:val="18"/>
          <w:szCs w:val="18"/>
        </w:rPr>
        <w:t xml:space="preserve">. The next assessment is expected to conclude during FY21. </w:t>
      </w:r>
      <w:r w:rsidR="00A1004F" w:rsidRPr="00CB7CCC">
        <w:rPr>
          <w:sz w:val="18"/>
          <w:szCs w:val="18"/>
        </w:rPr>
        <w:t xml:space="preserve">In FY20 </w:t>
      </w:r>
      <w:r w:rsidRPr="00CB7CCC">
        <w:rPr>
          <w:sz w:val="18"/>
          <w:szCs w:val="18"/>
        </w:rPr>
        <w:t xml:space="preserve">the Trustees of one of the smaller UK legacy defined benefit schemes completed a buy-out of the scheme, transferring insurance policies to individual scheme members removing the scheme </w:t>
      </w:r>
      <w:r w:rsidRPr="00CB7CCC">
        <w:rPr>
          <w:sz w:val="18"/>
          <w:szCs w:val="18"/>
        </w:rPr>
        <w:lastRenderedPageBreak/>
        <w:t>liabilities from the Group’s Statement of Financial Position.</w:t>
      </w:r>
    </w:p>
    <w:p w14:paraId="1857ACC3" w14:textId="77777777" w:rsidR="003B7495" w:rsidRPr="00CB7CCC" w:rsidRDefault="003B7495" w:rsidP="00ED0EF2">
      <w:pPr>
        <w:spacing w:after="120"/>
        <w:jc w:val="both"/>
        <w:rPr>
          <w:rFonts w:cs="Arial"/>
          <w:b/>
          <w:sz w:val="18"/>
          <w:szCs w:val="18"/>
        </w:rPr>
      </w:pPr>
      <w:r w:rsidRPr="00CB7CCC">
        <w:rPr>
          <w:rFonts w:cs="Arial"/>
          <w:b/>
          <w:sz w:val="18"/>
          <w:szCs w:val="18"/>
        </w:rPr>
        <w:t>Dividends</w:t>
      </w:r>
    </w:p>
    <w:p w14:paraId="768B7F3E" w14:textId="2128F48E" w:rsidR="003B7495" w:rsidRDefault="009429A6" w:rsidP="00ED0EF2">
      <w:pPr>
        <w:adjustRightInd w:val="0"/>
        <w:spacing w:after="120"/>
        <w:jc w:val="both"/>
        <w:rPr>
          <w:sz w:val="18"/>
          <w:szCs w:val="18"/>
        </w:rPr>
      </w:pPr>
      <w:r w:rsidRPr="00D10704">
        <w:rPr>
          <w:sz w:val="18"/>
          <w:szCs w:val="18"/>
        </w:rPr>
        <w:t>The Group announced on 30 March 2020 that it would not proceed with an interim FY20 dividend payment</w:t>
      </w:r>
      <w:r w:rsidR="00C374BF" w:rsidRPr="00D10704">
        <w:rPr>
          <w:sz w:val="18"/>
          <w:szCs w:val="18"/>
        </w:rPr>
        <w:t>,</w:t>
      </w:r>
      <w:r w:rsidRPr="00D10704">
        <w:rPr>
          <w:sz w:val="18"/>
          <w:szCs w:val="18"/>
        </w:rPr>
        <w:t xml:space="preserve"> and on </w:t>
      </w:r>
      <w:r w:rsidR="00162126">
        <w:rPr>
          <w:sz w:val="18"/>
          <w:szCs w:val="18"/>
        </w:rPr>
        <w:t>19</w:t>
      </w:r>
      <w:r w:rsidRPr="00D10704">
        <w:rPr>
          <w:sz w:val="18"/>
          <w:szCs w:val="18"/>
        </w:rPr>
        <w:t xml:space="preserve"> May 2020 announced that it would not be proceeding with either a final FY20 or an interim FY21 dividend payment. The Group will seek to reinstate dividend payments as soon as is practicable thereafter in accordance with its capital allocation strategy. </w:t>
      </w:r>
      <w:r w:rsidR="00094927" w:rsidRPr="00D10704">
        <w:rPr>
          <w:sz w:val="18"/>
          <w:szCs w:val="18"/>
        </w:rPr>
        <w:t xml:space="preserve">The </w:t>
      </w:r>
      <w:r w:rsidR="003B7495" w:rsidRPr="00D10704">
        <w:rPr>
          <w:sz w:val="18"/>
          <w:szCs w:val="18"/>
        </w:rPr>
        <w:t xml:space="preserve">total dividend for </w:t>
      </w:r>
      <w:r w:rsidR="00094927" w:rsidRPr="00D10704">
        <w:rPr>
          <w:sz w:val="18"/>
          <w:szCs w:val="18"/>
        </w:rPr>
        <w:t xml:space="preserve">FY19 was </w:t>
      </w:r>
      <w:r w:rsidR="003B7495" w:rsidRPr="00D10704">
        <w:rPr>
          <w:sz w:val="18"/>
          <w:szCs w:val="18"/>
        </w:rPr>
        <w:t>6.20</w:t>
      </w:r>
      <w:r w:rsidR="0080132E" w:rsidRPr="00D10704">
        <w:rPr>
          <w:sz w:val="18"/>
          <w:szCs w:val="18"/>
        </w:rPr>
        <w:t xml:space="preserve"> </w:t>
      </w:r>
      <w:r w:rsidR="00094927" w:rsidRPr="00D10704">
        <w:rPr>
          <w:sz w:val="18"/>
          <w:szCs w:val="18"/>
        </w:rPr>
        <w:t xml:space="preserve">pence per </w:t>
      </w:r>
      <w:r w:rsidR="00094927" w:rsidRPr="00002662">
        <w:rPr>
          <w:sz w:val="18"/>
          <w:szCs w:val="18"/>
        </w:rPr>
        <w:t>share.</w:t>
      </w:r>
    </w:p>
    <w:p w14:paraId="35FE7EBE" w14:textId="77777777" w:rsidR="003B7495" w:rsidRPr="00002662" w:rsidRDefault="003B7495" w:rsidP="00ED0EF2">
      <w:pPr>
        <w:spacing w:after="120"/>
        <w:jc w:val="both"/>
        <w:rPr>
          <w:rFonts w:cs="Arial"/>
          <w:b/>
          <w:sz w:val="18"/>
          <w:szCs w:val="18"/>
        </w:rPr>
      </w:pPr>
      <w:r w:rsidRPr="00002662">
        <w:rPr>
          <w:rFonts w:cs="Arial"/>
          <w:b/>
          <w:sz w:val="18"/>
          <w:szCs w:val="18"/>
        </w:rPr>
        <w:t>Principal risks and uncertainties</w:t>
      </w:r>
    </w:p>
    <w:p w14:paraId="6114B76B" w14:textId="58084007" w:rsidR="00002662" w:rsidRPr="00CB7CCC" w:rsidRDefault="003B7495" w:rsidP="00ED0EF2">
      <w:pPr>
        <w:adjustRightInd w:val="0"/>
        <w:spacing w:after="120"/>
        <w:jc w:val="both"/>
        <w:rPr>
          <w:sz w:val="18"/>
          <w:szCs w:val="18"/>
        </w:rPr>
      </w:pPr>
      <w:r w:rsidRPr="00CB7CCC">
        <w:rPr>
          <w:sz w:val="18"/>
          <w:szCs w:val="18"/>
        </w:rPr>
        <w:t xml:space="preserve">There are </w:t>
      </w:r>
      <w:proofErr w:type="gramStart"/>
      <w:r w:rsidRPr="00CB7CCC">
        <w:rPr>
          <w:sz w:val="18"/>
          <w:szCs w:val="18"/>
        </w:rPr>
        <w:t>a number of</w:t>
      </w:r>
      <w:proofErr w:type="gramEnd"/>
      <w:r w:rsidRPr="00CB7CCC">
        <w:rPr>
          <w:sz w:val="18"/>
          <w:szCs w:val="18"/>
        </w:rPr>
        <w:t xml:space="preserve"> potential risks and uncertainties which could have a material impact on future Group performance and could cause actual results to differ materially from expected and historical results. The risks and uncertainties are described in detail in the section Risks and Risk Management in the Annual Report and Financial Statements for the year ended </w:t>
      </w:r>
      <w:r w:rsidR="003E41A9" w:rsidRPr="00CB7CCC">
        <w:rPr>
          <w:sz w:val="18"/>
          <w:szCs w:val="18"/>
        </w:rPr>
        <w:t>25 September 2020</w:t>
      </w:r>
      <w:r w:rsidRPr="00CB7CCC">
        <w:rPr>
          <w:sz w:val="18"/>
          <w:szCs w:val="18"/>
        </w:rPr>
        <w:t xml:space="preserve"> issued on </w:t>
      </w:r>
      <w:r w:rsidR="003E41A9" w:rsidRPr="00CB7CCC">
        <w:rPr>
          <w:sz w:val="18"/>
          <w:szCs w:val="18"/>
        </w:rPr>
        <w:t>2</w:t>
      </w:r>
      <w:r w:rsidR="00DA31F7">
        <w:rPr>
          <w:sz w:val="18"/>
          <w:szCs w:val="18"/>
        </w:rPr>
        <w:t>3</w:t>
      </w:r>
      <w:r w:rsidR="003E41A9" w:rsidRPr="00CB7CCC">
        <w:rPr>
          <w:sz w:val="18"/>
          <w:szCs w:val="18"/>
        </w:rPr>
        <w:t xml:space="preserve"> November 2020</w:t>
      </w:r>
      <w:r w:rsidRPr="00CB7CCC">
        <w:rPr>
          <w:sz w:val="18"/>
          <w:szCs w:val="18"/>
        </w:rPr>
        <w:t xml:space="preserve">. </w:t>
      </w:r>
    </w:p>
    <w:p w14:paraId="4DF2455F" w14:textId="77777777" w:rsidR="003B7495" w:rsidRPr="00002662" w:rsidRDefault="003B7495" w:rsidP="00ED0EF2">
      <w:pPr>
        <w:spacing w:after="120"/>
        <w:jc w:val="both"/>
        <w:rPr>
          <w:rFonts w:cs="Arial"/>
          <w:b/>
          <w:sz w:val="18"/>
          <w:szCs w:val="18"/>
        </w:rPr>
      </w:pPr>
      <w:r w:rsidRPr="00002662">
        <w:rPr>
          <w:rFonts w:cs="Arial"/>
          <w:b/>
          <w:sz w:val="18"/>
          <w:szCs w:val="18"/>
        </w:rPr>
        <w:t>Responsibility Statement</w:t>
      </w:r>
    </w:p>
    <w:p w14:paraId="625C2FBE" w14:textId="77777777" w:rsidR="00985F72" w:rsidRPr="00CB7CCC" w:rsidRDefault="00985F72" w:rsidP="00ED0EF2">
      <w:pPr>
        <w:spacing w:after="120"/>
        <w:rPr>
          <w:sz w:val="18"/>
          <w:szCs w:val="18"/>
        </w:rPr>
      </w:pPr>
      <w:r w:rsidRPr="00CB7CCC">
        <w:rPr>
          <w:sz w:val="18"/>
          <w:szCs w:val="18"/>
        </w:rPr>
        <w:t>Each of the Directors of Greencore Group plc confirm that, to the best of each person’s knowledge and belief as required by the Transparency Regulations:</w:t>
      </w:r>
    </w:p>
    <w:p w14:paraId="05A06AE3" w14:textId="77777777" w:rsidR="00985F72" w:rsidRPr="00CB7CCC" w:rsidRDefault="00985F72" w:rsidP="00CB7CCC">
      <w:pPr>
        <w:rPr>
          <w:color w:val="585757"/>
          <w:sz w:val="20"/>
          <w:szCs w:val="20"/>
        </w:rPr>
      </w:pPr>
    </w:p>
    <w:p w14:paraId="7631384A" w14:textId="77777777" w:rsidR="00985F72" w:rsidRPr="00CB7CCC" w:rsidRDefault="00985F72" w:rsidP="00CB7CCC">
      <w:pPr>
        <w:widowControl/>
        <w:numPr>
          <w:ilvl w:val="0"/>
          <w:numId w:val="12"/>
        </w:numPr>
        <w:rPr>
          <w:sz w:val="18"/>
          <w:szCs w:val="18"/>
        </w:rPr>
      </w:pPr>
      <w:r w:rsidRPr="00CB7CCC">
        <w:rPr>
          <w:sz w:val="18"/>
          <w:szCs w:val="18"/>
        </w:rPr>
        <w:t xml:space="preserve">The Financial Statements, prepared in accordance with IFRS as adopted by the EU and the Company Financial Statements prepared in accordance with FRS 101: </w:t>
      </w:r>
      <w:r w:rsidRPr="005771B0">
        <w:rPr>
          <w:i/>
          <w:sz w:val="18"/>
          <w:szCs w:val="18"/>
        </w:rPr>
        <w:t>Reduced Disclosure Framework</w:t>
      </w:r>
      <w:r w:rsidRPr="00CB7CCC">
        <w:rPr>
          <w:sz w:val="18"/>
          <w:szCs w:val="18"/>
        </w:rPr>
        <w:t>, give a true and fair view of the assets, liabilities, financial position of the Group and Company at 2</w:t>
      </w:r>
      <w:r w:rsidR="003E41A9" w:rsidRPr="00CB7CCC">
        <w:rPr>
          <w:sz w:val="18"/>
          <w:szCs w:val="18"/>
        </w:rPr>
        <w:t>5 September 2020</w:t>
      </w:r>
      <w:r w:rsidRPr="00CB7CCC">
        <w:rPr>
          <w:sz w:val="18"/>
          <w:szCs w:val="18"/>
        </w:rPr>
        <w:t xml:space="preserve"> and the profit/l</w:t>
      </w:r>
      <w:r w:rsidR="003E41A9" w:rsidRPr="00CB7CCC">
        <w:rPr>
          <w:sz w:val="18"/>
          <w:szCs w:val="18"/>
        </w:rPr>
        <w:t>oss of the Group for the year 25 September 20</w:t>
      </w:r>
      <w:r w:rsidR="005C08AD" w:rsidRPr="00CB7CCC">
        <w:rPr>
          <w:sz w:val="18"/>
          <w:szCs w:val="18"/>
        </w:rPr>
        <w:t>2</w:t>
      </w:r>
      <w:r w:rsidR="003E41A9" w:rsidRPr="00CB7CCC">
        <w:rPr>
          <w:sz w:val="18"/>
          <w:szCs w:val="18"/>
        </w:rPr>
        <w:t>0</w:t>
      </w:r>
      <w:r w:rsidRPr="00CB7CCC">
        <w:rPr>
          <w:sz w:val="18"/>
          <w:szCs w:val="18"/>
        </w:rPr>
        <w:t xml:space="preserve">; and </w:t>
      </w:r>
    </w:p>
    <w:p w14:paraId="59496711" w14:textId="77777777" w:rsidR="00985F72" w:rsidRPr="00CB7CCC" w:rsidRDefault="00985F72" w:rsidP="00CB7CCC">
      <w:pPr>
        <w:widowControl/>
        <w:ind w:left="720"/>
        <w:rPr>
          <w:sz w:val="18"/>
          <w:szCs w:val="18"/>
        </w:rPr>
      </w:pPr>
    </w:p>
    <w:p w14:paraId="7003DE80" w14:textId="77777777" w:rsidR="00985F72" w:rsidRPr="00CB7CCC" w:rsidRDefault="00985F72" w:rsidP="00CB7CCC">
      <w:pPr>
        <w:widowControl/>
        <w:numPr>
          <w:ilvl w:val="0"/>
          <w:numId w:val="12"/>
        </w:numPr>
        <w:rPr>
          <w:sz w:val="18"/>
          <w:szCs w:val="18"/>
        </w:rPr>
      </w:pPr>
      <w:r w:rsidRPr="00CB7CCC">
        <w:rPr>
          <w:sz w:val="18"/>
          <w:szCs w:val="18"/>
        </w:rPr>
        <w:t>The Financial Statements include a fair review of the development and performance of the business and the position of the Group and Company, together with a description of the principal risks and uncertainties that they face.</w:t>
      </w:r>
    </w:p>
    <w:p w14:paraId="5F7BC0D8" w14:textId="77777777" w:rsidR="00985F72" w:rsidRPr="00CB7CCC" w:rsidRDefault="00985F72" w:rsidP="00CB7CCC">
      <w:pPr>
        <w:jc w:val="both"/>
        <w:rPr>
          <w:b/>
          <w:sz w:val="18"/>
          <w:szCs w:val="18"/>
        </w:rPr>
      </w:pPr>
    </w:p>
    <w:p w14:paraId="29A2117C" w14:textId="77777777" w:rsidR="003B7495" w:rsidRPr="00CB7CCC" w:rsidRDefault="003B7495" w:rsidP="00CB7CCC">
      <w:pPr>
        <w:jc w:val="both"/>
        <w:rPr>
          <w:rFonts w:cs="Arial"/>
          <w:i/>
          <w:sz w:val="18"/>
          <w:szCs w:val="18"/>
        </w:rPr>
      </w:pPr>
    </w:p>
    <w:p w14:paraId="498594EB" w14:textId="77777777" w:rsidR="003B7495" w:rsidRPr="00CB7CCC" w:rsidRDefault="003B7495" w:rsidP="00CB7CCC">
      <w:pPr>
        <w:jc w:val="both"/>
        <w:rPr>
          <w:rFonts w:cs="Arial"/>
          <w:i/>
          <w:sz w:val="18"/>
          <w:szCs w:val="18"/>
        </w:rPr>
      </w:pPr>
    </w:p>
    <w:tbl>
      <w:tblPr>
        <w:tblW w:w="0" w:type="auto"/>
        <w:tblLook w:val="04A0" w:firstRow="1" w:lastRow="0" w:firstColumn="1" w:lastColumn="0" w:noHBand="0" w:noVBand="1"/>
      </w:tblPr>
      <w:tblGrid>
        <w:gridCol w:w="3544"/>
      </w:tblGrid>
      <w:tr w:rsidR="003B7495" w14:paraId="619B1145" w14:textId="77777777" w:rsidTr="00D80872">
        <w:tc>
          <w:tcPr>
            <w:tcW w:w="3544" w:type="dxa"/>
          </w:tcPr>
          <w:p w14:paraId="24AED12A" w14:textId="77777777" w:rsidR="003B7495" w:rsidRDefault="003B7495" w:rsidP="00CB7CCC">
            <w:pPr>
              <w:spacing w:before="160"/>
              <w:rPr>
                <w:sz w:val="18"/>
                <w:szCs w:val="18"/>
              </w:rPr>
            </w:pPr>
            <w:r w:rsidRPr="00CB7CCC">
              <w:rPr>
                <w:b/>
                <w:sz w:val="18"/>
                <w:szCs w:val="18"/>
              </w:rPr>
              <w:t>P.G. Kennedy</w:t>
            </w:r>
            <w:r w:rsidRPr="00CB7CCC">
              <w:rPr>
                <w:sz w:val="18"/>
                <w:szCs w:val="18"/>
              </w:rPr>
              <w:br/>
              <w:t>Chairman</w:t>
            </w:r>
            <w:r w:rsidRPr="00CB7CCC">
              <w:rPr>
                <w:sz w:val="18"/>
                <w:szCs w:val="18"/>
              </w:rPr>
              <w:br/>
              <w:t>Date</w:t>
            </w:r>
            <w:r w:rsidR="003E41A9" w:rsidRPr="00CB7CCC">
              <w:rPr>
                <w:sz w:val="18"/>
                <w:szCs w:val="18"/>
              </w:rPr>
              <w:t>: 2</w:t>
            </w:r>
            <w:r w:rsidR="006B1CD2" w:rsidRPr="00CB7CCC">
              <w:rPr>
                <w:sz w:val="18"/>
                <w:szCs w:val="18"/>
              </w:rPr>
              <w:t>3</w:t>
            </w:r>
            <w:r w:rsidR="003E41A9" w:rsidRPr="00CB7CCC">
              <w:rPr>
                <w:sz w:val="18"/>
                <w:szCs w:val="18"/>
              </w:rPr>
              <w:t xml:space="preserve"> November 2020</w:t>
            </w:r>
          </w:p>
        </w:tc>
      </w:tr>
    </w:tbl>
    <w:p w14:paraId="14F27C2E" w14:textId="77777777" w:rsidR="00A069CD" w:rsidRDefault="00A069CD" w:rsidP="00CB7CCC">
      <w:pPr>
        <w:rPr>
          <w:sz w:val="16"/>
          <w:szCs w:val="16"/>
        </w:rPr>
      </w:pPr>
    </w:p>
    <w:p w14:paraId="3592AAB5" w14:textId="77777777" w:rsidR="005B36AA" w:rsidRDefault="005B36AA" w:rsidP="00CB7CCC">
      <w:pPr>
        <w:rPr>
          <w:sz w:val="16"/>
          <w:szCs w:val="16"/>
        </w:rPr>
      </w:pPr>
    </w:p>
    <w:p w14:paraId="0905A800" w14:textId="77777777" w:rsidR="00D20600" w:rsidRPr="00D72351" w:rsidRDefault="00D20600" w:rsidP="00D20600">
      <w:pPr>
        <w:spacing w:before="27"/>
        <w:ind w:left="20"/>
        <w:rPr>
          <w:b/>
          <w:color w:val="001F5F"/>
          <w:sz w:val="20"/>
          <w:szCs w:val="20"/>
        </w:rPr>
      </w:pPr>
      <w:r w:rsidRPr="00D72351">
        <w:rPr>
          <w:b/>
          <w:color w:val="001F5F"/>
          <w:sz w:val="20"/>
          <w:szCs w:val="20"/>
        </w:rPr>
        <w:t>GROUP INCOME STATEMENT</w:t>
      </w:r>
    </w:p>
    <w:p w14:paraId="390AC179" w14:textId="45F13753" w:rsidR="00D20600" w:rsidRPr="00D72351" w:rsidRDefault="003A5BD2" w:rsidP="00D20600">
      <w:pPr>
        <w:spacing w:before="27"/>
        <w:ind w:left="20"/>
        <w:rPr>
          <w:b/>
          <w:color w:val="001F5F"/>
          <w:sz w:val="20"/>
          <w:szCs w:val="20"/>
        </w:rPr>
      </w:pPr>
      <w:r>
        <w:rPr>
          <w:b/>
          <w:color w:val="001F5F"/>
          <w:sz w:val="20"/>
          <w:szCs w:val="20"/>
        </w:rPr>
        <w:t>f</w:t>
      </w:r>
      <w:r w:rsidR="00D20600">
        <w:rPr>
          <w:b/>
          <w:color w:val="001F5F"/>
          <w:sz w:val="20"/>
          <w:szCs w:val="20"/>
        </w:rPr>
        <w:t>or year ended 25 September 2020</w:t>
      </w:r>
    </w:p>
    <w:p w14:paraId="21EF6D83" w14:textId="77777777" w:rsidR="00D20600" w:rsidRDefault="00D20600" w:rsidP="006B1CD2">
      <w:pPr>
        <w:rPr>
          <w:sz w:val="16"/>
          <w:szCs w:val="16"/>
        </w:rPr>
      </w:pPr>
    </w:p>
    <w:tbl>
      <w:tblPr>
        <w:tblW w:w="10348" w:type="dxa"/>
        <w:tblLayout w:type="fixed"/>
        <w:tblLook w:val="04A0" w:firstRow="1" w:lastRow="0" w:firstColumn="1" w:lastColumn="0" w:noHBand="0" w:noVBand="1"/>
      </w:tblPr>
      <w:tblGrid>
        <w:gridCol w:w="2835"/>
        <w:gridCol w:w="681"/>
        <w:gridCol w:w="1138"/>
        <w:gridCol w:w="1139"/>
        <w:gridCol w:w="1139"/>
        <w:gridCol w:w="14"/>
        <w:gridCol w:w="1124"/>
        <w:gridCol w:w="1139"/>
        <w:gridCol w:w="1139"/>
      </w:tblGrid>
      <w:tr w:rsidR="005B36AA" w14:paraId="443DC485" w14:textId="77777777" w:rsidTr="005B36AA">
        <w:tc>
          <w:tcPr>
            <w:tcW w:w="2835" w:type="dxa"/>
            <w:tcBorders>
              <w:top w:val="nil"/>
              <w:left w:val="nil"/>
              <w:bottom w:val="nil"/>
              <w:right w:val="nil"/>
            </w:tcBorders>
            <w:vAlign w:val="bottom"/>
          </w:tcPr>
          <w:p w14:paraId="76ABAE0E"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33415030" w14:textId="77777777" w:rsidR="005B36AA" w:rsidRPr="00D90904" w:rsidRDefault="005B36AA" w:rsidP="005B36AA">
            <w:pPr>
              <w:pStyle w:val="Subtitle"/>
            </w:pPr>
          </w:p>
        </w:tc>
        <w:tc>
          <w:tcPr>
            <w:tcW w:w="3430" w:type="dxa"/>
            <w:gridSpan w:val="4"/>
            <w:tcBorders>
              <w:top w:val="nil"/>
              <w:left w:val="nil"/>
              <w:bottom w:val="nil"/>
              <w:right w:val="nil"/>
            </w:tcBorders>
            <w:vAlign w:val="bottom"/>
          </w:tcPr>
          <w:p w14:paraId="6BAE1A13" w14:textId="77777777" w:rsidR="005B36AA" w:rsidRPr="00E310CE" w:rsidRDefault="005B36AA" w:rsidP="005B36AA">
            <w:pPr>
              <w:pStyle w:val="Subtitle"/>
              <w:jc w:val="center"/>
            </w:pPr>
            <w:r>
              <w:t>2020</w:t>
            </w:r>
          </w:p>
        </w:tc>
        <w:tc>
          <w:tcPr>
            <w:tcW w:w="3402" w:type="dxa"/>
            <w:gridSpan w:val="3"/>
            <w:tcBorders>
              <w:top w:val="nil"/>
              <w:left w:val="nil"/>
              <w:bottom w:val="nil"/>
              <w:right w:val="nil"/>
            </w:tcBorders>
            <w:vAlign w:val="bottom"/>
          </w:tcPr>
          <w:p w14:paraId="112B468A" w14:textId="77777777" w:rsidR="005B36AA" w:rsidRPr="00D90904" w:rsidRDefault="005B36AA" w:rsidP="005B36AA">
            <w:pPr>
              <w:pStyle w:val="Subtitle"/>
              <w:tabs>
                <w:tab w:val="left" w:pos="2729"/>
                <w:tab w:val="left" w:pos="2940"/>
                <w:tab w:val="left" w:pos="3120"/>
              </w:tabs>
              <w:ind w:left="36"/>
              <w:jc w:val="center"/>
              <w:rPr>
                <w:b w:val="0"/>
              </w:rPr>
            </w:pPr>
            <w:r>
              <w:rPr>
                <w:b w:val="0"/>
              </w:rPr>
              <w:t xml:space="preserve"> 2019</w:t>
            </w:r>
          </w:p>
        </w:tc>
      </w:tr>
      <w:tr w:rsidR="005B36AA" w14:paraId="5BD3F4DB" w14:textId="77777777" w:rsidTr="005B36AA">
        <w:tc>
          <w:tcPr>
            <w:tcW w:w="2835" w:type="dxa"/>
            <w:tcBorders>
              <w:top w:val="nil"/>
              <w:left w:val="nil"/>
              <w:bottom w:val="nil"/>
              <w:right w:val="nil"/>
            </w:tcBorders>
            <w:vAlign w:val="bottom"/>
          </w:tcPr>
          <w:p w14:paraId="10A8F87D"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3D51828A" w14:textId="77777777" w:rsidR="005B36AA" w:rsidRPr="00D90904" w:rsidRDefault="005B36AA" w:rsidP="005B36AA">
            <w:pPr>
              <w:pStyle w:val="Subtitle"/>
            </w:pPr>
            <w:r w:rsidRPr="00D90904">
              <w:t>Notes</w:t>
            </w:r>
          </w:p>
        </w:tc>
        <w:tc>
          <w:tcPr>
            <w:tcW w:w="1138" w:type="dxa"/>
            <w:tcBorders>
              <w:top w:val="nil"/>
              <w:left w:val="nil"/>
              <w:bottom w:val="nil"/>
              <w:right w:val="nil"/>
            </w:tcBorders>
            <w:vAlign w:val="bottom"/>
          </w:tcPr>
          <w:p w14:paraId="7B09CBA2" w14:textId="77777777" w:rsidR="005B36AA" w:rsidRPr="00E310CE" w:rsidRDefault="005B36AA" w:rsidP="005B36AA">
            <w:pPr>
              <w:pStyle w:val="Subtitle"/>
            </w:pPr>
            <w:r w:rsidRPr="00E310CE">
              <w:t>Pre - exceptional</w:t>
            </w:r>
          </w:p>
        </w:tc>
        <w:tc>
          <w:tcPr>
            <w:tcW w:w="1139" w:type="dxa"/>
            <w:tcBorders>
              <w:top w:val="nil"/>
              <w:left w:val="nil"/>
              <w:bottom w:val="nil"/>
              <w:right w:val="nil"/>
            </w:tcBorders>
            <w:vAlign w:val="bottom"/>
          </w:tcPr>
          <w:p w14:paraId="41D60E72" w14:textId="77777777" w:rsidR="005B36AA" w:rsidRPr="00E310CE" w:rsidRDefault="005B36AA" w:rsidP="005B36AA">
            <w:pPr>
              <w:pStyle w:val="Subtitle"/>
            </w:pPr>
            <w:r w:rsidRPr="00E310CE">
              <w:t>Exceptional</w:t>
            </w:r>
            <w:r w:rsidRPr="00E310CE">
              <w:br/>
              <w:t xml:space="preserve">(Note </w:t>
            </w:r>
            <w:r>
              <w:t>3</w:t>
            </w:r>
            <w:r w:rsidRPr="00E310CE">
              <w:t>)</w:t>
            </w:r>
          </w:p>
        </w:tc>
        <w:tc>
          <w:tcPr>
            <w:tcW w:w="1139" w:type="dxa"/>
            <w:tcBorders>
              <w:top w:val="nil"/>
              <w:left w:val="nil"/>
              <w:bottom w:val="nil"/>
              <w:right w:val="nil"/>
            </w:tcBorders>
            <w:vAlign w:val="bottom"/>
          </w:tcPr>
          <w:p w14:paraId="4BF50A59" w14:textId="77777777" w:rsidR="005B36AA" w:rsidRPr="00E310CE" w:rsidRDefault="005B36AA" w:rsidP="005B36AA">
            <w:pPr>
              <w:pStyle w:val="Subtitle"/>
              <w:ind w:left="206"/>
            </w:pPr>
            <w:r w:rsidRPr="00E310CE">
              <w:t>Total</w:t>
            </w:r>
          </w:p>
        </w:tc>
        <w:tc>
          <w:tcPr>
            <w:tcW w:w="1138" w:type="dxa"/>
            <w:gridSpan w:val="2"/>
            <w:tcBorders>
              <w:top w:val="nil"/>
              <w:left w:val="nil"/>
              <w:bottom w:val="nil"/>
              <w:right w:val="nil"/>
            </w:tcBorders>
            <w:vAlign w:val="bottom"/>
          </w:tcPr>
          <w:p w14:paraId="129AD77E" w14:textId="77777777" w:rsidR="005B36AA" w:rsidRPr="00D90904" w:rsidRDefault="005B36AA" w:rsidP="005B36AA">
            <w:pPr>
              <w:pStyle w:val="Subtitle"/>
              <w:rPr>
                <w:b w:val="0"/>
              </w:rPr>
            </w:pPr>
            <w:r>
              <w:rPr>
                <w:b w:val="0"/>
              </w:rPr>
              <w:t>Pre - exceptional</w:t>
            </w:r>
          </w:p>
        </w:tc>
        <w:tc>
          <w:tcPr>
            <w:tcW w:w="1139" w:type="dxa"/>
            <w:tcBorders>
              <w:top w:val="nil"/>
              <w:left w:val="nil"/>
              <w:bottom w:val="nil"/>
              <w:right w:val="nil"/>
            </w:tcBorders>
            <w:vAlign w:val="bottom"/>
          </w:tcPr>
          <w:p w14:paraId="5949CA79" w14:textId="77777777" w:rsidR="005B36AA" w:rsidRPr="00D90904" w:rsidRDefault="005B36AA" w:rsidP="005B36AA">
            <w:pPr>
              <w:pStyle w:val="Subtitle"/>
              <w:rPr>
                <w:b w:val="0"/>
              </w:rPr>
            </w:pPr>
            <w:r>
              <w:rPr>
                <w:b w:val="0"/>
              </w:rPr>
              <w:t>Exceptional</w:t>
            </w:r>
            <w:r>
              <w:rPr>
                <w:b w:val="0"/>
              </w:rPr>
              <w:br/>
              <w:t xml:space="preserve">(Note 3) </w:t>
            </w:r>
          </w:p>
        </w:tc>
        <w:tc>
          <w:tcPr>
            <w:tcW w:w="1139" w:type="dxa"/>
            <w:tcBorders>
              <w:top w:val="nil"/>
              <w:left w:val="nil"/>
              <w:bottom w:val="nil"/>
              <w:right w:val="nil"/>
            </w:tcBorders>
            <w:vAlign w:val="bottom"/>
          </w:tcPr>
          <w:p w14:paraId="7EE96BA7" w14:textId="77777777" w:rsidR="005B36AA" w:rsidRPr="00D90904" w:rsidRDefault="005B36AA" w:rsidP="005B36AA">
            <w:pPr>
              <w:pStyle w:val="Subtitle"/>
              <w:rPr>
                <w:b w:val="0"/>
              </w:rPr>
            </w:pPr>
            <w:r>
              <w:rPr>
                <w:b w:val="0"/>
              </w:rPr>
              <w:t>Total</w:t>
            </w:r>
          </w:p>
        </w:tc>
      </w:tr>
      <w:tr w:rsidR="005B36AA" w14:paraId="56251FC0" w14:textId="77777777" w:rsidTr="005B36AA">
        <w:tc>
          <w:tcPr>
            <w:tcW w:w="2835" w:type="dxa"/>
            <w:tcBorders>
              <w:top w:val="nil"/>
              <w:left w:val="nil"/>
              <w:bottom w:val="single" w:sz="4" w:space="0" w:color="auto"/>
              <w:right w:val="nil"/>
            </w:tcBorders>
            <w:shd w:val="clear" w:color="auto" w:fill="auto"/>
            <w:vAlign w:val="bottom"/>
          </w:tcPr>
          <w:p w14:paraId="6D6553E4" w14:textId="77777777" w:rsidR="005B36AA" w:rsidRPr="00E8718C" w:rsidRDefault="005B36AA" w:rsidP="005B36AA">
            <w:pPr>
              <w:rPr>
                <w:sz w:val="18"/>
                <w:szCs w:val="18"/>
              </w:rPr>
            </w:pPr>
          </w:p>
        </w:tc>
        <w:tc>
          <w:tcPr>
            <w:tcW w:w="681" w:type="dxa"/>
            <w:tcBorders>
              <w:top w:val="nil"/>
              <w:left w:val="nil"/>
              <w:bottom w:val="single" w:sz="4" w:space="0" w:color="auto"/>
              <w:right w:val="nil"/>
            </w:tcBorders>
            <w:shd w:val="clear" w:color="auto" w:fill="auto"/>
            <w:vAlign w:val="bottom"/>
          </w:tcPr>
          <w:p w14:paraId="635045F7" w14:textId="77777777" w:rsidR="005B36AA" w:rsidRPr="00E8718C" w:rsidRDefault="005B36AA" w:rsidP="005B36AA">
            <w:pPr>
              <w:pStyle w:val="Subtitle"/>
            </w:pPr>
          </w:p>
        </w:tc>
        <w:tc>
          <w:tcPr>
            <w:tcW w:w="1138" w:type="dxa"/>
            <w:tcBorders>
              <w:top w:val="nil"/>
              <w:left w:val="nil"/>
              <w:bottom w:val="single" w:sz="4" w:space="0" w:color="auto"/>
              <w:right w:val="nil"/>
            </w:tcBorders>
            <w:shd w:val="clear" w:color="auto" w:fill="auto"/>
            <w:vAlign w:val="bottom"/>
          </w:tcPr>
          <w:p w14:paraId="1999038D"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1E2A0481"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4CFB78E4" w14:textId="77777777" w:rsidR="005B36AA" w:rsidRPr="00E310CE" w:rsidRDefault="005B36AA" w:rsidP="005B36AA">
            <w:pPr>
              <w:pStyle w:val="Subtitle"/>
            </w:pPr>
            <w:r w:rsidRPr="00E310CE">
              <w:t>£m</w:t>
            </w:r>
          </w:p>
        </w:tc>
        <w:tc>
          <w:tcPr>
            <w:tcW w:w="1138" w:type="dxa"/>
            <w:gridSpan w:val="2"/>
            <w:tcBorders>
              <w:top w:val="nil"/>
              <w:left w:val="nil"/>
              <w:bottom w:val="single" w:sz="4" w:space="0" w:color="auto"/>
              <w:right w:val="nil"/>
            </w:tcBorders>
            <w:shd w:val="clear" w:color="auto" w:fill="auto"/>
            <w:vAlign w:val="bottom"/>
          </w:tcPr>
          <w:p w14:paraId="6659AD39"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19576137"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483937F9" w14:textId="77777777" w:rsidR="005B36AA" w:rsidRPr="00D90904" w:rsidRDefault="005B36AA" w:rsidP="005B36AA">
            <w:pPr>
              <w:pStyle w:val="Subtitle"/>
              <w:rPr>
                <w:b w:val="0"/>
              </w:rPr>
            </w:pPr>
            <w:r w:rsidRPr="00D90904">
              <w:rPr>
                <w:b w:val="0"/>
              </w:rPr>
              <w:t>£m</w:t>
            </w:r>
          </w:p>
        </w:tc>
      </w:tr>
      <w:tr w:rsidR="005B36AA" w14:paraId="54E155A3" w14:textId="77777777" w:rsidTr="005B36AA">
        <w:tc>
          <w:tcPr>
            <w:tcW w:w="10348" w:type="dxa"/>
            <w:gridSpan w:val="9"/>
            <w:tcBorders>
              <w:top w:val="single" w:sz="4" w:space="0" w:color="auto"/>
              <w:left w:val="nil"/>
              <w:bottom w:val="nil"/>
              <w:right w:val="nil"/>
            </w:tcBorders>
            <w:vAlign w:val="bottom"/>
          </w:tcPr>
          <w:p w14:paraId="693FEFD9" w14:textId="77777777" w:rsidR="005B36AA" w:rsidRPr="008C0A7B" w:rsidRDefault="005B36AA" w:rsidP="005B36AA">
            <w:pPr>
              <w:pStyle w:val="TableRowHead"/>
              <w:rPr>
                <w:b/>
              </w:rPr>
            </w:pPr>
            <w:r w:rsidRPr="008C0A7B">
              <w:rPr>
                <w:b/>
              </w:rPr>
              <w:t>Continuing operations</w:t>
            </w:r>
          </w:p>
        </w:tc>
      </w:tr>
      <w:tr w:rsidR="005B36AA" w:rsidRPr="00CD4C0F" w14:paraId="42CE561E" w14:textId="77777777" w:rsidTr="005B36AA">
        <w:tc>
          <w:tcPr>
            <w:tcW w:w="2835" w:type="dxa"/>
            <w:tcBorders>
              <w:top w:val="nil"/>
              <w:left w:val="nil"/>
              <w:bottom w:val="nil"/>
              <w:right w:val="nil"/>
            </w:tcBorders>
            <w:vAlign w:val="bottom"/>
          </w:tcPr>
          <w:p w14:paraId="639F2714" w14:textId="77777777" w:rsidR="005B36AA" w:rsidRPr="00C65534" w:rsidRDefault="005B36AA" w:rsidP="005B36AA">
            <w:pPr>
              <w:pStyle w:val="TableRowHead"/>
            </w:pPr>
            <w:r w:rsidRPr="00C65534">
              <w:t>Revenue</w:t>
            </w:r>
          </w:p>
        </w:tc>
        <w:tc>
          <w:tcPr>
            <w:tcW w:w="681" w:type="dxa"/>
            <w:tcBorders>
              <w:top w:val="nil"/>
              <w:left w:val="nil"/>
              <w:bottom w:val="nil"/>
              <w:right w:val="nil"/>
            </w:tcBorders>
            <w:vAlign w:val="bottom"/>
          </w:tcPr>
          <w:p w14:paraId="6BAB1470" w14:textId="77777777" w:rsidR="005B36AA" w:rsidRPr="00211290" w:rsidRDefault="005B36AA" w:rsidP="005B36AA">
            <w:pPr>
              <w:pStyle w:val="T2"/>
            </w:pPr>
            <w:r w:rsidRPr="00211290">
              <w:t>2</w:t>
            </w:r>
          </w:p>
        </w:tc>
        <w:tc>
          <w:tcPr>
            <w:tcW w:w="1138" w:type="dxa"/>
            <w:tcBorders>
              <w:top w:val="nil"/>
              <w:left w:val="nil"/>
              <w:bottom w:val="nil"/>
              <w:right w:val="nil"/>
            </w:tcBorders>
            <w:vAlign w:val="bottom"/>
          </w:tcPr>
          <w:p w14:paraId="1D3BF54A" w14:textId="77777777" w:rsidR="005B36AA" w:rsidRPr="00E310CE" w:rsidRDefault="005B36AA" w:rsidP="005B36AA">
            <w:pPr>
              <w:pStyle w:val="T2"/>
              <w:rPr>
                <w:b/>
              </w:rPr>
            </w:pPr>
            <w:r>
              <w:rPr>
                <w:b/>
              </w:rPr>
              <w:t>1,264.7</w:t>
            </w:r>
          </w:p>
        </w:tc>
        <w:tc>
          <w:tcPr>
            <w:tcW w:w="1139" w:type="dxa"/>
            <w:tcBorders>
              <w:top w:val="nil"/>
              <w:left w:val="nil"/>
              <w:bottom w:val="nil"/>
              <w:right w:val="nil"/>
            </w:tcBorders>
            <w:vAlign w:val="bottom"/>
          </w:tcPr>
          <w:p w14:paraId="203DE13D" w14:textId="77777777" w:rsidR="005B36AA" w:rsidRPr="006D1884" w:rsidRDefault="005B36AA" w:rsidP="005B36AA">
            <w:pPr>
              <w:pStyle w:val="T2"/>
              <w:rPr>
                <w:b/>
              </w:rPr>
            </w:pPr>
            <w:r w:rsidRPr="006D1884">
              <w:rPr>
                <w:b/>
              </w:rPr>
              <w:t>–</w:t>
            </w:r>
          </w:p>
        </w:tc>
        <w:tc>
          <w:tcPr>
            <w:tcW w:w="1139" w:type="dxa"/>
            <w:tcBorders>
              <w:top w:val="nil"/>
              <w:left w:val="nil"/>
              <w:bottom w:val="nil"/>
              <w:right w:val="nil"/>
            </w:tcBorders>
            <w:vAlign w:val="bottom"/>
          </w:tcPr>
          <w:p w14:paraId="00F6B456" w14:textId="77777777" w:rsidR="005B36AA" w:rsidRPr="00E310CE" w:rsidRDefault="005B36AA" w:rsidP="005B36AA">
            <w:pPr>
              <w:pStyle w:val="T2"/>
              <w:rPr>
                <w:b/>
              </w:rPr>
            </w:pPr>
            <w:r>
              <w:rPr>
                <w:b/>
              </w:rPr>
              <w:t>1,264.7</w:t>
            </w:r>
          </w:p>
        </w:tc>
        <w:tc>
          <w:tcPr>
            <w:tcW w:w="1138" w:type="dxa"/>
            <w:gridSpan w:val="2"/>
            <w:tcBorders>
              <w:top w:val="nil"/>
              <w:left w:val="nil"/>
              <w:bottom w:val="nil"/>
              <w:right w:val="nil"/>
            </w:tcBorders>
          </w:tcPr>
          <w:p w14:paraId="1370EC2F" w14:textId="77777777" w:rsidR="005B36AA" w:rsidRPr="00330817" w:rsidRDefault="005B36AA" w:rsidP="005B36AA">
            <w:pPr>
              <w:jc w:val="right"/>
              <w:rPr>
                <w:sz w:val="18"/>
              </w:rPr>
            </w:pPr>
            <w:r w:rsidRPr="00330817">
              <w:rPr>
                <w:sz w:val="18"/>
              </w:rPr>
              <w:t>1,446.1</w:t>
            </w:r>
          </w:p>
        </w:tc>
        <w:tc>
          <w:tcPr>
            <w:tcW w:w="1139" w:type="dxa"/>
            <w:tcBorders>
              <w:top w:val="nil"/>
              <w:left w:val="nil"/>
              <w:bottom w:val="nil"/>
              <w:right w:val="nil"/>
            </w:tcBorders>
          </w:tcPr>
          <w:p w14:paraId="6E218F9A" w14:textId="77777777" w:rsidR="005B36AA" w:rsidRPr="00330817" w:rsidRDefault="005B36AA" w:rsidP="005B36AA">
            <w:pPr>
              <w:jc w:val="right"/>
              <w:rPr>
                <w:sz w:val="18"/>
              </w:rPr>
            </w:pPr>
            <w:r w:rsidRPr="00330817">
              <w:rPr>
                <w:sz w:val="18"/>
              </w:rPr>
              <w:t>–</w:t>
            </w:r>
          </w:p>
        </w:tc>
        <w:tc>
          <w:tcPr>
            <w:tcW w:w="1139" w:type="dxa"/>
            <w:tcBorders>
              <w:top w:val="nil"/>
              <w:left w:val="nil"/>
              <w:bottom w:val="nil"/>
              <w:right w:val="nil"/>
            </w:tcBorders>
          </w:tcPr>
          <w:p w14:paraId="188F0C0F" w14:textId="77777777" w:rsidR="005B36AA" w:rsidRPr="00330817" w:rsidRDefault="005B36AA" w:rsidP="005B36AA">
            <w:pPr>
              <w:jc w:val="right"/>
              <w:rPr>
                <w:sz w:val="18"/>
              </w:rPr>
            </w:pPr>
            <w:r w:rsidRPr="00330817">
              <w:rPr>
                <w:sz w:val="18"/>
              </w:rPr>
              <w:t>1,446.1</w:t>
            </w:r>
          </w:p>
        </w:tc>
      </w:tr>
      <w:tr w:rsidR="005B36AA" w14:paraId="269783A2" w14:textId="77777777" w:rsidTr="005B36AA">
        <w:tc>
          <w:tcPr>
            <w:tcW w:w="2835" w:type="dxa"/>
            <w:tcBorders>
              <w:top w:val="nil"/>
              <w:left w:val="nil"/>
              <w:bottom w:val="single" w:sz="4" w:space="0" w:color="auto"/>
              <w:right w:val="nil"/>
            </w:tcBorders>
            <w:vAlign w:val="bottom"/>
          </w:tcPr>
          <w:p w14:paraId="00CA9F5C" w14:textId="77777777" w:rsidR="005B36AA" w:rsidRPr="00C65534" w:rsidRDefault="005B36AA" w:rsidP="005B36AA">
            <w:pPr>
              <w:pStyle w:val="TableRowHead"/>
            </w:pPr>
            <w:r w:rsidRPr="00C65534">
              <w:t>Cost of sales</w:t>
            </w:r>
          </w:p>
        </w:tc>
        <w:tc>
          <w:tcPr>
            <w:tcW w:w="681" w:type="dxa"/>
            <w:tcBorders>
              <w:top w:val="nil"/>
              <w:left w:val="nil"/>
              <w:bottom w:val="single" w:sz="4" w:space="0" w:color="auto"/>
              <w:right w:val="nil"/>
            </w:tcBorders>
            <w:vAlign w:val="bottom"/>
          </w:tcPr>
          <w:p w14:paraId="78503375"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37D301B2" w14:textId="77777777" w:rsidR="005B36AA" w:rsidRPr="00E310CE" w:rsidRDefault="005B36AA" w:rsidP="005B36AA">
            <w:pPr>
              <w:pStyle w:val="T2"/>
              <w:rPr>
                <w:b/>
              </w:rPr>
            </w:pPr>
            <w:r>
              <w:rPr>
                <w:b/>
              </w:rPr>
              <w:t>(859.5)</w:t>
            </w:r>
          </w:p>
        </w:tc>
        <w:tc>
          <w:tcPr>
            <w:tcW w:w="1139" w:type="dxa"/>
            <w:tcBorders>
              <w:top w:val="nil"/>
              <w:left w:val="nil"/>
              <w:bottom w:val="single" w:sz="4" w:space="0" w:color="auto"/>
              <w:right w:val="nil"/>
            </w:tcBorders>
            <w:vAlign w:val="bottom"/>
          </w:tcPr>
          <w:p w14:paraId="34F4E826" w14:textId="77777777" w:rsidR="005B36AA" w:rsidRPr="00E310CE" w:rsidRDefault="005B36AA" w:rsidP="005B36AA">
            <w:pPr>
              <w:pStyle w:val="T2"/>
              <w:rPr>
                <w:b/>
              </w:rPr>
            </w:pPr>
            <w:r>
              <w:rPr>
                <w:b/>
              </w:rPr>
              <w:t>(2.9)</w:t>
            </w:r>
          </w:p>
        </w:tc>
        <w:tc>
          <w:tcPr>
            <w:tcW w:w="1139" w:type="dxa"/>
            <w:tcBorders>
              <w:top w:val="nil"/>
              <w:left w:val="nil"/>
              <w:bottom w:val="single" w:sz="4" w:space="0" w:color="auto"/>
              <w:right w:val="nil"/>
            </w:tcBorders>
            <w:vAlign w:val="bottom"/>
          </w:tcPr>
          <w:p w14:paraId="327AD585" w14:textId="77777777" w:rsidR="005B36AA" w:rsidRPr="00E310CE" w:rsidRDefault="005B36AA" w:rsidP="005B36AA">
            <w:pPr>
              <w:pStyle w:val="T2"/>
              <w:rPr>
                <w:b/>
              </w:rPr>
            </w:pPr>
            <w:r>
              <w:rPr>
                <w:b/>
              </w:rPr>
              <w:t>(862.4)</w:t>
            </w:r>
          </w:p>
        </w:tc>
        <w:tc>
          <w:tcPr>
            <w:tcW w:w="1138" w:type="dxa"/>
            <w:gridSpan w:val="2"/>
            <w:tcBorders>
              <w:top w:val="nil"/>
              <w:left w:val="nil"/>
              <w:bottom w:val="single" w:sz="4" w:space="0" w:color="auto"/>
              <w:right w:val="nil"/>
            </w:tcBorders>
          </w:tcPr>
          <w:p w14:paraId="2D5E0F62" w14:textId="77777777" w:rsidR="005B36AA" w:rsidRPr="00330817" w:rsidRDefault="005B36AA" w:rsidP="005B36AA">
            <w:pPr>
              <w:jc w:val="right"/>
              <w:rPr>
                <w:sz w:val="18"/>
              </w:rPr>
            </w:pPr>
            <w:r w:rsidRPr="00330817">
              <w:rPr>
                <w:sz w:val="18"/>
              </w:rPr>
              <w:t>(972.4)</w:t>
            </w:r>
          </w:p>
        </w:tc>
        <w:tc>
          <w:tcPr>
            <w:tcW w:w="1139" w:type="dxa"/>
            <w:tcBorders>
              <w:top w:val="nil"/>
              <w:left w:val="nil"/>
              <w:bottom w:val="single" w:sz="4" w:space="0" w:color="auto"/>
              <w:right w:val="nil"/>
            </w:tcBorders>
          </w:tcPr>
          <w:p w14:paraId="0C80E1B2"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475F1AE4" w14:textId="77777777" w:rsidR="005B36AA" w:rsidRPr="00330817" w:rsidRDefault="005B36AA" w:rsidP="005B36AA">
            <w:pPr>
              <w:jc w:val="right"/>
              <w:rPr>
                <w:sz w:val="18"/>
              </w:rPr>
            </w:pPr>
            <w:r w:rsidRPr="00330817">
              <w:rPr>
                <w:sz w:val="18"/>
              </w:rPr>
              <w:t>(972.4)</w:t>
            </w:r>
          </w:p>
        </w:tc>
      </w:tr>
      <w:tr w:rsidR="005B36AA" w14:paraId="5CAAFC6B" w14:textId="77777777" w:rsidTr="005B36AA">
        <w:tc>
          <w:tcPr>
            <w:tcW w:w="2835" w:type="dxa"/>
            <w:tcBorders>
              <w:top w:val="single" w:sz="4" w:space="0" w:color="auto"/>
              <w:left w:val="nil"/>
              <w:bottom w:val="nil"/>
              <w:right w:val="nil"/>
            </w:tcBorders>
            <w:vAlign w:val="bottom"/>
          </w:tcPr>
          <w:p w14:paraId="1DA1996C" w14:textId="77777777" w:rsidR="005B36AA" w:rsidRPr="008C0A7B" w:rsidRDefault="005B36AA" w:rsidP="005B36AA">
            <w:pPr>
              <w:pStyle w:val="TableRowHead"/>
              <w:rPr>
                <w:b/>
              </w:rPr>
            </w:pPr>
            <w:r w:rsidRPr="008C0A7B">
              <w:rPr>
                <w:b/>
              </w:rPr>
              <w:t>Gross profit</w:t>
            </w:r>
          </w:p>
        </w:tc>
        <w:tc>
          <w:tcPr>
            <w:tcW w:w="681" w:type="dxa"/>
            <w:tcBorders>
              <w:top w:val="single" w:sz="4" w:space="0" w:color="auto"/>
              <w:left w:val="nil"/>
              <w:bottom w:val="nil"/>
              <w:right w:val="nil"/>
            </w:tcBorders>
            <w:vAlign w:val="bottom"/>
          </w:tcPr>
          <w:p w14:paraId="5B878738"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795B5804" w14:textId="77777777" w:rsidR="005B36AA" w:rsidRPr="00E310CE" w:rsidRDefault="005B36AA" w:rsidP="005B36AA">
            <w:pPr>
              <w:pStyle w:val="T2"/>
              <w:rPr>
                <w:b/>
              </w:rPr>
            </w:pPr>
            <w:r>
              <w:rPr>
                <w:b/>
              </w:rPr>
              <w:t>405.2</w:t>
            </w:r>
          </w:p>
        </w:tc>
        <w:tc>
          <w:tcPr>
            <w:tcW w:w="1139" w:type="dxa"/>
            <w:tcBorders>
              <w:top w:val="single" w:sz="4" w:space="0" w:color="auto"/>
              <w:left w:val="nil"/>
              <w:bottom w:val="nil"/>
              <w:right w:val="nil"/>
            </w:tcBorders>
            <w:vAlign w:val="bottom"/>
          </w:tcPr>
          <w:p w14:paraId="404C8824" w14:textId="77777777" w:rsidR="005B36AA" w:rsidRPr="00E310CE" w:rsidRDefault="005B36AA" w:rsidP="005B36AA">
            <w:pPr>
              <w:pStyle w:val="T2"/>
              <w:rPr>
                <w:b/>
              </w:rPr>
            </w:pPr>
            <w:r>
              <w:rPr>
                <w:b/>
              </w:rPr>
              <w:t>(2.9)</w:t>
            </w:r>
          </w:p>
        </w:tc>
        <w:tc>
          <w:tcPr>
            <w:tcW w:w="1139" w:type="dxa"/>
            <w:tcBorders>
              <w:top w:val="single" w:sz="4" w:space="0" w:color="auto"/>
              <w:left w:val="nil"/>
              <w:bottom w:val="nil"/>
              <w:right w:val="nil"/>
            </w:tcBorders>
            <w:vAlign w:val="bottom"/>
          </w:tcPr>
          <w:p w14:paraId="530F9C20" w14:textId="77777777" w:rsidR="005B36AA" w:rsidRPr="00E310CE" w:rsidRDefault="005B36AA" w:rsidP="005B36AA">
            <w:pPr>
              <w:pStyle w:val="T2"/>
              <w:rPr>
                <w:b/>
              </w:rPr>
            </w:pPr>
            <w:r>
              <w:rPr>
                <w:b/>
              </w:rPr>
              <w:t>402.3</w:t>
            </w:r>
          </w:p>
        </w:tc>
        <w:tc>
          <w:tcPr>
            <w:tcW w:w="1138" w:type="dxa"/>
            <w:gridSpan w:val="2"/>
            <w:tcBorders>
              <w:top w:val="single" w:sz="4" w:space="0" w:color="auto"/>
              <w:left w:val="nil"/>
              <w:bottom w:val="nil"/>
              <w:right w:val="nil"/>
            </w:tcBorders>
          </w:tcPr>
          <w:p w14:paraId="18E569AB" w14:textId="77777777" w:rsidR="005B36AA" w:rsidRPr="00330817" w:rsidRDefault="005B36AA" w:rsidP="005B36AA">
            <w:pPr>
              <w:jc w:val="right"/>
              <w:rPr>
                <w:sz w:val="18"/>
              </w:rPr>
            </w:pPr>
            <w:r w:rsidRPr="00330817">
              <w:rPr>
                <w:sz w:val="18"/>
              </w:rPr>
              <w:t>473.7</w:t>
            </w:r>
          </w:p>
        </w:tc>
        <w:tc>
          <w:tcPr>
            <w:tcW w:w="1139" w:type="dxa"/>
            <w:tcBorders>
              <w:top w:val="single" w:sz="4" w:space="0" w:color="auto"/>
              <w:left w:val="nil"/>
              <w:bottom w:val="nil"/>
              <w:right w:val="nil"/>
            </w:tcBorders>
          </w:tcPr>
          <w:p w14:paraId="34138A22" w14:textId="77777777" w:rsidR="005B36AA" w:rsidRPr="00330817" w:rsidRDefault="005B36AA" w:rsidP="005B36AA">
            <w:pPr>
              <w:jc w:val="right"/>
              <w:rPr>
                <w:sz w:val="18"/>
              </w:rPr>
            </w:pPr>
            <w:r w:rsidRPr="00330817">
              <w:rPr>
                <w:sz w:val="18"/>
              </w:rPr>
              <w:t>–</w:t>
            </w:r>
          </w:p>
        </w:tc>
        <w:tc>
          <w:tcPr>
            <w:tcW w:w="1139" w:type="dxa"/>
            <w:tcBorders>
              <w:top w:val="single" w:sz="4" w:space="0" w:color="auto"/>
              <w:left w:val="nil"/>
              <w:bottom w:val="nil"/>
              <w:right w:val="nil"/>
            </w:tcBorders>
          </w:tcPr>
          <w:p w14:paraId="6CA6F8FD" w14:textId="77777777" w:rsidR="005B36AA" w:rsidRPr="00330817" w:rsidRDefault="005B36AA" w:rsidP="005B36AA">
            <w:pPr>
              <w:jc w:val="right"/>
              <w:rPr>
                <w:sz w:val="18"/>
              </w:rPr>
            </w:pPr>
            <w:r w:rsidRPr="00330817">
              <w:rPr>
                <w:sz w:val="18"/>
              </w:rPr>
              <w:t>473.7</w:t>
            </w:r>
          </w:p>
        </w:tc>
      </w:tr>
      <w:tr w:rsidR="005B36AA" w14:paraId="0BFAC682" w14:textId="77777777" w:rsidTr="005B36AA">
        <w:tc>
          <w:tcPr>
            <w:tcW w:w="2835" w:type="dxa"/>
            <w:tcBorders>
              <w:top w:val="nil"/>
              <w:left w:val="nil"/>
              <w:bottom w:val="single" w:sz="4" w:space="0" w:color="auto"/>
              <w:right w:val="nil"/>
            </w:tcBorders>
            <w:vAlign w:val="bottom"/>
          </w:tcPr>
          <w:p w14:paraId="26A26E1D" w14:textId="77777777" w:rsidR="005B36AA" w:rsidRPr="00C65534" w:rsidRDefault="005B36AA" w:rsidP="005B36AA">
            <w:pPr>
              <w:pStyle w:val="TableRowHead"/>
            </w:pPr>
            <w:r w:rsidRPr="00C65534">
              <w:t>Operating costs, net</w:t>
            </w:r>
          </w:p>
        </w:tc>
        <w:tc>
          <w:tcPr>
            <w:tcW w:w="681" w:type="dxa"/>
            <w:tcBorders>
              <w:top w:val="nil"/>
              <w:left w:val="nil"/>
              <w:bottom w:val="single" w:sz="4" w:space="0" w:color="auto"/>
              <w:right w:val="nil"/>
            </w:tcBorders>
            <w:vAlign w:val="bottom"/>
          </w:tcPr>
          <w:p w14:paraId="40670ED3"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4CB088A6" w14:textId="77777777" w:rsidR="005B36AA" w:rsidRPr="00E310CE" w:rsidRDefault="005B36AA" w:rsidP="005B36AA">
            <w:pPr>
              <w:pStyle w:val="T2"/>
              <w:rPr>
                <w:b/>
              </w:rPr>
            </w:pPr>
            <w:r>
              <w:rPr>
                <w:b/>
              </w:rPr>
              <w:t>(372.7)</w:t>
            </w:r>
          </w:p>
        </w:tc>
        <w:tc>
          <w:tcPr>
            <w:tcW w:w="1139" w:type="dxa"/>
            <w:tcBorders>
              <w:top w:val="nil"/>
              <w:left w:val="nil"/>
              <w:bottom w:val="single" w:sz="4" w:space="0" w:color="auto"/>
              <w:right w:val="nil"/>
            </w:tcBorders>
            <w:vAlign w:val="bottom"/>
          </w:tcPr>
          <w:p w14:paraId="2B771389" w14:textId="77777777" w:rsidR="005B36AA" w:rsidRPr="00E310CE" w:rsidRDefault="005B36AA" w:rsidP="005B36AA">
            <w:pPr>
              <w:pStyle w:val="T2"/>
              <w:rPr>
                <w:b/>
              </w:rPr>
            </w:pPr>
            <w:r>
              <w:rPr>
                <w:b/>
              </w:rPr>
              <w:t>(12.8)</w:t>
            </w:r>
          </w:p>
        </w:tc>
        <w:tc>
          <w:tcPr>
            <w:tcW w:w="1139" w:type="dxa"/>
            <w:tcBorders>
              <w:top w:val="nil"/>
              <w:left w:val="nil"/>
              <w:bottom w:val="single" w:sz="4" w:space="0" w:color="auto"/>
              <w:right w:val="nil"/>
            </w:tcBorders>
            <w:vAlign w:val="bottom"/>
          </w:tcPr>
          <w:p w14:paraId="12353056" w14:textId="77777777" w:rsidR="005B36AA" w:rsidRPr="00E310CE" w:rsidRDefault="005B36AA" w:rsidP="005B36AA">
            <w:pPr>
              <w:pStyle w:val="T2"/>
              <w:rPr>
                <w:b/>
              </w:rPr>
            </w:pPr>
            <w:r>
              <w:rPr>
                <w:b/>
              </w:rPr>
              <w:t>(385.5)</w:t>
            </w:r>
          </w:p>
        </w:tc>
        <w:tc>
          <w:tcPr>
            <w:tcW w:w="1138" w:type="dxa"/>
            <w:gridSpan w:val="2"/>
            <w:tcBorders>
              <w:top w:val="nil"/>
              <w:left w:val="nil"/>
              <w:bottom w:val="single" w:sz="4" w:space="0" w:color="auto"/>
              <w:right w:val="nil"/>
            </w:tcBorders>
          </w:tcPr>
          <w:p w14:paraId="1D8C043F" w14:textId="77777777" w:rsidR="005B36AA" w:rsidRPr="00330817" w:rsidRDefault="005B36AA" w:rsidP="005B36AA">
            <w:pPr>
              <w:jc w:val="right"/>
              <w:rPr>
                <w:sz w:val="18"/>
              </w:rPr>
            </w:pPr>
            <w:r w:rsidRPr="00330817">
              <w:rPr>
                <w:sz w:val="18"/>
              </w:rPr>
              <w:t>(368.2)</w:t>
            </w:r>
          </w:p>
        </w:tc>
        <w:tc>
          <w:tcPr>
            <w:tcW w:w="1139" w:type="dxa"/>
            <w:tcBorders>
              <w:top w:val="nil"/>
              <w:left w:val="nil"/>
              <w:bottom w:val="single" w:sz="4" w:space="0" w:color="auto"/>
              <w:right w:val="nil"/>
            </w:tcBorders>
          </w:tcPr>
          <w:p w14:paraId="1F8BB6C9" w14:textId="77777777" w:rsidR="005B36AA" w:rsidRPr="00330817" w:rsidRDefault="005B36AA" w:rsidP="005B36AA">
            <w:pPr>
              <w:jc w:val="right"/>
              <w:rPr>
                <w:sz w:val="18"/>
              </w:rPr>
            </w:pPr>
            <w:r w:rsidRPr="00330817">
              <w:rPr>
                <w:sz w:val="18"/>
              </w:rPr>
              <w:t>(4.8)</w:t>
            </w:r>
          </w:p>
        </w:tc>
        <w:tc>
          <w:tcPr>
            <w:tcW w:w="1139" w:type="dxa"/>
            <w:tcBorders>
              <w:top w:val="nil"/>
              <w:left w:val="nil"/>
              <w:bottom w:val="single" w:sz="4" w:space="0" w:color="auto"/>
              <w:right w:val="nil"/>
            </w:tcBorders>
          </w:tcPr>
          <w:p w14:paraId="4DF004F3" w14:textId="77777777" w:rsidR="005B36AA" w:rsidRPr="00330817" w:rsidRDefault="005B36AA" w:rsidP="005B36AA">
            <w:pPr>
              <w:jc w:val="right"/>
              <w:rPr>
                <w:sz w:val="18"/>
              </w:rPr>
            </w:pPr>
            <w:r w:rsidRPr="00330817">
              <w:rPr>
                <w:sz w:val="18"/>
              </w:rPr>
              <w:t>(373.0)</w:t>
            </w:r>
          </w:p>
        </w:tc>
      </w:tr>
      <w:tr w:rsidR="005B36AA" w14:paraId="70F1F9C0" w14:textId="77777777" w:rsidTr="005B36AA">
        <w:tc>
          <w:tcPr>
            <w:tcW w:w="2835" w:type="dxa"/>
            <w:tcBorders>
              <w:top w:val="single" w:sz="4" w:space="0" w:color="auto"/>
              <w:left w:val="nil"/>
              <w:bottom w:val="nil"/>
              <w:right w:val="nil"/>
            </w:tcBorders>
            <w:vAlign w:val="bottom"/>
          </w:tcPr>
          <w:p w14:paraId="2E9E0FBE" w14:textId="77777777" w:rsidR="005B36AA" w:rsidRPr="008C0A7B" w:rsidRDefault="005B36AA" w:rsidP="005B36AA">
            <w:pPr>
              <w:pStyle w:val="TableRowHead"/>
              <w:rPr>
                <w:b/>
              </w:rPr>
            </w:pPr>
            <w:r w:rsidRPr="008C0A7B">
              <w:rPr>
                <w:b/>
              </w:rPr>
              <w:t>Group Operating Profit before acquisition related amortisation</w:t>
            </w:r>
          </w:p>
        </w:tc>
        <w:tc>
          <w:tcPr>
            <w:tcW w:w="681" w:type="dxa"/>
            <w:tcBorders>
              <w:top w:val="single" w:sz="4" w:space="0" w:color="auto"/>
              <w:left w:val="nil"/>
              <w:bottom w:val="nil"/>
              <w:right w:val="nil"/>
            </w:tcBorders>
            <w:vAlign w:val="bottom"/>
          </w:tcPr>
          <w:p w14:paraId="00CEAD71"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13E06B1F" w14:textId="77777777" w:rsidR="005B36AA" w:rsidRPr="00E310CE" w:rsidRDefault="005B36AA" w:rsidP="005B36AA">
            <w:pPr>
              <w:pStyle w:val="T2"/>
              <w:rPr>
                <w:b/>
              </w:rPr>
            </w:pPr>
            <w:r>
              <w:rPr>
                <w:b/>
              </w:rPr>
              <w:t>32.5</w:t>
            </w:r>
          </w:p>
        </w:tc>
        <w:tc>
          <w:tcPr>
            <w:tcW w:w="1139" w:type="dxa"/>
            <w:tcBorders>
              <w:top w:val="single" w:sz="4" w:space="0" w:color="auto"/>
              <w:left w:val="nil"/>
              <w:bottom w:val="nil"/>
              <w:right w:val="nil"/>
            </w:tcBorders>
            <w:vAlign w:val="bottom"/>
          </w:tcPr>
          <w:p w14:paraId="237A380A" w14:textId="77777777" w:rsidR="005B36AA" w:rsidRPr="00E310CE" w:rsidRDefault="005B36AA" w:rsidP="005B36AA">
            <w:pPr>
              <w:pStyle w:val="T2"/>
              <w:rPr>
                <w:b/>
              </w:rPr>
            </w:pPr>
            <w:r>
              <w:rPr>
                <w:b/>
              </w:rPr>
              <w:t>(15.7)</w:t>
            </w:r>
          </w:p>
        </w:tc>
        <w:tc>
          <w:tcPr>
            <w:tcW w:w="1139" w:type="dxa"/>
            <w:tcBorders>
              <w:top w:val="single" w:sz="4" w:space="0" w:color="auto"/>
              <w:left w:val="nil"/>
              <w:bottom w:val="nil"/>
              <w:right w:val="nil"/>
            </w:tcBorders>
            <w:vAlign w:val="bottom"/>
          </w:tcPr>
          <w:p w14:paraId="22C4AA51" w14:textId="77777777" w:rsidR="005B36AA" w:rsidRPr="00E310CE" w:rsidRDefault="005B36AA" w:rsidP="005B36AA">
            <w:pPr>
              <w:pStyle w:val="T2"/>
              <w:rPr>
                <w:b/>
              </w:rPr>
            </w:pPr>
            <w:r>
              <w:rPr>
                <w:b/>
              </w:rPr>
              <w:t>16.8</w:t>
            </w:r>
          </w:p>
        </w:tc>
        <w:tc>
          <w:tcPr>
            <w:tcW w:w="1138" w:type="dxa"/>
            <w:gridSpan w:val="2"/>
            <w:tcBorders>
              <w:top w:val="single" w:sz="4" w:space="0" w:color="auto"/>
              <w:left w:val="nil"/>
              <w:bottom w:val="nil"/>
              <w:right w:val="nil"/>
            </w:tcBorders>
            <w:vAlign w:val="bottom"/>
          </w:tcPr>
          <w:p w14:paraId="6DC6BCFA" w14:textId="77777777" w:rsidR="005B36AA" w:rsidRPr="00330817" w:rsidRDefault="005B36AA" w:rsidP="005B36AA">
            <w:pPr>
              <w:jc w:val="right"/>
              <w:rPr>
                <w:sz w:val="18"/>
              </w:rPr>
            </w:pPr>
            <w:r w:rsidRPr="00330817">
              <w:rPr>
                <w:sz w:val="18"/>
              </w:rPr>
              <w:t>105.5</w:t>
            </w:r>
          </w:p>
        </w:tc>
        <w:tc>
          <w:tcPr>
            <w:tcW w:w="1139" w:type="dxa"/>
            <w:tcBorders>
              <w:top w:val="single" w:sz="4" w:space="0" w:color="auto"/>
              <w:left w:val="nil"/>
              <w:bottom w:val="nil"/>
              <w:right w:val="nil"/>
            </w:tcBorders>
            <w:vAlign w:val="bottom"/>
          </w:tcPr>
          <w:p w14:paraId="7C4CB951" w14:textId="77777777" w:rsidR="005B36AA" w:rsidRPr="00330817" w:rsidRDefault="005B36AA" w:rsidP="005B36AA">
            <w:pPr>
              <w:jc w:val="right"/>
              <w:rPr>
                <w:sz w:val="18"/>
              </w:rPr>
            </w:pPr>
            <w:r w:rsidRPr="00330817">
              <w:rPr>
                <w:sz w:val="18"/>
              </w:rPr>
              <w:t>(4.8)</w:t>
            </w:r>
          </w:p>
        </w:tc>
        <w:tc>
          <w:tcPr>
            <w:tcW w:w="1139" w:type="dxa"/>
            <w:tcBorders>
              <w:top w:val="single" w:sz="4" w:space="0" w:color="auto"/>
              <w:left w:val="nil"/>
              <w:bottom w:val="nil"/>
              <w:right w:val="nil"/>
            </w:tcBorders>
            <w:vAlign w:val="bottom"/>
          </w:tcPr>
          <w:p w14:paraId="266E4FA3" w14:textId="77777777" w:rsidR="005B36AA" w:rsidRPr="00330817" w:rsidRDefault="005B36AA" w:rsidP="005B36AA">
            <w:pPr>
              <w:jc w:val="right"/>
              <w:rPr>
                <w:sz w:val="18"/>
              </w:rPr>
            </w:pPr>
            <w:r w:rsidRPr="00330817">
              <w:rPr>
                <w:sz w:val="18"/>
              </w:rPr>
              <w:t>100.7</w:t>
            </w:r>
          </w:p>
        </w:tc>
      </w:tr>
      <w:tr w:rsidR="005B36AA" w14:paraId="6E87F111" w14:textId="77777777" w:rsidTr="005B36AA">
        <w:tc>
          <w:tcPr>
            <w:tcW w:w="2835" w:type="dxa"/>
            <w:tcBorders>
              <w:top w:val="nil"/>
              <w:left w:val="nil"/>
              <w:bottom w:val="single" w:sz="4" w:space="0" w:color="auto"/>
              <w:right w:val="nil"/>
            </w:tcBorders>
            <w:vAlign w:val="bottom"/>
          </w:tcPr>
          <w:p w14:paraId="0E073D47" w14:textId="77777777" w:rsidR="005B36AA" w:rsidRPr="00C65534" w:rsidRDefault="005B36AA" w:rsidP="005B36AA">
            <w:pPr>
              <w:pStyle w:val="TableRowHead"/>
            </w:pPr>
            <w:r w:rsidRPr="00C65534">
              <w:t>Amortisation of acquisition related intangibles</w:t>
            </w:r>
          </w:p>
        </w:tc>
        <w:tc>
          <w:tcPr>
            <w:tcW w:w="681" w:type="dxa"/>
            <w:tcBorders>
              <w:top w:val="nil"/>
              <w:left w:val="nil"/>
              <w:bottom w:val="single" w:sz="4" w:space="0" w:color="auto"/>
              <w:right w:val="nil"/>
            </w:tcBorders>
            <w:vAlign w:val="bottom"/>
          </w:tcPr>
          <w:p w14:paraId="46C69074"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4AA08CCE" w14:textId="77777777" w:rsidR="005B36AA" w:rsidRPr="00E310CE" w:rsidRDefault="005B36AA" w:rsidP="005B36AA">
            <w:pPr>
              <w:pStyle w:val="T2"/>
              <w:rPr>
                <w:b/>
              </w:rPr>
            </w:pPr>
            <w:r>
              <w:rPr>
                <w:b/>
              </w:rPr>
              <w:t>(3.9)</w:t>
            </w:r>
          </w:p>
        </w:tc>
        <w:tc>
          <w:tcPr>
            <w:tcW w:w="1139" w:type="dxa"/>
            <w:tcBorders>
              <w:top w:val="nil"/>
              <w:left w:val="nil"/>
              <w:bottom w:val="single" w:sz="4" w:space="0" w:color="auto"/>
              <w:right w:val="nil"/>
            </w:tcBorders>
            <w:vAlign w:val="bottom"/>
          </w:tcPr>
          <w:p w14:paraId="0C468C70"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98650C0" w14:textId="77777777" w:rsidR="005B36AA" w:rsidRPr="00E310CE" w:rsidRDefault="005B36AA" w:rsidP="005B36AA">
            <w:pPr>
              <w:pStyle w:val="T2"/>
              <w:rPr>
                <w:b/>
              </w:rPr>
            </w:pPr>
            <w:r>
              <w:rPr>
                <w:b/>
              </w:rPr>
              <w:t>(3.9)</w:t>
            </w:r>
          </w:p>
        </w:tc>
        <w:tc>
          <w:tcPr>
            <w:tcW w:w="1138" w:type="dxa"/>
            <w:gridSpan w:val="2"/>
            <w:tcBorders>
              <w:top w:val="nil"/>
              <w:left w:val="nil"/>
              <w:bottom w:val="single" w:sz="4" w:space="0" w:color="auto"/>
              <w:right w:val="nil"/>
            </w:tcBorders>
            <w:vAlign w:val="bottom"/>
          </w:tcPr>
          <w:p w14:paraId="00D481BD" w14:textId="77777777" w:rsidR="005B36AA" w:rsidRPr="00330817" w:rsidRDefault="005B36AA" w:rsidP="005B36AA">
            <w:pPr>
              <w:jc w:val="right"/>
              <w:rPr>
                <w:sz w:val="18"/>
              </w:rPr>
            </w:pPr>
            <w:r w:rsidRPr="00330817">
              <w:rPr>
                <w:sz w:val="18"/>
              </w:rPr>
              <w:t>(0.9)</w:t>
            </w:r>
          </w:p>
        </w:tc>
        <w:tc>
          <w:tcPr>
            <w:tcW w:w="1139" w:type="dxa"/>
            <w:tcBorders>
              <w:top w:val="nil"/>
              <w:left w:val="nil"/>
              <w:bottom w:val="single" w:sz="4" w:space="0" w:color="auto"/>
              <w:right w:val="nil"/>
            </w:tcBorders>
            <w:vAlign w:val="bottom"/>
          </w:tcPr>
          <w:p w14:paraId="7381D4AC"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vAlign w:val="bottom"/>
          </w:tcPr>
          <w:p w14:paraId="56C8C059" w14:textId="77777777" w:rsidR="005B36AA" w:rsidRPr="00330817" w:rsidRDefault="005B36AA" w:rsidP="005B36AA">
            <w:pPr>
              <w:jc w:val="right"/>
              <w:rPr>
                <w:sz w:val="18"/>
              </w:rPr>
            </w:pPr>
            <w:r w:rsidRPr="00330817">
              <w:rPr>
                <w:sz w:val="18"/>
              </w:rPr>
              <w:t>(0.9)</w:t>
            </w:r>
          </w:p>
        </w:tc>
      </w:tr>
      <w:tr w:rsidR="005B36AA" w14:paraId="5ECABA11" w14:textId="77777777" w:rsidTr="005B36AA">
        <w:tc>
          <w:tcPr>
            <w:tcW w:w="2835" w:type="dxa"/>
            <w:tcBorders>
              <w:top w:val="single" w:sz="4" w:space="0" w:color="auto"/>
              <w:left w:val="nil"/>
              <w:bottom w:val="nil"/>
              <w:right w:val="nil"/>
            </w:tcBorders>
            <w:vAlign w:val="bottom"/>
          </w:tcPr>
          <w:p w14:paraId="7038181A" w14:textId="77777777" w:rsidR="005B36AA" w:rsidRPr="008C0A7B" w:rsidRDefault="005B36AA" w:rsidP="005B36AA">
            <w:pPr>
              <w:pStyle w:val="TableRowHead"/>
              <w:rPr>
                <w:b/>
              </w:rPr>
            </w:pPr>
            <w:r w:rsidRPr="008C0A7B">
              <w:rPr>
                <w:b/>
              </w:rPr>
              <w:t>Group Operating Profit</w:t>
            </w:r>
          </w:p>
        </w:tc>
        <w:tc>
          <w:tcPr>
            <w:tcW w:w="681" w:type="dxa"/>
            <w:tcBorders>
              <w:top w:val="single" w:sz="4" w:space="0" w:color="auto"/>
              <w:left w:val="nil"/>
              <w:bottom w:val="nil"/>
              <w:right w:val="nil"/>
            </w:tcBorders>
            <w:vAlign w:val="bottom"/>
          </w:tcPr>
          <w:p w14:paraId="33019242"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5E54CEB5" w14:textId="77777777" w:rsidR="005B36AA" w:rsidRPr="00E310CE" w:rsidRDefault="005B36AA" w:rsidP="005B36AA">
            <w:pPr>
              <w:pStyle w:val="T2"/>
              <w:rPr>
                <w:b/>
              </w:rPr>
            </w:pPr>
            <w:r>
              <w:rPr>
                <w:b/>
              </w:rPr>
              <w:t>28.6</w:t>
            </w:r>
          </w:p>
        </w:tc>
        <w:tc>
          <w:tcPr>
            <w:tcW w:w="1139" w:type="dxa"/>
            <w:tcBorders>
              <w:top w:val="single" w:sz="4" w:space="0" w:color="auto"/>
              <w:left w:val="nil"/>
              <w:bottom w:val="nil"/>
              <w:right w:val="nil"/>
            </w:tcBorders>
            <w:vAlign w:val="bottom"/>
          </w:tcPr>
          <w:p w14:paraId="768AE2B2" w14:textId="77777777" w:rsidR="005B36AA" w:rsidRPr="00E310CE" w:rsidRDefault="005B36AA" w:rsidP="005B36AA">
            <w:pPr>
              <w:pStyle w:val="T2"/>
              <w:rPr>
                <w:b/>
              </w:rPr>
            </w:pPr>
            <w:r>
              <w:rPr>
                <w:b/>
              </w:rPr>
              <w:t>(15.7)</w:t>
            </w:r>
          </w:p>
        </w:tc>
        <w:tc>
          <w:tcPr>
            <w:tcW w:w="1139" w:type="dxa"/>
            <w:tcBorders>
              <w:top w:val="single" w:sz="4" w:space="0" w:color="auto"/>
              <w:left w:val="nil"/>
              <w:bottom w:val="nil"/>
              <w:right w:val="nil"/>
            </w:tcBorders>
            <w:vAlign w:val="bottom"/>
          </w:tcPr>
          <w:p w14:paraId="4927CAEA" w14:textId="77777777" w:rsidR="005B36AA" w:rsidRPr="00E310CE" w:rsidRDefault="005B36AA" w:rsidP="005B36AA">
            <w:pPr>
              <w:pStyle w:val="T2"/>
              <w:rPr>
                <w:b/>
              </w:rPr>
            </w:pPr>
            <w:r>
              <w:rPr>
                <w:b/>
              </w:rPr>
              <w:t>12.9</w:t>
            </w:r>
          </w:p>
        </w:tc>
        <w:tc>
          <w:tcPr>
            <w:tcW w:w="1138" w:type="dxa"/>
            <w:gridSpan w:val="2"/>
            <w:tcBorders>
              <w:top w:val="single" w:sz="4" w:space="0" w:color="auto"/>
              <w:left w:val="nil"/>
              <w:bottom w:val="nil"/>
              <w:right w:val="nil"/>
            </w:tcBorders>
          </w:tcPr>
          <w:p w14:paraId="16A03D6A" w14:textId="77777777" w:rsidR="005B36AA" w:rsidRPr="00330817" w:rsidRDefault="005B36AA" w:rsidP="005B36AA">
            <w:pPr>
              <w:jc w:val="right"/>
              <w:rPr>
                <w:sz w:val="18"/>
              </w:rPr>
            </w:pPr>
            <w:r w:rsidRPr="00330817">
              <w:rPr>
                <w:sz w:val="18"/>
              </w:rPr>
              <w:t>104.6</w:t>
            </w:r>
          </w:p>
        </w:tc>
        <w:tc>
          <w:tcPr>
            <w:tcW w:w="1139" w:type="dxa"/>
            <w:tcBorders>
              <w:top w:val="single" w:sz="4" w:space="0" w:color="auto"/>
              <w:left w:val="nil"/>
              <w:bottom w:val="nil"/>
              <w:right w:val="nil"/>
            </w:tcBorders>
          </w:tcPr>
          <w:p w14:paraId="1C60CD26" w14:textId="77777777" w:rsidR="005B36AA" w:rsidRPr="00330817" w:rsidRDefault="005B36AA" w:rsidP="005B36AA">
            <w:pPr>
              <w:jc w:val="right"/>
              <w:rPr>
                <w:sz w:val="18"/>
              </w:rPr>
            </w:pPr>
            <w:r w:rsidRPr="00330817">
              <w:rPr>
                <w:sz w:val="18"/>
              </w:rPr>
              <w:t>(4.8)</w:t>
            </w:r>
          </w:p>
        </w:tc>
        <w:tc>
          <w:tcPr>
            <w:tcW w:w="1139" w:type="dxa"/>
            <w:tcBorders>
              <w:top w:val="single" w:sz="4" w:space="0" w:color="auto"/>
              <w:left w:val="nil"/>
              <w:bottom w:val="nil"/>
              <w:right w:val="nil"/>
            </w:tcBorders>
          </w:tcPr>
          <w:p w14:paraId="48AAE2C7" w14:textId="77777777" w:rsidR="005B36AA" w:rsidRPr="00330817" w:rsidRDefault="005B36AA" w:rsidP="005B36AA">
            <w:pPr>
              <w:jc w:val="right"/>
              <w:rPr>
                <w:sz w:val="18"/>
              </w:rPr>
            </w:pPr>
            <w:r w:rsidRPr="00330817">
              <w:rPr>
                <w:sz w:val="18"/>
              </w:rPr>
              <w:t>99.8</w:t>
            </w:r>
          </w:p>
        </w:tc>
      </w:tr>
      <w:tr w:rsidR="005B36AA" w14:paraId="0F0DA9AE" w14:textId="77777777" w:rsidTr="005B36AA">
        <w:tc>
          <w:tcPr>
            <w:tcW w:w="2835" w:type="dxa"/>
            <w:tcBorders>
              <w:top w:val="nil"/>
              <w:left w:val="nil"/>
              <w:bottom w:val="nil"/>
              <w:right w:val="nil"/>
            </w:tcBorders>
            <w:vAlign w:val="bottom"/>
          </w:tcPr>
          <w:p w14:paraId="22510CD9" w14:textId="77777777" w:rsidR="005B36AA" w:rsidRPr="00C65534" w:rsidRDefault="005B36AA" w:rsidP="005B36AA">
            <w:pPr>
              <w:pStyle w:val="TableRowHead"/>
            </w:pPr>
            <w:r w:rsidRPr="00C65534">
              <w:t>Finance income</w:t>
            </w:r>
          </w:p>
        </w:tc>
        <w:tc>
          <w:tcPr>
            <w:tcW w:w="681" w:type="dxa"/>
            <w:tcBorders>
              <w:top w:val="nil"/>
              <w:left w:val="nil"/>
              <w:bottom w:val="nil"/>
              <w:right w:val="nil"/>
            </w:tcBorders>
            <w:vAlign w:val="bottom"/>
          </w:tcPr>
          <w:p w14:paraId="1A669F2D" w14:textId="77777777" w:rsidR="005B36AA" w:rsidRPr="00211290" w:rsidRDefault="005B36AA" w:rsidP="005B36AA">
            <w:pPr>
              <w:jc w:val="right"/>
              <w:rPr>
                <w:sz w:val="18"/>
                <w:szCs w:val="18"/>
              </w:rPr>
            </w:pPr>
            <w:r w:rsidRPr="00211290">
              <w:rPr>
                <w:sz w:val="18"/>
                <w:szCs w:val="18"/>
              </w:rPr>
              <w:t>4</w:t>
            </w:r>
          </w:p>
        </w:tc>
        <w:tc>
          <w:tcPr>
            <w:tcW w:w="1138" w:type="dxa"/>
            <w:tcBorders>
              <w:top w:val="nil"/>
              <w:left w:val="nil"/>
              <w:bottom w:val="nil"/>
              <w:right w:val="nil"/>
            </w:tcBorders>
            <w:vAlign w:val="bottom"/>
          </w:tcPr>
          <w:p w14:paraId="6DF5399E" w14:textId="77777777" w:rsidR="005B36AA" w:rsidRPr="00E310CE" w:rsidRDefault="005B36AA" w:rsidP="005B36AA">
            <w:pPr>
              <w:pStyle w:val="T2"/>
              <w:rPr>
                <w:b/>
              </w:rPr>
            </w:pPr>
            <w:r>
              <w:rPr>
                <w:b/>
              </w:rPr>
              <w:t>0.1</w:t>
            </w:r>
          </w:p>
        </w:tc>
        <w:tc>
          <w:tcPr>
            <w:tcW w:w="1139" w:type="dxa"/>
            <w:tcBorders>
              <w:top w:val="nil"/>
              <w:left w:val="nil"/>
              <w:bottom w:val="nil"/>
              <w:right w:val="nil"/>
            </w:tcBorders>
            <w:vAlign w:val="bottom"/>
          </w:tcPr>
          <w:p w14:paraId="73B04C0B" w14:textId="77777777" w:rsidR="005B36AA" w:rsidRPr="00E310CE" w:rsidRDefault="005B36AA" w:rsidP="005B36AA">
            <w:pPr>
              <w:pStyle w:val="T2"/>
              <w:rPr>
                <w:b/>
              </w:rPr>
            </w:pPr>
            <w:r w:rsidRPr="006D1884">
              <w:rPr>
                <w:b/>
              </w:rPr>
              <w:t>–</w:t>
            </w:r>
          </w:p>
        </w:tc>
        <w:tc>
          <w:tcPr>
            <w:tcW w:w="1139" w:type="dxa"/>
            <w:tcBorders>
              <w:top w:val="nil"/>
              <w:left w:val="nil"/>
              <w:bottom w:val="nil"/>
              <w:right w:val="nil"/>
            </w:tcBorders>
            <w:vAlign w:val="bottom"/>
          </w:tcPr>
          <w:p w14:paraId="4D6246B2" w14:textId="77777777" w:rsidR="005B36AA" w:rsidRPr="00E310CE" w:rsidRDefault="005B36AA" w:rsidP="005B36AA">
            <w:pPr>
              <w:pStyle w:val="T2"/>
              <w:rPr>
                <w:b/>
              </w:rPr>
            </w:pPr>
            <w:r>
              <w:rPr>
                <w:b/>
              </w:rPr>
              <w:t>0.1</w:t>
            </w:r>
          </w:p>
        </w:tc>
        <w:tc>
          <w:tcPr>
            <w:tcW w:w="1138" w:type="dxa"/>
            <w:gridSpan w:val="2"/>
            <w:tcBorders>
              <w:top w:val="nil"/>
              <w:left w:val="nil"/>
              <w:bottom w:val="nil"/>
              <w:right w:val="nil"/>
            </w:tcBorders>
          </w:tcPr>
          <w:p w14:paraId="4E3EE884" w14:textId="77777777" w:rsidR="005B36AA" w:rsidRPr="00330817" w:rsidRDefault="005B36AA" w:rsidP="005B36AA">
            <w:pPr>
              <w:jc w:val="right"/>
              <w:rPr>
                <w:sz w:val="18"/>
              </w:rPr>
            </w:pPr>
            <w:r w:rsidRPr="00330817">
              <w:rPr>
                <w:sz w:val="18"/>
              </w:rPr>
              <w:t>0.8</w:t>
            </w:r>
          </w:p>
        </w:tc>
        <w:tc>
          <w:tcPr>
            <w:tcW w:w="1139" w:type="dxa"/>
            <w:tcBorders>
              <w:top w:val="nil"/>
              <w:left w:val="nil"/>
              <w:bottom w:val="nil"/>
              <w:right w:val="nil"/>
            </w:tcBorders>
          </w:tcPr>
          <w:p w14:paraId="5E6ADF3A" w14:textId="77777777" w:rsidR="005B36AA" w:rsidRPr="00330817" w:rsidRDefault="005B36AA" w:rsidP="005B36AA">
            <w:pPr>
              <w:jc w:val="right"/>
              <w:rPr>
                <w:sz w:val="18"/>
              </w:rPr>
            </w:pPr>
            <w:r w:rsidRPr="00330817">
              <w:rPr>
                <w:sz w:val="18"/>
              </w:rPr>
              <w:t>–</w:t>
            </w:r>
          </w:p>
        </w:tc>
        <w:tc>
          <w:tcPr>
            <w:tcW w:w="1139" w:type="dxa"/>
            <w:tcBorders>
              <w:top w:val="nil"/>
              <w:left w:val="nil"/>
              <w:bottom w:val="nil"/>
              <w:right w:val="nil"/>
            </w:tcBorders>
          </w:tcPr>
          <w:p w14:paraId="450294A7" w14:textId="77777777" w:rsidR="005B36AA" w:rsidRPr="00330817" w:rsidRDefault="005B36AA" w:rsidP="005B36AA">
            <w:pPr>
              <w:jc w:val="right"/>
              <w:rPr>
                <w:sz w:val="18"/>
              </w:rPr>
            </w:pPr>
            <w:r w:rsidRPr="00330817">
              <w:rPr>
                <w:sz w:val="18"/>
              </w:rPr>
              <w:t>0.8</w:t>
            </w:r>
          </w:p>
        </w:tc>
      </w:tr>
      <w:tr w:rsidR="005B36AA" w14:paraId="30CBD4D4" w14:textId="77777777" w:rsidTr="005B36AA">
        <w:tc>
          <w:tcPr>
            <w:tcW w:w="2835" w:type="dxa"/>
            <w:tcBorders>
              <w:top w:val="nil"/>
              <w:left w:val="nil"/>
              <w:bottom w:val="nil"/>
              <w:right w:val="nil"/>
            </w:tcBorders>
            <w:vAlign w:val="bottom"/>
          </w:tcPr>
          <w:p w14:paraId="1A3337FA" w14:textId="77777777" w:rsidR="005B36AA" w:rsidRPr="00C65534" w:rsidRDefault="005B36AA" w:rsidP="005B36AA">
            <w:pPr>
              <w:pStyle w:val="TableRowHead"/>
            </w:pPr>
            <w:r w:rsidRPr="00C65534">
              <w:t>Finance costs</w:t>
            </w:r>
          </w:p>
        </w:tc>
        <w:tc>
          <w:tcPr>
            <w:tcW w:w="681" w:type="dxa"/>
            <w:tcBorders>
              <w:top w:val="nil"/>
              <w:left w:val="nil"/>
              <w:bottom w:val="nil"/>
              <w:right w:val="nil"/>
            </w:tcBorders>
            <w:vAlign w:val="bottom"/>
          </w:tcPr>
          <w:p w14:paraId="39F73B67" w14:textId="77777777" w:rsidR="005B36AA" w:rsidRPr="00211290" w:rsidRDefault="005B36AA" w:rsidP="005B36AA">
            <w:pPr>
              <w:jc w:val="right"/>
              <w:rPr>
                <w:sz w:val="18"/>
                <w:szCs w:val="18"/>
              </w:rPr>
            </w:pPr>
            <w:r w:rsidRPr="00211290">
              <w:rPr>
                <w:sz w:val="18"/>
                <w:szCs w:val="18"/>
              </w:rPr>
              <w:t>4</w:t>
            </w:r>
          </w:p>
        </w:tc>
        <w:tc>
          <w:tcPr>
            <w:tcW w:w="1138" w:type="dxa"/>
            <w:tcBorders>
              <w:top w:val="nil"/>
              <w:left w:val="nil"/>
              <w:bottom w:val="nil"/>
              <w:right w:val="nil"/>
            </w:tcBorders>
            <w:vAlign w:val="bottom"/>
          </w:tcPr>
          <w:p w14:paraId="5CAEA021" w14:textId="77777777" w:rsidR="005B36AA" w:rsidRPr="00E310CE" w:rsidRDefault="005B36AA" w:rsidP="005B36AA">
            <w:pPr>
              <w:pStyle w:val="T2"/>
              <w:rPr>
                <w:b/>
              </w:rPr>
            </w:pPr>
            <w:r>
              <w:rPr>
                <w:b/>
              </w:rPr>
              <w:t>(17.3)</w:t>
            </w:r>
          </w:p>
        </w:tc>
        <w:tc>
          <w:tcPr>
            <w:tcW w:w="1139" w:type="dxa"/>
            <w:tcBorders>
              <w:top w:val="nil"/>
              <w:left w:val="nil"/>
              <w:bottom w:val="nil"/>
              <w:right w:val="nil"/>
            </w:tcBorders>
            <w:vAlign w:val="bottom"/>
          </w:tcPr>
          <w:p w14:paraId="3241F74B" w14:textId="77777777" w:rsidR="005B36AA" w:rsidRPr="00E310CE" w:rsidRDefault="005B36AA" w:rsidP="005B36AA">
            <w:pPr>
              <w:pStyle w:val="T2"/>
              <w:rPr>
                <w:b/>
              </w:rPr>
            </w:pPr>
            <w:r>
              <w:rPr>
                <w:b/>
              </w:rPr>
              <w:t>(7.1)</w:t>
            </w:r>
          </w:p>
        </w:tc>
        <w:tc>
          <w:tcPr>
            <w:tcW w:w="1139" w:type="dxa"/>
            <w:tcBorders>
              <w:top w:val="nil"/>
              <w:left w:val="nil"/>
              <w:bottom w:val="nil"/>
              <w:right w:val="nil"/>
            </w:tcBorders>
            <w:vAlign w:val="bottom"/>
          </w:tcPr>
          <w:p w14:paraId="27B8C1E7" w14:textId="77777777" w:rsidR="005B36AA" w:rsidRPr="00E310CE" w:rsidRDefault="005B36AA" w:rsidP="005B36AA">
            <w:pPr>
              <w:pStyle w:val="T2"/>
              <w:rPr>
                <w:b/>
              </w:rPr>
            </w:pPr>
            <w:r>
              <w:rPr>
                <w:b/>
              </w:rPr>
              <w:t>(24.4)</w:t>
            </w:r>
          </w:p>
        </w:tc>
        <w:tc>
          <w:tcPr>
            <w:tcW w:w="1138" w:type="dxa"/>
            <w:gridSpan w:val="2"/>
            <w:tcBorders>
              <w:top w:val="nil"/>
              <w:left w:val="nil"/>
              <w:bottom w:val="nil"/>
              <w:right w:val="nil"/>
            </w:tcBorders>
          </w:tcPr>
          <w:p w14:paraId="75F38398" w14:textId="77777777" w:rsidR="005B36AA" w:rsidRPr="00330817" w:rsidRDefault="005B36AA" w:rsidP="005B36AA">
            <w:pPr>
              <w:jc w:val="right"/>
              <w:rPr>
                <w:sz w:val="18"/>
              </w:rPr>
            </w:pPr>
            <w:r w:rsidRPr="00330817">
              <w:rPr>
                <w:sz w:val="18"/>
              </w:rPr>
              <w:t>(19.7)</w:t>
            </w:r>
          </w:p>
        </w:tc>
        <w:tc>
          <w:tcPr>
            <w:tcW w:w="1139" w:type="dxa"/>
            <w:tcBorders>
              <w:top w:val="nil"/>
              <w:left w:val="nil"/>
              <w:bottom w:val="nil"/>
              <w:right w:val="nil"/>
            </w:tcBorders>
          </w:tcPr>
          <w:p w14:paraId="1A0C65C4" w14:textId="77777777" w:rsidR="005B36AA" w:rsidRPr="00330817" w:rsidRDefault="005B36AA" w:rsidP="005B36AA">
            <w:pPr>
              <w:jc w:val="right"/>
              <w:rPr>
                <w:sz w:val="18"/>
              </w:rPr>
            </w:pPr>
            <w:r w:rsidRPr="00330817">
              <w:rPr>
                <w:sz w:val="18"/>
              </w:rPr>
              <w:t>(25.4)</w:t>
            </w:r>
          </w:p>
        </w:tc>
        <w:tc>
          <w:tcPr>
            <w:tcW w:w="1139" w:type="dxa"/>
            <w:tcBorders>
              <w:top w:val="nil"/>
              <w:left w:val="nil"/>
              <w:bottom w:val="nil"/>
              <w:right w:val="nil"/>
            </w:tcBorders>
          </w:tcPr>
          <w:p w14:paraId="68A8DA4E" w14:textId="77777777" w:rsidR="005B36AA" w:rsidRPr="00330817" w:rsidRDefault="005B36AA" w:rsidP="005B36AA">
            <w:pPr>
              <w:jc w:val="right"/>
              <w:rPr>
                <w:sz w:val="18"/>
              </w:rPr>
            </w:pPr>
            <w:r w:rsidRPr="00330817">
              <w:rPr>
                <w:sz w:val="18"/>
              </w:rPr>
              <w:t>(45.1)</w:t>
            </w:r>
          </w:p>
        </w:tc>
      </w:tr>
      <w:tr w:rsidR="005B36AA" w14:paraId="4B7CB70F" w14:textId="77777777" w:rsidTr="005B36AA">
        <w:tc>
          <w:tcPr>
            <w:tcW w:w="2835" w:type="dxa"/>
            <w:tcBorders>
              <w:top w:val="nil"/>
              <w:left w:val="nil"/>
              <w:bottom w:val="single" w:sz="4" w:space="0" w:color="auto"/>
              <w:right w:val="nil"/>
            </w:tcBorders>
            <w:vAlign w:val="bottom"/>
          </w:tcPr>
          <w:p w14:paraId="16B09179" w14:textId="77777777" w:rsidR="005B36AA" w:rsidRPr="00C65534" w:rsidRDefault="005B36AA" w:rsidP="005B36AA">
            <w:pPr>
              <w:pStyle w:val="TableRowHead"/>
              <w:ind w:right="-225"/>
            </w:pPr>
            <w:r w:rsidRPr="00C65534">
              <w:t>Share of profit of associates after</w:t>
            </w:r>
            <w:r>
              <w:t xml:space="preserve"> </w:t>
            </w:r>
            <w:r w:rsidRPr="00C65534">
              <w:t>tax</w:t>
            </w:r>
          </w:p>
        </w:tc>
        <w:tc>
          <w:tcPr>
            <w:tcW w:w="681" w:type="dxa"/>
            <w:tcBorders>
              <w:top w:val="nil"/>
              <w:left w:val="nil"/>
              <w:bottom w:val="single" w:sz="4" w:space="0" w:color="auto"/>
              <w:right w:val="nil"/>
            </w:tcBorders>
            <w:vAlign w:val="bottom"/>
          </w:tcPr>
          <w:p w14:paraId="0EC99B3D"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67552330" w14:textId="77777777" w:rsidR="005B36AA" w:rsidRPr="00E310CE" w:rsidRDefault="005B36AA" w:rsidP="005B36AA">
            <w:pPr>
              <w:pStyle w:val="T2"/>
              <w:rPr>
                <w:b/>
              </w:rPr>
            </w:pPr>
            <w:r>
              <w:rPr>
                <w:b/>
              </w:rPr>
              <w:t>0.6</w:t>
            </w:r>
          </w:p>
        </w:tc>
        <w:tc>
          <w:tcPr>
            <w:tcW w:w="1139" w:type="dxa"/>
            <w:tcBorders>
              <w:top w:val="nil"/>
              <w:left w:val="nil"/>
              <w:bottom w:val="single" w:sz="4" w:space="0" w:color="auto"/>
              <w:right w:val="nil"/>
            </w:tcBorders>
            <w:vAlign w:val="bottom"/>
          </w:tcPr>
          <w:p w14:paraId="4833D2D6"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72C32E3" w14:textId="77777777" w:rsidR="005B36AA" w:rsidRPr="00E310CE" w:rsidRDefault="005B36AA" w:rsidP="005B36AA">
            <w:pPr>
              <w:pStyle w:val="T2"/>
              <w:rPr>
                <w:b/>
              </w:rPr>
            </w:pPr>
            <w:r>
              <w:rPr>
                <w:b/>
              </w:rPr>
              <w:t>0.6</w:t>
            </w:r>
          </w:p>
        </w:tc>
        <w:tc>
          <w:tcPr>
            <w:tcW w:w="1138" w:type="dxa"/>
            <w:gridSpan w:val="2"/>
            <w:tcBorders>
              <w:top w:val="nil"/>
              <w:left w:val="nil"/>
              <w:bottom w:val="single" w:sz="4" w:space="0" w:color="auto"/>
              <w:right w:val="nil"/>
            </w:tcBorders>
          </w:tcPr>
          <w:p w14:paraId="45A8EB75" w14:textId="77777777" w:rsidR="005B36AA" w:rsidRPr="00330817" w:rsidRDefault="005B36AA" w:rsidP="005B36AA">
            <w:pPr>
              <w:jc w:val="right"/>
              <w:rPr>
                <w:sz w:val="18"/>
              </w:rPr>
            </w:pPr>
            <w:r w:rsidRPr="00330817">
              <w:rPr>
                <w:sz w:val="18"/>
              </w:rPr>
              <w:t>0.9</w:t>
            </w:r>
          </w:p>
        </w:tc>
        <w:tc>
          <w:tcPr>
            <w:tcW w:w="1139" w:type="dxa"/>
            <w:tcBorders>
              <w:top w:val="nil"/>
              <w:left w:val="nil"/>
              <w:bottom w:val="single" w:sz="4" w:space="0" w:color="auto"/>
              <w:right w:val="nil"/>
            </w:tcBorders>
          </w:tcPr>
          <w:p w14:paraId="7C5DBBCB"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32FA6836" w14:textId="77777777" w:rsidR="005B36AA" w:rsidRPr="00330817" w:rsidRDefault="005B36AA" w:rsidP="005B36AA">
            <w:pPr>
              <w:jc w:val="right"/>
              <w:rPr>
                <w:sz w:val="18"/>
              </w:rPr>
            </w:pPr>
            <w:r w:rsidRPr="00330817">
              <w:rPr>
                <w:sz w:val="18"/>
              </w:rPr>
              <w:t>0.9</w:t>
            </w:r>
          </w:p>
        </w:tc>
      </w:tr>
      <w:tr w:rsidR="005B36AA" w14:paraId="40086BFF" w14:textId="77777777" w:rsidTr="005B36AA">
        <w:tc>
          <w:tcPr>
            <w:tcW w:w="2835" w:type="dxa"/>
            <w:tcBorders>
              <w:top w:val="single" w:sz="4" w:space="0" w:color="auto"/>
              <w:left w:val="nil"/>
              <w:bottom w:val="nil"/>
              <w:right w:val="nil"/>
            </w:tcBorders>
            <w:vAlign w:val="bottom"/>
          </w:tcPr>
          <w:p w14:paraId="0A879351" w14:textId="77777777" w:rsidR="005B36AA" w:rsidRPr="008C0A7B" w:rsidRDefault="005B36AA" w:rsidP="005B36AA">
            <w:pPr>
              <w:pStyle w:val="TableRowHead"/>
              <w:rPr>
                <w:b/>
              </w:rPr>
            </w:pPr>
            <w:r w:rsidRPr="008C0A7B">
              <w:rPr>
                <w:b/>
              </w:rPr>
              <w:t>Profit</w:t>
            </w:r>
            <w:r>
              <w:rPr>
                <w:b/>
              </w:rPr>
              <w:t>/(loss)</w:t>
            </w:r>
            <w:r w:rsidRPr="008C0A7B">
              <w:rPr>
                <w:b/>
              </w:rPr>
              <w:t xml:space="preserve"> before taxation</w:t>
            </w:r>
          </w:p>
        </w:tc>
        <w:tc>
          <w:tcPr>
            <w:tcW w:w="681" w:type="dxa"/>
            <w:tcBorders>
              <w:top w:val="single" w:sz="4" w:space="0" w:color="auto"/>
              <w:left w:val="nil"/>
              <w:bottom w:val="nil"/>
              <w:right w:val="nil"/>
            </w:tcBorders>
            <w:vAlign w:val="bottom"/>
          </w:tcPr>
          <w:p w14:paraId="0E2B4E3D"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2E653C66" w14:textId="77777777" w:rsidR="005B36AA" w:rsidRPr="00E310CE" w:rsidRDefault="005B36AA" w:rsidP="005B36AA">
            <w:pPr>
              <w:pStyle w:val="T2"/>
              <w:rPr>
                <w:b/>
              </w:rPr>
            </w:pPr>
            <w:r>
              <w:rPr>
                <w:b/>
              </w:rPr>
              <w:t>12.0</w:t>
            </w:r>
          </w:p>
        </w:tc>
        <w:tc>
          <w:tcPr>
            <w:tcW w:w="1139" w:type="dxa"/>
            <w:tcBorders>
              <w:top w:val="single" w:sz="4" w:space="0" w:color="auto"/>
              <w:left w:val="nil"/>
              <w:bottom w:val="nil"/>
              <w:right w:val="nil"/>
            </w:tcBorders>
            <w:vAlign w:val="bottom"/>
          </w:tcPr>
          <w:p w14:paraId="7CCADE68" w14:textId="77777777" w:rsidR="005B36AA" w:rsidRPr="00E310CE" w:rsidRDefault="005B36AA" w:rsidP="005B36AA">
            <w:pPr>
              <w:pStyle w:val="T2"/>
              <w:rPr>
                <w:b/>
              </w:rPr>
            </w:pPr>
            <w:r>
              <w:rPr>
                <w:b/>
              </w:rPr>
              <w:t>(22.8)</w:t>
            </w:r>
          </w:p>
        </w:tc>
        <w:tc>
          <w:tcPr>
            <w:tcW w:w="1139" w:type="dxa"/>
            <w:tcBorders>
              <w:top w:val="single" w:sz="4" w:space="0" w:color="auto"/>
              <w:left w:val="nil"/>
              <w:bottom w:val="nil"/>
              <w:right w:val="nil"/>
            </w:tcBorders>
            <w:vAlign w:val="bottom"/>
          </w:tcPr>
          <w:p w14:paraId="0DC33551" w14:textId="77777777" w:rsidR="005B36AA" w:rsidRPr="00E310CE" w:rsidRDefault="005B36AA" w:rsidP="005B36AA">
            <w:pPr>
              <w:pStyle w:val="T2"/>
              <w:rPr>
                <w:b/>
              </w:rPr>
            </w:pPr>
            <w:r>
              <w:rPr>
                <w:b/>
              </w:rPr>
              <w:t>(10.8)</w:t>
            </w:r>
          </w:p>
        </w:tc>
        <w:tc>
          <w:tcPr>
            <w:tcW w:w="1138" w:type="dxa"/>
            <w:gridSpan w:val="2"/>
            <w:tcBorders>
              <w:top w:val="single" w:sz="4" w:space="0" w:color="auto"/>
              <w:left w:val="nil"/>
              <w:bottom w:val="nil"/>
              <w:right w:val="nil"/>
            </w:tcBorders>
          </w:tcPr>
          <w:p w14:paraId="14E12FE2" w14:textId="77777777" w:rsidR="005B36AA" w:rsidRPr="00330817" w:rsidRDefault="005B36AA" w:rsidP="005B36AA">
            <w:pPr>
              <w:jc w:val="right"/>
              <w:rPr>
                <w:sz w:val="18"/>
              </w:rPr>
            </w:pPr>
            <w:r w:rsidRPr="00330817">
              <w:rPr>
                <w:sz w:val="18"/>
              </w:rPr>
              <w:t>86.6</w:t>
            </w:r>
          </w:p>
        </w:tc>
        <w:tc>
          <w:tcPr>
            <w:tcW w:w="1139" w:type="dxa"/>
            <w:tcBorders>
              <w:top w:val="single" w:sz="4" w:space="0" w:color="auto"/>
              <w:left w:val="nil"/>
              <w:bottom w:val="nil"/>
              <w:right w:val="nil"/>
            </w:tcBorders>
          </w:tcPr>
          <w:p w14:paraId="1DF6A135" w14:textId="77777777" w:rsidR="005B36AA" w:rsidRPr="00330817" w:rsidRDefault="005B36AA" w:rsidP="005B36AA">
            <w:pPr>
              <w:jc w:val="right"/>
              <w:rPr>
                <w:sz w:val="18"/>
              </w:rPr>
            </w:pPr>
            <w:r w:rsidRPr="00330817">
              <w:rPr>
                <w:sz w:val="18"/>
              </w:rPr>
              <w:t>(30.2)</w:t>
            </w:r>
          </w:p>
        </w:tc>
        <w:tc>
          <w:tcPr>
            <w:tcW w:w="1139" w:type="dxa"/>
            <w:tcBorders>
              <w:top w:val="single" w:sz="4" w:space="0" w:color="auto"/>
              <w:left w:val="nil"/>
              <w:bottom w:val="nil"/>
              <w:right w:val="nil"/>
            </w:tcBorders>
          </w:tcPr>
          <w:p w14:paraId="19933943" w14:textId="77777777" w:rsidR="005B36AA" w:rsidRPr="00330817" w:rsidRDefault="005B36AA" w:rsidP="005B36AA">
            <w:pPr>
              <w:jc w:val="right"/>
              <w:rPr>
                <w:sz w:val="18"/>
              </w:rPr>
            </w:pPr>
            <w:r w:rsidRPr="00330817">
              <w:rPr>
                <w:sz w:val="18"/>
              </w:rPr>
              <w:t>56.4</w:t>
            </w:r>
          </w:p>
        </w:tc>
      </w:tr>
      <w:tr w:rsidR="005B36AA" w14:paraId="4C03CD77" w14:textId="77777777" w:rsidTr="005B36AA">
        <w:tc>
          <w:tcPr>
            <w:tcW w:w="2835" w:type="dxa"/>
            <w:tcBorders>
              <w:top w:val="nil"/>
              <w:left w:val="nil"/>
              <w:bottom w:val="single" w:sz="4" w:space="0" w:color="auto"/>
              <w:right w:val="nil"/>
            </w:tcBorders>
            <w:vAlign w:val="bottom"/>
          </w:tcPr>
          <w:p w14:paraId="1E23F95E" w14:textId="77777777" w:rsidR="005B36AA" w:rsidRPr="00C65534" w:rsidRDefault="005B36AA" w:rsidP="005B36AA">
            <w:pPr>
              <w:pStyle w:val="TableRowHead"/>
            </w:pPr>
            <w:r w:rsidRPr="00C65534">
              <w:t>Taxation</w:t>
            </w:r>
          </w:p>
        </w:tc>
        <w:tc>
          <w:tcPr>
            <w:tcW w:w="681" w:type="dxa"/>
            <w:tcBorders>
              <w:top w:val="nil"/>
              <w:left w:val="nil"/>
              <w:bottom w:val="single" w:sz="4" w:space="0" w:color="auto"/>
              <w:right w:val="nil"/>
            </w:tcBorders>
            <w:vAlign w:val="bottom"/>
          </w:tcPr>
          <w:p w14:paraId="65225BEB"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722D3F3A" w14:textId="77777777" w:rsidR="005B36AA" w:rsidRPr="00E310CE" w:rsidRDefault="005B36AA" w:rsidP="005B36AA">
            <w:pPr>
              <w:pStyle w:val="T2"/>
              <w:rPr>
                <w:b/>
              </w:rPr>
            </w:pPr>
            <w:r>
              <w:rPr>
                <w:b/>
              </w:rPr>
              <w:t>(1.4)</w:t>
            </w:r>
          </w:p>
        </w:tc>
        <w:tc>
          <w:tcPr>
            <w:tcW w:w="1139" w:type="dxa"/>
            <w:tcBorders>
              <w:top w:val="nil"/>
              <w:left w:val="nil"/>
              <w:bottom w:val="single" w:sz="4" w:space="0" w:color="auto"/>
              <w:right w:val="nil"/>
            </w:tcBorders>
            <w:vAlign w:val="bottom"/>
          </w:tcPr>
          <w:p w14:paraId="4CDF93BF" w14:textId="77777777" w:rsidR="005B36AA" w:rsidRPr="00E310CE" w:rsidRDefault="005B36AA" w:rsidP="005B36AA">
            <w:pPr>
              <w:pStyle w:val="T2"/>
              <w:rPr>
                <w:b/>
              </w:rPr>
            </w:pPr>
            <w:r>
              <w:rPr>
                <w:b/>
              </w:rPr>
              <w:t>2.3</w:t>
            </w:r>
          </w:p>
        </w:tc>
        <w:tc>
          <w:tcPr>
            <w:tcW w:w="1139" w:type="dxa"/>
            <w:tcBorders>
              <w:top w:val="nil"/>
              <w:left w:val="nil"/>
              <w:bottom w:val="single" w:sz="4" w:space="0" w:color="auto"/>
              <w:right w:val="nil"/>
            </w:tcBorders>
            <w:vAlign w:val="bottom"/>
          </w:tcPr>
          <w:p w14:paraId="3833F402" w14:textId="77777777" w:rsidR="005B36AA" w:rsidRPr="00E310CE" w:rsidRDefault="005B36AA" w:rsidP="005B36AA">
            <w:pPr>
              <w:pStyle w:val="T2"/>
              <w:rPr>
                <w:b/>
              </w:rPr>
            </w:pPr>
            <w:r>
              <w:rPr>
                <w:b/>
              </w:rPr>
              <w:t>0.9</w:t>
            </w:r>
          </w:p>
        </w:tc>
        <w:tc>
          <w:tcPr>
            <w:tcW w:w="1138" w:type="dxa"/>
            <w:gridSpan w:val="2"/>
            <w:tcBorders>
              <w:top w:val="nil"/>
              <w:left w:val="nil"/>
              <w:bottom w:val="single" w:sz="4" w:space="0" w:color="auto"/>
              <w:right w:val="nil"/>
            </w:tcBorders>
          </w:tcPr>
          <w:p w14:paraId="3C24C09A" w14:textId="77777777" w:rsidR="005B36AA" w:rsidRPr="00330817" w:rsidRDefault="005B36AA" w:rsidP="005B36AA">
            <w:pPr>
              <w:jc w:val="right"/>
              <w:rPr>
                <w:sz w:val="18"/>
              </w:rPr>
            </w:pPr>
            <w:r w:rsidRPr="00330817">
              <w:rPr>
                <w:sz w:val="18"/>
              </w:rPr>
              <w:t>(13.2)</w:t>
            </w:r>
          </w:p>
        </w:tc>
        <w:tc>
          <w:tcPr>
            <w:tcW w:w="1139" w:type="dxa"/>
            <w:tcBorders>
              <w:top w:val="nil"/>
              <w:left w:val="nil"/>
              <w:bottom w:val="single" w:sz="4" w:space="0" w:color="auto"/>
              <w:right w:val="nil"/>
            </w:tcBorders>
          </w:tcPr>
          <w:p w14:paraId="68FD9F8C" w14:textId="77777777" w:rsidR="005B36AA" w:rsidRPr="00330817" w:rsidRDefault="005B36AA" w:rsidP="005B36AA">
            <w:pPr>
              <w:jc w:val="right"/>
              <w:rPr>
                <w:sz w:val="18"/>
              </w:rPr>
            </w:pPr>
            <w:r w:rsidRPr="00330817">
              <w:rPr>
                <w:sz w:val="18"/>
              </w:rPr>
              <w:t>0.2</w:t>
            </w:r>
          </w:p>
        </w:tc>
        <w:tc>
          <w:tcPr>
            <w:tcW w:w="1139" w:type="dxa"/>
            <w:tcBorders>
              <w:top w:val="nil"/>
              <w:left w:val="nil"/>
              <w:bottom w:val="single" w:sz="4" w:space="0" w:color="auto"/>
              <w:right w:val="nil"/>
            </w:tcBorders>
          </w:tcPr>
          <w:p w14:paraId="64DEA243" w14:textId="77777777" w:rsidR="005B36AA" w:rsidRPr="00330817" w:rsidRDefault="005B36AA" w:rsidP="005B36AA">
            <w:pPr>
              <w:jc w:val="right"/>
              <w:rPr>
                <w:sz w:val="18"/>
              </w:rPr>
            </w:pPr>
            <w:r w:rsidRPr="00330817">
              <w:rPr>
                <w:sz w:val="18"/>
              </w:rPr>
              <w:t>(13.0)</w:t>
            </w:r>
          </w:p>
        </w:tc>
      </w:tr>
      <w:tr w:rsidR="005B36AA" w14:paraId="247E721F" w14:textId="77777777" w:rsidTr="005B36AA">
        <w:tc>
          <w:tcPr>
            <w:tcW w:w="2835" w:type="dxa"/>
            <w:tcBorders>
              <w:top w:val="single" w:sz="4" w:space="0" w:color="auto"/>
              <w:left w:val="nil"/>
              <w:bottom w:val="single" w:sz="4" w:space="0" w:color="auto"/>
              <w:right w:val="nil"/>
            </w:tcBorders>
            <w:vAlign w:val="bottom"/>
          </w:tcPr>
          <w:p w14:paraId="48EE2200" w14:textId="77777777" w:rsidR="005B36AA" w:rsidRPr="001F6BCC" w:rsidRDefault="005B36AA" w:rsidP="005B36AA">
            <w:pPr>
              <w:pStyle w:val="TableRowHead"/>
              <w:rPr>
                <w:b/>
              </w:rPr>
            </w:pPr>
            <w:r w:rsidRPr="001F6BCC">
              <w:rPr>
                <w:b/>
              </w:rPr>
              <w:t>Profit for the period from continuing operations</w:t>
            </w:r>
          </w:p>
        </w:tc>
        <w:tc>
          <w:tcPr>
            <w:tcW w:w="681" w:type="dxa"/>
            <w:tcBorders>
              <w:top w:val="single" w:sz="4" w:space="0" w:color="auto"/>
              <w:left w:val="nil"/>
              <w:bottom w:val="single" w:sz="4" w:space="0" w:color="auto"/>
              <w:right w:val="nil"/>
            </w:tcBorders>
            <w:vAlign w:val="bottom"/>
          </w:tcPr>
          <w:p w14:paraId="729B36AF" w14:textId="77777777" w:rsidR="005B36AA" w:rsidRPr="00211290" w:rsidRDefault="005B36AA" w:rsidP="005B36AA">
            <w:pPr>
              <w:jc w:val="right"/>
              <w:rPr>
                <w:sz w:val="18"/>
                <w:szCs w:val="18"/>
              </w:rPr>
            </w:pPr>
          </w:p>
        </w:tc>
        <w:tc>
          <w:tcPr>
            <w:tcW w:w="1138" w:type="dxa"/>
            <w:tcBorders>
              <w:top w:val="single" w:sz="4" w:space="0" w:color="auto"/>
              <w:left w:val="nil"/>
              <w:bottom w:val="single" w:sz="4" w:space="0" w:color="auto"/>
              <w:right w:val="nil"/>
            </w:tcBorders>
            <w:vAlign w:val="bottom"/>
          </w:tcPr>
          <w:p w14:paraId="478DCBDD" w14:textId="77777777" w:rsidR="005B36AA" w:rsidRPr="00E310CE" w:rsidRDefault="005B36AA" w:rsidP="005B36AA">
            <w:pPr>
              <w:pStyle w:val="T2"/>
              <w:rPr>
                <w:b/>
              </w:rPr>
            </w:pPr>
            <w:r>
              <w:rPr>
                <w:b/>
              </w:rPr>
              <w:t>10.6</w:t>
            </w:r>
          </w:p>
        </w:tc>
        <w:tc>
          <w:tcPr>
            <w:tcW w:w="1139" w:type="dxa"/>
            <w:tcBorders>
              <w:top w:val="single" w:sz="4" w:space="0" w:color="auto"/>
              <w:left w:val="nil"/>
              <w:bottom w:val="single" w:sz="4" w:space="0" w:color="auto"/>
              <w:right w:val="nil"/>
            </w:tcBorders>
            <w:vAlign w:val="bottom"/>
          </w:tcPr>
          <w:p w14:paraId="25D2B388" w14:textId="77777777" w:rsidR="005B36AA" w:rsidRPr="00E310CE" w:rsidRDefault="005B36AA" w:rsidP="005B36AA">
            <w:pPr>
              <w:pStyle w:val="T2"/>
              <w:rPr>
                <w:b/>
              </w:rPr>
            </w:pPr>
            <w:r>
              <w:rPr>
                <w:b/>
              </w:rPr>
              <w:t>(20.5)</w:t>
            </w:r>
          </w:p>
        </w:tc>
        <w:tc>
          <w:tcPr>
            <w:tcW w:w="1139" w:type="dxa"/>
            <w:tcBorders>
              <w:top w:val="single" w:sz="4" w:space="0" w:color="auto"/>
              <w:left w:val="nil"/>
              <w:bottom w:val="single" w:sz="4" w:space="0" w:color="auto"/>
              <w:right w:val="nil"/>
            </w:tcBorders>
            <w:vAlign w:val="bottom"/>
          </w:tcPr>
          <w:p w14:paraId="1F3E1E82"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4" w:space="0" w:color="auto"/>
              <w:right w:val="nil"/>
            </w:tcBorders>
            <w:vAlign w:val="bottom"/>
          </w:tcPr>
          <w:p w14:paraId="2D251A40" w14:textId="77777777" w:rsidR="005B36AA" w:rsidRPr="00330817" w:rsidRDefault="005B36AA" w:rsidP="005B36AA">
            <w:pPr>
              <w:jc w:val="right"/>
              <w:rPr>
                <w:sz w:val="18"/>
              </w:rPr>
            </w:pPr>
            <w:r w:rsidRPr="00330817">
              <w:rPr>
                <w:sz w:val="18"/>
              </w:rPr>
              <w:t>73.4</w:t>
            </w:r>
          </w:p>
        </w:tc>
        <w:tc>
          <w:tcPr>
            <w:tcW w:w="1139" w:type="dxa"/>
            <w:tcBorders>
              <w:top w:val="single" w:sz="4" w:space="0" w:color="auto"/>
              <w:left w:val="nil"/>
              <w:bottom w:val="single" w:sz="4" w:space="0" w:color="auto"/>
              <w:right w:val="nil"/>
            </w:tcBorders>
            <w:vAlign w:val="bottom"/>
          </w:tcPr>
          <w:p w14:paraId="036CC57F" w14:textId="77777777" w:rsidR="005B36AA" w:rsidRPr="00330817" w:rsidRDefault="005B36AA" w:rsidP="005B36AA">
            <w:pPr>
              <w:jc w:val="right"/>
              <w:rPr>
                <w:sz w:val="18"/>
              </w:rPr>
            </w:pPr>
            <w:r w:rsidRPr="00330817">
              <w:rPr>
                <w:sz w:val="18"/>
              </w:rPr>
              <w:t>(30.0)</w:t>
            </w:r>
          </w:p>
        </w:tc>
        <w:tc>
          <w:tcPr>
            <w:tcW w:w="1139" w:type="dxa"/>
            <w:tcBorders>
              <w:top w:val="single" w:sz="4" w:space="0" w:color="auto"/>
              <w:left w:val="nil"/>
              <w:bottom w:val="single" w:sz="4" w:space="0" w:color="auto"/>
              <w:right w:val="nil"/>
            </w:tcBorders>
            <w:vAlign w:val="bottom"/>
          </w:tcPr>
          <w:p w14:paraId="7EE14E1C" w14:textId="77777777" w:rsidR="005B36AA" w:rsidRPr="00330817" w:rsidRDefault="005B36AA" w:rsidP="005B36AA">
            <w:pPr>
              <w:jc w:val="right"/>
              <w:rPr>
                <w:sz w:val="18"/>
              </w:rPr>
            </w:pPr>
            <w:r w:rsidRPr="00330817">
              <w:rPr>
                <w:sz w:val="18"/>
              </w:rPr>
              <w:t>43.4</w:t>
            </w:r>
          </w:p>
        </w:tc>
      </w:tr>
      <w:tr w:rsidR="005B36AA" w14:paraId="3BB97DF3" w14:textId="77777777" w:rsidTr="005B36AA">
        <w:tc>
          <w:tcPr>
            <w:tcW w:w="2835" w:type="dxa"/>
            <w:tcBorders>
              <w:top w:val="single" w:sz="4" w:space="0" w:color="auto"/>
              <w:left w:val="nil"/>
              <w:bottom w:val="nil"/>
              <w:right w:val="nil"/>
            </w:tcBorders>
            <w:vAlign w:val="bottom"/>
          </w:tcPr>
          <w:p w14:paraId="21ECE31C" w14:textId="77777777" w:rsidR="005B36AA" w:rsidRPr="001F6BCC" w:rsidRDefault="005B36AA" w:rsidP="005B36AA">
            <w:pPr>
              <w:pStyle w:val="TableRowHead"/>
              <w:rPr>
                <w:b/>
              </w:rPr>
            </w:pPr>
            <w:r w:rsidRPr="001F6BCC">
              <w:rPr>
                <w:b/>
              </w:rPr>
              <w:t>Discontinued Operations</w:t>
            </w:r>
          </w:p>
        </w:tc>
        <w:tc>
          <w:tcPr>
            <w:tcW w:w="681" w:type="dxa"/>
            <w:tcBorders>
              <w:top w:val="single" w:sz="4" w:space="0" w:color="auto"/>
              <w:left w:val="nil"/>
              <w:bottom w:val="nil"/>
              <w:right w:val="nil"/>
            </w:tcBorders>
            <w:vAlign w:val="bottom"/>
          </w:tcPr>
          <w:p w14:paraId="17D16677"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5754AD09" w14:textId="77777777" w:rsidR="005B36AA" w:rsidRPr="00E310CE" w:rsidRDefault="005B36AA" w:rsidP="005B36AA">
            <w:pPr>
              <w:pStyle w:val="T2"/>
              <w:rPr>
                <w:b/>
              </w:rPr>
            </w:pPr>
          </w:p>
        </w:tc>
        <w:tc>
          <w:tcPr>
            <w:tcW w:w="1139" w:type="dxa"/>
            <w:tcBorders>
              <w:top w:val="single" w:sz="4" w:space="0" w:color="auto"/>
              <w:left w:val="nil"/>
              <w:bottom w:val="nil"/>
              <w:right w:val="nil"/>
            </w:tcBorders>
            <w:vAlign w:val="bottom"/>
          </w:tcPr>
          <w:p w14:paraId="667F08E2" w14:textId="77777777" w:rsidR="005B36AA" w:rsidRPr="00E310CE" w:rsidRDefault="005B36AA" w:rsidP="005B36AA">
            <w:pPr>
              <w:pStyle w:val="T2"/>
              <w:rPr>
                <w:b/>
              </w:rPr>
            </w:pPr>
          </w:p>
        </w:tc>
        <w:tc>
          <w:tcPr>
            <w:tcW w:w="1139" w:type="dxa"/>
            <w:tcBorders>
              <w:top w:val="single" w:sz="4" w:space="0" w:color="auto"/>
              <w:left w:val="nil"/>
              <w:bottom w:val="nil"/>
              <w:right w:val="nil"/>
            </w:tcBorders>
            <w:vAlign w:val="bottom"/>
          </w:tcPr>
          <w:p w14:paraId="3284C568" w14:textId="77777777" w:rsidR="005B36AA" w:rsidRPr="00E310CE" w:rsidRDefault="005B36AA" w:rsidP="005B36AA">
            <w:pPr>
              <w:pStyle w:val="T2"/>
              <w:rPr>
                <w:b/>
              </w:rPr>
            </w:pPr>
          </w:p>
        </w:tc>
        <w:tc>
          <w:tcPr>
            <w:tcW w:w="1138" w:type="dxa"/>
            <w:gridSpan w:val="2"/>
            <w:tcBorders>
              <w:top w:val="single" w:sz="4" w:space="0" w:color="auto"/>
              <w:left w:val="nil"/>
              <w:bottom w:val="nil"/>
              <w:right w:val="nil"/>
            </w:tcBorders>
          </w:tcPr>
          <w:p w14:paraId="2A95F190" w14:textId="77777777" w:rsidR="005B36AA" w:rsidRPr="00330817" w:rsidRDefault="005B36AA" w:rsidP="005B36AA">
            <w:pPr>
              <w:jc w:val="right"/>
              <w:rPr>
                <w:sz w:val="18"/>
              </w:rPr>
            </w:pPr>
          </w:p>
        </w:tc>
        <w:tc>
          <w:tcPr>
            <w:tcW w:w="1139" w:type="dxa"/>
            <w:tcBorders>
              <w:top w:val="single" w:sz="4" w:space="0" w:color="auto"/>
              <w:left w:val="nil"/>
              <w:bottom w:val="nil"/>
              <w:right w:val="nil"/>
            </w:tcBorders>
          </w:tcPr>
          <w:p w14:paraId="5560DF6D" w14:textId="77777777" w:rsidR="005B36AA" w:rsidRPr="00330817" w:rsidRDefault="005B36AA" w:rsidP="005B36AA">
            <w:pPr>
              <w:jc w:val="right"/>
              <w:rPr>
                <w:sz w:val="18"/>
              </w:rPr>
            </w:pPr>
          </w:p>
        </w:tc>
        <w:tc>
          <w:tcPr>
            <w:tcW w:w="1139" w:type="dxa"/>
            <w:tcBorders>
              <w:top w:val="single" w:sz="4" w:space="0" w:color="auto"/>
              <w:left w:val="nil"/>
              <w:bottom w:val="nil"/>
              <w:right w:val="nil"/>
            </w:tcBorders>
          </w:tcPr>
          <w:p w14:paraId="006848B2" w14:textId="77777777" w:rsidR="005B36AA" w:rsidRPr="00330817" w:rsidRDefault="005B36AA" w:rsidP="005B36AA">
            <w:pPr>
              <w:jc w:val="right"/>
              <w:rPr>
                <w:sz w:val="18"/>
              </w:rPr>
            </w:pPr>
          </w:p>
        </w:tc>
      </w:tr>
      <w:tr w:rsidR="005B36AA" w14:paraId="38143ED6" w14:textId="77777777" w:rsidTr="005B36AA">
        <w:tc>
          <w:tcPr>
            <w:tcW w:w="2835" w:type="dxa"/>
            <w:tcBorders>
              <w:top w:val="nil"/>
              <w:left w:val="nil"/>
              <w:bottom w:val="single" w:sz="4" w:space="0" w:color="auto"/>
              <w:right w:val="nil"/>
            </w:tcBorders>
            <w:vAlign w:val="bottom"/>
          </w:tcPr>
          <w:p w14:paraId="5621B057" w14:textId="77777777" w:rsidR="005B36AA" w:rsidRPr="001F6BCC" w:rsidRDefault="005B36AA" w:rsidP="005B36AA">
            <w:pPr>
              <w:pStyle w:val="TableRowHead"/>
            </w:pPr>
            <w:r w:rsidRPr="001F6BCC">
              <w:t>Result from discontinued operations</w:t>
            </w:r>
          </w:p>
        </w:tc>
        <w:tc>
          <w:tcPr>
            <w:tcW w:w="681" w:type="dxa"/>
            <w:tcBorders>
              <w:top w:val="nil"/>
              <w:left w:val="nil"/>
              <w:bottom w:val="single" w:sz="4" w:space="0" w:color="auto"/>
              <w:right w:val="nil"/>
            </w:tcBorders>
            <w:vAlign w:val="bottom"/>
          </w:tcPr>
          <w:p w14:paraId="6576D265"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1A724FE6"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2E6FF0EA"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177A09FE" w14:textId="77777777" w:rsidR="005B36AA" w:rsidRPr="00E310CE" w:rsidRDefault="005B36AA" w:rsidP="005B36AA">
            <w:pPr>
              <w:pStyle w:val="T2"/>
              <w:rPr>
                <w:b/>
              </w:rPr>
            </w:pPr>
            <w:r w:rsidRPr="006D1884">
              <w:rPr>
                <w:b/>
              </w:rPr>
              <w:t>–</w:t>
            </w:r>
          </w:p>
        </w:tc>
        <w:tc>
          <w:tcPr>
            <w:tcW w:w="1138" w:type="dxa"/>
            <w:gridSpan w:val="2"/>
            <w:tcBorders>
              <w:top w:val="nil"/>
              <w:left w:val="nil"/>
              <w:bottom w:val="single" w:sz="4" w:space="0" w:color="auto"/>
              <w:right w:val="nil"/>
            </w:tcBorders>
            <w:vAlign w:val="bottom"/>
          </w:tcPr>
          <w:p w14:paraId="3FDE059A" w14:textId="77777777" w:rsidR="005B36AA" w:rsidRPr="00330817" w:rsidRDefault="005B36AA" w:rsidP="005B36AA">
            <w:pPr>
              <w:jc w:val="right"/>
              <w:rPr>
                <w:sz w:val="18"/>
              </w:rPr>
            </w:pPr>
            <w:r w:rsidRPr="00330817">
              <w:rPr>
                <w:sz w:val="18"/>
              </w:rPr>
              <w:t>8.9</w:t>
            </w:r>
          </w:p>
        </w:tc>
        <w:tc>
          <w:tcPr>
            <w:tcW w:w="1139" w:type="dxa"/>
            <w:tcBorders>
              <w:top w:val="nil"/>
              <w:left w:val="nil"/>
              <w:bottom w:val="single" w:sz="4" w:space="0" w:color="auto"/>
              <w:right w:val="nil"/>
            </w:tcBorders>
            <w:vAlign w:val="bottom"/>
          </w:tcPr>
          <w:p w14:paraId="4389C4DB" w14:textId="77777777" w:rsidR="005B36AA" w:rsidRPr="00330817" w:rsidRDefault="005B36AA" w:rsidP="005B36AA">
            <w:pPr>
              <w:jc w:val="right"/>
              <w:rPr>
                <w:sz w:val="18"/>
              </w:rPr>
            </w:pPr>
            <w:r w:rsidRPr="00330817">
              <w:rPr>
                <w:sz w:val="18"/>
              </w:rPr>
              <w:t>55.9</w:t>
            </w:r>
          </w:p>
        </w:tc>
        <w:tc>
          <w:tcPr>
            <w:tcW w:w="1139" w:type="dxa"/>
            <w:tcBorders>
              <w:top w:val="nil"/>
              <w:left w:val="nil"/>
              <w:bottom w:val="single" w:sz="4" w:space="0" w:color="auto"/>
              <w:right w:val="nil"/>
            </w:tcBorders>
            <w:vAlign w:val="bottom"/>
          </w:tcPr>
          <w:p w14:paraId="1751CC38" w14:textId="77777777" w:rsidR="005B36AA" w:rsidRPr="00330817" w:rsidRDefault="005B36AA" w:rsidP="005B36AA">
            <w:pPr>
              <w:jc w:val="right"/>
              <w:rPr>
                <w:sz w:val="18"/>
              </w:rPr>
            </w:pPr>
            <w:r w:rsidRPr="00330817">
              <w:rPr>
                <w:sz w:val="18"/>
              </w:rPr>
              <w:t>64.8</w:t>
            </w:r>
          </w:p>
        </w:tc>
      </w:tr>
      <w:tr w:rsidR="005B36AA" w14:paraId="02C917C5" w14:textId="77777777" w:rsidTr="005B36AA">
        <w:tc>
          <w:tcPr>
            <w:tcW w:w="2835" w:type="dxa"/>
            <w:tcBorders>
              <w:top w:val="single" w:sz="4" w:space="0" w:color="auto"/>
              <w:left w:val="nil"/>
              <w:bottom w:val="single" w:sz="8" w:space="0" w:color="auto"/>
              <w:right w:val="nil"/>
            </w:tcBorders>
            <w:vAlign w:val="bottom"/>
          </w:tcPr>
          <w:p w14:paraId="7BBB5DF2" w14:textId="77777777" w:rsidR="005B36AA" w:rsidRPr="008C0A7B" w:rsidRDefault="005B36AA" w:rsidP="005B36AA">
            <w:pPr>
              <w:pStyle w:val="TableRowHead"/>
              <w:rPr>
                <w:b/>
              </w:rPr>
            </w:pPr>
            <w:r>
              <w:rPr>
                <w:b/>
              </w:rPr>
              <w:t>P</w:t>
            </w:r>
            <w:r w:rsidRPr="008C0A7B">
              <w:rPr>
                <w:b/>
              </w:rPr>
              <w:t>rofit</w:t>
            </w:r>
            <w:r>
              <w:rPr>
                <w:b/>
              </w:rPr>
              <w:t>/(loss)</w:t>
            </w:r>
            <w:r w:rsidRPr="008C0A7B">
              <w:rPr>
                <w:b/>
              </w:rPr>
              <w:t xml:space="preserve"> for the financial year</w:t>
            </w:r>
          </w:p>
        </w:tc>
        <w:tc>
          <w:tcPr>
            <w:tcW w:w="681" w:type="dxa"/>
            <w:tcBorders>
              <w:top w:val="single" w:sz="4" w:space="0" w:color="auto"/>
              <w:left w:val="nil"/>
              <w:bottom w:val="single" w:sz="8" w:space="0" w:color="auto"/>
              <w:right w:val="nil"/>
            </w:tcBorders>
            <w:vAlign w:val="bottom"/>
          </w:tcPr>
          <w:p w14:paraId="5E1014AF" w14:textId="77777777" w:rsidR="005B36AA" w:rsidRPr="00635D3B" w:rsidRDefault="005B36AA" w:rsidP="005B36AA">
            <w:pPr>
              <w:jc w:val="right"/>
              <w:rPr>
                <w:sz w:val="18"/>
                <w:szCs w:val="18"/>
                <w:highlight w:val="yellow"/>
              </w:rPr>
            </w:pPr>
          </w:p>
        </w:tc>
        <w:tc>
          <w:tcPr>
            <w:tcW w:w="1138" w:type="dxa"/>
            <w:tcBorders>
              <w:top w:val="single" w:sz="4" w:space="0" w:color="auto"/>
              <w:left w:val="nil"/>
              <w:bottom w:val="single" w:sz="8" w:space="0" w:color="auto"/>
              <w:right w:val="nil"/>
            </w:tcBorders>
            <w:vAlign w:val="bottom"/>
          </w:tcPr>
          <w:p w14:paraId="29F65C83" w14:textId="77777777" w:rsidR="005B36AA" w:rsidRPr="00E310CE" w:rsidRDefault="005B36AA" w:rsidP="005B36AA">
            <w:pPr>
              <w:pStyle w:val="T2"/>
              <w:rPr>
                <w:b/>
              </w:rPr>
            </w:pPr>
            <w:r>
              <w:rPr>
                <w:b/>
              </w:rPr>
              <w:t>10.6</w:t>
            </w:r>
          </w:p>
        </w:tc>
        <w:tc>
          <w:tcPr>
            <w:tcW w:w="1139" w:type="dxa"/>
            <w:tcBorders>
              <w:top w:val="single" w:sz="4" w:space="0" w:color="auto"/>
              <w:left w:val="nil"/>
              <w:bottom w:val="single" w:sz="8" w:space="0" w:color="auto"/>
              <w:right w:val="nil"/>
            </w:tcBorders>
            <w:vAlign w:val="bottom"/>
          </w:tcPr>
          <w:p w14:paraId="6B47C662" w14:textId="77777777" w:rsidR="005B36AA" w:rsidRPr="00E310CE" w:rsidRDefault="005B36AA" w:rsidP="005B36AA">
            <w:pPr>
              <w:pStyle w:val="T2"/>
              <w:rPr>
                <w:b/>
              </w:rPr>
            </w:pPr>
            <w:r>
              <w:rPr>
                <w:b/>
              </w:rPr>
              <w:t>(20.5)</w:t>
            </w:r>
          </w:p>
        </w:tc>
        <w:tc>
          <w:tcPr>
            <w:tcW w:w="1139" w:type="dxa"/>
            <w:tcBorders>
              <w:top w:val="single" w:sz="4" w:space="0" w:color="auto"/>
              <w:left w:val="nil"/>
              <w:bottom w:val="single" w:sz="8" w:space="0" w:color="auto"/>
              <w:right w:val="nil"/>
            </w:tcBorders>
            <w:vAlign w:val="bottom"/>
          </w:tcPr>
          <w:p w14:paraId="3B9291AB"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8" w:space="0" w:color="auto"/>
              <w:right w:val="nil"/>
            </w:tcBorders>
          </w:tcPr>
          <w:p w14:paraId="00EB0E8A" w14:textId="77777777" w:rsidR="005B36AA" w:rsidRPr="00330817" w:rsidRDefault="005B36AA" w:rsidP="005B36AA">
            <w:pPr>
              <w:jc w:val="right"/>
              <w:rPr>
                <w:sz w:val="18"/>
              </w:rPr>
            </w:pPr>
            <w:r w:rsidRPr="00330817">
              <w:rPr>
                <w:sz w:val="18"/>
              </w:rPr>
              <w:t>82.3</w:t>
            </w:r>
          </w:p>
        </w:tc>
        <w:tc>
          <w:tcPr>
            <w:tcW w:w="1139" w:type="dxa"/>
            <w:tcBorders>
              <w:top w:val="single" w:sz="4" w:space="0" w:color="auto"/>
              <w:left w:val="nil"/>
              <w:bottom w:val="single" w:sz="8" w:space="0" w:color="auto"/>
              <w:right w:val="nil"/>
            </w:tcBorders>
          </w:tcPr>
          <w:p w14:paraId="54996733" w14:textId="77777777" w:rsidR="005B36AA" w:rsidRPr="00330817" w:rsidRDefault="005B36AA" w:rsidP="005B36AA">
            <w:pPr>
              <w:jc w:val="right"/>
              <w:rPr>
                <w:sz w:val="18"/>
              </w:rPr>
            </w:pPr>
            <w:r w:rsidRPr="00330817">
              <w:rPr>
                <w:sz w:val="18"/>
              </w:rPr>
              <w:t>25.9</w:t>
            </w:r>
          </w:p>
        </w:tc>
        <w:tc>
          <w:tcPr>
            <w:tcW w:w="1139" w:type="dxa"/>
            <w:tcBorders>
              <w:top w:val="single" w:sz="4" w:space="0" w:color="auto"/>
              <w:left w:val="nil"/>
              <w:bottom w:val="single" w:sz="8" w:space="0" w:color="auto"/>
              <w:right w:val="nil"/>
            </w:tcBorders>
          </w:tcPr>
          <w:p w14:paraId="1C18E9AB" w14:textId="77777777" w:rsidR="005B36AA" w:rsidRPr="00330817" w:rsidRDefault="005B36AA" w:rsidP="005B36AA">
            <w:pPr>
              <w:jc w:val="right"/>
              <w:rPr>
                <w:sz w:val="18"/>
              </w:rPr>
            </w:pPr>
            <w:r w:rsidRPr="00330817">
              <w:rPr>
                <w:sz w:val="18"/>
              </w:rPr>
              <w:t>108.2</w:t>
            </w:r>
          </w:p>
        </w:tc>
      </w:tr>
      <w:tr w:rsidR="005B36AA" w14:paraId="6F3C4492" w14:textId="77777777" w:rsidTr="005B36AA">
        <w:tc>
          <w:tcPr>
            <w:tcW w:w="2835" w:type="dxa"/>
            <w:tcBorders>
              <w:top w:val="single" w:sz="8" w:space="0" w:color="auto"/>
              <w:left w:val="nil"/>
              <w:bottom w:val="nil"/>
              <w:right w:val="nil"/>
            </w:tcBorders>
            <w:vAlign w:val="bottom"/>
          </w:tcPr>
          <w:p w14:paraId="77A1A174" w14:textId="77777777" w:rsidR="005B36AA" w:rsidRPr="00323878" w:rsidRDefault="005B36AA" w:rsidP="005B36AA">
            <w:pPr>
              <w:pStyle w:val="TableRowHead"/>
            </w:pPr>
          </w:p>
        </w:tc>
        <w:tc>
          <w:tcPr>
            <w:tcW w:w="681" w:type="dxa"/>
            <w:tcBorders>
              <w:top w:val="single" w:sz="8" w:space="0" w:color="auto"/>
              <w:left w:val="nil"/>
              <w:bottom w:val="nil"/>
              <w:right w:val="nil"/>
            </w:tcBorders>
            <w:vAlign w:val="bottom"/>
          </w:tcPr>
          <w:p w14:paraId="0EBBC486" w14:textId="77777777" w:rsidR="005B36AA" w:rsidRPr="00635D3B" w:rsidRDefault="005B36AA" w:rsidP="005B36AA">
            <w:pPr>
              <w:jc w:val="right"/>
              <w:rPr>
                <w:sz w:val="18"/>
                <w:szCs w:val="18"/>
                <w:highlight w:val="yellow"/>
              </w:rPr>
            </w:pPr>
          </w:p>
        </w:tc>
        <w:tc>
          <w:tcPr>
            <w:tcW w:w="1138" w:type="dxa"/>
            <w:tcBorders>
              <w:top w:val="single" w:sz="8" w:space="0" w:color="auto"/>
              <w:left w:val="nil"/>
              <w:bottom w:val="nil"/>
              <w:right w:val="nil"/>
            </w:tcBorders>
            <w:vAlign w:val="bottom"/>
          </w:tcPr>
          <w:p w14:paraId="546F09F1" w14:textId="77777777" w:rsidR="005B36AA" w:rsidRPr="00E310CE" w:rsidRDefault="005B36AA" w:rsidP="005B36AA">
            <w:pPr>
              <w:pStyle w:val="T2"/>
              <w:rPr>
                <w:b/>
              </w:rPr>
            </w:pPr>
          </w:p>
        </w:tc>
        <w:tc>
          <w:tcPr>
            <w:tcW w:w="1139" w:type="dxa"/>
            <w:tcBorders>
              <w:top w:val="single" w:sz="8" w:space="0" w:color="auto"/>
              <w:left w:val="nil"/>
              <w:bottom w:val="nil"/>
              <w:right w:val="nil"/>
            </w:tcBorders>
            <w:vAlign w:val="bottom"/>
          </w:tcPr>
          <w:p w14:paraId="42DD4468" w14:textId="77777777" w:rsidR="005B36AA" w:rsidRPr="00E310CE" w:rsidRDefault="005B36AA" w:rsidP="005B36AA">
            <w:pPr>
              <w:pStyle w:val="T2"/>
              <w:rPr>
                <w:b/>
              </w:rPr>
            </w:pPr>
          </w:p>
        </w:tc>
        <w:tc>
          <w:tcPr>
            <w:tcW w:w="1139" w:type="dxa"/>
            <w:tcBorders>
              <w:top w:val="single" w:sz="8" w:space="0" w:color="auto"/>
              <w:left w:val="nil"/>
              <w:bottom w:val="nil"/>
              <w:right w:val="nil"/>
            </w:tcBorders>
            <w:vAlign w:val="bottom"/>
          </w:tcPr>
          <w:p w14:paraId="3D962C2A" w14:textId="77777777" w:rsidR="005B36AA" w:rsidRPr="00E310CE" w:rsidRDefault="005B36AA" w:rsidP="005B36AA">
            <w:pPr>
              <w:pStyle w:val="T2"/>
              <w:rPr>
                <w:b/>
              </w:rPr>
            </w:pPr>
          </w:p>
        </w:tc>
        <w:tc>
          <w:tcPr>
            <w:tcW w:w="1138" w:type="dxa"/>
            <w:gridSpan w:val="2"/>
            <w:tcBorders>
              <w:top w:val="single" w:sz="8" w:space="0" w:color="auto"/>
              <w:left w:val="nil"/>
              <w:bottom w:val="nil"/>
              <w:right w:val="nil"/>
            </w:tcBorders>
          </w:tcPr>
          <w:p w14:paraId="45290DB1" w14:textId="77777777" w:rsidR="005B36AA" w:rsidRPr="00330817" w:rsidRDefault="005B36AA" w:rsidP="005B36AA">
            <w:pPr>
              <w:jc w:val="right"/>
              <w:rPr>
                <w:sz w:val="18"/>
              </w:rPr>
            </w:pPr>
          </w:p>
        </w:tc>
        <w:tc>
          <w:tcPr>
            <w:tcW w:w="1139" w:type="dxa"/>
            <w:tcBorders>
              <w:top w:val="single" w:sz="8" w:space="0" w:color="auto"/>
              <w:left w:val="nil"/>
              <w:bottom w:val="nil"/>
              <w:right w:val="nil"/>
            </w:tcBorders>
          </w:tcPr>
          <w:p w14:paraId="52FF0F40" w14:textId="77777777" w:rsidR="005B36AA" w:rsidRPr="00330817" w:rsidRDefault="005B36AA" w:rsidP="005B36AA">
            <w:pPr>
              <w:jc w:val="right"/>
              <w:rPr>
                <w:sz w:val="18"/>
              </w:rPr>
            </w:pPr>
          </w:p>
        </w:tc>
        <w:tc>
          <w:tcPr>
            <w:tcW w:w="1139" w:type="dxa"/>
            <w:tcBorders>
              <w:top w:val="single" w:sz="8" w:space="0" w:color="auto"/>
              <w:left w:val="nil"/>
              <w:bottom w:val="nil"/>
              <w:right w:val="nil"/>
            </w:tcBorders>
          </w:tcPr>
          <w:p w14:paraId="1DF8DCD3" w14:textId="77777777" w:rsidR="005B36AA" w:rsidRPr="00330817" w:rsidRDefault="005B36AA" w:rsidP="005B36AA">
            <w:pPr>
              <w:jc w:val="right"/>
              <w:rPr>
                <w:sz w:val="18"/>
              </w:rPr>
            </w:pPr>
          </w:p>
        </w:tc>
      </w:tr>
      <w:tr w:rsidR="005B36AA" w14:paraId="51513659" w14:textId="77777777" w:rsidTr="005B36AA">
        <w:tc>
          <w:tcPr>
            <w:tcW w:w="2835" w:type="dxa"/>
            <w:tcBorders>
              <w:top w:val="nil"/>
              <w:left w:val="nil"/>
              <w:bottom w:val="nil"/>
              <w:right w:val="nil"/>
            </w:tcBorders>
            <w:vAlign w:val="bottom"/>
          </w:tcPr>
          <w:p w14:paraId="761F7E89" w14:textId="77777777" w:rsidR="005B36AA" w:rsidRPr="008C0A7B" w:rsidRDefault="005B36AA" w:rsidP="005B36AA">
            <w:pPr>
              <w:pStyle w:val="TableRowHead"/>
              <w:rPr>
                <w:b/>
              </w:rPr>
            </w:pPr>
            <w:r w:rsidRPr="008C0A7B">
              <w:rPr>
                <w:b/>
              </w:rPr>
              <w:t>Attributable to:</w:t>
            </w:r>
          </w:p>
        </w:tc>
        <w:tc>
          <w:tcPr>
            <w:tcW w:w="681" w:type="dxa"/>
            <w:tcBorders>
              <w:top w:val="nil"/>
              <w:left w:val="nil"/>
              <w:bottom w:val="nil"/>
              <w:right w:val="nil"/>
            </w:tcBorders>
            <w:vAlign w:val="bottom"/>
          </w:tcPr>
          <w:p w14:paraId="31464462" w14:textId="77777777" w:rsidR="005B36AA" w:rsidRPr="00635D3B" w:rsidRDefault="005B36AA" w:rsidP="005B36AA">
            <w:pPr>
              <w:jc w:val="right"/>
              <w:rPr>
                <w:sz w:val="18"/>
                <w:szCs w:val="18"/>
                <w:highlight w:val="yellow"/>
              </w:rPr>
            </w:pPr>
          </w:p>
        </w:tc>
        <w:tc>
          <w:tcPr>
            <w:tcW w:w="1138" w:type="dxa"/>
            <w:tcBorders>
              <w:top w:val="nil"/>
              <w:left w:val="nil"/>
              <w:bottom w:val="nil"/>
              <w:right w:val="nil"/>
            </w:tcBorders>
            <w:vAlign w:val="bottom"/>
          </w:tcPr>
          <w:p w14:paraId="6FBA2BC1"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542D883E"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71D0998C" w14:textId="77777777" w:rsidR="005B36AA" w:rsidRPr="00E310CE" w:rsidRDefault="005B36AA" w:rsidP="005B36AA">
            <w:pPr>
              <w:pStyle w:val="T2"/>
              <w:rPr>
                <w:b/>
              </w:rPr>
            </w:pPr>
          </w:p>
        </w:tc>
        <w:tc>
          <w:tcPr>
            <w:tcW w:w="1138" w:type="dxa"/>
            <w:gridSpan w:val="2"/>
            <w:tcBorders>
              <w:top w:val="nil"/>
              <w:left w:val="nil"/>
              <w:bottom w:val="nil"/>
              <w:right w:val="nil"/>
            </w:tcBorders>
          </w:tcPr>
          <w:p w14:paraId="6A9F86B2" w14:textId="77777777" w:rsidR="005B36AA" w:rsidRPr="00330817" w:rsidRDefault="005B36AA" w:rsidP="005B36AA">
            <w:pPr>
              <w:jc w:val="right"/>
              <w:rPr>
                <w:sz w:val="18"/>
              </w:rPr>
            </w:pPr>
          </w:p>
        </w:tc>
        <w:tc>
          <w:tcPr>
            <w:tcW w:w="1139" w:type="dxa"/>
            <w:tcBorders>
              <w:top w:val="nil"/>
              <w:left w:val="nil"/>
              <w:bottom w:val="nil"/>
              <w:right w:val="nil"/>
            </w:tcBorders>
          </w:tcPr>
          <w:p w14:paraId="04FF37CE" w14:textId="77777777" w:rsidR="005B36AA" w:rsidRPr="00330817" w:rsidRDefault="005B36AA" w:rsidP="005B36AA">
            <w:pPr>
              <w:jc w:val="right"/>
              <w:rPr>
                <w:sz w:val="18"/>
              </w:rPr>
            </w:pPr>
          </w:p>
        </w:tc>
        <w:tc>
          <w:tcPr>
            <w:tcW w:w="1139" w:type="dxa"/>
            <w:tcBorders>
              <w:top w:val="nil"/>
              <w:left w:val="nil"/>
              <w:bottom w:val="nil"/>
              <w:right w:val="nil"/>
            </w:tcBorders>
          </w:tcPr>
          <w:p w14:paraId="4E0C84D8" w14:textId="77777777" w:rsidR="005B36AA" w:rsidRPr="00330817" w:rsidRDefault="005B36AA" w:rsidP="005B36AA">
            <w:pPr>
              <w:jc w:val="right"/>
              <w:rPr>
                <w:sz w:val="18"/>
              </w:rPr>
            </w:pPr>
          </w:p>
        </w:tc>
      </w:tr>
      <w:tr w:rsidR="005B36AA" w14:paraId="248E6CC5" w14:textId="77777777" w:rsidTr="005B36AA">
        <w:tc>
          <w:tcPr>
            <w:tcW w:w="2835" w:type="dxa"/>
            <w:tcBorders>
              <w:top w:val="nil"/>
              <w:left w:val="nil"/>
              <w:right w:val="nil"/>
            </w:tcBorders>
            <w:vAlign w:val="bottom"/>
          </w:tcPr>
          <w:p w14:paraId="339ED30B" w14:textId="77777777" w:rsidR="005B36AA" w:rsidRPr="00196A88" w:rsidRDefault="005B36AA" w:rsidP="005B36AA">
            <w:pPr>
              <w:pStyle w:val="TableRowHead"/>
            </w:pPr>
            <w:r w:rsidRPr="00196A88">
              <w:t>Equity shareholders</w:t>
            </w:r>
          </w:p>
        </w:tc>
        <w:tc>
          <w:tcPr>
            <w:tcW w:w="681" w:type="dxa"/>
            <w:tcBorders>
              <w:top w:val="nil"/>
              <w:left w:val="nil"/>
              <w:right w:val="nil"/>
            </w:tcBorders>
            <w:vAlign w:val="bottom"/>
          </w:tcPr>
          <w:p w14:paraId="6F13173F" w14:textId="77777777" w:rsidR="005B36AA" w:rsidRPr="00635D3B" w:rsidRDefault="005B36AA" w:rsidP="005B36AA">
            <w:pPr>
              <w:jc w:val="right"/>
              <w:rPr>
                <w:sz w:val="18"/>
                <w:szCs w:val="18"/>
                <w:highlight w:val="yellow"/>
              </w:rPr>
            </w:pPr>
          </w:p>
        </w:tc>
        <w:tc>
          <w:tcPr>
            <w:tcW w:w="1138" w:type="dxa"/>
            <w:tcBorders>
              <w:top w:val="nil"/>
              <w:left w:val="nil"/>
              <w:right w:val="nil"/>
            </w:tcBorders>
            <w:vAlign w:val="bottom"/>
          </w:tcPr>
          <w:p w14:paraId="4A6FCC50" w14:textId="77777777" w:rsidR="005B36AA" w:rsidRPr="00E310CE" w:rsidRDefault="005B36AA" w:rsidP="005B36AA">
            <w:pPr>
              <w:pStyle w:val="T2"/>
              <w:rPr>
                <w:b/>
              </w:rPr>
            </w:pPr>
            <w:r>
              <w:rPr>
                <w:b/>
              </w:rPr>
              <w:t>9.0</w:t>
            </w:r>
          </w:p>
        </w:tc>
        <w:tc>
          <w:tcPr>
            <w:tcW w:w="1139" w:type="dxa"/>
            <w:tcBorders>
              <w:top w:val="nil"/>
              <w:left w:val="nil"/>
              <w:right w:val="nil"/>
            </w:tcBorders>
            <w:vAlign w:val="bottom"/>
          </w:tcPr>
          <w:p w14:paraId="3DFDFFCA" w14:textId="77777777" w:rsidR="005B36AA" w:rsidRPr="00E310CE" w:rsidRDefault="005B36AA" w:rsidP="005B36AA">
            <w:pPr>
              <w:pStyle w:val="T2"/>
              <w:rPr>
                <w:b/>
              </w:rPr>
            </w:pPr>
            <w:r>
              <w:rPr>
                <w:b/>
              </w:rPr>
              <w:t>(20.5)</w:t>
            </w:r>
          </w:p>
        </w:tc>
        <w:tc>
          <w:tcPr>
            <w:tcW w:w="1139" w:type="dxa"/>
            <w:tcBorders>
              <w:top w:val="nil"/>
              <w:left w:val="nil"/>
              <w:right w:val="nil"/>
            </w:tcBorders>
            <w:vAlign w:val="bottom"/>
          </w:tcPr>
          <w:p w14:paraId="544AC358" w14:textId="77777777" w:rsidR="005B36AA" w:rsidRPr="00E310CE" w:rsidRDefault="005B36AA" w:rsidP="005B36AA">
            <w:pPr>
              <w:pStyle w:val="T2"/>
              <w:rPr>
                <w:b/>
              </w:rPr>
            </w:pPr>
            <w:r>
              <w:rPr>
                <w:b/>
              </w:rPr>
              <w:t>(11.5)</w:t>
            </w:r>
          </w:p>
        </w:tc>
        <w:tc>
          <w:tcPr>
            <w:tcW w:w="1138" w:type="dxa"/>
            <w:gridSpan w:val="2"/>
            <w:tcBorders>
              <w:top w:val="nil"/>
              <w:left w:val="nil"/>
              <w:right w:val="nil"/>
            </w:tcBorders>
          </w:tcPr>
          <w:p w14:paraId="5334F470" w14:textId="77777777" w:rsidR="005B36AA" w:rsidRPr="00330817" w:rsidRDefault="005B36AA" w:rsidP="005B36AA">
            <w:pPr>
              <w:jc w:val="right"/>
              <w:rPr>
                <w:sz w:val="18"/>
              </w:rPr>
            </w:pPr>
            <w:r w:rsidRPr="00330817">
              <w:rPr>
                <w:sz w:val="18"/>
              </w:rPr>
              <w:t>80.1</w:t>
            </w:r>
          </w:p>
        </w:tc>
        <w:tc>
          <w:tcPr>
            <w:tcW w:w="1139" w:type="dxa"/>
            <w:tcBorders>
              <w:top w:val="nil"/>
              <w:left w:val="nil"/>
              <w:right w:val="nil"/>
            </w:tcBorders>
          </w:tcPr>
          <w:p w14:paraId="319254FD" w14:textId="77777777" w:rsidR="005B36AA" w:rsidRPr="00330817" w:rsidRDefault="005B36AA" w:rsidP="005B36AA">
            <w:pPr>
              <w:jc w:val="right"/>
              <w:rPr>
                <w:sz w:val="18"/>
              </w:rPr>
            </w:pPr>
            <w:r w:rsidRPr="00330817">
              <w:rPr>
                <w:sz w:val="18"/>
              </w:rPr>
              <w:t>25.9</w:t>
            </w:r>
          </w:p>
        </w:tc>
        <w:tc>
          <w:tcPr>
            <w:tcW w:w="1139" w:type="dxa"/>
            <w:tcBorders>
              <w:top w:val="nil"/>
              <w:left w:val="nil"/>
              <w:right w:val="nil"/>
            </w:tcBorders>
          </w:tcPr>
          <w:p w14:paraId="55D341C1" w14:textId="77777777" w:rsidR="005B36AA" w:rsidRPr="00330817" w:rsidRDefault="005B36AA" w:rsidP="005B36AA">
            <w:pPr>
              <w:jc w:val="right"/>
              <w:rPr>
                <w:sz w:val="18"/>
              </w:rPr>
            </w:pPr>
            <w:r w:rsidRPr="00330817">
              <w:rPr>
                <w:sz w:val="18"/>
              </w:rPr>
              <w:t>106.0</w:t>
            </w:r>
          </w:p>
        </w:tc>
      </w:tr>
      <w:tr w:rsidR="005B36AA" w14:paraId="449CD6D5" w14:textId="77777777" w:rsidTr="005B36AA">
        <w:tc>
          <w:tcPr>
            <w:tcW w:w="2835" w:type="dxa"/>
            <w:tcBorders>
              <w:top w:val="nil"/>
              <w:left w:val="nil"/>
              <w:bottom w:val="single" w:sz="4" w:space="0" w:color="auto"/>
              <w:right w:val="nil"/>
            </w:tcBorders>
            <w:vAlign w:val="bottom"/>
          </w:tcPr>
          <w:p w14:paraId="06EF8B60" w14:textId="77777777" w:rsidR="005B36AA" w:rsidRDefault="005B36AA" w:rsidP="005B36AA">
            <w:pPr>
              <w:pStyle w:val="TableRowHead"/>
            </w:pPr>
            <w:r w:rsidRPr="00196A88">
              <w:t>Non-controlling interests</w:t>
            </w:r>
          </w:p>
        </w:tc>
        <w:tc>
          <w:tcPr>
            <w:tcW w:w="681" w:type="dxa"/>
            <w:tcBorders>
              <w:top w:val="nil"/>
              <w:left w:val="nil"/>
              <w:bottom w:val="single" w:sz="4" w:space="0" w:color="auto"/>
              <w:right w:val="nil"/>
            </w:tcBorders>
            <w:vAlign w:val="bottom"/>
          </w:tcPr>
          <w:p w14:paraId="2EC29221" w14:textId="77777777" w:rsidR="005B36AA" w:rsidRPr="00635D3B" w:rsidRDefault="005B36AA" w:rsidP="005B36AA">
            <w:pPr>
              <w:jc w:val="right"/>
              <w:rPr>
                <w:sz w:val="18"/>
                <w:szCs w:val="18"/>
                <w:highlight w:val="yellow"/>
              </w:rPr>
            </w:pPr>
          </w:p>
        </w:tc>
        <w:tc>
          <w:tcPr>
            <w:tcW w:w="1138" w:type="dxa"/>
            <w:tcBorders>
              <w:top w:val="nil"/>
              <w:left w:val="nil"/>
              <w:bottom w:val="single" w:sz="4" w:space="0" w:color="auto"/>
              <w:right w:val="nil"/>
            </w:tcBorders>
            <w:vAlign w:val="bottom"/>
          </w:tcPr>
          <w:p w14:paraId="796CD4ED" w14:textId="77777777" w:rsidR="005B36AA" w:rsidRPr="00E310CE" w:rsidRDefault="005B36AA" w:rsidP="005B36AA">
            <w:pPr>
              <w:pStyle w:val="T2"/>
              <w:rPr>
                <w:b/>
              </w:rPr>
            </w:pPr>
            <w:r>
              <w:rPr>
                <w:b/>
              </w:rPr>
              <w:t>1.6</w:t>
            </w:r>
          </w:p>
        </w:tc>
        <w:tc>
          <w:tcPr>
            <w:tcW w:w="1139" w:type="dxa"/>
            <w:tcBorders>
              <w:top w:val="nil"/>
              <w:left w:val="nil"/>
              <w:bottom w:val="single" w:sz="4" w:space="0" w:color="auto"/>
              <w:right w:val="nil"/>
            </w:tcBorders>
            <w:vAlign w:val="bottom"/>
          </w:tcPr>
          <w:p w14:paraId="5F31793D"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804FDCB" w14:textId="77777777" w:rsidR="005B36AA" w:rsidRPr="00E310CE" w:rsidRDefault="005B36AA" w:rsidP="005B36AA">
            <w:pPr>
              <w:pStyle w:val="T2"/>
              <w:rPr>
                <w:b/>
              </w:rPr>
            </w:pPr>
            <w:r>
              <w:rPr>
                <w:b/>
              </w:rPr>
              <w:t>1.6</w:t>
            </w:r>
          </w:p>
        </w:tc>
        <w:tc>
          <w:tcPr>
            <w:tcW w:w="1138" w:type="dxa"/>
            <w:gridSpan w:val="2"/>
            <w:tcBorders>
              <w:top w:val="nil"/>
              <w:left w:val="nil"/>
              <w:bottom w:val="single" w:sz="4" w:space="0" w:color="auto"/>
              <w:right w:val="nil"/>
            </w:tcBorders>
          </w:tcPr>
          <w:p w14:paraId="4289060D" w14:textId="77777777" w:rsidR="005B36AA" w:rsidRPr="00330817" w:rsidRDefault="005B36AA" w:rsidP="005B36AA">
            <w:pPr>
              <w:jc w:val="right"/>
              <w:rPr>
                <w:sz w:val="18"/>
              </w:rPr>
            </w:pPr>
            <w:r w:rsidRPr="00330817">
              <w:rPr>
                <w:sz w:val="18"/>
              </w:rPr>
              <w:t>2.2</w:t>
            </w:r>
          </w:p>
        </w:tc>
        <w:tc>
          <w:tcPr>
            <w:tcW w:w="1139" w:type="dxa"/>
            <w:tcBorders>
              <w:top w:val="nil"/>
              <w:left w:val="nil"/>
              <w:bottom w:val="single" w:sz="4" w:space="0" w:color="auto"/>
              <w:right w:val="nil"/>
            </w:tcBorders>
          </w:tcPr>
          <w:p w14:paraId="1DB9E822"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000B17CD" w14:textId="77777777" w:rsidR="005B36AA" w:rsidRPr="00330817" w:rsidRDefault="005B36AA" w:rsidP="005B36AA">
            <w:pPr>
              <w:jc w:val="right"/>
              <w:rPr>
                <w:sz w:val="18"/>
              </w:rPr>
            </w:pPr>
            <w:r w:rsidRPr="00330817">
              <w:rPr>
                <w:sz w:val="18"/>
              </w:rPr>
              <w:t>2.2</w:t>
            </w:r>
          </w:p>
        </w:tc>
      </w:tr>
      <w:tr w:rsidR="005B36AA" w14:paraId="42738BEF" w14:textId="77777777" w:rsidTr="005B36AA">
        <w:tc>
          <w:tcPr>
            <w:tcW w:w="2835" w:type="dxa"/>
            <w:tcBorders>
              <w:top w:val="single" w:sz="4" w:space="0" w:color="auto"/>
              <w:left w:val="nil"/>
              <w:bottom w:val="single" w:sz="8" w:space="0" w:color="auto"/>
              <w:right w:val="nil"/>
            </w:tcBorders>
            <w:vAlign w:val="bottom"/>
          </w:tcPr>
          <w:p w14:paraId="4FEA8E88" w14:textId="77777777" w:rsidR="005B36AA" w:rsidRPr="00196A88" w:rsidRDefault="005B36AA" w:rsidP="005B36AA">
            <w:pPr>
              <w:pStyle w:val="TableRowHead"/>
            </w:pPr>
          </w:p>
        </w:tc>
        <w:tc>
          <w:tcPr>
            <w:tcW w:w="681" w:type="dxa"/>
            <w:tcBorders>
              <w:top w:val="single" w:sz="4" w:space="0" w:color="auto"/>
              <w:left w:val="nil"/>
              <w:bottom w:val="single" w:sz="8" w:space="0" w:color="auto"/>
              <w:right w:val="nil"/>
            </w:tcBorders>
            <w:vAlign w:val="bottom"/>
          </w:tcPr>
          <w:p w14:paraId="746AE71F" w14:textId="77777777" w:rsidR="005B36AA" w:rsidRPr="00E8718C" w:rsidRDefault="005B36AA" w:rsidP="005B36AA">
            <w:pPr>
              <w:jc w:val="right"/>
              <w:rPr>
                <w:sz w:val="18"/>
                <w:szCs w:val="18"/>
              </w:rPr>
            </w:pPr>
          </w:p>
        </w:tc>
        <w:tc>
          <w:tcPr>
            <w:tcW w:w="1138" w:type="dxa"/>
            <w:tcBorders>
              <w:top w:val="single" w:sz="4" w:space="0" w:color="auto"/>
              <w:left w:val="nil"/>
              <w:bottom w:val="single" w:sz="8" w:space="0" w:color="auto"/>
              <w:right w:val="nil"/>
            </w:tcBorders>
            <w:vAlign w:val="bottom"/>
          </w:tcPr>
          <w:p w14:paraId="443189CC" w14:textId="77777777" w:rsidR="005B36AA" w:rsidRPr="00E310CE" w:rsidRDefault="005B36AA" w:rsidP="005B36AA">
            <w:pPr>
              <w:pStyle w:val="T2"/>
              <w:rPr>
                <w:b/>
              </w:rPr>
            </w:pPr>
            <w:r>
              <w:rPr>
                <w:b/>
              </w:rPr>
              <w:t>10.6</w:t>
            </w:r>
          </w:p>
        </w:tc>
        <w:tc>
          <w:tcPr>
            <w:tcW w:w="1139" w:type="dxa"/>
            <w:tcBorders>
              <w:top w:val="single" w:sz="4" w:space="0" w:color="auto"/>
              <w:left w:val="nil"/>
              <w:bottom w:val="single" w:sz="8" w:space="0" w:color="auto"/>
              <w:right w:val="nil"/>
            </w:tcBorders>
            <w:vAlign w:val="bottom"/>
          </w:tcPr>
          <w:p w14:paraId="3B802290" w14:textId="77777777" w:rsidR="005B36AA" w:rsidRPr="00E310CE" w:rsidRDefault="005B36AA" w:rsidP="005B36AA">
            <w:pPr>
              <w:pStyle w:val="T2"/>
              <w:rPr>
                <w:b/>
              </w:rPr>
            </w:pPr>
            <w:r>
              <w:rPr>
                <w:b/>
              </w:rPr>
              <w:t>(20.5)</w:t>
            </w:r>
          </w:p>
        </w:tc>
        <w:tc>
          <w:tcPr>
            <w:tcW w:w="1139" w:type="dxa"/>
            <w:tcBorders>
              <w:top w:val="single" w:sz="4" w:space="0" w:color="auto"/>
              <w:left w:val="nil"/>
              <w:bottom w:val="single" w:sz="8" w:space="0" w:color="auto"/>
              <w:right w:val="nil"/>
            </w:tcBorders>
            <w:vAlign w:val="bottom"/>
          </w:tcPr>
          <w:p w14:paraId="3DBAC4C8"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8" w:space="0" w:color="auto"/>
              <w:right w:val="nil"/>
            </w:tcBorders>
          </w:tcPr>
          <w:p w14:paraId="411BF7A9" w14:textId="77777777" w:rsidR="005B36AA" w:rsidRPr="00330817" w:rsidRDefault="005B36AA" w:rsidP="005B36AA">
            <w:pPr>
              <w:jc w:val="right"/>
              <w:rPr>
                <w:sz w:val="18"/>
              </w:rPr>
            </w:pPr>
            <w:r w:rsidRPr="00330817">
              <w:rPr>
                <w:sz w:val="18"/>
              </w:rPr>
              <w:t>82.3</w:t>
            </w:r>
          </w:p>
        </w:tc>
        <w:tc>
          <w:tcPr>
            <w:tcW w:w="1139" w:type="dxa"/>
            <w:tcBorders>
              <w:top w:val="single" w:sz="4" w:space="0" w:color="auto"/>
              <w:left w:val="nil"/>
              <w:bottom w:val="single" w:sz="8" w:space="0" w:color="auto"/>
              <w:right w:val="nil"/>
            </w:tcBorders>
          </w:tcPr>
          <w:p w14:paraId="68F8E16A" w14:textId="77777777" w:rsidR="005B36AA" w:rsidRPr="00330817" w:rsidRDefault="005B36AA" w:rsidP="005B36AA">
            <w:pPr>
              <w:jc w:val="right"/>
              <w:rPr>
                <w:sz w:val="18"/>
              </w:rPr>
            </w:pPr>
            <w:r w:rsidRPr="00330817">
              <w:rPr>
                <w:sz w:val="18"/>
              </w:rPr>
              <w:t>25.9</w:t>
            </w:r>
          </w:p>
        </w:tc>
        <w:tc>
          <w:tcPr>
            <w:tcW w:w="1139" w:type="dxa"/>
            <w:tcBorders>
              <w:top w:val="single" w:sz="4" w:space="0" w:color="auto"/>
              <w:left w:val="nil"/>
              <w:bottom w:val="single" w:sz="8" w:space="0" w:color="auto"/>
              <w:right w:val="nil"/>
            </w:tcBorders>
          </w:tcPr>
          <w:p w14:paraId="2EEC833D" w14:textId="77777777" w:rsidR="005B36AA" w:rsidRPr="00330817" w:rsidRDefault="005B36AA" w:rsidP="005B36AA">
            <w:pPr>
              <w:jc w:val="right"/>
              <w:rPr>
                <w:sz w:val="18"/>
              </w:rPr>
            </w:pPr>
            <w:r w:rsidRPr="00330817">
              <w:rPr>
                <w:sz w:val="18"/>
              </w:rPr>
              <w:t>108.2</w:t>
            </w:r>
          </w:p>
        </w:tc>
      </w:tr>
      <w:tr w:rsidR="005B36AA" w14:paraId="7522704C" w14:textId="77777777" w:rsidTr="005B36AA">
        <w:tc>
          <w:tcPr>
            <w:tcW w:w="2835" w:type="dxa"/>
            <w:tcBorders>
              <w:top w:val="single" w:sz="8" w:space="0" w:color="auto"/>
              <w:left w:val="nil"/>
              <w:right w:val="nil"/>
            </w:tcBorders>
            <w:vAlign w:val="bottom"/>
          </w:tcPr>
          <w:p w14:paraId="65CC2251" w14:textId="77777777" w:rsidR="005B36AA" w:rsidRPr="00DA5C62" w:rsidRDefault="005B36AA" w:rsidP="005B36AA">
            <w:pPr>
              <w:pStyle w:val="TableRowHead"/>
            </w:pPr>
          </w:p>
        </w:tc>
        <w:tc>
          <w:tcPr>
            <w:tcW w:w="681" w:type="dxa"/>
            <w:tcBorders>
              <w:top w:val="single" w:sz="8" w:space="0" w:color="auto"/>
              <w:left w:val="nil"/>
              <w:right w:val="nil"/>
            </w:tcBorders>
            <w:vAlign w:val="bottom"/>
          </w:tcPr>
          <w:p w14:paraId="634D7D1A" w14:textId="77777777" w:rsidR="005B36AA" w:rsidRPr="00E8718C" w:rsidRDefault="005B36AA" w:rsidP="005B36AA">
            <w:pPr>
              <w:jc w:val="right"/>
              <w:rPr>
                <w:sz w:val="18"/>
                <w:szCs w:val="18"/>
              </w:rPr>
            </w:pPr>
          </w:p>
        </w:tc>
        <w:tc>
          <w:tcPr>
            <w:tcW w:w="1138" w:type="dxa"/>
            <w:tcBorders>
              <w:top w:val="single" w:sz="8" w:space="0" w:color="auto"/>
              <w:left w:val="nil"/>
              <w:right w:val="nil"/>
            </w:tcBorders>
            <w:vAlign w:val="bottom"/>
          </w:tcPr>
          <w:p w14:paraId="2EC53C11"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5F9E280C"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51734653" w14:textId="77777777" w:rsidR="005B36AA" w:rsidRPr="00E310CE" w:rsidRDefault="005B36AA" w:rsidP="005B36AA">
            <w:pPr>
              <w:pStyle w:val="T2"/>
              <w:rPr>
                <w:b/>
              </w:rPr>
            </w:pPr>
          </w:p>
        </w:tc>
        <w:tc>
          <w:tcPr>
            <w:tcW w:w="1138" w:type="dxa"/>
            <w:gridSpan w:val="2"/>
            <w:tcBorders>
              <w:top w:val="single" w:sz="8" w:space="0" w:color="auto"/>
              <w:left w:val="nil"/>
              <w:right w:val="nil"/>
            </w:tcBorders>
            <w:vAlign w:val="bottom"/>
          </w:tcPr>
          <w:p w14:paraId="4E5DC28E" w14:textId="77777777" w:rsidR="005B36AA" w:rsidRPr="00D90904" w:rsidRDefault="005B36AA" w:rsidP="005B36AA">
            <w:pPr>
              <w:pStyle w:val="T2"/>
            </w:pPr>
          </w:p>
        </w:tc>
        <w:tc>
          <w:tcPr>
            <w:tcW w:w="1139" w:type="dxa"/>
            <w:tcBorders>
              <w:top w:val="single" w:sz="8" w:space="0" w:color="auto"/>
              <w:left w:val="nil"/>
              <w:right w:val="nil"/>
            </w:tcBorders>
            <w:vAlign w:val="bottom"/>
          </w:tcPr>
          <w:p w14:paraId="7DFDAAB5" w14:textId="77777777" w:rsidR="005B36AA" w:rsidRPr="00D90904" w:rsidRDefault="005B36AA" w:rsidP="005B36AA">
            <w:pPr>
              <w:pStyle w:val="T2"/>
            </w:pPr>
          </w:p>
        </w:tc>
        <w:tc>
          <w:tcPr>
            <w:tcW w:w="1139" w:type="dxa"/>
            <w:tcBorders>
              <w:top w:val="single" w:sz="8" w:space="0" w:color="auto"/>
              <w:left w:val="nil"/>
              <w:right w:val="nil"/>
            </w:tcBorders>
            <w:vAlign w:val="bottom"/>
          </w:tcPr>
          <w:p w14:paraId="078ADBE4" w14:textId="77777777" w:rsidR="005B36AA" w:rsidRPr="00D90904" w:rsidRDefault="005B36AA" w:rsidP="005B36AA">
            <w:pPr>
              <w:pStyle w:val="T2"/>
            </w:pPr>
          </w:p>
        </w:tc>
      </w:tr>
      <w:tr w:rsidR="005B36AA" w14:paraId="06C180E5" w14:textId="77777777" w:rsidTr="005B36AA">
        <w:tc>
          <w:tcPr>
            <w:tcW w:w="10348" w:type="dxa"/>
            <w:gridSpan w:val="9"/>
            <w:tcBorders>
              <w:left w:val="nil"/>
              <w:bottom w:val="nil"/>
              <w:right w:val="nil"/>
            </w:tcBorders>
            <w:vAlign w:val="bottom"/>
          </w:tcPr>
          <w:p w14:paraId="453B15D6" w14:textId="77777777" w:rsidR="005B36AA" w:rsidRPr="00D90904" w:rsidRDefault="005B36AA" w:rsidP="005B36AA">
            <w:pPr>
              <w:pStyle w:val="T2"/>
              <w:jc w:val="left"/>
            </w:pPr>
            <w:r w:rsidRPr="00E310CE">
              <w:rPr>
                <w:b/>
              </w:rPr>
              <w:t>Earnings per share (pence) – continuing operations</w:t>
            </w:r>
          </w:p>
        </w:tc>
      </w:tr>
      <w:tr w:rsidR="005B36AA" w14:paraId="334ED744" w14:textId="77777777" w:rsidTr="005B36AA">
        <w:trPr>
          <w:trHeight w:val="80"/>
        </w:trPr>
        <w:tc>
          <w:tcPr>
            <w:tcW w:w="2835" w:type="dxa"/>
            <w:tcBorders>
              <w:top w:val="nil"/>
              <w:left w:val="nil"/>
              <w:bottom w:val="nil"/>
              <w:right w:val="nil"/>
            </w:tcBorders>
            <w:vAlign w:val="bottom"/>
          </w:tcPr>
          <w:p w14:paraId="487A95FA" w14:textId="77777777" w:rsidR="005B36AA" w:rsidRPr="00827814" w:rsidRDefault="005B36AA" w:rsidP="005B36AA">
            <w:pPr>
              <w:pStyle w:val="TableRowHead"/>
            </w:pPr>
            <w:r w:rsidRPr="00827814">
              <w:lastRenderedPageBreak/>
              <w:t>Basic earnings per share</w:t>
            </w:r>
          </w:p>
        </w:tc>
        <w:tc>
          <w:tcPr>
            <w:tcW w:w="681" w:type="dxa"/>
            <w:tcBorders>
              <w:top w:val="nil"/>
              <w:left w:val="nil"/>
              <w:bottom w:val="nil"/>
              <w:right w:val="nil"/>
            </w:tcBorders>
            <w:vAlign w:val="bottom"/>
          </w:tcPr>
          <w:p w14:paraId="21D867EC"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nil"/>
              <w:right w:val="nil"/>
            </w:tcBorders>
            <w:vAlign w:val="bottom"/>
          </w:tcPr>
          <w:p w14:paraId="061782E2"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4F04C9C7"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05BDC18C" w14:textId="77777777" w:rsidR="005B36AA" w:rsidRPr="0005005D" w:rsidRDefault="005B36AA" w:rsidP="005B36AA">
            <w:pPr>
              <w:pStyle w:val="T2"/>
              <w:rPr>
                <w:b/>
              </w:rPr>
            </w:pPr>
            <w:r w:rsidRPr="0005005D">
              <w:rPr>
                <w:b/>
              </w:rPr>
              <w:t>(2.6)</w:t>
            </w:r>
          </w:p>
        </w:tc>
        <w:tc>
          <w:tcPr>
            <w:tcW w:w="1138" w:type="dxa"/>
            <w:gridSpan w:val="2"/>
            <w:tcBorders>
              <w:top w:val="nil"/>
              <w:left w:val="nil"/>
              <w:bottom w:val="nil"/>
              <w:right w:val="nil"/>
            </w:tcBorders>
            <w:vAlign w:val="bottom"/>
          </w:tcPr>
          <w:p w14:paraId="5BB6BAB3" w14:textId="77777777" w:rsidR="005B36AA" w:rsidRPr="00D90904" w:rsidRDefault="005B36AA" w:rsidP="005B36AA">
            <w:pPr>
              <w:pStyle w:val="T2"/>
            </w:pPr>
          </w:p>
        </w:tc>
        <w:tc>
          <w:tcPr>
            <w:tcW w:w="1139" w:type="dxa"/>
            <w:tcBorders>
              <w:top w:val="nil"/>
              <w:left w:val="nil"/>
              <w:bottom w:val="nil"/>
              <w:right w:val="nil"/>
            </w:tcBorders>
            <w:vAlign w:val="bottom"/>
          </w:tcPr>
          <w:p w14:paraId="0C2550A1" w14:textId="77777777" w:rsidR="005B36AA" w:rsidRPr="00D90904" w:rsidRDefault="005B36AA" w:rsidP="005B36AA">
            <w:pPr>
              <w:pStyle w:val="T2"/>
            </w:pPr>
          </w:p>
        </w:tc>
        <w:tc>
          <w:tcPr>
            <w:tcW w:w="1139" w:type="dxa"/>
            <w:tcBorders>
              <w:top w:val="nil"/>
              <w:left w:val="nil"/>
              <w:bottom w:val="nil"/>
              <w:right w:val="nil"/>
            </w:tcBorders>
            <w:vAlign w:val="bottom"/>
          </w:tcPr>
          <w:p w14:paraId="0E92DDAC" w14:textId="77777777" w:rsidR="005B36AA" w:rsidRPr="00D90904" w:rsidRDefault="005B36AA" w:rsidP="005B36AA">
            <w:pPr>
              <w:pStyle w:val="T2"/>
            </w:pPr>
            <w:r>
              <w:t>7.7</w:t>
            </w:r>
          </w:p>
        </w:tc>
      </w:tr>
      <w:tr w:rsidR="005B36AA" w14:paraId="54150BA1" w14:textId="77777777" w:rsidTr="005B36AA">
        <w:tc>
          <w:tcPr>
            <w:tcW w:w="2835" w:type="dxa"/>
            <w:tcBorders>
              <w:top w:val="nil"/>
              <w:left w:val="nil"/>
              <w:bottom w:val="single" w:sz="4" w:space="0" w:color="auto"/>
              <w:right w:val="nil"/>
            </w:tcBorders>
            <w:vAlign w:val="bottom"/>
          </w:tcPr>
          <w:p w14:paraId="72A525FD" w14:textId="77777777" w:rsidR="005B36AA" w:rsidRDefault="005B36AA" w:rsidP="005B36AA">
            <w:pPr>
              <w:pStyle w:val="TableRowHead"/>
            </w:pPr>
            <w:r w:rsidRPr="00827814">
              <w:t>Diluted earnings per share</w:t>
            </w:r>
          </w:p>
        </w:tc>
        <w:tc>
          <w:tcPr>
            <w:tcW w:w="681" w:type="dxa"/>
            <w:tcBorders>
              <w:top w:val="nil"/>
              <w:left w:val="nil"/>
              <w:bottom w:val="single" w:sz="4" w:space="0" w:color="auto"/>
              <w:right w:val="nil"/>
            </w:tcBorders>
            <w:vAlign w:val="bottom"/>
          </w:tcPr>
          <w:p w14:paraId="44AF5664"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single" w:sz="4" w:space="0" w:color="auto"/>
              <w:right w:val="nil"/>
            </w:tcBorders>
            <w:vAlign w:val="bottom"/>
          </w:tcPr>
          <w:p w14:paraId="1592215C" w14:textId="77777777" w:rsidR="005B36AA" w:rsidRPr="00E310CE" w:rsidRDefault="005B36AA" w:rsidP="005B36AA">
            <w:pPr>
              <w:pStyle w:val="T2"/>
              <w:rPr>
                <w:b/>
              </w:rPr>
            </w:pPr>
          </w:p>
        </w:tc>
        <w:tc>
          <w:tcPr>
            <w:tcW w:w="1139" w:type="dxa"/>
            <w:tcBorders>
              <w:top w:val="nil"/>
              <w:left w:val="nil"/>
              <w:bottom w:val="single" w:sz="4" w:space="0" w:color="auto"/>
              <w:right w:val="nil"/>
            </w:tcBorders>
            <w:vAlign w:val="bottom"/>
          </w:tcPr>
          <w:p w14:paraId="22167089" w14:textId="77777777" w:rsidR="005B36AA" w:rsidRPr="00E310CE" w:rsidRDefault="005B36AA" w:rsidP="005B36AA">
            <w:pPr>
              <w:pStyle w:val="T2"/>
              <w:rPr>
                <w:b/>
              </w:rPr>
            </w:pPr>
          </w:p>
        </w:tc>
        <w:tc>
          <w:tcPr>
            <w:tcW w:w="1139" w:type="dxa"/>
            <w:tcBorders>
              <w:top w:val="nil"/>
              <w:left w:val="nil"/>
              <w:bottom w:val="single" w:sz="4" w:space="0" w:color="auto"/>
              <w:right w:val="nil"/>
            </w:tcBorders>
            <w:shd w:val="clear" w:color="auto" w:fill="auto"/>
            <w:vAlign w:val="bottom"/>
          </w:tcPr>
          <w:p w14:paraId="51E7EE64" w14:textId="77777777" w:rsidR="005B36AA" w:rsidRPr="0005005D" w:rsidRDefault="005B36AA" w:rsidP="005B36AA">
            <w:pPr>
              <w:pStyle w:val="T2"/>
              <w:rPr>
                <w:b/>
              </w:rPr>
            </w:pPr>
            <w:r w:rsidRPr="0005005D">
              <w:rPr>
                <w:b/>
              </w:rPr>
              <w:t>(2.6)</w:t>
            </w:r>
          </w:p>
        </w:tc>
        <w:tc>
          <w:tcPr>
            <w:tcW w:w="1138" w:type="dxa"/>
            <w:gridSpan w:val="2"/>
            <w:tcBorders>
              <w:top w:val="nil"/>
              <w:left w:val="nil"/>
              <w:bottom w:val="single" w:sz="4" w:space="0" w:color="auto"/>
              <w:right w:val="nil"/>
            </w:tcBorders>
            <w:shd w:val="clear" w:color="auto" w:fill="auto"/>
            <w:vAlign w:val="bottom"/>
          </w:tcPr>
          <w:p w14:paraId="49B15C20" w14:textId="77777777" w:rsidR="005B36AA" w:rsidRPr="00CB42AB" w:rsidRDefault="005B36AA" w:rsidP="005B36AA">
            <w:pPr>
              <w:pStyle w:val="T2"/>
              <w:rPr>
                <w:highlight w:val="yellow"/>
              </w:rPr>
            </w:pPr>
          </w:p>
        </w:tc>
        <w:tc>
          <w:tcPr>
            <w:tcW w:w="1139" w:type="dxa"/>
            <w:tcBorders>
              <w:top w:val="nil"/>
              <w:left w:val="nil"/>
              <w:bottom w:val="single" w:sz="4" w:space="0" w:color="auto"/>
              <w:right w:val="nil"/>
            </w:tcBorders>
            <w:vAlign w:val="bottom"/>
          </w:tcPr>
          <w:p w14:paraId="342823BF" w14:textId="77777777" w:rsidR="005B36AA" w:rsidRPr="00D90904" w:rsidRDefault="005B36AA" w:rsidP="005B36AA">
            <w:pPr>
              <w:pStyle w:val="T2"/>
            </w:pPr>
          </w:p>
        </w:tc>
        <w:tc>
          <w:tcPr>
            <w:tcW w:w="1139" w:type="dxa"/>
            <w:tcBorders>
              <w:top w:val="nil"/>
              <w:left w:val="nil"/>
              <w:bottom w:val="single" w:sz="4" w:space="0" w:color="auto"/>
              <w:right w:val="nil"/>
            </w:tcBorders>
            <w:vAlign w:val="bottom"/>
          </w:tcPr>
          <w:p w14:paraId="02F0345A" w14:textId="77777777" w:rsidR="005B36AA" w:rsidRPr="00D90904" w:rsidRDefault="005B36AA" w:rsidP="005B36AA">
            <w:pPr>
              <w:pStyle w:val="T2"/>
            </w:pPr>
            <w:r>
              <w:t>7.7</w:t>
            </w:r>
          </w:p>
        </w:tc>
      </w:tr>
      <w:tr w:rsidR="005B36AA" w14:paraId="2E13C1A4" w14:textId="77777777" w:rsidTr="005B36AA">
        <w:tc>
          <w:tcPr>
            <w:tcW w:w="10348" w:type="dxa"/>
            <w:gridSpan w:val="9"/>
            <w:tcBorders>
              <w:top w:val="single" w:sz="4" w:space="0" w:color="auto"/>
              <w:left w:val="nil"/>
              <w:bottom w:val="nil"/>
              <w:right w:val="nil"/>
            </w:tcBorders>
            <w:shd w:val="clear" w:color="auto" w:fill="auto"/>
            <w:vAlign w:val="bottom"/>
          </w:tcPr>
          <w:p w14:paraId="466BFC67" w14:textId="77777777" w:rsidR="005B36AA" w:rsidRDefault="005B36AA" w:rsidP="005B36AA">
            <w:pPr>
              <w:pStyle w:val="T2"/>
              <w:jc w:val="left"/>
              <w:rPr>
                <w:b/>
              </w:rPr>
            </w:pPr>
          </w:p>
          <w:p w14:paraId="37BECEE4" w14:textId="77777777" w:rsidR="005B36AA" w:rsidRPr="00D90904" w:rsidRDefault="005B36AA" w:rsidP="005B36AA">
            <w:pPr>
              <w:pStyle w:val="T2"/>
              <w:jc w:val="left"/>
            </w:pPr>
            <w:r w:rsidRPr="00E310CE">
              <w:rPr>
                <w:b/>
              </w:rPr>
              <w:t xml:space="preserve">Earnings per share (pence) – </w:t>
            </w:r>
            <w:r>
              <w:rPr>
                <w:b/>
              </w:rPr>
              <w:t>total</w:t>
            </w:r>
          </w:p>
        </w:tc>
      </w:tr>
      <w:tr w:rsidR="005B36AA" w14:paraId="2779DB63" w14:textId="77777777" w:rsidTr="005B36AA">
        <w:tc>
          <w:tcPr>
            <w:tcW w:w="2835" w:type="dxa"/>
            <w:tcBorders>
              <w:top w:val="nil"/>
              <w:left w:val="nil"/>
              <w:right w:val="nil"/>
            </w:tcBorders>
            <w:vAlign w:val="bottom"/>
          </w:tcPr>
          <w:p w14:paraId="46F88EFD" w14:textId="77777777" w:rsidR="005B36AA" w:rsidRPr="00827814" w:rsidRDefault="005B36AA" w:rsidP="005B36AA">
            <w:pPr>
              <w:pStyle w:val="TableRowHead"/>
            </w:pPr>
            <w:r w:rsidRPr="001F6BCC">
              <w:t>Basic earnings per share</w:t>
            </w:r>
          </w:p>
        </w:tc>
        <w:tc>
          <w:tcPr>
            <w:tcW w:w="681" w:type="dxa"/>
            <w:tcBorders>
              <w:top w:val="nil"/>
              <w:left w:val="nil"/>
              <w:right w:val="nil"/>
            </w:tcBorders>
            <w:vAlign w:val="bottom"/>
          </w:tcPr>
          <w:p w14:paraId="489254A7"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right w:val="nil"/>
            </w:tcBorders>
            <w:vAlign w:val="bottom"/>
          </w:tcPr>
          <w:p w14:paraId="30C67538" w14:textId="77777777" w:rsidR="005B36AA" w:rsidRPr="00E310CE" w:rsidRDefault="005B36AA" w:rsidP="005B36AA">
            <w:pPr>
              <w:pStyle w:val="T2"/>
              <w:rPr>
                <w:b/>
              </w:rPr>
            </w:pPr>
          </w:p>
        </w:tc>
        <w:tc>
          <w:tcPr>
            <w:tcW w:w="1139" w:type="dxa"/>
            <w:tcBorders>
              <w:top w:val="nil"/>
              <w:left w:val="nil"/>
              <w:right w:val="nil"/>
            </w:tcBorders>
            <w:vAlign w:val="bottom"/>
          </w:tcPr>
          <w:p w14:paraId="488BA40F" w14:textId="77777777" w:rsidR="005B36AA" w:rsidRPr="00E310CE" w:rsidRDefault="005B36AA" w:rsidP="005B36AA">
            <w:pPr>
              <w:pStyle w:val="T2"/>
              <w:rPr>
                <w:b/>
              </w:rPr>
            </w:pPr>
          </w:p>
        </w:tc>
        <w:tc>
          <w:tcPr>
            <w:tcW w:w="1139" w:type="dxa"/>
            <w:tcBorders>
              <w:top w:val="nil"/>
              <w:left w:val="nil"/>
              <w:right w:val="nil"/>
            </w:tcBorders>
            <w:shd w:val="clear" w:color="auto" w:fill="auto"/>
            <w:vAlign w:val="bottom"/>
          </w:tcPr>
          <w:p w14:paraId="3021AE90" w14:textId="77777777" w:rsidR="005B36AA" w:rsidRPr="0005005D" w:rsidRDefault="005B36AA" w:rsidP="005B36AA">
            <w:pPr>
              <w:pStyle w:val="T2"/>
              <w:rPr>
                <w:b/>
              </w:rPr>
            </w:pPr>
            <w:r w:rsidRPr="0005005D">
              <w:rPr>
                <w:b/>
              </w:rPr>
              <w:t>(2.6)</w:t>
            </w:r>
          </w:p>
        </w:tc>
        <w:tc>
          <w:tcPr>
            <w:tcW w:w="1138" w:type="dxa"/>
            <w:gridSpan w:val="2"/>
            <w:tcBorders>
              <w:top w:val="nil"/>
              <w:left w:val="nil"/>
              <w:right w:val="nil"/>
            </w:tcBorders>
            <w:shd w:val="clear" w:color="auto" w:fill="auto"/>
            <w:vAlign w:val="bottom"/>
          </w:tcPr>
          <w:p w14:paraId="17329F5C" w14:textId="77777777" w:rsidR="005B36AA" w:rsidRPr="00D90904" w:rsidRDefault="005B36AA" w:rsidP="005B36AA">
            <w:pPr>
              <w:pStyle w:val="T2"/>
            </w:pPr>
          </w:p>
        </w:tc>
        <w:tc>
          <w:tcPr>
            <w:tcW w:w="1139" w:type="dxa"/>
            <w:tcBorders>
              <w:top w:val="nil"/>
              <w:left w:val="nil"/>
              <w:right w:val="nil"/>
            </w:tcBorders>
            <w:vAlign w:val="bottom"/>
          </w:tcPr>
          <w:p w14:paraId="0C18461F" w14:textId="77777777" w:rsidR="005B36AA" w:rsidRPr="00D90904" w:rsidRDefault="005B36AA" w:rsidP="005B36AA">
            <w:pPr>
              <w:pStyle w:val="T2"/>
            </w:pPr>
          </w:p>
        </w:tc>
        <w:tc>
          <w:tcPr>
            <w:tcW w:w="1139" w:type="dxa"/>
            <w:tcBorders>
              <w:top w:val="nil"/>
              <w:left w:val="nil"/>
              <w:right w:val="nil"/>
            </w:tcBorders>
            <w:vAlign w:val="bottom"/>
          </w:tcPr>
          <w:p w14:paraId="1A46C17F" w14:textId="77777777" w:rsidR="005B36AA" w:rsidRPr="00D90904" w:rsidRDefault="005B36AA" w:rsidP="005B36AA">
            <w:pPr>
              <w:pStyle w:val="T2"/>
            </w:pPr>
            <w:r>
              <w:t>19.9</w:t>
            </w:r>
          </w:p>
        </w:tc>
      </w:tr>
      <w:tr w:rsidR="005B36AA" w14:paraId="271378F8" w14:textId="77777777" w:rsidTr="005B36AA">
        <w:tc>
          <w:tcPr>
            <w:tcW w:w="2835" w:type="dxa"/>
            <w:tcBorders>
              <w:top w:val="nil"/>
              <w:left w:val="nil"/>
              <w:bottom w:val="single" w:sz="8" w:space="0" w:color="auto"/>
              <w:right w:val="nil"/>
            </w:tcBorders>
            <w:vAlign w:val="bottom"/>
          </w:tcPr>
          <w:p w14:paraId="08E22BED" w14:textId="77777777" w:rsidR="005B36AA" w:rsidRDefault="005B36AA" w:rsidP="005B36AA">
            <w:pPr>
              <w:pStyle w:val="TableRowHead"/>
            </w:pPr>
            <w:r w:rsidRPr="00827814">
              <w:t>Diluted earnings per share</w:t>
            </w:r>
          </w:p>
        </w:tc>
        <w:tc>
          <w:tcPr>
            <w:tcW w:w="681" w:type="dxa"/>
            <w:tcBorders>
              <w:top w:val="nil"/>
              <w:left w:val="nil"/>
              <w:bottom w:val="single" w:sz="8" w:space="0" w:color="auto"/>
              <w:right w:val="nil"/>
            </w:tcBorders>
            <w:vAlign w:val="bottom"/>
          </w:tcPr>
          <w:p w14:paraId="67BBD719"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single" w:sz="8" w:space="0" w:color="auto"/>
              <w:right w:val="nil"/>
            </w:tcBorders>
            <w:vAlign w:val="bottom"/>
          </w:tcPr>
          <w:p w14:paraId="2C37B62C" w14:textId="77777777" w:rsidR="005B36AA" w:rsidRPr="00E310CE" w:rsidRDefault="005B36AA" w:rsidP="005B36AA">
            <w:pPr>
              <w:pStyle w:val="T2"/>
              <w:rPr>
                <w:b/>
              </w:rPr>
            </w:pPr>
          </w:p>
        </w:tc>
        <w:tc>
          <w:tcPr>
            <w:tcW w:w="1139" w:type="dxa"/>
            <w:tcBorders>
              <w:top w:val="nil"/>
              <w:left w:val="nil"/>
              <w:bottom w:val="single" w:sz="8" w:space="0" w:color="auto"/>
              <w:right w:val="nil"/>
            </w:tcBorders>
            <w:vAlign w:val="bottom"/>
          </w:tcPr>
          <w:p w14:paraId="70547286" w14:textId="77777777" w:rsidR="005B36AA" w:rsidRPr="00E310CE" w:rsidRDefault="005B36AA" w:rsidP="005B36AA">
            <w:pPr>
              <w:pStyle w:val="T2"/>
              <w:rPr>
                <w:b/>
              </w:rPr>
            </w:pPr>
          </w:p>
        </w:tc>
        <w:tc>
          <w:tcPr>
            <w:tcW w:w="1139" w:type="dxa"/>
            <w:tcBorders>
              <w:top w:val="nil"/>
              <w:left w:val="nil"/>
              <w:bottom w:val="single" w:sz="8" w:space="0" w:color="auto"/>
              <w:right w:val="nil"/>
            </w:tcBorders>
            <w:shd w:val="clear" w:color="auto" w:fill="auto"/>
            <w:vAlign w:val="center"/>
          </w:tcPr>
          <w:p w14:paraId="72BA75E3" w14:textId="77777777" w:rsidR="005B36AA" w:rsidRPr="0005005D" w:rsidRDefault="005B36AA" w:rsidP="005B36AA">
            <w:pPr>
              <w:pStyle w:val="T2"/>
              <w:rPr>
                <w:b/>
              </w:rPr>
            </w:pPr>
            <w:r w:rsidRPr="0005005D">
              <w:rPr>
                <w:b/>
              </w:rPr>
              <w:t>(2.6)</w:t>
            </w:r>
          </w:p>
        </w:tc>
        <w:tc>
          <w:tcPr>
            <w:tcW w:w="1138" w:type="dxa"/>
            <w:gridSpan w:val="2"/>
            <w:tcBorders>
              <w:top w:val="nil"/>
              <w:left w:val="nil"/>
              <w:bottom w:val="single" w:sz="8" w:space="0" w:color="auto"/>
              <w:right w:val="nil"/>
            </w:tcBorders>
            <w:shd w:val="clear" w:color="auto" w:fill="auto"/>
            <w:vAlign w:val="bottom"/>
          </w:tcPr>
          <w:p w14:paraId="7649855D" w14:textId="77777777" w:rsidR="005B36AA" w:rsidRPr="00181298" w:rsidRDefault="005B36AA" w:rsidP="005B36AA">
            <w:pPr>
              <w:pStyle w:val="T2"/>
              <w:rPr>
                <w:highlight w:val="yellow"/>
              </w:rPr>
            </w:pPr>
          </w:p>
        </w:tc>
        <w:tc>
          <w:tcPr>
            <w:tcW w:w="1139" w:type="dxa"/>
            <w:tcBorders>
              <w:top w:val="nil"/>
              <w:left w:val="nil"/>
              <w:bottom w:val="single" w:sz="8" w:space="0" w:color="auto"/>
              <w:right w:val="nil"/>
            </w:tcBorders>
            <w:vAlign w:val="bottom"/>
          </w:tcPr>
          <w:p w14:paraId="7D8E4362" w14:textId="77777777" w:rsidR="005B36AA" w:rsidRPr="00D90904" w:rsidRDefault="005B36AA" w:rsidP="005B36AA">
            <w:pPr>
              <w:pStyle w:val="T2"/>
            </w:pPr>
          </w:p>
        </w:tc>
        <w:tc>
          <w:tcPr>
            <w:tcW w:w="1139" w:type="dxa"/>
            <w:tcBorders>
              <w:top w:val="nil"/>
              <w:left w:val="nil"/>
              <w:bottom w:val="single" w:sz="8" w:space="0" w:color="auto"/>
              <w:right w:val="nil"/>
            </w:tcBorders>
            <w:vAlign w:val="bottom"/>
          </w:tcPr>
          <w:p w14:paraId="55BBF784" w14:textId="77777777" w:rsidR="005B36AA" w:rsidRPr="00D90904" w:rsidRDefault="005B36AA" w:rsidP="005B36AA">
            <w:pPr>
              <w:pStyle w:val="T2"/>
            </w:pPr>
            <w:r>
              <w:t>19.9</w:t>
            </w:r>
          </w:p>
        </w:tc>
      </w:tr>
      <w:tr w:rsidR="005B36AA" w14:paraId="796ACE26" w14:textId="77777777" w:rsidTr="005B36AA">
        <w:trPr>
          <w:trHeight w:val="398"/>
        </w:trPr>
        <w:tc>
          <w:tcPr>
            <w:tcW w:w="10348" w:type="dxa"/>
            <w:gridSpan w:val="9"/>
            <w:tcBorders>
              <w:top w:val="single" w:sz="8" w:space="0" w:color="auto"/>
              <w:left w:val="nil"/>
              <w:bottom w:val="nil"/>
              <w:right w:val="nil"/>
            </w:tcBorders>
          </w:tcPr>
          <w:p w14:paraId="311478CB" w14:textId="77777777" w:rsidR="005B36AA" w:rsidRPr="00E8718C" w:rsidRDefault="005B36AA" w:rsidP="005B36AA">
            <w:pPr>
              <w:pStyle w:val="TableComments"/>
              <w:ind w:left="0"/>
            </w:pPr>
          </w:p>
        </w:tc>
      </w:tr>
    </w:tbl>
    <w:p w14:paraId="389CBA22" w14:textId="6F1AEA9E" w:rsidR="003A5BD2" w:rsidRPr="00D72351" w:rsidRDefault="003A5BD2" w:rsidP="00ED0EF2">
      <w:pPr>
        <w:spacing w:before="27"/>
        <w:rPr>
          <w:b/>
          <w:color w:val="001F5F"/>
          <w:sz w:val="20"/>
          <w:szCs w:val="20"/>
        </w:rPr>
      </w:pPr>
      <w:r w:rsidRPr="00D72351">
        <w:rPr>
          <w:b/>
          <w:color w:val="001F5F"/>
          <w:sz w:val="20"/>
          <w:szCs w:val="20"/>
        </w:rPr>
        <w:t xml:space="preserve">GROUP </w:t>
      </w:r>
      <w:r>
        <w:rPr>
          <w:b/>
          <w:color w:val="001F5F"/>
          <w:sz w:val="20"/>
          <w:szCs w:val="20"/>
        </w:rPr>
        <w:t>STATEMENT OF COMPREHENSIVE INCOME</w:t>
      </w:r>
    </w:p>
    <w:p w14:paraId="6F9D792C" w14:textId="3A69CD01"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359A35C3" w14:textId="77777777" w:rsidR="005B36AA" w:rsidRPr="00F9301C" w:rsidRDefault="005B36AA" w:rsidP="005B36AA">
      <w:pPr>
        <w:pStyle w:val="BodyText"/>
      </w:pPr>
    </w:p>
    <w:tbl>
      <w:tblPr>
        <w:tblpPr w:leftFromText="180" w:rightFromText="180" w:vertAnchor="text" w:tblpY="1"/>
        <w:tblOverlap w:val="never"/>
        <w:tblW w:w="10205" w:type="dxa"/>
        <w:tblLook w:val="04A0" w:firstRow="1" w:lastRow="0" w:firstColumn="1" w:lastColumn="0" w:noHBand="0" w:noVBand="1"/>
      </w:tblPr>
      <w:tblGrid>
        <w:gridCol w:w="7257"/>
        <w:gridCol w:w="680"/>
        <w:gridCol w:w="1134"/>
        <w:gridCol w:w="1134"/>
      </w:tblGrid>
      <w:tr w:rsidR="005B36AA" w:rsidRPr="009959CB" w14:paraId="2BF6CCBA" w14:textId="77777777" w:rsidTr="005B36AA">
        <w:trPr>
          <w:trHeight w:val="227"/>
        </w:trPr>
        <w:tc>
          <w:tcPr>
            <w:tcW w:w="7257" w:type="dxa"/>
            <w:tcBorders>
              <w:bottom w:val="single" w:sz="4" w:space="0" w:color="auto"/>
            </w:tcBorders>
          </w:tcPr>
          <w:p w14:paraId="780D4224" w14:textId="77777777" w:rsidR="005B36AA" w:rsidRDefault="005B36AA" w:rsidP="005B36AA">
            <w:pPr>
              <w:pStyle w:val="TableRowHead"/>
            </w:pPr>
            <w:bookmarkStart w:id="0" w:name="_Hlk23518592"/>
          </w:p>
        </w:tc>
        <w:tc>
          <w:tcPr>
            <w:tcW w:w="680" w:type="dxa"/>
            <w:tcBorders>
              <w:bottom w:val="single" w:sz="4" w:space="0" w:color="auto"/>
            </w:tcBorders>
            <w:vAlign w:val="bottom"/>
          </w:tcPr>
          <w:p w14:paraId="2FAF6A25" w14:textId="77777777" w:rsidR="005B36AA" w:rsidRPr="00C00770" w:rsidRDefault="005B36AA" w:rsidP="005B36AA">
            <w:pPr>
              <w:pStyle w:val="Subtitle"/>
              <w:rPr>
                <w:b w:val="0"/>
                <w:bCs/>
              </w:rPr>
            </w:pPr>
          </w:p>
        </w:tc>
        <w:tc>
          <w:tcPr>
            <w:tcW w:w="1134" w:type="dxa"/>
            <w:tcBorders>
              <w:bottom w:val="single" w:sz="4" w:space="0" w:color="auto"/>
            </w:tcBorders>
            <w:vAlign w:val="bottom"/>
          </w:tcPr>
          <w:p w14:paraId="7787EC13" w14:textId="77777777" w:rsidR="005B36AA" w:rsidRDefault="005B36AA" w:rsidP="005B36AA">
            <w:pPr>
              <w:pStyle w:val="Subtitle"/>
            </w:pPr>
            <w:r>
              <w:t>2020</w:t>
            </w:r>
          </w:p>
          <w:p w14:paraId="34787E8D" w14:textId="77777777" w:rsidR="005B36AA" w:rsidRPr="00D03E8C" w:rsidRDefault="005B36AA" w:rsidP="005B36AA">
            <w:pPr>
              <w:pStyle w:val="Subtitle"/>
            </w:pPr>
            <w:r w:rsidRPr="00EB272D">
              <w:t>£m</w:t>
            </w:r>
          </w:p>
        </w:tc>
        <w:tc>
          <w:tcPr>
            <w:tcW w:w="1134" w:type="dxa"/>
            <w:tcBorders>
              <w:bottom w:val="single" w:sz="4" w:space="0" w:color="auto"/>
            </w:tcBorders>
            <w:vAlign w:val="bottom"/>
          </w:tcPr>
          <w:p w14:paraId="0D9BC590" w14:textId="77777777" w:rsidR="005B36AA" w:rsidRPr="00CB42AB" w:rsidRDefault="005B36AA" w:rsidP="005B36AA">
            <w:pPr>
              <w:pStyle w:val="Subtitle"/>
              <w:rPr>
                <w:b w:val="0"/>
              </w:rPr>
            </w:pPr>
            <w:r>
              <w:rPr>
                <w:b w:val="0"/>
              </w:rPr>
              <w:t>2019</w:t>
            </w:r>
            <w:r w:rsidRPr="00CB42AB">
              <w:rPr>
                <w:b w:val="0"/>
              </w:rPr>
              <w:br/>
              <w:t>£m</w:t>
            </w:r>
          </w:p>
        </w:tc>
      </w:tr>
      <w:tr w:rsidR="005B36AA" w14:paraId="1EDCD6E7" w14:textId="77777777" w:rsidTr="005B36AA">
        <w:trPr>
          <w:trHeight w:val="227"/>
        </w:trPr>
        <w:tc>
          <w:tcPr>
            <w:tcW w:w="10205" w:type="dxa"/>
            <w:gridSpan w:val="4"/>
            <w:tcBorders>
              <w:top w:val="single" w:sz="4" w:space="0" w:color="auto"/>
            </w:tcBorders>
          </w:tcPr>
          <w:p w14:paraId="3618C3E1" w14:textId="77777777" w:rsidR="005B36AA" w:rsidRDefault="005B36AA" w:rsidP="005B36AA">
            <w:pPr>
              <w:pStyle w:val="TableRowHead"/>
              <w:rPr>
                <w:b/>
              </w:rPr>
            </w:pPr>
            <w:r w:rsidRPr="00D03E8C">
              <w:rPr>
                <w:b/>
              </w:rPr>
              <w:t xml:space="preserve">Items of </w:t>
            </w:r>
            <w:r>
              <w:rPr>
                <w:b/>
              </w:rPr>
              <w:t xml:space="preserve">comprehensive </w:t>
            </w:r>
            <w:r w:rsidRPr="00D03E8C">
              <w:rPr>
                <w:b/>
              </w:rPr>
              <w:t>income taken directly to equity for continuing and discontinued operations </w:t>
            </w:r>
          </w:p>
          <w:p w14:paraId="6F1F4D13" w14:textId="77777777" w:rsidR="005B36AA" w:rsidRPr="00D03E8C" w:rsidRDefault="005B36AA" w:rsidP="005B36AA">
            <w:pPr>
              <w:pStyle w:val="TableRowHead"/>
              <w:rPr>
                <w:b/>
              </w:rPr>
            </w:pPr>
          </w:p>
        </w:tc>
      </w:tr>
      <w:tr w:rsidR="005B36AA" w14:paraId="63A4BD40" w14:textId="77777777" w:rsidTr="005B36AA">
        <w:trPr>
          <w:trHeight w:val="227"/>
        </w:trPr>
        <w:tc>
          <w:tcPr>
            <w:tcW w:w="7257" w:type="dxa"/>
          </w:tcPr>
          <w:p w14:paraId="192D1F48" w14:textId="77777777" w:rsidR="005B36AA" w:rsidRPr="00BA1C6B" w:rsidRDefault="005B36AA" w:rsidP="005B36AA">
            <w:pPr>
              <w:pStyle w:val="TableRowHead"/>
              <w:rPr>
                <w:b/>
              </w:rPr>
            </w:pPr>
            <w:r w:rsidRPr="00BA1C6B">
              <w:rPr>
                <w:b/>
              </w:rPr>
              <w:t>Items that will not be reclassified to profit or loss:</w:t>
            </w:r>
          </w:p>
        </w:tc>
        <w:tc>
          <w:tcPr>
            <w:tcW w:w="680" w:type="dxa"/>
          </w:tcPr>
          <w:p w14:paraId="7315CBF2" w14:textId="77777777" w:rsidR="005B36AA" w:rsidRPr="00D03E8C" w:rsidRDefault="005B36AA" w:rsidP="005B36AA">
            <w:pPr>
              <w:pStyle w:val="Subtitle"/>
            </w:pPr>
          </w:p>
        </w:tc>
        <w:tc>
          <w:tcPr>
            <w:tcW w:w="1134" w:type="dxa"/>
            <w:vAlign w:val="bottom"/>
          </w:tcPr>
          <w:p w14:paraId="263DE4FF" w14:textId="77777777" w:rsidR="005B36AA" w:rsidRPr="00D03E8C" w:rsidRDefault="005B36AA" w:rsidP="005B36AA">
            <w:pPr>
              <w:pStyle w:val="Subtitle"/>
            </w:pPr>
          </w:p>
        </w:tc>
        <w:tc>
          <w:tcPr>
            <w:tcW w:w="1134" w:type="dxa"/>
            <w:vAlign w:val="bottom"/>
          </w:tcPr>
          <w:p w14:paraId="2F86DBA3" w14:textId="77777777" w:rsidR="005B36AA" w:rsidRDefault="005B36AA" w:rsidP="005B36AA">
            <w:pPr>
              <w:pStyle w:val="Subtitle"/>
            </w:pPr>
          </w:p>
        </w:tc>
      </w:tr>
      <w:bookmarkEnd w:id="0"/>
      <w:tr w:rsidR="005B36AA" w14:paraId="1973E5F0" w14:textId="77777777" w:rsidTr="005B36AA">
        <w:trPr>
          <w:trHeight w:val="227"/>
        </w:trPr>
        <w:tc>
          <w:tcPr>
            <w:tcW w:w="7257" w:type="dxa"/>
          </w:tcPr>
          <w:p w14:paraId="41FD3391" w14:textId="77777777" w:rsidR="005B36AA" w:rsidRPr="00765393" w:rsidRDefault="005B36AA" w:rsidP="005B36AA">
            <w:pPr>
              <w:pStyle w:val="TableRowHead"/>
            </w:pPr>
            <w:r w:rsidRPr="00765393">
              <w:t>Actuarial</w:t>
            </w:r>
            <w:r>
              <w:t xml:space="preserve"> </w:t>
            </w:r>
            <w:r w:rsidRPr="00765393">
              <w:t>gain</w:t>
            </w:r>
            <w:r>
              <w:t>/(loss)</w:t>
            </w:r>
            <w:r w:rsidRPr="00765393">
              <w:t xml:space="preserve"> on Group </w:t>
            </w:r>
            <w:r>
              <w:t xml:space="preserve">legacy </w:t>
            </w:r>
            <w:r w:rsidRPr="00765393">
              <w:t>defined benefit pension schemes</w:t>
            </w:r>
          </w:p>
        </w:tc>
        <w:tc>
          <w:tcPr>
            <w:tcW w:w="680" w:type="dxa"/>
          </w:tcPr>
          <w:p w14:paraId="29B00A0F" w14:textId="77777777" w:rsidR="005B36AA" w:rsidRPr="00C00770" w:rsidRDefault="005B36AA" w:rsidP="005B36AA">
            <w:pPr>
              <w:pStyle w:val="T2"/>
              <w:rPr>
                <w:bCs/>
              </w:rPr>
            </w:pPr>
          </w:p>
        </w:tc>
        <w:tc>
          <w:tcPr>
            <w:tcW w:w="1134" w:type="dxa"/>
            <w:vAlign w:val="bottom"/>
          </w:tcPr>
          <w:p w14:paraId="617EA6C2" w14:textId="77777777" w:rsidR="005B36AA" w:rsidRPr="00D03E8C" w:rsidRDefault="005B36AA" w:rsidP="005B36AA">
            <w:pPr>
              <w:pStyle w:val="T2"/>
              <w:rPr>
                <w:b/>
              </w:rPr>
            </w:pPr>
            <w:r>
              <w:rPr>
                <w:b/>
              </w:rPr>
              <w:t>1.6</w:t>
            </w:r>
          </w:p>
        </w:tc>
        <w:tc>
          <w:tcPr>
            <w:tcW w:w="1134" w:type="dxa"/>
          </w:tcPr>
          <w:p w14:paraId="52D03AFD" w14:textId="77777777" w:rsidR="005B36AA" w:rsidRPr="00330817" w:rsidRDefault="005B36AA" w:rsidP="005B36AA">
            <w:pPr>
              <w:jc w:val="right"/>
              <w:rPr>
                <w:sz w:val="18"/>
              </w:rPr>
            </w:pPr>
            <w:r w:rsidRPr="00330817">
              <w:rPr>
                <w:sz w:val="18"/>
              </w:rPr>
              <w:t>(13.3)</w:t>
            </w:r>
          </w:p>
        </w:tc>
      </w:tr>
      <w:tr w:rsidR="005B36AA" w14:paraId="1D5A4B8C" w14:textId="77777777" w:rsidTr="005B36AA">
        <w:trPr>
          <w:trHeight w:val="227"/>
        </w:trPr>
        <w:tc>
          <w:tcPr>
            <w:tcW w:w="7257" w:type="dxa"/>
            <w:tcBorders>
              <w:bottom w:val="single" w:sz="4" w:space="0" w:color="auto"/>
            </w:tcBorders>
          </w:tcPr>
          <w:p w14:paraId="0E48DC7E" w14:textId="77777777" w:rsidR="005B36AA" w:rsidRPr="00594CDA" w:rsidRDefault="005B36AA" w:rsidP="005B36AA">
            <w:pPr>
              <w:pStyle w:val="TableRowHead"/>
            </w:pPr>
            <w:r w:rsidRPr="00594CDA">
              <w:t xml:space="preserve">Tax </w:t>
            </w:r>
            <w:r>
              <w:t>credit</w:t>
            </w:r>
            <w:r w:rsidRPr="00594CDA">
              <w:t xml:space="preserve"> on Group legacy defined benefit pension schemes</w:t>
            </w:r>
          </w:p>
        </w:tc>
        <w:tc>
          <w:tcPr>
            <w:tcW w:w="680" w:type="dxa"/>
            <w:tcBorders>
              <w:bottom w:val="single" w:sz="4" w:space="0" w:color="auto"/>
            </w:tcBorders>
          </w:tcPr>
          <w:p w14:paraId="1C3F7902" w14:textId="77777777" w:rsidR="005B36AA" w:rsidRPr="00C00770" w:rsidRDefault="005B36AA" w:rsidP="005B36AA">
            <w:pPr>
              <w:pStyle w:val="T2"/>
              <w:rPr>
                <w:bCs/>
              </w:rPr>
            </w:pPr>
          </w:p>
        </w:tc>
        <w:tc>
          <w:tcPr>
            <w:tcW w:w="1134" w:type="dxa"/>
            <w:tcBorders>
              <w:bottom w:val="single" w:sz="4" w:space="0" w:color="auto"/>
            </w:tcBorders>
            <w:vAlign w:val="bottom"/>
          </w:tcPr>
          <w:p w14:paraId="4A121426" w14:textId="77777777" w:rsidR="005B36AA" w:rsidRPr="00D03E8C" w:rsidRDefault="005B36AA" w:rsidP="005B36AA">
            <w:pPr>
              <w:pStyle w:val="T2"/>
              <w:rPr>
                <w:b/>
              </w:rPr>
            </w:pPr>
            <w:r>
              <w:rPr>
                <w:b/>
              </w:rPr>
              <w:t>2.3</w:t>
            </w:r>
          </w:p>
        </w:tc>
        <w:tc>
          <w:tcPr>
            <w:tcW w:w="1134" w:type="dxa"/>
            <w:tcBorders>
              <w:bottom w:val="single" w:sz="4" w:space="0" w:color="auto"/>
            </w:tcBorders>
          </w:tcPr>
          <w:p w14:paraId="329BC827" w14:textId="77777777" w:rsidR="005B36AA" w:rsidRPr="00330817" w:rsidRDefault="005B36AA" w:rsidP="005B36AA">
            <w:pPr>
              <w:jc w:val="right"/>
              <w:rPr>
                <w:sz w:val="18"/>
              </w:rPr>
            </w:pPr>
            <w:r w:rsidRPr="00330817">
              <w:rPr>
                <w:sz w:val="18"/>
              </w:rPr>
              <w:t>2.9</w:t>
            </w:r>
          </w:p>
        </w:tc>
      </w:tr>
      <w:tr w:rsidR="005B36AA" w14:paraId="7E5E4FE9" w14:textId="77777777" w:rsidTr="005B36AA">
        <w:trPr>
          <w:trHeight w:val="227"/>
        </w:trPr>
        <w:tc>
          <w:tcPr>
            <w:tcW w:w="7257" w:type="dxa"/>
            <w:tcBorders>
              <w:top w:val="single" w:sz="4" w:space="0" w:color="auto"/>
              <w:bottom w:val="single" w:sz="4" w:space="0" w:color="auto"/>
            </w:tcBorders>
          </w:tcPr>
          <w:p w14:paraId="2C11095C" w14:textId="77777777" w:rsidR="005B36AA" w:rsidRPr="00765393" w:rsidRDefault="005B36AA" w:rsidP="005B36AA">
            <w:pPr>
              <w:pStyle w:val="TableRowHead"/>
            </w:pPr>
          </w:p>
        </w:tc>
        <w:tc>
          <w:tcPr>
            <w:tcW w:w="680" w:type="dxa"/>
            <w:tcBorders>
              <w:top w:val="single" w:sz="4" w:space="0" w:color="auto"/>
              <w:bottom w:val="single" w:sz="4" w:space="0" w:color="auto"/>
            </w:tcBorders>
          </w:tcPr>
          <w:p w14:paraId="24A0DD8C" w14:textId="77777777" w:rsidR="005B36AA" w:rsidRDefault="005B36AA" w:rsidP="005B36AA">
            <w:pPr>
              <w:pStyle w:val="T2"/>
              <w:rPr>
                <w:b/>
              </w:rPr>
            </w:pPr>
          </w:p>
        </w:tc>
        <w:tc>
          <w:tcPr>
            <w:tcW w:w="1134" w:type="dxa"/>
            <w:tcBorders>
              <w:top w:val="single" w:sz="4" w:space="0" w:color="auto"/>
              <w:bottom w:val="single" w:sz="4" w:space="0" w:color="auto"/>
            </w:tcBorders>
            <w:vAlign w:val="bottom"/>
          </w:tcPr>
          <w:p w14:paraId="4A601681" w14:textId="77777777" w:rsidR="005B36AA" w:rsidRPr="00D03E8C" w:rsidRDefault="005B36AA" w:rsidP="005B36AA">
            <w:pPr>
              <w:pStyle w:val="T2"/>
              <w:rPr>
                <w:b/>
              </w:rPr>
            </w:pPr>
            <w:r>
              <w:rPr>
                <w:b/>
              </w:rPr>
              <w:t>3.9</w:t>
            </w:r>
          </w:p>
        </w:tc>
        <w:tc>
          <w:tcPr>
            <w:tcW w:w="1134" w:type="dxa"/>
            <w:tcBorders>
              <w:top w:val="single" w:sz="4" w:space="0" w:color="auto"/>
              <w:bottom w:val="single" w:sz="4" w:space="0" w:color="auto"/>
            </w:tcBorders>
          </w:tcPr>
          <w:p w14:paraId="634C3A1D" w14:textId="77777777" w:rsidR="005B36AA" w:rsidRPr="00330817" w:rsidRDefault="005B36AA" w:rsidP="005B36AA">
            <w:pPr>
              <w:jc w:val="right"/>
              <w:rPr>
                <w:sz w:val="18"/>
              </w:rPr>
            </w:pPr>
            <w:r w:rsidRPr="00330817">
              <w:rPr>
                <w:sz w:val="18"/>
              </w:rPr>
              <w:t>(10.4)</w:t>
            </w:r>
          </w:p>
        </w:tc>
      </w:tr>
      <w:tr w:rsidR="005B36AA" w14:paraId="7F0E79C4" w14:textId="77777777" w:rsidTr="005B36AA">
        <w:trPr>
          <w:trHeight w:val="227"/>
        </w:trPr>
        <w:tc>
          <w:tcPr>
            <w:tcW w:w="7257" w:type="dxa"/>
            <w:tcBorders>
              <w:top w:val="single" w:sz="4" w:space="0" w:color="auto"/>
            </w:tcBorders>
            <w:vAlign w:val="bottom"/>
          </w:tcPr>
          <w:p w14:paraId="032C94A2" w14:textId="77777777" w:rsidR="005B36AA" w:rsidRPr="00DA4157" w:rsidRDefault="005B36AA" w:rsidP="005B36AA">
            <w:pPr>
              <w:pStyle w:val="TableRowHead"/>
              <w:rPr>
                <w:b/>
              </w:rPr>
            </w:pPr>
            <w:r w:rsidRPr="00DA4157">
              <w:rPr>
                <w:b/>
              </w:rPr>
              <w:t>Items that may subsequently be reclassified to profit or loss:</w:t>
            </w:r>
          </w:p>
        </w:tc>
        <w:tc>
          <w:tcPr>
            <w:tcW w:w="680" w:type="dxa"/>
            <w:tcBorders>
              <w:top w:val="single" w:sz="4" w:space="0" w:color="auto"/>
            </w:tcBorders>
          </w:tcPr>
          <w:p w14:paraId="604ECF69" w14:textId="77777777" w:rsidR="005B36AA" w:rsidRPr="00D03E8C" w:rsidRDefault="005B36AA" w:rsidP="005B36AA">
            <w:pPr>
              <w:pStyle w:val="T2"/>
              <w:rPr>
                <w:b/>
              </w:rPr>
            </w:pPr>
          </w:p>
        </w:tc>
        <w:tc>
          <w:tcPr>
            <w:tcW w:w="1134" w:type="dxa"/>
            <w:tcBorders>
              <w:top w:val="single" w:sz="4" w:space="0" w:color="auto"/>
            </w:tcBorders>
            <w:vAlign w:val="bottom"/>
          </w:tcPr>
          <w:p w14:paraId="4A77D0B4" w14:textId="77777777" w:rsidR="005B36AA" w:rsidRPr="00D03E8C" w:rsidRDefault="005B36AA" w:rsidP="005B36AA">
            <w:pPr>
              <w:pStyle w:val="T2"/>
              <w:rPr>
                <w:b/>
              </w:rPr>
            </w:pPr>
          </w:p>
        </w:tc>
        <w:tc>
          <w:tcPr>
            <w:tcW w:w="1134" w:type="dxa"/>
            <w:tcBorders>
              <w:top w:val="single" w:sz="4" w:space="0" w:color="auto"/>
            </w:tcBorders>
          </w:tcPr>
          <w:p w14:paraId="718E66E6" w14:textId="77777777" w:rsidR="005B36AA" w:rsidRPr="00330817" w:rsidRDefault="005B36AA" w:rsidP="005B36AA">
            <w:pPr>
              <w:jc w:val="right"/>
              <w:rPr>
                <w:sz w:val="18"/>
              </w:rPr>
            </w:pPr>
          </w:p>
        </w:tc>
      </w:tr>
      <w:tr w:rsidR="005B36AA" w14:paraId="1DED57E4" w14:textId="77777777" w:rsidTr="005B36AA">
        <w:trPr>
          <w:trHeight w:val="227"/>
        </w:trPr>
        <w:tc>
          <w:tcPr>
            <w:tcW w:w="7257" w:type="dxa"/>
            <w:vAlign w:val="bottom"/>
          </w:tcPr>
          <w:p w14:paraId="696249EA" w14:textId="77777777" w:rsidR="005B36AA" w:rsidRPr="00765393" w:rsidRDefault="005B36AA" w:rsidP="005B36AA">
            <w:pPr>
              <w:pStyle w:val="TableRowHead"/>
            </w:pPr>
            <w:r w:rsidRPr="00765393">
              <w:t>Currency translation adjustment</w:t>
            </w:r>
          </w:p>
        </w:tc>
        <w:tc>
          <w:tcPr>
            <w:tcW w:w="680" w:type="dxa"/>
          </w:tcPr>
          <w:p w14:paraId="7ABA7DA1" w14:textId="77777777" w:rsidR="005B36AA" w:rsidRDefault="005B36AA" w:rsidP="005B36AA">
            <w:pPr>
              <w:pStyle w:val="T2"/>
              <w:rPr>
                <w:b/>
              </w:rPr>
            </w:pPr>
          </w:p>
        </w:tc>
        <w:tc>
          <w:tcPr>
            <w:tcW w:w="1134" w:type="dxa"/>
            <w:vAlign w:val="bottom"/>
          </w:tcPr>
          <w:p w14:paraId="5F7291B5" w14:textId="77777777" w:rsidR="005B36AA" w:rsidRPr="00D03E8C" w:rsidRDefault="005B36AA" w:rsidP="005B36AA">
            <w:pPr>
              <w:pStyle w:val="T2"/>
              <w:rPr>
                <w:b/>
              </w:rPr>
            </w:pPr>
            <w:r>
              <w:rPr>
                <w:b/>
              </w:rPr>
              <w:t>1.3</w:t>
            </w:r>
          </w:p>
        </w:tc>
        <w:tc>
          <w:tcPr>
            <w:tcW w:w="1134" w:type="dxa"/>
          </w:tcPr>
          <w:p w14:paraId="494CAF49" w14:textId="77777777" w:rsidR="005B36AA" w:rsidRPr="00330817" w:rsidRDefault="005B36AA" w:rsidP="005B36AA">
            <w:pPr>
              <w:jc w:val="right"/>
              <w:rPr>
                <w:sz w:val="18"/>
              </w:rPr>
            </w:pPr>
            <w:r w:rsidRPr="00330817">
              <w:rPr>
                <w:sz w:val="18"/>
              </w:rPr>
              <w:t>10.3</w:t>
            </w:r>
          </w:p>
        </w:tc>
      </w:tr>
      <w:tr w:rsidR="005B36AA" w14:paraId="0E09DF02" w14:textId="77777777" w:rsidTr="005B36AA">
        <w:trPr>
          <w:trHeight w:val="227"/>
        </w:trPr>
        <w:tc>
          <w:tcPr>
            <w:tcW w:w="7257" w:type="dxa"/>
            <w:vAlign w:val="bottom"/>
          </w:tcPr>
          <w:p w14:paraId="35518D89" w14:textId="77777777" w:rsidR="005B36AA" w:rsidRPr="00765393" w:rsidRDefault="005B36AA" w:rsidP="005B36AA">
            <w:pPr>
              <w:pStyle w:val="TableRowHead"/>
            </w:pPr>
            <w:r w:rsidRPr="00765393">
              <w:t xml:space="preserve">Translation reserve transferred to </w:t>
            </w:r>
            <w:r>
              <w:t>I</w:t>
            </w:r>
            <w:r w:rsidRPr="00765393">
              <w:t xml:space="preserve">ncome </w:t>
            </w:r>
            <w:r>
              <w:t>S</w:t>
            </w:r>
            <w:r w:rsidRPr="00765393">
              <w:t>tatement on discontinued operation</w:t>
            </w:r>
          </w:p>
        </w:tc>
        <w:tc>
          <w:tcPr>
            <w:tcW w:w="680" w:type="dxa"/>
          </w:tcPr>
          <w:p w14:paraId="14AF9418" w14:textId="77777777" w:rsidR="005B36AA" w:rsidRPr="00D03E8C" w:rsidRDefault="005B36AA" w:rsidP="005B36AA">
            <w:pPr>
              <w:pStyle w:val="T2"/>
              <w:rPr>
                <w:b/>
              </w:rPr>
            </w:pPr>
          </w:p>
        </w:tc>
        <w:tc>
          <w:tcPr>
            <w:tcW w:w="1134" w:type="dxa"/>
            <w:vAlign w:val="bottom"/>
          </w:tcPr>
          <w:p w14:paraId="2ED10F99" w14:textId="77777777" w:rsidR="005B36AA" w:rsidRPr="00D03E8C" w:rsidRDefault="005B36AA" w:rsidP="005B36AA">
            <w:pPr>
              <w:pStyle w:val="T2"/>
              <w:rPr>
                <w:b/>
              </w:rPr>
            </w:pPr>
            <w:r>
              <w:rPr>
                <w:b/>
              </w:rPr>
              <w:t>-</w:t>
            </w:r>
          </w:p>
        </w:tc>
        <w:tc>
          <w:tcPr>
            <w:tcW w:w="1134" w:type="dxa"/>
          </w:tcPr>
          <w:p w14:paraId="255020DF" w14:textId="77777777" w:rsidR="005B36AA" w:rsidRPr="00330817" w:rsidRDefault="005B36AA" w:rsidP="005B36AA">
            <w:pPr>
              <w:jc w:val="right"/>
              <w:rPr>
                <w:sz w:val="18"/>
              </w:rPr>
            </w:pPr>
            <w:r w:rsidRPr="00330817">
              <w:rPr>
                <w:sz w:val="18"/>
              </w:rPr>
              <w:t>(24.5)</w:t>
            </w:r>
          </w:p>
        </w:tc>
      </w:tr>
      <w:tr w:rsidR="005B36AA" w14:paraId="7798881F" w14:textId="77777777" w:rsidTr="005B36AA">
        <w:trPr>
          <w:trHeight w:val="227"/>
        </w:trPr>
        <w:tc>
          <w:tcPr>
            <w:tcW w:w="7257" w:type="dxa"/>
            <w:vAlign w:val="bottom"/>
          </w:tcPr>
          <w:p w14:paraId="2BBD1AF5" w14:textId="40DF189B" w:rsidR="005B36AA" w:rsidRPr="00765393" w:rsidRDefault="005B36AA" w:rsidP="00660EC8">
            <w:pPr>
              <w:pStyle w:val="TableRowHead"/>
            </w:pPr>
            <w:r>
              <w:t xml:space="preserve">Net Investment hedge transferred to Income Statement </w:t>
            </w:r>
          </w:p>
        </w:tc>
        <w:tc>
          <w:tcPr>
            <w:tcW w:w="680" w:type="dxa"/>
          </w:tcPr>
          <w:p w14:paraId="10BFEA92" w14:textId="77777777" w:rsidR="005B36AA" w:rsidRDefault="005B36AA" w:rsidP="005B36AA">
            <w:pPr>
              <w:pStyle w:val="T2"/>
              <w:rPr>
                <w:b/>
              </w:rPr>
            </w:pPr>
          </w:p>
        </w:tc>
        <w:tc>
          <w:tcPr>
            <w:tcW w:w="1134" w:type="dxa"/>
            <w:vAlign w:val="bottom"/>
          </w:tcPr>
          <w:p w14:paraId="2D96940B" w14:textId="77777777" w:rsidR="005B36AA" w:rsidRDefault="005B36AA" w:rsidP="005B36AA">
            <w:pPr>
              <w:pStyle w:val="T2"/>
              <w:rPr>
                <w:b/>
              </w:rPr>
            </w:pPr>
            <w:r>
              <w:rPr>
                <w:b/>
              </w:rPr>
              <w:t>-</w:t>
            </w:r>
          </w:p>
        </w:tc>
        <w:tc>
          <w:tcPr>
            <w:tcW w:w="1134" w:type="dxa"/>
          </w:tcPr>
          <w:p w14:paraId="04BA3BE6" w14:textId="77777777" w:rsidR="005B36AA" w:rsidRPr="00330817" w:rsidRDefault="005B36AA" w:rsidP="005B36AA">
            <w:pPr>
              <w:jc w:val="right"/>
              <w:rPr>
                <w:sz w:val="18"/>
              </w:rPr>
            </w:pPr>
            <w:r w:rsidRPr="00330817">
              <w:rPr>
                <w:sz w:val="18"/>
              </w:rPr>
              <w:t>22.3</w:t>
            </w:r>
          </w:p>
        </w:tc>
      </w:tr>
      <w:tr w:rsidR="005B36AA" w14:paraId="4C0447F9" w14:textId="77777777" w:rsidTr="005B36AA">
        <w:trPr>
          <w:trHeight w:val="227"/>
        </w:trPr>
        <w:tc>
          <w:tcPr>
            <w:tcW w:w="7257" w:type="dxa"/>
            <w:vAlign w:val="bottom"/>
          </w:tcPr>
          <w:p w14:paraId="31AAF57D" w14:textId="77777777" w:rsidR="005B36AA" w:rsidRPr="00765393" w:rsidRDefault="005B36AA" w:rsidP="005B36AA">
            <w:pPr>
              <w:pStyle w:val="TableRowHead"/>
            </w:pPr>
            <w:r w:rsidRPr="00765393">
              <w:t>Cash flow hedges:</w:t>
            </w:r>
          </w:p>
        </w:tc>
        <w:tc>
          <w:tcPr>
            <w:tcW w:w="680" w:type="dxa"/>
          </w:tcPr>
          <w:p w14:paraId="0698895E" w14:textId="77777777" w:rsidR="005B36AA" w:rsidRPr="00D03E8C" w:rsidRDefault="005B36AA" w:rsidP="005B36AA">
            <w:pPr>
              <w:pStyle w:val="T2"/>
              <w:rPr>
                <w:b/>
              </w:rPr>
            </w:pPr>
          </w:p>
        </w:tc>
        <w:tc>
          <w:tcPr>
            <w:tcW w:w="1134" w:type="dxa"/>
            <w:vAlign w:val="bottom"/>
          </w:tcPr>
          <w:p w14:paraId="24DA7D2B" w14:textId="77777777" w:rsidR="005B36AA" w:rsidRPr="00D03E8C" w:rsidRDefault="005B36AA" w:rsidP="005B36AA">
            <w:pPr>
              <w:pStyle w:val="T2"/>
              <w:rPr>
                <w:b/>
              </w:rPr>
            </w:pPr>
          </w:p>
        </w:tc>
        <w:tc>
          <w:tcPr>
            <w:tcW w:w="1134" w:type="dxa"/>
          </w:tcPr>
          <w:p w14:paraId="6D009FED" w14:textId="77777777" w:rsidR="005B36AA" w:rsidRPr="00330817" w:rsidRDefault="005B36AA" w:rsidP="005B36AA">
            <w:pPr>
              <w:jc w:val="right"/>
              <w:rPr>
                <w:sz w:val="18"/>
              </w:rPr>
            </w:pPr>
          </w:p>
        </w:tc>
      </w:tr>
      <w:tr w:rsidR="005B36AA" w14:paraId="709CDD72" w14:textId="77777777" w:rsidTr="005B36AA">
        <w:trPr>
          <w:trHeight w:val="227"/>
        </w:trPr>
        <w:tc>
          <w:tcPr>
            <w:tcW w:w="7257" w:type="dxa"/>
            <w:vAlign w:val="bottom"/>
          </w:tcPr>
          <w:p w14:paraId="5B4A057B" w14:textId="77777777" w:rsidR="005B36AA" w:rsidRPr="00765393" w:rsidRDefault="005B36AA" w:rsidP="005B36AA">
            <w:pPr>
              <w:pStyle w:val="TableRowHead"/>
            </w:pPr>
            <w:r>
              <w:t xml:space="preserve">     </w:t>
            </w:r>
            <w:r w:rsidRPr="00765393">
              <w:t>fair value movement taken to equity</w:t>
            </w:r>
          </w:p>
        </w:tc>
        <w:tc>
          <w:tcPr>
            <w:tcW w:w="680" w:type="dxa"/>
            <w:shd w:val="clear" w:color="auto" w:fill="auto"/>
          </w:tcPr>
          <w:p w14:paraId="41C11A59" w14:textId="77777777" w:rsidR="005B36AA" w:rsidRPr="00D03E8C" w:rsidRDefault="005B36AA" w:rsidP="005B36AA">
            <w:pPr>
              <w:pStyle w:val="T2"/>
              <w:rPr>
                <w:b/>
              </w:rPr>
            </w:pPr>
          </w:p>
        </w:tc>
        <w:tc>
          <w:tcPr>
            <w:tcW w:w="1134" w:type="dxa"/>
            <w:shd w:val="clear" w:color="auto" w:fill="auto"/>
            <w:vAlign w:val="bottom"/>
          </w:tcPr>
          <w:p w14:paraId="281C99EE" w14:textId="77777777" w:rsidR="005B36AA" w:rsidRPr="00D80872" w:rsidRDefault="005B36AA" w:rsidP="005B36AA">
            <w:pPr>
              <w:pStyle w:val="T2"/>
              <w:rPr>
                <w:b/>
              </w:rPr>
            </w:pPr>
            <w:r>
              <w:rPr>
                <w:b/>
              </w:rPr>
              <w:t>1.4</w:t>
            </w:r>
          </w:p>
        </w:tc>
        <w:tc>
          <w:tcPr>
            <w:tcW w:w="1134" w:type="dxa"/>
          </w:tcPr>
          <w:p w14:paraId="6C4A11E1" w14:textId="77777777" w:rsidR="005B36AA" w:rsidRPr="00330817" w:rsidRDefault="005B36AA" w:rsidP="005B36AA">
            <w:pPr>
              <w:jc w:val="right"/>
              <w:rPr>
                <w:sz w:val="18"/>
              </w:rPr>
            </w:pPr>
            <w:r w:rsidRPr="00330817">
              <w:rPr>
                <w:sz w:val="18"/>
              </w:rPr>
              <w:t>0.2</w:t>
            </w:r>
          </w:p>
        </w:tc>
      </w:tr>
      <w:tr w:rsidR="005B36AA" w14:paraId="6585E90B" w14:textId="77777777" w:rsidTr="005B36AA">
        <w:trPr>
          <w:trHeight w:val="227"/>
        </w:trPr>
        <w:tc>
          <w:tcPr>
            <w:tcW w:w="7257" w:type="dxa"/>
            <w:vAlign w:val="bottom"/>
          </w:tcPr>
          <w:p w14:paraId="4CE8503B" w14:textId="77777777" w:rsidR="005B36AA" w:rsidRPr="00765393" w:rsidRDefault="005B36AA" w:rsidP="005B36AA">
            <w:pPr>
              <w:pStyle w:val="TableRowHead"/>
            </w:pPr>
            <w:r>
              <w:t xml:space="preserve">     </w:t>
            </w:r>
            <w:r w:rsidRPr="00765393">
              <w:t xml:space="preserve">transfer to Income Statement for the </w:t>
            </w:r>
            <w:r>
              <w:t>year</w:t>
            </w:r>
          </w:p>
        </w:tc>
        <w:tc>
          <w:tcPr>
            <w:tcW w:w="680" w:type="dxa"/>
            <w:shd w:val="clear" w:color="auto" w:fill="auto"/>
          </w:tcPr>
          <w:p w14:paraId="075ABDFB" w14:textId="77777777" w:rsidR="005B36AA" w:rsidRPr="00D03E8C" w:rsidRDefault="005B36AA" w:rsidP="005B36AA">
            <w:pPr>
              <w:pStyle w:val="T2"/>
              <w:rPr>
                <w:b/>
              </w:rPr>
            </w:pPr>
          </w:p>
        </w:tc>
        <w:tc>
          <w:tcPr>
            <w:tcW w:w="1134" w:type="dxa"/>
            <w:shd w:val="clear" w:color="auto" w:fill="auto"/>
            <w:vAlign w:val="bottom"/>
          </w:tcPr>
          <w:p w14:paraId="3F36F1CB" w14:textId="77777777" w:rsidR="005B36AA" w:rsidRPr="00D80872" w:rsidRDefault="005B36AA" w:rsidP="005B36AA">
            <w:pPr>
              <w:pStyle w:val="T2"/>
              <w:rPr>
                <w:b/>
              </w:rPr>
            </w:pPr>
            <w:r>
              <w:rPr>
                <w:b/>
              </w:rPr>
              <w:t>0.1</w:t>
            </w:r>
          </w:p>
        </w:tc>
        <w:tc>
          <w:tcPr>
            <w:tcW w:w="1134" w:type="dxa"/>
          </w:tcPr>
          <w:p w14:paraId="39E6C7A5" w14:textId="4F4E6D63" w:rsidR="005B36AA" w:rsidRPr="00330817" w:rsidRDefault="005B36AA" w:rsidP="005B36AA">
            <w:pPr>
              <w:jc w:val="right"/>
              <w:rPr>
                <w:sz w:val="18"/>
              </w:rPr>
            </w:pPr>
            <w:r w:rsidRPr="00330817">
              <w:rPr>
                <w:sz w:val="18"/>
              </w:rPr>
              <w:t>0.3</w:t>
            </w:r>
          </w:p>
        </w:tc>
      </w:tr>
      <w:tr w:rsidR="005B36AA" w14:paraId="1C8FE259" w14:textId="77777777" w:rsidTr="005B36AA">
        <w:trPr>
          <w:trHeight w:val="227"/>
        </w:trPr>
        <w:tc>
          <w:tcPr>
            <w:tcW w:w="7257" w:type="dxa"/>
            <w:tcBorders>
              <w:top w:val="single" w:sz="4" w:space="0" w:color="auto"/>
              <w:bottom w:val="single" w:sz="4" w:space="0" w:color="auto"/>
            </w:tcBorders>
          </w:tcPr>
          <w:p w14:paraId="5D4A3E9C" w14:textId="77777777" w:rsidR="005B36AA" w:rsidRPr="00765393" w:rsidRDefault="005B36AA" w:rsidP="005B36AA">
            <w:pPr>
              <w:pStyle w:val="TableRowHead"/>
            </w:pPr>
          </w:p>
        </w:tc>
        <w:tc>
          <w:tcPr>
            <w:tcW w:w="680" w:type="dxa"/>
            <w:tcBorders>
              <w:top w:val="single" w:sz="4" w:space="0" w:color="auto"/>
              <w:bottom w:val="single" w:sz="4" w:space="0" w:color="auto"/>
            </w:tcBorders>
          </w:tcPr>
          <w:p w14:paraId="0450CAEE" w14:textId="77777777" w:rsidR="005B36AA" w:rsidRDefault="005B36AA" w:rsidP="005B36AA">
            <w:pPr>
              <w:pStyle w:val="T2"/>
              <w:rPr>
                <w:b/>
              </w:rPr>
            </w:pPr>
          </w:p>
        </w:tc>
        <w:tc>
          <w:tcPr>
            <w:tcW w:w="1134" w:type="dxa"/>
            <w:tcBorders>
              <w:top w:val="single" w:sz="4" w:space="0" w:color="auto"/>
              <w:bottom w:val="single" w:sz="4" w:space="0" w:color="auto"/>
            </w:tcBorders>
            <w:vAlign w:val="bottom"/>
          </w:tcPr>
          <w:p w14:paraId="2A85C149" w14:textId="77777777" w:rsidR="005B36AA" w:rsidRPr="00D03E8C" w:rsidRDefault="005B36AA" w:rsidP="005B36AA">
            <w:pPr>
              <w:pStyle w:val="T2"/>
              <w:rPr>
                <w:b/>
              </w:rPr>
            </w:pPr>
            <w:r>
              <w:rPr>
                <w:b/>
              </w:rPr>
              <w:t>2.8</w:t>
            </w:r>
          </w:p>
        </w:tc>
        <w:tc>
          <w:tcPr>
            <w:tcW w:w="1134" w:type="dxa"/>
            <w:tcBorders>
              <w:top w:val="single" w:sz="4" w:space="0" w:color="auto"/>
              <w:bottom w:val="single" w:sz="4" w:space="0" w:color="auto"/>
            </w:tcBorders>
          </w:tcPr>
          <w:p w14:paraId="6854E988" w14:textId="77777777" w:rsidR="005B36AA" w:rsidRPr="00330817" w:rsidRDefault="005B36AA" w:rsidP="005B36AA">
            <w:pPr>
              <w:jc w:val="right"/>
              <w:rPr>
                <w:sz w:val="18"/>
              </w:rPr>
            </w:pPr>
            <w:r w:rsidRPr="00330817">
              <w:rPr>
                <w:sz w:val="18"/>
              </w:rPr>
              <w:t>8.6</w:t>
            </w:r>
          </w:p>
        </w:tc>
      </w:tr>
      <w:tr w:rsidR="005B36AA" w14:paraId="4C3E24C9" w14:textId="77777777" w:rsidTr="005B36AA">
        <w:trPr>
          <w:trHeight w:val="227"/>
        </w:trPr>
        <w:tc>
          <w:tcPr>
            <w:tcW w:w="7257" w:type="dxa"/>
            <w:tcBorders>
              <w:top w:val="single" w:sz="4" w:space="0" w:color="auto"/>
            </w:tcBorders>
          </w:tcPr>
          <w:p w14:paraId="56EB1EF0" w14:textId="77777777" w:rsidR="005B36AA" w:rsidRPr="00765393" w:rsidRDefault="005B36AA" w:rsidP="005B36AA">
            <w:pPr>
              <w:pStyle w:val="TableRowHead"/>
            </w:pPr>
            <w:r w:rsidRPr="00765393">
              <w:t>Net</w:t>
            </w:r>
            <w:r>
              <w:t xml:space="preserve"> </w:t>
            </w:r>
            <w:r w:rsidRPr="00765393">
              <w:t>income</w:t>
            </w:r>
            <w:r>
              <w:t xml:space="preserve">/(expense) </w:t>
            </w:r>
            <w:r w:rsidRPr="00765393">
              <w:t>recognised directly within equity</w:t>
            </w:r>
          </w:p>
        </w:tc>
        <w:tc>
          <w:tcPr>
            <w:tcW w:w="680" w:type="dxa"/>
            <w:tcBorders>
              <w:top w:val="single" w:sz="4" w:space="0" w:color="auto"/>
            </w:tcBorders>
          </w:tcPr>
          <w:p w14:paraId="150EB648" w14:textId="77777777" w:rsidR="005B36AA" w:rsidRDefault="005B36AA" w:rsidP="005B36AA">
            <w:pPr>
              <w:pStyle w:val="T2"/>
              <w:rPr>
                <w:b/>
              </w:rPr>
            </w:pPr>
          </w:p>
        </w:tc>
        <w:tc>
          <w:tcPr>
            <w:tcW w:w="1134" w:type="dxa"/>
            <w:tcBorders>
              <w:top w:val="single" w:sz="4" w:space="0" w:color="auto"/>
            </w:tcBorders>
            <w:vAlign w:val="bottom"/>
          </w:tcPr>
          <w:p w14:paraId="70739A81" w14:textId="77777777" w:rsidR="005B36AA" w:rsidRPr="00D03E8C" w:rsidRDefault="005B36AA" w:rsidP="005B36AA">
            <w:pPr>
              <w:pStyle w:val="T2"/>
              <w:rPr>
                <w:b/>
              </w:rPr>
            </w:pPr>
            <w:r>
              <w:rPr>
                <w:b/>
              </w:rPr>
              <w:t>6.7</w:t>
            </w:r>
          </w:p>
        </w:tc>
        <w:tc>
          <w:tcPr>
            <w:tcW w:w="1134" w:type="dxa"/>
            <w:tcBorders>
              <w:top w:val="single" w:sz="4" w:space="0" w:color="auto"/>
            </w:tcBorders>
          </w:tcPr>
          <w:p w14:paraId="1DFB4977" w14:textId="77777777" w:rsidR="005B36AA" w:rsidRPr="00330817" w:rsidRDefault="005B36AA" w:rsidP="005B36AA">
            <w:pPr>
              <w:jc w:val="right"/>
              <w:rPr>
                <w:sz w:val="18"/>
              </w:rPr>
            </w:pPr>
            <w:r w:rsidRPr="00330817">
              <w:rPr>
                <w:sz w:val="18"/>
              </w:rPr>
              <w:t>(1.8)</w:t>
            </w:r>
          </w:p>
        </w:tc>
      </w:tr>
      <w:tr w:rsidR="005B36AA" w14:paraId="65EE10C1" w14:textId="77777777" w:rsidTr="005B36AA">
        <w:trPr>
          <w:trHeight w:val="227"/>
        </w:trPr>
        <w:tc>
          <w:tcPr>
            <w:tcW w:w="7257" w:type="dxa"/>
            <w:tcBorders>
              <w:bottom w:val="single" w:sz="4" w:space="0" w:color="auto"/>
            </w:tcBorders>
          </w:tcPr>
          <w:p w14:paraId="07160299" w14:textId="77777777" w:rsidR="005B36AA" w:rsidRPr="00765393" w:rsidRDefault="005B36AA" w:rsidP="005B36AA">
            <w:pPr>
              <w:pStyle w:val="TableRowHead"/>
            </w:pPr>
            <w:r>
              <w:t>(Loss)/p</w:t>
            </w:r>
            <w:r w:rsidRPr="00765393">
              <w:t xml:space="preserve">rofit for the financial </w:t>
            </w:r>
            <w:r>
              <w:t>year</w:t>
            </w:r>
          </w:p>
        </w:tc>
        <w:tc>
          <w:tcPr>
            <w:tcW w:w="680" w:type="dxa"/>
            <w:tcBorders>
              <w:bottom w:val="single" w:sz="4" w:space="0" w:color="auto"/>
            </w:tcBorders>
          </w:tcPr>
          <w:p w14:paraId="726E574F" w14:textId="77777777" w:rsidR="005B36AA" w:rsidRDefault="005B36AA" w:rsidP="005B36AA">
            <w:pPr>
              <w:pStyle w:val="T2"/>
              <w:rPr>
                <w:b/>
              </w:rPr>
            </w:pPr>
          </w:p>
        </w:tc>
        <w:tc>
          <w:tcPr>
            <w:tcW w:w="1134" w:type="dxa"/>
            <w:tcBorders>
              <w:bottom w:val="single" w:sz="4" w:space="0" w:color="auto"/>
            </w:tcBorders>
            <w:vAlign w:val="bottom"/>
          </w:tcPr>
          <w:p w14:paraId="0E186697" w14:textId="77777777" w:rsidR="005B36AA" w:rsidRPr="00D03E8C" w:rsidRDefault="005B36AA" w:rsidP="005B36AA">
            <w:pPr>
              <w:pStyle w:val="T2"/>
              <w:rPr>
                <w:b/>
              </w:rPr>
            </w:pPr>
            <w:r>
              <w:rPr>
                <w:b/>
              </w:rPr>
              <w:t>(9.9)</w:t>
            </w:r>
          </w:p>
        </w:tc>
        <w:tc>
          <w:tcPr>
            <w:tcW w:w="1134" w:type="dxa"/>
            <w:tcBorders>
              <w:bottom w:val="single" w:sz="4" w:space="0" w:color="auto"/>
            </w:tcBorders>
          </w:tcPr>
          <w:p w14:paraId="5924701E" w14:textId="77777777" w:rsidR="005B36AA" w:rsidRPr="00330817" w:rsidRDefault="005B36AA" w:rsidP="005B36AA">
            <w:pPr>
              <w:jc w:val="right"/>
              <w:rPr>
                <w:sz w:val="18"/>
              </w:rPr>
            </w:pPr>
            <w:r w:rsidRPr="00330817">
              <w:rPr>
                <w:sz w:val="18"/>
              </w:rPr>
              <w:t>108.2</w:t>
            </w:r>
          </w:p>
        </w:tc>
      </w:tr>
      <w:tr w:rsidR="005B36AA" w14:paraId="3958CEF8" w14:textId="77777777" w:rsidTr="005B36AA">
        <w:trPr>
          <w:trHeight w:val="227"/>
        </w:trPr>
        <w:tc>
          <w:tcPr>
            <w:tcW w:w="7257" w:type="dxa"/>
            <w:tcBorders>
              <w:top w:val="single" w:sz="4" w:space="0" w:color="auto"/>
              <w:bottom w:val="single" w:sz="8" w:space="0" w:color="auto"/>
            </w:tcBorders>
          </w:tcPr>
          <w:p w14:paraId="79059E7E" w14:textId="77777777" w:rsidR="005B36AA" w:rsidRPr="00F7391A" w:rsidRDefault="005B36AA" w:rsidP="005B36AA">
            <w:pPr>
              <w:pStyle w:val="TableRowHead"/>
              <w:rPr>
                <w:b/>
              </w:rPr>
            </w:pPr>
            <w:r w:rsidRPr="00F7391A">
              <w:rPr>
                <w:b/>
              </w:rPr>
              <w:t xml:space="preserve">Total </w:t>
            </w:r>
            <w:r>
              <w:rPr>
                <w:b/>
              </w:rPr>
              <w:t>comprehensive income</w:t>
            </w:r>
            <w:r w:rsidRPr="00F7391A">
              <w:rPr>
                <w:b/>
              </w:rPr>
              <w:t xml:space="preserve"> for the financial year</w:t>
            </w:r>
          </w:p>
        </w:tc>
        <w:tc>
          <w:tcPr>
            <w:tcW w:w="680" w:type="dxa"/>
            <w:tcBorders>
              <w:top w:val="single" w:sz="4" w:space="0" w:color="auto"/>
              <w:bottom w:val="single" w:sz="8" w:space="0" w:color="auto"/>
            </w:tcBorders>
          </w:tcPr>
          <w:p w14:paraId="679E3491" w14:textId="77777777" w:rsidR="005B36AA" w:rsidRDefault="005B36AA" w:rsidP="005B36AA">
            <w:pPr>
              <w:pStyle w:val="T2"/>
              <w:rPr>
                <w:b/>
              </w:rPr>
            </w:pPr>
          </w:p>
        </w:tc>
        <w:tc>
          <w:tcPr>
            <w:tcW w:w="1134" w:type="dxa"/>
            <w:tcBorders>
              <w:top w:val="single" w:sz="4" w:space="0" w:color="auto"/>
              <w:bottom w:val="single" w:sz="8" w:space="0" w:color="auto"/>
            </w:tcBorders>
            <w:vAlign w:val="bottom"/>
          </w:tcPr>
          <w:p w14:paraId="3B5394FD"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1087807C" w14:textId="77777777" w:rsidR="005B36AA" w:rsidRPr="00330817" w:rsidRDefault="005B36AA" w:rsidP="005B36AA">
            <w:pPr>
              <w:jc w:val="right"/>
              <w:rPr>
                <w:sz w:val="18"/>
              </w:rPr>
            </w:pPr>
            <w:r w:rsidRPr="00330817">
              <w:rPr>
                <w:sz w:val="18"/>
              </w:rPr>
              <w:t>106.4</w:t>
            </w:r>
          </w:p>
        </w:tc>
      </w:tr>
      <w:tr w:rsidR="005B36AA" w14:paraId="4B3E7B16" w14:textId="77777777" w:rsidTr="005B36AA">
        <w:trPr>
          <w:trHeight w:val="227"/>
        </w:trPr>
        <w:tc>
          <w:tcPr>
            <w:tcW w:w="7257" w:type="dxa"/>
            <w:tcBorders>
              <w:top w:val="single" w:sz="8" w:space="0" w:color="auto"/>
            </w:tcBorders>
          </w:tcPr>
          <w:p w14:paraId="1F08C33B" w14:textId="77777777" w:rsidR="005B36AA" w:rsidRPr="00765393" w:rsidRDefault="005B36AA" w:rsidP="005B36AA">
            <w:pPr>
              <w:pStyle w:val="TableRowHead"/>
            </w:pPr>
          </w:p>
        </w:tc>
        <w:tc>
          <w:tcPr>
            <w:tcW w:w="680" w:type="dxa"/>
            <w:tcBorders>
              <w:top w:val="single" w:sz="8" w:space="0" w:color="auto"/>
            </w:tcBorders>
          </w:tcPr>
          <w:p w14:paraId="2E367EAF" w14:textId="77777777" w:rsidR="005B36AA" w:rsidRPr="00D03E8C" w:rsidRDefault="005B36AA" w:rsidP="005B36AA">
            <w:pPr>
              <w:pStyle w:val="T2"/>
              <w:rPr>
                <w:b/>
              </w:rPr>
            </w:pPr>
          </w:p>
        </w:tc>
        <w:tc>
          <w:tcPr>
            <w:tcW w:w="1134" w:type="dxa"/>
            <w:tcBorders>
              <w:top w:val="single" w:sz="8" w:space="0" w:color="auto"/>
            </w:tcBorders>
            <w:vAlign w:val="bottom"/>
          </w:tcPr>
          <w:p w14:paraId="7BA6C7A7" w14:textId="77777777" w:rsidR="005B36AA" w:rsidRPr="00D03E8C" w:rsidRDefault="005B36AA" w:rsidP="005B36AA">
            <w:pPr>
              <w:pStyle w:val="T2"/>
              <w:rPr>
                <w:b/>
              </w:rPr>
            </w:pPr>
          </w:p>
        </w:tc>
        <w:tc>
          <w:tcPr>
            <w:tcW w:w="1134" w:type="dxa"/>
            <w:tcBorders>
              <w:top w:val="single" w:sz="8" w:space="0" w:color="auto"/>
            </w:tcBorders>
          </w:tcPr>
          <w:p w14:paraId="484647D4" w14:textId="77777777" w:rsidR="005B36AA" w:rsidRPr="00330817" w:rsidRDefault="005B36AA" w:rsidP="005B36AA">
            <w:pPr>
              <w:jc w:val="right"/>
              <w:rPr>
                <w:sz w:val="18"/>
              </w:rPr>
            </w:pPr>
          </w:p>
        </w:tc>
      </w:tr>
      <w:tr w:rsidR="005B36AA" w14:paraId="759AE53B" w14:textId="77777777" w:rsidTr="005B36AA">
        <w:trPr>
          <w:trHeight w:val="227"/>
        </w:trPr>
        <w:tc>
          <w:tcPr>
            <w:tcW w:w="7257" w:type="dxa"/>
            <w:vAlign w:val="bottom"/>
          </w:tcPr>
          <w:p w14:paraId="3704EA7D" w14:textId="77777777" w:rsidR="005B36AA" w:rsidRPr="00F7391A" w:rsidRDefault="005B36AA" w:rsidP="005B36AA">
            <w:pPr>
              <w:pStyle w:val="TableRowHead"/>
              <w:rPr>
                <w:b/>
              </w:rPr>
            </w:pPr>
            <w:r w:rsidRPr="00F7391A">
              <w:rPr>
                <w:b/>
              </w:rPr>
              <w:t>Attributable to:</w:t>
            </w:r>
          </w:p>
        </w:tc>
        <w:tc>
          <w:tcPr>
            <w:tcW w:w="680" w:type="dxa"/>
          </w:tcPr>
          <w:p w14:paraId="52A47BAD" w14:textId="77777777" w:rsidR="005B36AA" w:rsidRPr="00D03E8C" w:rsidRDefault="005B36AA" w:rsidP="005B36AA">
            <w:pPr>
              <w:pStyle w:val="T2"/>
              <w:rPr>
                <w:b/>
              </w:rPr>
            </w:pPr>
          </w:p>
        </w:tc>
        <w:tc>
          <w:tcPr>
            <w:tcW w:w="1134" w:type="dxa"/>
            <w:vAlign w:val="bottom"/>
          </w:tcPr>
          <w:p w14:paraId="0B297384" w14:textId="77777777" w:rsidR="005B36AA" w:rsidRPr="00D03E8C" w:rsidRDefault="005B36AA" w:rsidP="005B36AA">
            <w:pPr>
              <w:pStyle w:val="T2"/>
              <w:rPr>
                <w:b/>
              </w:rPr>
            </w:pPr>
          </w:p>
        </w:tc>
        <w:tc>
          <w:tcPr>
            <w:tcW w:w="1134" w:type="dxa"/>
          </w:tcPr>
          <w:p w14:paraId="5041565C" w14:textId="77777777" w:rsidR="005B36AA" w:rsidRPr="00330817" w:rsidRDefault="005B36AA" w:rsidP="005B36AA">
            <w:pPr>
              <w:jc w:val="right"/>
              <w:rPr>
                <w:sz w:val="18"/>
              </w:rPr>
            </w:pPr>
          </w:p>
        </w:tc>
      </w:tr>
      <w:tr w:rsidR="005B36AA" w14:paraId="1A2DDE47" w14:textId="77777777" w:rsidTr="005B36AA">
        <w:trPr>
          <w:trHeight w:val="227"/>
        </w:trPr>
        <w:tc>
          <w:tcPr>
            <w:tcW w:w="7257" w:type="dxa"/>
            <w:vAlign w:val="bottom"/>
          </w:tcPr>
          <w:p w14:paraId="5258F228" w14:textId="77777777" w:rsidR="005B36AA" w:rsidRPr="00765393" w:rsidRDefault="005B36AA" w:rsidP="005B36AA">
            <w:pPr>
              <w:pStyle w:val="TableRowHead"/>
            </w:pPr>
            <w:r w:rsidRPr="00765393">
              <w:t>Equity shareholders</w:t>
            </w:r>
          </w:p>
        </w:tc>
        <w:tc>
          <w:tcPr>
            <w:tcW w:w="680" w:type="dxa"/>
          </w:tcPr>
          <w:p w14:paraId="394ECDC3" w14:textId="77777777" w:rsidR="005B36AA" w:rsidRPr="00D03E8C" w:rsidRDefault="005B36AA" w:rsidP="005B36AA">
            <w:pPr>
              <w:pStyle w:val="T2"/>
              <w:rPr>
                <w:b/>
              </w:rPr>
            </w:pPr>
          </w:p>
        </w:tc>
        <w:tc>
          <w:tcPr>
            <w:tcW w:w="1134" w:type="dxa"/>
            <w:vAlign w:val="bottom"/>
          </w:tcPr>
          <w:p w14:paraId="1F387487" w14:textId="77777777" w:rsidR="005B36AA" w:rsidRPr="00D03E8C" w:rsidRDefault="005B36AA" w:rsidP="005B36AA">
            <w:pPr>
              <w:pStyle w:val="T2"/>
              <w:rPr>
                <w:b/>
              </w:rPr>
            </w:pPr>
            <w:r>
              <w:rPr>
                <w:b/>
              </w:rPr>
              <w:t>(4.9)</w:t>
            </w:r>
          </w:p>
        </w:tc>
        <w:tc>
          <w:tcPr>
            <w:tcW w:w="1134" w:type="dxa"/>
          </w:tcPr>
          <w:p w14:paraId="53DB2BD8" w14:textId="77777777" w:rsidR="005B36AA" w:rsidRPr="00330817" w:rsidRDefault="005B36AA" w:rsidP="005B36AA">
            <w:pPr>
              <w:jc w:val="right"/>
              <w:rPr>
                <w:sz w:val="18"/>
              </w:rPr>
            </w:pPr>
            <w:r w:rsidRPr="00330817">
              <w:rPr>
                <w:sz w:val="18"/>
              </w:rPr>
              <w:t>104.2</w:t>
            </w:r>
          </w:p>
        </w:tc>
      </w:tr>
      <w:tr w:rsidR="005B36AA" w14:paraId="54524F17" w14:textId="77777777" w:rsidTr="005B36AA">
        <w:trPr>
          <w:trHeight w:val="227"/>
        </w:trPr>
        <w:tc>
          <w:tcPr>
            <w:tcW w:w="7257" w:type="dxa"/>
            <w:tcBorders>
              <w:bottom w:val="single" w:sz="4" w:space="0" w:color="auto"/>
            </w:tcBorders>
            <w:vAlign w:val="bottom"/>
          </w:tcPr>
          <w:p w14:paraId="6CB51757" w14:textId="77777777" w:rsidR="005B36AA" w:rsidRPr="00765393" w:rsidRDefault="005B36AA" w:rsidP="005B36AA">
            <w:pPr>
              <w:pStyle w:val="TableRowHead"/>
            </w:pPr>
            <w:r w:rsidRPr="00765393">
              <w:t>Non-controlling interests</w:t>
            </w:r>
          </w:p>
        </w:tc>
        <w:tc>
          <w:tcPr>
            <w:tcW w:w="680" w:type="dxa"/>
            <w:tcBorders>
              <w:bottom w:val="single" w:sz="4" w:space="0" w:color="auto"/>
            </w:tcBorders>
          </w:tcPr>
          <w:p w14:paraId="7A4D64BB" w14:textId="77777777" w:rsidR="005B36AA" w:rsidRPr="00D03E8C" w:rsidRDefault="005B36AA" w:rsidP="005B36AA">
            <w:pPr>
              <w:pStyle w:val="T2"/>
              <w:rPr>
                <w:b/>
              </w:rPr>
            </w:pPr>
          </w:p>
        </w:tc>
        <w:tc>
          <w:tcPr>
            <w:tcW w:w="1134" w:type="dxa"/>
            <w:tcBorders>
              <w:bottom w:val="single" w:sz="4" w:space="0" w:color="auto"/>
            </w:tcBorders>
            <w:vAlign w:val="bottom"/>
          </w:tcPr>
          <w:p w14:paraId="061E4B27" w14:textId="77777777" w:rsidR="005B36AA" w:rsidRPr="00D03E8C" w:rsidRDefault="005B36AA" w:rsidP="005B36AA">
            <w:pPr>
              <w:pStyle w:val="T2"/>
              <w:rPr>
                <w:b/>
              </w:rPr>
            </w:pPr>
            <w:r>
              <w:rPr>
                <w:b/>
              </w:rPr>
              <w:t>1.7</w:t>
            </w:r>
          </w:p>
        </w:tc>
        <w:tc>
          <w:tcPr>
            <w:tcW w:w="1134" w:type="dxa"/>
            <w:tcBorders>
              <w:bottom w:val="single" w:sz="4" w:space="0" w:color="auto"/>
            </w:tcBorders>
          </w:tcPr>
          <w:p w14:paraId="5335DC53" w14:textId="77777777" w:rsidR="005B36AA" w:rsidRPr="00330817" w:rsidRDefault="005B36AA" w:rsidP="005B36AA">
            <w:pPr>
              <w:jc w:val="right"/>
              <w:rPr>
                <w:sz w:val="18"/>
              </w:rPr>
            </w:pPr>
            <w:r w:rsidRPr="00330817">
              <w:rPr>
                <w:sz w:val="18"/>
              </w:rPr>
              <w:t>2.2</w:t>
            </w:r>
          </w:p>
        </w:tc>
      </w:tr>
      <w:tr w:rsidR="005B36AA" w14:paraId="3B9406F6" w14:textId="77777777" w:rsidTr="005B36AA">
        <w:trPr>
          <w:trHeight w:val="227"/>
        </w:trPr>
        <w:tc>
          <w:tcPr>
            <w:tcW w:w="7257" w:type="dxa"/>
            <w:tcBorders>
              <w:top w:val="single" w:sz="4" w:space="0" w:color="auto"/>
              <w:bottom w:val="single" w:sz="8" w:space="0" w:color="auto"/>
            </w:tcBorders>
            <w:vAlign w:val="bottom"/>
          </w:tcPr>
          <w:p w14:paraId="74B1179E" w14:textId="77777777" w:rsidR="005B36AA" w:rsidRPr="00D246B7" w:rsidRDefault="005B36AA" w:rsidP="005B36AA">
            <w:pPr>
              <w:pStyle w:val="TableRowHead"/>
              <w:rPr>
                <w:b/>
              </w:rPr>
            </w:pPr>
            <w:r w:rsidRPr="00D246B7">
              <w:rPr>
                <w:b/>
              </w:rPr>
              <w:t xml:space="preserve">Total </w:t>
            </w:r>
            <w:r>
              <w:rPr>
                <w:b/>
              </w:rPr>
              <w:t>comprehensive i</w:t>
            </w:r>
            <w:r w:rsidRPr="00D246B7">
              <w:rPr>
                <w:b/>
              </w:rPr>
              <w:t xml:space="preserve">ncome for the financial </w:t>
            </w:r>
            <w:r>
              <w:rPr>
                <w:b/>
              </w:rPr>
              <w:t>year</w:t>
            </w:r>
          </w:p>
        </w:tc>
        <w:tc>
          <w:tcPr>
            <w:tcW w:w="680" w:type="dxa"/>
            <w:tcBorders>
              <w:top w:val="single" w:sz="4" w:space="0" w:color="auto"/>
              <w:bottom w:val="single" w:sz="8" w:space="0" w:color="auto"/>
            </w:tcBorders>
          </w:tcPr>
          <w:p w14:paraId="48E408AD" w14:textId="77777777" w:rsidR="005B36AA" w:rsidRPr="00D03E8C" w:rsidRDefault="005B36AA" w:rsidP="005B36AA">
            <w:pPr>
              <w:pStyle w:val="T2"/>
              <w:rPr>
                <w:b/>
              </w:rPr>
            </w:pPr>
          </w:p>
        </w:tc>
        <w:tc>
          <w:tcPr>
            <w:tcW w:w="1134" w:type="dxa"/>
            <w:tcBorders>
              <w:top w:val="single" w:sz="4" w:space="0" w:color="auto"/>
              <w:bottom w:val="single" w:sz="8" w:space="0" w:color="auto"/>
            </w:tcBorders>
            <w:vAlign w:val="bottom"/>
          </w:tcPr>
          <w:p w14:paraId="6F2DAD7C"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466569AE" w14:textId="77777777" w:rsidR="005B36AA" w:rsidRPr="00330817" w:rsidRDefault="005B36AA" w:rsidP="005B36AA">
            <w:pPr>
              <w:jc w:val="right"/>
              <w:rPr>
                <w:sz w:val="18"/>
              </w:rPr>
            </w:pPr>
            <w:r w:rsidRPr="00330817">
              <w:rPr>
                <w:sz w:val="18"/>
              </w:rPr>
              <w:t>106.4</w:t>
            </w:r>
          </w:p>
        </w:tc>
      </w:tr>
      <w:tr w:rsidR="005B36AA" w14:paraId="796988E2" w14:textId="77777777" w:rsidTr="005B36AA">
        <w:trPr>
          <w:trHeight w:val="227"/>
        </w:trPr>
        <w:tc>
          <w:tcPr>
            <w:tcW w:w="7257" w:type="dxa"/>
            <w:tcBorders>
              <w:top w:val="single" w:sz="8" w:space="0" w:color="auto"/>
            </w:tcBorders>
          </w:tcPr>
          <w:p w14:paraId="38DBE189" w14:textId="77777777" w:rsidR="005B36AA" w:rsidRPr="00765393" w:rsidRDefault="005B36AA" w:rsidP="005B36AA">
            <w:pPr>
              <w:pStyle w:val="TableRowHead"/>
            </w:pPr>
          </w:p>
        </w:tc>
        <w:tc>
          <w:tcPr>
            <w:tcW w:w="680" w:type="dxa"/>
            <w:tcBorders>
              <w:top w:val="single" w:sz="8" w:space="0" w:color="auto"/>
            </w:tcBorders>
          </w:tcPr>
          <w:p w14:paraId="66681A43" w14:textId="77777777" w:rsidR="005B36AA" w:rsidRPr="00D03E8C" w:rsidRDefault="005B36AA" w:rsidP="005B36AA">
            <w:pPr>
              <w:pStyle w:val="T2"/>
              <w:rPr>
                <w:b/>
              </w:rPr>
            </w:pPr>
          </w:p>
        </w:tc>
        <w:tc>
          <w:tcPr>
            <w:tcW w:w="1134" w:type="dxa"/>
            <w:tcBorders>
              <w:top w:val="single" w:sz="8" w:space="0" w:color="auto"/>
            </w:tcBorders>
            <w:vAlign w:val="bottom"/>
          </w:tcPr>
          <w:p w14:paraId="42C45FD8" w14:textId="77777777" w:rsidR="005B36AA" w:rsidRPr="00D03E8C" w:rsidRDefault="005B36AA" w:rsidP="005B36AA">
            <w:pPr>
              <w:pStyle w:val="T2"/>
              <w:rPr>
                <w:b/>
              </w:rPr>
            </w:pPr>
          </w:p>
        </w:tc>
        <w:tc>
          <w:tcPr>
            <w:tcW w:w="1134" w:type="dxa"/>
            <w:tcBorders>
              <w:top w:val="single" w:sz="8" w:space="0" w:color="auto"/>
            </w:tcBorders>
          </w:tcPr>
          <w:p w14:paraId="029DC3B4" w14:textId="77777777" w:rsidR="005B36AA" w:rsidRPr="00330817" w:rsidRDefault="005B36AA" w:rsidP="005B36AA">
            <w:pPr>
              <w:jc w:val="right"/>
              <w:rPr>
                <w:sz w:val="18"/>
              </w:rPr>
            </w:pPr>
          </w:p>
        </w:tc>
      </w:tr>
      <w:tr w:rsidR="005B36AA" w14:paraId="270DC283" w14:textId="77777777" w:rsidTr="005B36AA">
        <w:trPr>
          <w:trHeight w:val="227"/>
        </w:trPr>
        <w:tc>
          <w:tcPr>
            <w:tcW w:w="7257" w:type="dxa"/>
            <w:vAlign w:val="bottom"/>
          </w:tcPr>
          <w:p w14:paraId="60B544A8" w14:textId="77777777" w:rsidR="005B36AA" w:rsidRPr="00D246B7" w:rsidRDefault="005B36AA" w:rsidP="005B36AA">
            <w:pPr>
              <w:pStyle w:val="TableRowHead"/>
              <w:rPr>
                <w:b/>
              </w:rPr>
            </w:pPr>
            <w:r w:rsidRPr="00D246B7">
              <w:rPr>
                <w:b/>
              </w:rPr>
              <w:t>Attributable to:</w:t>
            </w:r>
          </w:p>
        </w:tc>
        <w:tc>
          <w:tcPr>
            <w:tcW w:w="680" w:type="dxa"/>
          </w:tcPr>
          <w:p w14:paraId="2517C9DC" w14:textId="77777777" w:rsidR="005B36AA" w:rsidRPr="00D03E8C" w:rsidRDefault="005B36AA" w:rsidP="005B36AA">
            <w:pPr>
              <w:pStyle w:val="T2"/>
              <w:rPr>
                <w:b/>
              </w:rPr>
            </w:pPr>
          </w:p>
        </w:tc>
        <w:tc>
          <w:tcPr>
            <w:tcW w:w="1134" w:type="dxa"/>
            <w:vAlign w:val="bottom"/>
          </w:tcPr>
          <w:p w14:paraId="1CA7B4D2" w14:textId="77777777" w:rsidR="005B36AA" w:rsidRPr="00D03E8C" w:rsidRDefault="005B36AA" w:rsidP="005B36AA">
            <w:pPr>
              <w:pStyle w:val="T2"/>
              <w:rPr>
                <w:b/>
              </w:rPr>
            </w:pPr>
          </w:p>
        </w:tc>
        <w:tc>
          <w:tcPr>
            <w:tcW w:w="1134" w:type="dxa"/>
          </w:tcPr>
          <w:p w14:paraId="68D0A318" w14:textId="77777777" w:rsidR="005B36AA" w:rsidRPr="00330817" w:rsidRDefault="005B36AA" w:rsidP="005B36AA">
            <w:pPr>
              <w:jc w:val="right"/>
              <w:rPr>
                <w:sz w:val="18"/>
              </w:rPr>
            </w:pPr>
          </w:p>
        </w:tc>
      </w:tr>
      <w:tr w:rsidR="005B36AA" w14:paraId="48BDFA3C" w14:textId="77777777" w:rsidTr="005B36AA">
        <w:trPr>
          <w:trHeight w:val="227"/>
        </w:trPr>
        <w:tc>
          <w:tcPr>
            <w:tcW w:w="7257" w:type="dxa"/>
            <w:vAlign w:val="bottom"/>
          </w:tcPr>
          <w:p w14:paraId="55EBD98E" w14:textId="77777777" w:rsidR="005B36AA" w:rsidRPr="00765393" w:rsidRDefault="005B36AA" w:rsidP="005B36AA">
            <w:pPr>
              <w:pStyle w:val="TableRowHead"/>
            </w:pPr>
            <w:r w:rsidRPr="00765393">
              <w:t>Continuing operations</w:t>
            </w:r>
          </w:p>
        </w:tc>
        <w:tc>
          <w:tcPr>
            <w:tcW w:w="680" w:type="dxa"/>
          </w:tcPr>
          <w:p w14:paraId="5405FEBE" w14:textId="77777777" w:rsidR="005B36AA" w:rsidRPr="00D03E8C" w:rsidRDefault="005B36AA" w:rsidP="005B36AA">
            <w:pPr>
              <w:pStyle w:val="T2"/>
              <w:rPr>
                <w:b/>
              </w:rPr>
            </w:pPr>
          </w:p>
        </w:tc>
        <w:tc>
          <w:tcPr>
            <w:tcW w:w="1134" w:type="dxa"/>
            <w:vAlign w:val="bottom"/>
          </w:tcPr>
          <w:p w14:paraId="050A96EB" w14:textId="77777777" w:rsidR="005B36AA" w:rsidRPr="00D03E8C" w:rsidRDefault="005B36AA" w:rsidP="005B36AA">
            <w:pPr>
              <w:pStyle w:val="T2"/>
              <w:rPr>
                <w:b/>
              </w:rPr>
            </w:pPr>
            <w:r>
              <w:rPr>
                <w:b/>
              </w:rPr>
              <w:t>(3.2)</w:t>
            </w:r>
          </w:p>
        </w:tc>
        <w:tc>
          <w:tcPr>
            <w:tcW w:w="1134" w:type="dxa"/>
          </w:tcPr>
          <w:p w14:paraId="024C6B53" w14:textId="77777777" w:rsidR="005B36AA" w:rsidRPr="00330817" w:rsidRDefault="005B36AA" w:rsidP="005B36AA">
            <w:pPr>
              <w:jc w:val="right"/>
              <w:rPr>
                <w:sz w:val="18"/>
              </w:rPr>
            </w:pPr>
            <w:r w:rsidRPr="00330817">
              <w:rPr>
                <w:sz w:val="18"/>
              </w:rPr>
              <w:t>49.8</w:t>
            </w:r>
          </w:p>
        </w:tc>
      </w:tr>
      <w:tr w:rsidR="005B36AA" w14:paraId="316788EF" w14:textId="77777777" w:rsidTr="005B36AA">
        <w:trPr>
          <w:trHeight w:val="227"/>
        </w:trPr>
        <w:tc>
          <w:tcPr>
            <w:tcW w:w="7257" w:type="dxa"/>
            <w:tcBorders>
              <w:bottom w:val="single" w:sz="4" w:space="0" w:color="auto"/>
            </w:tcBorders>
            <w:vAlign w:val="bottom"/>
          </w:tcPr>
          <w:p w14:paraId="3B35BAA6" w14:textId="77777777" w:rsidR="005B36AA" w:rsidRPr="00765393" w:rsidRDefault="005B36AA" w:rsidP="005B36AA">
            <w:pPr>
              <w:pStyle w:val="TableRowHead"/>
            </w:pPr>
            <w:r w:rsidRPr="00765393">
              <w:t>Discontinued operations</w:t>
            </w:r>
          </w:p>
        </w:tc>
        <w:tc>
          <w:tcPr>
            <w:tcW w:w="680" w:type="dxa"/>
            <w:tcBorders>
              <w:bottom w:val="single" w:sz="4" w:space="0" w:color="auto"/>
            </w:tcBorders>
          </w:tcPr>
          <w:p w14:paraId="17463D89" w14:textId="77777777" w:rsidR="005B36AA" w:rsidRPr="00D03E8C" w:rsidRDefault="005B36AA" w:rsidP="005B36AA">
            <w:pPr>
              <w:pStyle w:val="T2"/>
              <w:rPr>
                <w:b/>
              </w:rPr>
            </w:pPr>
          </w:p>
        </w:tc>
        <w:tc>
          <w:tcPr>
            <w:tcW w:w="1134" w:type="dxa"/>
            <w:tcBorders>
              <w:bottom w:val="single" w:sz="4" w:space="0" w:color="auto"/>
            </w:tcBorders>
            <w:vAlign w:val="bottom"/>
          </w:tcPr>
          <w:p w14:paraId="7CB37254" w14:textId="77777777" w:rsidR="005B36AA" w:rsidRPr="00D03E8C" w:rsidRDefault="005B36AA" w:rsidP="005B36AA">
            <w:pPr>
              <w:pStyle w:val="T2"/>
              <w:rPr>
                <w:b/>
              </w:rPr>
            </w:pPr>
            <w:r>
              <w:rPr>
                <w:b/>
              </w:rPr>
              <w:t>-</w:t>
            </w:r>
          </w:p>
        </w:tc>
        <w:tc>
          <w:tcPr>
            <w:tcW w:w="1134" w:type="dxa"/>
            <w:tcBorders>
              <w:bottom w:val="single" w:sz="4" w:space="0" w:color="auto"/>
            </w:tcBorders>
          </w:tcPr>
          <w:p w14:paraId="0B35FE40" w14:textId="77777777" w:rsidR="005B36AA" w:rsidRPr="00330817" w:rsidRDefault="005B36AA" w:rsidP="005B36AA">
            <w:pPr>
              <w:jc w:val="right"/>
              <w:rPr>
                <w:sz w:val="18"/>
              </w:rPr>
            </w:pPr>
            <w:r w:rsidRPr="00330817">
              <w:rPr>
                <w:sz w:val="18"/>
              </w:rPr>
              <w:t>56.6</w:t>
            </w:r>
          </w:p>
        </w:tc>
      </w:tr>
      <w:tr w:rsidR="005B36AA" w14:paraId="45ACC4D2" w14:textId="77777777" w:rsidTr="005B36AA">
        <w:trPr>
          <w:trHeight w:val="227"/>
        </w:trPr>
        <w:tc>
          <w:tcPr>
            <w:tcW w:w="7257" w:type="dxa"/>
            <w:tcBorders>
              <w:top w:val="single" w:sz="4" w:space="0" w:color="auto"/>
              <w:bottom w:val="single" w:sz="8" w:space="0" w:color="auto"/>
            </w:tcBorders>
            <w:vAlign w:val="bottom"/>
          </w:tcPr>
          <w:p w14:paraId="6BFD0EB1" w14:textId="77777777" w:rsidR="005B36AA" w:rsidRPr="00D246B7" w:rsidRDefault="005B36AA" w:rsidP="005B36AA">
            <w:pPr>
              <w:pStyle w:val="TableRowHead"/>
              <w:rPr>
                <w:b/>
              </w:rPr>
            </w:pPr>
            <w:r w:rsidRPr="00D246B7">
              <w:rPr>
                <w:b/>
              </w:rPr>
              <w:t xml:space="preserve">Total </w:t>
            </w:r>
            <w:r>
              <w:rPr>
                <w:b/>
              </w:rPr>
              <w:t>comprehensive i</w:t>
            </w:r>
            <w:r w:rsidRPr="00D246B7">
              <w:rPr>
                <w:b/>
              </w:rPr>
              <w:t xml:space="preserve">ncome </w:t>
            </w:r>
            <w:r>
              <w:rPr>
                <w:b/>
              </w:rPr>
              <w:t>f</w:t>
            </w:r>
            <w:r w:rsidRPr="00D246B7">
              <w:rPr>
                <w:b/>
              </w:rPr>
              <w:t xml:space="preserve">or the financial </w:t>
            </w:r>
            <w:r>
              <w:rPr>
                <w:b/>
              </w:rPr>
              <w:t>year</w:t>
            </w:r>
          </w:p>
        </w:tc>
        <w:tc>
          <w:tcPr>
            <w:tcW w:w="680" w:type="dxa"/>
            <w:tcBorders>
              <w:top w:val="single" w:sz="4" w:space="0" w:color="auto"/>
              <w:bottom w:val="single" w:sz="8" w:space="0" w:color="auto"/>
            </w:tcBorders>
          </w:tcPr>
          <w:p w14:paraId="66297C48" w14:textId="77777777" w:rsidR="005B36AA" w:rsidRPr="00D03E8C" w:rsidRDefault="005B36AA" w:rsidP="005B36AA">
            <w:pPr>
              <w:pStyle w:val="T2"/>
              <w:rPr>
                <w:b/>
              </w:rPr>
            </w:pPr>
          </w:p>
        </w:tc>
        <w:tc>
          <w:tcPr>
            <w:tcW w:w="1134" w:type="dxa"/>
            <w:tcBorders>
              <w:top w:val="single" w:sz="4" w:space="0" w:color="auto"/>
              <w:bottom w:val="single" w:sz="8" w:space="0" w:color="auto"/>
            </w:tcBorders>
            <w:vAlign w:val="bottom"/>
          </w:tcPr>
          <w:p w14:paraId="6091CA38"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5407AE0B" w14:textId="77777777" w:rsidR="005B36AA" w:rsidRPr="00330817" w:rsidRDefault="005B36AA" w:rsidP="005B36AA">
            <w:pPr>
              <w:jc w:val="right"/>
              <w:rPr>
                <w:sz w:val="18"/>
              </w:rPr>
            </w:pPr>
            <w:r w:rsidRPr="00330817">
              <w:rPr>
                <w:sz w:val="18"/>
              </w:rPr>
              <w:t>106.4</w:t>
            </w:r>
          </w:p>
        </w:tc>
      </w:tr>
    </w:tbl>
    <w:p w14:paraId="76A7B059" w14:textId="77777777" w:rsidR="003A5BD2" w:rsidRDefault="003A5BD2" w:rsidP="005B36AA">
      <w:pPr>
        <w:spacing w:line="219" w:lineRule="exact"/>
        <w:jc w:val="right"/>
        <w:rPr>
          <w:sz w:val="18"/>
        </w:rPr>
      </w:pPr>
    </w:p>
    <w:p w14:paraId="2E266336" w14:textId="75F98B54" w:rsidR="003A5BD2" w:rsidRPr="00D72351" w:rsidRDefault="003A5BD2" w:rsidP="003A5BD2">
      <w:pPr>
        <w:spacing w:before="27"/>
        <w:ind w:left="20"/>
        <w:rPr>
          <w:b/>
          <w:color w:val="001F5F"/>
          <w:sz w:val="20"/>
          <w:szCs w:val="20"/>
        </w:rPr>
      </w:pPr>
      <w:r w:rsidRPr="00D72351">
        <w:rPr>
          <w:b/>
          <w:color w:val="001F5F"/>
          <w:sz w:val="20"/>
          <w:szCs w:val="20"/>
        </w:rPr>
        <w:t xml:space="preserve">GROUP </w:t>
      </w:r>
      <w:r>
        <w:rPr>
          <w:b/>
          <w:color w:val="001F5F"/>
          <w:sz w:val="20"/>
          <w:szCs w:val="20"/>
        </w:rPr>
        <w:t>STATEMENT OF FINANCIAL POSITION</w:t>
      </w:r>
    </w:p>
    <w:p w14:paraId="20CB21A4" w14:textId="6BDA1F06" w:rsidR="003A5BD2" w:rsidRPr="00D72351" w:rsidRDefault="003A5BD2" w:rsidP="003A5BD2">
      <w:pPr>
        <w:spacing w:before="27"/>
        <w:ind w:left="20"/>
        <w:rPr>
          <w:b/>
          <w:color w:val="001F5F"/>
          <w:sz w:val="20"/>
          <w:szCs w:val="20"/>
        </w:rPr>
      </w:pPr>
      <w:proofErr w:type="gramStart"/>
      <w:r>
        <w:rPr>
          <w:b/>
          <w:color w:val="001F5F"/>
          <w:sz w:val="20"/>
          <w:szCs w:val="20"/>
        </w:rPr>
        <w:t>at</w:t>
      </w:r>
      <w:proofErr w:type="gramEnd"/>
      <w:r>
        <w:rPr>
          <w:b/>
          <w:color w:val="001F5F"/>
          <w:sz w:val="20"/>
          <w:szCs w:val="20"/>
        </w:rPr>
        <w:t xml:space="preserve"> 25 September 2020</w:t>
      </w:r>
    </w:p>
    <w:tbl>
      <w:tblPr>
        <w:tblW w:w="10205" w:type="dxa"/>
        <w:tblLayout w:type="fixed"/>
        <w:tblLook w:val="01E0" w:firstRow="1" w:lastRow="1" w:firstColumn="1" w:lastColumn="1" w:noHBand="0" w:noVBand="0"/>
      </w:tblPr>
      <w:tblGrid>
        <w:gridCol w:w="7257"/>
        <w:gridCol w:w="680"/>
        <w:gridCol w:w="1134"/>
        <w:gridCol w:w="1134"/>
      </w:tblGrid>
      <w:tr w:rsidR="005B36AA" w14:paraId="230F3794" w14:textId="77777777" w:rsidTr="005B36AA">
        <w:trPr>
          <w:trHeight w:val="227"/>
        </w:trPr>
        <w:tc>
          <w:tcPr>
            <w:tcW w:w="7257" w:type="dxa"/>
            <w:tcBorders>
              <w:bottom w:val="single" w:sz="4" w:space="0" w:color="auto"/>
            </w:tcBorders>
          </w:tcPr>
          <w:p w14:paraId="62E61E35" w14:textId="77777777" w:rsidR="005B36AA" w:rsidRDefault="005B36AA" w:rsidP="005B36AA">
            <w:pPr>
              <w:pStyle w:val="TableParagraph"/>
              <w:spacing w:before="93" w:line="199" w:lineRule="exact"/>
              <w:ind w:right="399"/>
              <w:jc w:val="right"/>
              <w:rPr>
                <w:sz w:val="18"/>
              </w:rPr>
            </w:pPr>
          </w:p>
        </w:tc>
        <w:tc>
          <w:tcPr>
            <w:tcW w:w="680" w:type="dxa"/>
            <w:tcBorders>
              <w:bottom w:val="single" w:sz="4" w:space="0" w:color="auto"/>
            </w:tcBorders>
            <w:vAlign w:val="bottom"/>
          </w:tcPr>
          <w:p w14:paraId="3121B969" w14:textId="77777777" w:rsidR="005B36AA" w:rsidRPr="00863CD7" w:rsidRDefault="005B36AA" w:rsidP="005B36AA">
            <w:pPr>
              <w:pStyle w:val="Subtitle"/>
              <w:rPr>
                <w:b w:val="0"/>
              </w:rPr>
            </w:pPr>
            <w:r w:rsidRPr="00863CD7">
              <w:rPr>
                <w:b w:val="0"/>
              </w:rPr>
              <w:t>Notes</w:t>
            </w:r>
          </w:p>
        </w:tc>
        <w:tc>
          <w:tcPr>
            <w:tcW w:w="1134" w:type="dxa"/>
            <w:tcBorders>
              <w:bottom w:val="single" w:sz="4" w:space="0" w:color="auto"/>
            </w:tcBorders>
            <w:vAlign w:val="bottom"/>
          </w:tcPr>
          <w:p w14:paraId="75D2C908" w14:textId="77777777" w:rsidR="005B36AA" w:rsidRDefault="005B36AA" w:rsidP="005B36AA">
            <w:pPr>
              <w:pStyle w:val="Subtitle"/>
            </w:pPr>
            <w:r>
              <w:t>2020</w:t>
            </w:r>
            <w:r>
              <w:br/>
              <w:t>£m</w:t>
            </w:r>
          </w:p>
        </w:tc>
        <w:tc>
          <w:tcPr>
            <w:tcW w:w="1134" w:type="dxa"/>
            <w:tcBorders>
              <w:bottom w:val="single" w:sz="4" w:space="0" w:color="auto"/>
            </w:tcBorders>
            <w:vAlign w:val="bottom"/>
          </w:tcPr>
          <w:p w14:paraId="7E3D9155" w14:textId="77777777" w:rsidR="008F35B4" w:rsidRDefault="005B36AA" w:rsidP="005B36AA">
            <w:pPr>
              <w:pStyle w:val="Subtitle"/>
              <w:rPr>
                <w:b w:val="0"/>
              </w:rPr>
            </w:pPr>
            <w:r w:rsidRPr="00863CD7">
              <w:rPr>
                <w:b w:val="0"/>
              </w:rPr>
              <w:t>201</w:t>
            </w:r>
            <w:r>
              <w:rPr>
                <w:b w:val="0"/>
              </w:rPr>
              <w:t>9</w:t>
            </w:r>
          </w:p>
          <w:p w14:paraId="32773A95" w14:textId="17323B05" w:rsidR="005B36AA" w:rsidRPr="00863CD7" w:rsidRDefault="008F35B4" w:rsidP="005B36AA">
            <w:pPr>
              <w:pStyle w:val="Subtitle"/>
              <w:rPr>
                <w:b w:val="0"/>
              </w:rPr>
            </w:pPr>
            <w:r>
              <w:rPr>
                <w:b w:val="0"/>
              </w:rPr>
              <w:t>(restated</w:t>
            </w:r>
            <w:r w:rsidR="00A27FFB">
              <w:rPr>
                <w:b w:val="0"/>
              </w:rPr>
              <w:t>*</w:t>
            </w:r>
            <w:r>
              <w:rPr>
                <w:b w:val="0"/>
              </w:rPr>
              <w:t>)</w:t>
            </w:r>
            <w:r w:rsidR="005B36AA" w:rsidRPr="00863CD7">
              <w:rPr>
                <w:b w:val="0"/>
              </w:rPr>
              <w:br/>
              <w:t>£m</w:t>
            </w:r>
          </w:p>
        </w:tc>
      </w:tr>
      <w:tr w:rsidR="005B36AA" w14:paraId="4B470814" w14:textId="77777777" w:rsidTr="005B36AA">
        <w:trPr>
          <w:trHeight w:val="227"/>
        </w:trPr>
        <w:tc>
          <w:tcPr>
            <w:tcW w:w="7257" w:type="dxa"/>
            <w:tcBorders>
              <w:top w:val="single" w:sz="4" w:space="0" w:color="auto"/>
            </w:tcBorders>
          </w:tcPr>
          <w:p w14:paraId="19D3ED41" w14:textId="77777777" w:rsidR="005B36AA" w:rsidRPr="00926E11" w:rsidRDefault="005B36AA" w:rsidP="005B36AA">
            <w:pPr>
              <w:pStyle w:val="TableRowHead"/>
              <w:rPr>
                <w:b/>
              </w:rPr>
            </w:pPr>
            <w:r w:rsidRPr="00926E11">
              <w:rPr>
                <w:b/>
              </w:rPr>
              <w:t>ASSETS</w:t>
            </w:r>
          </w:p>
        </w:tc>
        <w:tc>
          <w:tcPr>
            <w:tcW w:w="680" w:type="dxa"/>
            <w:tcBorders>
              <w:top w:val="single" w:sz="4" w:space="0" w:color="auto"/>
            </w:tcBorders>
            <w:vAlign w:val="bottom"/>
          </w:tcPr>
          <w:p w14:paraId="72418AD6" w14:textId="77777777" w:rsidR="005B36AA" w:rsidRPr="00863CD7" w:rsidRDefault="005B36AA" w:rsidP="005B36AA">
            <w:pPr>
              <w:pStyle w:val="Subtitle"/>
              <w:rPr>
                <w:rFonts w:ascii="Times New Roman"/>
                <w:b w:val="0"/>
                <w:sz w:val="16"/>
              </w:rPr>
            </w:pPr>
          </w:p>
        </w:tc>
        <w:tc>
          <w:tcPr>
            <w:tcW w:w="1134" w:type="dxa"/>
            <w:tcBorders>
              <w:top w:val="single" w:sz="4" w:space="0" w:color="auto"/>
            </w:tcBorders>
            <w:vAlign w:val="bottom"/>
          </w:tcPr>
          <w:p w14:paraId="577824BC" w14:textId="77777777" w:rsidR="005B36AA" w:rsidRDefault="005B36AA" w:rsidP="005B36AA">
            <w:pPr>
              <w:pStyle w:val="Subtitle"/>
              <w:rPr>
                <w:rFonts w:ascii="Times New Roman"/>
                <w:sz w:val="16"/>
              </w:rPr>
            </w:pPr>
          </w:p>
        </w:tc>
        <w:tc>
          <w:tcPr>
            <w:tcW w:w="1134" w:type="dxa"/>
            <w:tcBorders>
              <w:top w:val="single" w:sz="4" w:space="0" w:color="auto"/>
            </w:tcBorders>
            <w:vAlign w:val="bottom"/>
          </w:tcPr>
          <w:p w14:paraId="372616D7" w14:textId="77777777" w:rsidR="005B36AA" w:rsidRPr="00863CD7" w:rsidRDefault="005B36AA" w:rsidP="005B36AA">
            <w:pPr>
              <w:pStyle w:val="Subtitle"/>
              <w:rPr>
                <w:rFonts w:ascii="Times New Roman"/>
                <w:b w:val="0"/>
                <w:sz w:val="16"/>
              </w:rPr>
            </w:pPr>
          </w:p>
        </w:tc>
      </w:tr>
      <w:tr w:rsidR="005B36AA" w14:paraId="5465FF04" w14:textId="77777777" w:rsidTr="005B36AA">
        <w:trPr>
          <w:trHeight w:val="227"/>
        </w:trPr>
        <w:tc>
          <w:tcPr>
            <w:tcW w:w="7257" w:type="dxa"/>
          </w:tcPr>
          <w:p w14:paraId="7F0DB629" w14:textId="77777777" w:rsidR="005B36AA" w:rsidRPr="00926E11" w:rsidRDefault="005B36AA" w:rsidP="005B36AA">
            <w:pPr>
              <w:pStyle w:val="TableRowHead"/>
              <w:rPr>
                <w:b/>
              </w:rPr>
            </w:pPr>
            <w:r w:rsidRPr="00926E11">
              <w:rPr>
                <w:b/>
              </w:rPr>
              <w:t>Non-current assets</w:t>
            </w:r>
          </w:p>
        </w:tc>
        <w:tc>
          <w:tcPr>
            <w:tcW w:w="680" w:type="dxa"/>
            <w:vAlign w:val="bottom"/>
          </w:tcPr>
          <w:p w14:paraId="4C124D5D" w14:textId="77777777" w:rsidR="005B36AA" w:rsidRPr="00863CD7" w:rsidRDefault="005B36AA" w:rsidP="005B36AA">
            <w:pPr>
              <w:pStyle w:val="Subtitle"/>
              <w:rPr>
                <w:rFonts w:ascii="Times New Roman"/>
                <w:b w:val="0"/>
                <w:sz w:val="14"/>
              </w:rPr>
            </w:pPr>
          </w:p>
        </w:tc>
        <w:tc>
          <w:tcPr>
            <w:tcW w:w="1134" w:type="dxa"/>
            <w:vAlign w:val="bottom"/>
          </w:tcPr>
          <w:p w14:paraId="752EB609" w14:textId="77777777" w:rsidR="005B36AA" w:rsidRPr="00CB7F1B" w:rsidRDefault="005B36AA" w:rsidP="005B36AA">
            <w:pPr>
              <w:pStyle w:val="Subtitle"/>
              <w:rPr>
                <w:rFonts w:ascii="Times New Roman"/>
                <w:sz w:val="14"/>
              </w:rPr>
            </w:pPr>
          </w:p>
        </w:tc>
        <w:tc>
          <w:tcPr>
            <w:tcW w:w="1134" w:type="dxa"/>
            <w:vAlign w:val="bottom"/>
          </w:tcPr>
          <w:p w14:paraId="1C0A5B87" w14:textId="77777777" w:rsidR="005B36AA" w:rsidRPr="00863CD7" w:rsidRDefault="005B36AA" w:rsidP="005B36AA">
            <w:pPr>
              <w:pStyle w:val="Subtitle"/>
              <w:rPr>
                <w:rFonts w:ascii="Times New Roman"/>
                <w:b w:val="0"/>
                <w:sz w:val="14"/>
              </w:rPr>
            </w:pPr>
          </w:p>
        </w:tc>
      </w:tr>
      <w:tr w:rsidR="005B36AA" w14:paraId="23588F44" w14:textId="77777777" w:rsidTr="005B36AA">
        <w:trPr>
          <w:trHeight w:val="227"/>
        </w:trPr>
        <w:tc>
          <w:tcPr>
            <w:tcW w:w="7257" w:type="dxa"/>
          </w:tcPr>
          <w:p w14:paraId="67F52666" w14:textId="77777777" w:rsidR="005B36AA" w:rsidRDefault="005B36AA" w:rsidP="005B36AA">
            <w:pPr>
              <w:pStyle w:val="TableRowHead"/>
            </w:pPr>
            <w:r>
              <w:t>Goodwill and intangible assets</w:t>
            </w:r>
          </w:p>
        </w:tc>
        <w:tc>
          <w:tcPr>
            <w:tcW w:w="680" w:type="dxa"/>
            <w:vAlign w:val="bottom"/>
          </w:tcPr>
          <w:p w14:paraId="42CF111D" w14:textId="77777777" w:rsidR="005B36AA" w:rsidRPr="00863CD7" w:rsidRDefault="005B36AA" w:rsidP="005B36AA">
            <w:pPr>
              <w:pStyle w:val="Subtitle"/>
              <w:rPr>
                <w:rFonts w:cstheme="minorHAnsi"/>
                <w:b w:val="0"/>
              </w:rPr>
            </w:pPr>
          </w:p>
        </w:tc>
        <w:tc>
          <w:tcPr>
            <w:tcW w:w="1134" w:type="dxa"/>
            <w:vAlign w:val="bottom"/>
          </w:tcPr>
          <w:p w14:paraId="1CD05B41" w14:textId="77777777" w:rsidR="005B36AA" w:rsidRPr="00CB7F1B" w:rsidRDefault="005B36AA" w:rsidP="005B36AA">
            <w:pPr>
              <w:pStyle w:val="Subtitle"/>
              <w:rPr>
                <w:rFonts w:cstheme="minorHAnsi"/>
              </w:rPr>
            </w:pPr>
            <w:r>
              <w:rPr>
                <w:rFonts w:cstheme="minorHAnsi"/>
              </w:rPr>
              <w:t>478.5</w:t>
            </w:r>
          </w:p>
        </w:tc>
        <w:tc>
          <w:tcPr>
            <w:tcW w:w="1134" w:type="dxa"/>
            <w:vAlign w:val="bottom"/>
          </w:tcPr>
          <w:p w14:paraId="00499EAA" w14:textId="77777777" w:rsidR="005B36AA" w:rsidRPr="0087242E" w:rsidRDefault="005B36AA" w:rsidP="005B36AA">
            <w:pPr>
              <w:pStyle w:val="Subtitle"/>
              <w:rPr>
                <w:rFonts w:cstheme="minorHAnsi"/>
                <w:b w:val="0"/>
              </w:rPr>
            </w:pPr>
            <w:r w:rsidRPr="0087242E">
              <w:rPr>
                <w:rFonts w:cstheme="minorHAnsi"/>
                <w:b w:val="0"/>
              </w:rPr>
              <w:t>483.3</w:t>
            </w:r>
          </w:p>
        </w:tc>
      </w:tr>
      <w:tr w:rsidR="005B36AA" w14:paraId="6D54A070" w14:textId="77777777" w:rsidTr="005B36AA">
        <w:trPr>
          <w:trHeight w:val="227"/>
        </w:trPr>
        <w:tc>
          <w:tcPr>
            <w:tcW w:w="7257" w:type="dxa"/>
          </w:tcPr>
          <w:p w14:paraId="177CDD54" w14:textId="77777777" w:rsidR="005B36AA" w:rsidRDefault="005B36AA" w:rsidP="005B36AA">
            <w:pPr>
              <w:pStyle w:val="TableRowHead"/>
            </w:pPr>
            <w:r>
              <w:t xml:space="preserve">Property, </w:t>
            </w:r>
            <w:proofErr w:type="gramStart"/>
            <w:r>
              <w:t>plant</w:t>
            </w:r>
            <w:proofErr w:type="gramEnd"/>
            <w:r>
              <w:t xml:space="preserve"> and equipment</w:t>
            </w:r>
          </w:p>
        </w:tc>
        <w:tc>
          <w:tcPr>
            <w:tcW w:w="680" w:type="dxa"/>
            <w:vAlign w:val="bottom"/>
          </w:tcPr>
          <w:p w14:paraId="2C43952A" w14:textId="77777777" w:rsidR="005B36AA" w:rsidRPr="00635D3B" w:rsidRDefault="005B36AA" w:rsidP="005B36AA">
            <w:pPr>
              <w:pStyle w:val="Subtitle"/>
              <w:rPr>
                <w:rFonts w:cstheme="minorHAnsi"/>
                <w:b w:val="0"/>
                <w:highlight w:val="yellow"/>
              </w:rPr>
            </w:pPr>
          </w:p>
        </w:tc>
        <w:tc>
          <w:tcPr>
            <w:tcW w:w="1134" w:type="dxa"/>
            <w:vAlign w:val="bottom"/>
          </w:tcPr>
          <w:p w14:paraId="37BE4832" w14:textId="77777777" w:rsidR="005B36AA" w:rsidRPr="00CB7F1B" w:rsidRDefault="005B36AA" w:rsidP="005B36AA">
            <w:pPr>
              <w:pStyle w:val="Subtitle"/>
              <w:rPr>
                <w:rFonts w:cstheme="minorHAnsi"/>
              </w:rPr>
            </w:pPr>
            <w:r>
              <w:rPr>
                <w:rFonts w:cstheme="minorHAnsi"/>
              </w:rPr>
              <w:t>313.2</w:t>
            </w:r>
          </w:p>
        </w:tc>
        <w:tc>
          <w:tcPr>
            <w:tcW w:w="1134" w:type="dxa"/>
            <w:vAlign w:val="bottom"/>
          </w:tcPr>
          <w:p w14:paraId="19E47B23" w14:textId="77777777" w:rsidR="005B36AA" w:rsidRPr="0087242E" w:rsidRDefault="005B36AA" w:rsidP="005B36AA">
            <w:pPr>
              <w:pStyle w:val="Subtitle"/>
              <w:rPr>
                <w:rFonts w:cstheme="minorHAnsi"/>
                <w:b w:val="0"/>
              </w:rPr>
            </w:pPr>
            <w:r w:rsidRPr="0087242E">
              <w:rPr>
                <w:rFonts w:cstheme="minorHAnsi"/>
                <w:b w:val="0"/>
              </w:rPr>
              <w:t>332.5</w:t>
            </w:r>
          </w:p>
        </w:tc>
      </w:tr>
      <w:tr w:rsidR="005B36AA" w14:paraId="67648E4D" w14:textId="77777777" w:rsidTr="005B36AA">
        <w:trPr>
          <w:trHeight w:val="227"/>
        </w:trPr>
        <w:tc>
          <w:tcPr>
            <w:tcW w:w="7257" w:type="dxa"/>
          </w:tcPr>
          <w:p w14:paraId="629BE7C4" w14:textId="77777777" w:rsidR="005B36AA" w:rsidRDefault="005B36AA" w:rsidP="005B36AA">
            <w:pPr>
              <w:pStyle w:val="TableRowHead"/>
            </w:pPr>
            <w:r>
              <w:t>Right-of-use assets</w:t>
            </w:r>
          </w:p>
        </w:tc>
        <w:tc>
          <w:tcPr>
            <w:tcW w:w="680" w:type="dxa"/>
            <w:vAlign w:val="bottom"/>
          </w:tcPr>
          <w:p w14:paraId="12172671" w14:textId="77777777" w:rsidR="005B36AA" w:rsidRPr="00211290" w:rsidRDefault="005B36AA" w:rsidP="005B36AA">
            <w:pPr>
              <w:pStyle w:val="Subtitle"/>
              <w:rPr>
                <w:rFonts w:cstheme="minorHAnsi"/>
                <w:b w:val="0"/>
              </w:rPr>
            </w:pPr>
            <w:r w:rsidRPr="00211290">
              <w:rPr>
                <w:rFonts w:cstheme="minorHAnsi"/>
                <w:b w:val="0"/>
              </w:rPr>
              <w:t>8</w:t>
            </w:r>
          </w:p>
        </w:tc>
        <w:tc>
          <w:tcPr>
            <w:tcW w:w="1134" w:type="dxa"/>
            <w:vAlign w:val="bottom"/>
          </w:tcPr>
          <w:p w14:paraId="1D2A8788" w14:textId="77777777" w:rsidR="005B36AA" w:rsidRPr="00CB7F1B" w:rsidRDefault="005B36AA" w:rsidP="005B36AA">
            <w:pPr>
              <w:pStyle w:val="Subtitle"/>
              <w:rPr>
                <w:rFonts w:cstheme="minorHAnsi"/>
              </w:rPr>
            </w:pPr>
            <w:r>
              <w:rPr>
                <w:rFonts w:cstheme="minorHAnsi"/>
              </w:rPr>
              <w:t>55.6</w:t>
            </w:r>
          </w:p>
        </w:tc>
        <w:tc>
          <w:tcPr>
            <w:tcW w:w="1134" w:type="dxa"/>
            <w:vAlign w:val="bottom"/>
          </w:tcPr>
          <w:p w14:paraId="039E3504" w14:textId="77777777" w:rsidR="005B36AA" w:rsidRPr="0087242E" w:rsidRDefault="005B36AA" w:rsidP="005B36AA">
            <w:pPr>
              <w:pStyle w:val="Subtitle"/>
              <w:rPr>
                <w:rFonts w:cstheme="minorHAnsi"/>
                <w:b w:val="0"/>
              </w:rPr>
            </w:pPr>
            <w:r w:rsidRPr="00324FDD">
              <w:rPr>
                <w:b w:val="0"/>
              </w:rPr>
              <w:t>–</w:t>
            </w:r>
          </w:p>
        </w:tc>
      </w:tr>
      <w:tr w:rsidR="005B36AA" w14:paraId="3D7450BE" w14:textId="77777777" w:rsidTr="005B36AA">
        <w:trPr>
          <w:trHeight w:val="227"/>
        </w:trPr>
        <w:tc>
          <w:tcPr>
            <w:tcW w:w="7257" w:type="dxa"/>
          </w:tcPr>
          <w:p w14:paraId="17B4147D" w14:textId="77777777" w:rsidR="005B36AA" w:rsidRDefault="005B36AA" w:rsidP="005B36AA">
            <w:pPr>
              <w:pStyle w:val="TableRowHead"/>
            </w:pPr>
            <w:r>
              <w:t>Investment property</w:t>
            </w:r>
          </w:p>
        </w:tc>
        <w:tc>
          <w:tcPr>
            <w:tcW w:w="680" w:type="dxa"/>
            <w:vAlign w:val="bottom"/>
          </w:tcPr>
          <w:p w14:paraId="7282C431" w14:textId="77777777" w:rsidR="005B36AA" w:rsidRPr="00211290" w:rsidRDefault="005B36AA" w:rsidP="005B36AA">
            <w:pPr>
              <w:pStyle w:val="Subtitle"/>
              <w:rPr>
                <w:rFonts w:cstheme="minorHAnsi"/>
                <w:b w:val="0"/>
              </w:rPr>
            </w:pPr>
          </w:p>
        </w:tc>
        <w:tc>
          <w:tcPr>
            <w:tcW w:w="1134" w:type="dxa"/>
            <w:vAlign w:val="bottom"/>
          </w:tcPr>
          <w:p w14:paraId="1DAD8244" w14:textId="77777777" w:rsidR="005B36AA" w:rsidRPr="00CA2DA2" w:rsidRDefault="005B36AA" w:rsidP="005B36AA">
            <w:pPr>
              <w:pStyle w:val="Subtitle"/>
              <w:rPr>
                <w:rFonts w:cstheme="minorHAnsi"/>
              </w:rPr>
            </w:pPr>
            <w:r>
              <w:rPr>
                <w:rFonts w:cstheme="minorHAnsi"/>
              </w:rPr>
              <w:t>6.1</w:t>
            </w:r>
          </w:p>
        </w:tc>
        <w:tc>
          <w:tcPr>
            <w:tcW w:w="1134" w:type="dxa"/>
            <w:vAlign w:val="bottom"/>
          </w:tcPr>
          <w:p w14:paraId="246B24ED" w14:textId="77777777" w:rsidR="005B36AA" w:rsidRPr="0087242E" w:rsidRDefault="005B36AA" w:rsidP="005B36AA">
            <w:pPr>
              <w:pStyle w:val="Subtitle"/>
              <w:rPr>
                <w:rFonts w:cstheme="minorHAnsi"/>
                <w:b w:val="0"/>
              </w:rPr>
            </w:pPr>
            <w:r w:rsidRPr="0087242E">
              <w:rPr>
                <w:rFonts w:cstheme="minorHAnsi"/>
                <w:b w:val="0"/>
              </w:rPr>
              <w:t>5.8</w:t>
            </w:r>
          </w:p>
        </w:tc>
      </w:tr>
      <w:tr w:rsidR="005B36AA" w14:paraId="5E02C895" w14:textId="77777777" w:rsidTr="005B36AA">
        <w:trPr>
          <w:trHeight w:val="227"/>
        </w:trPr>
        <w:tc>
          <w:tcPr>
            <w:tcW w:w="7257" w:type="dxa"/>
          </w:tcPr>
          <w:p w14:paraId="324A6F27" w14:textId="77777777" w:rsidR="005B36AA" w:rsidRDefault="005B36AA" w:rsidP="005B36AA">
            <w:pPr>
              <w:pStyle w:val="TableRowHead"/>
            </w:pPr>
            <w:r>
              <w:t>Investment in associates</w:t>
            </w:r>
          </w:p>
        </w:tc>
        <w:tc>
          <w:tcPr>
            <w:tcW w:w="680" w:type="dxa"/>
            <w:vAlign w:val="bottom"/>
          </w:tcPr>
          <w:p w14:paraId="6C96F4BF" w14:textId="77777777" w:rsidR="005B36AA" w:rsidRPr="00211290" w:rsidRDefault="005B36AA" w:rsidP="005B36AA">
            <w:pPr>
              <w:pStyle w:val="Subtitle"/>
              <w:rPr>
                <w:rFonts w:cstheme="minorHAnsi"/>
                <w:b w:val="0"/>
              </w:rPr>
            </w:pPr>
          </w:p>
        </w:tc>
        <w:tc>
          <w:tcPr>
            <w:tcW w:w="1134" w:type="dxa"/>
            <w:vAlign w:val="bottom"/>
          </w:tcPr>
          <w:p w14:paraId="76382B76" w14:textId="77777777" w:rsidR="005B36AA" w:rsidRPr="00CA2DA2" w:rsidRDefault="005B36AA" w:rsidP="005B36AA">
            <w:pPr>
              <w:pStyle w:val="Subtitle"/>
              <w:rPr>
                <w:rFonts w:cstheme="minorHAnsi"/>
              </w:rPr>
            </w:pPr>
            <w:r w:rsidRPr="006D1884">
              <w:rPr>
                <w:b w:val="0"/>
              </w:rPr>
              <w:t>–</w:t>
            </w:r>
          </w:p>
        </w:tc>
        <w:tc>
          <w:tcPr>
            <w:tcW w:w="1134" w:type="dxa"/>
            <w:vAlign w:val="bottom"/>
          </w:tcPr>
          <w:p w14:paraId="63E8333E" w14:textId="77777777" w:rsidR="005B36AA" w:rsidRPr="0087242E" w:rsidRDefault="005B36AA" w:rsidP="005B36AA">
            <w:pPr>
              <w:pStyle w:val="Subtitle"/>
              <w:rPr>
                <w:rFonts w:cstheme="minorHAnsi"/>
                <w:b w:val="0"/>
              </w:rPr>
            </w:pPr>
            <w:r w:rsidRPr="0087242E">
              <w:rPr>
                <w:rFonts w:cstheme="minorHAnsi"/>
                <w:b w:val="0"/>
              </w:rPr>
              <w:t>1.2</w:t>
            </w:r>
          </w:p>
        </w:tc>
      </w:tr>
      <w:tr w:rsidR="005B36AA" w14:paraId="3DACD39D" w14:textId="77777777" w:rsidTr="005B36AA">
        <w:trPr>
          <w:trHeight w:val="227"/>
        </w:trPr>
        <w:tc>
          <w:tcPr>
            <w:tcW w:w="7257" w:type="dxa"/>
          </w:tcPr>
          <w:p w14:paraId="2BD5EE05" w14:textId="77777777" w:rsidR="005B36AA" w:rsidRDefault="005B36AA" w:rsidP="005B36AA">
            <w:pPr>
              <w:pStyle w:val="TableRowHead"/>
            </w:pPr>
            <w:r>
              <w:t>Retirement benefit assets</w:t>
            </w:r>
          </w:p>
        </w:tc>
        <w:tc>
          <w:tcPr>
            <w:tcW w:w="680" w:type="dxa"/>
            <w:vAlign w:val="bottom"/>
          </w:tcPr>
          <w:p w14:paraId="49191340" w14:textId="77777777" w:rsidR="005B36AA" w:rsidRPr="00211290" w:rsidRDefault="005B36AA" w:rsidP="005B36AA">
            <w:pPr>
              <w:pStyle w:val="Subtitle"/>
              <w:rPr>
                <w:rFonts w:cstheme="minorHAnsi"/>
                <w:b w:val="0"/>
              </w:rPr>
            </w:pPr>
            <w:r w:rsidRPr="00211290">
              <w:rPr>
                <w:rFonts w:cstheme="minorHAnsi"/>
                <w:b w:val="0"/>
              </w:rPr>
              <w:t>9</w:t>
            </w:r>
          </w:p>
        </w:tc>
        <w:tc>
          <w:tcPr>
            <w:tcW w:w="1134" w:type="dxa"/>
            <w:vAlign w:val="bottom"/>
          </w:tcPr>
          <w:p w14:paraId="62046B7E" w14:textId="77777777" w:rsidR="005B36AA" w:rsidRPr="00CA2DA2" w:rsidRDefault="005B36AA" w:rsidP="005B36AA">
            <w:pPr>
              <w:pStyle w:val="Subtitle"/>
              <w:rPr>
                <w:rFonts w:cstheme="minorHAnsi"/>
              </w:rPr>
            </w:pPr>
            <w:r>
              <w:rPr>
                <w:rFonts w:cstheme="minorHAnsi"/>
              </w:rPr>
              <w:t>42.9</w:t>
            </w:r>
          </w:p>
        </w:tc>
        <w:tc>
          <w:tcPr>
            <w:tcW w:w="1134" w:type="dxa"/>
            <w:vAlign w:val="bottom"/>
          </w:tcPr>
          <w:p w14:paraId="5E9CBA88" w14:textId="77777777" w:rsidR="005B36AA" w:rsidRPr="0087242E" w:rsidRDefault="005B36AA" w:rsidP="005B36AA">
            <w:pPr>
              <w:pStyle w:val="Subtitle"/>
              <w:rPr>
                <w:rFonts w:cstheme="minorHAnsi"/>
                <w:b w:val="0"/>
              </w:rPr>
            </w:pPr>
            <w:r w:rsidRPr="0087242E">
              <w:rPr>
                <w:rFonts w:cstheme="minorHAnsi"/>
                <w:b w:val="0"/>
              </w:rPr>
              <w:t>36.4</w:t>
            </w:r>
          </w:p>
        </w:tc>
      </w:tr>
      <w:tr w:rsidR="005B36AA" w14:paraId="66D67360" w14:textId="77777777" w:rsidTr="005B36AA">
        <w:trPr>
          <w:trHeight w:val="227"/>
        </w:trPr>
        <w:tc>
          <w:tcPr>
            <w:tcW w:w="7257" w:type="dxa"/>
          </w:tcPr>
          <w:p w14:paraId="2A3F1091" w14:textId="77777777" w:rsidR="005B36AA" w:rsidRDefault="005B36AA" w:rsidP="005B36AA">
            <w:pPr>
              <w:pStyle w:val="TableRowHead"/>
            </w:pPr>
            <w:r>
              <w:t>Derivative financial instruments</w:t>
            </w:r>
          </w:p>
        </w:tc>
        <w:tc>
          <w:tcPr>
            <w:tcW w:w="680" w:type="dxa"/>
            <w:vAlign w:val="bottom"/>
          </w:tcPr>
          <w:p w14:paraId="506B5F0B" w14:textId="77777777" w:rsidR="005B36AA" w:rsidRPr="00211290" w:rsidRDefault="005B36AA" w:rsidP="005B36AA">
            <w:pPr>
              <w:pStyle w:val="Subtitle"/>
              <w:rPr>
                <w:rFonts w:cstheme="minorHAnsi"/>
                <w:b w:val="0"/>
              </w:rPr>
            </w:pPr>
          </w:p>
        </w:tc>
        <w:tc>
          <w:tcPr>
            <w:tcW w:w="1134" w:type="dxa"/>
            <w:vAlign w:val="bottom"/>
          </w:tcPr>
          <w:p w14:paraId="422A1711" w14:textId="77777777" w:rsidR="005B36AA" w:rsidRPr="00CA2DA2" w:rsidRDefault="005B36AA" w:rsidP="005B36AA">
            <w:pPr>
              <w:pStyle w:val="Subtitle"/>
              <w:rPr>
                <w:rFonts w:cstheme="minorHAnsi"/>
              </w:rPr>
            </w:pPr>
            <w:r>
              <w:rPr>
                <w:rFonts w:cstheme="minorHAnsi"/>
              </w:rPr>
              <w:t>3.0</w:t>
            </w:r>
          </w:p>
        </w:tc>
        <w:tc>
          <w:tcPr>
            <w:tcW w:w="1134" w:type="dxa"/>
            <w:vAlign w:val="bottom"/>
          </w:tcPr>
          <w:p w14:paraId="63C3BA7F" w14:textId="77777777" w:rsidR="005B36AA" w:rsidRPr="0087242E" w:rsidRDefault="005B36AA" w:rsidP="005B36AA">
            <w:pPr>
              <w:pStyle w:val="Subtitle"/>
              <w:rPr>
                <w:rFonts w:cstheme="minorHAnsi"/>
                <w:b w:val="0"/>
              </w:rPr>
            </w:pPr>
            <w:r w:rsidRPr="0087242E">
              <w:rPr>
                <w:rFonts w:cstheme="minorHAnsi"/>
                <w:b w:val="0"/>
              </w:rPr>
              <w:t>5.5</w:t>
            </w:r>
          </w:p>
        </w:tc>
      </w:tr>
      <w:tr w:rsidR="005B36AA" w14:paraId="19CAD433" w14:textId="77777777" w:rsidTr="005B36AA">
        <w:trPr>
          <w:trHeight w:val="227"/>
        </w:trPr>
        <w:tc>
          <w:tcPr>
            <w:tcW w:w="7257" w:type="dxa"/>
            <w:tcBorders>
              <w:bottom w:val="single" w:sz="4" w:space="0" w:color="000000"/>
            </w:tcBorders>
          </w:tcPr>
          <w:p w14:paraId="4C151087" w14:textId="77777777" w:rsidR="005B36AA" w:rsidRDefault="005B36AA" w:rsidP="005B36AA">
            <w:pPr>
              <w:pStyle w:val="TableRowHead"/>
            </w:pPr>
            <w:r>
              <w:t>Deferred tax assets</w:t>
            </w:r>
          </w:p>
        </w:tc>
        <w:tc>
          <w:tcPr>
            <w:tcW w:w="680" w:type="dxa"/>
            <w:tcBorders>
              <w:bottom w:val="single" w:sz="4" w:space="0" w:color="000000"/>
            </w:tcBorders>
            <w:vAlign w:val="bottom"/>
          </w:tcPr>
          <w:p w14:paraId="5F27DF09" w14:textId="77777777" w:rsidR="005B36AA" w:rsidRPr="00211290" w:rsidRDefault="005B36AA" w:rsidP="005B36AA">
            <w:pPr>
              <w:pStyle w:val="Subtitle"/>
              <w:rPr>
                <w:rFonts w:cstheme="minorHAnsi"/>
                <w:b w:val="0"/>
              </w:rPr>
            </w:pPr>
          </w:p>
        </w:tc>
        <w:tc>
          <w:tcPr>
            <w:tcW w:w="1134" w:type="dxa"/>
            <w:tcBorders>
              <w:bottom w:val="single" w:sz="4" w:space="0" w:color="000000"/>
            </w:tcBorders>
            <w:vAlign w:val="bottom"/>
          </w:tcPr>
          <w:p w14:paraId="17A44DDD" w14:textId="77777777" w:rsidR="005B36AA" w:rsidRPr="00CA2DA2" w:rsidRDefault="005B36AA" w:rsidP="005B36AA">
            <w:pPr>
              <w:pStyle w:val="Subtitle"/>
              <w:rPr>
                <w:rFonts w:cstheme="minorHAnsi"/>
              </w:rPr>
            </w:pPr>
            <w:r>
              <w:rPr>
                <w:rFonts w:cstheme="minorHAnsi"/>
              </w:rPr>
              <w:t>46.1</w:t>
            </w:r>
          </w:p>
        </w:tc>
        <w:tc>
          <w:tcPr>
            <w:tcW w:w="1134" w:type="dxa"/>
            <w:tcBorders>
              <w:bottom w:val="single" w:sz="4" w:space="0" w:color="000000"/>
            </w:tcBorders>
            <w:vAlign w:val="bottom"/>
          </w:tcPr>
          <w:p w14:paraId="154BD8DA" w14:textId="77777777" w:rsidR="005B36AA" w:rsidRPr="0087242E" w:rsidRDefault="005B36AA" w:rsidP="005B36AA">
            <w:pPr>
              <w:pStyle w:val="Subtitle"/>
              <w:rPr>
                <w:rFonts w:cstheme="minorHAnsi"/>
                <w:b w:val="0"/>
              </w:rPr>
            </w:pPr>
            <w:r w:rsidRPr="0087242E">
              <w:rPr>
                <w:rFonts w:cstheme="minorHAnsi"/>
                <w:b w:val="0"/>
              </w:rPr>
              <w:t>37.1</w:t>
            </w:r>
          </w:p>
        </w:tc>
      </w:tr>
      <w:tr w:rsidR="005B36AA" w14:paraId="73846253" w14:textId="77777777" w:rsidTr="005B36AA">
        <w:trPr>
          <w:trHeight w:val="227"/>
        </w:trPr>
        <w:tc>
          <w:tcPr>
            <w:tcW w:w="7257" w:type="dxa"/>
            <w:tcBorders>
              <w:top w:val="single" w:sz="4" w:space="0" w:color="000000"/>
              <w:bottom w:val="single" w:sz="4" w:space="0" w:color="auto"/>
            </w:tcBorders>
          </w:tcPr>
          <w:p w14:paraId="153B7A6D" w14:textId="77777777" w:rsidR="005B36AA" w:rsidRPr="00926E11" w:rsidRDefault="005B36AA" w:rsidP="005B36AA">
            <w:pPr>
              <w:pStyle w:val="TableRowHead"/>
              <w:rPr>
                <w:b/>
              </w:rPr>
            </w:pPr>
            <w:r w:rsidRPr="00926E11">
              <w:rPr>
                <w:b/>
              </w:rPr>
              <w:t>Total non-current assets</w:t>
            </w:r>
          </w:p>
        </w:tc>
        <w:tc>
          <w:tcPr>
            <w:tcW w:w="680" w:type="dxa"/>
            <w:tcBorders>
              <w:top w:val="single" w:sz="4" w:space="0" w:color="000000"/>
              <w:bottom w:val="single" w:sz="4" w:space="0" w:color="auto"/>
            </w:tcBorders>
            <w:vAlign w:val="bottom"/>
          </w:tcPr>
          <w:p w14:paraId="25D46F88" w14:textId="77777777" w:rsidR="005B36AA" w:rsidRPr="00211290" w:rsidRDefault="005B36AA" w:rsidP="005B36AA">
            <w:pPr>
              <w:pStyle w:val="Subtitle"/>
              <w:rPr>
                <w:rFonts w:cstheme="minorHAnsi"/>
                <w:b w:val="0"/>
              </w:rPr>
            </w:pPr>
          </w:p>
        </w:tc>
        <w:tc>
          <w:tcPr>
            <w:tcW w:w="1134" w:type="dxa"/>
            <w:tcBorders>
              <w:top w:val="single" w:sz="4" w:space="0" w:color="000000"/>
              <w:bottom w:val="single" w:sz="4" w:space="0" w:color="auto"/>
            </w:tcBorders>
            <w:vAlign w:val="bottom"/>
          </w:tcPr>
          <w:p w14:paraId="61C77644" w14:textId="77777777" w:rsidR="005B36AA" w:rsidRPr="00CA2DA2" w:rsidRDefault="005B36AA" w:rsidP="005B36AA">
            <w:pPr>
              <w:pStyle w:val="Subtitle"/>
              <w:rPr>
                <w:rFonts w:cstheme="minorHAnsi"/>
              </w:rPr>
            </w:pPr>
            <w:r>
              <w:rPr>
                <w:rFonts w:cstheme="minorHAnsi"/>
              </w:rPr>
              <w:t>945.4</w:t>
            </w:r>
          </w:p>
        </w:tc>
        <w:tc>
          <w:tcPr>
            <w:tcW w:w="1134" w:type="dxa"/>
            <w:tcBorders>
              <w:top w:val="single" w:sz="4" w:space="0" w:color="000000"/>
              <w:bottom w:val="single" w:sz="4" w:space="0" w:color="auto"/>
            </w:tcBorders>
            <w:vAlign w:val="bottom"/>
          </w:tcPr>
          <w:p w14:paraId="3C1101F2" w14:textId="77777777" w:rsidR="005B36AA" w:rsidRPr="0087242E" w:rsidRDefault="005B36AA" w:rsidP="005B36AA">
            <w:pPr>
              <w:pStyle w:val="Subtitle"/>
              <w:rPr>
                <w:rFonts w:cstheme="minorHAnsi"/>
                <w:b w:val="0"/>
              </w:rPr>
            </w:pPr>
            <w:r w:rsidRPr="0087242E">
              <w:rPr>
                <w:rFonts w:cstheme="minorHAnsi"/>
                <w:b w:val="0"/>
              </w:rPr>
              <w:t>901.8</w:t>
            </w:r>
          </w:p>
        </w:tc>
      </w:tr>
      <w:tr w:rsidR="005B36AA" w14:paraId="6D5822BD" w14:textId="77777777" w:rsidTr="005B36AA">
        <w:trPr>
          <w:trHeight w:val="227"/>
        </w:trPr>
        <w:tc>
          <w:tcPr>
            <w:tcW w:w="7257" w:type="dxa"/>
            <w:tcBorders>
              <w:top w:val="single" w:sz="4" w:space="0" w:color="auto"/>
            </w:tcBorders>
          </w:tcPr>
          <w:p w14:paraId="38BCF9F2" w14:textId="77777777" w:rsidR="005B36AA" w:rsidRDefault="005B36AA" w:rsidP="005B36AA">
            <w:pPr>
              <w:pStyle w:val="TableRowHead"/>
              <w:rPr>
                <w:b/>
                <w:bCs/>
              </w:rPr>
            </w:pPr>
          </w:p>
          <w:p w14:paraId="44CD930E" w14:textId="77777777" w:rsidR="005B36AA" w:rsidRPr="008B64E6" w:rsidRDefault="005B36AA" w:rsidP="005B36AA">
            <w:pPr>
              <w:pStyle w:val="TableRowHead"/>
              <w:rPr>
                <w:b/>
                <w:bCs/>
              </w:rPr>
            </w:pPr>
            <w:r w:rsidRPr="008B64E6">
              <w:rPr>
                <w:b/>
                <w:bCs/>
              </w:rPr>
              <w:t>Current assets</w:t>
            </w:r>
          </w:p>
        </w:tc>
        <w:tc>
          <w:tcPr>
            <w:tcW w:w="680" w:type="dxa"/>
            <w:tcBorders>
              <w:top w:val="single" w:sz="4" w:space="0" w:color="auto"/>
            </w:tcBorders>
            <w:vAlign w:val="bottom"/>
          </w:tcPr>
          <w:p w14:paraId="1D8F4745" w14:textId="77777777" w:rsidR="005B36AA" w:rsidRPr="00211290" w:rsidRDefault="005B36AA" w:rsidP="005B36AA">
            <w:pPr>
              <w:pStyle w:val="Subtitle"/>
              <w:rPr>
                <w:rFonts w:ascii="Times New Roman"/>
                <w:b w:val="0"/>
              </w:rPr>
            </w:pPr>
          </w:p>
        </w:tc>
        <w:tc>
          <w:tcPr>
            <w:tcW w:w="1134" w:type="dxa"/>
            <w:tcBorders>
              <w:top w:val="single" w:sz="4" w:space="0" w:color="auto"/>
            </w:tcBorders>
            <w:vAlign w:val="bottom"/>
          </w:tcPr>
          <w:p w14:paraId="1CADEAF9" w14:textId="77777777" w:rsidR="005B36AA" w:rsidRPr="00CA2DA2" w:rsidRDefault="005B36AA" w:rsidP="005B36AA">
            <w:pPr>
              <w:pStyle w:val="Subtitle"/>
              <w:rPr>
                <w:rFonts w:ascii="Times New Roman"/>
              </w:rPr>
            </w:pPr>
          </w:p>
        </w:tc>
        <w:tc>
          <w:tcPr>
            <w:tcW w:w="1134" w:type="dxa"/>
            <w:tcBorders>
              <w:top w:val="single" w:sz="4" w:space="0" w:color="auto"/>
            </w:tcBorders>
            <w:vAlign w:val="bottom"/>
          </w:tcPr>
          <w:p w14:paraId="571C222E" w14:textId="77777777" w:rsidR="005B36AA" w:rsidRPr="0087242E" w:rsidRDefault="005B36AA" w:rsidP="005B36AA">
            <w:pPr>
              <w:pStyle w:val="Subtitle"/>
              <w:rPr>
                <w:rFonts w:ascii="Times New Roman"/>
                <w:b w:val="0"/>
              </w:rPr>
            </w:pPr>
          </w:p>
        </w:tc>
      </w:tr>
      <w:tr w:rsidR="005B36AA" w14:paraId="43B46739" w14:textId="77777777" w:rsidTr="005B36AA">
        <w:trPr>
          <w:trHeight w:val="227"/>
        </w:trPr>
        <w:tc>
          <w:tcPr>
            <w:tcW w:w="7257" w:type="dxa"/>
          </w:tcPr>
          <w:p w14:paraId="6939994E" w14:textId="77777777" w:rsidR="005B36AA" w:rsidRDefault="005B36AA" w:rsidP="005B36AA">
            <w:pPr>
              <w:pStyle w:val="TableRowHead"/>
            </w:pPr>
            <w:r>
              <w:t>Inventories</w:t>
            </w:r>
          </w:p>
        </w:tc>
        <w:tc>
          <w:tcPr>
            <w:tcW w:w="680" w:type="dxa"/>
            <w:vAlign w:val="bottom"/>
          </w:tcPr>
          <w:p w14:paraId="61BB2DDC" w14:textId="77777777" w:rsidR="005B36AA" w:rsidRPr="00211290" w:rsidRDefault="005B36AA" w:rsidP="005B36AA">
            <w:pPr>
              <w:pStyle w:val="Subtitle"/>
              <w:rPr>
                <w:rFonts w:cstheme="minorHAnsi"/>
                <w:b w:val="0"/>
              </w:rPr>
            </w:pPr>
          </w:p>
        </w:tc>
        <w:tc>
          <w:tcPr>
            <w:tcW w:w="1134" w:type="dxa"/>
            <w:vAlign w:val="bottom"/>
          </w:tcPr>
          <w:p w14:paraId="64DB39AB" w14:textId="77777777" w:rsidR="005B36AA" w:rsidRPr="00CA2DA2" w:rsidRDefault="005B36AA" w:rsidP="005B36AA">
            <w:pPr>
              <w:pStyle w:val="Subtitle"/>
              <w:rPr>
                <w:rFonts w:cstheme="minorHAnsi"/>
              </w:rPr>
            </w:pPr>
            <w:r>
              <w:rPr>
                <w:rFonts w:cstheme="minorHAnsi"/>
              </w:rPr>
              <w:t>44.7</w:t>
            </w:r>
          </w:p>
        </w:tc>
        <w:tc>
          <w:tcPr>
            <w:tcW w:w="1134" w:type="dxa"/>
            <w:vAlign w:val="bottom"/>
          </w:tcPr>
          <w:p w14:paraId="494052C7" w14:textId="77777777" w:rsidR="005B36AA" w:rsidRPr="0087242E" w:rsidRDefault="005B36AA" w:rsidP="005B36AA">
            <w:pPr>
              <w:pStyle w:val="Subtitle"/>
              <w:rPr>
                <w:rFonts w:cstheme="minorHAnsi"/>
                <w:b w:val="0"/>
              </w:rPr>
            </w:pPr>
            <w:r w:rsidRPr="0087242E">
              <w:rPr>
                <w:rFonts w:cstheme="minorHAnsi"/>
                <w:b w:val="0"/>
              </w:rPr>
              <w:t>45.9</w:t>
            </w:r>
          </w:p>
        </w:tc>
      </w:tr>
      <w:tr w:rsidR="005B36AA" w14:paraId="14591BE2" w14:textId="77777777" w:rsidTr="005B36AA">
        <w:trPr>
          <w:trHeight w:val="227"/>
        </w:trPr>
        <w:tc>
          <w:tcPr>
            <w:tcW w:w="7257" w:type="dxa"/>
          </w:tcPr>
          <w:p w14:paraId="7AE8C1C2" w14:textId="77777777" w:rsidR="005B36AA" w:rsidRDefault="005B36AA" w:rsidP="005B36AA">
            <w:pPr>
              <w:pStyle w:val="TableRowHead"/>
            </w:pPr>
            <w:r>
              <w:t>Trade and other receivables</w:t>
            </w:r>
          </w:p>
        </w:tc>
        <w:tc>
          <w:tcPr>
            <w:tcW w:w="680" w:type="dxa"/>
            <w:vAlign w:val="bottom"/>
          </w:tcPr>
          <w:p w14:paraId="4E5E1754" w14:textId="77777777" w:rsidR="005B36AA" w:rsidRPr="00211290" w:rsidRDefault="005B36AA" w:rsidP="005B36AA">
            <w:pPr>
              <w:pStyle w:val="Subtitle"/>
              <w:rPr>
                <w:rFonts w:cstheme="minorHAnsi"/>
                <w:b w:val="0"/>
              </w:rPr>
            </w:pPr>
          </w:p>
        </w:tc>
        <w:tc>
          <w:tcPr>
            <w:tcW w:w="1134" w:type="dxa"/>
            <w:vAlign w:val="bottom"/>
          </w:tcPr>
          <w:p w14:paraId="0AB1C211" w14:textId="77777777" w:rsidR="005B36AA" w:rsidRPr="00CA2DA2" w:rsidRDefault="005B36AA" w:rsidP="005B36AA">
            <w:pPr>
              <w:pStyle w:val="Subtitle"/>
              <w:rPr>
                <w:rFonts w:cstheme="minorHAnsi"/>
              </w:rPr>
            </w:pPr>
            <w:r>
              <w:rPr>
                <w:rFonts w:cstheme="minorHAnsi"/>
              </w:rPr>
              <w:t>157.7</w:t>
            </w:r>
          </w:p>
        </w:tc>
        <w:tc>
          <w:tcPr>
            <w:tcW w:w="1134" w:type="dxa"/>
            <w:vAlign w:val="bottom"/>
          </w:tcPr>
          <w:p w14:paraId="606EC3C4" w14:textId="77777777" w:rsidR="005B36AA" w:rsidRPr="0087242E" w:rsidRDefault="005B36AA" w:rsidP="005B36AA">
            <w:pPr>
              <w:pStyle w:val="Subtitle"/>
              <w:rPr>
                <w:rFonts w:cstheme="minorHAnsi"/>
                <w:b w:val="0"/>
              </w:rPr>
            </w:pPr>
            <w:r w:rsidRPr="0087242E">
              <w:rPr>
                <w:rFonts w:cstheme="minorHAnsi"/>
                <w:b w:val="0"/>
              </w:rPr>
              <w:t>173.8</w:t>
            </w:r>
          </w:p>
        </w:tc>
      </w:tr>
      <w:tr w:rsidR="004D30DE" w14:paraId="6BEE2324" w14:textId="77777777" w:rsidTr="005B36AA">
        <w:trPr>
          <w:trHeight w:val="227"/>
        </w:trPr>
        <w:tc>
          <w:tcPr>
            <w:tcW w:w="7257" w:type="dxa"/>
          </w:tcPr>
          <w:p w14:paraId="3960D6A6" w14:textId="7356CBF7" w:rsidR="004D30DE" w:rsidRDefault="004D30DE" w:rsidP="004D30DE">
            <w:pPr>
              <w:pStyle w:val="TableRowHead"/>
            </w:pPr>
            <w:r>
              <w:t>Cash and cash equivalents</w:t>
            </w:r>
          </w:p>
        </w:tc>
        <w:tc>
          <w:tcPr>
            <w:tcW w:w="680" w:type="dxa"/>
            <w:vAlign w:val="bottom"/>
          </w:tcPr>
          <w:p w14:paraId="53176303" w14:textId="77777777" w:rsidR="004D30DE" w:rsidRPr="00211290" w:rsidRDefault="004D30DE" w:rsidP="004D30DE">
            <w:pPr>
              <w:pStyle w:val="Subtitle"/>
              <w:rPr>
                <w:rFonts w:cstheme="minorHAnsi"/>
                <w:b w:val="0"/>
              </w:rPr>
            </w:pPr>
          </w:p>
        </w:tc>
        <w:tc>
          <w:tcPr>
            <w:tcW w:w="1134" w:type="dxa"/>
            <w:vAlign w:val="bottom"/>
          </w:tcPr>
          <w:p w14:paraId="433E5995" w14:textId="63DBC661" w:rsidR="004D30DE" w:rsidDel="006E401D" w:rsidRDefault="004D30DE" w:rsidP="004D30DE">
            <w:pPr>
              <w:pStyle w:val="Subtitle"/>
              <w:rPr>
                <w:rFonts w:cstheme="minorHAnsi"/>
              </w:rPr>
            </w:pPr>
            <w:r>
              <w:rPr>
                <w:rFonts w:cstheme="minorHAnsi"/>
              </w:rPr>
              <w:t>267.0</w:t>
            </w:r>
          </w:p>
        </w:tc>
        <w:tc>
          <w:tcPr>
            <w:tcW w:w="1134" w:type="dxa"/>
            <w:vAlign w:val="bottom"/>
          </w:tcPr>
          <w:p w14:paraId="49FF8DC2" w14:textId="015656A0" w:rsidR="004D30DE" w:rsidRPr="00324FDD" w:rsidRDefault="004D30DE" w:rsidP="004D30DE">
            <w:pPr>
              <w:pStyle w:val="Subtitle"/>
              <w:rPr>
                <w:b w:val="0"/>
              </w:rPr>
            </w:pPr>
            <w:r>
              <w:rPr>
                <w:rFonts w:cstheme="minorHAnsi"/>
                <w:b w:val="0"/>
              </w:rPr>
              <w:t>265.0</w:t>
            </w:r>
          </w:p>
        </w:tc>
      </w:tr>
      <w:tr w:rsidR="004D30DE" w14:paraId="7D2F2E67" w14:textId="77777777" w:rsidTr="005B36AA">
        <w:trPr>
          <w:trHeight w:val="227"/>
        </w:trPr>
        <w:tc>
          <w:tcPr>
            <w:tcW w:w="7257" w:type="dxa"/>
          </w:tcPr>
          <w:p w14:paraId="398F733C" w14:textId="77777777" w:rsidR="004D30DE" w:rsidRDefault="004D30DE" w:rsidP="004D30DE">
            <w:pPr>
              <w:pStyle w:val="TableRowHead"/>
            </w:pPr>
            <w:r>
              <w:t>Derivative financial instruments</w:t>
            </w:r>
          </w:p>
        </w:tc>
        <w:tc>
          <w:tcPr>
            <w:tcW w:w="680" w:type="dxa"/>
            <w:vAlign w:val="bottom"/>
          </w:tcPr>
          <w:p w14:paraId="4F449F3C" w14:textId="77777777" w:rsidR="004D30DE" w:rsidRPr="00211290" w:rsidRDefault="004D30DE" w:rsidP="004D30DE">
            <w:pPr>
              <w:pStyle w:val="Subtitle"/>
              <w:rPr>
                <w:rFonts w:cstheme="minorHAnsi"/>
                <w:b w:val="0"/>
              </w:rPr>
            </w:pPr>
          </w:p>
        </w:tc>
        <w:tc>
          <w:tcPr>
            <w:tcW w:w="1134" w:type="dxa"/>
            <w:vAlign w:val="bottom"/>
          </w:tcPr>
          <w:p w14:paraId="169DA3DB" w14:textId="49BFB67E" w:rsidR="004D30DE" w:rsidRPr="00CA2DA2" w:rsidRDefault="004D30DE" w:rsidP="004D30DE">
            <w:pPr>
              <w:pStyle w:val="Subtitle"/>
              <w:rPr>
                <w:rFonts w:cstheme="minorHAnsi"/>
              </w:rPr>
            </w:pPr>
            <w:r>
              <w:rPr>
                <w:rFonts w:cstheme="minorHAnsi"/>
              </w:rPr>
              <w:t>0.6</w:t>
            </w:r>
          </w:p>
        </w:tc>
        <w:tc>
          <w:tcPr>
            <w:tcW w:w="1134" w:type="dxa"/>
            <w:vAlign w:val="bottom"/>
          </w:tcPr>
          <w:p w14:paraId="38A3C0FB" w14:textId="77777777" w:rsidR="004D30DE" w:rsidRPr="0087242E" w:rsidRDefault="004D30DE" w:rsidP="004D30DE">
            <w:pPr>
              <w:pStyle w:val="Subtitle"/>
              <w:rPr>
                <w:rFonts w:cstheme="minorHAnsi"/>
                <w:b w:val="0"/>
              </w:rPr>
            </w:pPr>
            <w:r w:rsidRPr="00324FDD">
              <w:rPr>
                <w:b w:val="0"/>
              </w:rPr>
              <w:t>–</w:t>
            </w:r>
          </w:p>
        </w:tc>
      </w:tr>
      <w:tr w:rsidR="004D30DE" w14:paraId="78177863" w14:textId="77777777" w:rsidTr="005B36AA">
        <w:trPr>
          <w:trHeight w:val="227"/>
        </w:trPr>
        <w:tc>
          <w:tcPr>
            <w:tcW w:w="7257" w:type="dxa"/>
          </w:tcPr>
          <w:p w14:paraId="5C90CD70" w14:textId="77777777" w:rsidR="004D30DE" w:rsidRDefault="004D30DE" w:rsidP="004D30DE">
            <w:pPr>
              <w:pStyle w:val="TableRowHead"/>
            </w:pPr>
            <w:r>
              <w:t>Current tax receivable</w:t>
            </w:r>
          </w:p>
        </w:tc>
        <w:tc>
          <w:tcPr>
            <w:tcW w:w="680" w:type="dxa"/>
            <w:vAlign w:val="bottom"/>
          </w:tcPr>
          <w:p w14:paraId="3A261FA6" w14:textId="77777777" w:rsidR="004D30DE" w:rsidRPr="00211290" w:rsidRDefault="004D30DE" w:rsidP="004D30DE">
            <w:pPr>
              <w:pStyle w:val="Subtitle"/>
              <w:rPr>
                <w:rFonts w:cstheme="minorHAnsi"/>
                <w:b w:val="0"/>
              </w:rPr>
            </w:pPr>
          </w:p>
        </w:tc>
        <w:tc>
          <w:tcPr>
            <w:tcW w:w="1134" w:type="dxa"/>
            <w:vAlign w:val="bottom"/>
          </w:tcPr>
          <w:p w14:paraId="6398F49A" w14:textId="77777777" w:rsidR="004D30DE" w:rsidRDefault="004D30DE" w:rsidP="004D30DE">
            <w:pPr>
              <w:pStyle w:val="Subtitle"/>
              <w:rPr>
                <w:rFonts w:cstheme="minorHAnsi"/>
              </w:rPr>
            </w:pPr>
            <w:r>
              <w:rPr>
                <w:rFonts w:cstheme="minorHAnsi"/>
              </w:rPr>
              <w:t>0.5</w:t>
            </w:r>
          </w:p>
        </w:tc>
        <w:tc>
          <w:tcPr>
            <w:tcW w:w="1134" w:type="dxa"/>
            <w:vAlign w:val="bottom"/>
          </w:tcPr>
          <w:p w14:paraId="7DEC94DA" w14:textId="77777777" w:rsidR="004D30DE" w:rsidRPr="0087242E" w:rsidRDefault="004D30DE" w:rsidP="004D30DE">
            <w:pPr>
              <w:pStyle w:val="Subtitle"/>
              <w:rPr>
                <w:rFonts w:cstheme="minorHAnsi"/>
                <w:b w:val="0"/>
              </w:rPr>
            </w:pPr>
            <w:r w:rsidRPr="0087242E">
              <w:rPr>
                <w:rFonts w:cstheme="minorHAnsi"/>
                <w:b w:val="0"/>
              </w:rPr>
              <w:t>0.7</w:t>
            </w:r>
          </w:p>
        </w:tc>
      </w:tr>
      <w:tr w:rsidR="004D30DE" w14:paraId="580D82C7" w14:textId="77777777" w:rsidTr="005B36AA">
        <w:trPr>
          <w:trHeight w:val="227"/>
        </w:trPr>
        <w:tc>
          <w:tcPr>
            <w:tcW w:w="7257" w:type="dxa"/>
            <w:tcBorders>
              <w:bottom w:val="single" w:sz="4" w:space="0" w:color="000000"/>
            </w:tcBorders>
          </w:tcPr>
          <w:p w14:paraId="37725E49" w14:textId="77777777" w:rsidR="004D30DE" w:rsidRDefault="004D30DE" w:rsidP="004D30DE">
            <w:pPr>
              <w:pStyle w:val="TableRowHead"/>
            </w:pPr>
            <w:r>
              <w:t>Assets held for sale</w:t>
            </w:r>
          </w:p>
        </w:tc>
        <w:tc>
          <w:tcPr>
            <w:tcW w:w="680" w:type="dxa"/>
            <w:tcBorders>
              <w:bottom w:val="single" w:sz="4" w:space="0" w:color="000000"/>
            </w:tcBorders>
            <w:vAlign w:val="bottom"/>
          </w:tcPr>
          <w:p w14:paraId="3997D4C9" w14:textId="77777777" w:rsidR="004D30DE" w:rsidRPr="00211290" w:rsidRDefault="004D30DE" w:rsidP="004D30DE">
            <w:pPr>
              <w:pStyle w:val="Subtitle"/>
              <w:rPr>
                <w:rFonts w:cstheme="minorHAnsi"/>
                <w:b w:val="0"/>
              </w:rPr>
            </w:pPr>
            <w:r w:rsidRPr="00211290">
              <w:rPr>
                <w:rFonts w:cstheme="minorHAnsi"/>
                <w:b w:val="0"/>
              </w:rPr>
              <w:t>10</w:t>
            </w:r>
          </w:p>
        </w:tc>
        <w:tc>
          <w:tcPr>
            <w:tcW w:w="1134" w:type="dxa"/>
            <w:tcBorders>
              <w:bottom w:val="single" w:sz="4" w:space="0" w:color="000000"/>
            </w:tcBorders>
            <w:vAlign w:val="bottom"/>
          </w:tcPr>
          <w:p w14:paraId="10CAFAB0" w14:textId="77777777" w:rsidR="004D30DE" w:rsidRPr="00CA2DA2" w:rsidRDefault="004D30DE" w:rsidP="004D30DE">
            <w:pPr>
              <w:pStyle w:val="Subtitle"/>
              <w:rPr>
                <w:rFonts w:cstheme="minorHAnsi"/>
              </w:rPr>
            </w:pPr>
            <w:r>
              <w:rPr>
                <w:rFonts w:cstheme="minorHAnsi"/>
              </w:rPr>
              <w:t>11.2</w:t>
            </w:r>
          </w:p>
        </w:tc>
        <w:tc>
          <w:tcPr>
            <w:tcW w:w="1134" w:type="dxa"/>
            <w:tcBorders>
              <w:bottom w:val="single" w:sz="4" w:space="0" w:color="000000"/>
            </w:tcBorders>
            <w:vAlign w:val="bottom"/>
          </w:tcPr>
          <w:p w14:paraId="55FFF958" w14:textId="77777777" w:rsidR="004D30DE" w:rsidRPr="0087242E" w:rsidRDefault="004D30DE" w:rsidP="004D30DE">
            <w:pPr>
              <w:pStyle w:val="Subtitle"/>
              <w:rPr>
                <w:rFonts w:cstheme="minorHAnsi"/>
                <w:b w:val="0"/>
              </w:rPr>
            </w:pPr>
            <w:r w:rsidRPr="00324FDD">
              <w:rPr>
                <w:b w:val="0"/>
              </w:rPr>
              <w:t>–</w:t>
            </w:r>
          </w:p>
        </w:tc>
      </w:tr>
      <w:tr w:rsidR="004D30DE" w14:paraId="07DB188F" w14:textId="77777777" w:rsidTr="005B36AA">
        <w:trPr>
          <w:trHeight w:val="227"/>
        </w:trPr>
        <w:tc>
          <w:tcPr>
            <w:tcW w:w="7257" w:type="dxa"/>
            <w:tcBorders>
              <w:top w:val="single" w:sz="4" w:space="0" w:color="000000"/>
              <w:bottom w:val="single" w:sz="4" w:space="0" w:color="000000"/>
            </w:tcBorders>
          </w:tcPr>
          <w:p w14:paraId="195EF605" w14:textId="77777777" w:rsidR="004D30DE" w:rsidRPr="00926E11" w:rsidRDefault="004D30DE" w:rsidP="004D30DE">
            <w:pPr>
              <w:pStyle w:val="TableRowHead"/>
              <w:rPr>
                <w:b/>
              </w:rPr>
            </w:pPr>
            <w:r w:rsidRPr="00926E11">
              <w:rPr>
                <w:b/>
              </w:rPr>
              <w:lastRenderedPageBreak/>
              <w:t>Total current assets</w:t>
            </w:r>
          </w:p>
        </w:tc>
        <w:tc>
          <w:tcPr>
            <w:tcW w:w="680" w:type="dxa"/>
            <w:tcBorders>
              <w:top w:val="single" w:sz="4" w:space="0" w:color="000000"/>
              <w:bottom w:val="single" w:sz="4" w:space="0" w:color="000000"/>
            </w:tcBorders>
            <w:vAlign w:val="bottom"/>
          </w:tcPr>
          <w:p w14:paraId="6B10DC9B" w14:textId="77777777" w:rsidR="004D30DE" w:rsidRPr="00211290" w:rsidRDefault="004D30DE" w:rsidP="004D30DE">
            <w:pPr>
              <w:pStyle w:val="Subtitle"/>
              <w:rPr>
                <w:rFonts w:cstheme="minorHAnsi"/>
                <w:b w:val="0"/>
              </w:rPr>
            </w:pPr>
          </w:p>
        </w:tc>
        <w:tc>
          <w:tcPr>
            <w:tcW w:w="1134" w:type="dxa"/>
            <w:tcBorders>
              <w:top w:val="single" w:sz="4" w:space="0" w:color="000000"/>
              <w:bottom w:val="single" w:sz="4" w:space="0" w:color="000000"/>
            </w:tcBorders>
            <w:vAlign w:val="bottom"/>
          </w:tcPr>
          <w:p w14:paraId="00EC0865" w14:textId="5AC8E4DA" w:rsidR="004D30DE" w:rsidRPr="00CA2DA2" w:rsidRDefault="004D30DE" w:rsidP="004D30DE">
            <w:pPr>
              <w:pStyle w:val="Subtitle"/>
              <w:rPr>
                <w:rFonts w:cstheme="minorHAnsi"/>
              </w:rPr>
            </w:pPr>
            <w:r>
              <w:rPr>
                <w:rFonts w:cstheme="minorHAnsi"/>
              </w:rPr>
              <w:t>481.7</w:t>
            </w:r>
          </w:p>
        </w:tc>
        <w:tc>
          <w:tcPr>
            <w:tcW w:w="1134" w:type="dxa"/>
            <w:tcBorders>
              <w:top w:val="single" w:sz="4" w:space="0" w:color="000000"/>
              <w:bottom w:val="single" w:sz="4" w:space="0" w:color="000000"/>
            </w:tcBorders>
            <w:vAlign w:val="bottom"/>
          </w:tcPr>
          <w:p w14:paraId="7A0AB553" w14:textId="68005A4E" w:rsidR="004D30DE" w:rsidRPr="0087242E" w:rsidRDefault="004D30DE" w:rsidP="004D30DE">
            <w:pPr>
              <w:pStyle w:val="Subtitle"/>
              <w:rPr>
                <w:rFonts w:cstheme="minorHAnsi"/>
                <w:b w:val="0"/>
              </w:rPr>
            </w:pPr>
            <w:r>
              <w:rPr>
                <w:rFonts w:cstheme="minorHAnsi"/>
                <w:b w:val="0"/>
              </w:rPr>
              <w:t>485.4</w:t>
            </w:r>
          </w:p>
        </w:tc>
      </w:tr>
      <w:tr w:rsidR="004D30DE" w14:paraId="22EA870C" w14:textId="77777777" w:rsidTr="005B36AA">
        <w:trPr>
          <w:trHeight w:val="227"/>
        </w:trPr>
        <w:tc>
          <w:tcPr>
            <w:tcW w:w="7257" w:type="dxa"/>
            <w:tcBorders>
              <w:top w:val="single" w:sz="4" w:space="0" w:color="000000"/>
              <w:bottom w:val="single" w:sz="8" w:space="0" w:color="auto"/>
            </w:tcBorders>
          </w:tcPr>
          <w:p w14:paraId="7B49D813" w14:textId="77777777" w:rsidR="004D30DE" w:rsidRPr="00926E11" w:rsidRDefault="004D30DE" w:rsidP="004D30DE">
            <w:pPr>
              <w:pStyle w:val="TableRowHead"/>
              <w:rPr>
                <w:b/>
              </w:rPr>
            </w:pPr>
            <w:r w:rsidRPr="00926E11">
              <w:rPr>
                <w:b/>
              </w:rPr>
              <w:t>Total assets</w:t>
            </w:r>
          </w:p>
        </w:tc>
        <w:tc>
          <w:tcPr>
            <w:tcW w:w="680" w:type="dxa"/>
            <w:tcBorders>
              <w:top w:val="single" w:sz="4" w:space="0" w:color="000000"/>
              <w:bottom w:val="single" w:sz="8" w:space="0" w:color="auto"/>
            </w:tcBorders>
            <w:vAlign w:val="bottom"/>
          </w:tcPr>
          <w:p w14:paraId="5AF33E99" w14:textId="77777777" w:rsidR="004D30DE" w:rsidRPr="00635D3B" w:rsidRDefault="004D30DE" w:rsidP="004D30DE">
            <w:pPr>
              <w:pStyle w:val="Subtitle"/>
              <w:rPr>
                <w:rFonts w:cstheme="minorHAnsi"/>
                <w:b w:val="0"/>
                <w:highlight w:val="yellow"/>
              </w:rPr>
            </w:pPr>
          </w:p>
        </w:tc>
        <w:tc>
          <w:tcPr>
            <w:tcW w:w="1134" w:type="dxa"/>
            <w:tcBorders>
              <w:top w:val="single" w:sz="4" w:space="0" w:color="000000"/>
              <w:bottom w:val="single" w:sz="8" w:space="0" w:color="auto"/>
            </w:tcBorders>
            <w:vAlign w:val="bottom"/>
          </w:tcPr>
          <w:p w14:paraId="40B54A6D" w14:textId="70955DBD" w:rsidR="004D30DE" w:rsidRPr="00CA2DA2" w:rsidRDefault="004D30DE" w:rsidP="004D30DE">
            <w:pPr>
              <w:pStyle w:val="Subtitle"/>
              <w:rPr>
                <w:rFonts w:cstheme="minorHAnsi"/>
              </w:rPr>
            </w:pPr>
            <w:r>
              <w:rPr>
                <w:rFonts w:cstheme="minorHAnsi"/>
              </w:rPr>
              <w:t>1,427.1</w:t>
            </w:r>
          </w:p>
        </w:tc>
        <w:tc>
          <w:tcPr>
            <w:tcW w:w="1134" w:type="dxa"/>
            <w:tcBorders>
              <w:top w:val="single" w:sz="4" w:space="0" w:color="000000"/>
              <w:bottom w:val="single" w:sz="8" w:space="0" w:color="auto"/>
            </w:tcBorders>
            <w:vAlign w:val="bottom"/>
          </w:tcPr>
          <w:p w14:paraId="05F4FF15" w14:textId="2D3A2215" w:rsidR="004D30DE" w:rsidRPr="0087242E" w:rsidRDefault="004D30DE" w:rsidP="004D30DE">
            <w:pPr>
              <w:pStyle w:val="Subtitle"/>
              <w:rPr>
                <w:rFonts w:cstheme="minorHAnsi"/>
                <w:b w:val="0"/>
              </w:rPr>
            </w:pPr>
            <w:r>
              <w:rPr>
                <w:rFonts w:cstheme="minorHAnsi"/>
                <w:b w:val="0"/>
              </w:rPr>
              <w:t>1,387.2</w:t>
            </w:r>
          </w:p>
        </w:tc>
      </w:tr>
      <w:tr w:rsidR="004D30DE" w14:paraId="496BAD6F" w14:textId="77777777" w:rsidTr="005B36AA">
        <w:trPr>
          <w:trHeight w:val="227"/>
        </w:trPr>
        <w:tc>
          <w:tcPr>
            <w:tcW w:w="7257" w:type="dxa"/>
            <w:tcBorders>
              <w:top w:val="single" w:sz="8" w:space="0" w:color="auto"/>
            </w:tcBorders>
          </w:tcPr>
          <w:p w14:paraId="1A4B969A" w14:textId="77777777" w:rsidR="004D30DE" w:rsidRDefault="004D30DE" w:rsidP="004D30DE">
            <w:pPr>
              <w:pStyle w:val="TableRowHead"/>
              <w:rPr>
                <w:b/>
              </w:rPr>
            </w:pPr>
          </w:p>
          <w:p w14:paraId="60DD511C" w14:textId="77777777" w:rsidR="004D30DE" w:rsidRPr="00926E11" w:rsidRDefault="004D30DE" w:rsidP="004D30DE">
            <w:pPr>
              <w:pStyle w:val="TableRowHead"/>
              <w:rPr>
                <w:b/>
              </w:rPr>
            </w:pPr>
            <w:r w:rsidRPr="00926E11">
              <w:rPr>
                <w:b/>
              </w:rPr>
              <w:t>EQUITY</w:t>
            </w:r>
          </w:p>
        </w:tc>
        <w:tc>
          <w:tcPr>
            <w:tcW w:w="680" w:type="dxa"/>
            <w:tcBorders>
              <w:top w:val="single" w:sz="8" w:space="0" w:color="auto"/>
            </w:tcBorders>
            <w:vAlign w:val="bottom"/>
          </w:tcPr>
          <w:p w14:paraId="257D7DBC" w14:textId="77777777" w:rsidR="004D30DE" w:rsidRPr="00635D3B" w:rsidRDefault="004D30DE" w:rsidP="004D30DE">
            <w:pPr>
              <w:pStyle w:val="Subtitle"/>
              <w:rPr>
                <w:rFonts w:cstheme="minorHAnsi"/>
                <w:highlight w:val="yellow"/>
              </w:rPr>
            </w:pPr>
          </w:p>
        </w:tc>
        <w:tc>
          <w:tcPr>
            <w:tcW w:w="1134" w:type="dxa"/>
            <w:tcBorders>
              <w:top w:val="single" w:sz="8" w:space="0" w:color="auto"/>
            </w:tcBorders>
            <w:vAlign w:val="bottom"/>
          </w:tcPr>
          <w:p w14:paraId="5A4D519D" w14:textId="77777777" w:rsidR="004D30DE" w:rsidRPr="00926E11" w:rsidRDefault="004D30DE" w:rsidP="004D30DE">
            <w:pPr>
              <w:pStyle w:val="Subtitle"/>
              <w:rPr>
                <w:rFonts w:cstheme="minorHAnsi"/>
              </w:rPr>
            </w:pPr>
          </w:p>
        </w:tc>
        <w:tc>
          <w:tcPr>
            <w:tcW w:w="1134" w:type="dxa"/>
            <w:tcBorders>
              <w:top w:val="single" w:sz="8" w:space="0" w:color="auto"/>
            </w:tcBorders>
            <w:vAlign w:val="bottom"/>
          </w:tcPr>
          <w:p w14:paraId="6340D657" w14:textId="77777777" w:rsidR="004D30DE" w:rsidRPr="0087242E" w:rsidRDefault="004D30DE" w:rsidP="004D30DE">
            <w:pPr>
              <w:pStyle w:val="Subtitle"/>
              <w:rPr>
                <w:rFonts w:cstheme="minorHAnsi"/>
                <w:b w:val="0"/>
              </w:rPr>
            </w:pPr>
          </w:p>
        </w:tc>
      </w:tr>
      <w:tr w:rsidR="004D30DE" w14:paraId="4DF5F493" w14:textId="77777777" w:rsidTr="005B36AA">
        <w:trPr>
          <w:trHeight w:val="227"/>
        </w:trPr>
        <w:tc>
          <w:tcPr>
            <w:tcW w:w="7257" w:type="dxa"/>
          </w:tcPr>
          <w:p w14:paraId="42E94F65" w14:textId="77777777" w:rsidR="004D30DE" w:rsidRPr="00926E11" w:rsidRDefault="004D30DE" w:rsidP="004D30DE">
            <w:pPr>
              <w:pStyle w:val="TableRowHead"/>
              <w:rPr>
                <w:b/>
              </w:rPr>
            </w:pPr>
            <w:r w:rsidRPr="00926E11">
              <w:rPr>
                <w:b/>
              </w:rPr>
              <w:t>Capital and reserves attributable to equity holders of the Company</w:t>
            </w:r>
          </w:p>
        </w:tc>
        <w:tc>
          <w:tcPr>
            <w:tcW w:w="680" w:type="dxa"/>
            <w:vAlign w:val="bottom"/>
          </w:tcPr>
          <w:p w14:paraId="0B97A7E4" w14:textId="77777777" w:rsidR="004D30DE" w:rsidRPr="00635D3B" w:rsidRDefault="004D30DE" w:rsidP="004D30DE">
            <w:pPr>
              <w:pStyle w:val="Subtitle"/>
              <w:rPr>
                <w:rFonts w:cstheme="minorHAnsi"/>
                <w:highlight w:val="yellow"/>
              </w:rPr>
            </w:pPr>
          </w:p>
        </w:tc>
        <w:tc>
          <w:tcPr>
            <w:tcW w:w="1134" w:type="dxa"/>
            <w:vAlign w:val="bottom"/>
          </w:tcPr>
          <w:p w14:paraId="54109345" w14:textId="77777777" w:rsidR="004D30DE" w:rsidRPr="00926E11" w:rsidRDefault="004D30DE" w:rsidP="004D30DE">
            <w:pPr>
              <w:pStyle w:val="Subtitle"/>
              <w:rPr>
                <w:rFonts w:cstheme="minorHAnsi"/>
              </w:rPr>
            </w:pPr>
          </w:p>
        </w:tc>
        <w:tc>
          <w:tcPr>
            <w:tcW w:w="1134" w:type="dxa"/>
            <w:vAlign w:val="bottom"/>
          </w:tcPr>
          <w:p w14:paraId="1AEE95CF" w14:textId="77777777" w:rsidR="004D30DE" w:rsidRPr="0087242E" w:rsidRDefault="004D30DE" w:rsidP="004D30DE">
            <w:pPr>
              <w:pStyle w:val="Subtitle"/>
              <w:rPr>
                <w:rFonts w:cstheme="minorHAnsi"/>
                <w:b w:val="0"/>
              </w:rPr>
            </w:pPr>
          </w:p>
        </w:tc>
      </w:tr>
      <w:tr w:rsidR="004D30DE" w14:paraId="7DD23972" w14:textId="77777777" w:rsidTr="005B36AA">
        <w:trPr>
          <w:trHeight w:val="227"/>
        </w:trPr>
        <w:tc>
          <w:tcPr>
            <w:tcW w:w="7257" w:type="dxa"/>
          </w:tcPr>
          <w:p w14:paraId="6FB48517" w14:textId="77777777" w:rsidR="004D30DE" w:rsidRDefault="004D30DE" w:rsidP="004D30DE">
            <w:pPr>
              <w:pStyle w:val="TableRowHead"/>
            </w:pPr>
            <w:r>
              <w:t>Share capital</w:t>
            </w:r>
          </w:p>
        </w:tc>
        <w:tc>
          <w:tcPr>
            <w:tcW w:w="680" w:type="dxa"/>
            <w:vAlign w:val="bottom"/>
          </w:tcPr>
          <w:p w14:paraId="7B62AD73" w14:textId="77777777" w:rsidR="004D30DE" w:rsidRPr="00635D3B" w:rsidRDefault="004D30DE" w:rsidP="004D30DE">
            <w:pPr>
              <w:pStyle w:val="Subtitle"/>
              <w:rPr>
                <w:rFonts w:cstheme="minorHAnsi"/>
                <w:b w:val="0"/>
                <w:highlight w:val="yellow"/>
              </w:rPr>
            </w:pPr>
          </w:p>
        </w:tc>
        <w:tc>
          <w:tcPr>
            <w:tcW w:w="1134" w:type="dxa"/>
            <w:vAlign w:val="bottom"/>
          </w:tcPr>
          <w:p w14:paraId="13A51CC6" w14:textId="77777777" w:rsidR="004D30DE" w:rsidRPr="00CA2DA2" w:rsidRDefault="004D30DE" w:rsidP="004D30DE">
            <w:pPr>
              <w:pStyle w:val="Subtitle"/>
              <w:rPr>
                <w:rFonts w:cstheme="minorHAnsi"/>
              </w:rPr>
            </w:pPr>
            <w:r>
              <w:rPr>
                <w:rFonts w:cstheme="minorHAnsi"/>
              </w:rPr>
              <w:t>4.5</w:t>
            </w:r>
          </w:p>
        </w:tc>
        <w:tc>
          <w:tcPr>
            <w:tcW w:w="1134" w:type="dxa"/>
            <w:vAlign w:val="bottom"/>
          </w:tcPr>
          <w:p w14:paraId="404DA57B" w14:textId="77777777" w:rsidR="004D30DE" w:rsidRPr="0087242E" w:rsidRDefault="004D30DE" w:rsidP="004D30DE">
            <w:pPr>
              <w:pStyle w:val="Subtitle"/>
              <w:rPr>
                <w:rFonts w:cstheme="minorHAnsi"/>
                <w:b w:val="0"/>
              </w:rPr>
            </w:pPr>
            <w:r w:rsidRPr="0087242E">
              <w:rPr>
                <w:rFonts w:cstheme="minorHAnsi"/>
                <w:b w:val="0"/>
              </w:rPr>
              <w:t>4.5</w:t>
            </w:r>
          </w:p>
        </w:tc>
      </w:tr>
      <w:tr w:rsidR="004D30DE" w14:paraId="1533AB5C" w14:textId="77777777" w:rsidTr="005B36AA">
        <w:trPr>
          <w:trHeight w:val="227"/>
        </w:trPr>
        <w:tc>
          <w:tcPr>
            <w:tcW w:w="7257" w:type="dxa"/>
          </w:tcPr>
          <w:p w14:paraId="04F2BB7C" w14:textId="77777777" w:rsidR="004D30DE" w:rsidRDefault="004D30DE" w:rsidP="004D30DE">
            <w:pPr>
              <w:pStyle w:val="TableRowHead"/>
            </w:pPr>
            <w:r>
              <w:t>Share premium</w:t>
            </w:r>
          </w:p>
        </w:tc>
        <w:tc>
          <w:tcPr>
            <w:tcW w:w="680" w:type="dxa"/>
            <w:vAlign w:val="bottom"/>
          </w:tcPr>
          <w:p w14:paraId="6F0F3B44" w14:textId="77777777" w:rsidR="004D30DE" w:rsidRPr="00635D3B" w:rsidRDefault="004D30DE" w:rsidP="004D30DE">
            <w:pPr>
              <w:pStyle w:val="Subtitle"/>
              <w:rPr>
                <w:rFonts w:cstheme="minorHAnsi"/>
                <w:b w:val="0"/>
                <w:highlight w:val="yellow"/>
              </w:rPr>
            </w:pPr>
          </w:p>
        </w:tc>
        <w:tc>
          <w:tcPr>
            <w:tcW w:w="1134" w:type="dxa"/>
            <w:vAlign w:val="bottom"/>
          </w:tcPr>
          <w:p w14:paraId="36619AE3" w14:textId="77777777" w:rsidR="004D30DE" w:rsidRPr="00CA2DA2" w:rsidRDefault="004D30DE" w:rsidP="004D30DE">
            <w:pPr>
              <w:pStyle w:val="Subtitle"/>
              <w:rPr>
                <w:rFonts w:cstheme="minorHAnsi"/>
              </w:rPr>
            </w:pPr>
            <w:r>
              <w:rPr>
                <w:rFonts w:cstheme="minorHAnsi"/>
              </w:rPr>
              <w:t>0.4</w:t>
            </w:r>
          </w:p>
        </w:tc>
        <w:tc>
          <w:tcPr>
            <w:tcW w:w="1134" w:type="dxa"/>
            <w:vAlign w:val="bottom"/>
          </w:tcPr>
          <w:p w14:paraId="597FC19E" w14:textId="77777777" w:rsidR="004D30DE" w:rsidRPr="0087242E" w:rsidRDefault="004D30DE" w:rsidP="004D30DE">
            <w:pPr>
              <w:pStyle w:val="Subtitle"/>
              <w:rPr>
                <w:rFonts w:cstheme="minorHAnsi"/>
                <w:b w:val="0"/>
              </w:rPr>
            </w:pPr>
            <w:r w:rsidRPr="0087242E">
              <w:rPr>
                <w:rFonts w:cstheme="minorHAnsi"/>
                <w:b w:val="0"/>
              </w:rPr>
              <w:t>0.1</w:t>
            </w:r>
          </w:p>
        </w:tc>
      </w:tr>
      <w:tr w:rsidR="004D30DE" w14:paraId="6730A196" w14:textId="77777777" w:rsidTr="005B36AA">
        <w:trPr>
          <w:trHeight w:val="227"/>
        </w:trPr>
        <w:tc>
          <w:tcPr>
            <w:tcW w:w="7257" w:type="dxa"/>
            <w:tcBorders>
              <w:bottom w:val="single" w:sz="4" w:space="0" w:color="000000"/>
            </w:tcBorders>
          </w:tcPr>
          <w:p w14:paraId="7A419D8B" w14:textId="77777777" w:rsidR="004D30DE" w:rsidRDefault="004D30DE" w:rsidP="004D30DE">
            <w:pPr>
              <w:pStyle w:val="TableRowHead"/>
            </w:pPr>
            <w:r>
              <w:t>Reserves</w:t>
            </w:r>
          </w:p>
        </w:tc>
        <w:tc>
          <w:tcPr>
            <w:tcW w:w="680" w:type="dxa"/>
            <w:tcBorders>
              <w:bottom w:val="single" w:sz="4" w:space="0" w:color="000000"/>
            </w:tcBorders>
            <w:vAlign w:val="bottom"/>
          </w:tcPr>
          <w:p w14:paraId="4245D562" w14:textId="77777777" w:rsidR="004D30DE" w:rsidRPr="00635D3B" w:rsidRDefault="004D30DE" w:rsidP="004D30DE">
            <w:pPr>
              <w:pStyle w:val="Subtitle"/>
              <w:rPr>
                <w:rFonts w:cstheme="minorHAnsi"/>
                <w:b w:val="0"/>
                <w:highlight w:val="yellow"/>
              </w:rPr>
            </w:pPr>
          </w:p>
        </w:tc>
        <w:tc>
          <w:tcPr>
            <w:tcW w:w="1134" w:type="dxa"/>
            <w:tcBorders>
              <w:bottom w:val="single" w:sz="4" w:space="0" w:color="000000"/>
            </w:tcBorders>
            <w:vAlign w:val="bottom"/>
          </w:tcPr>
          <w:p w14:paraId="0C17DC0F" w14:textId="77777777" w:rsidR="004D30DE" w:rsidRPr="00CA2DA2" w:rsidRDefault="004D30DE" w:rsidP="004D30DE">
            <w:pPr>
              <w:pStyle w:val="Subtitle"/>
              <w:rPr>
                <w:rFonts w:cstheme="minorHAnsi"/>
              </w:rPr>
            </w:pPr>
            <w:r>
              <w:rPr>
                <w:rFonts w:cstheme="minorHAnsi"/>
              </w:rPr>
              <w:t>271.6</w:t>
            </w:r>
          </w:p>
        </w:tc>
        <w:tc>
          <w:tcPr>
            <w:tcW w:w="1134" w:type="dxa"/>
            <w:tcBorders>
              <w:bottom w:val="single" w:sz="4" w:space="0" w:color="000000"/>
            </w:tcBorders>
            <w:vAlign w:val="bottom"/>
          </w:tcPr>
          <w:p w14:paraId="0A61DB8F" w14:textId="77777777" w:rsidR="004D30DE" w:rsidRPr="0087242E" w:rsidRDefault="004D30DE" w:rsidP="004D30DE">
            <w:pPr>
              <w:pStyle w:val="Subtitle"/>
              <w:rPr>
                <w:rFonts w:cstheme="minorHAnsi"/>
                <w:b w:val="0"/>
              </w:rPr>
            </w:pPr>
            <w:r w:rsidRPr="0087242E">
              <w:rPr>
                <w:rFonts w:cstheme="minorHAnsi"/>
                <w:b w:val="0"/>
              </w:rPr>
              <w:t>294.8</w:t>
            </w:r>
          </w:p>
        </w:tc>
      </w:tr>
      <w:tr w:rsidR="004D30DE" w14:paraId="3EFD9671" w14:textId="77777777" w:rsidTr="005B36AA">
        <w:trPr>
          <w:trHeight w:val="227"/>
        </w:trPr>
        <w:tc>
          <w:tcPr>
            <w:tcW w:w="7257" w:type="dxa"/>
            <w:tcBorders>
              <w:top w:val="single" w:sz="4" w:space="0" w:color="000000"/>
            </w:tcBorders>
          </w:tcPr>
          <w:p w14:paraId="4FB3F0E0" w14:textId="77777777" w:rsidR="004D30DE" w:rsidRDefault="004D30DE" w:rsidP="004D30DE">
            <w:pPr>
              <w:pStyle w:val="TableRowHead"/>
              <w:rPr>
                <w:rFonts w:ascii="Times New Roman"/>
                <w:sz w:val="16"/>
              </w:rPr>
            </w:pPr>
          </w:p>
        </w:tc>
        <w:tc>
          <w:tcPr>
            <w:tcW w:w="680" w:type="dxa"/>
            <w:tcBorders>
              <w:top w:val="single" w:sz="4" w:space="0" w:color="000000"/>
            </w:tcBorders>
            <w:vAlign w:val="bottom"/>
          </w:tcPr>
          <w:p w14:paraId="452CA51B" w14:textId="77777777" w:rsidR="004D30DE" w:rsidRPr="00635D3B" w:rsidRDefault="004D30DE" w:rsidP="004D30DE">
            <w:pPr>
              <w:pStyle w:val="Subtitle"/>
              <w:rPr>
                <w:rFonts w:cstheme="minorHAnsi"/>
                <w:b w:val="0"/>
                <w:highlight w:val="yellow"/>
              </w:rPr>
            </w:pPr>
          </w:p>
        </w:tc>
        <w:tc>
          <w:tcPr>
            <w:tcW w:w="1134" w:type="dxa"/>
            <w:tcBorders>
              <w:top w:val="single" w:sz="4" w:space="0" w:color="000000"/>
            </w:tcBorders>
            <w:vAlign w:val="bottom"/>
          </w:tcPr>
          <w:p w14:paraId="5CC6CD94" w14:textId="77777777" w:rsidR="004D30DE" w:rsidRPr="00CA2DA2" w:rsidRDefault="004D30DE" w:rsidP="004D30DE">
            <w:pPr>
              <w:pStyle w:val="Subtitle"/>
              <w:rPr>
                <w:rFonts w:cstheme="minorHAnsi"/>
              </w:rPr>
            </w:pPr>
            <w:r>
              <w:rPr>
                <w:rFonts w:cstheme="minorHAnsi"/>
              </w:rPr>
              <w:t>276.5</w:t>
            </w:r>
          </w:p>
        </w:tc>
        <w:tc>
          <w:tcPr>
            <w:tcW w:w="1134" w:type="dxa"/>
            <w:tcBorders>
              <w:top w:val="single" w:sz="4" w:space="0" w:color="000000"/>
            </w:tcBorders>
            <w:vAlign w:val="bottom"/>
          </w:tcPr>
          <w:p w14:paraId="51C99FA0" w14:textId="77777777" w:rsidR="004D30DE" w:rsidRPr="0087242E" w:rsidRDefault="004D30DE" w:rsidP="004D30DE">
            <w:pPr>
              <w:pStyle w:val="Subtitle"/>
              <w:rPr>
                <w:rFonts w:cstheme="minorHAnsi"/>
                <w:b w:val="0"/>
              </w:rPr>
            </w:pPr>
            <w:r w:rsidRPr="0087242E">
              <w:rPr>
                <w:rFonts w:cstheme="minorHAnsi"/>
                <w:b w:val="0"/>
              </w:rPr>
              <w:t>299.4</w:t>
            </w:r>
          </w:p>
        </w:tc>
      </w:tr>
      <w:tr w:rsidR="004D30DE" w14:paraId="41172733" w14:textId="77777777" w:rsidTr="005B36AA">
        <w:trPr>
          <w:trHeight w:val="227"/>
        </w:trPr>
        <w:tc>
          <w:tcPr>
            <w:tcW w:w="7257" w:type="dxa"/>
            <w:tcBorders>
              <w:bottom w:val="single" w:sz="4" w:space="0" w:color="000000"/>
            </w:tcBorders>
          </w:tcPr>
          <w:p w14:paraId="2181344F" w14:textId="77777777" w:rsidR="004D30DE" w:rsidRPr="00D80872" w:rsidRDefault="004D30DE" w:rsidP="004D30DE">
            <w:pPr>
              <w:pStyle w:val="TableRowHead"/>
            </w:pPr>
            <w:r w:rsidRPr="00D80872">
              <w:t>Non-controlling interests</w:t>
            </w:r>
          </w:p>
        </w:tc>
        <w:tc>
          <w:tcPr>
            <w:tcW w:w="680" w:type="dxa"/>
            <w:tcBorders>
              <w:bottom w:val="single" w:sz="4" w:space="0" w:color="000000"/>
            </w:tcBorders>
            <w:vAlign w:val="bottom"/>
          </w:tcPr>
          <w:p w14:paraId="74C08A92" w14:textId="77777777" w:rsidR="004D30DE" w:rsidRPr="00635D3B" w:rsidRDefault="004D30DE" w:rsidP="004D30DE">
            <w:pPr>
              <w:pStyle w:val="Subtitle"/>
              <w:rPr>
                <w:rFonts w:cstheme="minorHAnsi"/>
                <w:b w:val="0"/>
                <w:highlight w:val="yellow"/>
              </w:rPr>
            </w:pPr>
          </w:p>
        </w:tc>
        <w:tc>
          <w:tcPr>
            <w:tcW w:w="1134" w:type="dxa"/>
            <w:tcBorders>
              <w:bottom w:val="single" w:sz="4" w:space="0" w:color="000000"/>
            </w:tcBorders>
            <w:vAlign w:val="bottom"/>
          </w:tcPr>
          <w:p w14:paraId="1990F502" w14:textId="77777777" w:rsidR="004D30DE" w:rsidRPr="00CA2DA2" w:rsidRDefault="004D30DE" w:rsidP="004D30DE">
            <w:pPr>
              <w:pStyle w:val="Subtitle"/>
              <w:rPr>
                <w:rFonts w:cstheme="minorHAnsi"/>
              </w:rPr>
            </w:pPr>
            <w:r>
              <w:rPr>
                <w:rFonts w:cstheme="minorHAnsi"/>
              </w:rPr>
              <w:t>5.7</w:t>
            </w:r>
          </w:p>
        </w:tc>
        <w:tc>
          <w:tcPr>
            <w:tcW w:w="1134" w:type="dxa"/>
            <w:tcBorders>
              <w:bottom w:val="single" w:sz="4" w:space="0" w:color="000000"/>
            </w:tcBorders>
            <w:vAlign w:val="bottom"/>
          </w:tcPr>
          <w:p w14:paraId="69140BD7" w14:textId="77777777" w:rsidR="004D30DE" w:rsidRPr="0087242E" w:rsidRDefault="004D30DE" w:rsidP="004D30DE">
            <w:pPr>
              <w:pStyle w:val="Subtitle"/>
              <w:rPr>
                <w:rFonts w:cstheme="minorHAnsi"/>
                <w:b w:val="0"/>
              </w:rPr>
            </w:pPr>
            <w:r w:rsidRPr="0087242E">
              <w:rPr>
                <w:rFonts w:cstheme="minorHAnsi"/>
                <w:b w:val="0"/>
              </w:rPr>
              <w:t>6.4</w:t>
            </w:r>
          </w:p>
        </w:tc>
      </w:tr>
      <w:tr w:rsidR="004D30DE" w14:paraId="0547FC43" w14:textId="77777777" w:rsidTr="005B36AA">
        <w:trPr>
          <w:trHeight w:val="227"/>
        </w:trPr>
        <w:tc>
          <w:tcPr>
            <w:tcW w:w="7257" w:type="dxa"/>
            <w:tcBorders>
              <w:top w:val="single" w:sz="4" w:space="0" w:color="000000"/>
              <w:bottom w:val="single" w:sz="4" w:space="0" w:color="auto"/>
            </w:tcBorders>
          </w:tcPr>
          <w:p w14:paraId="30479F2D" w14:textId="77777777" w:rsidR="004D30DE" w:rsidRPr="00926E11" w:rsidRDefault="004D30DE" w:rsidP="004D30DE">
            <w:pPr>
              <w:pStyle w:val="TableRowHead"/>
              <w:rPr>
                <w:b/>
              </w:rPr>
            </w:pPr>
            <w:r w:rsidRPr="00926E11">
              <w:rPr>
                <w:b/>
              </w:rPr>
              <w:t>Total equity</w:t>
            </w:r>
          </w:p>
        </w:tc>
        <w:tc>
          <w:tcPr>
            <w:tcW w:w="680" w:type="dxa"/>
            <w:tcBorders>
              <w:top w:val="single" w:sz="4" w:space="0" w:color="000000"/>
              <w:bottom w:val="single" w:sz="4" w:space="0" w:color="auto"/>
            </w:tcBorders>
            <w:vAlign w:val="bottom"/>
          </w:tcPr>
          <w:p w14:paraId="46B25E69" w14:textId="77777777" w:rsidR="004D30DE" w:rsidRPr="00635D3B" w:rsidRDefault="004D30DE" w:rsidP="004D30DE">
            <w:pPr>
              <w:pStyle w:val="Subtitle"/>
              <w:rPr>
                <w:rFonts w:cstheme="minorHAnsi"/>
                <w:b w:val="0"/>
                <w:highlight w:val="yellow"/>
              </w:rPr>
            </w:pPr>
          </w:p>
        </w:tc>
        <w:tc>
          <w:tcPr>
            <w:tcW w:w="1134" w:type="dxa"/>
            <w:tcBorders>
              <w:top w:val="single" w:sz="4" w:space="0" w:color="000000"/>
              <w:bottom w:val="single" w:sz="4" w:space="0" w:color="auto"/>
            </w:tcBorders>
            <w:vAlign w:val="bottom"/>
          </w:tcPr>
          <w:p w14:paraId="43DCAC8C" w14:textId="77777777" w:rsidR="004D30DE" w:rsidRPr="00CA2DA2" w:rsidRDefault="004D30DE" w:rsidP="004D30DE">
            <w:pPr>
              <w:pStyle w:val="Subtitle"/>
              <w:rPr>
                <w:rFonts w:cstheme="minorHAnsi"/>
              </w:rPr>
            </w:pPr>
            <w:r>
              <w:rPr>
                <w:rFonts w:cstheme="minorHAnsi"/>
              </w:rPr>
              <w:t>282.2</w:t>
            </w:r>
          </w:p>
        </w:tc>
        <w:tc>
          <w:tcPr>
            <w:tcW w:w="1134" w:type="dxa"/>
            <w:tcBorders>
              <w:top w:val="single" w:sz="4" w:space="0" w:color="000000"/>
              <w:bottom w:val="single" w:sz="4" w:space="0" w:color="auto"/>
            </w:tcBorders>
            <w:vAlign w:val="bottom"/>
          </w:tcPr>
          <w:p w14:paraId="03D45EDD" w14:textId="77777777" w:rsidR="004D30DE" w:rsidRPr="0087242E" w:rsidRDefault="004D30DE" w:rsidP="004D30DE">
            <w:pPr>
              <w:pStyle w:val="Subtitle"/>
              <w:rPr>
                <w:rFonts w:cstheme="minorHAnsi"/>
                <w:b w:val="0"/>
              </w:rPr>
            </w:pPr>
            <w:r w:rsidRPr="0087242E">
              <w:rPr>
                <w:rFonts w:cstheme="minorHAnsi"/>
                <w:b w:val="0"/>
              </w:rPr>
              <w:t>305.8</w:t>
            </w:r>
          </w:p>
        </w:tc>
      </w:tr>
      <w:tr w:rsidR="004D30DE" w14:paraId="1E54B38F" w14:textId="77777777" w:rsidTr="005B36AA">
        <w:trPr>
          <w:trHeight w:val="227"/>
        </w:trPr>
        <w:tc>
          <w:tcPr>
            <w:tcW w:w="7257" w:type="dxa"/>
            <w:tcBorders>
              <w:top w:val="single" w:sz="4" w:space="0" w:color="auto"/>
            </w:tcBorders>
          </w:tcPr>
          <w:p w14:paraId="35A53DC1" w14:textId="77777777" w:rsidR="004D30DE" w:rsidRDefault="004D30DE" w:rsidP="004D30DE">
            <w:pPr>
              <w:pStyle w:val="TableRowHead"/>
              <w:rPr>
                <w:b/>
              </w:rPr>
            </w:pPr>
          </w:p>
          <w:p w14:paraId="1F3EDD6C" w14:textId="77777777" w:rsidR="004D30DE" w:rsidRPr="00926E11" w:rsidRDefault="004D30DE" w:rsidP="004D30DE">
            <w:pPr>
              <w:pStyle w:val="TableRowHead"/>
              <w:rPr>
                <w:b/>
              </w:rPr>
            </w:pPr>
            <w:r w:rsidRPr="00926E11">
              <w:rPr>
                <w:b/>
              </w:rPr>
              <w:t>LIABILITIES</w:t>
            </w:r>
          </w:p>
        </w:tc>
        <w:tc>
          <w:tcPr>
            <w:tcW w:w="680" w:type="dxa"/>
            <w:tcBorders>
              <w:top w:val="single" w:sz="4" w:space="0" w:color="auto"/>
            </w:tcBorders>
            <w:vAlign w:val="bottom"/>
          </w:tcPr>
          <w:p w14:paraId="49C13693" w14:textId="77777777" w:rsidR="004D30DE" w:rsidRPr="00635D3B" w:rsidRDefault="004D30DE" w:rsidP="004D30DE">
            <w:pPr>
              <w:pStyle w:val="Subtitle"/>
              <w:rPr>
                <w:rFonts w:cstheme="minorHAnsi"/>
                <w:b w:val="0"/>
                <w:highlight w:val="yellow"/>
              </w:rPr>
            </w:pPr>
          </w:p>
        </w:tc>
        <w:tc>
          <w:tcPr>
            <w:tcW w:w="1134" w:type="dxa"/>
            <w:tcBorders>
              <w:top w:val="single" w:sz="4" w:space="0" w:color="auto"/>
            </w:tcBorders>
            <w:vAlign w:val="bottom"/>
          </w:tcPr>
          <w:p w14:paraId="1457840A"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7C7136EA" w14:textId="77777777" w:rsidR="004D30DE" w:rsidRPr="0087242E" w:rsidRDefault="004D30DE" w:rsidP="004D30DE">
            <w:pPr>
              <w:pStyle w:val="Subtitle"/>
              <w:rPr>
                <w:rFonts w:cstheme="minorHAnsi"/>
                <w:b w:val="0"/>
              </w:rPr>
            </w:pPr>
          </w:p>
        </w:tc>
      </w:tr>
      <w:tr w:rsidR="004D30DE" w14:paraId="5CF0B1CF" w14:textId="77777777" w:rsidTr="005B36AA">
        <w:trPr>
          <w:trHeight w:val="227"/>
        </w:trPr>
        <w:tc>
          <w:tcPr>
            <w:tcW w:w="7257" w:type="dxa"/>
          </w:tcPr>
          <w:p w14:paraId="327934DD" w14:textId="77777777" w:rsidR="004D30DE" w:rsidRPr="00926E11" w:rsidRDefault="004D30DE" w:rsidP="004D30DE">
            <w:pPr>
              <w:pStyle w:val="TableRowHead"/>
              <w:rPr>
                <w:b/>
              </w:rPr>
            </w:pPr>
            <w:r w:rsidRPr="00926E11">
              <w:rPr>
                <w:b/>
              </w:rPr>
              <w:t>Non-current liabilities</w:t>
            </w:r>
          </w:p>
        </w:tc>
        <w:tc>
          <w:tcPr>
            <w:tcW w:w="680" w:type="dxa"/>
            <w:vAlign w:val="bottom"/>
          </w:tcPr>
          <w:p w14:paraId="6EEDD9CD" w14:textId="77777777" w:rsidR="004D30DE" w:rsidRPr="00635D3B" w:rsidRDefault="004D30DE" w:rsidP="004D30DE">
            <w:pPr>
              <w:pStyle w:val="Subtitle"/>
              <w:rPr>
                <w:rFonts w:cstheme="minorHAnsi"/>
                <w:b w:val="0"/>
                <w:highlight w:val="yellow"/>
              </w:rPr>
            </w:pPr>
          </w:p>
        </w:tc>
        <w:tc>
          <w:tcPr>
            <w:tcW w:w="1134" w:type="dxa"/>
            <w:vAlign w:val="bottom"/>
          </w:tcPr>
          <w:p w14:paraId="35C96D4F" w14:textId="77777777" w:rsidR="004D30DE" w:rsidRPr="00CA2DA2" w:rsidRDefault="004D30DE" w:rsidP="004D30DE">
            <w:pPr>
              <w:pStyle w:val="Subtitle"/>
              <w:rPr>
                <w:rFonts w:cstheme="minorHAnsi"/>
              </w:rPr>
            </w:pPr>
          </w:p>
        </w:tc>
        <w:tc>
          <w:tcPr>
            <w:tcW w:w="1134" w:type="dxa"/>
            <w:vAlign w:val="bottom"/>
          </w:tcPr>
          <w:p w14:paraId="0B732F77" w14:textId="77777777" w:rsidR="004D30DE" w:rsidRPr="0087242E" w:rsidRDefault="004D30DE" w:rsidP="004D30DE">
            <w:pPr>
              <w:pStyle w:val="Subtitle"/>
              <w:rPr>
                <w:rFonts w:cstheme="minorHAnsi"/>
                <w:b w:val="0"/>
              </w:rPr>
            </w:pPr>
          </w:p>
        </w:tc>
      </w:tr>
      <w:tr w:rsidR="004D30DE" w14:paraId="525220F8" w14:textId="77777777" w:rsidTr="005B36AA">
        <w:trPr>
          <w:trHeight w:val="227"/>
        </w:trPr>
        <w:tc>
          <w:tcPr>
            <w:tcW w:w="7257" w:type="dxa"/>
          </w:tcPr>
          <w:p w14:paraId="18E23A47" w14:textId="77777777" w:rsidR="004D30DE" w:rsidRDefault="004D30DE" w:rsidP="004D30DE">
            <w:pPr>
              <w:pStyle w:val="TableRowHead"/>
            </w:pPr>
            <w:r>
              <w:t>Borrowings</w:t>
            </w:r>
          </w:p>
        </w:tc>
        <w:tc>
          <w:tcPr>
            <w:tcW w:w="680" w:type="dxa"/>
            <w:vAlign w:val="bottom"/>
          </w:tcPr>
          <w:p w14:paraId="39E274BC" w14:textId="77777777" w:rsidR="004D30DE" w:rsidRPr="00211290" w:rsidRDefault="004D30DE" w:rsidP="004D30DE">
            <w:pPr>
              <w:pStyle w:val="Subtitle"/>
              <w:rPr>
                <w:rFonts w:cstheme="minorHAnsi"/>
                <w:b w:val="0"/>
              </w:rPr>
            </w:pPr>
            <w:r w:rsidRPr="00211290">
              <w:rPr>
                <w:rFonts w:cstheme="minorHAnsi"/>
                <w:b w:val="0"/>
              </w:rPr>
              <w:t>7</w:t>
            </w:r>
          </w:p>
        </w:tc>
        <w:tc>
          <w:tcPr>
            <w:tcW w:w="1134" w:type="dxa"/>
            <w:vAlign w:val="bottom"/>
          </w:tcPr>
          <w:p w14:paraId="3FA519F4" w14:textId="77777777" w:rsidR="004D30DE" w:rsidRPr="00CA2DA2" w:rsidRDefault="004D30DE" w:rsidP="004D30DE">
            <w:pPr>
              <w:pStyle w:val="Subtitle"/>
              <w:rPr>
                <w:rFonts w:cstheme="minorHAnsi"/>
              </w:rPr>
            </w:pPr>
            <w:r>
              <w:rPr>
                <w:rFonts w:cstheme="minorHAnsi"/>
              </w:rPr>
              <w:t>397.5</w:t>
            </w:r>
          </w:p>
        </w:tc>
        <w:tc>
          <w:tcPr>
            <w:tcW w:w="1134" w:type="dxa"/>
            <w:vAlign w:val="bottom"/>
          </w:tcPr>
          <w:p w14:paraId="3BE16E52" w14:textId="77777777" w:rsidR="004D30DE" w:rsidRPr="0087242E" w:rsidRDefault="004D30DE" w:rsidP="004D30DE">
            <w:pPr>
              <w:pStyle w:val="Subtitle"/>
              <w:rPr>
                <w:rFonts w:cstheme="minorHAnsi"/>
                <w:b w:val="0"/>
              </w:rPr>
            </w:pPr>
            <w:r w:rsidRPr="0087242E">
              <w:rPr>
                <w:rFonts w:cstheme="minorHAnsi"/>
                <w:b w:val="0"/>
              </w:rPr>
              <w:t>330.1</w:t>
            </w:r>
          </w:p>
        </w:tc>
      </w:tr>
      <w:tr w:rsidR="004D30DE" w14:paraId="61C387E3" w14:textId="77777777" w:rsidTr="005B36AA">
        <w:trPr>
          <w:trHeight w:val="227"/>
        </w:trPr>
        <w:tc>
          <w:tcPr>
            <w:tcW w:w="7257" w:type="dxa"/>
          </w:tcPr>
          <w:p w14:paraId="33C7BA7D" w14:textId="77777777" w:rsidR="004D30DE" w:rsidRDefault="004D30DE" w:rsidP="004D30DE">
            <w:pPr>
              <w:pStyle w:val="TableRowHead"/>
            </w:pPr>
            <w:r>
              <w:t>Lease liabilities</w:t>
            </w:r>
          </w:p>
        </w:tc>
        <w:tc>
          <w:tcPr>
            <w:tcW w:w="680" w:type="dxa"/>
            <w:vAlign w:val="bottom"/>
          </w:tcPr>
          <w:p w14:paraId="104A1292" w14:textId="77777777" w:rsidR="004D30DE" w:rsidRPr="00211290" w:rsidRDefault="004D30DE" w:rsidP="004D30DE">
            <w:pPr>
              <w:pStyle w:val="Subtitle"/>
              <w:rPr>
                <w:rFonts w:cstheme="minorHAnsi"/>
                <w:b w:val="0"/>
              </w:rPr>
            </w:pPr>
            <w:r w:rsidRPr="00211290">
              <w:rPr>
                <w:rFonts w:cstheme="minorHAnsi"/>
                <w:b w:val="0"/>
              </w:rPr>
              <w:t>8</w:t>
            </w:r>
          </w:p>
        </w:tc>
        <w:tc>
          <w:tcPr>
            <w:tcW w:w="1134" w:type="dxa"/>
            <w:vAlign w:val="bottom"/>
          </w:tcPr>
          <w:p w14:paraId="04B7379F" w14:textId="77777777" w:rsidR="004D30DE" w:rsidRDefault="004D30DE" w:rsidP="004D30DE">
            <w:pPr>
              <w:pStyle w:val="Subtitle"/>
              <w:rPr>
                <w:rFonts w:cstheme="minorHAnsi"/>
              </w:rPr>
            </w:pPr>
            <w:r>
              <w:rPr>
                <w:rFonts w:cstheme="minorHAnsi"/>
              </w:rPr>
              <w:t>46.6</w:t>
            </w:r>
          </w:p>
        </w:tc>
        <w:tc>
          <w:tcPr>
            <w:tcW w:w="1134" w:type="dxa"/>
            <w:vAlign w:val="bottom"/>
          </w:tcPr>
          <w:p w14:paraId="03DD744E" w14:textId="77777777" w:rsidR="004D30DE" w:rsidRPr="0087242E" w:rsidRDefault="004D30DE" w:rsidP="004D30DE">
            <w:pPr>
              <w:pStyle w:val="Subtitle"/>
              <w:rPr>
                <w:rFonts w:cstheme="minorHAnsi"/>
                <w:b w:val="0"/>
              </w:rPr>
            </w:pPr>
            <w:r w:rsidRPr="00324FDD">
              <w:rPr>
                <w:b w:val="0"/>
              </w:rPr>
              <w:t>–</w:t>
            </w:r>
          </w:p>
        </w:tc>
      </w:tr>
      <w:tr w:rsidR="004D30DE" w14:paraId="5EE3B379" w14:textId="77777777" w:rsidTr="005B36AA">
        <w:trPr>
          <w:trHeight w:val="227"/>
        </w:trPr>
        <w:tc>
          <w:tcPr>
            <w:tcW w:w="7257" w:type="dxa"/>
          </w:tcPr>
          <w:p w14:paraId="2540E81B" w14:textId="77777777" w:rsidR="004D30DE" w:rsidRDefault="004D30DE" w:rsidP="004D30DE">
            <w:pPr>
              <w:pStyle w:val="TableRowHead"/>
            </w:pPr>
            <w:r>
              <w:t>Other payables</w:t>
            </w:r>
          </w:p>
        </w:tc>
        <w:tc>
          <w:tcPr>
            <w:tcW w:w="680" w:type="dxa"/>
            <w:vAlign w:val="bottom"/>
          </w:tcPr>
          <w:p w14:paraId="46152914" w14:textId="77777777" w:rsidR="004D30DE" w:rsidRPr="00211290" w:rsidRDefault="004D30DE" w:rsidP="004D30DE">
            <w:pPr>
              <w:pStyle w:val="Subtitle"/>
              <w:rPr>
                <w:rFonts w:cstheme="minorHAnsi"/>
                <w:b w:val="0"/>
              </w:rPr>
            </w:pPr>
          </w:p>
        </w:tc>
        <w:tc>
          <w:tcPr>
            <w:tcW w:w="1134" w:type="dxa"/>
            <w:vAlign w:val="bottom"/>
          </w:tcPr>
          <w:p w14:paraId="34D5B2DE" w14:textId="77777777" w:rsidR="004D30DE" w:rsidRPr="00CA2DA2" w:rsidRDefault="004D30DE" w:rsidP="004D30DE">
            <w:pPr>
              <w:pStyle w:val="Subtitle"/>
              <w:rPr>
                <w:rFonts w:cstheme="minorHAnsi"/>
              </w:rPr>
            </w:pPr>
            <w:r>
              <w:rPr>
                <w:rFonts w:cstheme="minorHAnsi"/>
              </w:rPr>
              <w:t>3.7</w:t>
            </w:r>
          </w:p>
        </w:tc>
        <w:tc>
          <w:tcPr>
            <w:tcW w:w="1134" w:type="dxa"/>
            <w:vAlign w:val="bottom"/>
          </w:tcPr>
          <w:p w14:paraId="053BB6E2" w14:textId="77777777" w:rsidR="004D30DE" w:rsidRPr="0087242E" w:rsidRDefault="004D30DE" w:rsidP="004D30DE">
            <w:pPr>
              <w:pStyle w:val="Subtitle"/>
              <w:rPr>
                <w:rFonts w:cstheme="minorHAnsi"/>
                <w:b w:val="0"/>
              </w:rPr>
            </w:pPr>
            <w:r w:rsidRPr="0087242E">
              <w:rPr>
                <w:rFonts w:cstheme="minorHAnsi"/>
                <w:b w:val="0"/>
              </w:rPr>
              <w:t>3.7</w:t>
            </w:r>
          </w:p>
        </w:tc>
      </w:tr>
      <w:tr w:rsidR="004D30DE" w14:paraId="0A73C829" w14:textId="77777777" w:rsidTr="005B36AA">
        <w:trPr>
          <w:trHeight w:val="227"/>
        </w:trPr>
        <w:tc>
          <w:tcPr>
            <w:tcW w:w="7257" w:type="dxa"/>
          </w:tcPr>
          <w:p w14:paraId="60690BB6" w14:textId="77777777" w:rsidR="004D30DE" w:rsidRDefault="004D30DE" w:rsidP="004D30DE">
            <w:pPr>
              <w:pStyle w:val="TableRowHead"/>
            </w:pPr>
            <w:r>
              <w:t>Derivative financial instruments</w:t>
            </w:r>
          </w:p>
        </w:tc>
        <w:tc>
          <w:tcPr>
            <w:tcW w:w="680" w:type="dxa"/>
            <w:vAlign w:val="bottom"/>
          </w:tcPr>
          <w:p w14:paraId="38F32E64" w14:textId="77777777" w:rsidR="004D30DE" w:rsidRPr="00211290" w:rsidRDefault="004D30DE" w:rsidP="004D30DE">
            <w:pPr>
              <w:pStyle w:val="Subtitle"/>
              <w:rPr>
                <w:rFonts w:cstheme="minorHAnsi"/>
                <w:b w:val="0"/>
              </w:rPr>
            </w:pPr>
          </w:p>
        </w:tc>
        <w:tc>
          <w:tcPr>
            <w:tcW w:w="1134" w:type="dxa"/>
            <w:vAlign w:val="bottom"/>
          </w:tcPr>
          <w:p w14:paraId="64479408" w14:textId="77777777" w:rsidR="004D30DE" w:rsidRPr="00CA2DA2" w:rsidRDefault="004D30DE" w:rsidP="004D30DE">
            <w:pPr>
              <w:pStyle w:val="Subtitle"/>
              <w:rPr>
                <w:rFonts w:cstheme="minorHAnsi"/>
              </w:rPr>
            </w:pPr>
            <w:r>
              <w:rPr>
                <w:rFonts w:cstheme="minorHAnsi"/>
              </w:rPr>
              <w:t>2.5</w:t>
            </w:r>
          </w:p>
        </w:tc>
        <w:tc>
          <w:tcPr>
            <w:tcW w:w="1134" w:type="dxa"/>
            <w:vAlign w:val="bottom"/>
          </w:tcPr>
          <w:p w14:paraId="2906F1B7" w14:textId="77777777" w:rsidR="004D30DE" w:rsidRPr="0087242E" w:rsidRDefault="004D30DE" w:rsidP="004D30DE">
            <w:pPr>
              <w:pStyle w:val="Subtitle"/>
              <w:rPr>
                <w:rFonts w:cstheme="minorHAnsi"/>
                <w:b w:val="0"/>
              </w:rPr>
            </w:pPr>
            <w:r w:rsidRPr="0087242E">
              <w:rPr>
                <w:rFonts w:cstheme="minorHAnsi"/>
                <w:b w:val="0"/>
              </w:rPr>
              <w:t>3.3</w:t>
            </w:r>
          </w:p>
        </w:tc>
      </w:tr>
      <w:tr w:rsidR="004D30DE" w14:paraId="69FDDEDB" w14:textId="77777777" w:rsidTr="005B36AA">
        <w:trPr>
          <w:trHeight w:val="227"/>
        </w:trPr>
        <w:tc>
          <w:tcPr>
            <w:tcW w:w="7257" w:type="dxa"/>
          </w:tcPr>
          <w:p w14:paraId="16D275BC" w14:textId="77777777" w:rsidR="004D30DE" w:rsidRDefault="004D30DE" w:rsidP="004D30DE">
            <w:pPr>
              <w:pStyle w:val="TableRowHead"/>
            </w:pPr>
            <w:r>
              <w:t>Provisions</w:t>
            </w:r>
          </w:p>
        </w:tc>
        <w:tc>
          <w:tcPr>
            <w:tcW w:w="680" w:type="dxa"/>
            <w:vAlign w:val="bottom"/>
          </w:tcPr>
          <w:p w14:paraId="22FB608D" w14:textId="77777777" w:rsidR="004D30DE" w:rsidRPr="00211290" w:rsidRDefault="004D30DE" w:rsidP="004D30DE">
            <w:pPr>
              <w:pStyle w:val="Subtitle"/>
              <w:rPr>
                <w:rFonts w:cstheme="minorHAnsi"/>
                <w:b w:val="0"/>
              </w:rPr>
            </w:pPr>
          </w:p>
        </w:tc>
        <w:tc>
          <w:tcPr>
            <w:tcW w:w="1134" w:type="dxa"/>
            <w:vAlign w:val="bottom"/>
          </w:tcPr>
          <w:p w14:paraId="20B3BDFE" w14:textId="77777777" w:rsidR="004D30DE" w:rsidRDefault="004D30DE" w:rsidP="004D30DE">
            <w:pPr>
              <w:pStyle w:val="Subtitle"/>
              <w:rPr>
                <w:rFonts w:cstheme="minorHAnsi"/>
              </w:rPr>
            </w:pPr>
            <w:r>
              <w:rPr>
                <w:rFonts w:cstheme="minorHAnsi"/>
              </w:rPr>
              <w:t>5.4</w:t>
            </w:r>
          </w:p>
        </w:tc>
        <w:tc>
          <w:tcPr>
            <w:tcW w:w="1134" w:type="dxa"/>
            <w:vAlign w:val="bottom"/>
          </w:tcPr>
          <w:p w14:paraId="2A8C78AA" w14:textId="77777777" w:rsidR="004D30DE" w:rsidRPr="0087242E" w:rsidRDefault="004D30DE" w:rsidP="004D30DE">
            <w:pPr>
              <w:pStyle w:val="Subtitle"/>
              <w:rPr>
                <w:rFonts w:cstheme="minorHAnsi"/>
                <w:b w:val="0"/>
              </w:rPr>
            </w:pPr>
            <w:r w:rsidRPr="0087242E">
              <w:rPr>
                <w:rFonts w:cstheme="minorHAnsi"/>
                <w:b w:val="0"/>
              </w:rPr>
              <w:t>6.7</w:t>
            </w:r>
          </w:p>
        </w:tc>
      </w:tr>
      <w:tr w:rsidR="004D30DE" w14:paraId="5D88FFA1" w14:textId="77777777" w:rsidTr="005B36AA">
        <w:trPr>
          <w:trHeight w:val="227"/>
        </w:trPr>
        <w:tc>
          <w:tcPr>
            <w:tcW w:w="7257" w:type="dxa"/>
          </w:tcPr>
          <w:p w14:paraId="4B5B743D" w14:textId="77777777" w:rsidR="004D30DE" w:rsidRDefault="004D30DE" w:rsidP="004D30DE">
            <w:pPr>
              <w:pStyle w:val="TableRowHead"/>
            </w:pPr>
            <w:r>
              <w:t>Retirement benefit obligations</w:t>
            </w:r>
          </w:p>
        </w:tc>
        <w:tc>
          <w:tcPr>
            <w:tcW w:w="680" w:type="dxa"/>
            <w:vAlign w:val="bottom"/>
          </w:tcPr>
          <w:p w14:paraId="0E872B98" w14:textId="77777777" w:rsidR="004D30DE" w:rsidRPr="00211290" w:rsidRDefault="004D30DE" w:rsidP="004D30DE">
            <w:pPr>
              <w:pStyle w:val="Subtitle"/>
              <w:rPr>
                <w:rFonts w:cstheme="minorHAnsi"/>
                <w:b w:val="0"/>
              </w:rPr>
            </w:pPr>
            <w:r w:rsidRPr="00211290">
              <w:rPr>
                <w:rFonts w:cstheme="minorHAnsi"/>
                <w:b w:val="0"/>
              </w:rPr>
              <w:t>9</w:t>
            </w:r>
          </w:p>
        </w:tc>
        <w:tc>
          <w:tcPr>
            <w:tcW w:w="1134" w:type="dxa"/>
            <w:vAlign w:val="bottom"/>
          </w:tcPr>
          <w:p w14:paraId="72A01B1E" w14:textId="77777777" w:rsidR="004D30DE" w:rsidRPr="00CA2DA2" w:rsidRDefault="004D30DE" w:rsidP="004D30DE">
            <w:pPr>
              <w:pStyle w:val="Subtitle"/>
              <w:rPr>
                <w:rFonts w:cstheme="minorHAnsi"/>
              </w:rPr>
            </w:pPr>
            <w:r>
              <w:rPr>
                <w:rFonts w:cstheme="minorHAnsi"/>
              </w:rPr>
              <w:t>125.0</w:t>
            </w:r>
          </w:p>
        </w:tc>
        <w:tc>
          <w:tcPr>
            <w:tcW w:w="1134" w:type="dxa"/>
            <w:vAlign w:val="bottom"/>
          </w:tcPr>
          <w:p w14:paraId="033D30E2" w14:textId="77777777" w:rsidR="004D30DE" w:rsidRPr="0087242E" w:rsidRDefault="004D30DE" w:rsidP="004D30DE">
            <w:pPr>
              <w:pStyle w:val="Subtitle"/>
              <w:rPr>
                <w:rFonts w:cstheme="minorHAnsi"/>
                <w:b w:val="0"/>
              </w:rPr>
            </w:pPr>
            <w:r w:rsidRPr="0087242E">
              <w:rPr>
                <w:rFonts w:cstheme="minorHAnsi"/>
                <w:b w:val="0"/>
              </w:rPr>
              <w:t>128.4</w:t>
            </w:r>
          </w:p>
        </w:tc>
      </w:tr>
      <w:tr w:rsidR="004D30DE" w14:paraId="2FA1517C" w14:textId="77777777" w:rsidTr="005B36AA">
        <w:trPr>
          <w:trHeight w:val="227"/>
        </w:trPr>
        <w:tc>
          <w:tcPr>
            <w:tcW w:w="7257" w:type="dxa"/>
            <w:tcBorders>
              <w:bottom w:val="single" w:sz="4" w:space="0" w:color="000000"/>
            </w:tcBorders>
          </w:tcPr>
          <w:p w14:paraId="6BC39FCD" w14:textId="77777777" w:rsidR="004D30DE" w:rsidRDefault="004D30DE" w:rsidP="004D30DE">
            <w:pPr>
              <w:pStyle w:val="TableRowHead"/>
            </w:pPr>
            <w:r>
              <w:t>Deferred tax liabilities</w:t>
            </w:r>
          </w:p>
        </w:tc>
        <w:tc>
          <w:tcPr>
            <w:tcW w:w="680" w:type="dxa"/>
            <w:tcBorders>
              <w:bottom w:val="single" w:sz="4" w:space="0" w:color="000000"/>
            </w:tcBorders>
            <w:vAlign w:val="bottom"/>
          </w:tcPr>
          <w:p w14:paraId="4AD663EC" w14:textId="77777777" w:rsidR="004D30DE" w:rsidRPr="00211290" w:rsidRDefault="004D30DE" w:rsidP="004D30DE">
            <w:pPr>
              <w:pStyle w:val="Subtitle"/>
              <w:rPr>
                <w:rFonts w:cstheme="minorHAnsi"/>
                <w:b w:val="0"/>
              </w:rPr>
            </w:pPr>
          </w:p>
        </w:tc>
        <w:tc>
          <w:tcPr>
            <w:tcW w:w="1134" w:type="dxa"/>
            <w:tcBorders>
              <w:bottom w:val="single" w:sz="4" w:space="0" w:color="000000"/>
            </w:tcBorders>
            <w:vAlign w:val="bottom"/>
          </w:tcPr>
          <w:p w14:paraId="1DC436AB" w14:textId="77777777" w:rsidR="004D30DE" w:rsidRPr="00CA2DA2" w:rsidRDefault="004D30DE" w:rsidP="004D30DE">
            <w:pPr>
              <w:pStyle w:val="Subtitle"/>
              <w:rPr>
                <w:rFonts w:cstheme="minorHAnsi"/>
              </w:rPr>
            </w:pPr>
            <w:r>
              <w:rPr>
                <w:rFonts w:cstheme="minorHAnsi"/>
              </w:rPr>
              <w:t>11.5</w:t>
            </w:r>
          </w:p>
        </w:tc>
        <w:tc>
          <w:tcPr>
            <w:tcW w:w="1134" w:type="dxa"/>
            <w:tcBorders>
              <w:bottom w:val="single" w:sz="4" w:space="0" w:color="000000"/>
            </w:tcBorders>
            <w:vAlign w:val="bottom"/>
          </w:tcPr>
          <w:p w14:paraId="0B72011C" w14:textId="77777777" w:rsidR="004D30DE" w:rsidRPr="0087242E" w:rsidRDefault="004D30DE" w:rsidP="004D30DE">
            <w:pPr>
              <w:pStyle w:val="Subtitle"/>
              <w:rPr>
                <w:rFonts w:cstheme="minorHAnsi"/>
                <w:b w:val="0"/>
              </w:rPr>
            </w:pPr>
            <w:r w:rsidRPr="0087242E">
              <w:rPr>
                <w:rFonts w:cstheme="minorHAnsi"/>
                <w:b w:val="0"/>
              </w:rPr>
              <w:t>6.9</w:t>
            </w:r>
          </w:p>
        </w:tc>
      </w:tr>
      <w:tr w:rsidR="004D30DE" w14:paraId="54845029" w14:textId="77777777" w:rsidTr="005B36AA">
        <w:trPr>
          <w:trHeight w:val="227"/>
        </w:trPr>
        <w:tc>
          <w:tcPr>
            <w:tcW w:w="7257" w:type="dxa"/>
            <w:tcBorders>
              <w:top w:val="single" w:sz="4" w:space="0" w:color="000000"/>
              <w:bottom w:val="single" w:sz="4" w:space="0" w:color="auto"/>
            </w:tcBorders>
          </w:tcPr>
          <w:p w14:paraId="5ABFD25E" w14:textId="77777777" w:rsidR="004D30DE" w:rsidRPr="00926E11" w:rsidRDefault="004D30DE" w:rsidP="004D30DE">
            <w:pPr>
              <w:pStyle w:val="TableRowHead"/>
              <w:rPr>
                <w:b/>
              </w:rPr>
            </w:pPr>
            <w:r w:rsidRPr="00926E11">
              <w:rPr>
                <w:b/>
              </w:rPr>
              <w:t>Total non-current liabilities</w:t>
            </w:r>
          </w:p>
        </w:tc>
        <w:tc>
          <w:tcPr>
            <w:tcW w:w="680" w:type="dxa"/>
            <w:tcBorders>
              <w:top w:val="single" w:sz="4" w:space="0" w:color="000000"/>
              <w:bottom w:val="single" w:sz="4" w:space="0" w:color="auto"/>
            </w:tcBorders>
            <w:vAlign w:val="bottom"/>
          </w:tcPr>
          <w:p w14:paraId="0BF65591" w14:textId="77777777" w:rsidR="004D30DE" w:rsidRPr="00211290" w:rsidRDefault="004D30DE" w:rsidP="004D30DE">
            <w:pPr>
              <w:pStyle w:val="Subtitle"/>
              <w:rPr>
                <w:rFonts w:cstheme="minorHAnsi"/>
                <w:b w:val="0"/>
              </w:rPr>
            </w:pPr>
          </w:p>
        </w:tc>
        <w:tc>
          <w:tcPr>
            <w:tcW w:w="1134" w:type="dxa"/>
            <w:tcBorders>
              <w:top w:val="single" w:sz="4" w:space="0" w:color="000000"/>
              <w:bottom w:val="single" w:sz="4" w:space="0" w:color="auto"/>
            </w:tcBorders>
            <w:vAlign w:val="bottom"/>
          </w:tcPr>
          <w:p w14:paraId="043D40FE" w14:textId="77777777" w:rsidR="004D30DE" w:rsidRPr="00CA2DA2" w:rsidRDefault="004D30DE" w:rsidP="004D30DE">
            <w:pPr>
              <w:pStyle w:val="Subtitle"/>
              <w:rPr>
                <w:rFonts w:cstheme="minorHAnsi"/>
              </w:rPr>
            </w:pPr>
            <w:r>
              <w:rPr>
                <w:rFonts w:cstheme="minorHAnsi"/>
              </w:rPr>
              <w:t>592.2</w:t>
            </w:r>
          </w:p>
        </w:tc>
        <w:tc>
          <w:tcPr>
            <w:tcW w:w="1134" w:type="dxa"/>
            <w:tcBorders>
              <w:top w:val="single" w:sz="4" w:space="0" w:color="000000"/>
              <w:bottom w:val="single" w:sz="4" w:space="0" w:color="auto"/>
            </w:tcBorders>
            <w:vAlign w:val="bottom"/>
          </w:tcPr>
          <w:p w14:paraId="3CF31548" w14:textId="77777777" w:rsidR="004D30DE" w:rsidRPr="0087242E" w:rsidRDefault="004D30DE" w:rsidP="004D30DE">
            <w:pPr>
              <w:pStyle w:val="Subtitle"/>
              <w:rPr>
                <w:rFonts w:cstheme="minorHAnsi"/>
                <w:b w:val="0"/>
              </w:rPr>
            </w:pPr>
            <w:r w:rsidRPr="0087242E">
              <w:rPr>
                <w:rFonts w:cstheme="minorHAnsi"/>
                <w:b w:val="0"/>
              </w:rPr>
              <w:t>479.1</w:t>
            </w:r>
          </w:p>
        </w:tc>
      </w:tr>
      <w:tr w:rsidR="004D30DE" w14:paraId="093AD676" w14:textId="77777777" w:rsidTr="005B36AA">
        <w:trPr>
          <w:trHeight w:val="227"/>
        </w:trPr>
        <w:tc>
          <w:tcPr>
            <w:tcW w:w="7257" w:type="dxa"/>
            <w:tcBorders>
              <w:top w:val="single" w:sz="4" w:space="0" w:color="auto"/>
            </w:tcBorders>
          </w:tcPr>
          <w:p w14:paraId="73040909" w14:textId="77777777" w:rsidR="004D30DE" w:rsidRDefault="004D30DE" w:rsidP="004D30DE">
            <w:pPr>
              <w:pStyle w:val="TableRowHead"/>
              <w:rPr>
                <w:b/>
              </w:rPr>
            </w:pPr>
          </w:p>
          <w:p w14:paraId="7CDB9DCB" w14:textId="77777777" w:rsidR="004D30DE" w:rsidRPr="00E66816" w:rsidRDefault="004D30DE" w:rsidP="004D30DE">
            <w:pPr>
              <w:pStyle w:val="TableRowHead"/>
              <w:rPr>
                <w:b/>
              </w:rPr>
            </w:pPr>
            <w:r w:rsidRPr="00E66816">
              <w:rPr>
                <w:b/>
              </w:rPr>
              <w:t>Current liabilities</w:t>
            </w:r>
          </w:p>
        </w:tc>
        <w:tc>
          <w:tcPr>
            <w:tcW w:w="680" w:type="dxa"/>
            <w:tcBorders>
              <w:top w:val="single" w:sz="4" w:space="0" w:color="auto"/>
            </w:tcBorders>
            <w:vAlign w:val="bottom"/>
          </w:tcPr>
          <w:p w14:paraId="10417AF2" w14:textId="77777777" w:rsidR="004D30DE" w:rsidRPr="00211290" w:rsidRDefault="004D30DE" w:rsidP="004D30DE">
            <w:pPr>
              <w:pStyle w:val="Subtitle"/>
              <w:rPr>
                <w:rFonts w:cstheme="minorHAnsi"/>
                <w:b w:val="0"/>
              </w:rPr>
            </w:pPr>
          </w:p>
        </w:tc>
        <w:tc>
          <w:tcPr>
            <w:tcW w:w="1134" w:type="dxa"/>
            <w:tcBorders>
              <w:top w:val="single" w:sz="4" w:space="0" w:color="auto"/>
            </w:tcBorders>
            <w:vAlign w:val="bottom"/>
          </w:tcPr>
          <w:p w14:paraId="3B1655AE"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62E1BDCA" w14:textId="77777777" w:rsidR="004D30DE" w:rsidRPr="00863CD7" w:rsidRDefault="004D30DE" w:rsidP="004D30DE">
            <w:pPr>
              <w:pStyle w:val="Subtitle"/>
              <w:rPr>
                <w:rFonts w:ascii="Times New Roman"/>
                <w:b w:val="0"/>
              </w:rPr>
            </w:pPr>
          </w:p>
        </w:tc>
      </w:tr>
      <w:tr w:rsidR="004D30DE" w:rsidRPr="0087242E" w14:paraId="05728064" w14:textId="77777777" w:rsidTr="005B36AA">
        <w:trPr>
          <w:trHeight w:val="227"/>
        </w:trPr>
        <w:tc>
          <w:tcPr>
            <w:tcW w:w="7257" w:type="dxa"/>
          </w:tcPr>
          <w:p w14:paraId="469E84BF" w14:textId="60AECE16" w:rsidR="004D30DE" w:rsidRDefault="004D30DE" w:rsidP="004D30DE">
            <w:pPr>
              <w:pStyle w:val="TableRowHead"/>
            </w:pPr>
            <w:r>
              <w:t>Borrowings</w:t>
            </w:r>
          </w:p>
        </w:tc>
        <w:tc>
          <w:tcPr>
            <w:tcW w:w="680" w:type="dxa"/>
            <w:vAlign w:val="bottom"/>
          </w:tcPr>
          <w:p w14:paraId="4A57741E" w14:textId="2E74E216" w:rsidR="004D30DE" w:rsidRPr="00211290" w:rsidRDefault="004D30DE" w:rsidP="004D30DE">
            <w:pPr>
              <w:pStyle w:val="Subtitle"/>
              <w:rPr>
                <w:rFonts w:cstheme="minorHAnsi"/>
                <w:b w:val="0"/>
              </w:rPr>
            </w:pPr>
            <w:r>
              <w:rPr>
                <w:rFonts w:cstheme="minorHAnsi"/>
                <w:b w:val="0"/>
              </w:rPr>
              <w:t>7</w:t>
            </w:r>
          </w:p>
        </w:tc>
        <w:tc>
          <w:tcPr>
            <w:tcW w:w="1134" w:type="dxa"/>
            <w:vAlign w:val="bottom"/>
          </w:tcPr>
          <w:p w14:paraId="180E8FD9" w14:textId="540E77DA" w:rsidR="004D30DE" w:rsidRDefault="004D30DE" w:rsidP="004D30DE">
            <w:pPr>
              <w:pStyle w:val="Subtitle"/>
              <w:rPr>
                <w:rFonts w:cstheme="minorHAnsi"/>
              </w:rPr>
            </w:pPr>
            <w:r>
              <w:rPr>
                <w:rFonts w:cstheme="minorHAnsi"/>
              </w:rPr>
              <w:t>220.0</w:t>
            </w:r>
          </w:p>
        </w:tc>
        <w:tc>
          <w:tcPr>
            <w:tcW w:w="1134" w:type="dxa"/>
            <w:vAlign w:val="bottom"/>
          </w:tcPr>
          <w:p w14:paraId="01B12F5C" w14:textId="39743B75" w:rsidR="004D30DE" w:rsidRPr="0087242E" w:rsidRDefault="004D30DE" w:rsidP="004D30DE">
            <w:pPr>
              <w:pStyle w:val="Subtitle"/>
              <w:rPr>
                <w:rFonts w:cstheme="minorHAnsi"/>
                <w:b w:val="0"/>
              </w:rPr>
            </w:pPr>
            <w:r>
              <w:rPr>
                <w:rFonts w:cstheme="minorHAnsi"/>
                <w:b w:val="0"/>
              </w:rPr>
              <w:t>223.4</w:t>
            </w:r>
          </w:p>
        </w:tc>
      </w:tr>
      <w:tr w:rsidR="004D30DE" w:rsidRPr="0087242E" w14:paraId="5F74D5FF" w14:textId="77777777" w:rsidTr="005B36AA">
        <w:trPr>
          <w:trHeight w:val="227"/>
        </w:trPr>
        <w:tc>
          <w:tcPr>
            <w:tcW w:w="7257" w:type="dxa"/>
          </w:tcPr>
          <w:p w14:paraId="31422BCF" w14:textId="77777777" w:rsidR="004D30DE" w:rsidRDefault="004D30DE" w:rsidP="004D30DE">
            <w:pPr>
              <w:pStyle w:val="TableRowHead"/>
            </w:pPr>
            <w:r>
              <w:t>Trade and other payables</w:t>
            </w:r>
          </w:p>
        </w:tc>
        <w:tc>
          <w:tcPr>
            <w:tcW w:w="680" w:type="dxa"/>
            <w:vAlign w:val="bottom"/>
          </w:tcPr>
          <w:p w14:paraId="52976DDA" w14:textId="77777777" w:rsidR="004D30DE" w:rsidRPr="00211290" w:rsidRDefault="004D30DE" w:rsidP="004D30DE">
            <w:pPr>
              <w:pStyle w:val="Subtitle"/>
              <w:rPr>
                <w:rFonts w:cstheme="minorHAnsi"/>
                <w:b w:val="0"/>
              </w:rPr>
            </w:pPr>
          </w:p>
        </w:tc>
        <w:tc>
          <w:tcPr>
            <w:tcW w:w="1134" w:type="dxa"/>
            <w:vAlign w:val="bottom"/>
          </w:tcPr>
          <w:p w14:paraId="165E333E" w14:textId="2A3A5460" w:rsidR="004D30DE" w:rsidRPr="006D1884" w:rsidRDefault="004D30DE" w:rsidP="004D30DE">
            <w:pPr>
              <w:pStyle w:val="Subtitle"/>
              <w:rPr>
                <w:b w:val="0"/>
              </w:rPr>
            </w:pPr>
            <w:r>
              <w:rPr>
                <w:rFonts w:cstheme="minorHAnsi"/>
              </w:rPr>
              <w:t>302.0</w:t>
            </w:r>
          </w:p>
        </w:tc>
        <w:tc>
          <w:tcPr>
            <w:tcW w:w="1134" w:type="dxa"/>
            <w:vAlign w:val="bottom"/>
          </w:tcPr>
          <w:p w14:paraId="36E08C58" w14:textId="77777777" w:rsidR="004D30DE" w:rsidRPr="0087242E" w:rsidRDefault="004D30DE" w:rsidP="004D30DE">
            <w:pPr>
              <w:pStyle w:val="Subtitle"/>
              <w:rPr>
                <w:rFonts w:cstheme="minorHAnsi"/>
                <w:b w:val="0"/>
              </w:rPr>
            </w:pPr>
            <w:r w:rsidRPr="0087242E">
              <w:rPr>
                <w:rFonts w:cstheme="minorHAnsi"/>
                <w:b w:val="0"/>
              </w:rPr>
              <w:t>358.4</w:t>
            </w:r>
          </w:p>
        </w:tc>
      </w:tr>
      <w:tr w:rsidR="004D30DE" w:rsidRPr="0087242E" w14:paraId="2AC19462" w14:textId="77777777" w:rsidTr="005B36AA">
        <w:trPr>
          <w:trHeight w:val="227"/>
        </w:trPr>
        <w:tc>
          <w:tcPr>
            <w:tcW w:w="7257" w:type="dxa"/>
          </w:tcPr>
          <w:p w14:paraId="20428329" w14:textId="77777777" w:rsidR="004D30DE" w:rsidRDefault="004D30DE" w:rsidP="004D30DE">
            <w:pPr>
              <w:pStyle w:val="TableRowHead"/>
            </w:pPr>
            <w:r>
              <w:t>Lease liabilities</w:t>
            </w:r>
          </w:p>
        </w:tc>
        <w:tc>
          <w:tcPr>
            <w:tcW w:w="680" w:type="dxa"/>
            <w:vAlign w:val="bottom"/>
          </w:tcPr>
          <w:p w14:paraId="32AE8879" w14:textId="77777777" w:rsidR="004D30DE" w:rsidRPr="00211290" w:rsidRDefault="004D30DE" w:rsidP="004D30DE">
            <w:pPr>
              <w:pStyle w:val="Subtitle"/>
              <w:rPr>
                <w:rFonts w:cstheme="minorHAnsi"/>
                <w:b w:val="0"/>
              </w:rPr>
            </w:pPr>
            <w:r w:rsidRPr="00211290">
              <w:rPr>
                <w:rFonts w:cstheme="minorHAnsi"/>
                <w:b w:val="0"/>
              </w:rPr>
              <w:t>8</w:t>
            </w:r>
          </w:p>
        </w:tc>
        <w:tc>
          <w:tcPr>
            <w:tcW w:w="1134" w:type="dxa"/>
            <w:vAlign w:val="bottom"/>
          </w:tcPr>
          <w:p w14:paraId="6CB655DB" w14:textId="1AC3AB10" w:rsidR="004D30DE" w:rsidRPr="00CA2DA2" w:rsidRDefault="004D30DE" w:rsidP="004D30DE">
            <w:pPr>
              <w:pStyle w:val="Subtitle"/>
              <w:rPr>
                <w:rFonts w:cstheme="minorHAnsi"/>
              </w:rPr>
            </w:pPr>
            <w:r>
              <w:rPr>
                <w:rFonts w:cstheme="minorHAnsi"/>
              </w:rPr>
              <w:t>14.1</w:t>
            </w:r>
          </w:p>
        </w:tc>
        <w:tc>
          <w:tcPr>
            <w:tcW w:w="1134" w:type="dxa"/>
            <w:vAlign w:val="bottom"/>
          </w:tcPr>
          <w:p w14:paraId="2A08B2D6" w14:textId="77777777" w:rsidR="004D30DE" w:rsidRPr="0087242E" w:rsidRDefault="004D30DE" w:rsidP="004D30DE">
            <w:pPr>
              <w:pStyle w:val="Subtitle"/>
              <w:rPr>
                <w:rFonts w:cstheme="minorHAnsi"/>
                <w:b w:val="0"/>
              </w:rPr>
            </w:pPr>
            <w:r w:rsidRPr="00324FDD">
              <w:rPr>
                <w:b w:val="0"/>
              </w:rPr>
              <w:t>–</w:t>
            </w:r>
          </w:p>
        </w:tc>
      </w:tr>
      <w:tr w:rsidR="004D30DE" w:rsidRPr="0087242E" w14:paraId="164EAD85" w14:textId="77777777" w:rsidTr="005B36AA">
        <w:trPr>
          <w:trHeight w:val="227"/>
        </w:trPr>
        <w:tc>
          <w:tcPr>
            <w:tcW w:w="7257" w:type="dxa"/>
          </w:tcPr>
          <w:p w14:paraId="5F6648DE" w14:textId="77777777" w:rsidR="004D30DE" w:rsidRDefault="004D30DE" w:rsidP="004D30DE">
            <w:pPr>
              <w:pStyle w:val="TableRowHead"/>
            </w:pPr>
            <w:r>
              <w:t>Derivative financial instruments</w:t>
            </w:r>
          </w:p>
        </w:tc>
        <w:tc>
          <w:tcPr>
            <w:tcW w:w="680" w:type="dxa"/>
            <w:vAlign w:val="bottom"/>
          </w:tcPr>
          <w:p w14:paraId="7206619C" w14:textId="77777777" w:rsidR="004D30DE" w:rsidRPr="00211290" w:rsidRDefault="004D30DE" w:rsidP="004D30DE">
            <w:pPr>
              <w:pStyle w:val="Subtitle"/>
              <w:rPr>
                <w:rFonts w:cstheme="minorHAnsi"/>
                <w:b w:val="0"/>
              </w:rPr>
            </w:pPr>
          </w:p>
        </w:tc>
        <w:tc>
          <w:tcPr>
            <w:tcW w:w="1134" w:type="dxa"/>
            <w:vAlign w:val="bottom"/>
          </w:tcPr>
          <w:p w14:paraId="79DB8C43" w14:textId="77777777" w:rsidR="004D30DE" w:rsidRPr="0023663C" w:rsidRDefault="004D30DE" w:rsidP="004D30DE">
            <w:pPr>
              <w:pStyle w:val="Subtitle"/>
              <w:rPr>
                <w:rFonts w:cstheme="minorHAnsi"/>
              </w:rPr>
            </w:pPr>
            <w:r w:rsidRPr="0023663C">
              <w:t>–</w:t>
            </w:r>
          </w:p>
        </w:tc>
        <w:tc>
          <w:tcPr>
            <w:tcW w:w="1134" w:type="dxa"/>
            <w:vAlign w:val="bottom"/>
          </w:tcPr>
          <w:p w14:paraId="76A0EA6F" w14:textId="77777777" w:rsidR="004D30DE" w:rsidRPr="0087242E" w:rsidRDefault="004D30DE" w:rsidP="004D30DE">
            <w:pPr>
              <w:pStyle w:val="Subtitle"/>
              <w:rPr>
                <w:rFonts w:cstheme="minorHAnsi"/>
                <w:b w:val="0"/>
              </w:rPr>
            </w:pPr>
            <w:r w:rsidRPr="0087242E">
              <w:rPr>
                <w:rFonts w:cstheme="minorHAnsi"/>
                <w:b w:val="0"/>
              </w:rPr>
              <w:t>0.3</w:t>
            </w:r>
          </w:p>
        </w:tc>
      </w:tr>
      <w:tr w:rsidR="004D30DE" w:rsidRPr="0087242E" w14:paraId="56527DFF" w14:textId="77777777" w:rsidTr="005B36AA">
        <w:trPr>
          <w:trHeight w:val="227"/>
        </w:trPr>
        <w:tc>
          <w:tcPr>
            <w:tcW w:w="7257" w:type="dxa"/>
          </w:tcPr>
          <w:p w14:paraId="63639145" w14:textId="77777777" w:rsidR="004D30DE" w:rsidRDefault="004D30DE" w:rsidP="004D30DE">
            <w:pPr>
              <w:pStyle w:val="TableRowHead"/>
            </w:pPr>
            <w:r>
              <w:t>Provisions</w:t>
            </w:r>
          </w:p>
        </w:tc>
        <w:tc>
          <w:tcPr>
            <w:tcW w:w="680" w:type="dxa"/>
            <w:vAlign w:val="bottom"/>
          </w:tcPr>
          <w:p w14:paraId="7DC8E89E" w14:textId="77777777" w:rsidR="004D30DE" w:rsidRPr="00635D3B" w:rsidRDefault="004D30DE" w:rsidP="004D30DE">
            <w:pPr>
              <w:pStyle w:val="Subtitle"/>
              <w:rPr>
                <w:rFonts w:cstheme="minorHAnsi"/>
                <w:b w:val="0"/>
                <w:highlight w:val="yellow"/>
              </w:rPr>
            </w:pPr>
          </w:p>
        </w:tc>
        <w:tc>
          <w:tcPr>
            <w:tcW w:w="1134" w:type="dxa"/>
            <w:vAlign w:val="bottom"/>
          </w:tcPr>
          <w:p w14:paraId="1F90EC76" w14:textId="77777777" w:rsidR="004D30DE" w:rsidRPr="00CA2DA2" w:rsidRDefault="004D30DE" w:rsidP="004D30DE">
            <w:pPr>
              <w:pStyle w:val="Subtitle"/>
              <w:rPr>
                <w:rFonts w:cstheme="minorHAnsi"/>
              </w:rPr>
            </w:pPr>
            <w:r>
              <w:rPr>
                <w:rFonts w:cstheme="minorHAnsi"/>
              </w:rPr>
              <w:t>4.5</w:t>
            </w:r>
          </w:p>
        </w:tc>
        <w:tc>
          <w:tcPr>
            <w:tcW w:w="1134" w:type="dxa"/>
            <w:vAlign w:val="bottom"/>
          </w:tcPr>
          <w:p w14:paraId="15CC3679" w14:textId="77777777" w:rsidR="004D30DE" w:rsidRPr="0087242E" w:rsidRDefault="004D30DE" w:rsidP="004D30DE">
            <w:pPr>
              <w:pStyle w:val="Subtitle"/>
              <w:rPr>
                <w:rFonts w:cstheme="minorHAnsi"/>
                <w:b w:val="0"/>
              </w:rPr>
            </w:pPr>
            <w:r w:rsidRPr="0087242E">
              <w:rPr>
                <w:rFonts w:cstheme="minorHAnsi"/>
                <w:b w:val="0"/>
              </w:rPr>
              <w:t>5.5</w:t>
            </w:r>
          </w:p>
        </w:tc>
      </w:tr>
      <w:tr w:rsidR="004D30DE" w:rsidRPr="0087242E" w14:paraId="593B3093" w14:textId="77777777" w:rsidTr="005B36AA">
        <w:trPr>
          <w:trHeight w:val="227"/>
        </w:trPr>
        <w:tc>
          <w:tcPr>
            <w:tcW w:w="7257" w:type="dxa"/>
          </w:tcPr>
          <w:p w14:paraId="35B888C3" w14:textId="77777777" w:rsidR="004D30DE" w:rsidRDefault="004D30DE" w:rsidP="004D30DE">
            <w:pPr>
              <w:pStyle w:val="TableRowHead"/>
            </w:pPr>
            <w:r>
              <w:t>Current tax payable</w:t>
            </w:r>
          </w:p>
        </w:tc>
        <w:tc>
          <w:tcPr>
            <w:tcW w:w="680" w:type="dxa"/>
            <w:vAlign w:val="bottom"/>
          </w:tcPr>
          <w:p w14:paraId="0363749D" w14:textId="77777777" w:rsidR="004D30DE" w:rsidRPr="00863CD7" w:rsidRDefault="004D30DE" w:rsidP="004D30DE">
            <w:pPr>
              <w:pStyle w:val="Subtitle"/>
              <w:rPr>
                <w:rFonts w:cstheme="minorHAnsi"/>
                <w:b w:val="0"/>
              </w:rPr>
            </w:pPr>
          </w:p>
        </w:tc>
        <w:tc>
          <w:tcPr>
            <w:tcW w:w="1134" w:type="dxa"/>
            <w:vAlign w:val="bottom"/>
          </w:tcPr>
          <w:p w14:paraId="197D615C" w14:textId="77777777" w:rsidR="004D30DE" w:rsidRPr="00CA2DA2" w:rsidRDefault="004D30DE" w:rsidP="004D30DE">
            <w:pPr>
              <w:pStyle w:val="Subtitle"/>
              <w:rPr>
                <w:rFonts w:cstheme="minorHAnsi"/>
              </w:rPr>
            </w:pPr>
            <w:r>
              <w:rPr>
                <w:rFonts w:cstheme="minorHAnsi"/>
              </w:rPr>
              <w:t>10.4</w:t>
            </w:r>
          </w:p>
        </w:tc>
        <w:tc>
          <w:tcPr>
            <w:tcW w:w="1134" w:type="dxa"/>
            <w:vAlign w:val="bottom"/>
          </w:tcPr>
          <w:p w14:paraId="7A0CD458" w14:textId="77777777" w:rsidR="004D30DE" w:rsidRPr="0087242E" w:rsidRDefault="004D30DE" w:rsidP="004D30DE">
            <w:pPr>
              <w:pStyle w:val="Subtitle"/>
              <w:rPr>
                <w:rFonts w:cstheme="minorHAnsi"/>
                <w:b w:val="0"/>
              </w:rPr>
            </w:pPr>
            <w:r w:rsidRPr="0087242E">
              <w:rPr>
                <w:rFonts w:cstheme="minorHAnsi"/>
                <w:b w:val="0"/>
              </w:rPr>
              <w:t>14.7</w:t>
            </w:r>
          </w:p>
        </w:tc>
      </w:tr>
      <w:tr w:rsidR="004D30DE" w:rsidRPr="0087242E" w14:paraId="08D7DD9A" w14:textId="77777777" w:rsidTr="005B36AA">
        <w:trPr>
          <w:trHeight w:val="227"/>
        </w:trPr>
        <w:tc>
          <w:tcPr>
            <w:tcW w:w="7257" w:type="dxa"/>
            <w:tcBorders>
              <w:bottom w:val="single" w:sz="4" w:space="0" w:color="auto"/>
            </w:tcBorders>
          </w:tcPr>
          <w:p w14:paraId="4EC353F0" w14:textId="77777777" w:rsidR="004D30DE" w:rsidRPr="00050D12" w:rsidRDefault="004D30DE" w:rsidP="004D30DE">
            <w:pPr>
              <w:pStyle w:val="TableRowHead"/>
            </w:pPr>
            <w:r w:rsidRPr="00050D12">
              <w:t>Liabilities held for sale</w:t>
            </w:r>
          </w:p>
        </w:tc>
        <w:tc>
          <w:tcPr>
            <w:tcW w:w="680" w:type="dxa"/>
            <w:tcBorders>
              <w:bottom w:val="single" w:sz="4" w:space="0" w:color="auto"/>
            </w:tcBorders>
            <w:vAlign w:val="bottom"/>
          </w:tcPr>
          <w:p w14:paraId="3678048A" w14:textId="77777777" w:rsidR="004D30DE" w:rsidRPr="00050D12" w:rsidRDefault="004D30DE" w:rsidP="004D30DE">
            <w:pPr>
              <w:pStyle w:val="Subtitle"/>
              <w:rPr>
                <w:rFonts w:cstheme="minorHAnsi"/>
                <w:b w:val="0"/>
              </w:rPr>
            </w:pPr>
            <w:r>
              <w:rPr>
                <w:rFonts w:cstheme="minorHAnsi"/>
                <w:b w:val="0"/>
              </w:rPr>
              <w:t>10</w:t>
            </w:r>
          </w:p>
        </w:tc>
        <w:tc>
          <w:tcPr>
            <w:tcW w:w="1134" w:type="dxa"/>
            <w:tcBorders>
              <w:bottom w:val="single" w:sz="4" w:space="0" w:color="auto"/>
            </w:tcBorders>
            <w:vAlign w:val="bottom"/>
          </w:tcPr>
          <w:p w14:paraId="3553009E" w14:textId="77777777" w:rsidR="004D30DE" w:rsidRPr="00050D12" w:rsidRDefault="004D30DE" w:rsidP="004D30DE">
            <w:pPr>
              <w:pStyle w:val="Subtitle"/>
              <w:rPr>
                <w:rFonts w:cstheme="minorHAnsi"/>
              </w:rPr>
            </w:pPr>
            <w:r w:rsidRPr="00050D12">
              <w:rPr>
                <w:rFonts w:cstheme="minorHAnsi"/>
              </w:rPr>
              <w:t>1.</w:t>
            </w:r>
            <w:r>
              <w:rPr>
                <w:rFonts w:cstheme="minorHAnsi"/>
              </w:rPr>
              <w:t>7</w:t>
            </w:r>
          </w:p>
        </w:tc>
        <w:tc>
          <w:tcPr>
            <w:tcW w:w="1134" w:type="dxa"/>
            <w:tcBorders>
              <w:bottom w:val="single" w:sz="4" w:space="0" w:color="auto"/>
            </w:tcBorders>
            <w:vAlign w:val="bottom"/>
          </w:tcPr>
          <w:p w14:paraId="4C4B891C" w14:textId="77777777" w:rsidR="004D30DE" w:rsidRPr="00324FDD" w:rsidRDefault="004D30DE" w:rsidP="004D30DE">
            <w:pPr>
              <w:pStyle w:val="Subtitle"/>
              <w:rPr>
                <w:rFonts w:cstheme="minorHAnsi"/>
                <w:b w:val="0"/>
              </w:rPr>
            </w:pPr>
            <w:r w:rsidRPr="00324FDD">
              <w:rPr>
                <w:b w:val="0"/>
              </w:rPr>
              <w:t>–</w:t>
            </w:r>
          </w:p>
        </w:tc>
      </w:tr>
      <w:tr w:rsidR="004D30DE" w:rsidRPr="0087242E" w14:paraId="60CC9110" w14:textId="77777777" w:rsidTr="005B36AA">
        <w:trPr>
          <w:trHeight w:val="227"/>
        </w:trPr>
        <w:tc>
          <w:tcPr>
            <w:tcW w:w="7257" w:type="dxa"/>
            <w:tcBorders>
              <w:top w:val="single" w:sz="4" w:space="0" w:color="auto"/>
              <w:bottom w:val="single" w:sz="4" w:space="0" w:color="000000"/>
            </w:tcBorders>
          </w:tcPr>
          <w:p w14:paraId="5C5D1C09" w14:textId="77777777" w:rsidR="004D30DE" w:rsidRPr="00A35825" w:rsidRDefault="004D30DE" w:rsidP="004D30DE">
            <w:pPr>
              <w:pStyle w:val="TableRowHead"/>
              <w:rPr>
                <w:b/>
              </w:rPr>
            </w:pPr>
            <w:r w:rsidRPr="00A35825">
              <w:rPr>
                <w:b/>
              </w:rPr>
              <w:t>Total current liabilities</w:t>
            </w:r>
          </w:p>
        </w:tc>
        <w:tc>
          <w:tcPr>
            <w:tcW w:w="680" w:type="dxa"/>
            <w:tcBorders>
              <w:top w:val="single" w:sz="4" w:space="0" w:color="auto"/>
              <w:bottom w:val="single" w:sz="4" w:space="0" w:color="000000"/>
            </w:tcBorders>
            <w:vAlign w:val="bottom"/>
          </w:tcPr>
          <w:p w14:paraId="7B095CDC" w14:textId="77777777" w:rsidR="004D30DE" w:rsidRPr="00863CD7" w:rsidRDefault="004D30DE" w:rsidP="004D30DE">
            <w:pPr>
              <w:pStyle w:val="Subtitle"/>
              <w:rPr>
                <w:rFonts w:cstheme="minorHAnsi"/>
                <w:b w:val="0"/>
              </w:rPr>
            </w:pPr>
          </w:p>
        </w:tc>
        <w:tc>
          <w:tcPr>
            <w:tcW w:w="1134" w:type="dxa"/>
            <w:tcBorders>
              <w:top w:val="single" w:sz="4" w:space="0" w:color="auto"/>
              <w:bottom w:val="single" w:sz="4" w:space="0" w:color="000000"/>
            </w:tcBorders>
            <w:vAlign w:val="bottom"/>
          </w:tcPr>
          <w:p w14:paraId="313C4ABA" w14:textId="5F864387" w:rsidR="004D30DE" w:rsidRPr="00CA2DA2" w:rsidRDefault="004D30DE" w:rsidP="004D30DE">
            <w:pPr>
              <w:pStyle w:val="Subtitle"/>
              <w:rPr>
                <w:rFonts w:cstheme="minorHAnsi"/>
              </w:rPr>
            </w:pPr>
            <w:r>
              <w:rPr>
                <w:rFonts w:cstheme="minorHAnsi"/>
              </w:rPr>
              <w:t>552.7</w:t>
            </w:r>
          </w:p>
        </w:tc>
        <w:tc>
          <w:tcPr>
            <w:tcW w:w="1134" w:type="dxa"/>
            <w:tcBorders>
              <w:top w:val="single" w:sz="4" w:space="0" w:color="auto"/>
              <w:bottom w:val="single" w:sz="4" w:space="0" w:color="000000"/>
            </w:tcBorders>
            <w:vAlign w:val="bottom"/>
          </w:tcPr>
          <w:p w14:paraId="710B7D23" w14:textId="3CD96D28" w:rsidR="004D30DE" w:rsidRPr="0087242E" w:rsidRDefault="004D30DE" w:rsidP="004D30DE">
            <w:pPr>
              <w:pStyle w:val="Subtitle"/>
              <w:rPr>
                <w:rFonts w:cstheme="minorHAnsi"/>
                <w:b w:val="0"/>
              </w:rPr>
            </w:pPr>
            <w:r>
              <w:rPr>
                <w:rFonts w:cstheme="minorHAnsi"/>
                <w:b w:val="0"/>
              </w:rPr>
              <w:t>602.3</w:t>
            </w:r>
          </w:p>
        </w:tc>
      </w:tr>
      <w:tr w:rsidR="004D30DE" w:rsidRPr="0087242E" w14:paraId="5E4CD5C8" w14:textId="77777777" w:rsidTr="005B36AA">
        <w:trPr>
          <w:trHeight w:val="227"/>
        </w:trPr>
        <w:tc>
          <w:tcPr>
            <w:tcW w:w="7257" w:type="dxa"/>
            <w:tcBorders>
              <w:top w:val="single" w:sz="4" w:space="0" w:color="000000"/>
              <w:bottom w:val="single" w:sz="4" w:space="0" w:color="000000"/>
            </w:tcBorders>
          </w:tcPr>
          <w:p w14:paraId="22E5FBA4" w14:textId="77777777" w:rsidR="004D30DE" w:rsidRPr="00A35825" w:rsidRDefault="004D30DE" w:rsidP="004D30DE">
            <w:pPr>
              <w:pStyle w:val="TableRowHead"/>
              <w:rPr>
                <w:b/>
              </w:rPr>
            </w:pPr>
            <w:r w:rsidRPr="00A35825">
              <w:rPr>
                <w:b/>
              </w:rPr>
              <w:t>Total liabilities</w:t>
            </w:r>
          </w:p>
        </w:tc>
        <w:tc>
          <w:tcPr>
            <w:tcW w:w="680" w:type="dxa"/>
            <w:tcBorders>
              <w:top w:val="single" w:sz="4" w:space="0" w:color="000000"/>
              <w:bottom w:val="single" w:sz="4" w:space="0" w:color="000000"/>
            </w:tcBorders>
            <w:vAlign w:val="bottom"/>
          </w:tcPr>
          <w:p w14:paraId="6BF37A79" w14:textId="77777777" w:rsidR="004D30DE" w:rsidRPr="00863CD7" w:rsidRDefault="004D30DE" w:rsidP="004D30DE">
            <w:pPr>
              <w:pStyle w:val="Subtitle"/>
              <w:rPr>
                <w:rFonts w:cstheme="minorHAnsi"/>
                <w:b w:val="0"/>
              </w:rPr>
            </w:pPr>
          </w:p>
        </w:tc>
        <w:tc>
          <w:tcPr>
            <w:tcW w:w="1134" w:type="dxa"/>
            <w:tcBorders>
              <w:top w:val="single" w:sz="4" w:space="0" w:color="000000"/>
              <w:bottom w:val="single" w:sz="4" w:space="0" w:color="000000"/>
            </w:tcBorders>
            <w:vAlign w:val="bottom"/>
          </w:tcPr>
          <w:p w14:paraId="76AE6120" w14:textId="7C3D6C92" w:rsidR="004D30DE" w:rsidRPr="00CA2DA2" w:rsidRDefault="004D30DE" w:rsidP="004D30DE">
            <w:pPr>
              <w:pStyle w:val="Subtitle"/>
              <w:rPr>
                <w:rFonts w:cstheme="minorHAnsi"/>
              </w:rPr>
            </w:pPr>
            <w:r>
              <w:rPr>
                <w:rFonts w:cstheme="minorHAnsi"/>
              </w:rPr>
              <w:t>1,144.9</w:t>
            </w:r>
          </w:p>
        </w:tc>
        <w:tc>
          <w:tcPr>
            <w:tcW w:w="1134" w:type="dxa"/>
            <w:tcBorders>
              <w:top w:val="single" w:sz="4" w:space="0" w:color="000000"/>
              <w:bottom w:val="single" w:sz="4" w:space="0" w:color="000000"/>
            </w:tcBorders>
            <w:vAlign w:val="bottom"/>
          </w:tcPr>
          <w:p w14:paraId="1AD0FB7E" w14:textId="5B7B2376" w:rsidR="004D30DE" w:rsidRPr="0087242E" w:rsidRDefault="004D30DE" w:rsidP="004D30DE">
            <w:pPr>
              <w:pStyle w:val="Subtitle"/>
              <w:rPr>
                <w:rFonts w:cstheme="minorHAnsi"/>
                <w:b w:val="0"/>
              </w:rPr>
            </w:pPr>
            <w:r>
              <w:rPr>
                <w:rFonts w:cstheme="minorHAnsi"/>
                <w:b w:val="0"/>
              </w:rPr>
              <w:t>1,081.4</w:t>
            </w:r>
          </w:p>
        </w:tc>
      </w:tr>
      <w:tr w:rsidR="004D30DE" w:rsidRPr="0087242E" w14:paraId="5B85CC6F" w14:textId="77777777" w:rsidTr="005B36AA">
        <w:trPr>
          <w:trHeight w:val="227"/>
        </w:trPr>
        <w:tc>
          <w:tcPr>
            <w:tcW w:w="7257" w:type="dxa"/>
            <w:tcBorders>
              <w:top w:val="single" w:sz="4" w:space="0" w:color="000000"/>
              <w:bottom w:val="single" w:sz="8" w:space="0" w:color="auto"/>
            </w:tcBorders>
          </w:tcPr>
          <w:p w14:paraId="44B23EA9" w14:textId="77777777" w:rsidR="004D30DE" w:rsidRPr="00A35825" w:rsidRDefault="004D30DE" w:rsidP="004D30DE">
            <w:pPr>
              <w:pStyle w:val="TableRowHead"/>
              <w:rPr>
                <w:b/>
              </w:rPr>
            </w:pPr>
            <w:r w:rsidRPr="00A35825">
              <w:rPr>
                <w:b/>
              </w:rPr>
              <w:t>Total equity and liabilities</w:t>
            </w:r>
          </w:p>
        </w:tc>
        <w:tc>
          <w:tcPr>
            <w:tcW w:w="680" w:type="dxa"/>
            <w:tcBorders>
              <w:top w:val="single" w:sz="4" w:space="0" w:color="000000"/>
              <w:bottom w:val="single" w:sz="8" w:space="0" w:color="auto"/>
            </w:tcBorders>
            <w:vAlign w:val="bottom"/>
          </w:tcPr>
          <w:p w14:paraId="051AAD8B" w14:textId="77777777" w:rsidR="004D30DE" w:rsidRPr="00863CD7" w:rsidRDefault="004D30DE" w:rsidP="004D30DE">
            <w:pPr>
              <w:pStyle w:val="Subtitle"/>
              <w:rPr>
                <w:rFonts w:cstheme="minorHAnsi"/>
                <w:b w:val="0"/>
              </w:rPr>
            </w:pPr>
          </w:p>
        </w:tc>
        <w:tc>
          <w:tcPr>
            <w:tcW w:w="1134" w:type="dxa"/>
            <w:tcBorders>
              <w:top w:val="single" w:sz="4" w:space="0" w:color="000000"/>
              <w:bottom w:val="single" w:sz="8" w:space="0" w:color="auto"/>
            </w:tcBorders>
            <w:vAlign w:val="bottom"/>
          </w:tcPr>
          <w:p w14:paraId="6B80604C" w14:textId="1E0C3A9D" w:rsidR="004D30DE" w:rsidRPr="00CA2DA2" w:rsidRDefault="004D30DE" w:rsidP="004D30DE">
            <w:pPr>
              <w:pStyle w:val="Subtitle"/>
              <w:rPr>
                <w:rFonts w:cstheme="minorHAnsi"/>
              </w:rPr>
            </w:pPr>
            <w:r>
              <w:rPr>
                <w:rFonts w:cstheme="minorHAnsi"/>
              </w:rPr>
              <w:t>1,427.1</w:t>
            </w:r>
          </w:p>
        </w:tc>
        <w:tc>
          <w:tcPr>
            <w:tcW w:w="1134" w:type="dxa"/>
            <w:tcBorders>
              <w:top w:val="single" w:sz="4" w:space="0" w:color="000000"/>
              <w:bottom w:val="single" w:sz="8" w:space="0" w:color="auto"/>
            </w:tcBorders>
            <w:vAlign w:val="bottom"/>
          </w:tcPr>
          <w:p w14:paraId="36FB234B" w14:textId="56315D38" w:rsidR="004D30DE" w:rsidRPr="0087242E" w:rsidRDefault="004D30DE" w:rsidP="004D30DE">
            <w:pPr>
              <w:pStyle w:val="Subtitle"/>
              <w:rPr>
                <w:rFonts w:cstheme="minorHAnsi"/>
                <w:b w:val="0"/>
              </w:rPr>
            </w:pPr>
            <w:r w:rsidRPr="0087242E">
              <w:rPr>
                <w:rFonts w:cstheme="minorHAnsi"/>
                <w:b w:val="0"/>
              </w:rPr>
              <w:t>1,</w:t>
            </w:r>
            <w:r>
              <w:rPr>
                <w:rFonts w:cstheme="minorHAnsi"/>
                <w:b w:val="0"/>
              </w:rPr>
              <w:t>387.2</w:t>
            </w:r>
          </w:p>
        </w:tc>
      </w:tr>
      <w:tr w:rsidR="00942659" w14:paraId="4BBE276E" w14:textId="77777777" w:rsidTr="008559E5">
        <w:trPr>
          <w:trHeight w:val="227"/>
        </w:trPr>
        <w:tc>
          <w:tcPr>
            <w:tcW w:w="10205" w:type="dxa"/>
            <w:gridSpan w:val="4"/>
            <w:tcBorders>
              <w:top w:val="single" w:sz="8" w:space="0" w:color="auto"/>
            </w:tcBorders>
          </w:tcPr>
          <w:p w14:paraId="7A69E68A" w14:textId="4538CC91" w:rsidR="00942659" w:rsidRPr="00E01927" w:rsidRDefault="00942659" w:rsidP="00E01927">
            <w:pPr>
              <w:pStyle w:val="Subtitle"/>
              <w:jc w:val="left"/>
              <w:rPr>
                <w:b w:val="0"/>
              </w:rPr>
            </w:pPr>
            <w:r w:rsidRPr="00E01927">
              <w:rPr>
                <w:b w:val="0"/>
                <w:sz w:val="14"/>
                <w:szCs w:val="14"/>
              </w:rPr>
              <w:t xml:space="preserve">* </w:t>
            </w:r>
            <w:r>
              <w:rPr>
                <w:b w:val="0"/>
                <w:sz w:val="14"/>
                <w:szCs w:val="14"/>
              </w:rPr>
              <w:t>The r</w:t>
            </w:r>
            <w:r w:rsidRPr="00E01927">
              <w:rPr>
                <w:b w:val="0"/>
                <w:sz w:val="14"/>
                <w:szCs w:val="14"/>
              </w:rPr>
              <w:t xml:space="preserve">eported comparatives have been restated to reflect </w:t>
            </w:r>
            <w:r>
              <w:rPr>
                <w:b w:val="0"/>
                <w:sz w:val="14"/>
                <w:szCs w:val="14"/>
              </w:rPr>
              <w:t>a change in the presentation in of cash at bank and bank overdrafts</w:t>
            </w:r>
            <w:r w:rsidRPr="00E01927">
              <w:rPr>
                <w:b w:val="0"/>
                <w:sz w:val="14"/>
                <w:szCs w:val="14"/>
              </w:rPr>
              <w:t xml:space="preserve"> as set out in Note 1 </w:t>
            </w:r>
          </w:p>
        </w:tc>
      </w:tr>
    </w:tbl>
    <w:p w14:paraId="0B3A28A4" w14:textId="77777777" w:rsidR="00C13769" w:rsidRDefault="00C13769" w:rsidP="003A5BD2">
      <w:pPr>
        <w:spacing w:before="27"/>
        <w:ind w:left="20"/>
        <w:rPr>
          <w:b/>
          <w:color w:val="001F5F"/>
          <w:sz w:val="20"/>
          <w:szCs w:val="20"/>
        </w:rPr>
      </w:pPr>
    </w:p>
    <w:p w14:paraId="23470DD1" w14:textId="101EDE13" w:rsidR="003A5BD2" w:rsidRPr="00D72351" w:rsidRDefault="003A5BD2" w:rsidP="003A5BD2">
      <w:pPr>
        <w:spacing w:before="27"/>
        <w:ind w:left="20"/>
        <w:rPr>
          <w:b/>
          <w:color w:val="001F5F"/>
          <w:sz w:val="20"/>
          <w:szCs w:val="20"/>
        </w:rPr>
      </w:pPr>
      <w:r w:rsidRPr="00D72351">
        <w:rPr>
          <w:b/>
          <w:color w:val="001F5F"/>
          <w:sz w:val="20"/>
          <w:szCs w:val="20"/>
        </w:rPr>
        <w:t xml:space="preserve">GROUP </w:t>
      </w:r>
      <w:r>
        <w:rPr>
          <w:b/>
          <w:color w:val="001F5F"/>
          <w:sz w:val="20"/>
          <w:szCs w:val="20"/>
        </w:rPr>
        <w:t>STATEMENT OF CASH FLOWS</w:t>
      </w:r>
    </w:p>
    <w:p w14:paraId="77E9CD89" w14:textId="3F42BE69"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442A02E7" w14:textId="77777777" w:rsidR="005B36AA" w:rsidRDefault="005B36AA" w:rsidP="005B36AA">
      <w:pPr>
        <w:pStyle w:val="BodyText"/>
      </w:pPr>
    </w:p>
    <w:tbl>
      <w:tblPr>
        <w:tblW w:w="0" w:type="auto"/>
        <w:tblLayout w:type="fixed"/>
        <w:tblLook w:val="01E0" w:firstRow="1" w:lastRow="1" w:firstColumn="1" w:lastColumn="1" w:noHBand="0" w:noVBand="0"/>
      </w:tblPr>
      <w:tblGrid>
        <w:gridCol w:w="7257"/>
        <w:gridCol w:w="680"/>
        <w:gridCol w:w="1134"/>
        <w:gridCol w:w="1134"/>
      </w:tblGrid>
      <w:tr w:rsidR="005B36AA" w14:paraId="6A3ED4EA" w14:textId="77777777" w:rsidTr="005B36AA">
        <w:trPr>
          <w:trHeight w:val="227"/>
        </w:trPr>
        <w:tc>
          <w:tcPr>
            <w:tcW w:w="7257" w:type="dxa"/>
            <w:tcBorders>
              <w:bottom w:val="single" w:sz="2" w:space="0" w:color="000000"/>
            </w:tcBorders>
          </w:tcPr>
          <w:p w14:paraId="0D5F72F6" w14:textId="77777777" w:rsidR="005B36AA" w:rsidRDefault="005B36AA" w:rsidP="005B36AA">
            <w:pPr>
              <w:pStyle w:val="TableParagraph"/>
              <w:rPr>
                <w:rFonts w:ascii="Times New Roman"/>
                <w:sz w:val="18"/>
              </w:rPr>
            </w:pPr>
          </w:p>
        </w:tc>
        <w:tc>
          <w:tcPr>
            <w:tcW w:w="680" w:type="dxa"/>
            <w:tcBorders>
              <w:bottom w:val="single" w:sz="2" w:space="0" w:color="000000"/>
            </w:tcBorders>
            <w:vAlign w:val="bottom"/>
          </w:tcPr>
          <w:p w14:paraId="21CA0DBA" w14:textId="77777777" w:rsidR="005B36AA" w:rsidRPr="00234324" w:rsidRDefault="005B36AA" w:rsidP="005B36AA">
            <w:pPr>
              <w:pStyle w:val="Subtitle"/>
              <w:rPr>
                <w:b w:val="0"/>
                <w:bCs/>
              </w:rPr>
            </w:pPr>
            <w:r w:rsidRPr="00234324">
              <w:rPr>
                <w:b w:val="0"/>
                <w:bCs/>
              </w:rPr>
              <w:t>Notes</w:t>
            </w:r>
          </w:p>
        </w:tc>
        <w:tc>
          <w:tcPr>
            <w:tcW w:w="1134" w:type="dxa"/>
            <w:tcBorders>
              <w:bottom w:val="single" w:sz="2" w:space="0" w:color="000000"/>
            </w:tcBorders>
            <w:vAlign w:val="bottom"/>
          </w:tcPr>
          <w:p w14:paraId="5F7D618D" w14:textId="77777777" w:rsidR="005B36AA" w:rsidRDefault="005B36AA" w:rsidP="005B36AA">
            <w:pPr>
              <w:pStyle w:val="Subtitle"/>
            </w:pPr>
            <w:r>
              <w:t>2020</w:t>
            </w:r>
            <w:r>
              <w:br/>
              <w:t>£m</w:t>
            </w:r>
          </w:p>
        </w:tc>
        <w:tc>
          <w:tcPr>
            <w:tcW w:w="1134" w:type="dxa"/>
            <w:tcBorders>
              <w:bottom w:val="single" w:sz="2" w:space="0" w:color="000000"/>
            </w:tcBorders>
            <w:vAlign w:val="bottom"/>
          </w:tcPr>
          <w:p w14:paraId="681434EA" w14:textId="77777777" w:rsidR="005B36AA" w:rsidRPr="00FA4C7A" w:rsidRDefault="005B36AA" w:rsidP="005B36AA">
            <w:pPr>
              <w:pStyle w:val="Subtitle"/>
              <w:rPr>
                <w:b w:val="0"/>
              </w:rPr>
            </w:pPr>
            <w:r w:rsidRPr="00FA4C7A">
              <w:rPr>
                <w:b w:val="0"/>
              </w:rPr>
              <w:t>201</w:t>
            </w:r>
            <w:r>
              <w:rPr>
                <w:b w:val="0"/>
              </w:rPr>
              <w:t>9</w:t>
            </w:r>
            <w:r w:rsidRPr="00FA4C7A">
              <w:rPr>
                <w:b w:val="0"/>
              </w:rPr>
              <w:br/>
              <w:t>£m</w:t>
            </w:r>
          </w:p>
        </w:tc>
      </w:tr>
      <w:tr w:rsidR="005B36AA" w14:paraId="7241FB51" w14:textId="77777777" w:rsidTr="005B36AA">
        <w:trPr>
          <w:trHeight w:val="227"/>
        </w:trPr>
        <w:tc>
          <w:tcPr>
            <w:tcW w:w="7257" w:type="dxa"/>
            <w:tcBorders>
              <w:top w:val="single" w:sz="2" w:space="0" w:color="000000"/>
            </w:tcBorders>
            <w:vAlign w:val="bottom"/>
          </w:tcPr>
          <w:p w14:paraId="077B0208" w14:textId="3ED2126C" w:rsidR="005B36AA" w:rsidRDefault="004D30DE" w:rsidP="00660EC8">
            <w:pPr>
              <w:pStyle w:val="TableParagraph"/>
              <w:spacing w:line="216" w:lineRule="exact"/>
              <w:rPr>
                <w:sz w:val="18"/>
              </w:rPr>
            </w:pPr>
            <w:r>
              <w:rPr>
                <w:sz w:val="18"/>
              </w:rPr>
              <w:t>(Loss)/p</w:t>
            </w:r>
            <w:r w:rsidR="005B36AA">
              <w:rPr>
                <w:sz w:val="18"/>
              </w:rPr>
              <w:t>rofit before taxation</w:t>
            </w:r>
          </w:p>
        </w:tc>
        <w:tc>
          <w:tcPr>
            <w:tcW w:w="680" w:type="dxa"/>
            <w:tcBorders>
              <w:top w:val="single" w:sz="2" w:space="0" w:color="000000"/>
            </w:tcBorders>
          </w:tcPr>
          <w:p w14:paraId="1509AB66" w14:textId="77777777" w:rsidR="005B36AA" w:rsidRPr="00123C38" w:rsidRDefault="005B36AA" w:rsidP="005B36AA">
            <w:pPr>
              <w:pStyle w:val="Subtitle"/>
              <w:rPr>
                <w:rFonts w:cstheme="minorHAnsi"/>
              </w:rPr>
            </w:pPr>
          </w:p>
        </w:tc>
        <w:tc>
          <w:tcPr>
            <w:tcW w:w="1134" w:type="dxa"/>
            <w:tcBorders>
              <w:top w:val="single" w:sz="2" w:space="0" w:color="000000"/>
            </w:tcBorders>
          </w:tcPr>
          <w:p w14:paraId="2F012E44" w14:textId="1C19945A" w:rsidR="005B36AA" w:rsidRPr="004F0499" w:rsidRDefault="005B36AA">
            <w:pPr>
              <w:pStyle w:val="Subtitle"/>
              <w:rPr>
                <w:rFonts w:cstheme="minorHAnsi"/>
              </w:rPr>
            </w:pPr>
            <w:r>
              <w:rPr>
                <w:rFonts w:cstheme="minorHAnsi"/>
              </w:rPr>
              <w:t>(10.</w:t>
            </w:r>
            <w:r w:rsidR="0032430D">
              <w:rPr>
                <w:rFonts w:cstheme="minorHAnsi"/>
              </w:rPr>
              <w:t>8</w:t>
            </w:r>
            <w:r>
              <w:rPr>
                <w:rFonts w:cstheme="minorHAnsi"/>
              </w:rPr>
              <w:t>)</w:t>
            </w:r>
          </w:p>
        </w:tc>
        <w:tc>
          <w:tcPr>
            <w:tcW w:w="1134" w:type="dxa"/>
            <w:tcBorders>
              <w:top w:val="single" w:sz="2" w:space="0" w:color="000000"/>
            </w:tcBorders>
          </w:tcPr>
          <w:p w14:paraId="5B58A1BF" w14:textId="77777777" w:rsidR="005B36AA" w:rsidRPr="00D21FF5" w:rsidRDefault="005B36AA" w:rsidP="005B36AA">
            <w:pPr>
              <w:pStyle w:val="Subtitle"/>
              <w:rPr>
                <w:rFonts w:cstheme="minorHAnsi"/>
                <w:b w:val="0"/>
              </w:rPr>
            </w:pPr>
            <w:r w:rsidRPr="00D21FF5">
              <w:rPr>
                <w:rFonts w:cstheme="minorHAnsi"/>
                <w:b w:val="0"/>
              </w:rPr>
              <w:t>56.4</w:t>
            </w:r>
          </w:p>
        </w:tc>
      </w:tr>
      <w:tr w:rsidR="005B36AA" w14:paraId="6C6DE6BE" w14:textId="77777777" w:rsidTr="005B36AA">
        <w:trPr>
          <w:trHeight w:val="227"/>
        </w:trPr>
        <w:tc>
          <w:tcPr>
            <w:tcW w:w="7257" w:type="dxa"/>
            <w:vAlign w:val="bottom"/>
          </w:tcPr>
          <w:p w14:paraId="685357F2" w14:textId="77777777" w:rsidR="005B36AA" w:rsidRDefault="005B36AA" w:rsidP="005B36AA">
            <w:pPr>
              <w:pStyle w:val="TableParagraph"/>
              <w:spacing w:line="200" w:lineRule="exact"/>
              <w:rPr>
                <w:sz w:val="18"/>
              </w:rPr>
            </w:pPr>
            <w:r>
              <w:rPr>
                <w:sz w:val="18"/>
              </w:rPr>
              <w:t>Finance income</w:t>
            </w:r>
          </w:p>
        </w:tc>
        <w:tc>
          <w:tcPr>
            <w:tcW w:w="680" w:type="dxa"/>
          </w:tcPr>
          <w:p w14:paraId="6061D320" w14:textId="77777777" w:rsidR="005B36AA" w:rsidRPr="00123C38" w:rsidRDefault="005B36AA" w:rsidP="005B36AA">
            <w:pPr>
              <w:pStyle w:val="Subtitle"/>
              <w:rPr>
                <w:rFonts w:cstheme="minorHAnsi"/>
                <w:b w:val="0"/>
                <w:bCs/>
              </w:rPr>
            </w:pPr>
            <w:r w:rsidRPr="00123C38">
              <w:rPr>
                <w:rFonts w:cstheme="minorHAnsi"/>
                <w:b w:val="0"/>
                <w:bCs/>
              </w:rPr>
              <w:t>4</w:t>
            </w:r>
          </w:p>
        </w:tc>
        <w:tc>
          <w:tcPr>
            <w:tcW w:w="1134" w:type="dxa"/>
          </w:tcPr>
          <w:p w14:paraId="23ED6844" w14:textId="77777777" w:rsidR="005B36AA" w:rsidRPr="004F0499" w:rsidRDefault="005B36AA" w:rsidP="005B36AA">
            <w:pPr>
              <w:pStyle w:val="Subtitle"/>
              <w:rPr>
                <w:rFonts w:cstheme="minorHAnsi"/>
              </w:rPr>
            </w:pPr>
            <w:r>
              <w:rPr>
                <w:rFonts w:cstheme="minorHAnsi"/>
              </w:rPr>
              <w:t>(0.1)</w:t>
            </w:r>
          </w:p>
        </w:tc>
        <w:tc>
          <w:tcPr>
            <w:tcW w:w="1134" w:type="dxa"/>
          </w:tcPr>
          <w:p w14:paraId="65C5B2EC" w14:textId="77777777" w:rsidR="005B36AA" w:rsidRPr="00D21FF5" w:rsidRDefault="005B36AA" w:rsidP="005B36AA">
            <w:pPr>
              <w:pStyle w:val="Subtitle"/>
              <w:rPr>
                <w:rFonts w:cstheme="minorHAnsi"/>
                <w:b w:val="0"/>
              </w:rPr>
            </w:pPr>
            <w:r w:rsidRPr="00D21FF5">
              <w:rPr>
                <w:rFonts w:cstheme="minorHAnsi"/>
                <w:b w:val="0"/>
              </w:rPr>
              <w:t>(0.8)</w:t>
            </w:r>
          </w:p>
        </w:tc>
      </w:tr>
      <w:tr w:rsidR="005B36AA" w14:paraId="1C89D696" w14:textId="77777777" w:rsidTr="005B36AA">
        <w:trPr>
          <w:trHeight w:val="227"/>
        </w:trPr>
        <w:tc>
          <w:tcPr>
            <w:tcW w:w="7257" w:type="dxa"/>
            <w:vAlign w:val="bottom"/>
          </w:tcPr>
          <w:p w14:paraId="4F39ED26" w14:textId="77777777" w:rsidR="005B36AA" w:rsidRDefault="005B36AA" w:rsidP="005B36AA">
            <w:pPr>
              <w:pStyle w:val="TableParagraph"/>
              <w:spacing w:line="200" w:lineRule="exact"/>
              <w:rPr>
                <w:sz w:val="18"/>
              </w:rPr>
            </w:pPr>
            <w:r>
              <w:rPr>
                <w:sz w:val="18"/>
              </w:rPr>
              <w:t>Finance costs</w:t>
            </w:r>
          </w:p>
        </w:tc>
        <w:tc>
          <w:tcPr>
            <w:tcW w:w="680" w:type="dxa"/>
          </w:tcPr>
          <w:p w14:paraId="7C4BBAD2" w14:textId="77777777" w:rsidR="005B36AA" w:rsidRPr="00123C38" w:rsidRDefault="005B36AA" w:rsidP="005B36AA">
            <w:pPr>
              <w:pStyle w:val="Subtitle"/>
              <w:rPr>
                <w:rFonts w:cstheme="minorHAnsi"/>
                <w:b w:val="0"/>
                <w:bCs/>
              </w:rPr>
            </w:pPr>
            <w:r w:rsidRPr="00123C38">
              <w:rPr>
                <w:rFonts w:cstheme="minorHAnsi"/>
                <w:b w:val="0"/>
                <w:bCs/>
              </w:rPr>
              <w:t>4</w:t>
            </w:r>
          </w:p>
        </w:tc>
        <w:tc>
          <w:tcPr>
            <w:tcW w:w="1134" w:type="dxa"/>
          </w:tcPr>
          <w:p w14:paraId="004AF956" w14:textId="77777777" w:rsidR="005B36AA" w:rsidRPr="004F0499" w:rsidRDefault="005B36AA" w:rsidP="005B36AA">
            <w:pPr>
              <w:pStyle w:val="Subtitle"/>
              <w:rPr>
                <w:rFonts w:cstheme="minorHAnsi"/>
              </w:rPr>
            </w:pPr>
            <w:r>
              <w:rPr>
                <w:rFonts w:cstheme="minorHAnsi"/>
              </w:rPr>
              <w:t>17.3</w:t>
            </w:r>
          </w:p>
        </w:tc>
        <w:tc>
          <w:tcPr>
            <w:tcW w:w="1134" w:type="dxa"/>
          </w:tcPr>
          <w:p w14:paraId="574C1336" w14:textId="77777777" w:rsidR="005B36AA" w:rsidRPr="00D21FF5" w:rsidRDefault="005B36AA" w:rsidP="005B36AA">
            <w:pPr>
              <w:pStyle w:val="Subtitle"/>
              <w:rPr>
                <w:rFonts w:cstheme="minorHAnsi"/>
                <w:b w:val="0"/>
              </w:rPr>
            </w:pPr>
            <w:r w:rsidRPr="00D21FF5">
              <w:rPr>
                <w:rFonts w:cstheme="minorHAnsi"/>
                <w:b w:val="0"/>
              </w:rPr>
              <w:t>19.7</w:t>
            </w:r>
          </w:p>
        </w:tc>
      </w:tr>
      <w:tr w:rsidR="005B36AA" w14:paraId="3F1A4382" w14:textId="77777777" w:rsidTr="005B36AA">
        <w:trPr>
          <w:trHeight w:val="227"/>
        </w:trPr>
        <w:tc>
          <w:tcPr>
            <w:tcW w:w="7257" w:type="dxa"/>
            <w:vAlign w:val="bottom"/>
          </w:tcPr>
          <w:p w14:paraId="6EFA03CB" w14:textId="77777777" w:rsidR="005B36AA" w:rsidRDefault="005B36AA" w:rsidP="005B36AA">
            <w:pPr>
              <w:pStyle w:val="TableParagraph"/>
              <w:spacing w:line="200" w:lineRule="exact"/>
              <w:rPr>
                <w:sz w:val="18"/>
              </w:rPr>
            </w:pPr>
            <w:r>
              <w:rPr>
                <w:sz w:val="18"/>
              </w:rPr>
              <w:t>Share of profit of associates (after tax)</w:t>
            </w:r>
          </w:p>
        </w:tc>
        <w:tc>
          <w:tcPr>
            <w:tcW w:w="680" w:type="dxa"/>
          </w:tcPr>
          <w:p w14:paraId="087071A5" w14:textId="77777777" w:rsidR="005B36AA" w:rsidRPr="00123C38" w:rsidRDefault="005B36AA" w:rsidP="005B36AA">
            <w:pPr>
              <w:pStyle w:val="Subtitle"/>
              <w:rPr>
                <w:rFonts w:cstheme="minorHAnsi"/>
                <w:b w:val="0"/>
                <w:bCs/>
              </w:rPr>
            </w:pPr>
          </w:p>
        </w:tc>
        <w:tc>
          <w:tcPr>
            <w:tcW w:w="1134" w:type="dxa"/>
          </w:tcPr>
          <w:p w14:paraId="5CC473D2" w14:textId="77777777" w:rsidR="005B36AA" w:rsidRPr="004F0499" w:rsidRDefault="005B36AA" w:rsidP="005B36AA">
            <w:pPr>
              <w:pStyle w:val="Subtitle"/>
              <w:rPr>
                <w:rFonts w:cstheme="minorHAnsi"/>
              </w:rPr>
            </w:pPr>
            <w:r>
              <w:rPr>
                <w:rFonts w:cstheme="minorHAnsi"/>
              </w:rPr>
              <w:t>(0.6)</w:t>
            </w:r>
          </w:p>
        </w:tc>
        <w:tc>
          <w:tcPr>
            <w:tcW w:w="1134" w:type="dxa"/>
          </w:tcPr>
          <w:p w14:paraId="779C37EC" w14:textId="77777777" w:rsidR="005B36AA" w:rsidRPr="00D21FF5" w:rsidRDefault="005B36AA" w:rsidP="005B36AA">
            <w:pPr>
              <w:pStyle w:val="Subtitle"/>
              <w:rPr>
                <w:rFonts w:cstheme="minorHAnsi"/>
                <w:b w:val="0"/>
              </w:rPr>
            </w:pPr>
            <w:r w:rsidRPr="00D21FF5">
              <w:rPr>
                <w:rFonts w:cstheme="minorHAnsi"/>
                <w:b w:val="0"/>
              </w:rPr>
              <w:t>(0.9)</w:t>
            </w:r>
          </w:p>
        </w:tc>
      </w:tr>
      <w:tr w:rsidR="005B36AA" w14:paraId="2992A378" w14:textId="77777777" w:rsidTr="005B36AA">
        <w:trPr>
          <w:trHeight w:val="227"/>
        </w:trPr>
        <w:tc>
          <w:tcPr>
            <w:tcW w:w="7257" w:type="dxa"/>
            <w:tcBorders>
              <w:bottom w:val="single" w:sz="4" w:space="0" w:color="000000"/>
            </w:tcBorders>
            <w:vAlign w:val="bottom"/>
          </w:tcPr>
          <w:p w14:paraId="6D9CA5EB" w14:textId="77777777" w:rsidR="005B36AA" w:rsidRDefault="005B36AA" w:rsidP="005B36AA">
            <w:pPr>
              <w:pStyle w:val="TableParagraph"/>
              <w:spacing w:line="182" w:lineRule="exact"/>
              <w:rPr>
                <w:sz w:val="18"/>
              </w:rPr>
            </w:pPr>
            <w:r>
              <w:rPr>
                <w:sz w:val="18"/>
              </w:rPr>
              <w:t>Exceptional items</w:t>
            </w:r>
          </w:p>
        </w:tc>
        <w:tc>
          <w:tcPr>
            <w:tcW w:w="680" w:type="dxa"/>
            <w:tcBorders>
              <w:bottom w:val="single" w:sz="4" w:space="0" w:color="000000"/>
            </w:tcBorders>
          </w:tcPr>
          <w:p w14:paraId="2D962474" w14:textId="77777777" w:rsidR="005B36AA" w:rsidRPr="00123C38" w:rsidRDefault="005B36AA" w:rsidP="005B36AA">
            <w:pPr>
              <w:pStyle w:val="Subtitle"/>
              <w:rPr>
                <w:rFonts w:cstheme="minorHAnsi"/>
                <w:b w:val="0"/>
                <w:bCs/>
              </w:rPr>
            </w:pPr>
            <w:r w:rsidRPr="00123C38">
              <w:rPr>
                <w:rFonts w:cstheme="minorHAnsi"/>
                <w:b w:val="0"/>
                <w:bCs/>
              </w:rPr>
              <w:t>3</w:t>
            </w:r>
          </w:p>
        </w:tc>
        <w:tc>
          <w:tcPr>
            <w:tcW w:w="1134" w:type="dxa"/>
            <w:tcBorders>
              <w:bottom w:val="single" w:sz="4" w:space="0" w:color="000000"/>
            </w:tcBorders>
          </w:tcPr>
          <w:p w14:paraId="7401482F" w14:textId="77777777" w:rsidR="005B36AA" w:rsidRPr="004F0499" w:rsidRDefault="005B36AA" w:rsidP="005B36AA">
            <w:pPr>
              <w:pStyle w:val="Subtitle"/>
              <w:rPr>
                <w:rFonts w:cstheme="minorHAnsi"/>
              </w:rPr>
            </w:pPr>
            <w:r>
              <w:rPr>
                <w:rFonts w:cstheme="minorHAnsi"/>
              </w:rPr>
              <w:t>22.8</w:t>
            </w:r>
          </w:p>
        </w:tc>
        <w:tc>
          <w:tcPr>
            <w:tcW w:w="1134" w:type="dxa"/>
            <w:tcBorders>
              <w:bottom w:val="single" w:sz="4" w:space="0" w:color="000000"/>
            </w:tcBorders>
          </w:tcPr>
          <w:p w14:paraId="703B2F4D" w14:textId="77777777" w:rsidR="005B36AA" w:rsidRPr="00D21FF5" w:rsidRDefault="005B36AA" w:rsidP="005B36AA">
            <w:pPr>
              <w:pStyle w:val="Subtitle"/>
              <w:rPr>
                <w:rFonts w:cstheme="minorHAnsi"/>
                <w:b w:val="0"/>
              </w:rPr>
            </w:pPr>
            <w:r w:rsidRPr="00D21FF5">
              <w:rPr>
                <w:rFonts w:cstheme="minorHAnsi"/>
                <w:b w:val="0"/>
              </w:rPr>
              <w:t>30.2</w:t>
            </w:r>
          </w:p>
        </w:tc>
      </w:tr>
      <w:tr w:rsidR="005B36AA" w14:paraId="6BD622F4" w14:textId="77777777" w:rsidTr="005B36AA">
        <w:trPr>
          <w:trHeight w:val="20"/>
        </w:trPr>
        <w:tc>
          <w:tcPr>
            <w:tcW w:w="7257" w:type="dxa"/>
            <w:tcBorders>
              <w:top w:val="single" w:sz="4" w:space="0" w:color="000000"/>
            </w:tcBorders>
            <w:vAlign w:val="bottom"/>
          </w:tcPr>
          <w:p w14:paraId="79960E3A" w14:textId="345815EF" w:rsidR="005B36AA" w:rsidRDefault="005B36AA" w:rsidP="00660EC8">
            <w:pPr>
              <w:pStyle w:val="TableParagraph"/>
              <w:spacing w:before="1" w:line="217" w:lineRule="exact"/>
              <w:rPr>
                <w:b/>
                <w:sz w:val="18"/>
              </w:rPr>
            </w:pPr>
            <w:r>
              <w:rPr>
                <w:b/>
                <w:sz w:val="18"/>
              </w:rPr>
              <w:t xml:space="preserve">Continuing </w:t>
            </w:r>
            <w:r w:rsidR="004D30DE">
              <w:rPr>
                <w:b/>
                <w:sz w:val="18"/>
              </w:rPr>
              <w:t>o</w:t>
            </w:r>
            <w:r>
              <w:rPr>
                <w:b/>
                <w:sz w:val="18"/>
              </w:rPr>
              <w:t xml:space="preserve">perating </w:t>
            </w:r>
            <w:r w:rsidR="004D30DE">
              <w:rPr>
                <w:b/>
                <w:sz w:val="18"/>
              </w:rPr>
              <w:t>p</w:t>
            </w:r>
            <w:r>
              <w:rPr>
                <w:b/>
                <w:sz w:val="18"/>
              </w:rPr>
              <w:t>rofit (pre-exceptional)</w:t>
            </w:r>
          </w:p>
        </w:tc>
        <w:tc>
          <w:tcPr>
            <w:tcW w:w="680" w:type="dxa"/>
            <w:tcBorders>
              <w:top w:val="single" w:sz="4" w:space="0" w:color="000000"/>
            </w:tcBorders>
          </w:tcPr>
          <w:p w14:paraId="0CACCCE5" w14:textId="77777777" w:rsidR="005B36AA" w:rsidRPr="00123C38" w:rsidRDefault="005B36AA" w:rsidP="005B36AA">
            <w:pPr>
              <w:pStyle w:val="Subtitle"/>
              <w:rPr>
                <w:rFonts w:cstheme="minorHAnsi"/>
              </w:rPr>
            </w:pPr>
          </w:p>
        </w:tc>
        <w:tc>
          <w:tcPr>
            <w:tcW w:w="1134" w:type="dxa"/>
            <w:tcBorders>
              <w:top w:val="single" w:sz="4" w:space="0" w:color="000000"/>
            </w:tcBorders>
          </w:tcPr>
          <w:p w14:paraId="5C3D308D" w14:textId="77777777" w:rsidR="005B36AA" w:rsidRPr="004F0499" w:rsidRDefault="005B36AA" w:rsidP="005B36AA">
            <w:pPr>
              <w:pStyle w:val="Subtitle"/>
              <w:rPr>
                <w:rFonts w:cstheme="minorHAnsi"/>
              </w:rPr>
            </w:pPr>
            <w:r>
              <w:rPr>
                <w:rFonts w:cstheme="minorHAnsi"/>
              </w:rPr>
              <w:t>28.6</w:t>
            </w:r>
          </w:p>
        </w:tc>
        <w:tc>
          <w:tcPr>
            <w:tcW w:w="1134" w:type="dxa"/>
            <w:tcBorders>
              <w:top w:val="single" w:sz="4" w:space="0" w:color="000000"/>
            </w:tcBorders>
          </w:tcPr>
          <w:p w14:paraId="327C7661" w14:textId="77777777" w:rsidR="005B36AA" w:rsidRPr="00D21FF5" w:rsidRDefault="005B36AA" w:rsidP="005B36AA">
            <w:pPr>
              <w:pStyle w:val="Subtitle"/>
              <w:rPr>
                <w:rFonts w:cstheme="minorHAnsi"/>
                <w:b w:val="0"/>
              </w:rPr>
            </w:pPr>
            <w:r w:rsidRPr="00D21FF5">
              <w:rPr>
                <w:rFonts w:cstheme="minorHAnsi"/>
                <w:b w:val="0"/>
              </w:rPr>
              <w:t>104.6</w:t>
            </w:r>
          </w:p>
        </w:tc>
      </w:tr>
      <w:tr w:rsidR="005B36AA" w14:paraId="298993E0" w14:textId="77777777" w:rsidTr="005B36AA">
        <w:trPr>
          <w:trHeight w:val="20"/>
        </w:trPr>
        <w:tc>
          <w:tcPr>
            <w:tcW w:w="7257" w:type="dxa"/>
            <w:tcBorders>
              <w:bottom w:val="single" w:sz="4" w:space="0" w:color="000000"/>
            </w:tcBorders>
            <w:vAlign w:val="bottom"/>
          </w:tcPr>
          <w:p w14:paraId="1107E1EE" w14:textId="7FF0537B" w:rsidR="005B36AA" w:rsidRDefault="005B36AA" w:rsidP="00660EC8">
            <w:pPr>
              <w:pStyle w:val="TableParagraph"/>
              <w:spacing w:line="183" w:lineRule="exact"/>
              <w:rPr>
                <w:sz w:val="18"/>
              </w:rPr>
            </w:pPr>
            <w:r>
              <w:rPr>
                <w:sz w:val="18"/>
              </w:rPr>
              <w:t xml:space="preserve">Discontinued </w:t>
            </w:r>
            <w:r w:rsidR="004D30DE">
              <w:rPr>
                <w:sz w:val="18"/>
              </w:rPr>
              <w:t>o</w:t>
            </w:r>
            <w:r>
              <w:rPr>
                <w:sz w:val="18"/>
              </w:rPr>
              <w:t xml:space="preserve">perating </w:t>
            </w:r>
            <w:r w:rsidR="004D30DE">
              <w:rPr>
                <w:sz w:val="18"/>
              </w:rPr>
              <w:t>p</w:t>
            </w:r>
            <w:r>
              <w:rPr>
                <w:sz w:val="18"/>
              </w:rPr>
              <w:t>rofit (pre-exceptional)</w:t>
            </w:r>
          </w:p>
        </w:tc>
        <w:tc>
          <w:tcPr>
            <w:tcW w:w="680" w:type="dxa"/>
            <w:tcBorders>
              <w:bottom w:val="single" w:sz="4" w:space="0" w:color="000000"/>
            </w:tcBorders>
          </w:tcPr>
          <w:p w14:paraId="76732187" w14:textId="77777777" w:rsidR="005B36AA" w:rsidRPr="00123C38" w:rsidRDefault="005B36AA" w:rsidP="005B36AA">
            <w:pPr>
              <w:pStyle w:val="Subtitle"/>
              <w:rPr>
                <w:rFonts w:cstheme="minorHAnsi"/>
              </w:rPr>
            </w:pPr>
          </w:p>
        </w:tc>
        <w:tc>
          <w:tcPr>
            <w:tcW w:w="1134" w:type="dxa"/>
            <w:tcBorders>
              <w:bottom w:val="single" w:sz="4" w:space="0" w:color="000000"/>
            </w:tcBorders>
          </w:tcPr>
          <w:p w14:paraId="39DA2F7B"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025C49D8" w14:textId="77777777" w:rsidR="005B36AA" w:rsidRPr="00D21FF5" w:rsidRDefault="005B36AA" w:rsidP="005B36AA">
            <w:pPr>
              <w:pStyle w:val="Subtitle"/>
              <w:rPr>
                <w:rFonts w:cstheme="minorHAnsi"/>
                <w:b w:val="0"/>
              </w:rPr>
            </w:pPr>
            <w:r w:rsidRPr="00D21FF5">
              <w:rPr>
                <w:rFonts w:cstheme="minorHAnsi"/>
                <w:b w:val="0"/>
              </w:rPr>
              <w:t>9.1</w:t>
            </w:r>
          </w:p>
        </w:tc>
      </w:tr>
      <w:tr w:rsidR="005B36AA" w14:paraId="4335E221" w14:textId="77777777" w:rsidTr="005B36AA">
        <w:trPr>
          <w:trHeight w:val="227"/>
        </w:trPr>
        <w:tc>
          <w:tcPr>
            <w:tcW w:w="7257" w:type="dxa"/>
            <w:tcBorders>
              <w:top w:val="single" w:sz="4" w:space="0" w:color="000000"/>
            </w:tcBorders>
            <w:vAlign w:val="bottom"/>
          </w:tcPr>
          <w:p w14:paraId="1DFAB8E5" w14:textId="41BF8301" w:rsidR="005B36AA" w:rsidRDefault="005B36AA" w:rsidP="00660EC8">
            <w:pPr>
              <w:pStyle w:val="TableParagraph"/>
              <w:spacing w:line="216" w:lineRule="exact"/>
              <w:rPr>
                <w:b/>
                <w:sz w:val="18"/>
              </w:rPr>
            </w:pPr>
            <w:r>
              <w:rPr>
                <w:b/>
                <w:sz w:val="18"/>
              </w:rPr>
              <w:t xml:space="preserve">Operating </w:t>
            </w:r>
            <w:r w:rsidR="004D30DE">
              <w:rPr>
                <w:b/>
                <w:sz w:val="18"/>
              </w:rPr>
              <w:t>p</w:t>
            </w:r>
            <w:r>
              <w:rPr>
                <w:b/>
                <w:sz w:val="18"/>
              </w:rPr>
              <w:t>rofit (pre-exceptional)</w:t>
            </w:r>
          </w:p>
        </w:tc>
        <w:tc>
          <w:tcPr>
            <w:tcW w:w="680" w:type="dxa"/>
            <w:tcBorders>
              <w:top w:val="single" w:sz="4" w:space="0" w:color="000000"/>
            </w:tcBorders>
          </w:tcPr>
          <w:p w14:paraId="3693DC5E" w14:textId="77777777" w:rsidR="005B36AA" w:rsidRPr="00123C38" w:rsidRDefault="005B36AA" w:rsidP="005B36AA">
            <w:pPr>
              <w:pStyle w:val="Subtitle"/>
              <w:rPr>
                <w:rFonts w:cstheme="minorHAnsi"/>
              </w:rPr>
            </w:pPr>
          </w:p>
        </w:tc>
        <w:tc>
          <w:tcPr>
            <w:tcW w:w="1134" w:type="dxa"/>
            <w:tcBorders>
              <w:top w:val="single" w:sz="4" w:space="0" w:color="000000"/>
            </w:tcBorders>
          </w:tcPr>
          <w:p w14:paraId="6179DE4F" w14:textId="77777777" w:rsidR="005B36AA" w:rsidRPr="004F0499" w:rsidRDefault="005B36AA" w:rsidP="005B36AA">
            <w:pPr>
              <w:pStyle w:val="Subtitle"/>
              <w:rPr>
                <w:rFonts w:cstheme="minorHAnsi"/>
              </w:rPr>
            </w:pPr>
            <w:r>
              <w:rPr>
                <w:rFonts w:cstheme="minorHAnsi"/>
              </w:rPr>
              <w:t>28.6</w:t>
            </w:r>
          </w:p>
        </w:tc>
        <w:tc>
          <w:tcPr>
            <w:tcW w:w="1134" w:type="dxa"/>
            <w:tcBorders>
              <w:top w:val="single" w:sz="4" w:space="0" w:color="000000"/>
            </w:tcBorders>
          </w:tcPr>
          <w:p w14:paraId="1B526693" w14:textId="77777777" w:rsidR="005B36AA" w:rsidRPr="00D21FF5" w:rsidRDefault="005B36AA" w:rsidP="005B36AA">
            <w:pPr>
              <w:pStyle w:val="Subtitle"/>
              <w:rPr>
                <w:rFonts w:cstheme="minorHAnsi"/>
                <w:b w:val="0"/>
              </w:rPr>
            </w:pPr>
            <w:r w:rsidRPr="00D21FF5">
              <w:rPr>
                <w:rFonts w:cstheme="minorHAnsi"/>
                <w:b w:val="0"/>
              </w:rPr>
              <w:t>113.7</w:t>
            </w:r>
          </w:p>
        </w:tc>
      </w:tr>
      <w:tr w:rsidR="005B36AA" w14:paraId="0E383CC8" w14:textId="77777777" w:rsidTr="005B36AA">
        <w:trPr>
          <w:trHeight w:val="227"/>
        </w:trPr>
        <w:tc>
          <w:tcPr>
            <w:tcW w:w="7257" w:type="dxa"/>
            <w:vAlign w:val="bottom"/>
          </w:tcPr>
          <w:p w14:paraId="0530E5D5" w14:textId="1CF97688" w:rsidR="005B36AA" w:rsidRDefault="005B36AA" w:rsidP="00660EC8">
            <w:pPr>
              <w:pStyle w:val="TableParagraph"/>
              <w:spacing w:line="200" w:lineRule="exact"/>
              <w:rPr>
                <w:sz w:val="18"/>
              </w:rPr>
            </w:pPr>
            <w:r>
              <w:rPr>
                <w:sz w:val="18"/>
              </w:rPr>
              <w:t xml:space="preserve">Depreciation </w:t>
            </w:r>
            <w:r w:rsidR="004D30DE">
              <w:rPr>
                <w:sz w:val="18"/>
              </w:rPr>
              <w:t>(including right-of-use assets)</w:t>
            </w:r>
          </w:p>
        </w:tc>
        <w:tc>
          <w:tcPr>
            <w:tcW w:w="680" w:type="dxa"/>
          </w:tcPr>
          <w:p w14:paraId="3FEDC7B0" w14:textId="77777777" w:rsidR="005B36AA" w:rsidRPr="00123C38" w:rsidRDefault="005B36AA" w:rsidP="005B36AA">
            <w:pPr>
              <w:pStyle w:val="Subtitle"/>
              <w:rPr>
                <w:rFonts w:cstheme="minorHAnsi"/>
                <w:b w:val="0"/>
                <w:bCs/>
              </w:rPr>
            </w:pPr>
          </w:p>
        </w:tc>
        <w:tc>
          <w:tcPr>
            <w:tcW w:w="1134" w:type="dxa"/>
          </w:tcPr>
          <w:p w14:paraId="20128454" w14:textId="77777777" w:rsidR="005B36AA" w:rsidRPr="004F0499" w:rsidRDefault="005B36AA" w:rsidP="005B36AA">
            <w:pPr>
              <w:pStyle w:val="Subtitle"/>
              <w:rPr>
                <w:rFonts w:cstheme="minorHAnsi"/>
              </w:rPr>
            </w:pPr>
            <w:r>
              <w:rPr>
                <w:rFonts w:cstheme="minorHAnsi"/>
              </w:rPr>
              <w:t>49.6</w:t>
            </w:r>
          </w:p>
        </w:tc>
        <w:tc>
          <w:tcPr>
            <w:tcW w:w="1134" w:type="dxa"/>
          </w:tcPr>
          <w:p w14:paraId="016B58BF" w14:textId="77777777" w:rsidR="005B36AA" w:rsidRPr="00D21FF5" w:rsidRDefault="005B36AA" w:rsidP="005B36AA">
            <w:pPr>
              <w:pStyle w:val="Subtitle"/>
              <w:rPr>
                <w:rFonts w:cstheme="minorHAnsi"/>
                <w:b w:val="0"/>
              </w:rPr>
            </w:pPr>
            <w:r w:rsidRPr="00D21FF5">
              <w:rPr>
                <w:rFonts w:cstheme="minorHAnsi"/>
                <w:b w:val="0"/>
              </w:rPr>
              <w:t>32.9</w:t>
            </w:r>
          </w:p>
        </w:tc>
      </w:tr>
      <w:tr w:rsidR="005B36AA" w14:paraId="6CD11461" w14:textId="77777777" w:rsidTr="005B36AA">
        <w:trPr>
          <w:trHeight w:val="60"/>
        </w:trPr>
        <w:tc>
          <w:tcPr>
            <w:tcW w:w="7257" w:type="dxa"/>
            <w:vAlign w:val="bottom"/>
          </w:tcPr>
          <w:p w14:paraId="1E806A46" w14:textId="77777777" w:rsidR="005B36AA" w:rsidRDefault="005B36AA" w:rsidP="005B36AA">
            <w:pPr>
              <w:pStyle w:val="TableParagraph"/>
              <w:spacing w:line="200" w:lineRule="exact"/>
              <w:rPr>
                <w:sz w:val="18"/>
              </w:rPr>
            </w:pPr>
            <w:r>
              <w:rPr>
                <w:sz w:val="18"/>
              </w:rPr>
              <w:t>Amortisation of intangible assets</w:t>
            </w:r>
          </w:p>
        </w:tc>
        <w:tc>
          <w:tcPr>
            <w:tcW w:w="680" w:type="dxa"/>
          </w:tcPr>
          <w:p w14:paraId="3F79C573" w14:textId="77777777" w:rsidR="005B36AA" w:rsidRPr="00123C38" w:rsidRDefault="005B36AA" w:rsidP="005B36AA">
            <w:pPr>
              <w:pStyle w:val="Subtitle"/>
              <w:rPr>
                <w:rFonts w:cstheme="minorHAnsi"/>
                <w:b w:val="0"/>
                <w:bCs/>
              </w:rPr>
            </w:pPr>
          </w:p>
        </w:tc>
        <w:tc>
          <w:tcPr>
            <w:tcW w:w="1134" w:type="dxa"/>
          </w:tcPr>
          <w:p w14:paraId="3D98AFF2" w14:textId="77777777" w:rsidR="005B36AA" w:rsidRPr="004F0499" w:rsidRDefault="005B36AA" w:rsidP="005B36AA">
            <w:pPr>
              <w:pStyle w:val="Subtitle"/>
              <w:rPr>
                <w:rFonts w:cstheme="minorHAnsi"/>
              </w:rPr>
            </w:pPr>
            <w:r>
              <w:rPr>
                <w:rFonts w:cstheme="minorHAnsi"/>
              </w:rPr>
              <w:t>6.8</w:t>
            </w:r>
          </w:p>
        </w:tc>
        <w:tc>
          <w:tcPr>
            <w:tcW w:w="1134" w:type="dxa"/>
          </w:tcPr>
          <w:p w14:paraId="25A2ACEF" w14:textId="77777777" w:rsidR="005B36AA" w:rsidRPr="00D21FF5" w:rsidRDefault="005B36AA" w:rsidP="005B36AA">
            <w:pPr>
              <w:pStyle w:val="Subtitle"/>
              <w:rPr>
                <w:rFonts w:cstheme="minorHAnsi"/>
                <w:b w:val="0"/>
              </w:rPr>
            </w:pPr>
            <w:r w:rsidRPr="00D21FF5">
              <w:rPr>
                <w:rFonts w:cstheme="minorHAnsi"/>
                <w:b w:val="0"/>
              </w:rPr>
              <w:t>4.5</w:t>
            </w:r>
          </w:p>
        </w:tc>
      </w:tr>
      <w:tr w:rsidR="005B36AA" w14:paraId="2A0E73A0" w14:textId="77777777" w:rsidTr="005B36AA">
        <w:trPr>
          <w:trHeight w:val="227"/>
        </w:trPr>
        <w:tc>
          <w:tcPr>
            <w:tcW w:w="7257" w:type="dxa"/>
            <w:vAlign w:val="bottom"/>
          </w:tcPr>
          <w:p w14:paraId="2C07B8FD" w14:textId="77777777" w:rsidR="005B36AA" w:rsidRDefault="005B36AA" w:rsidP="005B36AA">
            <w:pPr>
              <w:pStyle w:val="TableParagraph"/>
              <w:spacing w:line="200" w:lineRule="exact"/>
              <w:rPr>
                <w:sz w:val="18"/>
              </w:rPr>
            </w:pPr>
            <w:r>
              <w:rPr>
                <w:sz w:val="18"/>
              </w:rPr>
              <w:t>Employee share-based payment expense</w:t>
            </w:r>
          </w:p>
        </w:tc>
        <w:tc>
          <w:tcPr>
            <w:tcW w:w="680" w:type="dxa"/>
          </w:tcPr>
          <w:p w14:paraId="3F507D2E" w14:textId="77777777" w:rsidR="005B36AA" w:rsidRPr="00123C38" w:rsidRDefault="005B36AA" w:rsidP="005B36AA">
            <w:pPr>
              <w:pStyle w:val="Subtitle"/>
              <w:rPr>
                <w:rFonts w:cstheme="minorHAnsi"/>
                <w:b w:val="0"/>
                <w:bCs/>
              </w:rPr>
            </w:pPr>
          </w:p>
        </w:tc>
        <w:tc>
          <w:tcPr>
            <w:tcW w:w="1134" w:type="dxa"/>
          </w:tcPr>
          <w:p w14:paraId="0DDF1B31" w14:textId="77777777" w:rsidR="005B36AA" w:rsidRPr="004F0499" w:rsidRDefault="005B36AA" w:rsidP="005B36AA">
            <w:pPr>
              <w:pStyle w:val="Subtitle"/>
              <w:rPr>
                <w:rFonts w:cstheme="minorHAnsi"/>
              </w:rPr>
            </w:pPr>
            <w:r>
              <w:rPr>
                <w:rFonts w:cstheme="minorHAnsi"/>
              </w:rPr>
              <w:t>2.0</w:t>
            </w:r>
          </w:p>
        </w:tc>
        <w:tc>
          <w:tcPr>
            <w:tcW w:w="1134" w:type="dxa"/>
          </w:tcPr>
          <w:p w14:paraId="4322D33C" w14:textId="77777777" w:rsidR="005B36AA" w:rsidRPr="00D21FF5" w:rsidRDefault="005B36AA" w:rsidP="005B36AA">
            <w:pPr>
              <w:pStyle w:val="Subtitle"/>
              <w:rPr>
                <w:rFonts w:cstheme="minorHAnsi"/>
                <w:b w:val="0"/>
              </w:rPr>
            </w:pPr>
            <w:r w:rsidRPr="00D21FF5">
              <w:rPr>
                <w:rFonts w:cstheme="minorHAnsi"/>
                <w:b w:val="0"/>
              </w:rPr>
              <w:t>3.6</w:t>
            </w:r>
          </w:p>
        </w:tc>
      </w:tr>
      <w:tr w:rsidR="005B36AA" w14:paraId="54D87AA9" w14:textId="77777777" w:rsidTr="005B36AA">
        <w:trPr>
          <w:trHeight w:val="227"/>
        </w:trPr>
        <w:tc>
          <w:tcPr>
            <w:tcW w:w="7257" w:type="dxa"/>
            <w:vAlign w:val="bottom"/>
          </w:tcPr>
          <w:p w14:paraId="077677E7" w14:textId="0B7FFE98" w:rsidR="005B36AA" w:rsidRDefault="005B36AA" w:rsidP="005B36AA">
            <w:pPr>
              <w:pStyle w:val="TableParagraph"/>
              <w:spacing w:line="200" w:lineRule="exact"/>
              <w:rPr>
                <w:sz w:val="18"/>
              </w:rPr>
            </w:pPr>
            <w:r>
              <w:rPr>
                <w:sz w:val="18"/>
              </w:rPr>
              <w:t xml:space="preserve">Contributions to </w:t>
            </w:r>
            <w:r w:rsidR="004D30DE">
              <w:rPr>
                <w:sz w:val="18"/>
              </w:rPr>
              <w:t xml:space="preserve">Group </w:t>
            </w:r>
            <w:r>
              <w:rPr>
                <w:sz w:val="18"/>
              </w:rPr>
              <w:t>legacy defined benefit pension scheme</w:t>
            </w:r>
          </w:p>
        </w:tc>
        <w:tc>
          <w:tcPr>
            <w:tcW w:w="680" w:type="dxa"/>
          </w:tcPr>
          <w:p w14:paraId="66E283ED" w14:textId="77777777" w:rsidR="005B36AA" w:rsidRPr="00123C38" w:rsidRDefault="005B36AA" w:rsidP="005B36AA">
            <w:pPr>
              <w:pStyle w:val="Subtitle"/>
              <w:rPr>
                <w:rFonts w:cstheme="minorHAnsi"/>
                <w:b w:val="0"/>
                <w:bCs/>
              </w:rPr>
            </w:pPr>
            <w:r w:rsidRPr="00123C38">
              <w:rPr>
                <w:rFonts w:cstheme="minorHAnsi"/>
                <w:b w:val="0"/>
                <w:bCs/>
              </w:rPr>
              <w:t>9</w:t>
            </w:r>
          </w:p>
        </w:tc>
        <w:tc>
          <w:tcPr>
            <w:tcW w:w="1134" w:type="dxa"/>
          </w:tcPr>
          <w:p w14:paraId="1AEBFEFB" w14:textId="2944F7FB" w:rsidR="005B36AA" w:rsidRPr="004F0499" w:rsidRDefault="005B36AA" w:rsidP="005B36AA">
            <w:pPr>
              <w:pStyle w:val="Subtitle"/>
              <w:rPr>
                <w:rFonts w:cstheme="minorHAnsi"/>
              </w:rPr>
            </w:pPr>
            <w:r>
              <w:rPr>
                <w:rFonts w:cstheme="minorHAnsi"/>
              </w:rPr>
              <w:t>(9.</w:t>
            </w:r>
            <w:r w:rsidR="00D364D9">
              <w:rPr>
                <w:rFonts w:cstheme="minorHAnsi"/>
              </w:rPr>
              <w:t>4</w:t>
            </w:r>
            <w:r>
              <w:rPr>
                <w:rFonts w:cstheme="minorHAnsi"/>
              </w:rPr>
              <w:t>)</w:t>
            </w:r>
          </w:p>
        </w:tc>
        <w:tc>
          <w:tcPr>
            <w:tcW w:w="1134" w:type="dxa"/>
          </w:tcPr>
          <w:p w14:paraId="6AA19B87" w14:textId="77777777" w:rsidR="005B36AA" w:rsidRPr="00D21FF5" w:rsidRDefault="005B36AA" w:rsidP="005B36AA">
            <w:pPr>
              <w:pStyle w:val="Subtitle"/>
              <w:rPr>
                <w:rFonts w:cstheme="minorHAnsi"/>
                <w:b w:val="0"/>
              </w:rPr>
            </w:pPr>
            <w:r w:rsidRPr="00D21FF5">
              <w:rPr>
                <w:rFonts w:cstheme="minorHAnsi"/>
                <w:b w:val="0"/>
              </w:rPr>
              <w:t>(16.0)</w:t>
            </w:r>
          </w:p>
        </w:tc>
      </w:tr>
      <w:tr w:rsidR="005B36AA" w14:paraId="1215D8CB" w14:textId="77777777" w:rsidTr="005B36AA">
        <w:trPr>
          <w:trHeight w:val="60"/>
        </w:trPr>
        <w:tc>
          <w:tcPr>
            <w:tcW w:w="7257" w:type="dxa"/>
            <w:vAlign w:val="bottom"/>
          </w:tcPr>
          <w:p w14:paraId="0FE67F76" w14:textId="77777777" w:rsidR="005B36AA" w:rsidRDefault="005B36AA" w:rsidP="005B36AA">
            <w:pPr>
              <w:pStyle w:val="TableParagraph"/>
              <w:spacing w:line="201" w:lineRule="exact"/>
              <w:rPr>
                <w:sz w:val="18"/>
              </w:rPr>
            </w:pPr>
            <w:r>
              <w:rPr>
                <w:sz w:val="18"/>
              </w:rPr>
              <w:t>Working capital movement</w:t>
            </w:r>
          </w:p>
        </w:tc>
        <w:tc>
          <w:tcPr>
            <w:tcW w:w="680" w:type="dxa"/>
          </w:tcPr>
          <w:p w14:paraId="18B49215" w14:textId="77777777" w:rsidR="005B36AA" w:rsidRPr="00123C38" w:rsidRDefault="005B36AA" w:rsidP="005B36AA">
            <w:pPr>
              <w:pStyle w:val="Subtitle"/>
              <w:rPr>
                <w:rFonts w:cstheme="minorHAnsi"/>
                <w:b w:val="0"/>
                <w:bCs/>
              </w:rPr>
            </w:pPr>
          </w:p>
        </w:tc>
        <w:tc>
          <w:tcPr>
            <w:tcW w:w="1134" w:type="dxa"/>
          </w:tcPr>
          <w:p w14:paraId="6254FCA7" w14:textId="0F9A3AE3" w:rsidR="005B36AA" w:rsidRPr="004F0499" w:rsidRDefault="005B36AA">
            <w:pPr>
              <w:pStyle w:val="Subtitle"/>
              <w:rPr>
                <w:rFonts w:cstheme="minorHAnsi"/>
              </w:rPr>
            </w:pPr>
            <w:r>
              <w:rPr>
                <w:rFonts w:cstheme="minorHAnsi"/>
              </w:rPr>
              <w:t>(</w:t>
            </w:r>
            <w:r w:rsidR="00E3264A">
              <w:rPr>
                <w:rFonts w:cstheme="minorHAnsi"/>
              </w:rPr>
              <w:t>46.1</w:t>
            </w:r>
            <w:r>
              <w:rPr>
                <w:rFonts w:cstheme="minorHAnsi"/>
              </w:rPr>
              <w:t>)</w:t>
            </w:r>
          </w:p>
        </w:tc>
        <w:tc>
          <w:tcPr>
            <w:tcW w:w="1134" w:type="dxa"/>
          </w:tcPr>
          <w:p w14:paraId="716D8861" w14:textId="77777777" w:rsidR="005B36AA" w:rsidRPr="00D21FF5" w:rsidRDefault="005B36AA" w:rsidP="005B36AA">
            <w:pPr>
              <w:pStyle w:val="Subtitle"/>
              <w:rPr>
                <w:rFonts w:cstheme="minorHAnsi"/>
                <w:b w:val="0"/>
              </w:rPr>
            </w:pPr>
            <w:r w:rsidRPr="00D21FF5">
              <w:rPr>
                <w:rFonts w:cstheme="minorHAnsi"/>
                <w:b w:val="0"/>
              </w:rPr>
              <w:t>(22.8)</w:t>
            </w:r>
          </w:p>
        </w:tc>
      </w:tr>
      <w:tr w:rsidR="005B36AA" w14:paraId="632BFCEB" w14:textId="77777777" w:rsidTr="005B36AA">
        <w:trPr>
          <w:trHeight w:val="227"/>
        </w:trPr>
        <w:tc>
          <w:tcPr>
            <w:tcW w:w="7257" w:type="dxa"/>
            <w:tcBorders>
              <w:bottom w:val="single" w:sz="4" w:space="0" w:color="000000"/>
            </w:tcBorders>
            <w:vAlign w:val="bottom"/>
          </w:tcPr>
          <w:p w14:paraId="6B2A986B" w14:textId="77777777" w:rsidR="005B36AA" w:rsidRDefault="005B36AA" w:rsidP="005B36AA">
            <w:pPr>
              <w:pStyle w:val="TableParagraph"/>
              <w:spacing w:line="183" w:lineRule="exact"/>
              <w:rPr>
                <w:sz w:val="18"/>
              </w:rPr>
            </w:pPr>
            <w:r>
              <w:rPr>
                <w:sz w:val="18"/>
              </w:rPr>
              <w:t>Other movements</w:t>
            </w:r>
          </w:p>
        </w:tc>
        <w:tc>
          <w:tcPr>
            <w:tcW w:w="680" w:type="dxa"/>
            <w:tcBorders>
              <w:bottom w:val="single" w:sz="4" w:space="0" w:color="000000"/>
            </w:tcBorders>
          </w:tcPr>
          <w:p w14:paraId="5C26354F"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0D7FC07"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38EC7AB3" w14:textId="77777777" w:rsidR="005B36AA" w:rsidRPr="00D21FF5" w:rsidRDefault="005B36AA" w:rsidP="005B36AA">
            <w:pPr>
              <w:pStyle w:val="Subtitle"/>
              <w:rPr>
                <w:rFonts w:cstheme="minorHAnsi"/>
                <w:b w:val="0"/>
              </w:rPr>
            </w:pPr>
            <w:r w:rsidRPr="00D21FF5">
              <w:rPr>
                <w:rFonts w:cstheme="minorHAnsi"/>
                <w:b w:val="0"/>
              </w:rPr>
              <w:t>0.8</w:t>
            </w:r>
          </w:p>
        </w:tc>
      </w:tr>
      <w:tr w:rsidR="005B36AA" w14:paraId="3AC8E4B4" w14:textId="77777777" w:rsidTr="005B36AA">
        <w:trPr>
          <w:trHeight w:val="227"/>
        </w:trPr>
        <w:tc>
          <w:tcPr>
            <w:tcW w:w="7257" w:type="dxa"/>
            <w:tcBorders>
              <w:top w:val="single" w:sz="4" w:space="0" w:color="000000"/>
            </w:tcBorders>
            <w:vAlign w:val="bottom"/>
          </w:tcPr>
          <w:p w14:paraId="29929FAF" w14:textId="2AD1D7CE" w:rsidR="005B36AA" w:rsidRDefault="005B36AA" w:rsidP="00660EC8">
            <w:pPr>
              <w:pStyle w:val="TableParagraph"/>
              <w:spacing w:line="216" w:lineRule="exact"/>
              <w:rPr>
                <w:b/>
                <w:sz w:val="18"/>
              </w:rPr>
            </w:pPr>
            <w:r>
              <w:rPr>
                <w:b/>
                <w:sz w:val="18"/>
              </w:rPr>
              <w:t xml:space="preserve">Net cash inflow from operating activities </w:t>
            </w:r>
            <w:r w:rsidR="004D30DE">
              <w:rPr>
                <w:b/>
                <w:sz w:val="18"/>
              </w:rPr>
              <w:t>before exceptional items</w:t>
            </w:r>
            <w:r>
              <w:rPr>
                <w:b/>
                <w:sz w:val="18"/>
              </w:rPr>
              <w:t xml:space="preserve"> </w:t>
            </w:r>
          </w:p>
        </w:tc>
        <w:tc>
          <w:tcPr>
            <w:tcW w:w="680" w:type="dxa"/>
            <w:tcBorders>
              <w:top w:val="single" w:sz="4" w:space="0" w:color="000000"/>
            </w:tcBorders>
          </w:tcPr>
          <w:p w14:paraId="7904CE05" w14:textId="77777777" w:rsidR="005B36AA" w:rsidRPr="00123C38" w:rsidRDefault="005B36AA" w:rsidP="005B36AA">
            <w:pPr>
              <w:pStyle w:val="Subtitle"/>
              <w:rPr>
                <w:rFonts w:cstheme="minorHAnsi"/>
              </w:rPr>
            </w:pPr>
          </w:p>
        </w:tc>
        <w:tc>
          <w:tcPr>
            <w:tcW w:w="1134" w:type="dxa"/>
            <w:tcBorders>
              <w:top w:val="single" w:sz="4" w:space="0" w:color="000000"/>
            </w:tcBorders>
          </w:tcPr>
          <w:p w14:paraId="486080AA" w14:textId="4F50BC4C" w:rsidR="005B36AA" w:rsidRPr="004F0499" w:rsidRDefault="00E3264A" w:rsidP="005B36AA">
            <w:pPr>
              <w:pStyle w:val="Subtitle"/>
              <w:rPr>
                <w:rFonts w:cstheme="minorHAnsi"/>
              </w:rPr>
            </w:pPr>
            <w:r>
              <w:rPr>
                <w:rFonts w:cstheme="minorHAnsi"/>
              </w:rPr>
              <w:t>31.5</w:t>
            </w:r>
          </w:p>
        </w:tc>
        <w:tc>
          <w:tcPr>
            <w:tcW w:w="1134" w:type="dxa"/>
            <w:tcBorders>
              <w:top w:val="single" w:sz="4" w:space="0" w:color="000000"/>
            </w:tcBorders>
          </w:tcPr>
          <w:p w14:paraId="3934D47F" w14:textId="77777777" w:rsidR="005B36AA" w:rsidRPr="00D21FF5" w:rsidRDefault="005B36AA" w:rsidP="005B36AA">
            <w:pPr>
              <w:pStyle w:val="Subtitle"/>
              <w:rPr>
                <w:rFonts w:cstheme="minorHAnsi"/>
                <w:b w:val="0"/>
              </w:rPr>
            </w:pPr>
            <w:r w:rsidRPr="00D21FF5">
              <w:rPr>
                <w:rFonts w:cstheme="minorHAnsi"/>
                <w:b w:val="0"/>
              </w:rPr>
              <w:t>116.7</w:t>
            </w:r>
          </w:p>
        </w:tc>
      </w:tr>
      <w:tr w:rsidR="005B36AA" w14:paraId="4D60E3FC" w14:textId="77777777" w:rsidTr="005B36AA">
        <w:trPr>
          <w:trHeight w:val="227"/>
        </w:trPr>
        <w:tc>
          <w:tcPr>
            <w:tcW w:w="7257" w:type="dxa"/>
            <w:vAlign w:val="bottom"/>
          </w:tcPr>
          <w:p w14:paraId="47FA9BB1" w14:textId="77777777" w:rsidR="005B36AA" w:rsidRDefault="005B36AA" w:rsidP="005B36AA">
            <w:pPr>
              <w:pStyle w:val="TableParagraph"/>
              <w:spacing w:line="200" w:lineRule="exact"/>
              <w:rPr>
                <w:sz w:val="18"/>
              </w:rPr>
            </w:pPr>
            <w:r>
              <w:rPr>
                <w:sz w:val="18"/>
              </w:rPr>
              <w:t>Cash outflow related to exceptional items</w:t>
            </w:r>
          </w:p>
        </w:tc>
        <w:tc>
          <w:tcPr>
            <w:tcW w:w="680" w:type="dxa"/>
          </w:tcPr>
          <w:p w14:paraId="7433A805" w14:textId="77777777" w:rsidR="005B36AA" w:rsidRPr="00123C38" w:rsidRDefault="005B36AA" w:rsidP="005B36AA">
            <w:pPr>
              <w:pStyle w:val="Subtitle"/>
              <w:rPr>
                <w:rFonts w:cstheme="minorHAnsi"/>
                <w:b w:val="0"/>
                <w:bCs/>
              </w:rPr>
            </w:pPr>
            <w:r w:rsidRPr="00123C38">
              <w:rPr>
                <w:rFonts w:cstheme="minorHAnsi"/>
                <w:b w:val="0"/>
                <w:bCs/>
              </w:rPr>
              <w:t>3</w:t>
            </w:r>
          </w:p>
        </w:tc>
        <w:tc>
          <w:tcPr>
            <w:tcW w:w="1134" w:type="dxa"/>
          </w:tcPr>
          <w:p w14:paraId="7CC1B608" w14:textId="67548DDE" w:rsidR="005B36AA" w:rsidRPr="004F0499" w:rsidRDefault="005B36AA">
            <w:pPr>
              <w:pStyle w:val="Subtitle"/>
              <w:rPr>
                <w:rFonts w:cstheme="minorHAnsi"/>
              </w:rPr>
            </w:pPr>
            <w:r>
              <w:rPr>
                <w:rFonts w:cstheme="minorHAnsi"/>
              </w:rPr>
              <w:t>(</w:t>
            </w:r>
            <w:r w:rsidR="00E3264A">
              <w:rPr>
                <w:rFonts w:cstheme="minorHAnsi"/>
              </w:rPr>
              <w:t>10.1</w:t>
            </w:r>
            <w:r>
              <w:rPr>
                <w:rFonts w:cstheme="minorHAnsi"/>
              </w:rPr>
              <w:t>)</w:t>
            </w:r>
          </w:p>
        </w:tc>
        <w:tc>
          <w:tcPr>
            <w:tcW w:w="1134" w:type="dxa"/>
          </w:tcPr>
          <w:p w14:paraId="2E71589A" w14:textId="77777777" w:rsidR="005B36AA" w:rsidRPr="00D21FF5" w:rsidRDefault="005B36AA" w:rsidP="005B36AA">
            <w:pPr>
              <w:pStyle w:val="Subtitle"/>
              <w:rPr>
                <w:rFonts w:cstheme="minorHAnsi"/>
                <w:b w:val="0"/>
              </w:rPr>
            </w:pPr>
            <w:r w:rsidRPr="00D21FF5">
              <w:rPr>
                <w:rFonts w:cstheme="minorHAnsi"/>
                <w:b w:val="0"/>
              </w:rPr>
              <w:t>(9.6)</w:t>
            </w:r>
          </w:p>
        </w:tc>
      </w:tr>
      <w:tr w:rsidR="005B36AA" w14:paraId="16D80656" w14:textId="77777777" w:rsidTr="005B36AA">
        <w:trPr>
          <w:trHeight w:val="227"/>
        </w:trPr>
        <w:tc>
          <w:tcPr>
            <w:tcW w:w="7257" w:type="dxa"/>
            <w:vAlign w:val="bottom"/>
          </w:tcPr>
          <w:p w14:paraId="191724CC" w14:textId="00B1E5D1" w:rsidR="005B36AA" w:rsidRDefault="005B36AA" w:rsidP="005B36AA">
            <w:pPr>
              <w:pStyle w:val="TableParagraph"/>
              <w:spacing w:line="200" w:lineRule="exact"/>
              <w:rPr>
                <w:sz w:val="18"/>
              </w:rPr>
            </w:pPr>
            <w:r>
              <w:rPr>
                <w:sz w:val="18"/>
              </w:rPr>
              <w:t>Interest paid</w:t>
            </w:r>
            <w:r w:rsidR="004D30DE">
              <w:rPr>
                <w:sz w:val="18"/>
              </w:rPr>
              <w:t xml:space="preserve"> (including lease liability interest)</w:t>
            </w:r>
          </w:p>
        </w:tc>
        <w:tc>
          <w:tcPr>
            <w:tcW w:w="680" w:type="dxa"/>
          </w:tcPr>
          <w:p w14:paraId="27EB6F51" w14:textId="77777777" w:rsidR="005B36AA" w:rsidRPr="00123C38" w:rsidRDefault="005B36AA" w:rsidP="005B36AA">
            <w:pPr>
              <w:pStyle w:val="Subtitle"/>
              <w:rPr>
                <w:rFonts w:cstheme="minorHAnsi"/>
              </w:rPr>
            </w:pPr>
          </w:p>
        </w:tc>
        <w:tc>
          <w:tcPr>
            <w:tcW w:w="1134" w:type="dxa"/>
          </w:tcPr>
          <w:p w14:paraId="0E1A3BAA" w14:textId="31D36AD2" w:rsidR="005B36AA" w:rsidRPr="004F0499" w:rsidRDefault="005B36AA">
            <w:pPr>
              <w:pStyle w:val="Subtitle"/>
              <w:rPr>
                <w:rFonts w:cstheme="minorHAnsi"/>
              </w:rPr>
            </w:pPr>
            <w:r>
              <w:rPr>
                <w:rFonts w:cstheme="minorHAnsi"/>
              </w:rPr>
              <w:t>(14.</w:t>
            </w:r>
            <w:r w:rsidR="00053FC3">
              <w:rPr>
                <w:rFonts w:cstheme="minorHAnsi"/>
              </w:rPr>
              <w:t>3</w:t>
            </w:r>
            <w:r>
              <w:rPr>
                <w:rFonts w:cstheme="minorHAnsi"/>
              </w:rPr>
              <w:t>)</w:t>
            </w:r>
          </w:p>
        </w:tc>
        <w:tc>
          <w:tcPr>
            <w:tcW w:w="1134" w:type="dxa"/>
          </w:tcPr>
          <w:p w14:paraId="1F6F95F1" w14:textId="77777777" w:rsidR="005B36AA" w:rsidRPr="00D21FF5" w:rsidRDefault="005B36AA" w:rsidP="005B36AA">
            <w:pPr>
              <w:pStyle w:val="Subtitle"/>
              <w:rPr>
                <w:rFonts w:cstheme="minorHAnsi"/>
                <w:b w:val="0"/>
              </w:rPr>
            </w:pPr>
            <w:r w:rsidRPr="00D21FF5">
              <w:rPr>
                <w:rFonts w:cstheme="minorHAnsi"/>
                <w:b w:val="0"/>
              </w:rPr>
              <w:t>(16.9)</w:t>
            </w:r>
          </w:p>
        </w:tc>
      </w:tr>
      <w:tr w:rsidR="005B36AA" w14:paraId="0506FD22" w14:textId="77777777" w:rsidTr="005B36AA">
        <w:trPr>
          <w:trHeight w:val="227"/>
        </w:trPr>
        <w:tc>
          <w:tcPr>
            <w:tcW w:w="7257" w:type="dxa"/>
            <w:tcBorders>
              <w:bottom w:val="single" w:sz="4" w:space="0" w:color="000000"/>
            </w:tcBorders>
            <w:vAlign w:val="bottom"/>
          </w:tcPr>
          <w:p w14:paraId="7877C52A" w14:textId="77777777" w:rsidR="005B36AA" w:rsidRDefault="005B36AA" w:rsidP="005B36AA">
            <w:pPr>
              <w:pStyle w:val="TableParagraph"/>
              <w:spacing w:line="183" w:lineRule="exact"/>
              <w:rPr>
                <w:sz w:val="18"/>
              </w:rPr>
            </w:pPr>
            <w:r>
              <w:rPr>
                <w:sz w:val="18"/>
              </w:rPr>
              <w:t>Tax paid</w:t>
            </w:r>
          </w:p>
        </w:tc>
        <w:tc>
          <w:tcPr>
            <w:tcW w:w="680" w:type="dxa"/>
            <w:tcBorders>
              <w:bottom w:val="single" w:sz="4" w:space="0" w:color="000000"/>
            </w:tcBorders>
          </w:tcPr>
          <w:p w14:paraId="25D3D7BE"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B0854B0" w14:textId="77777777" w:rsidR="005B36AA" w:rsidRPr="004F0499" w:rsidRDefault="005B36AA" w:rsidP="005B36AA">
            <w:pPr>
              <w:pStyle w:val="Subtitle"/>
              <w:rPr>
                <w:rFonts w:cstheme="minorHAnsi"/>
              </w:rPr>
            </w:pPr>
            <w:r>
              <w:rPr>
                <w:rFonts w:cstheme="minorHAnsi"/>
              </w:rPr>
              <w:t>(4.6)</w:t>
            </w:r>
          </w:p>
        </w:tc>
        <w:tc>
          <w:tcPr>
            <w:tcW w:w="1134" w:type="dxa"/>
            <w:tcBorders>
              <w:bottom w:val="single" w:sz="4" w:space="0" w:color="000000"/>
            </w:tcBorders>
          </w:tcPr>
          <w:p w14:paraId="19A5B46A" w14:textId="77777777" w:rsidR="005B36AA" w:rsidRPr="00D21FF5" w:rsidRDefault="005B36AA" w:rsidP="005B36AA">
            <w:pPr>
              <w:pStyle w:val="Subtitle"/>
              <w:rPr>
                <w:rFonts w:cstheme="minorHAnsi"/>
                <w:b w:val="0"/>
              </w:rPr>
            </w:pPr>
            <w:r w:rsidRPr="00D21FF5">
              <w:rPr>
                <w:rFonts w:cstheme="minorHAnsi"/>
                <w:b w:val="0"/>
              </w:rPr>
              <w:t>(3.5)</w:t>
            </w:r>
          </w:p>
        </w:tc>
      </w:tr>
      <w:tr w:rsidR="005B36AA" w14:paraId="58BEB722" w14:textId="77777777" w:rsidTr="005B36AA">
        <w:trPr>
          <w:trHeight w:val="227"/>
        </w:trPr>
        <w:tc>
          <w:tcPr>
            <w:tcW w:w="7257" w:type="dxa"/>
            <w:tcBorders>
              <w:top w:val="single" w:sz="4" w:space="0" w:color="000000"/>
              <w:bottom w:val="single" w:sz="8" w:space="0" w:color="auto"/>
            </w:tcBorders>
            <w:vAlign w:val="bottom"/>
          </w:tcPr>
          <w:p w14:paraId="7829C4C9" w14:textId="77777777" w:rsidR="005B36AA" w:rsidRDefault="005B36AA" w:rsidP="005B36AA">
            <w:pPr>
              <w:pStyle w:val="TableParagraph"/>
              <w:spacing w:line="198" w:lineRule="exact"/>
              <w:rPr>
                <w:b/>
                <w:sz w:val="18"/>
              </w:rPr>
            </w:pPr>
            <w:r>
              <w:rPr>
                <w:b/>
                <w:sz w:val="18"/>
              </w:rPr>
              <w:t>Net cash inflow from operating activities</w:t>
            </w:r>
          </w:p>
        </w:tc>
        <w:tc>
          <w:tcPr>
            <w:tcW w:w="680" w:type="dxa"/>
            <w:tcBorders>
              <w:top w:val="single" w:sz="4" w:space="0" w:color="000000"/>
              <w:bottom w:val="single" w:sz="8" w:space="0" w:color="auto"/>
            </w:tcBorders>
          </w:tcPr>
          <w:p w14:paraId="756F3F23" w14:textId="77777777" w:rsidR="005B36AA" w:rsidRPr="00123C38" w:rsidRDefault="005B36AA" w:rsidP="005B36AA">
            <w:pPr>
              <w:pStyle w:val="Subtitle"/>
              <w:rPr>
                <w:rFonts w:cstheme="minorHAnsi"/>
              </w:rPr>
            </w:pPr>
          </w:p>
        </w:tc>
        <w:tc>
          <w:tcPr>
            <w:tcW w:w="1134" w:type="dxa"/>
            <w:tcBorders>
              <w:top w:val="single" w:sz="4" w:space="0" w:color="000000"/>
              <w:bottom w:val="single" w:sz="8" w:space="0" w:color="auto"/>
            </w:tcBorders>
          </w:tcPr>
          <w:p w14:paraId="47D6261D" w14:textId="16B5C6B8" w:rsidR="005B36AA" w:rsidRPr="004F0499" w:rsidRDefault="005B36AA">
            <w:pPr>
              <w:pStyle w:val="Subtitle"/>
              <w:rPr>
                <w:rFonts w:cstheme="minorHAnsi"/>
              </w:rPr>
            </w:pPr>
            <w:r>
              <w:rPr>
                <w:rFonts w:cstheme="minorHAnsi"/>
              </w:rPr>
              <w:t>2.</w:t>
            </w:r>
            <w:r w:rsidR="00053FC3">
              <w:rPr>
                <w:rFonts w:cstheme="minorHAnsi"/>
              </w:rPr>
              <w:t>5</w:t>
            </w:r>
          </w:p>
        </w:tc>
        <w:tc>
          <w:tcPr>
            <w:tcW w:w="1134" w:type="dxa"/>
            <w:tcBorders>
              <w:top w:val="single" w:sz="4" w:space="0" w:color="000000"/>
              <w:bottom w:val="single" w:sz="8" w:space="0" w:color="auto"/>
            </w:tcBorders>
          </w:tcPr>
          <w:p w14:paraId="7D80FEDF" w14:textId="77777777" w:rsidR="005B36AA" w:rsidRPr="00D21FF5" w:rsidRDefault="005B36AA" w:rsidP="005B36AA">
            <w:pPr>
              <w:pStyle w:val="Subtitle"/>
              <w:rPr>
                <w:rFonts w:cstheme="minorHAnsi"/>
                <w:b w:val="0"/>
              </w:rPr>
            </w:pPr>
            <w:r w:rsidRPr="00D21FF5">
              <w:rPr>
                <w:rFonts w:cstheme="minorHAnsi"/>
                <w:b w:val="0"/>
              </w:rPr>
              <w:t>86.7</w:t>
            </w:r>
          </w:p>
        </w:tc>
      </w:tr>
      <w:tr w:rsidR="005B36AA" w14:paraId="5F3CBD45" w14:textId="77777777" w:rsidTr="005B36AA">
        <w:trPr>
          <w:trHeight w:val="227"/>
        </w:trPr>
        <w:tc>
          <w:tcPr>
            <w:tcW w:w="7257" w:type="dxa"/>
            <w:tcBorders>
              <w:top w:val="single" w:sz="8" w:space="0" w:color="auto"/>
            </w:tcBorders>
            <w:vAlign w:val="bottom"/>
          </w:tcPr>
          <w:p w14:paraId="27847296"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1F2CB92A" w14:textId="77777777" w:rsidR="005B36AA" w:rsidRPr="00123C38" w:rsidRDefault="005B36AA" w:rsidP="005B36AA">
            <w:pPr>
              <w:pStyle w:val="Subtitle"/>
              <w:rPr>
                <w:rFonts w:cstheme="minorHAnsi"/>
              </w:rPr>
            </w:pPr>
          </w:p>
        </w:tc>
        <w:tc>
          <w:tcPr>
            <w:tcW w:w="1134" w:type="dxa"/>
            <w:tcBorders>
              <w:top w:val="single" w:sz="8" w:space="0" w:color="auto"/>
            </w:tcBorders>
          </w:tcPr>
          <w:p w14:paraId="11C83D7A" w14:textId="77777777" w:rsidR="005B36AA" w:rsidRPr="004F0499" w:rsidRDefault="005B36AA" w:rsidP="005B36AA">
            <w:pPr>
              <w:pStyle w:val="Subtitle"/>
              <w:rPr>
                <w:rFonts w:cstheme="minorHAnsi"/>
              </w:rPr>
            </w:pPr>
          </w:p>
        </w:tc>
        <w:tc>
          <w:tcPr>
            <w:tcW w:w="1134" w:type="dxa"/>
            <w:tcBorders>
              <w:top w:val="single" w:sz="8" w:space="0" w:color="auto"/>
            </w:tcBorders>
          </w:tcPr>
          <w:p w14:paraId="49EB3428" w14:textId="77777777" w:rsidR="005B36AA" w:rsidRPr="00FA4C7A" w:rsidRDefault="005B36AA" w:rsidP="005B36AA">
            <w:pPr>
              <w:pStyle w:val="Subtitle"/>
              <w:rPr>
                <w:rFonts w:ascii="Times New Roman"/>
                <w:b w:val="0"/>
              </w:rPr>
            </w:pPr>
          </w:p>
        </w:tc>
      </w:tr>
      <w:tr w:rsidR="005B36AA" w14:paraId="2F493FD5" w14:textId="77777777" w:rsidTr="005B36AA">
        <w:trPr>
          <w:trHeight w:val="227"/>
        </w:trPr>
        <w:tc>
          <w:tcPr>
            <w:tcW w:w="7257" w:type="dxa"/>
            <w:vAlign w:val="bottom"/>
          </w:tcPr>
          <w:p w14:paraId="3835D8A2" w14:textId="77777777" w:rsidR="005B36AA" w:rsidRDefault="005B36AA" w:rsidP="005B36AA">
            <w:pPr>
              <w:pStyle w:val="TableParagraph"/>
              <w:spacing w:line="216" w:lineRule="exact"/>
              <w:rPr>
                <w:b/>
                <w:sz w:val="18"/>
              </w:rPr>
            </w:pPr>
            <w:r>
              <w:rPr>
                <w:b/>
                <w:sz w:val="18"/>
              </w:rPr>
              <w:t>Cash flow from investing activities</w:t>
            </w:r>
          </w:p>
        </w:tc>
        <w:tc>
          <w:tcPr>
            <w:tcW w:w="680" w:type="dxa"/>
          </w:tcPr>
          <w:p w14:paraId="04C48D28" w14:textId="77777777" w:rsidR="005B36AA" w:rsidRPr="00123C38" w:rsidRDefault="005B36AA" w:rsidP="005B36AA">
            <w:pPr>
              <w:pStyle w:val="Subtitle"/>
              <w:rPr>
                <w:rFonts w:cstheme="minorHAnsi"/>
              </w:rPr>
            </w:pPr>
          </w:p>
        </w:tc>
        <w:tc>
          <w:tcPr>
            <w:tcW w:w="1134" w:type="dxa"/>
          </w:tcPr>
          <w:p w14:paraId="0367E3E5" w14:textId="77777777" w:rsidR="005B36AA" w:rsidRPr="004F0499" w:rsidRDefault="005B36AA" w:rsidP="005B36AA">
            <w:pPr>
              <w:pStyle w:val="Subtitle"/>
              <w:rPr>
                <w:rFonts w:cstheme="minorHAnsi"/>
              </w:rPr>
            </w:pPr>
          </w:p>
        </w:tc>
        <w:tc>
          <w:tcPr>
            <w:tcW w:w="1134" w:type="dxa"/>
          </w:tcPr>
          <w:p w14:paraId="439E69AF" w14:textId="77777777" w:rsidR="005B36AA" w:rsidRPr="00FA4C7A" w:rsidRDefault="005B36AA" w:rsidP="005B36AA">
            <w:pPr>
              <w:pStyle w:val="Subtitle"/>
              <w:rPr>
                <w:rFonts w:ascii="Times New Roman"/>
                <w:b w:val="0"/>
              </w:rPr>
            </w:pPr>
          </w:p>
        </w:tc>
      </w:tr>
      <w:tr w:rsidR="005B36AA" w14:paraId="2B2AE6E0" w14:textId="77777777" w:rsidTr="005B36AA">
        <w:trPr>
          <w:trHeight w:val="227"/>
        </w:trPr>
        <w:tc>
          <w:tcPr>
            <w:tcW w:w="7257" w:type="dxa"/>
            <w:vAlign w:val="bottom"/>
          </w:tcPr>
          <w:p w14:paraId="28229F61" w14:textId="77777777" w:rsidR="005B36AA" w:rsidRDefault="005B36AA" w:rsidP="005B36AA">
            <w:pPr>
              <w:pStyle w:val="TableParagraph"/>
              <w:spacing w:line="200" w:lineRule="exact"/>
              <w:rPr>
                <w:sz w:val="18"/>
              </w:rPr>
            </w:pPr>
            <w:r>
              <w:rPr>
                <w:sz w:val="18"/>
              </w:rPr>
              <w:t>Dividends received from associates</w:t>
            </w:r>
          </w:p>
        </w:tc>
        <w:tc>
          <w:tcPr>
            <w:tcW w:w="680" w:type="dxa"/>
          </w:tcPr>
          <w:p w14:paraId="53490D46" w14:textId="77777777" w:rsidR="005B36AA" w:rsidRPr="00123C38" w:rsidRDefault="005B36AA" w:rsidP="005B36AA">
            <w:pPr>
              <w:pStyle w:val="Subtitle"/>
              <w:rPr>
                <w:rFonts w:cstheme="minorHAnsi"/>
                <w:b w:val="0"/>
                <w:bCs/>
              </w:rPr>
            </w:pPr>
          </w:p>
        </w:tc>
        <w:tc>
          <w:tcPr>
            <w:tcW w:w="1134" w:type="dxa"/>
          </w:tcPr>
          <w:p w14:paraId="348F29BF" w14:textId="77777777" w:rsidR="005B36AA" w:rsidRPr="004F0499" w:rsidRDefault="005B36AA" w:rsidP="005B36AA">
            <w:pPr>
              <w:pStyle w:val="Subtitle"/>
              <w:rPr>
                <w:rFonts w:cstheme="minorHAnsi"/>
              </w:rPr>
            </w:pPr>
            <w:r>
              <w:rPr>
                <w:rFonts w:cstheme="minorHAnsi"/>
              </w:rPr>
              <w:t>0.3</w:t>
            </w:r>
          </w:p>
        </w:tc>
        <w:tc>
          <w:tcPr>
            <w:tcW w:w="1134" w:type="dxa"/>
          </w:tcPr>
          <w:p w14:paraId="73414CC4" w14:textId="77777777" w:rsidR="005B36AA" w:rsidRPr="00D21FF5" w:rsidRDefault="005B36AA" w:rsidP="005B36AA">
            <w:pPr>
              <w:pStyle w:val="Subtitle"/>
              <w:rPr>
                <w:rFonts w:cstheme="minorHAnsi"/>
                <w:b w:val="0"/>
              </w:rPr>
            </w:pPr>
            <w:r w:rsidRPr="00D21FF5">
              <w:rPr>
                <w:rFonts w:cstheme="minorHAnsi"/>
                <w:b w:val="0"/>
              </w:rPr>
              <w:t>1.0</w:t>
            </w:r>
          </w:p>
        </w:tc>
      </w:tr>
      <w:tr w:rsidR="005B36AA" w14:paraId="36A44F4B" w14:textId="77777777" w:rsidTr="005B36AA">
        <w:trPr>
          <w:trHeight w:val="227"/>
        </w:trPr>
        <w:tc>
          <w:tcPr>
            <w:tcW w:w="7257" w:type="dxa"/>
            <w:vAlign w:val="bottom"/>
          </w:tcPr>
          <w:p w14:paraId="27E7F9F7" w14:textId="77777777" w:rsidR="005B36AA" w:rsidRDefault="005B36AA" w:rsidP="005B36AA">
            <w:pPr>
              <w:pStyle w:val="TableParagraph"/>
              <w:spacing w:line="200" w:lineRule="exact"/>
              <w:rPr>
                <w:sz w:val="18"/>
              </w:rPr>
            </w:pPr>
            <w:r>
              <w:rPr>
                <w:sz w:val="18"/>
              </w:rPr>
              <w:t xml:space="preserve">Purchase of property, </w:t>
            </w:r>
            <w:proofErr w:type="gramStart"/>
            <w:r>
              <w:rPr>
                <w:sz w:val="18"/>
              </w:rPr>
              <w:t>plant</w:t>
            </w:r>
            <w:proofErr w:type="gramEnd"/>
            <w:r>
              <w:rPr>
                <w:sz w:val="18"/>
              </w:rPr>
              <w:t xml:space="preserve"> and equipment</w:t>
            </w:r>
          </w:p>
        </w:tc>
        <w:tc>
          <w:tcPr>
            <w:tcW w:w="680" w:type="dxa"/>
          </w:tcPr>
          <w:p w14:paraId="096D435D" w14:textId="77777777" w:rsidR="005B36AA" w:rsidRPr="00123C38" w:rsidRDefault="005B36AA" w:rsidP="005B36AA">
            <w:pPr>
              <w:pStyle w:val="Subtitle"/>
              <w:rPr>
                <w:rFonts w:cstheme="minorHAnsi"/>
                <w:b w:val="0"/>
                <w:bCs/>
              </w:rPr>
            </w:pPr>
          </w:p>
        </w:tc>
        <w:tc>
          <w:tcPr>
            <w:tcW w:w="1134" w:type="dxa"/>
          </w:tcPr>
          <w:p w14:paraId="3FBDF6F7" w14:textId="77777777" w:rsidR="005B36AA" w:rsidRPr="004F0499" w:rsidRDefault="005B36AA" w:rsidP="005B36AA">
            <w:pPr>
              <w:pStyle w:val="Subtitle"/>
              <w:rPr>
                <w:rFonts w:cstheme="minorHAnsi"/>
              </w:rPr>
            </w:pPr>
            <w:r>
              <w:rPr>
                <w:rFonts w:cstheme="minorHAnsi"/>
              </w:rPr>
              <w:t>(29.8)</w:t>
            </w:r>
          </w:p>
        </w:tc>
        <w:tc>
          <w:tcPr>
            <w:tcW w:w="1134" w:type="dxa"/>
          </w:tcPr>
          <w:p w14:paraId="75B833B3" w14:textId="77777777" w:rsidR="005B36AA" w:rsidRPr="00D21FF5" w:rsidRDefault="005B36AA" w:rsidP="005B36AA">
            <w:pPr>
              <w:pStyle w:val="Subtitle"/>
              <w:rPr>
                <w:rFonts w:cstheme="minorHAnsi"/>
                <w:b w:val="0"/>
              </w:rPr>
            </w:pPr>
            <w:r w:rsidRPr="00D21FF5">
              <w:rPr>
                <w:rFonts w:cstheme="minorHAnsi"/>
                <w:b w:val="0"/>
              </w:rPr>
              <w:t>(39.6)</w:t>
            </w:r>
          </w:p>
        </w:tc>
      </w:tr>
      <w:tr w:rsidR="005B36AA" w14:paraId="312F80CE" w14:textId="77777777" w:rsidTr="005B36AA">
        <w:trPr>
          <w:trHeight w:val="227"/>
        </w:trPr>
        <w:tc>
          <w:tcPr>
            <w:tcW w:w="7257" w:type="dxa"/>
            <w:vAlign w:val="bottom"/>
          </w:tcPr>
          <w:p w14:paraId="5882AE10" w14:textId="77777777" w:rsidR="005B36AA" w:rsidRDefault="005B36AA" w:rsidP="005B36AA">
            <w:pPr>
              <w:pStyle w:val="TableParagraph"/>
              <w:spacing w:line="200" w:lineRule="exact"/>
              <w:rPr>
                <w:sz w:val="18"/>
              </w:rPr>
            </w:pPr>
            <w:r>
              <w:rPr>
                <w:sz w:val="18"/>
              </w:rPr>
              <w:t>Purchase of intangible assets</w:t>
            </w:r>
          </w:p>
        </w:tc>
        <w:tc>
          <w:tcPr>
            <w:tcW w:w="680" w:type="dxa"/>
          </w:tcPr>
          <w:p w14:paraId="285C7009" w14:textId="77777777" w:rsidR="005B36AA" w:rsidRPr="00123C38" w:rsidRDefault="005B36AA" w:rsidP="005B36AA">
            <w:pPr>
              <w:pStyle w:val="Subtitle"/>
              <w:rPr>
                <w:rFonts w:cstheme="minorHAnsi"/>
                <w:b w:val="0"/>
                <w:bCs/>
              </w:rPr>
            </w:pPr>
          </w:p>
        </w:tc>
        <w:tc>
          <w:tcPr>
            <w:tcW w:w="1134" w:type="dxa"/>
          </w:tcPr>
          <w:p w14:paraId="7D42C309" w14:textId="77777777" w:rsidR="005B36AA" w:rsidRPr="004F0499" w:rsidRDefault="005B36AA" w:rsidP="005B36AA">
            <w:pPr>
              <w:pStyle w:val="Subtitle"/>
              <w:rPr>
                <w:rFonts w:cstheme="minorHAnsi"/>
              </w:rPr>
            </w:pPr>
            <w:r>
              <w:rPr>
                <w:rFonts w:cstheme="minorHAnsi"/>
              </w:rPr>
              <w:t>(2.1)</w:t>
            </w:r>
          </w:p>
        </w:tc>
        <w:tc>
          <w:tcPr>
            <w:tcW w:w="1134" w:type="dxa"/>
          </w:tcPr>
          <w:p w14:paraId="05413233" w14:textId="77777777" w:rsidR="005B36AA" w:rsidRPr="00D21FF5" w:rsidRDefault="005B36AA" w:rsidP="005B36AA">
            <w:pPr>
              <w:pStyle w:val="Subtitle"/>
              <w:rPr>
                <w:rFonts w:cstheme="minorHAnsi"/>
                <w:b w:val="0"/>
              </w:rPr>
            </w:pPr>
            <w:r w:rsidRPr="00D21FF5">
              <w:rPr>
                <w:rFonts w:cstheme="minorHAnsi"/>
                <w:b w:val="0"/>
              </w:rPr>
              <w:t>(4.6)</w:t>
            </w:r>
          </w:p>
        </w:tc>
      </w:tr>
      <w:tr w:rsidR="005B36AA" w14:paraId="6119DD6D" w14:textId="77777777" w:rsidTr="005B36AA">
        <w:trPr>
          <w:trHeight w:val="227"/>
        </w:trPr>
        <w:tc>
          <w:tcPr>
            <w:tcW w:w="7257" w:type="dxa"/>
            <w:vAlign w:val="bottom"/>
          </w:tcPr>
          <w:p w14:paraId="066D341C" w14:textId="77777777" w:rsidR="005B36AA" w:rsidRDefault="005B36AA" w:rsidP="005B36AA">
            <w:pPr>
              <w:pStyle w:val="TableParagraph"/>
              <w:spacing w:line="200" w:lineRule="exact"/>
              <w:rPr>
                <w:sz w:val="18"/>
              </w:rPr>
            </w:pPr>
            <w:r>
              <w:rPr>
                <w:sz w:val="18"/>
              </w:rPr>
              <w:lastRenderedPageBreak/>
              <w:t>Acquisition of undertakings</w:t>
            </w:r>
          </w:p>
        </w:tc>
        <w:tc>
          <w:tcPr>
            <w:tcW w:w="680" w:type="dxa"/>
          </w:tcPr>
          <w:p w14:paraId="2674BE69" w14:textId="77777777" w:rsidR="005B36AA" w:rsidRPr="00123C38" w:rsidRDefault="005B36AA" w:rsidP="005B36AA">
            <w:pPr>
              <w:pStyle w:val="Subtitle"/>
              <w:rPr>
                <w:rFonts w:cstheme="minorHAnsi"/>
                <w:b w:val="0"/>
                <w:bCs/>
              </w:rPr>
            </w:pPr>
            <w:r w:rsidRPr="00123C38">
              <w:rPr>
                <w:rFonts w:cstheme="minorHAnsi"/>
                <w:b w:val="0"/>
                <w:bCs/>
              </w:rPr>
              <w:t>11</w:t>
            </w:r>
          </w:p>
        </w:tc>
        <w:tc>
          <w:tcPr>
            <w:tcW w:w="1134" w:type="dxa"/>
          </w:tcPr>
          <w:p w14:paraId="67B98A60" w14:textId="77777777" w:rsidR="005B36AA" w:rsidRPr="004F0499" w:rsidRDefault="005B36AA" w:rsidP="005B36AA">
            <w:pPr>
              <w:pStyle w:val="Subtitle"/>
              <w:rPr>
                <w:rFonts w:cstheme="minorHAnsi"/>
              </w:rPr>
            </w:pPr>
            <w:r w:rsidRPr="0023663C">
              <w:t>–</w:t>
            </w:r>
          </w:p>
        </w:tc>
        <w:tc>
          <w:tcPr>
            <w:tcW w:w="1134" w:type="dxa"/>
          </w:tcPr>
          <w:p w14:paraId="53FE629C" w14:textId="77777777" w:rsidR="005B36AA" w:rsidRPr="00D21FF5" w:rsidRDefault="005B36AA" w:rsidP="005B36AA">
            <w:pPr>
              <w:pStyle w:val="Subtitle"/>
              <w:rPr>
                <w:rFonts w:cstheme="minorHAnsi"/>
                <w:b w:val="0"/>
              </w:rPr>
            </w:pPr>
            <w:r w:rsidRPr="00D21FF5">
              <w:rPr>
                <w:rFonts w:cstheme="minorHAnsi"/>
                <w:b w:val="0"/>
              </w:rPr>
              <w:t>(56.2)</w:t>
            </w:r>
          </w:p>
        </w:tc>
      </w:tr>
      <w:tr w:rsidR="005B36AA" w14:paraId="15E90027" w14:textId="77777777" w:rsidTr="005B36AA">
        <w:trPr>
          <w:trHeight w:val="227"/>
        </w:trPr>
        <w:tc>
          <w:tcPr>
            <w:tcW w:w="7257" w:type="dxa"/>
            <w:vAlign w:val="bottom"/>
          </w:tcPr>
          <w:p w14:paraId="385087DF" w14:textId="77777777" w:rsidR="005B36AA" w:rsidRDefault="005B36AA" w:rsidP="005B36AA">
            <w:pPr>
              <w:pStyle w:val="TableParagraph"/>
              <w:spacing w:line="182" w:lineRule="exact"/>
              <w:rPr>
                <w:sz w:val="18"/>
              </w:rPr>
            </w:pPr>
            <w:r>
              <w:rPr>
                <w:sz w:val="18"/>
              </w:rPr>
              <w:t>Disposal of undertakings</w:t>
            </w:r>
          </w:p>
        </w:tc>
        <w:tc>
          <w:tcPr>
            <w:tcW w:w="680" w:type="dxa"/>
          </w:tcPr>
          <w:p w14:paraId="047957B9" w14:textId="77777777" w:rsidR="005B36AA" w:rsidRPr="00123C38" w:rsidRDefault="005B36AA" w:rsidP="005B36AA">
            <w:pPr>
              <w:pStyle w:val="Subtitle"/>
              <w:rPr>
                <w:rFonts w:cstheme="minorHAnsi"/>
                <w:b w:val="0"/>
                <w:bCs/>
              </w:rPr>
            </w:pPr>
          </w:p>
        </w:tc>
        <w:tc>
          <w:tcPr>
            <w:tcW w:w="1134" w:type="dxa"/>
          </w:tcPr>
          <w:p w14:paraId="3E27024A" w14:textId="77777777" w:rsidR="005B36AA" w:rsidRPr="004F0499" w:rsidRDefault="005B36AA" w:rsidP="005B36AA">
            <w:pPr>
              <w:pStyle w:val="Subtitle"/>
              <w:rPr>
                <w:rFonts w:cstheme="minorHAnsi"/>
              </w:rPr>
            </w:pPr>
            <w:r w:rsidRPr="0023663C">
              <w:t>–</w:t>
            </w:r>
          </w:p>
        </w:tc>
        <w:tc>
          <w:tcPr>
            <w:tcW w:w="1134" w:type="dxa"/>
          </w:tcPr>
          <w:p w14:paraId="798F9F8E" w14:textId="77777777" w:rsidR="005B36AA" w:rsidRPr="00D21FF5" w:rsidRDefault="005B36AA" w:rsidP="005B36AA">
            <w:pPr>
              <w:pStyle w:val="Subtitle"/>
              <w:rPr>
                <w:rFonts w:cstheme="minorHAnsi"/>
                <w:b w:val="0"/>
              </w:rPr>
            </w:pPr>
            <w:r w:rsidRPr="00D21FF5">
              <w:rPr>
                <w:rFonts w:cstheme="minorHAnsi"/>
                <w:b w:val="0"/>
              </w:rPr>
              <w:t>811.9</w:t>
            </w:r>
          </w:p>
        </w:tc>
      </w:tr>
      <w:tr w:rsidR="005B36AA" w14:paraId="473B04AB" w14:textId="77777777" w:rsidTr="005B36AA">
        <w:trPr>
          <w:trHeight w:val="227"/>
        </w:trPr>
        <w:tc>
          <w:tcPr>
            <w:tcW w:w="7257" w:type="dxa"/>
            <w:tcBorders>
              <w:bottom w:val="single" w:sz="4" w:space="0" w:color="000000"/>
            </w:tcBorders>
            <w:vAlign w:val="bottom"/>
          </w:tcPr>
          <w:p w14:paraId="26B78B7F" w14:textId="77777777" w:rsidR="005B36AA" w:rsidRDefault="005B36AA" w:rsidP="005B36AA">
            <w:pPr>
              <w:pStyle w:val="TableParagraph"/>
              <w:spacing w:line="182" w:lineRule="exact"/>
              <w:rPr>
                <w:sz w:val="18"/>
              </w:rPr>
            </w:pPr>
            <w:r>
              <w:rPr>
                <w:sz w:val="18"/>
              </w:rPr>
              <w:t>Disposal of investment property</w:t>
            </w:r>
          </w:p>
        </w:tc>
        <w:tc>
          <w:tcPr>
            <w:tcW w:w="680" w:type="dxa"/>
            <w:tcBorders>
              <w:bottom w:val="single" w:sz="4" w:space="0" w:color="000000"/>
            </w:tcBorders>
          </w:tcPr>
          <w:p w14:paraId="6A6F4ADF"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A982EA5"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4B423D6B" w14:textId="77777777" w:rsidR="005B36AA" w:rsidRPr="00D21FF5" w:rsidRDefault="005B36AA" w:rsidP="005B36AA">
            <w:pPr>
              <w:pStyle w:val="Subtitle"/>
              <w:rPr>
                <w:rFonts w:cstheme="minorHAnsi"/>
                <w:b w:val="0"/>
              </w:rPr>
            </w:pPr>
            <w:r w:rsidRPr="00D21FF5">
              <w:rPr>
                <w:rFonts w:cstheme="minorHAnsi"/>
                <w:b w:val="0"/>
              </w:rPr>
              <w:t>0.5</w:t>
            </w:r>
          </w:p>
        </w:tc>
      </w:tr>
      <w:tr w:rsidR="005B36AA" w14:paraId="41C6E34B" w14:textId="77777777" w:rsidTr="005B36AA">
        <w:trPr>
          <w:trHeight w:val="227"/>
        </w:trPr>
        <w:tc>
          <w:tcPr>
            <w:tcW w:w="7257" w:type="dxa"/>
            <w:tcBorders>
              <w:top w:val="single" w:sz="4" w:space="0" w:color="000000"/>
              <w:bottom w:val="single" w:sz="8" w:space="0" w:color="auto"/>
            </w:tcBorders>
            <w:vAlign w:val="bottom"/>
          </w:tcPr>
          <w:p w14:paraId="3E2EE2F2" w14:textId="77777777" w:rsidR="005B36AA" w:rsidRDefault="005B36AA" w:rsidP="005B36AA">
            <w:pPr>
              <w:pStyle w:val="TableParagraph"/>
              <w:spacing w:before="1" w:line="199" w:lineRule="exact"/>
              <w:rPr>
                <w:b/>
                <w:sz w:val="18"/>
              </w:rPr>
            </w:pPr>
            <w:r>
              <w:rPr>
                <w:b/>
                <w:sz w:val="18"/>
              </w:rPr>
              <w:t>Net cash (outflow)/inflow from investing activities</w:t>
            </w:r>
          </w:p>
        </w:tc>
        <w:tc>
          <w:tcPr>
            <w:tcW w:w="680" w:type="dxa"/>
            <w:tcBorders>
              <w:top w:val="single" w:sz="4" w:space="0" w:color="000000"/>
              <w:bottom w:val="single" w:sz="8" w:space="0" w:color="auto"/>
            </w:tcBorders>
          </w:tcPr>
          <w:p w14:paraId="27C53B0D" w14:textId="77777777" w:rsidR="005B36AA" w:rsidRPr="00123C38" w:rsidRDefault="005B36AA" w:rsidP="005B36AA">
            <w:pPr>
              <w:pStyle w:val="Subtitle"/>
              <w:rPr>
                <w:rFonts w:cstheme="minorHAnsi"/>
              </w:rPr>
            </w:pPr>
          </w:p>
        </w:tc>
        <w:tc>
          <w:tcPr>
            <w:tcW w:w="1134" w:type="dxa"/>
            <w:tcBorders>
              <w:top w:val="single" w:sz="4" w:space="0" w:color="000000"/>
              <w:bottom w:val="single" w:sz="8" w:space="0" w:color="auto"/>
            </w:tcBorders>
          </w:tcPr>
          <w:p w14:paraId="54773318" w14:textId="77777777" w:rsidR="005B36AA" w:rsidRPr="004F0499" w:rsidRDefault="005B36AA" w:rsidP="005B36AA">
            <w:pPr>
              <w:pStyle w:val="Subtitle"/>
              <w:rPr>
                <w:rFonts w:cstheme="minorHAnsi"/>
              </w:rPr>
            </w:pPr>
            <w:r>
              <w:rPr>
                <w:rFonts w:cstheme="minorHAnsi"/>
              </w:rPr>
              <w:t>(31.6)</w:t>
            </w:r>
          </w:p>
        </w:tc>
        <w:tc>
          <w:tcPr>
            <w:tcW w:w="1134" w:type="dxa"/>
            <w:tcBorders>
              <w:top w:val="single" w:sz="4" w:space="0" w:color="000000"/>
              <w:bottom w:val="single" w:sz="8" w:space="0" w:color="auto"/>
            </w:tcBorders>
          </w:tcPr>
          <w:p w14:paraId="7BF00398" w14:textId="77777777" w:rsidR="005B36AA" w:rsidRPr="00D21FF5" w:rsidRDefault="005B36AA" w:rsidP="005B36AA">
            <w:pPr>
              <w:pStyle w:val="Subtitle"/>
              <w:rPr>
                <w:rFonts w:cstheme="minorHAnsi"/>
                <w:b w:val="0"/>
              </w:rPr>
            </w:pPr>
            <w:r w:rsidRPr="00D21FF5">
              <w:rPr>
                <w:rFonts w:cstheme="minorHAnsi"/>
                <w:b w:val="0"/>
              </w:rPr>
              <w:t>713.0</w:t>
            </w:r>
          </w:p>
        </w:tc>
      </w:tr>
      <w:tr w:rsidR="005B36AA" w14:paraId="492E2BE8" w14:textId="77777777" w:rsidTr="005B36AA">
        <w:trPr>
          <w:trHeight w:val="227"/>
        </w:trPr>
        <w:tc>
          <w:tcPr>
            <w:tcW w:w="7257" w:type="dxa"/>
            <w:tcBorders>
              <w:top w:val="single" w:sz="8" w:space="0" w:color="auto"/>
            </w:tcBorders>
            <w:vAlign w:val="bottom"/>
          </w:tcPr>
          <w:p w14:paraId="060A7E81" w14:textId="77777777" w:rsidR="005B36AA" w:rsidRDefault="005B36AA" w:rsidP="005B36AA">
            <w:pPr>
              <w:pStyle w:val="TableParagraph"/>
              <w:spacing w:line="217" w:lineRule="exact"/>
              <w:rPr>
                <w:b/>
                <w:sz w:val="18"/>
              </w:rPr>
            </w:pPr>
          </w:p>
        </w:tc>
        <w:tc>
          <w:tcPr>
            <w:tcW w:w="680" w:type="dxa"/>
            <w:tcBorders>
              <w:top w:val="single" w:sz="8" w:space="0" w:color="auto"/>
            </w:tcBorders>
          </w:tcPr>
          <w:p w14:paraId="5BA3CE90" w14:textId="77777777" w:rsidR="005B36AA" w:rsidRPr="00123C38" w:rsidRDefault="005B36AA" w:rsidP="005B36AA">
            <w:pPr>
              <w:pStyle w:val="Subtitle"/>
              <w:rPr>
                <w:rFonts w:cstheme="minorHAnsi"/>
              </w:rPr>
            </w:pPr>
          </w:p>
        </w:tc>
        <w:tc>
          <w:tcPr>
            <w:tcW w:w="1134" w:type="dxa"/>
            <w:tcBorders>
              <w:top w:val="single" w:sz="8" w:space="0" w:color="auto"/>
            </w:tcBorders>
          </w:tcPr>
          <w:p w14:paraId="363850E4" w14:textId="77777777" w:rsidR="005B36AA" w:rsidRPr="004F0499" w:rsidRDefault="005B36AA" w:rsidP="005B36AA">
            <w:pPr>
              <w:pStyle w:val="Subtitle"/>
              <w:rPr>
                <w:rFonts w:cstheme="minorHAnsi"/>
              </w:rPr>
            </w:pPr>
          </w:p>
        </w:tc>
        <w:tc>
          <w:tcPr>
            <w:tcW w:w="1134" w:type="dxa"/>
            <w:tcBorders>
              <w:top w:val="single" w:sz="8" w:space="0" w:color="auto"/>
            </w:tcBorders>
          </w:tcPr>
          <w:p w14:paraId="298407DB" w14:textId="77777777" w:rsidR="005B36AA" w:rsidRPr="00D21FF5" w:rsidRDefault="005B36AA" w:rsidP="005B36AA">
            <w:pPr>
              <w:pStyle w:val="Subtitle"/>
              <w:rPr>
                <w:rFonts w:cstheme="minorHAnsi"/>
                <w:b w:val="0"/>
              </w:rPr>
            </w:pPr>
          </w:p>
        </w:tc>
      </w:tr>
      <w:tr w:rsidR="005B36AA" w14:paraId="547EA288" w14:textId="77777777" w:rsidTr="005B36AA">
        <w:trPr>
          <w:trHeight w:val="227"/>
        </w:trPr>
        <w:tc>
          <w:tcPr>
            <w:tcW w:w="7257" w:type="dxa"/>
            <w:vAlign w:val="bottom"/>
          </w:tcPr>
          <w:p w14:paraId="0B574AD6" w14:textId="77777777" w:rsidR="005B36AA" w:rsidRDefault="005B36AA" w:rsidP="005B36AA">
            <w:pPr>
              <w:pStyle w:val="TableParagraph"/>
              <w:spacing w:line="217" w:lineRule="exact"/>
              <w:rPr>
                <w:b/>
                <w:sz w:val="18"/>
              </w:rPr>
            </w:pPr>
            <w:r>
              <w:rPr>
                <w:b/>
                <w:sz w:val="18"/>
              </w:rPr>
              <w:t>Cash flow from financing activities</w:t>
            </w:r>
          </w:p>
        </w:tc>
        <w:tc>
          <w:tcPr>
            <w:tcW w:w="680" w:type="dxa"/>
          </w:tcPr>
          <w:p w14:paraId="2EDEA845" w14:textId="77777777" w:rsidR="005B36AA" w:rsidRPr="00123C38" w:rsidRDefault="005B36AA" w:rsidP="005B36AA">
            <w:pPr>
              <w:pStyle w:val="Subtitle"/>
              <w:rPr>
                <w:rFonts w:cstheme="minorHAnsi"/>
              </w:rPr>
            </w:pPr>
          </w:p>
        </w:tc>
        <w:tc>
          <w:tcPr>
            <w:tcW w:w="1134" w:type="dxa"/>
          </w:tcPr>
          <w:p w14:paraId="2EEA1F35" w14:textId="77777777" w:rsidR="005B36AA" w:rsidRPr="004F0499" w:rsidRDefault="005B36AA" w:rsidP="005B36AA">
            <w:pPr>
              <w:pStyle w:val="Subtitle"/>
              <w:rPr>
                <w:rFonts w:cstheme="minorHAnsi"/>
              </w:rPr>
            </w:pPr>
          </w:p>
        </w:tc>
        <w:tc>
          <w:tcPr>
            <w:tcW w:w="1134" w:type="dxa"/>
          </w:tcPr>
          <w:p w14:paraId="66BBFA4F" w14:textId="77777777" w:rsidR="005B36AA" w:rsidRPr="00D21FF5" w:rsidRDefault="005B36AA" w:rsidP="005B36AA">
            <w:pPr>
              <w:pStyle w:val="Subtitle"/>
              <w:rPr>
                <w:rFonts w:cstheme="minorHAnsi"/>
                <w:b w:val="0"/>
              </w:rPr>
            </w:pPr>
          </w:p>
        </w:tc>
      </w:tr>
      <w:tr w:rsidR="005B36AA" w14:paraId="04B5BFD1" w14:textId="77777777" w:rsidTr="005B36AA">
        <w:trPr>
          <w:trHeight w:val="227"/>
        </w:trPr>
        <w:tc>
          <w:tcPr>
            <w:tcW w:w="7257" w:type="dxa"/>
            <w:vAlign w:val="bottom"/>
          </w:tcPr>
          <w:p w14:paraId="192E2296" w14:textId="77777777" w:rsidR="005B36AA" w:rsidRDefault="005B36AA" w:rsidP="005B36AA">
            <w:pPr>
              <w:pStyle w:val="TableParagraph"/>
              <w:spacing w:line="200" w:lineRule="exact"/>
              <w:rPr>
                <w:sz w:val="18"/>
              </w:rPr>
            </w:pPr>
            <w:r>
              <w:rPr>
                <w:sz w:val="18"/>
              </w:rPr>
              <w:t>Proceeds from issue of shares</w:t>
            </w:r>
          </w:p>
        </w:tc>
        <w:tc>
          <w:tcPr>
            <w:tcW w:w="680" w:type="dxa"/>
          </w:tcPr>
          <w:p w14:paraId="19F18C8B" w14:textId="77777777" w:rsidR="005B36AA" w:rsidRPr="00123C38" w:rsidRDefault="005B36AA" w:rsidP="005B36AA">
            <w:pPr>
              <w:pStyle w:val="Subtitle"/>
              <w:rPr>
                <w:rFonts w:cstheme="minorHAnsi"/>
              </w:rPr>
            </w:pPr>
          </w:p>
        </w:tc>
        <w:tc>
          <w:tcPr>
            <w:tcW w:w="1134" w:type="dxa"/>
          </w:tcPr>
          <w:p w14:paraId="62A95EE0" w14:textId="77777777" w:rsidR="005B36AA" w:rsidRPr="004F0499" w:rsidRDefault="005B36AA" w:rsidP="005B36AA">
            <w:pPr>
              <w:pStyle w:val="Subtitle"/>
              <w:rPr>
                <w:rFonts w:cstheme="minorHAnsi"/>
              </w:rPr>
            </w:pPr>
            <w:r>
              <w:rPr>
                <w:rFonts w:cstheme="minorHAnsi"/>
              </w:rPr>
              <w:t>0.3</w:t>
            </w:r>
          </w:p>
        </w:tc>
        <w:tc>
          <w:tcPr>
            <w:tcW w:w="1134" w:type="dxa"/>
          </w:tcPr>
          <w:p w14:paraId="16A9A1ED" w14:textId="77777777" w:rsidR="005B36AA" w:rsidRPr="00D21FF5" w:rsidRDefault="005B36AA" w:rsidP="005B36AA">
            <w:pPr>
              <w:pStyle w:val="Subtitle"/>
              <w:rPr>
                <w:rFonts w:cstheme="minorHAnsi"/>
                <w:b w:val="0"/>
              </w:rPr>
            </w:pPr>
            <w:r w:rsidRPr="00D21FF5">
              <w:rPr>
                <w:rFonts w:cstheme="minorHAnsi"/>
                <w:b w:val="0"/>
              </w:rPr>
              <w:t>0.1</w:t>
            </w:r>
          </w:p>
        </w:tc>
      </w:tr>
      <w:tr w:rsidR="005B36AA" w14:paraId="25054910" w14:textId="77777777" w:rsidTr="005B36AA">
        <w:trPr>
          <w:trHeight w:val="227"/>
        </w:trPr>
        <w:tc>
          <w:tcPr>
            <w:tcW w:w="7257" w:type="dxa"/>
            <w:vAlign w:val="bottom"/>
          </w:tcPr>
          <w:p w14:paraId="4B8C69AD" w14:textId="77777777" w:rsidR="005B36AA" w:rsidRDefault="005B36AA" w:rsidP="005B36AA">
            <w:pPr>
              <w:pStyle w:val="TableParagraph"/>
              <w:spacing w:line="200" w:lineRule="exact"/>
              <w:rPr>
                <w:sz w:val="18"/>
              </w:rPr>
            </w:pPr>
            <w:r>
              <w:rPr>
                <w:sz w:val="18"/>
              </w:rPr>
              <w:t>Ordinary shares purchased - own shares</w:t>
            </w:r>
          </w:p>
        </w:tc>
        <w:tc>
          <w:tcPr>
            <w:tcW w:w="680" w:type="dxa"/>
          </w:tcPr>
          <w:p w14:paraId="64BEE6E4" w14:textId="77777777" w:rsidR="005B36AA" w:rsidRPr="00123C38" w:rsidRDefault="005B36AA" w:rsidP="005B36AA">
            <w:pPr>
              <w:pStyle w:val="Subtitle"/>
              <w:rPr>
                <w:rFonts w:cstheme="minorHAnsi"/>
              </w:rPr>
            </w:pPr>
          </w:p>
        </w:tc>
        <w:tc>
          <w:tcPr>
            <w:tcW w:w="1134" w:type="dxa"/>
          </w:tcPr>
          <w:p w14:paraId="0AAC98E4" w14:textId="77777777" w:rsidR="005B36AA" w:rsidRPr="004F0499" w:rsidRDefault="005B36AA" w:rsidP="005B36AA">
            <w:pPr>
              <w:pStyle w:val="Subtitle"/>
              <w:rPr>
                <w:rFonts w:cstheme="minorHAnsi"/>
              </w:rPr>
            </w:pPr>
            <w:r w:rsidRPr="0023663C">
              <w:t>–</w:t>
            </w:r>
          </w:p>
        </w:tc>
        <w:tc>
          <w:tcPr>
            <w:tcW w:w="1134" w:type="dxa"/>
          </w:tcPr>
          <w:p w14:paraId="1A721110" w14:textId="77777777" w:rsidR="005B36AA" w:rsidRPr="00D21FF5" w:rsidRDefault="005B36AA" w:rsidP="005B36AA">
            <w:pPr>
              <w:pStyle w:val="Subtitle"/>
              <w:rPr>
                <w:rFonts w:cstheme="minorHAnsi"/>
                <w:b w:val="0"/>
              </w:rPr>
            </w:pPr>
            <w:r w:rsidRPr="00D21FF5">
              <w:rPr>
                <w:rFonts w:cstheme="minorHAnsi"/>
                <w:b w:val="0"/>
              </w:rPr>
              <w:t>(0.6)</w:t>
            </w:r>
          </w:p>
        </w:tc>
      </w:tr>
      <w:tr w:rsidR="005B36AA" w14:paraId="09F00B0E" w14:textId="77777777" w:rsidTr="005B36AA">
        <w:trPr>
          <w:trHeight w:val="227"/>
        </w:trPr>
        <w:tc>
          <w:tcPr>
            <w:tcW w:w="7257" w:type="dxa"/>
            <w:vAlign w:val="bottom"/>
          </w:tcPr>
          <w:p w14:paraId="56D0B1C5" w14:textId="77777777" w:rsidR="005B36AA" w:rsidRDefault="005B36AA" w:rsidP="005B36AA">
            <w:pPr>
              <w:pStyle w:val="TableParagraph"/>
              <w:spacing w:line="200" w:lineRule="exact"/>
              <w:rPr>
                <w:sz w:val="18"/>
              </w:rPr>
            </w:pPr>
            <w:r>
              <w:rPr>
                <w:sz w:val="18"/>
              </w:rPr>
              <w:t>Drawdown of bank borrowings</w:t>
            </w:r>
          </w:p>
        </w:tc>
        <w:tc>
          <w:tcPr>
            <w:tcW w:w="680" w:type="dxa"/>
            <w:shd w:val="clear" w:color="auto" w:fill="auto"/>
          </w:tcPr>
          <w:p w14:paraId="1F40ACEF" w14:textId="77777777" w:rsidR="005B36AA" w:rsidRPr="00123C38" w:rsidRDefault="005B36AA" w:rsidP="005B36AA">
            <w:pPr>
              <w:pStyle w:val="Subtitle"/>
              <w:rPr>
                <w:rFonts w:cstheme="minorHAnsi"/>
                <w:b w:val="0"/>
                <w:bCs/>
              </w:rPr>
            </w:pPr>
          </w:p>
        </w:tc>
        <w:tc>
          <w:tcPr>
            <w:tcW w:w="1134" w:type="dxa"/>
          </w:tcPr>
          <w:p w14:paraId="0F37028D" w14:textId="56953ECF" w:rsidR="005B36AA" w:rsidRPr="004F0499" w:rsidRDefault="005B36AA">
            <w:pPr>
              <w:pStyle w:val="Subtitle"/>
              <w:rPr>
                <w:rFonts w:cstheme="minorHAnsi"/>
              </w:rPr>
            </w:pPr>
            <w:r>
              <w:rPr>
                <w:rFonts w:cstheme="minorHAnsi"/>
              </w:rPr>
              <w:t>6</w:t>
            </w:r>
            <w:r w:rsidR="00053FC3">
              <w:rPr>
                <w:rFonts w:cstheme="minorHAnsi"/>
              </w:rPr>
              <w:t>4.6</w:t>
            </w:r>
          </w:p>
        </w:tc>
        <w:tc>
          <w:tcPr>
            <w:tcW w:w="1134" w:type="dxa"/>
          </w:tcPr>
          <w:p w14:paraId="4C6997C4" w14:textId="77777777" w:rsidR="005B36AA" w:rsidRPr="00D21FF5" w:rsidRDefault="005B36AA" w:rsidP="005B36AA">
            <w:pPr>
              <w:pStyle w:val="Subtitle"/>
              <w:rPr>
                <w:rFonts w:cstheme="minorHAnsi"/>
                <w:b w:val="0"/>
              </w:rPr>
            </w:pPr>
            <w:r w:rsidRPr="00D21FF5">
              <w:rPr>
                <w:rFonts w:cstheme="minorHAnsi"/>
                <w:b w:val="0"/>
              </w:rPr>
              <w:t>67.0</w:t>
            </w:r>
          </w:p>
        </w:tc>
      </w:tr>
      <w:tr w:rsidR="005B36AA" w14:paraId="59E13A6A" w14:textId="77777777" w:rsidTr="005B36AA">
        <w:trPr>
          <w:trHeight w:val="227"/>
        </w:trPr>
        <w:tc>
          <w:tcPr>
            <w:tcW w:w="7257" w:type="dxa"/>
            <w:vAlign w:val="bottom"/>
          </w:tcPr>
          <w:p w14:paraId="58E4CB30" w14:textId="77777777" w:rsidR="005B36AA" w:rsidRDefault="005B36AA" w:rsidP="005B36AA">
            <w:pPr>
              <w:pStyle w:val="TableParagraph"/>
              <w:spacing w:line="200" w:lineRule="exact"/>
              <w:rPr>
                <w:sz w:val="18"/>
              </w:rPr>
            </w:pPr>
            <w:r>
              <w:rPr>
                <w:sz w:val="18"/>
              </w:rPr>
              <w:t>Repayment of bank borrowings</w:t>
            </w:r>
          </w:p>
        </w:tc>
        <w:tc>
          <w:tcPr>
            <w:tcW w:w="680" w:type="dxa"/>
          </w:tcPr>
          <w:p w14:paraId="5C53C5A1" w14:textId="77777777" w:rsidR="005B36AA" w:rsidRPr="00635D3B" w:rsidRDefault="005B36AA" w:rsidP="005B36AA">
            <w:pPr>
              <w:pStyle w:val="Subtitle"/>
              <w:rPr>
                <w:rFonts w:cstheme="minorHAnsi"/>
                <w:b w:val="0"/>
                <w:bCs/>
                <w:highlight w:val="yellow"/>
              </w:rPr>
            </w:pPr>
          </w:p>
        </w:tc>
        <w:tc>
          <w:tcPr>
            <w:tcW w:w="1134" w:type="dxa"/>
          </w:tcPr>
          <w:p w14:paraId="14D19F7C" w14:textId="77777777" w:rsidR="005B36AA" w:rsidRPr="004F0499" w:rsidRDefault="005B36AA" w:rsidP="005B36AA">
            <w:pPr>
              <w:pStyle w:val="Subtitle"/>
              <w:rPr>
                <w:rFonts w:cstheme="minorHAnsi"/>
              </w:rPr>
            </w:pPr>
            <w:r w:rsidRPr="0023663C">
              <w:t>–</w:t>
            </w:r>
          </w:p>
        </w:tc>
        <w:tc>
          <w:tcPr>
            <w:tcW w:w="1134" w:type="dxa"/>
          </w:tcPr>
          <w:p w14:paraId="48E02466" w14:textId="77777777" w:rsidR="005B36AA" w:rsidRPr="00D21FF5" w:rsidRDefault="005B36AA" w:rsidP="005B36AA">
            <w:pPr>
              <w:pStyle w:val="Subtitle"/>
              <w:rPr>
                <w:rFonts w:cstheme="minorHAnsi"/>
                <w:b w:val="0"/>
              </w:rPr>
            </w:pPr>
            <w:r w:rsidRPr="00D21FF5">
              <w:rPr>
                <w:rFonts w:cstheme="minorHAnsi"/>
                <w:b w:val="0"/>
              </w:rPr>
              <w:t>(210.0)</w:t>
            </w:r>
          </w:p>
        </w:tc>
      </w:tr>
      <w:tr w:rsidR="005B36AA" w14:paraId="36983B9D" w14:textId="77777777" w:rsidTr="005B36AA">
        <w:trPr>
          <w:trHeight w:val="227"/>
        </w:trPr>
        <w:tc>
          <w:tcPr>
            <w:tcW w:w="7257" w:type="dxa"/>
            <w:vAlign w:val="bottom"/>
          </w:tcPr>
          <w:p w14:paraId="308ADAC9" w14:textId="77777777" w:rsidR="005B36AA" w:rsidRDefault="005B36AA" w:rsidP="005B36AA">
            <w:pPr>
              <w:pStyle w:val="TableParagraph"/>
              <w:spacing w:line="200" w:lineRule="exact"/>
              <w:rPr>
                <w:sz w:val="18"/>
              </w:rPr>
            </w:pPr>
            <w:r>
              <w:rPr>
                <w:sz w:val="18"/>
              </w:rPr>
              <w:t>Repayment of non-bank borrowings</w:t>
            </w:r>
          </w:p>
        </w:tc>
        <w:tc>
          <w:tcPr>
            <w:tcW w:w="680" w:type="dxa"/>
          </w:tcPr>
          <w:p w14:paraId="59F82889" w14:textId="77777777" w:rsidR="005B36AA" w:rsidRPr="00123C38" w:rsidRDefault="005B36AA" w:rsidP="005B36AA">
            <w:pPr>
              <w:pStyle w:val="Subtitle"/>
              <w:rPr>
                <w:rFonts w:cstheme="minorHAnsi"/>
                <w:b w:val="0"/>
                <w:bCs/>
              </w:rPr>
            </w:pPr>
          </w:p>
        </w:tc>
        <w:tc>
          <w:tcPr>
            <w:tcW w:w="1134" w:type="dxa"/>
          </w:tcPr>
          <w:p w14:paraId="2037EF9B" w14:textId="77777777" w:rsidR="005B36AA" w:rsidRPr="004F0499" w:rsidRDefault="005B36AA" w:rsidP="005B36AA">
            <w:pPr>
              <w:pStyle w:val="Subtitle"/>
              <w:rPr>
                <w:rFonts w:cstheme="minorHAnsi"/>
              </w:rPr>
            </w:pPr>
            <w:r w:rsidRPr="0023663C">
              <w:t>–</w:t>
            </w:r>
          </w:p>
        </w:tc>
        <w:tc>
          <w:tcPr>
            <w:tcW w:w="1134" w:type="dxa"/>
          </w:tcPr>
          <w:p w14:paraId="1CEFCD00" w14:textId="77777777" w:rsidR="005B36AA" w:rsidRPr="00D21FF5" w:rsidRDefault="005B36AA" w:rsidP="005B36AA">
            <w:pPr>
              <w:pStyle w:val="Subtitle"/>
              <w:rPr>
                <w:rFonts w:cstheme="minorHAnsi"/>
                <w:b w:val="0"/>
              </w:rPr>
            </w:pPr>
            <w:r w:rsidRPr="00D21FF5">
              <w:rPr>
                <w:rFonts w:cstheme="minorHAnsi"/>
                <w:b w:val="0"/>
              </w:rPr>
              <w:t>(63.1)</w:t>
            </w:r>
          </w:p>
        </w:tc>
      </w:tr>
      <w:tr w:rsidR="005B36AA" w14:paraId="7E83850C" w14:textId="77777777" w:rsidTr="005B36AA">
        <w:trPr>
          <w:trHeight w:val="227"/>
        </w:trPr>
        <w:tc>
          <w:tcPr>
            <w:tcW w:w="7257" w:type="dxa"/>
            <w:vAlign w:val="bottom"/>
          </w:tcPr>
          <w:p w14:paraId="0933BBDF" w14:textId="77777777" w:rsidR="005B36AA" w:rsidRDefault="005B36AA" w:rsidP="005B36AA">
            <w:pPr>
              <w:pStyle w:val="TableParagraph"/>
              <w:spacing w:line="200" w:lineRule="exact"/>
              <w:rPr>
                <w:sz w:val="18"/>
              </w:rPr>
            </w:pPr>
            <w:r>
              <w:rPr>
                <w:sz w:val="18"/>
              </w:rPr>
              <w:t xml:space="preserve">Repayment of private placement notes </w:t>
            </w:r>
          </w:p>
        </w:tc>
        <w:tc>
          <w:tcPr>
            <w:tcW w:w="680" w:type="dxa"/>
          </w:tcPr>
          <w:p w14:paraId="20BB1894" w14:textId="77777777" w:rsidR="005B36AA" w:rsidRPr="00123C38" w:rsidRDefault="005B36AA" w:rsidP="005B36AA">
            <w:pPr>
              <w:pStyle w:val="Subtitle"/>
              <w:rPr>
                <w:rFonts w:cstheme="minorHAnsi"/>
                <w:b w:val="0"/>
                <w:bCs/>
              </w:rPr>
            </w:pPr>
          </w:p>
        </w:tc>
        <w:tc>
          <w:tcPr>
            <w:tcW w:w="1134" w:type="dxa"/>
          </w:tcPr>
          <w:p w14:paraId="44AAB2F1" w14:textId="77777777" w:rsidR="005B36AA" w:rsidRPr="004F0499" w:rsidRDefault="005B36AA" w:rsidP="005B36AA">
            <w:pPr>
              <w:pStyle w:val="Subtitle"/>
              <w:rPr>
                <w:rFonts w:cstheme="minorHAnsi"/>
              </w:rPr>
            </w:pPr>
            <w:r w:rsidRPr="0023663C">
              <w:t>–</w:t>
            </w:r>
          </w:p>
        </w:tc>
        <w:tc>
          <w:tcPr>
            <w:tcW w:w="1134" w:type="dxa"/>
          </w:tcPr>
          <w:p w14:paraId="639FA4D6" w14:textId="77777777" w:rsidR="005B36AA" w:rsidRPr="00D21FF5" w:rsidRDefault="005B36AA" w:rsidP="005B36AA">
            <w:pPr>
              <w:pStyle w:val="Subtitle"/>
              <w:rPr>
                <w:rFonts w:cstheme="minorHAnsi"/>
                <w:b w:val="0"/>
              </w:rPr>
            </w:pPr>
            <w:r w:rsidRPr="00D21FF5">
              <w:rPr>
                <w:rFonts w:cstheme="minorHAnsi"/>
                <w:b w:val="0"/>
              </w:rPr>
              <w:t>(14.6)</w:t>
            </w:r>
          </w:p>
        </w:tc>
      </w:tr>
      <w:tr w:rsidR="005B36AA" w:rsidRPr="006C4AE5" w14:paraId="4385E252" w14:textId="77777777" w:rsidTr="005B36AA">
        <w:trPr>
          <w:trHeight w:val="227"/>
        </w:trPr>
        <w:tc>
          <w:tcPr>
            <w:tcW w:w="7257" w:type="dxa"/>
            <w:vAlign w:val="bottom"/>
          </w:tcPr>
          <w:p w14:paraId="16941F5D" w14:textId="77777777" w:rsidR="005B36AA" w:rsidRDefault="005B36AA" w:rsidP="005B36AA">
            <w:pPr>
              <w:pStyle w:val="TableParagraph"/>
              <w:spacing w:line="200" w:lineRule="exact"/>
              <w:rPr>
                <w:sz w:val="18"/>
              </w:rPr>
            </w:pPr>
            <w:r>
              <w:rPr>
                <w:sz w:val="18"/>
              </w:rPr>
              <w:t>Repayment of lease liabilities</w:t>
            </w:r>
          </w:p>
        </w:tc>
        <w:tc>
          <w:tcPr>
            <w:tcW w:w="680" w:type="dxa"/>
          </w:tcPr>
          <w:p w14:paraId="4B83EBF4" w14:textId="77777777" w:rsidR="005B36AA" w:rsidRPr="00123C38" w:rsidRDefault="005B36AA" w:rsidP="005B36AA">
            <w:pPr>
              <w:pStyle w:val="Subtitle"/>
              <w:rPr>
                <w:rFonts w:cstheme="minorHAnsi"/>
                <w:b w:val="0"/>
                <w:bCs/>
              </w:rPr>
            </w:pPr>
            <w:r w:rsidRPr="00123C38">
              <w:rPr>
                <w:rFonts w:cstheme="minorHAnsi"/>
                <w:b w:val="0"/>
                <w:bCs/>
              </w:rPr>
              <w:t>8</w:t>
            </w:r>
          </w:p>
        </w:tc>
        <w:tc>
          <w:tcPr>
            <w:tcW w:w="1134" w:type="dxa"/>
          </w:tcPr>
          <w:p w14:paraId="1EFFE02F" w14:textId="77777777" w:rsidR="005B36AA" w:rsidRPr="004F0499" w:rsidRDefault="005B36AA" w:rsidP="005B36AA">
            <w:pPr>
              <w:pStyle w:val="Subtitle"/>
              <w:rPr>
                <w:rFonts w:cstheme="minorHAnsi"/>
              </w:rPr>
            </w:pPr>
            <w:r>
              <w:rPr>
                <w:rFonts w:cstheme="minorHAnsi"/>
              </w:rPr>
              <w:t>(11.2)</w:t>
            </w:r>
          </w:p>
        </w:tc>
        <w:tc>
          <w:tcPr>
            <w:tcW w:w="1134" w:type="dxa"/>
          </w:tcPr>
          <w:p w14:paraId="59483E2B" w14:textId="77777777" w:rsidR="005B36AA" w:rsidRPr="006C4AE5" w:rsidRDefault="005B36AA" w:rsidP="005B36AA">
            <w:pPr>
              <w:pStyle w:val="Subtitle"/>
              <w:rPr>
                <w:rFonts w:cstheme="minorHAnsi"/>
                <w:b w:val="0"/>
                <w:highlight w:val="yellow"/>
              </w:rPr>
            </w:pPr>
            <w:r w:rsidRPr="006C4AE5">
              <w:rPr>
                <w:rFonts w:cstheme="minorHAnsi"/>
                <w:b w:val="0"/>
              </w:rPr>
              <w:t>(0.4)</w:t>
            </w:r>
          </w:p>
        </w:tc>
      </w:tr>
      <w:tr w:rsidR="005B36AA" w14:paraId="1F98CD7F" w14:textId="77777777" w:rsidTr="005B36AA">
        <w:trPr>
          <w:trHeight w:val="227"/>
        </w:trPr>
        <w:tc>
          <w:tcPr>
            <w:tcW w:w="7257" w:type="dxa"/>
            <w:vAlign w:val="bottom"/>
          </w:tcPr>
          <w:p w14:paraId="02483072" w14:textId="77777777" w:rsidR="005B36AA" w:rsidRDefault="005B36AA" w:rsidP="005B36AA">
            <w:pPr>
              <w:pStyle w:val="TableParagraph"/>
              <w:spacing w:line="200" w:lineRule="exact"/>
              <w:rPr>
                <w:sz w:val="18"/>
              </w:rPr>
            </w:pPr>
            <w:r>
              <w:rPr>
                <w:sz w:val="18"/>
              </w:rPr>
              <w:t>Dividends paid to equity holders of the Company</w:t>
            </w:r>
          </w:p>
        </w:tc>
        <w:tc>
          <w:tcPr>
            <w:tcW w:w="680" w:type="dxa"/>
          </w:tcPr>
          <w:p w14:paraId="267731EC" w14:textId="77777777" w:rsidR="005B36AA" w:rsidRPr="00123C38" w:rsidRDefault="005B36AA" w:rsidP="005B36AA">
            <w:pPr>
              <w:pStyle w:val="Subtitle"/>
              <w:rPr>
                <w:rFonts w:cstheme="minorHAnsi"/>
                <w:b w:val="0"/>
                <w:bCs/>
              </w:rPr>
            </w:pPr>
          </w:p>
        </w:tc>
        <w:tc>
          <w:tcPr>
            <w:tcW w:w="1134" w:type="dxa"/>
          </w:tcPr>
          <w:p w14:paraId="45C30088" w14:textId="77777777" w:rsidR="005B36AA" w:rsidRPr="004F0499" w:rsidRDefault="005B36AA" w:rsidP="005B36AA">
            <w:pPr>
              <w:pStyle w:val="Subtitle"/>
              <w:rPr>
                <w:rFonts w:cstheme="minorHAnsi"/>
              </w:rPr>
            </w:pPr>
            <w:r>
              <w:rPr>
                <w:rFonts w:cstheme="minorHAnsi"/>
              </w:rPr>
              <w:t>(16.7)</w:t>
            </w:r>
          </w:p>
        </w:tc>
        <w:tc>
          <w:tcPr>
            <w:tcW w:w="1134" w:type="dxa"/>
          </w:tcPr>
          <w:p w14:paraId="64F82B0F" w14:textId="77777777" w:rsidR="005B36AA" w:rsidRPr="00D21FF5" w:rsidRDefault="005B36AA" w:rsidP="005B36AA">
            <w:pPr>
              <w:pStyle w:val="Subtitle"/>
              <w:rPr>
                <w:rFonts w:cstheme="minorHAnsi"/>
                <w:b w:val="0"/>
              </w:rPr>
            </w:pPr>
            <w:r w:rsidRPr="00D21FF5">
              <w:rPr>
                <w:rFonts w:cstheme="minorHAnsi"/>
                <w:b w:val="0"/>
              </w:rPr>
              <w:t>(50.3)</w:t>
            </w:r>
          </w:p>
        </w:tc>
      </w:tr>
      <w:tr w:rsidR="005B36AA" w14:paraId="5A6CE009" w14:textId="77777777" w:rsidTr="005B36AA">
        <w:trPr>
          <w:trHeight w:val="227"/>
        </w:trPr>
        <w:tc>
          <w:tcPr>
            <w:tcW w:w="7257" w:type="dxa"/>
            <w:vAlign w:val="bottom"/>
          </w:tcPr>
          <w:p w14:paraId="44103BF5" w14:textId="77777777" w:rsidR="005B36AA" w:rsidRDefault="005B36AA" w:rsidP="005B36AA">
            <w:pPr>
              <w:pStyle w:val="TableParagraph"/>
              <w:spacing w:line="200" w:lineRule="exact"/>
              <w:rPr>
                <w:sz w:val="18"/>
              </w:rPr>
            </w:pPr>
            <w:r>
              <w:rPr>
                <w:sz w:val="18"/>
              </w:rPr>
              <w:t>Dividends paid to non-controlling interests</w:t>
            </w:r>
          </w:p>
        </w:tc>
        <w:tc>
          <w:tcPr>
            <w:tcW w:w="680" w:type="dxa"/>
          </w:tcPr>
          <w:p w14:paraId="3DD8F009" w14:textId="77777777" w:rsidR="005B36AA" w:rsidRPr="00635D3B" w:rsidRDefault="005B36AA" w:rsidP="005B36AA">
            <w:pPr>
              <w:pStyle w:val="Subtitle"/>
              <w:rPr>
                <w:rFonts w:cstheme="minorHAnsi"/>
                <w:b w:val="0"/>
                <w:bCs/>
                <w:highlight w:val="yellow"/>
              </w:rPr>
            </w:pPr>
          </w:p>
        </w:tc>
        <w:tc>
          <w:tcPr>
            <w:tcW w:w="1134" w:type="dxa"/>
          </w:tcPr>
          <w:p w14:paraId="467D4E6E" w14:textId="77777777" w:rsidR="005B36AA" w:rsidRPr="004F0499" w:rsidRDefault="005B36AA" w:rsidP="005B36AA">
            <w:pPr>
              <w:pStyle w:val="Subtitle"/>
              <w:rPr>
                <w:rFonts w:cstheme="minorHAnsi"/>
              </w:rPr>
            </w:pPr>
            <w:r>
              <w:rPr>
                <w:rFonts w:cstheme="minorHAnsi"/>
              </w:rPr>
              <w:t>(2.4)</w:t>
            </w:r>
          </w:p>
        </w:tc>
        <w:tc>
          <w:tcPr>
            <w:tcW w:w="1134" w:type="dxa"/>
          </w:tcPr>
          <w:p w14:paraId="50369E89" w14:textId="77777777" w:rsidR="005B36AA" w:rsidRPr="00D21FF5" w:rsidRDefault="005B36AA" w:rsidP="005B36AA">
            <w:pPr>
              <w:pStyle w:val="Subtitle"/>
              <w:rPr>
                <w:rFonts w:cstheme="minorHAnsi"/>
                <w:b w:val="0"/>
              </w:rPr>
            </w:pPr>
            <w:r w:rsidRPr="00D21FF5">
              <w:rPr>
                <w:rFonts w:cstheme="minorHAnsi"/>
                <w:b w:val="0"/>
              </w:rPr>
              <w:t>(2.2)</w:t>
            </w:r>
          </w:p>
        </w:tc>
      </w:tr>
      <w:tr w:rsidR="005B36AA" w14:paraId="70E883EC" w14:textId="77777777" w:rsidTr="005B36AA">
        <w:trPr>
          <w:trHeight w:val="227"/>
        </w:trPr>
        <w:tc>
          <w:tcPr>
            <w:tcW w:w="7257" w:type="dxa"/>
            <w:vAlign w:val="bottom"/>
          </w:tcPr>
          <w:p w14:paraId="1DDB9330" w14:textId="77777777" w:rsidR="005B36AA" w:rsidRDefault="005B36AA" w:rsidP="005B36AA">
            <w:pPr>
              <w:pStyle w:val="TableParagraph"/>
              <w:spacing w:line="200" w:lineRule="exact"/>
              <w:rPr>
                <w:sz w:val="18"/>
              </w:rPr>
            </w:pPr>
            <w:r>
              <w:rPr>
                <w:sz w:val="18"/>
              </w:rPr>
              <w:t>Capital return via tender offer</w:t>
            </w:r>
          </w:p>
        </w:tc>
        <w:tc>
          <w:tcPr>
            <w:tcW w:w="680" w:type="dxa"/>
          </w:tcPr>
          <w:p w14:paraId="0BAA4AB8" w14:textId="77777777" w:rsidR="005B36AA" w:rsidRPr="00635D3B" w:rsidRDefault="005B36AA" w:rsidP="005B36AA">
            <w:pPr>
              <w:pStyle w:val="Subtitle"/>
              <w:rPr>
                <w:rFonts w:cstheme="minorHAnsi"/>
                <w:b w:val="0"/>
                <w:bCs/>
                <w:highlight w:val="yellow"/>
              </w:rPr>
            </w:pPr>
          </w:p>
        </w:tc>
        <w:tc>
          <w:tcPr>
            <w:tcW w:w="1134" w:type="dxa"/>
          </w:tcPr>
          <w:p w14:paraId="1F0123C0" w14:textId="77777777" w:rsidR="005B36AA" w:rsidRPr="004F0499" w:rsidRDefault="005B36AA" w:rsidP="005B36AA">
            <w:pPr>
              <w:pStyle w:val="Subtitle"/>
              <w:rPr>
                <w:rFonts w:cstheme="minorHAnsi"/>
              </w:rPr>
            </w:pPr>
            <w:r w:rsidRPr="0023663C">
              <w:t>–</w:t>
            </w:r>
          </w:p>
        </w:tc>
        <w:tc>
          <w:tcPr>
            <w:tcW w:w="1134" w:type="dxa"/>
          </w:tcPr>
          <w:p w14:paraId="09C54B5A" w14:textId="77777777" w:rsidR="005B36AA" w:rsidRPr="00D21FF5" w:rsidRDefault="005B36AA" w:rsidP="005B36AA">
            <w:pPr>
              <w:pStyle w:val="Subtitle"/>
              <w:rPr>
                <w:rFonts w:cstheme="minorHAnsi"/>
                <w:b w:val="0"/>
              </w:rPr>
            </w:pPr>
            <w:r>
              <w:rPr>
                <w:rFonts w:cstheme="minorHAnsi"/>
                <w:b w:val="0"/>
              </w:rPr>
              <w:t>(509.0)</w:t>
            </w:r>
          </w:p>
        </w:tc>
      </w:tr>
      <w:tr w:rsidR="005B36AA" w14:paraId="2C09E607" w14:textId="77777777" w:rsidTr="005B36AA">
        <w:trPr>
          <w:trHeight w:val="227"/>
        </w:trPr>
        <w:tc>
          <w:tcPr>
            <w:tcW w:w="7257" w:type="dxa"/>
            <w:vAlign w:val="bottom"/>
          </w:tcPr>
          <w:p w14:paraId="2319F8D6" w14:textId="77777777" w:rsidR="005B36AA" w:rsidRDefault="005B36AA" w:rsidP="005B36AA">
            <w:pPr>
              <w:pStyle w:val="TableParagraph"/>
              <w:spacing w:line="200" w:lineRule="exact"/>
              <w:rPr>
                <w:sz w:val="18"/>
              </w:rPr>
            </w:pPr>
            <w:r>
              <w:rPr>
                <w:sz w:val="18"/>
              </w:rPr>
              <w:t>Termination of swaps</w:t>
            </w:r>
          </w:p>
        </w:tc>
        <w:tc>
          <w:tcPr>
            <w:tcW w:w="680" w:type="dxa"/>
          </w:tcPr>
          <w:p w14:paraId="366BE636" w14:textId="77777777" w:rsidR="005B36AA" w:rsidRPr="00635D3B" w:rsidRDefault="005B36AA" w:rsidP="005B36AA">
            <w:pPr>
              <w:pStyle w:val="Subtitle"/>
              <w:rPr>
                <w:rFonts w:cstheme="minorHAnsi"/>
                <w:b w:val="0"/>
                <w:bCs/>
                <w:highlight w:val="yellow"/>
              </w:rPr>
            </w:pPr>
          </w:p>
        </w:tc>
        <w:tc>
          <w:tcPr>
            <w:tcW w:w="1134" w:type="dxa"/>
          </w:tcPr>
          <w:p w14:paraId="646B6F7F" w14:textId="77777777" w:rsidR="005B36AA" w:rsidRPr="004F0499" w:rsidRDefault="005B36AA" w:rsidP="005B36AA">
            <w:pPr>
              <w:pStyle w:val="Subtitle"/>
              <w:rPr>
                <w:rFonts w:cstheme="minorHAnsi"/>
              </w:rPr>
            </w:pPr>
            <w:r w:rsidRPr="0023663C">
              <w:t>–</w:t>
            </w:r>
          </w:p>
        </w:tc>
        <w:tc>
          <w:tcPr>
            <w:tcW w:w="1134" w:type="dxa"/>
          </w:tcPr>
          <w:p w14:paraId="08A138BA" w14:textId="77777777" w:rsidR="005B36AA" w:rsidRPr="00D21FF5" w:rsidRDefault="005B36AA" w:rsidP="005B36AA">
            <w:pPr>
              <w:pStyle w:val="Subtitle"/>
              <w:rPr>
                <w:rFonts w:cstheme="minorHAnsi"/>
                <w:b w:val="0"/>
              </w:rPr>
            </w:pPr>
            <w:r w:rsidRPr="00D21FF5">
              <w:rPr>
                <w:rFonts w:cstheme="minorHAnsi"/>
                <w:b w:val="0"/>
              </w:rPr>
              <w:t>(12.6)</w:t>
            </w:r>
          </w:p>
        </w:tc>
      </w:tr>
      <w:tr w:rsidR="005B36AA" w14:paraId="468EBC41" w14:textId="77777777" w:rsidTr="005B36AA">
        <w:trPr>
          <w:trHeight w:val="227"/>
        </w:trPr>
        <w:tc>
          <w:tcPr>
            <w:tcW w:w="7257" w:type="dxa"/>
            <w:tcBorders>
              <w:top w:val="single" w:sz="4" w:space="0" w:color="000000"/>
              <w:bottom w:val="single" w:sz="4" w:space="0" w:color="000000"/>
            </w:tcBorders>
            <w:vAlign w:val="bottom"/>
          </w:tcPr>
          <w:p w14:paraId="12CA65B3" w14:textId="247EDFFC" w:rsidR="005B36AA" w:rsidRDefault="005B36AA" w:rsidP="005B36AA">
            <w:pPr>
              <w:pStyle w:val="TableParagraph"/>
              <w:spacing w:before="1" w:line="199" w:lineRule="exact"/>
              <w:rPr>
                <w:b/>
                <w:sz w:val="18"/>
              </w:rPr>
            </w:pPr>
            <w:r>
              <w:rPr>
                <w:b/>
                <w:sz w:val="18"/>
              </w:rPr>
              <w:t xml:space="preserve">Net cash </w:t>
            </w:r>
            <w:r w:rsidR="004D30DE">
              <w:rPr>
                <w:b/>
                <w:sz w:val="18"/>
              </w:rPr>
              <w:t>inflow/(</w:t>
            </w:r>
            <w:r>
              <w:rPr>
                <w:b/>
                <w:sz w:val="18"/>
              </w:rPr>
              <w:t>outflow</w:t>
            </w:r>
            <w:r w:rsidR="004D30DE">
              <w:rPr>
                <w:b/>
                <w:sz w:val="18"/>
              </w:rPr>
              <w:t>)</w:t>
            </w:r>
            <w:r>
              <w:rPr>
                <w:b/>
                <w:sz w:val="18"/>
              </w:rPr>
              <w:t xml:space="preserve"> from financing activities</w:t>
            </w:r>
          </w:p>
        </w:tc>
        <w:tc>
          <w:tcPr>
            <w:tcW w:w="680" w:type="dxa"/>
            <w:tcBorders>
              <w:top w:val="single" w:sz="4" w:space="0" w:color="000000"/>
              <w:bottom w:val="single" w:sz="4" w:space="0" w:color="000000"/>
            </w:tcBorders>
          </w:tcPr>
          <w:p w14:paraId="79AC3E9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4" w:space="0" w:color="000000"/>
            </w:tcBorders>
          </w:tcPr>
          <w:p w14:paraId="5FEB353F" w14:textId="36976D5B" w:rsidR="005B36AA" w:rsidRPr="004F0499" w:rsidRDefault="005B36AA" w:rsidP="005B36AA">
            <w:pPr>
              <w:pStyle w:val="Subtitle"/>
              <w:rPr>
                <w:rFonts w:cstheme="minorHAnsi"/>
              </w:rPr>
            </w:pPr>
            <w:r>
              <w:rPr>
                <w:rFonts w:cstheme="minorHAnsi"/>
              </w:rPr>
              <w:t>3</w:t>
            </w:r>
            <w:r w:rsidR="00053FC3">
              <w:rPr>
                <w:rFonts w:cstheme="minorHAnsi"/>
              </w:rPr>
              <w:t>4.6</w:t>
            </w:r>
          </w:p>
        </w:tc>
        <w:tc>
          <w:tcPr>
            <w:tcW w:w="1134" w:type="dxa"/>
            <w:tcBorders>
              <w:top w:val="single" w:sz="4" w:space="0" w:color="000000"/>
              <w:bottom w:val="single" w:sz="4" w:space="0" w:color="000000"/>
            </w:tcBorders>
          </w:tcPr>
          <w:p w14:paraId="5D66A9D8" w14:textId="77777777" w:rsidR="005B36AA" w:rsidRPr="00D21FF5" w:rsidRDefault="005B36AA" w:rsidP="005B36AA">
            <w:pPr>
              <w:pStyle w:val="Subtitle"/>
              <w:rPr>
                <w:rFonts w:cstheme="minorHAnsi"/>
                <w:b w:val="0"/>
              </w:rPr>
            </w:pPr>
            <w:r w:rsidRPr="00D21FF5">
              <w:rPr>
                <w:rFonts w:cstheme="minorHAnsi"/>
                <w:b w:val="0"/>
              </w:rPr>
              <w:t>(795.7)</w:t>
            </w:r>
          </w:p>
        </w:tc>
      </w:tr>
      <w:tr w:rsidR="005B36AA" w14:paraId="0F225F49" w14:textId="77777777" w:rsidTr="005B36AA">
        <w:trPr>
          <w:trHeight w:val="227"/>
        </w:trPr>
        <w:tc>
          <w:tcPr>
            <w:tcW w:w="7257" w:type="dxa"/>
            <w:tcBorders>
              <w:top w:val="single" w:sz="4" w:space="0" w:color="000000"/>
              <w:bottom w:val="single" w:sz="8" w:space="0" w:color="auto"/>
            </w:tcBorders>
            <w:vAlign w:val="bottom"/>
          </w:tcPr>
          <w:p w14:paraId="6CD8DBF5" w14:textId="300DDE0A" w:rsidR="005B36AA" w:rsidRDefault="00BD1CE7" w:rsidP="00E01927">
            <w:pPr>
              <w:pStyle w:val="TableParagraph"/>
              <w:spacing w:line="198" w:lineRule="exact"/>
              <w:rPr>
                <w:b/>
                <w:sz w:val="18"/>
              </w:rPr>
            </w:pPr>
            <w:r>
              <w:rPr>
                <w:b/>
                <w:sz w:val="18"/>
              </w:rPr>
              <w:t>I</w:t>
            </w:r>
            <w:r w:rsidR="005B36AA">
              <w:rPr>
                <w:b/>
                <w:sz w:val="18"/>
              </w:rPr>
              <w:t>ncrease in cash and cash equivalents</w:t>
            </w:r>
            <w:r>
              <w:rPr>
                <w:b/>
                <w:sz w:val="18"/>
              </w:rPr>
              <w:t xml:space="preserve"> and bank overdrafts</w:t>
            </w:r>
          </w:p>
        </w:tc>
        <w:tc>
          <w:tcPr>
            <w:tcW w:w="680" w:type="dxa"/>
            <w:tcBorders>
              <w:top w:val="single" w:sz="4" w:space="0" w:color="000000"/>
              <w:bottom w:val="single" w:sz="8" w:space="0" w:color="auto"/>
            </w:tcBorders>
          </w:tcPr>
          <w:p w14:paraId="567B37B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8" w:space="0" w:color="auto"/>
            </w:tcBorders>
          </w:tcPr>
          <w:p w14:paraId="50166A09" w14:textId="77777777" w:rsidR="005B36AA" w:rsidRPr="004F0499" w:rsidRDefault="005B36AA" w:rsidP="005B36AA">
            <w:pPr>
              <w:pStyle w:val="Subtitle"/>
              <w:rPr>
                <w:rFonts w:cstheme="minorHAnsi"/>
              </w:rPr>
            </w:pPr>
            <w:r>
              <w:rPr>
                <w:rFonts w:cstheme="minorHAnsi"/>
              </w:rPr>
              <w:t>5.5</w:t>
            </w:r>
          </w:p>
        </w:tc>
        <w:tc>
          <w:tcPr>
            <w:tcW w:w="1134" w:type="dxa"/>
            <w:tcBorders>
              <w:top w:val="single" w:sz="4" w:space="0" w:color="000000"/>
              <w:bottom w:val="single" w:sz="8" w:space="0" w:color="auto"/>
            </w:tcBorders>
          </w:tcPr>
          <w:p w14:paraId="06EEB856" w14:textId="77777777" w:rsidR="005B36AA" w:rsidRPr="00D21FF5" w:rsidRDefault="005B36AA" w:rsidP="005B36AA">
            <w:pPr>
              <w:pStyle w:val="Subtitle"/>
              <w:rPr>
                <w:rFonts w:cstheme="minorHAnsi"/>
                <w:b w:val="0"/>
              </w:rPr>
            </w:pPr>
            <w:r w:rsidRPr="00D21FF5">
              <w:rPr>
                <w:rFonts w:cstheme="minorHAnsi"/>
                <w:b w:val="0"/>
              </w:rPr>
              <w:t>4.0</w:t>
            </w:r>
          </w:p>
        </w:tc>
      </w:tr>
      <w:tr w:rsidR="005B36AA" w14:paraId="6051BE9F" w14:textId="77777777" w:rsidTr="005B36AA">
        <w:trPr>
          <w:trHeight w:val="227"/>
        </w:trPr>
        <w:tc>
          <w:tcPr>
            <w:tcW w:w="7257" w:type="dxa"/>
            <w:tcBorders>
              <w:top w:val="single" w:sz="8" w:space="0" w:color="auto"/>
            </w:tcBorders>
            <w:vAlign w:val="bottom"/>
          </w:tcPr>
          <w:p w14:paraId="34AE3528"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1A3A1DDE" w14:textId="77777777" w:rsidR="005B36AA" w:rsidRPr="00635D3B" w:rsidRDefault="005B36AA" w:rsidP="005B36AA">
            <w:pPr>
              <w:pStyle w:val="Subtitle"/>
              <w:rPr>
                <w:rFonts w:cstheme="minorHAnsi"/>
                <w:highlight w:val="yellow"/>
              </w:rPr>
            </w:pPr>
          </w:p>
        </w:tc>
        <w:tc>
          <w:tcPr>
            <w:tcW w:w="1134" w:type="dxa"/>
            <w:tcBorders>
              <w:top w:val="single" w:sz="8" w:space="0" w:color="auto"/>
            </w:tcBorders>
          </w:tcPr>
          <w:p w14:paraId="42989B6D" w14:textId="77777777" w:rsidR="005B36AA" w:rsidRPr="004F0499" w:rsidRDefault="005B36AA" w:rsidP="005B36AA">
            <w:pPr>
              <w:pStyle w:val="Subtitle"/>
              <w:rPr>
                <w:rFonts w:cstheme="minorHAnsi"/>
              </w:rPr>
            </w:pPr>
          </w:p>
        </w:tc>
        <w:tc>
          <w:tcPr>
            <w:tcW w:w="1134" w:type="dxa"/>
            <w:tcBorders>
              <w:top w:val="single" w:sz="8" w:space="0" w:color="auto"/>
            </w:tcBorders>
          </w:tcPr>
          <w:p w14:paraId="738F6CE7" w14:textId="77777777" w:rsidR="005B36AA" w:rsidRPr="00D21FF5" w:rsidRDefault="005B36AA" w:rsidP="005B36AA">
            <w:pPr>
              <w:pStyle w:val="Subtitle"/>
              <w:rPr>
                <w:rFonts w:cstheme="minorHAnsi"/>
                <w:b w:val="0"/>
              </w:rPr>
            </w:pPr>
          </w:p>
        </w:tc>
      </w:tr>
      <w:tr w:rsidR="005B36AA" w14:paraId="7AC9BD09" w14:textId="77777777" w:rsidTr="005B36AA">
        <w:trPr>
          <w:trHeight w:val="227"/>
        </w:trPr>
        <w:tc>
          <w:tcPr>
            <w:tcW w:w="7257" w:type="dxa"/>
            <w:vAlign w:val="bottom"/>
          </w:tcPr>
          <w:p w14:paraId="3B0AB866" w14:textId="77777777" w:rsidR="005B36AA" w:rsidRDefault="005B36AA" w:rsidP="005B36AA">
            <w:pPr>
              <w:pStyle w:val="TableParagraph"/>
              <w:spacing w:line="216" w:lineRule="exact"/>
              <w:rPr>
                <w:b/>
                <w:sz w:val="18"/>
              </w:rPr>
            </w:pPr>
            <w:r>
              <w:rPr>
                <w:b/>
                <w:sz w:val="18"/>
              </w:rPr>
              <w:t>Reconciliation of opening to closing cash and cash equivalents</w:t>
            </w:r>
          </w:p>
        </w:tc>
        <w:tc>
          <w:tcPr>
            <w:tcW w:w="680" w:type="dxa"/>
          </w:tcPr>
          <w:p w14:paraId="2550E458" w14:textId="77777777" w:rsidR="005B36AA" w:rsidRPr="00635D3B" w:rsidRDefault="005B36AA" w:rsidP="005B36AA">
            <w:pPr>
              <w:pStyle w:val="Subtitle"/>
              <w:rPr>
                <w:rFonts w:cstheme="minorHAnsi"/>
                <w:highlight w:val="yellow"/>
              </w:rPr>
            </w:pPr>
          </w:p>
        </w:tc>
        <w:tc>
          <w:tcPr>
            <w:tcW w:w="1134" w:type="dxa"/>
          </w:tcPr>
          <w:p w14:paraId="2B54BBCB" w14:textId="77777777" w:rsidR="005B36AA" w:rsidRPr="004F0499" w:rsidRDefault="005B36AA" w:rsidP="005B36AA">
            <w:pPr>
              <w:pStyle w:val="Subtitle"/>
              <w:rPr>
                <w:rFonts w:cstheme="minorHAnsi"/>
              </w:rPr>
            </w:pPr>
          </w:p>
        </w:tc>
        <w:tc>
          <w:tcPr>
            <w:tcW w:w="1134" w:type="dxa"/>
          </w:tcPr>
          <w:p w14:paraId="6CB51A95" w14:textId="77777777" w:rsidR="005B36AA" w:rsidRPr="00D21FF5" w:rsidRDefault="005B36AA" w:rsidP="005B36AA">
            <w:pPr>
              <w:pStyle w:val="Subtitle"/>
              <w:rPr>
                <w:rFonts w:cstheme="minorHAnsi"/>
                <w:b w:val="0"/>
              </w:rPr>
            </w:pPr>
          </w:p>
        </w:tc>
      </w:tr>
      <w:tr w:rsidR="005B36AA" w14:paraId="12FF7C9D" w14:textId="77777777" w:rsidTr="005B36AA">
        <w:trPr>
          <w:trHeight w:val="227"/>
        </w:trPr>
        <w:tc>
          <w:tcPr>
            <w:tcW w:w="7257" w:type="dxa"/>
            <w:vAlign w:val="bottom"/>
          </w:tcPr>
          <w:p w14:paraId="28660CAA" w14:textId="339E544D" w:rsidR="005B36AA" w:rsidRDefault="005B36AA" w:rsidP="005B36AA">
            <w:pPr>
              <w:pStyle w:val="TableParagraph"/>
              <w:spacing w:line="200" w:lineRule="exact"/>
              <w:rPr>
                <w:sz w:val="18"/>
              </w:rPr>
            </w:pPr>
            <w:r>
              <w:rPr>
                <w:sz w:val="18"/>
              </w:rPr>
              <w:t>Cash and cash equivalents</w:t>
            </w:r>
            <w:r w:rsidR="00292A98">
              <w:rPr>
                <w:sz w:val="18"/>
              </w:rPr>
              <w:t xml:space="preserve"> and bank overdraft</w:t>
            </w:r>
            <w:r w:rsidR="008F35B4">
              <w:rPr>
                <w:sz w:val="18"/>
              </w:rPr>
              <w:t>s</w:t>
            </w:r>
            <w:r>
              <w:rPr>
                <w:sz w:val="18"/>
              </w:rPr>
              <w:t xml:space="preserve"> at beginning of year</w:t>
            </w:r>
          </w:p>
        </w:tc>
        <w:tc>
          <w:tcPr>
            <w:tcW w:w="680" w:type="dxa"/>
          </w:tcPr>
          <w:p w14:paraId="6E009C1D" w14:textId="77777777" w:rsidR="005B36AA" w:rsidRPr="00635D3B" w:rsidRDefault="005B36AA" w:rsidP="005B36AA">
            <w:pPr>
              <w:pStyle w:val="Subtitle"/>
              <w:rPr>
                <w:rFonts w:cstheme="minorHAnsi"/>
                <w:b w:val="0"/>
                <w:bCs/>
                <w:highlight w:val="yellow"/>
              </w:rPr>
            </w:pPr>
          </w:p>
        </w:tc>
        <w:tc>
          <w:tcPr>
            <w:tcW w:w="1134" w:type="dxa"/>
          </w:tcPr>
          <w:p w14:paraId="2871F3E1" w14:textId="77777777" w:rsidR="005B36AA" w:rsidRPr="004F0499" w:rsidRDefault="005B36AA" w:rsidP="005B36AA">
            <w:pPr>
              <w:pStyle w:val="Subtitle"/>
              <w:rPr>
                <w:rFonts w:cstheme="minorHAnsi"/>
              </w:rPr>
            </w:pPr>
            <w:r>
              <w:rPr>
                <w:rFonts w:cstheme="minorHAnsi"/>
              </w:rPr>
              <w:t>41.6</w:t>
            </w:r>
          </w:p>
        </w:tc>
        <w:tc>
          <w:tcPr>
            <w:tcW w:w="1134" w:type="dxa"/>
          </w:tcPr>
          <w:p w14:paraId="36A5D595" w14:textId="77777777" w:rsidR="005B36AA" w:rsidRPr="00D21FF5" w:rsidRDefault="005B36AA" w:rsidP="005B36AA">
            <w:pPr>
              <w:pStyle w:val="Subtitle"/>
              <w:rPr>
                <w:rFonts w:cstheme="minorHAnsi"/>
                <w:b w:val="0"/>
              </w:rPr>
            </w:pPr>
            <w:r w:rsidRPr="00D21FF5">
              <w:rPr>
                <w:rFonts w:cstheme="minorHAnsi"/>
                <w:b w:val="0"/>
              </w:rPr>
              <w:t>37.0</w:t>
            </w:r>
          </w:p>
        </w:tc>
      </w:tr>
      <w:tr w:rsidR="005B36AA" w14:paraId="7BA36884" w14:textId="77777777" w:rsidTr="005B36AA">
        <w:trPr>
          <w:trHeight w:val="227"/>
        </w:trPr>
        <w:tc>
          <w:tcPr>
            <w:tcW w:w="7257" w:type="dxa"/>
            <w:vAlign w:val="bottom"/>
          </w:tcPr>
          <w:p w14:paraId="6E5C5173" w14:textId="77777777" w:rsidR="005B36AA" w:rsidRDefault="005B36AA" w:rsidP="005B36AA">
            <w:pPr>
              <w:pStyle w:val="TableParagraph"/>
              <w:spacing w:line="201" w:lineRule="exact"/>
              <w:rPr>
                <w:sz w:val="18"/>
              </w:rPr>
            </w:pPr>
            <w:r>
              <w:rPr>
                <w:sz w:val="18"/>
              </w:rPr>
              <w:t>Translation adjustment</w:t>
            </w:r>
          </w:p>
        </w:tc>
        <w:tc>
          <w:tcPr>
            <w:tcW w:w="680" w:type="dxa"/>
          </w:tcPr>
          <w:p w14:paraId="66AD8E61" w14:textId="77777777" w:rsidR="005B36AA" w:rsidRPr="00635D3B" w:rsidRDefault="005B36AA" w:rsidP="005B36AA">
            <w:pPr>
              <w:pStyle w:val="Subtitle"/>
              <w:rPr>
                <w:rFonts w:cstheme="minorHAnsi"/>
                <w:b w:val="0"/>
                <w:bCs/>
                <w:highlight w:val="yellow"/>
              </w:rPr>
            </w:pPr>
          </w:p>
        </w:tc>
        <w:tc>
          <w:tcPr>
            <w:tcW w:w="1134" w:type="dxa"/>
          </w:tcPr>
          <w:p w14:paraId="2B3C04C5" w14:textId="77777777" w:rsidR="005B36AA" w:rsidRPr="004F0499" w:rsidRDefault="005B36AA" w:rsidP="005B36AA">
            <w:pPr>
              <w:pStyle w:val="Subtitle"/>
              <w:rPr>
                <w:rFonts w:cstheme="minorHAnsi"/>
              </w:rPr>
            </w:pPr>
            <w:r>
              <w:rPr>
                <w:rFonts w:cstheme="minorHAnsi"/>
              </w:rPr>
              <w:t>(0.1)</w:t>
            </w:r>
          </w:p>
        </w:tc>
        <w:tc>
          <w:tcPr>
            <w:tcW w:w="1134" w:type="dxa"/>
          </w:tcPr>
          <w:p w14:paraId="388FB1C3" w14:textId="77777777" w:rsidR="005B36AA" w:rsidRPr="00D21FF5" w:rsidRDefault="005B36AA" w:rsidP="005B36AA">
            <w:pPr>
              <w:pStyle w:val="Subtitle"/>
              <w:rPr>
                <w:rFonts w:cstheme="minorHAnsi"/>
                <w:b w:val="0"/>
              </w:rPr>
            </w:pPr>
            <w:r w:rsidRPr="00D21FF5">
              <w:rPr>
                <w:rFonts w:cstheme="minorHAnsi"/>
                <w:b w:val="0"/>
              </w:rPr>
              <w:t>0.6</w:t>
            </w:r>
          </w:p>
        </w:tc>
      </w:tr>
      <w:tr w:rsidR="005B36AA" w14:paraId="63462820" w14:textId="77777777" w:rsidTr="005B36AA">
        <w:trPr>
          <w:trHeight w:val="227"/>
        </w:trPr>
        <w:tc>
          <w:tcPr>
            <w:tcW w:w="7257" w:type="dxa"/>
            <w:tcBorders>
              <w:bottom w:val="single" w:sz="4" w:space="0" w:color="000000"/>
            </w:tcBorders>
            <w:vAlign w:val="bottom"/>
          </w:tcPr>
          <w:p w14:paraId="46ED989F" w14:textId="00DB8E25" w:rsidR="005B36AA" w:rsidRDefault="005B36AA" w:rsidP="005B36AA">
            <w:pPr>
              <w:pStyle w:val="TableParagraph"/>
              <w:spacing w:line="183" w:lineRule="exact"/>
              <w:rPr>
                <w:sz w:val="18"/>
              </w:rPr>
            </w:pPr>
            <w:r>
              <w:rPr>
                <w:sz w:val="18"/>
              </w:rPr>
              <w:t>Increase in cash and cash equivalents</w:t>
            </w:r>
            <w:r w:rsidR="00292A98">
              <w:rPr>
                <w:sz w:val="18"/>
              </w:rPr>
              <w:t xml:space="preserve"> and bank overdrafts</w:t>
            </w:r>
          </w:p>
        </w:tc>
        <w:tc>
          <w:tcPr>
            <w:tcW w:w="680" w:type="dxa"/>
            <w:tcBorders>
              <w:bottom w:val="single" w:sz="4" w:space="0" w:color="000000"/>
            </w:tcBorders>
          </w:tcPr>
          <w:p w14:paraId="2404F197" w14:textId="77777777" w:rsidR="005B36AA" w:rsidRPr="00635D3B" w:rsidRDefault="005B36AA" w:rsidP="005B36AA">
            <w:pPr>
              <w:pStyle w:val="Subtitle"/>
              <w:rPr>
                <w:rFonts w:cstheme="minorHAnsi"/>
                <w:b w:val="0"/>
                <w:bCs/>
                <w:highlight w:val="yellow"/>
              </w:rPr>
            </w:pPr>
          </w:p>
        </w:tc>
        <w:tc>
          <w:tcPr>
            <w:tcW w:w="1134" w:type="dxa"/>
            <w:tcBorders>
              <w:bottom w:val="single" w:sz="4" w:space="0" w:color="000000"/>
            </w:tcBorders>
          </w:tcPr>
          <w:p w14:paraId="6CB501EC" w14:textId="77777777" w:rsidR="005B36AA" w:rsidRPr="004F0499" w:rsidRDefault="005B36AA" w:rsidP="005B36AA">
            <w:pPr>
              <w:pStyle w:val="Subtitle"/>
              <w:rPr>
                <w:rFonts w:cstheme="minorHAnsi"/>
              </w:rPr>
            </w:pPr>
            <w:r>
              <w:rPr>
                <w:rFonts w:cstheme="minorHAnsi"/>
              </w:rPr>
              <w:t>5.5</w:t>
            </w:r>
          </w:p>
        </w:tc>
        <w:tc>
          <w:tcPr>
            <w:tcW w:w="1134" w:type="dxa"/>
            <w:tcBorders>
              <w:bottom w:val="single" w:sz="4" w:space="0" w:color="000000"/>
            </w:tcBorders>
          </w:tcPr>
          <w:p w14:paraId="7717B34A" w14:textId="77777777" w:rsidR="005B36AA" w:rsidRPr="00D21FF5" w:rsidRDefault="005B36AA" w:rsidP="005B36AA">
            <w:pPr>
              <w:pStyle w:val="Subtitle"/>
              <w:rPr>
                <w:rFonts w:cstheme="minorHAnsi"/>
                <w:b w:val="0"/>
              </w:rPr>
            </w:pPr>
            <w:r w:rsidRPr="00D21FF5">
              <w:rPr>
                <w:rFonts w:cstheme="minorHAnsi"/>
                <w:b w:val="0"/>
              </w:rPr>
              <w:t>4.0</w:t>
            </w:r>
          </w:p>
        </w:tc>
      </w:tr>
      <w:tr w:rsidR="005B36AA" w14:paraId="3879D434" w14:textId="77777777" w:rsidTr="005B36AA">
        <w:trPr>
          <w:trHeight w:val="227"/>
        </w:trPr>
        <w:tc>
          <w:tcPr>
            <w:tcW w:w="7257" w:type="dxa"/>
            <w:tcBorders>
              <w:top w:val="single" w:sz="4" w:space="0" w:color="000000"/>
              <w:bottom w:val="single" w:sz="8" w:space="0" w:color="auto"/>
            </w:tcBorders>
            <w:vAlign w:val="bottom"/>
          </w:tcPr>
          <w:p w14:paraId="157E326A" w14:textId="01E8C4F6" w:rsidR="005B36AA" w:rsidRDefault="005B36AA" w:rsidP="005B36AA">
            <w:pPr>
              <w:pStyle w:val="TableParagraph"/>
              <w:spacing w:line="198" w:lineRule="exact"/>
              <w:rPr>
                <w:b/>
                <w:sz w:val="18"/>
              </w:rPr>
            </w:pPr>
            <w:r>
              <w:rPr>
                <w:b/>
                <w:sz w:val="18"/>
              </w:rPr>
              <w:t>Cash and cash equivalents</w:t>
            </w:r>
            <w:r w:rsidR="00292A98">
              <w:rPr>
                <w:b/>
                <w:sz w:val="18"/>
              </w:rPr>
              <w:t xml:space="preserve"> and bank overdrafts</w:t>
            </w:r>
            <w:r>
              <w:rPr>
                <w:b/>
                <w:sz w:val="18"/>
              </w:rPr>
              <w:t xml:space="preserve"> at end of year</w:t>
            </w:r>
          </w:p>
        </w:tc>
        <w:tc>
          <w:tcPr>
            <w:tcW w:w="680" w:type="dxa"/>
            <w:tcBorders>
              <w:top w:val="single" w:sz="4" w:space="0" w:color="000000"/>
              <w:bottom w:val="single" w:sz="8" w:space="0" w:color="auto"/>
            </w:tcBorders>
          </w:tcPr>
          <w:p w14:paraId="2560B75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8" w:space="0" w:color="auto"/>
            </w:tcBorders>
          </w:tcPr>
          <w:p w14:paraId="0A676718" w14:textId="77777777" w:rsidR="005B36AA" w:rsidRPr="004F0499" w:rsidRDefault="005B36AA" w:rsidP="005B36AA">
            <w:pPr>
              <w:pStyle w:val="Subtitle"/>
              <w:rPr>
                <w:rFonts w:cstheme="minorHAnsi"/>
              </w:rPr>
            </w:pPr>
            <w:r>
              <w:rPr>
                <w:rFonts w:cstheme="minorHAnsi"/>
              </w:rPr>
              <w:t>47.0</w:t>
            </w:r>
          </w:p>
        </w:tc>
        <w:tc>
          <w:tcPr>
            <w:tcW w:w="1134" w:type="dxa"/>
            <w:tcBorders>
              <w:top w:val="single" w:sz="4" w:space="0" w:color="000000"/>
              <w:bottom w:val="single" w:sz="8" w:space="0" w:color="auto"/>
            </w:tcBorders>
          </w:tcPr>
          <w:p w14:paraId="3BEAC44F" w14:textId="77777777" w:rsidR="005B36AA" w:rsidRPr="00D21FF5" w:rsidRDefault="005B36AA" w:rsidP="005B36AA">
            <w:pPr>
              <w:pStyle w:val="Subtitle"/>
              <w:rPr>
                <w:rFonts w:cstheme="minorHAnsi"/>
                <w:b w:val="0"/>
              </w:rPr>
            </w:pPr>
            <w:r w:rsidRPr="00D21FF5">
              <w:rPr>
                <w:rFonts w:cstheme="minorHAnsi"/>
                <w:b w:val="0"/>
              </w:rPr>
              <w:t>41.6</w:t>
            </w:r>
          </w:p>
        </w:tc>
      </w:tr>
    </w:tbl>
    <w:p w14:paraId="34CEB000" w14:textId="7E8F8667" w:rsidR="003A5BD2" w:rsidRDefault="003A5BD2" w:rsidP="005B36AA">
      <w:pPr>
        <w:spacing w:line="198" w:lineRule="exact"/>
        <w:jc w:val="right"/>
        <w:rPr>
          <w:sz w:val="18"/>
        </w:rPr>
      </w:pPr>
    </w:p>
    <w:p w14:paraId="63240976" w14:textId="788BF15E" w:rsidR="003A5BD2" w:rsidRDefault="003A5BD2" w:rsidP="003A5BD2">
      <w:pPr>
        <w:rPr>
          <w:sz w:val="18"/>
        </w:rPr>
      </w:pPr>
    </w:p>
    <w:p w14:paraId="02F859E5" w14:textId="3CF9C217" w:rsidR="003A5BD2" w:rsidRPr="00D72351" w:rsidRDefault="003A5BD2" w:rsidP="003A5BD2">
      <w:pPr>
        <w:spacing w:before="27"/>
        <w:ind w:left="20"/>
        <w:rPr>
          <w:b/>
          <w:color w:val="001F5F"/>
          <w:sz w:val="20"/>
          <w:szCs w:val="20"/>
        </w:rPr>
      </w:pPr>
      <w:r>
        <w:rPr>
          <w:b/>
          <w:color w:val="001F5F"/>
          <w:sz w:val="20"/>
          <w:szCs w:val="20"/>
        </w:rPr>
        <w:t>NOTES TO THE FINANCIAL STATEMENTS</w:t>
      </w:r>
    </w:p>
    <w:p w14:paraId="0C9D5972" w14:textId="5C760B07"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2BB7ACDE" w14:textId="406F9518" w:rsidR="003A5BD2" w:rsidRDefault="003A5BD2" w:rsidP="003A5BD2">
      <w:pPr>
        <w:rPr>
          <w:sz w:val="18"/>
        </w:rPr>
      </w:pPr>
    </w:p>
    <w:p w14:paraId="7842B30F" w14:textId="77777777" w:rsidR="005B36AA" w:rsidRPr="001E5CE1" w:rsidRDefault="005B36AA" w:rsidP="005B36AA">
      <w:pPr>
        <w:pStyle w:val="Style1"/>
        <w:numPr>
          <w:ilvl w:val="0"/>
          <w:numId w:val="9"/>
        </w:numPr>
      </w:pPr>
      <w:r>
        <w:t>Basis of preparation</w:t>
      </w:r>
    </w:p>
    <w:p w14:paraId="31DC3618" w14:textId="77777777" w:rsidR="005B36AA" w:rsidRPr="009C28C0" w:rsidRDefault="005B36AA" w:rsidP="005B36AA">
      <w:pPr>
        <w:pStyle w:val="BodyText"/>
      </w:pPr>
    </w:p>
    <w:p w14:paraId="68140312" w14:textId="77777777" w:rsidR="005B36AA" w:rsidRDefault="005B36AA" w:rsidP="005B36AA">
      <w:pPr>
        <w:pStyle w:val="BodyText"/>
        <w:jc w:val="both"/>
      </w:pPr>
      <w:r w:rsidRPr="00B204CB">
        <w:t>The financial information included within this full year results statement has been extracted from the audited Consolidated Financial Statements of Greencore</w:t>
      </w:r>
      <w:r>
        <w:t xml:space="preserve"> Group plc for the year ended 25 September 2020</w:t>
      </w:r>
      <w:r w:rsidRPr="00B204CB">
        <w:t xml:space="preserve">, to which an unqualified audit opinion is attached. Full details of the basis of preparation of the Group Financial </w:t>
      </w:r>
      <w:r>
        <w:t>Statements for the year ended 25 September 2020</w:t>
      </w:r>
      <w:r w:rsidRPr="00B204CB">
        <w:t xml:space="preserve"> ar</w:t>
      </w:r>
      <w:r>
        <w:t>e included in Note 1 of the 2020</w:t>
      </w:r>
      <w:r w:rsidRPr="00B204CB">
        <w:t xml:space="preserve"> Annual Report.</w:t>
      </w:r>
    </w:p>
    <w:p w14:paraId="62C6A6E6" w14:textId="77777777" w:rsidR="005B36AA" w:rsidRDefault="005B36AA" w:rsidP="005B36AA">
      <w:pPr>
        <w:pStyle w:val="BodyText"/>
        <w:jc w:val="both"/>
      </w:pPr>
    </w:p>
    <w:p w14:paraId="79FDABD4" w14:textId="77777777" w:rsidR="005B36AA" w:rsidRDefault="005B36AA" w:rsidP="005B36AA">
      <w:pPr>
        <w:pStyle w:val="BodyText"/>
        <w:jc w:val="both"/>
      </w:pPr>
      <w:r w:rsidRPr="000F6DB0">
        <w:t>The financial information presented in this full year results statement has been prepared in accordance with the recognition and measurement principles of International Financial Reporting Standards (IFRS) and IFRS Interpretations Committee interpretations adopted by the European Union (EU).</w:t>
      </w:r>
    </w:p>
    <w:p w14:paraId="13B5E1E6" w14:textId="77777777" w:rsidR="005B36AA" w:rsidRDefault="005B36AA" w:rsidP="005B36AA">
      <w:pPr>
        <w:pStyle w:val="BodyText"/>
        <w:jc w:val="both"/>
      </w:pPr>
    </w:p>
    <w:p w14:paraId="43A7EE06" w14:textId="77777777" w:rsidR="00036B90" w:rsidRDefault="00036B90" w:rsidP="005B36AA">
      <w:pPr>
        <w:pStyle w:val="BodyText"/>
        <w:jc w:val="both"/>
      </w:pPr>
      <w:r w:rsidRPr="00036B90">
        <w:t xml:space="preserve">Following the disposal of Greencore’s US business in November 2018, </w:t>
      </w:r>
      <w:r>
        <w:t xml:space="preserve">the prior year includes </w:t>
      </w:r>
      <w:r w:rsidRPr="00036B90">
        <w:t>the results of the business within profit from discontinued operations in the Group Income Statement.</w:t>
      </w:r>
    </w:p>
    <w:p w14:paraId="5FAD34EE" w14:textId="77777777" w:rsidR="00EF4E25" w:rsidRDefault="00EF4E25" w:rsidP="005771B0">
      <w:pPr>
        <w:pStyle w:val="SectionH3"/>
      </w:pPr>
    </w:p>
    <w:p w14:paraId="12D4872C" w14:textId="3B60B549" w:rsidR="00EF4E25" w:rsidRPr="005771B0" w:rsidRDefault="00EF4E25" w:rsidP="005771B0">
      <w:pPr>
        <w:pStyle w:val="SectionH3"/>
      </w:pPr>
      <w:r w:rsidRPr="00E037F4">
        <w:t>Pr</w:t>
      </w:r>
      <w:r w:rsidRPr="005771B0">
        <w:t>ior year restatement</w:t>
      </w:r>
    </w:p>
    <w:p w14:paraId="30AC5E5F" w14:textId="77777777" w:rsidR="00EF4E25" w:rsidRPr="005771B0" w:rsidRDefault="00EF4E25" w:rsidP="005771B0">
      <w:pPr>
        <w:pStyle w:val="SectionH3"/>
        <w:rPr>
          <w:rFonts w:asciiTheme="minorHAnsi" w:hAnsiTheme="minorHAnsi" w:cstheme="minorHAnsi"/>
          <w:b w:val="0"/>
          <w:bCs w:val="0"/>
          <w:lang w:val="en-GB"/>
        </w:rPr>
      </w:pPr>
      <w:r w:rsidRPr="005771B0">
        <w:rPr>
          <w:rFonts w:asciiTheme="minorHAnsi" w:hAnsiTheme="minorHAnsi" w:cstheme="minorHAnsi"/>
          <w:b w:val="0"/>
          <w:bCs w:val="0"/>
          <w:lang w:val="en-GB"/>
        </w:rPr>
        <w:t xml:space="preserve">Within the financial year the Group changed the net presentation of cash at bank and in hand and bank overdrafts for the Group’s cash pooling arrangement. While the Group has the legal right to offset under the arrangement, it was determined that a more appropriate presentation of cash at bank and in hand and bank overdrafts is on a gross basis in line with the requirements of IAS 32 </w:t>
      </w:r>
      <w:r w:rsidRPr="005771B0">
        <w:rPr>
          <w:rFonts w:asciiTheme="minorHAnsi" w:hAnsiTheme="minorHAnsi" w:cstheme="minorHAnsi"/>
          <w:b w:val="0"/>
          <w:bCs w:val="0"/>
          <w:i/>
          <w:lang w:val="en-GB"/>
        </w:rPr>
        <w:t xml:space="preserve">Financial Instruments: Presentation </w:t>
      </w:r>
      <w:r w:rsidRPr="005771B0">
        <w:rPr>
          <w:rFonts w:asciiTheme="minorHAnsi" w:hAnsiTheme="minorHAnsi" w:cstheme="minorHAnsi"/>
          <w:b w:val="0"/>
          <w:bCs w:val="0"/>
          <w:lang w:val="en-GB"/>
        </w:rPr>
        <w:t xml:space="preserve">and therefore prior year comparatives have been restated accordingly. The impact of this change is to increase both cash at bank and in hand and bank overdrafts within borrowings as at 27 September 2019 by £223.4m, and by £202.9m as at 28 September 2018 in the Group’s Statement of Financial Position. This has no impact on net assets.  </w:t>
      </w:r>
    </w:p>
    <w:p w14:paraId="1C63423C" w14:textId="77777777" w:rsidR="00036B90" w:rsidRDefault="00036B90" w:rsidP="005B36AA">
      <w:pPr>
        <w:pStyle w:val="BodyText"/>
        <w:jc w:val="both"/>
        <w:rPr>
          <w:b/>
          <w:bCs/>
        </w:rPr>
      </w:pPr>
    </w:p>
    <w:p w14:paraId="26F0BA69" w14:textId="77777777" w:rsidR="005B36AA" w:rsidRPr="00D04612" w:rsidRDefault="005B36AA" w:rsidP="005B36AA">
      <w:pPr>
        <w:pStyle w:val="SectionH3"/>
      </w:pPr>
      <w:r w:rsidRPr="00D04612">
        <w:t xml:space="preserve">Going </w:t>
      </w:r>
      <w:r>
        <w:t>C</w:t>
      </w:r>
      <w:r w:rsidRPr="00D04612">
        <w:t xml:space="preserve">oncern </w:t>
      </w:r>
    </w:p>
    <w:p w14:paraId="7C2C13F9" w14:textId="6A4B13F2" w:rsidR="005B36AA" w:rsidRDefault="005B36AA" w:rsidP="005B36AA">
      <w:pPr>
        <w:pStyle w:val="Paragraph"/>
        <w:spacing w:before="0" w:after="120"/>
        <w:jc w:val="both"/>
      </w:pPr>
      <w:r w:rsidRPr="00D572E6">
        <w:t xml:space="preserve">The </w:t>
      </w:r>
      <w:r w:rsidR="00A83868">
        <w:t>D</w:t>
      </w:r>
      <w:r w:rsidRPr="00D572E6">
        <w:t>irectors, after making enquiries, have a reasonable expectation that the Group has adequate resources to continue operating as a going concern for the foreseeable future.</w:t>
      </w:r>
    </w:p>
    <w:p w14:paraId="420742C0" w14:textId="5B66CB4D" w:rsidR="005B36AA" w:rsidRDefault="005B36AA" w:rsidP="005B36AA">
      <w:pPr>
        <w:pStyle w:val="Paragraph"/>
        <w:spacing w:before="0" w:after="120"/>
        <w:jc w:val="both"/>
      </w:pPr>
      <w:r w:rsidRPr="00D572E6">
        <w:t xml:space="preserve">The implementation of </w:t>
      </w:r>
      <w:r>
        <w:t>mobility restrictions</w:t>
      </w:r>
      <w:r w:rsidRPr="00D572E6">
        <w:t xml:space="preserve"> by the UK </w:t>
      </w:r>
      <w:r w:rsidR="00A83868">
        <w:t>G</w:t>
      </w:r>
      <w:r w:rsidRPr="00D572E6">
        <w:t>overnment</w:t>
      </w:r>
      <w:r>
        <w:t xml:space="preserve"> earlier in FY20 had a material </w:t>
      </w:r>
      <w:r w:rsidRPr="00D572E6">
        <w:t>impact</w:t>
      </w:r>
      <w:r>
        <w:t xml:space="preserve"> on</w:t>
      </w:r>
      <w:r w:rsidRPr="00D572E6">
        <w:t xml:space="preserve"> the Group</w:t>
      </w:r>
      <w:r w:rsidR="007376CA">
        <w:t>’</w:t>
      </w:r>
      <w:r w:rsidRPr="00D572E6">
        <w:t>s performance</w:t>
      </w:r>
      <w:r>
        <w:t>,</w:t>
      </w:r>
      <w:r w:rsidRPr="00D572E6">
        <w:t xml:space="preserve"> with a </w:t>
      </w:r>
      <w:r w:rsidRPr="002B2DA8">
        <w:t xml:space="preserve">marked decline in revenue and profitability, followed by a gradual recovery as social restrictions eased in the second half of the year. The resurgence of COVID-19 cases across the UK led to the introduction of tiered regional restrictions in October </w:t>
      </w:r>
      <w:r w:rsidR="007376CA">
        <w:t xml:space="preserve">2020 </w:t>
      </w:r>
      <w:r w:rsidRPr="002B2DA8">
        <w:t xml:space="preserve">and this impeded the recovery in demand in food to go categories that had been evident at the end of FY20. Further mobility restrictions were reintroduced in early November </w:t>
      </w:r>
      <w:r w:rsidR="007376CA">
        <w:t xml:space="preserve">2020 </w:t>
      </w:r>
      <w:r w:rsidRPr="002B2DA8">
        <w:t xml:space="preserve">for a planned four-week period of national lockdown. </w:t>
      </w:r>
    </w:p>
    <w:p w14:paraId="2B988D01" w14:textId="059FA613" w:rsidR="005B36AA" w:rsidRDefault="005B36AA" w:rsidP="005B36AA">
      <w:pPr>
        <w:pStyle w:val="Paragraph"/>
        <w:spacing w:before="0" w:after="120"/>
        <w:jc w:val="both"/>
      </w:pPr>
      <w:r w:rsidRPr="002B2DA8">
        <w:t xml:space="preserve">The Group continues to expect that the duration and severity of the COVID-19 pandemic, including the increased restrictions on mobility implemented by </w:t>
      </w:r>
      <w:r w:rsidR="007376CA">
        <w:t xml:space="preserve">the UK </w:t>
      </w:r>
      <w:r w:rsidRPr="002B2DA8">
        <w:t>Government in early November</w:t>
      </w:r>
      <w:r w:rsidR="007376CA">
        <w:t xml:space="preserve"> 2020</w:t>
      </w:r>
      <w:r w:rsidRPr="002B2DA8">
        <w:t>, will have a material and volatile impact on its trading environment, and in particular demand in its food to go categories, in the first half of FY21.</w:t>
      </w:r>
    </w:p>
    <w:p w14:paraId="16661D42" w14:textId="30DAD9E1" w:rsidR="005B36AA" w:rsidRDefault="005B36AA" w:rsidP="005B36AA">
      <w:pPr>
        <w:pStyle w:val="Paragraph"/>
        <w:spacing w:before="0" w:after="120"/>
        <w:jc w:val="both"/>
      </w:pPr>
      <w:r w:rsidRPr="00A7686A">
        <w:lastRenderedPageBreak/>
        <w:t xml:space="preserve">Accordingly, the </w:t>
      </w:r>
      <w:r w:rsidR="00A83868">
        <w:t>D</w:t>
      </w:r>
      <w:r w:rsidRPr="00A7686A">
        <w:t xml:space="preserve">irectors have considered </w:t>
      </w:r>
      <w:proofErr w:type="gramStart"/>
      <w:r w:rsidRPr="00A7686A">
        <w:t>a number of</w:t>
      </w:r>
      <w:proofErr w:type="gramEnd"/>
      <w:r w:rsidRPr="00A7686A">
        <w:t xml:space="preserve"> scenarios </w:t>
      </w:r>
      <w:r>
        <w:t>for the next 18</w:t>
      </w:r>
      <w:r w:rsidR="00E3264A">
        <w:t xml:space="preserve"> month</w:t>
      </w:r>
      <w:r w:rsidR="000F75C5">
        <w:t>s</w:t>
      </w:r>
      <w:r>
        <w:t>. These scenarios consider</w:t>
      </w:r>
      <w:r w:rsidRPr="00A7686A">
        <w:t xml:space="preserve"> the estimated potential impact </w:t>
      </w:r>
      <w:r w:rsidRPr="00CE0B17">
        <w:t>of COVID-19 restrictions</w:t>
      </w:r>
      <w:r w:rsidRPr="00096091">
        <w:t xml:space="preserve"> </w:t>
      </w:r>
      <w:r w:rsidRPr="00A7686A">
        <w:t xml:space="preserve">on the business, along with </w:t>
      </w:r>
      <w:r>
        <w:t>the Group</w:t>
      </w:r>
      <w:r w:rsidR="004D30DE">
        <w:t>’</w:t>
      </w:r>
      <w:r>
        <w:t>s</w:t>
      </w:r>
      <w:r w:rsidRPr="00A7686A">
        <w:t xml:space="preserve"> own mitigating actions on costs and cashflows. The scenarios modelled are more sensitive to</w:t>
      </w:r>
      <w:r>
        <w:t xml:space="preserve"> volumes in</w:t>
      </w:r>
      <w:r w:rsidRPr="00A7686A">
        <w:t xml:space="preserve"> food to go categor</w:t>
      </w:r>
      <w:r>
        <w:t xml:space="preserve">ies </w:t>
      </w:r>
      <w:r w:rsidRPr="00A7686A">
        <w:t>where the exposure to</w:t>
      </w:r>
      <w:r>
        <w:t xml:space="preserve"> </w:t>
      </w:r>
      <w:r w:rsidRPr="00A7686A">
        <w:t xml:space="preserve">mobility restrictions is greater. </w:t>
      </w:r>
      <w:r>
        <w:t xml:space="preserve">Based on current levels of trading and various </w:t>
      </w:r>
      <w:r w:rsidRPr="00A7686A">
        <w:t>durations of mobility restrictions</w:t>
      </w:r>
      <w:r>
        <w:t>, t</w:t>
      </w:r>
      <w:r w:rsidRPr="00A7686A">
        <w:t xml:space="preserve">he impact on </w:t>
      </w:r>
      <w:r>
        <w:t>revenue</w:t>
      </w:r>
      <w:r w:rsidRPr="00A7686A">
        <w:t>, profit and cashflow</w:t>
      </w:r>
      <w:r w:rsidR="00036B90">
        <w:t>s</w:t>
      </w:r>
      <w:r>
        <w:t xml:space="preserve"> are modelled, including the consequential impact on working capital. </w:t>
      </w:r>
      <w:proofErr w:type="gramStart"/>
      <w:r>
        <w:t>I</w:t>
      </w:r>
      <w:r w:rsidRPr="00A7686A">
        <w:t>n particular</w:t>
      </w:r>
      <w:r>
        <w:t xml:space="preserve"> the</w:t>
      </w:r>
      <w:proofErr w:type="gramEnd"/>
      <w:r>
        <w:t xml:space="preserve"> scenarios</w:t>
      </w:r>
      <w:r w:rsidRPr="00A7686A">
        <w:t xml:space="preserve"> adjust for demand in food to go categories in the </w:t>
      </w:r>
      <w:r>
        <w:t>first half of FY21</w:t>
      </w:r>
      <w:r w:rsidRPr="00A7686A">
        <w:t xml:space="preserve"> and a gradual </w:t>
      </w:r>
      <w:r>
        <w:t>recovery thereafter</w:t>
      </w:r>
      <w:r w:rsidRPr="00A7686A">
        <w:t>. They also include modelling for potential supply disruptions associated with unplanned, temporary site closures due to COVID-19.</w:t>
      </w:r>
      <w:r w:rsidRPr="00BD45CE">
        <w:t xml:space="preserve"> </w:t>
      </w:r>
    </w:p>
    <w:p w14:paraId="667D21CD" w14:textId="67436345" w:rsidR="005B36AA" w:rsidRDefault="005B36AA" w:rsidP="005B36AA">
      <w:pPr>
        <w:pStyle w:val="Paragraph"/>
        <w:spacing w:before="0" w:after="120"/>
        <w:jc w:val="both"/>
      </w:pPr>
      <w:r w:rsidRPr="00BD45CE">
        <w:t>Under each scenario cost mitigating actions are modelled, including the utilisation of the Coronavirus Job Retention Scheme, the elimination of non-essential expenditures, and business expense rationalisation.</w:t>
      </w:r>
      <w:r w:rsidRPr="00C84223">
        <w:rPr>
          <w:rFonts w:ascii="Tahoma" w:hAnsi="Tahoma" w:cs="Tahoma"/>
          <w:sz w:val="20"/>
          <w:szCs w:val="20"/>
        </w:rPr>
        <w:t xml:space="preserve"> </w:t>
      </w:r>
      <w:r>
        <w:t xml:space="preserve">Cashflow </w:t>
      </w:r>
      <w:r w:rsidRPr="00BD45CE">
        <w:t xml:space="preserve">mitigating actions are also modelled, including a </w:t>
      </w:r>
      <w:r w:rsidR="00E3264A">
        <w:t xml:space="preserve">reduction </w:t>
      </w:r>
      <w:r w:rsidRPr="00BD45CE">
        <w:t xml:space="preserve">in </w:t>
      </w:r>
      <w:r>
        <w:t>non-business critical</w:t>
      </w:r>
      <w:r w:rsidRPr="00BD45CE">
        <w:t xml:space="preserve"> cap</w:t>
      </w:r>
      <w:r>
        <w:t>ital</w:t>
      </w:r>
      <w:r w:rsidRPr="00BD45CE">
        <w:t xml:space="preserve"> projects and further </w:t>
      </w:r>
      <w:r w:rsidR="00E3264A">
        <w:t xml:space="preserve">engagement with Trustees of the legacy defined benefit pension schemes to </w:t>
      </w:r>
      <w:r w:rsidRPr="00BD45CE">
        <w:t xml:space="preserve">defer cash contributions. </w:t>
      </w:r>
      <w:r>
        <w:t>The Group</w:t>
      </w:r>
      <w:r w:rsidRPr="00BD45CE">
        <w:t xml:space="preserve"> ha</w:t>
      </w:r>
      <w:r>
        <w:t>s</w:t>
      </w:r>
      <w:r w:rsidRPr="00BD45CE">
        <w:t xml:space="preserve"> assumed</w:t>
      </w:r>
      <w:r>
        <w:t xml:space="preserve"> that</w:t>
      </w:r>
      <w:r w:rsidRPr="00BD45CE">
        <w:t xml:space="preserve"> no significant structural changes to the business will be needed in any of the scenarios modelled.</w:t>
      </w:r>
    </w:p>
    <w:p w14:paraId="6986917B" w14:textId="5135D5B9" w:rsidR="005B36AA" w:rsidRDefault="005B36AA" w:rsidP="005B36AA">
      <w:pPr>
        <w:pStyle w:val="Paragraph"/>
        <w:tabs>
          <w:tab w:val="left" w:pos="3245"/>
        </w:tabs>
        <w:spacing w:before="0" w:after="120"/>
        <w:jc w:val="both"/>
      </w:pPr>
      <w:r>
        <w:t>The Group’s scenarios assume:</w:t>
      </w:r>
    </w:p>
    <w:p w14:paraId="6A881DFB" w14:textId="18D7D19F" w:rsidR="00D50D61" w:rsidRPr="00D50D61" w:rsidRDefault="00D50D61" w:rsidP="00D50D61">
      <w:pPr>
        <w:pStyle w:val="Paragraph"/>
        <w:numPr>
          <w:ilvl w:val="0"/>
          <w:numId w:val="26"/>
        </w:numPr>
        <w:spacing w:after="120"/>
        <w:jc w:val="both"/>
      </w:pPr>
      <w:r w:rsidRPr="00D50D61">
        <w:t xml:space="preserve">A base case </w:t>
      </w:r>
      <w:r w:rsidR="00E3264A">
        <w:t>projection</w:t>
      </w:r>
      <w:r w:rsidR="00E3264A" w:rsidRPr="00D50D61">
        <w:t xml:space="preserve"> </w:t>
      </w:r>
      <w:r w:rsidRPr="00D50D61">
        <w:t>assuming a reduction in run-rate volumes into Q1 reflective of increased mobility restrictions due to the resurgence of COVID</w:t>
      </w:r>
      <w:r w:rsidR="000F75C5">
        <w:t>-19</w:t>
      </w:r>
      <w:r w:rsidRPr="00D50D61">
        <w:t xml:space="preserve"> cases across the UK together with the nationwide lockdown from early November. This assumes an accelerated reduction in demand in food to go categories, with some partial offset via increased demand in other convenience categories. A gradual recovery is assumed in the second half of FY21, with the volume run rate in food to go categories at the end of the year assumed to be below FY19 </w:t>
      </w:r>
      <w:proofErr w:type="gramStart"/>
      <w:r w:rsidRPr="00D50D61">
        <w:t>levels</w:t>
      </w:r>
      <w:r w:rsidR="00074515">
        <w:t>;</w:t>
      </w:r>
      <w:proofErr w:type="gramEnd"/>
    </w:p>
    <w:p w14:paraId="66336D86" w14:textId="6DB46431" w:rsidR="00040221" w:rsidRDefault="005B36AA" w:rsidP="008559E5">
      <w:pPr>
        <w:pStyle w:val="Paragraph"/>
        <w:numPr>
          <w:ilvl w:val="0"/>
          <w:numId w:val="26"/>
        </w:numPr>
        <w:spacing w:before="0" w:after="120"/>
        <w:jc w:val="both"/>
      </w:pPr>
      <w:r w:rsidRPr="004E00FF">
        <w:t xml:space="preserve">A severe but plausible downside scenario is also applied to the base case, </w:t>
      </w:r>
      <w:r w:rsidR="00D50D61">
        <w:t>which includes a second further nationwide lockdown in early 2021</w:t>
      </w:r>
      <w:r w:rsidR="00343BE2">
        <w:t xml:space="preserve"> and the financial impact of several material supply side </w:t>
      </w:r>
      <w:proofErr w:type="gramStart"/>
      <w:r w:rsidR="00343BE2">
        <w:t>disruptions</w:t>
      </w:r>
      <w:r w:rsidR="00074515">
        <w:t>;</w:t>
      </w:r>
      <w:proofErr w:type="gramEnd"/>
      <w:r w:rsidR="00074515">
        <w:t xml:space="preserve"> and</w:t>
      </w:r>
    </w:p>
    <w:p w14:paraId="44599E0B" w14:textId="6719667C" w:rsidR="00547B95" w:rsidRPr="00E3264A" w:rsidRDefault="00547B95">
      <w:pPr>
        <w:pStyle w:val="Paragraph"/>
        <w:numPr>
          <w:ilvl w:val="0"/>
          <w:numId w:val="26"/>
        </w:numPr>
        <w:spacing w:before="0" w:after="120"/>
        <w:jc w:val="both"/>
      </w:pPr>
      <w:r w:rsidRPr="00E3264A">
        <w:t xml:space="preserve">A </w:t>
      </w:r>
      <w:r w:rsidR="00343BE2" w:rsidRPr="005771B0">
        <w:t xml:space="preserve">more </w:t>
      </w:r>
      <w:r w:rsidR="00033495" w:rsidRPr="005771B0">
        <w:t>severe</w:t>
      </w:r>
      <w:r w:rsidR="00F62604" w:rsidRPr="005771B0">
        <w:t xml:space="preserve"> </w:t>
      </w:r>
      <w:r w:rsidR="00033495" w:rsidRPr="005771B0">
        <w:t xml:space="preserve">downside </w:t>
      </w:r>
      <w:r w:rsidRPr="00E3264A">
        <w:t xml:space="preserve">scenario, </w:t>
      </w:r>
      <w:r w:rsidR="00A109F2" w:rsidRPr="005771B0">
        <w:t xml:space="preserve">assuming a </w:t>
      </w:r>
      <w:r w:rsidR="00DE0E3C" w:rsidRPr="005771B0">
        <w:t xml:space="preserve">slower recovery of food to go categories </w:t>
      </w:r>
      <w:r w:rsidR="00343BE2" w:rsidRPr="005771B0">
        <w:t>reflecting</w:t>
      </w:r>
      <w:r w:rsidR="00DE0E3C" w:rsidRPr="005771B0">
        <w:t xml:space="preserve"> </w:t>
      </w:r>
      <w:r w:rsidR="00A109F2" w:rsidRPr="005771B0">
        <w:t>a stricter</w:t>
      </w:r>
      <w:r w:rsidR="00DE0E3C" w:rsidRPr="005771B0">
        <w:t xml:space="preserve"> level of mobility</w:t>
      </w:r>
      <w:r w:rsidR="00B015C5" w:rsidRPr="00E3264A">
        <w:t xml:space="preserve"> restriction</w:t>
      </w:r>
      <w:r w:rsidR="00DE0E3C" w:rsidRPr="005771B0">
        <w:t>s</w:t>
      </w:r>
      <w:r w:rsidRPr="00E3264A">
        <w:t xml:space="preserve"> </w:t>
      </w:r>
      <w:r w:rsidR="00B015C5" w:rsidRPr="00E3264A">
        <w:t>continu</w:t>
      </w:r>
      <w:r w:rsidR="00DE0E3C" w:rsidRPr="005771B0">
        <w:t>ing throughout H</w:t>
      </w:r>
      <w:r w:rsidR="00343BE2" w:rsidRPr="005771B0">
        <w:t xml:space="preserve">1, a third nationwide lockdown in June, and a slower recovery in second half volumes. </w:t>
      </w:r>
      <w:r w:rsidR="00B015C5" w:rsidRPr="00E3264A">
        <w:t xml:space="preserve"> </w:t>
      </w:r>
      <w:r w:rsidR="00B015C5" w:rsidRPr="005771B0">
        <w:t>I</w:t>
      </w:r>
      <w:r w:rsidR="00EE7FB7" w:rsidRPr="005771B0">
        <w:t xml:space="preserve">n this scenario further </w:t>
      </w:r>
      <w:r w:rsidR="00B015C5" w:rsidRPr="005771B0">
        <w:t xml:space="preserve">mitigating actions </w:t>
      </w:r>
      <w:r w:rsidR="00EE7FB7" w:rsidRPr="005771B0">
        <w:t>are assumed</w:t>
      </w:r>
      <w:r w:rsidR="00B015C5" w:rsidRPr="005771B0">
        <w:t xml:space="preserve"> includ</w:t>
      </w:r>
      <w:r w:rsidR="00EE7FB7" w:rsidRPr="005771B0">
        <w:t>ing</w:t>
      </w:r>
      <w:r w:rsidR="00033495" w:rsidRPr="005771B0">
        <w:t>,</w:t>
      </w:r>
      <w:r w:rsidR="00B015C5" w:rsidRPr="005771B0">
        <w:t xml:space="preserve"> but not limited to,</w:t>
      </w:r>
      <w:r w:rsidR="00033495" w:rsidRPr="005771B0">
        <w:t xml:space="preserve"> a further</w:t>
      </w:r>
      <w:r w:rsidR="00B015C5" w:rsidRPr="005771B0">
        <w:t xml:space="preserve"> </w:t>
      </w:r>
      <w:r w:rsidR="00B015C5" w:rsidRPr="00E3264A">
        <w:t>reduction in capital expenditure</w:t>
      </w:r>
      <w:r w:rsidR="00033495" w:rsidRPr="005771B0">
        <w:t xml:space="preserve"> and </w:t>
      </w:r>
      <w:r w:rsidR="00343BE2" w:rsidRPr="005771B0">
        <w:t xml:space="preserve">a </w:t>
      </w:r>
      <w:r w:rsidR="00033495" w:rsidRPr="005771B0">
        <w:t>further reduc</w:t>
      </w:r>
      <w:r w:rsidR="00EE7FB7" w:rsidRPr="005771B0">
        <w:t>tion of the</w:t>
      </w:r>
      <w:r w:rsidR="00033495" w:rsidRPr="005771B0">
        <w:t xml:space="preserve"> indirect costs base.</w:t>
      </w:r>
    </w:p>
    <w:p w14:paraId="69D0541A" w14:textId="6E71B385" w:rsidR="005B36AA" w:rsidRPr="00ED51B3" w:rsidRDefault="005B36AA" w:rsidP="005B36AA">
      <w:pPr>
        <w:pStyle w:val="Paragraph"/>
        <w:spacing w:before="0" w:after="120"/>
        <w:jc w:val="both"/>
      </w:pPr>
      <w:r>
        <w:t xml:space="preserve">The Group </w:t>
      </w:r>
      <w:r w:rsidRPr="0081071F">
        <w:t>retain</w:t>
      </w:r>
      <w:r>
        <w:t xml:space="preserve">ed </w:t>
      </w:r>
      <w:r w:rsidRPr="0081071F">
        <w:t xml:space="preserve">financial </w:t>
      </w:r>
      <w:r w:rsidRPr="00ED51B3">
        <w:t xml:space="preserve">strength and flexibility at year end, with cash and undrawn committed bank facilities of £232.0m </w:t>
      </w:r>
      <w:proofErr w:type="gramStart"/>
      <w:r w:rsidRPr="00ED51B3">
        <w:t>at</w:t>
      </w:r>
      <w:proofErr w:type="gramEnd"/>
      <w:r w:rsidRPr="00ED51B3">
        <w:t xml:space="preserve"> 25 September 2020 (September 2019: £216.6m). The </w:t>
      </w:r>
      <w:r w:rsidR="00A83868">
        <w:t>D</w:t>
      </w:r>
      <w:r w:rsidRPr="00ED51B3">
        <w:t xml:space="preserve">irectors have taken steps to ensure adequate liquidity is available to the Group </w:t>
      </w:r>
      <w:proofErr w:type="gramStart"/>
      <w:r w:rsidRPr="00ED51B3">
        <w:t>in light of</w:t>
      </w:r>
      <w:proofErr w:type="gramEnd"/>
      <w:r w:rsidRPr="00ED51B3">
        <w:t xml:space="preserve"> the considerable uncertainty surrounding the ongoing impact of COVID-19.</w:t>
      </w:r>
    </w:p>
    <w:p w14:paraId="78375F87" w14:textId="2C0ECC28" w:rsidR="005B36AA" w:rsidRPr="00ED51B3" w:rsidRDefault="005B36AA" w:rsidP="005B36AA">
      <w:pPr>
        <w:pStyle w:val="Paragraph"/>
        <w:spacing w:before="0" w:after="120"/>
        <w:jc w:val="both"/>
      </w:pPr>
      <w:r w:rsidRPr="00ED51B3">
        <w:t xml:space="preserve">In November 2020 the Group extended the maturity of its £75m committed bank facility by </w:t>
      </w:r>
      <w:r w:rsidR="00BF3AE6">
        <w:t>two</w:t>
      </w:r>
      <w:r w:rsidR="00BF3AE6" w:rsidRPr="00ED51B3">
        <w:t xml:space="preserve"> </w:t>
      </w:r>
      <w:r w:rsidRPr="00ED51B3">
        <w:t>year</w:t>
      </w:r>
      <w:r w:rsidR="00BF3AE6">
        <w:t>s</w:t>
      </w:r>
      <w:r w:rsidRPr="00ED51B3">
        <w:t xml:space="preserve"> to March </w:t>
      </w:r>
      <w:r w:rsidR="00BF3AE6" w:rsidRPr="00ED51B3">
        <w:t>202</w:t>
      </w:r>
      <w:r w:rsidR="00BF3AE6">
        <w:t>3</w:t>
      </w:r>
      <w:r w:rsidR="00BF3AE6" w:rsidRPr="00ED51B3">
        <w:t xml:space="preserve"> </w:t>
      </w:r>
      <w:r w:rsidRPr="00ED51B3">
        <w:t xml:space="preserve">and refinanced its £50m bilateral loan for a new </w:t>
      </w:r>
      <w:proofErr w:type="gramStart"/>
      <w:r w:rsidR="000F75C5">
        <w:t xml:space="preserve">three </w:t>
      </w:r>
      <w:r w:rsidRPr="00ED51B3">
        <w:t>year</w:t>
      </w:r>
      <w:proofErr w:type="gramEnd"/>
      <w:r w:rsidRPr="00ED51B3">
        <w:t xml:space="preserve"> term maturing in </w:t>
      </w:r>
      <w:r w:rsidR="00BF3AE6">
        <w:t>January 2024</w:t>
      </w:r>
      <w:r w:rsidRPr="00ED51B3">
        <w:t>.</w:t>
      </w:r>
    </w:p>
    <w:p w14:paraId="79DFF604" w14:textId="74ADF8A6" w:rsidR="0015304C" w:rsidRPr="005771B0" w:rsidRDefault="005B36AA" w:rsidP="005771B0">
      <w:pPr>
        <w:pStyle w:val="Paragraph"/>
        <w:spacing w:before="0" w:after="120"/>
        <w:jc w:val="both"/>
      </w:pPr>
      <w:r w:rsidRPr="005771B0">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amendments to its covenant conditions with its bank lending syndicate and its Private Placement Note holders. </w:t>
      </w:r>
      <w:r w:rsidR="0015304C" w:rsidRPr="005771B0">
        <w:t>Of the key features, the Group has:</w:t>
      </w:r>
    </w:p>
    <w:p w14:paraId="2FCE7E79" w14:textId="387E47B2" w:rsidR="0015304C" w:rsidRPr="00602FBB" w:rsidRDefault="0015304C" w:rsidP="0015304C">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w:t>
      </w:r>
      <w:proofErr w:type="gramStart"/>
      <w:r w:rsidRPr="00602FBB">
        <w:rPr>
          <w:sz w:val="18"/>
          <w:szCs w:val="18"/>
        </w:rPr>
        <w:t>0x</w:t>
      </w:r>
      <w:r w:rsidR="009C1E33">
        <w:rPr>
          <w:sz w:val="18"/>
          <w:szCs w:val="18"/>
        </w:rPr>
        <w:t>;</w:t>
      </w:r>
      <w:proofErr w:type="gramEnd"/>
    </w:p>
    <w:p w14:paraId="1FD6B5E2" w14:textId="5F913C39" w:rsidR="0015304C" w:rsidRPr="00602FBB" w:rsidRDefault="0015304C" w:rsidP="0015304C">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r w:rsidR="009C1E33">
        <w:rPr>
          <w:sz w:val="18"/>
          <w:szCs w:val="18"/>
        </w:rPr>
        <w:t>;</w:t>
      </w:r>
    </w:p>
    <w:p w14:paraId="0B0C7559" w14:textId="2CD5C945" w:rsidR="0015304C" w:rsidRPr="004C6A70" w:rsidRDefault="0015304C" w:rsidP="0015304C">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9C1E33">
        <w:rPr>
          <w:sz w:val="18"/>
          <w:szCs w:val="18"/>
        </w:rPr>
        <w:t>m</w:t>
      </w:r>
      <w:r w:rsidRPr="00602FBB">
        <w:rPr>
          <w:sz w:val="18"/>
          <w:szCs w:val="18"/>
        </w:rPr>
        <w:t>-</w:t>
      </w:r>
      <w:r w:rsidR="00D85282">
        <w:rPr>
          <w:sz w:val="18"/>
          <w:szCs w:val="18"/>
        </w:rPr>
        <w:t>£</w:t>
      </w:r>
      <w:proofErr w:type="gramStart"/>
      <w:r w:rsidRPr="00602FBB">
        <w:rPr>
          <w:sz w:val="18"/>
          <w:szCs w:val="18"/>
        </w:rPr>
        <w:t>125m</w:t>
      </w:r>
      <w:r w:rsidR="009C1E33">
        <w:rPr>
          <w:sz w:val="18"/>
          <w:szCs w:val="18"/>
        </w:rPr>
        <w:t>;</w:t>
      </w:r>
      <w:proofErr w:type="gramEnd"/>
    </w:p>
    <w:p w14:paraId="77FE8D6D" w14:textId="4C5AA189" w:rsidR="0015304C" w:rsidRDefault="0015304C" w:rsidP="0015304C">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proofErr w:type="gramStart"/>
      <w:r>
        <w:rPr>
          <w:sz w:val="18"/>
          <w:szCs w:val="18"/>
        </w:rPr>
        <w:t>550m</w:t>
      </w:r>
      <w:r w:rsidR="009C1E33">
        <w:rPr>
          <w:sz w:val="18"/>
          <w:szCs w:val="18"/>
        </w:rPr>
        <w:t>;</w:t>
      </w:r>
      <w:proofErr w:type="gramEnd"/>
    </w:p>
    <w:p w14:paraId="2FD691C9" w14:textId="4BF3D338" w:rsidR="0015304C" w:rsidRDefault="0015304C" w:rsidP="0015304C">
      <w:pPr>
        <w:pStyle w:val="ListParagraph"/>
        <w:numPr>
          <w:ilvl w:val="0"/>
          <w:numId w:val="22"/>
        </w:numPr>
        <w:adjustRightInd w:val="0"/>
        <w:jc w:val="both"/>
        <w:rPr>
          <w:sz w:val="18"/>
          <w:szCs w:val="18"/>
        </w:rPr>
      </w:pPr>
      <w:r>
        <w:rPr>
          <w:sz w:val="18"/>
          <w:szCs w:val="18"/>
        </w:rPr>
        <w:t>Agreed not to proceed with final FY20 dividend and interim FY21 dividend</w:t>
      </w:r>
      <w:r w:rsidR="009C1E33">
        <w:rPr>
          <w:sz w:val="18"/>
          <w:szCs w:val="18"/>
        </w:rPr>
        <w:t>; and</w:t>
      </w:r>
    </w:p>
    <w:p w14:paraId="55A3AB8D" w14:textId="63FAEC00" w:rsidR="0015304C" w:rsidRDefault="0015304C" w:rsidP="0015304C">
      <w:pPr>
        <w:pStyle w:val="ListParagraph"/>
        <w:numPr>
          <w:ilvl w:val="0"/>
          <w:numId w:val="22"/>
        </w:numPr>
        <w:adjustRightInd w:val="0"/>
        <w:jc w:val="both"/>
        <w:rPr>
          <w:sz w:val="18"/>
          <w:szCs w:val="18"/>
        </w:rPr>
      </w:pPr>
      <w:r>
        <w:rPr>
          <w:sz w:val="18"/>
          <w:szCs w:val="18"/>
        </w:rPr>
        <w:t>Restricted acquisitions with an aggregate of £25m for the duration of the waiver period</w:t>
      </w:r>
      <w:r w:rsidR="009C1E33">
        <w:rPr>
          <w:sz w:val="18"/>
          <w:szCs w:val="18"/>
        </w:rPr>
        <w:t>.</w:t>
      </w:r>
    </w:p>
    <w:p w14:paraId="7B849457" w14:textId="77777777" w:rsidR="0015304C" w:rsidRPr="004C6A70" w:rsidRDefault="0015304C" w:rsidP="0015304C">
      <w:pPr>
        <w:adjustRightInd w:val="0"/>
        <w:ind w:left="360"/>
        <w:jc w:val="both"/>
        <w:rPr>
          <w:sz w:val="18"/>
          <w:szCs w:val="18"/>
        </w:rPr>
      </w:pPr>
    </w:p>
    <w:p w14:paraId="283BD6A7" w14:textId="6F918D7B" w:rsidR="0015304C" w:rsidRDefault="0015304C" w:rsidP="0015304C">
      <w:pPr>
        <w:adjustRightInd w:val="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072651A2" w14:textId="77777777" w:rsidR="0077667C" w:rsidRDefault="0077667C" w:rsidP="005771B0">
      <w:pPr>
        <w:adjustRightInd w:val="0"/>
        <w:jc w:val="both"/>
        <w:rPr>
          <w:sz w:val="18"/>
          <w:szCs w:val="18"/>
        </w:rPr>
      </w:pPr>
    </w:p>
    <w:p w14:paraId="43471299" w14:textId="6B9A9592" w:rsidR="00D85282" w:rsidRDefault="005B36AA">
      <w:pPr>
        <w:adjustRightInd w:val="0"/>
        <w:jc w:val="both"/>
        <w:rPr>
          <w:sz w:val="18"/>
          <w:szCs w:val="18"/>
        </w:rPr>
      </w:pPr>
      <w:r w:rsidRPr="005771B0">
        <w:rPr>
          <w:sz w:val="18"/>
          <w:szCs w:val="18"/>
        </w:rPr>
        <w:t xml:space="preserve">Based on these scenarios and the resources available to the Group, the </w:t>
      </w:r>
      <w:r w:rsidR="00A83868">
        <w:rPr>
          <w:sz w:val="18"/>
          <w:szCs w:val="18"/>
        </w:rPr>
        <w:t>D</w:t>
      </w:r>
      <w:r w:rsidRPr="005771B0">
        <w:rPr>
          <w:sz w:val="18"/>
          <w:szCs w:val="18"/>
        </w:rPr>
        <w:t>irectors believe the Group has sufficient liquidity to manage through a range of different cashflow scenarios over the next 18 months.</w:t>
      </w:r>
      <w:r w:rsidR="0015304C" w:rsidRPr="005771B0">
        <w:rPr>
          <w:sz w:val="18"/>
          <w:szCs w:val="18"/>
        </w:rPr>
        <w:t xml:space="preserve"> </w:t>
      </w:r>
      <w:r w:rsidRPr="005771B0">
        <w:rPr>
          <w:sz w:val="18"/>
          <w:szCs w:val="18"/>
        </w:rPr>
        <w:t xml:space="preserve">Accordingly, the </w:t>
      </w:r>
      <w:r w:rsidR="00A83868">
        <w:rPr>
          <w:sz w:val="18"/>
          <w:szCs w:val="18"/>
        </w:rPr>
        <w:t>D</w:t>
      </w:r>
      <w:r w:rsidRPr="005771B0">
        <w:rPr>
          <w:sz w:val="18"/>
          <w:szCs w:val="18"/>
        </w:rPr>
        <w:t>irectors adopt the going concern basis in preparing the Group Financial Statements.</w:t>
      </w:r>
      <w:r w:rsidR="0077667C">
        <w:rPr>
          <w:sz w:val="18"/>
          <w:szCs w:val="18"/>
        </w:rPr>
        <w:t xml:space="preserve"> </w:t>
      </w:r>
    </w:p>
    <w:p w14:paraId="00B4A2CA" w14:textId="77777777" w:rsidR="00D85282" w:rsidRDefault="00D85282">
      <w:pPr>
        <w:adjustRightInd w:val="0"/>
        <w:jc w:val="both"/>
        <w:rPr>
          <w:sz w:val="18"/>
          <w:szCs w:val="18"/>
        </w:rPr>
      </w:pPr>
    </w:p>
    <w:p w14:paraId="7FBB3CC0" w14:textId="2468FA4D" w:rsidR="0077667C" w:rsidRPr="005771B0" w:rsidRDefault="0077667C" w:rsidP="005771B0">
      <w:pPr>
        <w:adjustRightInd w:val="0"/>
        <w:jc w:val="both"/>
        <w:rPr>
          <w:sz w:val="18"/>
          <w:szCs w:val="18"/>
        </w:rPr>
      </w:pPr>
      <w:r>
        <w:rPr>
          <w:sz w:val="18"/>
          <w:szCs w:val="18"/>
        </w:rPr>
        <w:t xml:space="preserve">In the event that the impact of </w:t>
      </w:r>
      <w:r w:rsidR="00967E01">
        <w:rPr>
          <w:sz w:val="18"/>
          <w:szCs w:val="18"/>
        </w:rPr>
        <w:t>COVID-19</w:t>
      </w:r>
      <w:r>
        <w:rPr>
          <w:sz w:val="18"/>
          <w:szCs w:val="18"/>
        </w:rPr>
        <w:t xml:space="preserve"> restrictions </w:t>
      </w:r>
      <w:proofErr w:type="gramStart"/>
      <w:r>
        <w:rPr>
          <w:sz w:val="18"/>
          <w:szCs w:val="18"/>
        </w:rPr>
        <w:t>were</w:t>
      </w:r>
      <w:proofErr w:type="gramEnd"/>
      <w:r>
        <w:rPr>
          <w:sz w:val="18"/>
          <w:szCs w:val="18"/>
        </w:rPr>
        <w:t xml:space="preserve"> </w:t>
      </w:r>
      <w:r w:rsidRPr="005771B0">
        <w:rPr>
          <w:sz w:val="18"/>
          <w:szCs w:val="18"/>
        </w:rPr>
        <w:t>even</w:t>
      </w:r>
      <w:r>
        <w:rPr>
          <w:sz w:val="18"/>
          <w:szCs w:val="18"/>
        </w:rPr>
        <w:t xml:space="preserve"> more severe than </w:t>
      </w:r>
      <w:r w:rsidRPr="005771B0">
        <w:rPr>
          <w:sz w:val="18"/>
          <w:szCs w:val="18"/>
        </w:rPr>
        <w:t>the severe downside</w:t>
      </w:r>
      <w:r>
        <w:rPr>
          <w:sz w:val="18"/>
          <w:szCs w:val="18"/>
        </w:rPr>
        <w:t xml:space="preserve"> modelled</w:t>
      </w:r>
      <w:r w:rsidRPr="005771B0">
        <w:rPr>
          <w:sz w:val="18"/>
          <w:szCs w:val="18"/>
        </w:rPr>
        <w:t>,</w:t>
      </w:r>
      <w:r>
        <w:rPr>
          <w:sz w:val="18"/>
          <w:szCs w:val="18"/>
        </w:rPr>
        <w:t xml:space="preserve"> the Group would reengage with lenders regarding further covenant amendments and would also consider other sources of financing including equity.</w:t>
      </w:r>
    </w:p>
    <w:p w14:paraId="4F122BD9" w14:textId="77777777" w:rsidR="0015304C" w:rsidRPr="005771B0" w:rsidRDefault="0015304C" w:rsidP="005B36AA">
      <w:pPr>
        <w:adjustRightInd w:val="0"/>
        <w:jc w:val="both"/>
        <w:rPr>
          <w:sz w:val="18"/>
          <w:szCs w:val="18"/>
        </w:rPr>
      </w:pPr>
    </w:p>
    <w:p w14:paraId="0F51450E" w14:textId="77777777" w:rsidR="001150DA" w:rsidRDefault="001150DA" w:rsidP="005771B0">
      <w:pPr>
        <w:adjustRightInd w:val="0"/>
        <w:jc w:val="both"/>
      </w:pPr>
    </w:p>
    <w:p w14:paraId="3BD2F337" w14:textId="77777777" w:rsidR="005B36AA" w:rsidRPr="005625D9" w:rsidRDefault="005B36AA" w:rsidP="005B36AA">
      <w:pPr>
        <w:pStyle w:val="BodyText"/>
        <w:jc w:val="both"/>
        <w:rPr>
          <w:b/>
        </w:rPr>
      </w:pPr>
      <w:r>
        <w:rPr>
          <w:b/>
        </w:rPr>
        <w:t>New Standards and Interpretation</w:t>
      </w:r>
    </w:p>
    <w:p w14:paraId="26C9699C" w14:textId="77777777" w:rsidR="005B36AA" w:rsidRDefault="005B36AA" w:rsidP="005B36AA">
      <w:pPr>
        <w:pStyle w:val="BodyText"/>
        <w:jc w:val="both"/>
      </w:pPr>
    </w:p>
    <w:p w14:paraId="17E55D57" w14:textId="77777777" w:rsidR="005B36AA" w:rsidRDefault="005B36AA" w:rsidP="005B36AA">
      <w:pPr>
        <w:pStyle w:val="SectionH3"/>
        <w:rPr>
          <w:i/>
        </w:rPr>
      </w:pPr>
      <w:r w:rsidRPr="00194C92">
        <w:t>IFRS 16</w:t>
      </w:r>
      <w:r>
        <w:t xml:space="preserve"> </w:t>
      </w:r>
      <w:r w:rsidRPr="005D0EFF">
        <w:rPr>
          <w:i/>
        </w:rPr>
        <w:t>Leases</w:t>
      </w:r>
    </w:p>
    <w:p w14:paraId="553A9A03" w14:textId="01357BFF" w:rsidR="005B36AA" w:rsidRDefault="005B36AA" w:rsidP="005B36AA">
      <w:pPr>
        <w:pStyle w:val="Paragraph"/>
        <w:spacing w:before="0" w:after="120"/>
        <w:jc w:val="both"/>
      </w:pPr>
      <w:r w:rsidRPr="005D0EFF">
        <w:t xml:space="preserve">IFRS 16 </w:t>
      </w:r>
      <w:r w:rsidRPr="005D0EFF">
        <w:rPr>
          <w:i/>
        </w:rPr>
        <w:t>Leases</w:t>
      </w:r>
      <w:r w:rsidRPr="005D0EFF">
        <w:t xml:space="preserve"> sets out the principle for the recognition, measurement, presentation, and disclosure of leases for both lessee and lessor. It eliminates the classification of leases as either operating leases or finance leases </w:t>
      </w:r>
      <w:r w:rsidR="00BD1CE7">
        <w:t xml:space="preserve">for lessees </w:t>
      </w:r>
      <w:r w:rsidRPr="005D0EFF">
        <w:t xml:space="preserve">and introduces a single lessee accounting model where the lessee is required to recognise assets and liabilities for all material leases that have a term greater than a year. </w:t>
      </w:r>
    </w:p>
    <w:p w14:paraId="443342E6" w14:textId="6A5723FA" w:rsidR="005B36AA" w:rsidRDefault="005B36AA" w:rsidP="005B36AA">
      <w:pPr>
        <w:pStyle w:val="Paragraph"/>
        <w:spacing w:before="0" w:after="120"/>
        <w:jc w:val="both"/>
        <w:rPr>
          <w:i/>
        </w:rPr>
      </w:pPr>
      <w:r w:rsidRPr="00292B26">
        <w:t xml:space="preserve">The Group has adopted IFRS 16 </w:t>
      </w:r>
      <w:r w:rsidRPr="005D0EFF">
        <w:rPr>
          <w:i/>
        </w:rPr>
        <w:t>Leases</w:t>
      </w:r>
      <w:r w:rsidRPr="00292B26">
        <w:t xml:space="preserve"> using the modified retrospective approach. Therefore, the cumulative effect of adopting IFRS 16 </w:t>
      </w:r>
      <w:r w:rsidRPr="005D0EFF">
        <w:rPr>
          <w:i/>
        </w:rPr>
        <w:t>Leases</w:t>
      </w:r>
      <w:r w:rsidRPr="00292B26">
        <w:t xml:space="preserve"> was recognised as an adjustment to the opening balance of retained earnings </w:t>
      </w:r>
      <w:proofErr w:type="gramStart"/>
      <w:r w:rsidRPr="00292B26">
        <w:t>at</w:t>
      </w:r>
      <w:proofErr w:type="gramEnd"/>
      <w:r w:rsidRPr="00292B26">
        <w:t xml:space="preserve"> 28 September 2019 with no restatement of comparative information.</w:t>
      </w:r>
      <w:r>
        <w:t xml:space="preserve"> The adjustment to retained earnings includes the deferred tax asset recognised on transition and after adjusting for existing lease incentives now included in the right-of-use asset.</w:t>
      </w:r>
    </w:p>
    <w:p w14:paraId="7D9A5B46" w14:textId="6FEB52D5" w:rsidR="005B36AA" w:rsidRDefault="005B36AA" w:rsidP="005B36AA">
      <w:pPr>
        <w:pStyle w:val="Paragraph"/>
        <w:spacing w:before="0" w:after="120"/>
        <w:jc w:val="both"/>
      </w:pPr>
      <w:r w:rsidRPr="00292B26">
        <w:lastRenderedPageBreak/>
        <w:t xml:space="preserve">On adoption of IFRS 16 </w:t>
      </w:r>
      <w:r w:rsidRPr="005D0EFF">
        <w:rPr>
          <w:i/>
        </w:rPr>
        <w:t>Leases</w:t>
      </w:r>
      <w:r w:rsidRPr="00292B26">
        <w:t xml:space="preserve">, the </w:t>
      </w:r>
      <w:r>
        <w:t>G</w:t>
      </w:r>
      <w:r w:rsidRPr="00292B26">
        <w:t xml:space="preserve">roup recognised liabilities in relation to leases which had previously been classified as operating leases under the principles of IAS 17 </w:t>
      </w:r>
      <w:r w:rsidRPr="005D0EFF">
        <w:rPr>
          <w:i/>
        </w:rPr>
        <w:t>Leases</w:t>
      </w:r>
      <w:r w:rsidRPr="00292B26">
        <w:t>. These liabilities were measured at the present value of the remaining lease payments, discounted using the Group</w:t>
      </w:r>
      <w:r w:rsidR="004D30DE">
        <w:t>’</w:t>
      </w:r>
      <w:r w:rsidRPr="00292B26">
        <w:t>s incremental borrowing rate</w:t>
      </w:r>
      <w:r w:rsidR="004D30DE">
        <w:t xml:space="preserve"> (‘IBR’)</w:t>
      </w:r>
      <w:r w:rsidRPr="00292B26">
        <w:t xml:space="preserve"> as of 28 September 2019. </w:t>
      </w:r>
      <w:r>
        <w:t xml:space="preserve">The discount rates applied </w:t>
      </w:r>
      <w:r w:rsidR="004D30DE">
        <w:t>was determined using the</w:t>
      </w:r>
      <w:r>
        <w:t xml:space="preserve"> UK Government Bond rates and the credit spread on the Group’s borrowings. The IBR was calculated using the portfolio approach for assets with similar characteristics. </w:t>
      </w:r>
      <w:r w:rsidRPr="00292B26">
        <w:t>The weighted average incremental borrowing rate</w:t>
      </w:r>
      <w:r>
        <w:t xml:space="preserve"> applied during the year </w:t>
      </w:r>
      <w:r w:rsidR="004D30DE">
        <w:t xml:space="preserve">was </w:t>
      </w:r>
      <w:r>
        <w:t>2.2%</w:t>
      </w:r>
      <w:r w:rsidRPr="00FC568F">
        <w:t>.</w:t>
      </w:r>
    </w:p>
    <w:p w14:paraId="25AC97F3" w14:textId="77777777" w:rsidR="005B36AA" w:rsidRDefault="005B36AA" w:rsidP="005B36AA">
      <w:pPr>
        <w:pStyle w:val="Paragraph"/>
        <w:spacing w:before="0" w:after="120"/>
        <w:jc w:val="both"/>
      </w:pPr>
      <w:r w:rsidRPr="005E1FD3">
        <w:t xml:space="preserve">In applying IFRS 16 </w:t>
      </w:r>
      <w:r w:rsidRPr="006215CC">
        <w:rPr>
          <w:i/>
        </w:rPr>
        <w:t>Leases</w:t>
      </w:r>
      <w:r w:rsidRPr="005E1FD3">
        <w:t xml:space="preserve"> for the first time, the Group has used the following practical expedients permitted by the standard:</w:t>
      </w:r>
    </w:p>
    <w:p w14:paraId="694E0125" w14:textId="31D5A4CD" w:rsidR="005B36AA" w:rsidRPr="002427DE" w:rsidRDefault="005B36AA" w:rsidP="005771B0">
      <w:pPr>
        <w:pStyle w:val="ListParagraph"/>
        <w:numPr>
          <w:ilvl w:val="0"/>
          <w:numId w:val="22"/>
        </w:numPr>
        <w:adjustRightInd w:val="0"/>
        <w:contextualSpacing/>
        <w:jc w:val="both"/>
      </w:pPr>
      <w:r w:rsidRPr="005771B0">
        <w:rPr>
          <w:sz w:val="18"/>
          <w:szCs w:val="18"/>
        </w:rPr>
        <w:t xml:space="preserve">The use of a single discount rate for portfolios of leases with reasonably similar </w:t>
      </w:r>
      <w:proofErr w:type="gramStart"/>
      <w:r w:rsidRPr="005771B0">
        <w:rPr>
          <w:sz w:val="18"/>
          <w:szCs w:val="18"/>
        </w:rPr>
        <w:t>characteristics</w:t>
      </w:r>
      <w:r w:rsidR="004D30DE">
        <w:rPr>
          <w:sz w:val="18"/>
          <w:szCs w:val="18"/>
        </w:rPr>
        <w:t>;</w:t>
      </w:r>
      <w:proofErr w:type="gramEnd"/>
    </w:p>
    <w:p w14:paraId="708EC74C" w14:textId="24FB044F" w:rsidR="005B36AA" w:rsidRPr="002427DE" w:rsidRDefault="005B36AA" w:rsidP="005771B0">
      <w:pPr>
        <w:pStyle w:val="ListParagraph"/>
        <w:numPr>
          <w:ilvl w:val="0"/>
          <w:numId w:val="22"/>
        </w:numPr>
        <w:adjustRightInd w:val="0"/>
        <w:contextualSpacing/>
        <w:jc w:val="both"/>
      </w:pPr>
      <w:r w:rsidRPr="005771B0">
        <w:rPr>
          <w:sz w:val="18"/>
          <w:szCs w:val="18"/>
        </w:rPr>
        <w:t xml:space="preserve">Accounting for low value leases and leases with a remaining term of less than 12 months as </w:t>
      </w:r>
      <w:proofErr w:type="gramStart"/>
      <w:r w:rsidRPr="005771B0">
        <w:rPr>
          <w:sz w:val="18"/>
          <w:szCs w:val="18"/>
        </w:rPr>
        <w:t>at</w:t>
      </w:r>
      <w:proofErr w:type="gramEnd"/>
      <w:r w:rsidRPr="005771B0">
        <w:rPr>
          <w:sz w:val="18"/>
          <w:szCs w:val="18"/>
        </w:rPr>
        <w:t xml:space="preserve"> 28 September 2019 as an expense without recognising a right–of–use asset or a lease liability</w:t>
      </w:r>
      <w:r w:rsidR="004D30DE">
        <w:rPr>
          <w:sz w:val="18"/>
          <w:szCs w:val="18"/>
        </w:rPr>
        <w:t>; and</w:t>
      </w:r>
    </w:p>
    <w:p w14:paraId="3080AD2A" w14:textId="77777777" w:rsidR="005B36AA" w:rsidRPr="008352EB" w:rsidRDefault="005B36AA" w:rsidP="005771B0">
      <w:pPr>
        <w:pStyle w:val="ListParagraph"/>
        <w:numPr>
          <w:ilvl w:val="0"/>
          <w:numId w:val="22"/>
        </w:numPr>
        <w:adjustRightInd w:val="0"/>
        <w:contextualSpacing/>
        <w:jc w:val="both"/>
      </w:pPr>
      <w:r w:rsidRPr="005771B0">
        <w:rPr>
          <w:sz w:val="18"/>
          <w:szCs w:val="18"/>
        </w:rPr>
        <w:t>The use of hindsight in determining the lease term where the contract contains options to extend or terminate the lease.</w:t>
      </w:r>
    </w:p>
    <w:p w14:paraId="327CF9FA" w14:textId="1B35FA7F" w:rsidR="005B36AA" w:rsidRDefault="005B36AA" w:rsidP="005B36AA">
      <w:pPr>
        <w:pStyle w:val="Paragraph"/>
        <w:jc w:val="both"/>
      </w:pPr>
      <w:r>
        <w:t>The adoption of IFRS 16 had a material impact on the Group’s Consolidated Financial Statements</w:t>
      </w:r>
      <w:r w:rsidR="004D30DE">
        <w:t>. The transition adjustments and impact in FY20 are presented below and have been updated from the half year statement to include a property lease signed prior to transition.</w:t>
      </w:r>
    </w:p>
    <w:p w14:paraId="7F8EC67B" w14:textId="77777777" w:rsidR="005B36AA" w:rsidRPr="001E1407" w:rsidRDefault="005B36AA" w:rsidP="005B36AA">
      <w:pPr>
        <w:pStyle w:val="Paragraph"/>
        <w:spacing w:before="120"/>
      </w:pPr>
      <w:r>
        <w:t xml:space="preserve">Group Statement of Financial position as </w:t>
      </w:r>
      <w:proofErr w:type="gramStart"/>
      <w:r>
        <w:t>at</w:t>
      </w:r>
      <w:proofErr w:type="gramEnd"/>
      <w:r>
        <w:t xml:space="preserve"> 28 September 2019</w:t>
      </w:r>
    </w:p>
    <w:p w14:paraId="236154A5" w14:textId="7E265594" w:rsidR="005B36AA" w:rsidRPr="007B4310" w:rsidRDefault="005B36AA" w:rsidP="005B36AA">
      <w:pPr>
        <w:pStyle w:val="Paragraph"/>
        <w:numPr>
          <w:ilvl w:val="0"/>
          <w:numId w:val="14"/>
        </w:numPr>
        <w:spacing w:before="0"/>
        <w:rPr>
          <w:b/>
        </w:rPr>
      </w:pPr>
      <w:r>
        <w:t>Right-of-use leased assets</w:t>
      </w:r>
      <w:r>
        <w:tab/>
      </w:r>
      <w:r>
        <w:tab/>
        <w:t>+£50.0</w:t>
      </w:r>
      <w:r w:rsidRPr="00441362">
        <w:t>m</w:t>
      </w:r>
    </w:p>
    <w:p w14:paraId="67F9106F" w14:textId="1FAE0441" w:rsidR="005B36AA" w:rsidRDefault="005B36AA" w:rsidP="005B36AA">
      <w:pPr>
        <w:pStyle w:val="Paragraph"/>
        <w:numPr>
          <w:ilvl w:val="0"/>
          <w:numId w:val="14"/>
        </w:numPr>
        <w:spacing w:before="0"/>
      </w:pPr>
      <w:r w:rsidRPr="007B4310">
        <w:t>Lease liabilities, Net debt</w:t>
      </w:r>
      <w:r>
        <w:tab/>
      </w:r>
      <w:r>
        <w:tab/>
        <w:t>+£54.1</w:t>
      </w:r>
      <w:r w:rsidRPr="00441362">
        <w:t>m</w:t>
      </w:r>
    </w:p>
    <w:p w14:paraId="2F403EA3" w14:textId="77777777" w:rsidR="005B36AA" w:rsidRPr="001E1407" w:rsidRDefault="005B36AA" w:rsidP="005B36AA">
      <w:pPr>
        <w:pStyle w:val="Paragraph"/>
        <w:spacing w:before="120"/>
      </w:pPr>
      <w:r>
        <w:t xml:space="preserve">Group </w:t>
      </w:r>
      <w:r w:rsidRPr="001E1407">
        <w:t>Income Statement</w:t>
      </w:r>
      <w:r>
        <w:t xml:space="preserve"> for the year ended 25 September 2020</w:t>
      </w:r>
    </w:p>
    <w:p w14:paraId="4EAFBED1" w14:textId="71E60442" w:rsidR="005B36AA" w:rsidRPr="00441362" w:rsidRDefault="005B36AA" w:rsidP="005B36AA">
      <w:pPr>
        <w:pStyle w:val="Paragraph"/>
        <w:numPr>
          <w:ilvl w:val="0"/>
          <w:numId w:val="14"/>
        </w:numPr>
        <w:spacing w:before="0"/>
      </w:pPr>
      <w:r>
        <w:t>Depreciation</w:t>
      </w:r>
      <w:r>
        <w:tab/>
      </w:r>
      <w:r>
        <w:tab/>
      </w:r>
      <w:r>
        <w:tab/>
        <w:t>-£12.9</w:t>
      </w:r>
      <w:r w:rsidRPr="00441362">
        <w:t>m</w:t>
      </w:r>
    </w:p>
    <w:p w14:paraId="47383C54" w14:textId="203E3F3B" w:rsidR="005B36AA" w:rsidRDefault="005B36AA" w:rsidP="005B36AA">
      <w:pPr>
        <w:pStyle w:val="Paragraph"/>
        <w:numPr>
          <w:ilvl w:val="0"/>
          <w:numId w:val="14"/>
        </w:numPr>
        <w:spacing w:before="0"/>
      </w:pPr>
      <w:r>
        <w:t>Finance costs</w:t>
      </w:r>
      <w:r>
        <w:tab/>
      </w:r>
      <w:r>
        <w:tab/>
      </w:r>
      <w:r>
        <w:tab/>
        <w:t>-£1.2</w:t>
      </w:r>
      <w:r w:rsidRPr="00441362">
        <w:t>m</w:t>
      </w:r>
    </w:p>
    <w:p w14:paraId="536F4BA4" w14:textId="5DE23137" w:rsidR="005B36AA" w:rsidRDefault="005B36AA" w:rsidP="00AC6DCD">
      <w:pPr>
        <w:pStyle w:val="Paragraph"/>
        <w:numPr>
          <w:ilvl w:val="0"/>
          <w:numId w:val="14"/>
        </w:numPr>
        <w:spacing w:before="100" w:beforeAutospacing="1" w:after="100" w:afterAutospacing="1"/>
      </w:pPr>
      <w:r>
        <w:t>Short</w:t>
      </w:r>
      <w:r w:rsidR="0077144D">
        <w:t>-</w:t>
      </w:r>
      <w:r>
        <w:t>term and low value lease charge</w:t>
      </w:r>
      <w:r w:rsidR="00C13769">
        <w:tab/>
      </w:r>
      <w:r w:rsidRPr="00A318FE">
        <w:t>-£0.8m</w:t>
      </w:r>
    </w:p>
    <w:p w14:paraId="6FB5A658" w14:textId="77777777" w:rsidR="005B36AA" w:rsidRPr="001E1407" w:rsidRDefault="005B36AA" w:rsidP="005B36AA">
      <w:pPr>
        <w:pStyle w:val="Paragraph"/>
        <w:spacing w:before="100" w:beforeAutospacing="1"/>
      </w:pPr>
      <w:r>
        <w:t>Group</w:t>
      </w:r>
      <w:r w:rsidRPr="001E1407">
        <w:t xml:space="preserve"> Statement of Cash Flows</w:t>
      </w:r>
      <w:r>
        <w:t xml:space="preserve"> for the year ended 25 September 2020</w:t>
      </w:r>
    </w:p>
    <w:p w14:paraId="26BB8105" w14:textId="79A0911D" w:rsidR="005B36AA" w:rsidRPr="00FC568F" w:rsidRDefault="005B36AA" w:rsidP="005B36AA">
      <w:pPr>
        <w:pStyle w:val="Paragraph"/>
        <w:numPr>
          <w:ilvl w:val="0"/>
          <w:numId w:val="14"/>
        </w:numPr>
        <w:spacing w:before="0"/>
      </w:pPr>
      <w:r w:rsidRPr="00CB223B">
        <w:t>Net cash flow from operating activities</w:t>
      </w:r>
      <w:r w:rsidR="00AC6DCD">
        <w:tab/>
      </w:r>
      <w:r>
        <w:t>+</w:t>
      </w:r>
      <w:r w:rsidRPr="00FC568F">
        <w:t>£</w:t>
      </w:r>
      <w:r>
        <w:t>11.2</w:t>
      </w:r>
      <w:r w:rsidRPr="00FC568F">
        <w:t>m</w:t>
      </w:r>
    </w:p>
    <w:p w14:paraId="02516AD2" w14:textId="4987020B" w:rsidR="005B36AA" w:rsidRDefault="005B36AA" w:rsidP="005B36AA">
      <w:pPr>
        <w:pStyle w:val="Paragraph"/>
        <w:numPr>
          <w:ilvl w:val="0"/>
          <w:numId w:val="14"/>
        </w:numPr>
        <w:spacing w:before="0"/>
      </w:pPr>
      <w:r w:rsidRPr="00CB223B">
        <w:t>Net cash flow from financing activities</w:t>
      </w:r>
      <w:r>
        <w:tab/>
        <w:t>-</w:t>
      </w:r>
      <w:r w:rsidRPr="00FC568F">
        <w:t>£</w:t>
      </w:r>
      <w:r>
        <w:t>11.2</w:t>
      </w:r>
      <w:r w:rsidRPr="00FC568F">
        <w:t>m</w:t>
      </w:r>
    </w:p>
    <w:p w14:paraId="4D73D0BB" w14:textId="77777777" w:rsidR="005B36AA" w:rsidRDefault="005B36AA" w:rsidP="005B36AA">
      <w:pPr>
        <w:pStyle w:val="Paragraph"/>
        <w:spacing w:before="120" w:after="120"/>
        <w:jc w:val="both"/>
      </w:pPr>
      <w:r>
        <w:t xml:space="preserve">A reconciliation of the operating lease commitment previously reported under IAS 17 to the discounted lease creditor as </w:t>
      </w:r>
      <w:proofErr w:type="gramStart"/>
      <w:r>
        <w:t>at</w:t>
      </w:r>
      <w:proofErr w:type="gramEnd"/>
      <w:r>
        <w:t xml:space="preserve"> 28 September 2019 under IFRS 16 is as follows:</w:t>
      </w:r>
    </w:p>
    <w:tbl>
      <w:tblPr>
        <w:tblW w:w="9779" w:type="dxa"/>
        <w:jc w:val="center"/>
        <w:tblLook w:val="04A0" w:firstRow="1" w:lastRow="0" w:firstColumn="1" w:lastColumn="0" w:noHBand="0" w:noVBand="1"/>
      </w:tblPr>
      <w:tblGrid>
        <w:gridCol w:w="8787"/>
        <w:gridCol w:w="992"/>
      </w:tblGrid>
      <w:tr w:rsidR="005B36AA" w:rsidRPr="00292B26" w14:paraId="2C06BE9E" w14:textId="77777777" w:rsidTr="005B36AA">
        <w:trPr>
          <w:trHeight w:val="260"/>
          <w:jc w:val="center"/>
        </w:trPr>
        <w:tc>
          <w:tcPr>
            <w:tcW w:w="8787" w:type="dxa"/>
            <w:tcBorders>
              <w:top w:val="nil"/>
              <w:left w:val="nil"/>
              <w:bottom w:val="single" w:sz="4" w:space="0" w:color="auto"/>
              <w:right w:val="nil"/>
            </w:tcBorders>
            <w:shd w:val="clear" w:color="auto" w:fill="auto"/>
            <w:noWrap/>
            <w:vAlign w:val="center"/>
            <w:hideMark/>
          </w:tcPr>
          <w:p w14:paraId="6F1B79F6" w14:textId="77777777" w:rsidR="005B36AA" w:rsidRPr="006215CC" w:rsidRDefault="005B36AA" w:rsidP="005B36AA">
            <w:pPr>
              <w:rPr>
                <w:rFonts w:eastAsia="Times New Roman" w:cstheme="minorHAnsi"/>
                <w:sz w:val="18"/>
                <w:szCs w:val="18"/>
              </w:rPr>
            </w:pPr>
            <w:r w:rsidRPr="006215CC">
              <w:rPr>
                <w:rFonts w:eastAsia="Times New Roman" w:cstheme="minorHAnsi"/>
                <w:sz w:val="18"/>
                <w:szCs w:val="18"/>
              </w:rPr>
              <w:t> </w:t>
            </w:r>
          </w:p>
        </w:tc>
        <w:tc>
          <w:tcPr>
            <w:tcW w:w="992" w:type="dxa"/>
            <w:tcBorders>
              <w:top w:val="nil"/>
              <w:left w:val="nil"/>
              <w:bottom w:val="single" w:sz="4" w:space="0" w:color="auto"/>
              <w:right w:val="nil"/>
            </w:tcBorders>
            <w:shd w:val="clear" w:color="auto" w:fill="auto"/>
            <w:noWrap/>
            <w:vAlign w:val="bottom"/>
            <w:hideMark/>
          </w:tcPr>
          <w:p w14:paraId="0C22BF04" w14:textId="77777777" w:rsidR="005B36AA" w:rsidRPr="006215CC" w:rsidRDefault="005B36AA" w:rsidP="005B36AA">
            <w:pPr>
              <w:jc w:val="right"/>
              <w:rPr>
                <w:rFonts w:eastAsia="Times New Roman" w:cstheme="minorHAnsi"/>
                <w:b/>
                <w:bCs/>
                <w:sz w:val="18"/>
                <w:szCs w:val="18"/>
              </w:rPr>
            </w:pPr>
            <w:r w:rsidRPr="006215CC">
              <w:rPr>
                <w:rFonts w:eastAsia="Times New Roman" w:cstheme="minorHAnsi"/>
                <w:b/>
                <w:bCs/>
                <w:sz w:val="18"/>
                <w:szCs w:val="18"/>
              </w:rPr>
              <w:t>£m</w:t>
            </w:r>
          </w:p>
        </w:tc>
      </w:tr>
      <w:tr w:rsidR="005B36AA" w:rsidRPr="00292B26" w14:paraId="1B5802FE"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9CB75CA" w14:textId="77777777" w:rsidR="005B36AA" w:rsidRPr="006215CC" w:rsidRDefault="005B36AA" w:rsidP="005B36AA">
            <w:pPr>
              <w:rPr>
                <w:rFonts w:eastAsia="Times New Roman" w:cstheme="minorHAnsi"/>
                <w:sz w:val="18"/>
                <w:szCs w:val="18"/>
              </w:rPr>
            </w:pPr>
            <w:r w:rsidRPr="006215CC">
              <w:rPr>
                <w:rFonts w:eastAsia="Times New Roman" w:cstheme="minorHAnsi"/>
                <w:b/>
                <w:bCs/>
                <w:sz w:val="18"/>
                <w:szCs w:val="18"/>
              </w:rPr>
              <w:t>Operating lease commitment reconciliation</w:t>
            </w:r>
          </w:p>
        </w:tc>
        <w:tc>
          <w:tcPr>
            <w:tcW w:w="992" w:type="dxa"/>
            <w:tcBorders>
              <w:top w:val="nil"/>
              <w:left w:val="nil"/>
              <w:bottom w:val="nil"/>
              <w:right w:val="nil"/>
            </w:tcBorders>
            <w:shd w:val="clear" w:color="auto" w:fill="auto"/>
            <w:noWrap/>
            <w:vAlign w:val="bottom"/>
            <w:hideMark/>
          </w:tcPr>
          <w:p w14:paraId="2D727750" w14:textId="77777777" w:rsidR="005B36AA" w:rsidRPr="006215CC" w:rsidRDefault="005B36AA" w:rsidP="005B36AA">
            <w:pPr>
              <w:jc w:val="right"/>
              <w:rPr>
                <w:rFonts w:eastAsia="Times New Roman" w:cstheme="minorHAnsi"/>
                <w:sz w:val="18"/>
                <w:szCs w:val="18"/>
              </w:rPr>
            </w:pPr>
          </w:p>
        </w:tc>
      </w:tr>
      <w:tr w:rsidR="005B36AA" w:rsidRPr="00292B26" w14:paraId="31F4B4C3"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A779654" w14:textId="77777777" w:rsidR="005B36AA" w:rsidRPr="006215CC" w:rsidRDefault="005B36AA" w:rsidP="005B36AA">
            <w:pPr>
              <w:rPr>
                <w:rFonts w:eastAsia="Times New Roman" w:cstheme="minorHAnsi"/>
                <w:sz w:val="18"/>
                <w:szCs w:val="18"/>
              </w:rPr>
            </w:pPr>
            <w:r w:rsidRPr="006215CC">
              <w:rPr>
                <w:rFonts w:eastAsia="Times New Roman" w:cstheme="minorHAnsi"/>
                <w:sz w:val="18"/>
                <w:szCs w:val="18"/>
              </w:rPr>
              <w:t xml:space="preserve">Operating lease commitments disclosed as </w:t>
            </w:r>
            <w:proofErr w:type="gramStart"/>
            <w:r w:rsidRPr="006215CC">
              <w:rPr>
                <w:rFonts w:eastAsia="Times New Roman" w:cstheme="minorHAnsi"/>
                <w:sz w:val="18"/>
                <w:szCs w:val="18"/>
              </w:rPr>
              <w:t>at</w:t>
            </w:r>
            <w:proofErr w:type="gramEnd"/>
            <w:r w:rsidRPr="006215CC">
              <w:rPr>
                <w:rFonts w:eastAsia="Times New Roman" w:cstheme="minorHAnsi"/>
                <w:sz w:val="18"/>
                <w:szCs w:val="18"/>
              </w:rPr>
              <w:t xml:space="preserve"> 27 September 2019</w:t>
            </w:r>
          </w:p>
        </w:tc>
        <w:tc>
          <w:tcPr>
            <w:tcW w:w="992" w:type="dxa"/>
            <w:tcBorders>
              <w:top w:val="nil"/>
              <w:left w:val="nil"/>
              <w:bottom w:val="nil"/>
              <w:right w:val="nil"/>
            </w:tcBorders>
            <w:shd w:val="clear" w:color="auto" w:fill="auto"/>
            <w:noWrap/>
            <w:vAlign w:val="bottom"/>
          </w:tcPr>
          <w:p w14:paraId="78CED600" w14:textId="77777777" w:rsidR="005B36AA" w:rsidRPr="006215CC" w:rsidRDefault="005B36AA" w:rsidP="005B36AA">
            <w:pPr>
              <w:jc w:val="right"/>
              <w:rPr>
                <w:rFonts w:eastAsia="Times New Roman" w:cstheme="minorHAnsi"/>
                <w:b/>
                <w:bCs/>
                <w:sz w:val="18"/>
                <w:szCs w:val="18"/>
              </w:rPr>
            </w:pPr>
            <w:r>
              <w:rPr>
                <w:rFonts w:eastAsia="Times New Roman" w:cstheme="minorHAnsi"/>
                <w:sz w:val="18"/>
                <w:szCs w:val="18"/>
              </w:rPr>
              <w:t>48.6</w:t>
            </w:r>
          </w:p>
        </w:tc>
      </w:tr>
      <w:tr w:rsidR="004F0680" w:rsidRPr="00292B26" w14:paraId="082082F6" w14:textId="77777777" w:rsidTr="005B36AA">
        <w:trPr>
          <w:trHeight w:val="260"/>
          <w:jc w:val="center"/>
        </w:trPr>
        <w:tc>
          <w:tcPr>
            <w:tcW w:w="8787" w:type="dxa"/>
            <w:tcBorders>
              <w:top w:val="nil"/>
              <w:left w:val="nil"/>
              <w:bottom w:val="nil"/>
              <w:right w:val="nil"/>
            </w:tcBorders>
            <w:shd w:val="clear" w:color="auto" w:fill="auto"/>
            <w:noWrap/>
            <w:vAlign w:val="bottom"/>
          </w:tcPr>
          <w:p w14:paraId="13C772EF" w14:textId="77777777" w:rsidR="004F0680" w:rsidRDefault="00E202FB" w:rsidP="004F0680">
            <w:pPr>
              <w:rPr>
                <w:rFonts w:eastAsia="Times New Roman" w:cstheme="minorHAnsi"/>
                <w:sz w:val="18"/>
                <w:szCs w:val="18"/>
              </w:rPr>
            </w:pPr>
            <w:r>
              <w:rPr>
                <w:rFonts w:eastAsia="Times New Roman" w:cstheme="minorHAnsi"/>
                <w:sz w:val="18"/>
                <w:szCs w:val="18"/>
              </w:rPr>
              <w:t>A</w:t>
            </w:r>
            <w:r w:rsidR="00756CC3">
              <w:rPr>
                <w:rFonts w:eastAsia="Times New Roman" w:cstheme="minorHAnsi"/>
                <w:sz w:val="18"/>
                <w:szCs w:val="18"/>
              </w:rPr>
              <w:t>ssets not yet available for use</w:t>
            </w:r>
          </w:p>
        </w:tc>
        <w:tc>
          <w:tcPr>
            <w:tcW w:w="992" w:type="dxa"/>
            <w:tcBorders>
              <w:top w:val="nil"/>
              <w:left w:val="nil"/>
              <w:bottom w:val="nil"/>
              <w:right w:val="nil"/>
            </w:tcBorders>
            <w:shd w:val="clear" w:color="auto" w:fill="auto"/>
            <w:noWrap/>
            <w:vAlign w:val="bottom"/>
          </w:tcPr>
          <w:p w14:paraId="65910959" w14:textId="77777777" w:rsidR="004F0680" w:rsidRDefault="004F0680" w:rsidP="004F0680">
            <w:pPr>
              <w:jc w:val="right"/>
              <w:rPr>
                <w:rFonts w:eastAsia="Times New Roman" w:cstheme="minorHAnsi"/>
                <w:bCs/>
                <w:sz w:val="18"/>
                <w:szCs w:val="18"/>
              </w:rPr>
            </w:pPr>
            <w:r w:rsidRPr="00D937AB">
              <w:rPr>
                <w:rFonts w:eastAsia="Times New Roman" w:cstheme="minorHAnsi"/>
                <w:bCs/>
                <w:sz w:val="18"/>
                <w:szCs w:val="18"/>
              </w:rPr>
              <w:t>7.7</w:t>
            </w:r>
          </w:p>
        </w:tc>
      </w:tr>
      <w:tr w:rsidR="004F0680" w:rsidRPr="00292B26" w14:paraId="5C778AC4"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624CD2DC" w14:textId="77777777" w:rsidR="004F0680" w:rsidRPr="006215CC" w:rsidRDefault="004F0680" w:rsidP="004F0680">
            <w:pPr>
              <w:rPr>
                <w:rFonts w:eastAsia="Times New Roman" w:cstheme="minorHAnsi"/>
                <w:sz w:val="18"/>
                <w:szCs w:val="18"/>
              </w:rPr>
            </w:pPr>
            <w:r>
              <w:rPr>
                <w:rFonts w:eastAsia="Times New Roman" w:cstheme="minorHAnsi"/>
                <w:sz w:val="18"/>
                <w:szCs w:val="18"/>
              </w:rPr>
              <w:t>Adjustments for e</w:t>
            </w:r>
            <w:r w:rsidRPr="006215CC">
              <w:rPr>
                <w:rFonts w:eastAsia="Times New Roman" w:cstheme="minorHAnsi"/>
                <w:sz w:val="18"/>
                <w:szCs w:val="18"/>
              </w:rPr>
              <w:t>xtension</w:t>
            </w:r>
            <w:r>
              <w:rPr>
                <w:rFonts w:eastAsia="Times New Roman" w:cstheme="minorHAnsi"/>
                <w:sz w:val="18"/>
                <w:szCs w:val="18"/>
              </w:rPr>
              <w:t>s</w:t>
            </w:r>
            <w:r w:rsidRPr="006215CC">
              <w:rPr>
                <w:rFonts w:eastAsia="Times New Roman" w:cstheme="minorHAnsi"/>
                <w:sz w:val="18"/>
                <w:szCs w:val="18"/>
              </w:rPr>
              <w:t xml:space="preserve"> and termination options</w:t>
            </w:r>
          </w:p>
        </w:tc>
        <w:tc>
          <w:tcPr>
            <w:tcW w:w="992" w:type="dxa"/>
            <w:tcBorders>
              <w:top w:val="nil"/>
              <w:left w:val="nil"/>
              <w:bottom w:val="nil"/>
              <w:right w:val="nil"/>
            </w:tcBorders>
            <w:shd w:val="clear" w:color="auto" w:fill="auto"/>
            <w:noWrap/>
            <w:vAlign w:val="bottom"/>
          </w:tcPr>
          <w:p w14:paraId="3842244E" w14:textId="77777777" w:rsidR="004F0680" w:rsidRPr="00D271A2" w:rsidRDefault="004F0680" w:rsidP="004F0680">
            <w:pPr>
              <w:jc w:val="right"/>
              <w:rPr>
                <w:rFonts w:eastAsia="Times New Roman" w:cstheme="minorHAnsi"/>
                <w:bCs/>
                <w:sz w:val="18"/>
                <w:szCs w:val="18"/>
              </w:rPr>
            </w:pPr>
            <w:r>
              <w:rPr>
                <w:rFonts w:eastAsia="Times New Roman" w:cstheme="minorHAnsi"/>
                <w:bCs/>
                <w:sz w:val="18"/>
                <w:szCs w:val="18"/>
              </w:rPr>
              <w:t>1.8</w:t>
            </w:r>
          </w:p>
        </w:tc>
      </w:tr>
      <w:tr w:rsidR="004F0680" w:rsidRPr="00292B26" w14:paraId="3CF8561D" w14:textId="77777777" w:rsidTr="00D937AB">
        <w:trPr>
          <w:trHeight w:val="260"/>
          <w:jc w:val="center"/>
        </w:trPr>
        <w:tc>
          <w:tcPr>
            <w:tcW w:w="8787" w:type="dxa"/>
            <w:tcBorders>
              <w:top w:val="nil"/>
              <w:left w:val="nil"/>
              <w:right w:val="nil"/>
            </w:tcBorders>
            <w:shd w:val="clear" w:color="auto" w:fill="auto"/>
            <w:noWrap/>
            <w:vAlign w:val="bottom"/>
            <w:hideMark/>
          </w:tcPr>
          <w:p w14:paraId="71137783"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Low value and short</w:t>
            </w:r>
            <w:r>
              <w:rPr>
                <w:rFonts w:eastAsia="Times New Roman" w:cstheme="minorHAnsi"/>
                <w:sz w:val="18"/>
                <w:szCs w:val="18"/>
              </w:rPr>
              <w:t>–</w:t>
            </w:r>
            <w:r w:rsidRPr="006215CC">
              <w:rPr>
                <w:rFonts w:eastAsia="Times New Roman" w:cstheme="minorHAnsi"/>
                <w:sz w:val="18"/>
                <w:szCs w:val="18"/>
              </w:rPr>
              <w:t>term leases for which the on</w:t>
            </w:r>
            <w:r>
              <w:rPr>
                <w:rFonts w:eastAsia="Times New Roman" w:cstheme="minorHAnsi"/>
                <w:sz w:val="18"/>
                <w:szCs w:val="18"/>
              </w:rPr>
              <w:t>–</w:t>
            </w:r>
            <w:r w:rsidRPr="006215CC">
              <w:rPr>
                <w:rFonts w:eastAsia="Times New Roman" w:cstheme="minorHAnsi"/>
                <w:sz w:val="18"/>
                <w:szCs w:val="18"/>
              </w:rPr>
              <w:t>balance sheet model was not applied</w:t>
            </w:r>
          </w:p>
        </w:tc>
        <w:tc>
          <w:tcPr>
            <w:tcW w:w="992" w:type="dxa"/>
            <w:tcBorders>
              <w:top w:val="nil"/>
              <w:left w:val="nil"/>
              <w:right w:val="nil"/>
            </w:tcBorders>
            <w:shd w:val="clear" w:color="auto" w:fill="auto"/>
            <w:noWrap/>
            <w:vAlign w:val="bottom"/>
          </w:tcPr>
          <w:p w14:paraId="12DCD587" w14:textId="77777777" w:rsidR="004F0680" w:rsidRPr="00D271A2" w:rsidRDefault="004F0680" w:rsidP="004F0680">
            <w:pPr>
              <w:jc w:val="right"/>
              <w:rPr>
                <w:rFonts w:eastAsia="Times New Roman" w:cstheme="minorHAnsi"/>
                <w:bCs/>
                <w:sz w:val="18"/>
                <w:szCs w:val="18"/>
              </w:rPr>
            </w:pPr>
            <w:r w:rsidRPr="00D271A2">
              <w:rPr>
                <w:rFonts w:eastAsia="Times New Roman" w:cstheme="minorHAnsi"/>
                <w:bCs/>
                <w:sz w:val="18"/>
                <w:szCs w:val="18"/>
              </w:rPr>
              <w:t>(1.2)</w:t>
            </w:r>
          </w:p>
        </w:tc>
      </w:tr>
      <w:tr w:rsidR="004F0680" w:rsidRPr="00292B26" w14:paraId="6E01430A"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E0C679C"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 xml:space="preserve">Discounting using the Group's incremental borrowing rate as </w:t>
            </w:r>
            <w:proofErr w:type="gramStart"/>
            <w:r w:rsidRPr="006215CC">
              <w:rPr>
                <w:rFonts w:eastAsia="Times New Roman" w:cstheme="minorHAnsi"/>
                <w:sz w:val="18"/>
                <w:szCs w:val="18"/>
              </w:rPr>
              <w:t>at</w:t>
            </w:r>
            <w:proofErr w:type="gramEnd"/>
            <w:r w:rsidRPr="006215CC">
              <w:rPr>
                <w:rFonts w:eastAsia="Times New Roman" w:cstheme="minorHAnsi"/>
                <w:sz w:val="18"/>
                <w:szCs w:val="18"/>
              </w:rPr>
              <w:t xml:space="preserve"> 28 September 2019</w:t>
            </w:r>
          </w:p>
        </w:tc>
        <w:tc>
          <w:tcPr>
            <w:tcW w:w="992" w:type="dxa"/>
            <w:tcBorders>
              <w:top w:val="nil"/>
              <w:left w:val="nil"/>
              <w:bottom w:val="nil"/>
              <w:right w:val="nil"/>
            </w:tcBorders>
            <w:shd w:val="clear" w:color="auto" w:fill="auto"/>
            <w:noWrap/>
            <w:vAlign w:val="bottom"/>
          </w:tcPr>
          <w:p w14:paraId="5CEF93AD" w14:textId="77777777" w:rsidR="004F0680" w:rsidRPr="00D271A2" w:rsidRDefault="004F0680" w:rsidP="004F0680">
            <w:pPr>
              <w:jc w:val="right"/>
              <w:rPr>
                <w:rFonts w:eastAsia="Times New Roman" w:cstheme="minorHAnsi"/>
                <w:bCs/>
                <w:sz w:val="18"/>
                <w:szCs w:val="18"/>
              </w:rPr>
            </w:pPr>
            <w:r w:rsidRPr="00D271A2">
              <w:rPr>
                <w:rFonts w:eastAsia="Times New Roman" w:cstheme="minorHAnsi"/>
                <w:bCs/>
                <w:sz w:val="18"/>
                <w:szCs w:val="18"/>
              </w:rPr>
              <w:t>(2.</w:t>
            </w:r>
            <w:r>
              <w:rPr>
                <w:rFonts w:eastAsia="Times New Roman" w:cstheme="minorHAnsi"/>
                <w:bCs/>
                <w:sz w:val="18"/>
                <w:szCs w:val="18"/>
              </w:rPr>
              <w:t>8</w:t>
            </w:r>
            <w:r w:rsidRPr="00D271A2">
              <w:rPr>
                <w:rFonts w:eastAsia="Times New Roman" w:cstheme="minorHAnsi"/>
                <w:bCs/>
                <w:sz w:val="18"/>
                <w:szCs w:val="18"/>
              </w:rPr>
              <w:t>)</w:t>
            </w:r>
          </w:p>
        </w:tc>
      </w:tr>
      <w:tr w:rsidR="004F0680" w:rsidRPr="00292B26" w14:paraId="683D21B1" w14:textId="77777777" w:rsidTr="005B36AA">
        <w:trPr>
          <w:trHeight w:val="260"/>
          <w:jc w:val="center"/>
        </w:trPr>
        <w:tc>
          <w:tcPr>
            <w:tcW w:w="8787" w:type="dxa"/>
            <w:tcBorders>
              <w:top w:val="single" w:sz="4" w:space="0" w:color="auto"/>
              <w:left w:val="nil"/>
              <w:bottom w:val="single" w:sz="4" w:space="0" w:color="auto"/>
              <w:right w:val="nil"/>
            </w:tcBorders>
            <w:shd w:val="clear" w:color="auto" w:fill="auto"/>
            <w:noWrap/>
            <w:vAlign w:val="bottom"/>
            <w:hideMark/>
          </w:tcPr>
          <w:p w14:paraId="46029971" w14:textId="77777777" w:rsidR="004F0680" w:rsidRPr="006215CC" w:rsidRDefault="004F0680" w:rsidP="004F0680">
            <w:pPr>
              <w:rPr>
                <w:rFonts w:eastAsia="Times New Roman" w:cstheme="minorHAnsi"/>
                <w:sz w:val="18"/>
                <w:szCs w:val="18"/>
              </w:rPr>
            </w:pPr>
            <w:r w:rsidRPr="006215CC">
              <w:rPr>
                <w:rFonts w:eastAsia="Times New Roman" w:cstheme="minorHAnsi"/>
                <w:b/>
                <w:sz w:val="18"/>
                <w:szCs w:val="18"/>
              </w:rPr>
              <w:t xml:space="preserve">Lease liability recognised </w:t>
            </w:r>
            <w:proofErr w:type="gramStart"/>
            <w:r w:rsidRPr="006215CC">
              <w:rPr>
                <w:rFonts w:eastAsia="Times New Roman" w:cstheme="minorHAnsi"/>
                <w:b/>
                <w:sz w:val="18"/>
                <w:szCs w:val="18"/>
              </w:rPr>
              <w:t>at</w:t>
            </w:r>
            <w:proofErr w:type="gramEnd"/>
            <w:r w:rsidRPr="006215CC">
              <w:rPr>
                <w:rFonts w:eastAsia="Times New Roman" w:cstheme="minorHAnsi"/>
                <w:b/>
                <w:sz w:val="18"/>
                <w:szCs w:val="18"/>
              </w:rPr>
              <w:t xml:space="preserve"> 28 September 2019</w:t>
            </w:r>
            <w:r w:rsidRPr="006215CC">
              <w:rPr>
                <w:rFonts w:eastAsia="Times New Roman" w:cstheme="minorHAnsi"/>
                <w:sz w:val="18"/>
                <w:szCs w:val="18"/>
              </w:rPr>
              <w:t> </w:t>
            </w:r>
          </w:p>
        </w:tc>
        <w:tc>
          <w:tcPr>
            <w:tcW w:w="992" w:type="dxa"/>
            <w:tcBorders>
              <w:top w:val="single" w:sz="4" w:space="0" w:color="auto"/>
              <w:left w:val="nil"/>
              <w:bottom w:val="single" w:sz="4" w:space="0" w:color="auto"/>
              <w:right w:val="nil"/>
            </w:tcBorders>
            <w:shd w:val="clear" w:color="auto" w:fill="auto"/>
            <w:noWrap/>
            <w:vAlign w:val="bottom"/>
          </w:tcPr>
          <w:p w14:paraId="6CC54D8E" w14:textId="77777777" w:rsidR="004F0680" w:rsidRPr="006215CC" w:rsidRDefault="004F0680" w:rsidP="004F0680">
            <w:pPr>
              <w:jc w:val="right"/>
              <w:rPr>
                <w:rFonts w:eastAsia="Times New Roman" w:cstheme="minorHAnsi"/>
                <w:b/>
                <w:bCs/>
                <w:sz w:val="18"/>
                <w:szCs w:val="18"/>
              </w:rPr>
            </w:pPr>
            <w:r>
              <w:rPr>
                <w:rFonts w:eastAsia="Times New Roman" w:cstheme="minorHAnsi"/>
                <w:b/>
                <w:bCs/>
                <w:sz w:val="18"/>
                <w:szCs w:val="18"/>
              </w:rPr>
              <w:t>54.1</w:t>
            </w:r>
          </w:p>
        </w:tc>
      </w:tr>
      <w:tr w:rsidR="004F0680" w:rsidRPr="00292B26" w14:paraId="3FC54B66" w14:textId="77777777" w:rsidTr="005B36AA">
        <w:trPr>
          <w:trHeight w:val="260"/>
          <w:jc w:val="center"/>
        </w:trPr>
        <w:tc>
          <w:tcPr>
            <w:tcW w:w="8787" w:type="dxa"/>
            <w:tcBorders>
              <w:top w:val="nil"/>
              <w:left w:val="nil"/>
              <w:bottom w:val="nil"/>
              <w:right w:val="nil"/>
            </w:tcBorders>
            <w:shd w:val="clear" w:color="auto" w:fill="auto"/>
            <w:noWrap/>
            <w:vAlign w:val="bottom"/>
          </w:tcPr>
          <w:p w14:paraId="0C426CBA" w14:textId="7738542F" w:rsidR="004F0680" w:rsidRPr="006215CC" w:rsidRDefault="00074515" w:rsidP="004F0680">
            <w:pPr>
              <w:rPr>
                <w:rFonts w:eastAsia="Times New Roman" w:cstheme="minorHAnsi"/>
                <w:sz w:val="18"/>
                <w:szCs w:val="18"/>
              </w:rPr>
            </w:pPr>
            <w:r>
              <w:rPr>
                <w:rFonts w:eastAsia="Times New Roman" w:cstheme="minorHAnsi"/>
                <w:i/>
                <w:iCs/>
                <w:sz w:val="18"/>
                <w:szCs w:val="18"/>
              </w:rPr>
              <w:t>analysed as:</w:t>
            </w:r>
          </w:p>
        </w:tc>
        <w:tc>
          <w:tcPr>
            <w:tcW w:w="992" w:type="dxa"/>
            <w:tcBorders>
              <w:top w:val="nil"/>
              <w:left w:val="nil"/>
              <w:bottom w:val="nil"/>
              <w:right w:val="nil"/>
            </w:tcBorders>
            <w:shd w:val="clear" w:color="auto" w:fill="auto"/>
            <w:noWrap/>
            <w:vAlign w:val="bottom"/>
          </w:tcPr>
          <w:p w14:paraId="6B51E4D9" w14:textId="77777777" w:rsidR="004F0680" w:rsidRPr="006215CC" w:rsidRDefault="004F0680" w:rsidP="004F0680">
            <w:pPr>
              <w:jc w:val="right"/>
              <w:rPr>
                <w:rFonts w:eastAsia="Times New Roman" w:cstheme="minorHAnsi"/>
                <w:sz w:val="18"/>
                <w:szCs w:val="18"/>
              </w:rPr>
            </w:pPr>
          </w:p>
        </w:tc>
      </w:tr>
      <w:tr w:rsidR="004F0680" w:rsidRPr="00292B26" w14:paraId="270765C4" w14:textId="77777777" w:rsidTr="005B36AA">
        <w:trPr>
          <w:trHeight w:val="260"/>
          <w:jc w:val="center"/>
        </w:trPr>
        <w:tc>
          <w:tcPr>
            <w:tcW w:w="8787" w:type="dxa"/>
            <w:tcBorders>
              <w:top w:val="nil"/>
              <w:left w:val="nil"/>
              <w:bottom w:val="nil"/>
              <w:right w:val="nil"/>
            </w:tcBorders>
            <w:shd w:val="clear" w:color="auto" w:fill="auto"/>
            <w:noWrap/>
            <w:vAlign w:val="bottom"/>
          </w:tcPr>
          <w:p w14:paraId="0EEA578F"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Current liabilities</w:t>
            </w:r>
          </w:p>
        </w:tc>
        <w:tc>
          <w:tcPr>
            <w:tcW w:w="992" w:type="dxa"/>
            <w:tcBorders>
              <w:top w:val="nil"/>
              <w:left w:val="nil"/>
              <w:bottom w:val="nil"/>
              <w:right w:val="nil"/>
            </w:tcBorders>
            <w:shd w:val="clear" w:color="auto" w:fill="auto"/>
            <w:noWrap/>
            <w:vAlign w:val="bottom"/>
          </w:tcPr>
          <w:p w14:paraId="4F2DB1B6" w14:textId="77777777" w:rsidR="004F0680" w:rsidRPr="006215CC" w:rsidRDefault="004F0680" w:rsidP="004F0680">
            <w:pPr>
              <w:jc w:val="right"/>
              <w:rPr>
                <w:rFonts w:eastAsia="Times New Roman" w:cstheme="minorHAnsi"/>
                <w:sz w:val="18"/>
                <w:szCs w:val="18"/>
              </w:rPr>
            </w:pPr>
            <w:r>
              <w:rPr>
                <w:rFonts w:eastAsia="Times New Roman" w:cstheme="minorHAnsi"/>
                <w:sz w:val="18"/>
                <w:szCs w:val="18"/>
              </w:rPr>
              <w:t>13.0</w:t>
            </w:r>
          </w:p>
        </w:tc>
      </w:tr>
      <w:tr w:rsidR="004F0680" w:rsidRPr="00292B26" w14:paraId="73C2B0EB" w14:textId="77777777" w:rsidTr="005B36AA">
        <w:trPr>
          <w:trHeight w:val="260"/>
          <w:jc w:val="center"/>
        </w:trPr>
        <w:tc>
          <w:tcPr>
            <w:tcW w:w="8787" w:type="dxa"/>
            <w:tcBorders>
              <w:top w:val="nil"/>
              <w:left w:val="nil"/>
              <w:bottom w:val="nil"/>
              <w:right w:val="nil"/>
            </w:tcBorders>
            <w:shd w:val="clear" w:color="auto" w:fill="auto"/>
            <w:noWrap/>
            <w:vAlign w:val="bottom"/>
          </w:tcPr>
          <w:p w14:paraId="61D7D117"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Non</w:t>
            </w:r>
            <w:r>
              <w:rPr>
                <w:rFonts w:eastAsia="Times New Roman" w:cstheme="minorHAnsi"/>
                <w:sz w:val="18"/>
                <w:szCs w:val="18"/>
              </w:rPr>
              <w:t>–</w:t>
            </w:r>
            <w:r w:rsidRPr="006215CC">
              <w:rPr>
                <w:rFonts w:eastAsia="Times New Roman" w:cstheme="minorHAnsi"/>
                <w:sz w:val="18"/>
                <w:szCs w:val="18"/>
              </w:rPr>
              <w:t>current liabilities</w:t>
            </w:r>
          </w:p>
        </w:tc>
        <w:tc>
          <w:tcPr>
            <w:tcW w:w="992" w:type="dxa"/>
            <w:tcBorders>
              <w:top w:val="nil"/>
              <w:left w:val="nil"/>
              <w:bottom w:val="nil"/>
              <w:right w:val="nil"/>
            </w:tcBorders>
            <w:shd w:val="clear" w:color="auto" w:fill="auto"/>
            <w:noWrap/>
            <w:vAlign w:val="bottom"/>
          </w:tcPr>
          <w:p w14:paraId="2F7D44BC" w14:textId="77777777" w:rsidR="004F0680" w:rsidRPr="006215CC" w:rsidRDefault="004F0680" w:rsidP="004F0680">
            <w:pPr>
              <w:jc w:val="right"/>
              <w:rPr>
                <w:rFonts w:eastAsia="Times New Roman" w:cstheme="minorHAnsi"/>
                <w:sz w:val="18"/>
                <w:szCs w:val="18"/>
              </w:rPr>
            </w:pPr>
            <w:r>
              <w:rPr>
                <w:rFonts w:eastAsia="Times New Roman" w:cstheme="minorHAnsi"/>
                <w:sz w:val="18"/>
                <w:szCs w:val="18"/>
              </w:rPr>
              <w:t>41.1</w:t>
            </w:r>
          </w:p>
        </w:tc>
      </w:tr>
      <w:tr w:rsidR="004F0680" w:rsidRPr="00292B26" w14:paraId="33978D37" w14:textId="77777777" w:rsidTr="005B36AA">
        <w:trPr>
          <w:trHeight w:val="187"/>
          <w:jc w:val="center"/>
        </w:trPr>
        <w:tc>
          <w:tcPr>
            <w:tcW w:w="8787" w:type="dxa"/>
            <w:tcBorders>
              <w:top w:val="single" w:sz="4" w:space="0" w:color="auto"/>
              <w:left w:val="nil"/>
              <w:bottom w:val="single" w:sz="4" w:space="0" w:color="auto"/>
              <w:right w:val="nil"/>
            </w:tcBorders>
            <w:shd w:val="clear" w:color="auto" w:fill="auto"/>
            <w:noWrap/>
            <w:vAlign w:val="bottom"/>
            <w:hideMark/>
          </w:tcPr>
          <w:p w14:paraId="0F0A124C"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 </w:t>
            </w:r>
          </w:p>
        </w:tc>
        <w:tc>
          <w:tcPr>
            <w:tcW w:w="992" w:type="dxa"/>
            <w:tcBorders>
              <w:top w:val="single" w:sz="4" w:space="0" w:color="auto"/>
              <w:left w:val="nil"/>
              <w:bottom w:val="single" w:sz="4" w:space="0" w:color="auto"/>
              <w:right w:val="nil"/>
            </w:tcBorders>
            <w:shd w:val="clear" w:color="auto" w:fill="auto"/>
            <w:noWrap/>
            <w:vAlign w:val="bottom"/>
          </w:tcPr>
          <w:p w14:paraId="106CA8E2" w14:textId="77777777" w:rsidR="004F0680" w:rsidRPr="006215CC" w:rsidRDefault="004F0680" w:rsidP="004F0680">
            <w:pPr>
              <w:jc w:val="right"/>
              <w:rPr>
                <w:rFonts w:eastAsia="Times New Roman" w:cstheme="minorHAnsi"/>
                <w:b/>
                <w:bCs/>
                <w:sz w:val="18"/>
                <w:szCs w:val="18"/>
              </w:rPr>
            </w:pPr>
            <w:r>
              <w:rPr>
                <w:rFonts w:eastAsia="Times New Roman" w:cstheme="minorHAnsi"/>
                <w:b/>
                <w:bCs/>
                <w:sz w:val="18"/>
                <w:szCs w:val="18"/>
              </w:rPr>
              <w:t>54.1</w:t>
            </w:r>
          </w:p>
        </w:tc>
      </w:tr>
    </w:tbl>
    <w:p w14:paraId="581149C6" w14:textId="7724EAED" w:rsidR="005B36AA" w:rsidRDefault="00CA214F" w:rsidP="00D937AB">
      <w:pPr>
        <w:pStyle w:val="Paragraph"/>
        <w:spacing w:before="120" w:after="120"/>
        <w:jc w:val="both"/>
      </w:pPr>
      <w:r>
        <w:t xml:space="preserve">The Group has finalised the impact on transition </w:t>
      </w:r>
      <w:r w:rsidR="00E202FB">
        <w:t>to</w:t>
      </w:r>
      <w:r>
        <w:t xml:space="preserve"> IFRS 16 </w:t>
      </w:r>
      <w:r w:rsidR="003D34BB" w:rsidRPr="005771B0">
        <w:rPr>
          <w:i/>
        </w:rPr>
        <w:t>Leases</w:t>
      </w:r>
      <w:r w:rsidR="003D34BB">
        <w:t xml:space="preserve"> </w:t>
      </w:r>
      <w:r>
        <w:t>resulting in a</w:t>
      </w:r>
      <w:r w:rsidR="0032430D">
        <w:t>n</w:t>
      </w:r>
      <w:r>
        <w:t xml:space="preserve"> </w:t>
      </w:r>
      <w:r w:rsidR="003D34BB">
        <w:t>adjustment</w:t>
      </w:r>
      <w:r>
        <w:t xml:space="preserve"> </w:t>
      </w:r>
      <w:r w:rsidR="005B36AA">
        <w:t>to the right-to-use asset and lease liability on 28 September 2019</w:t>
      </w:r>
      <w:r>
        <w:t>,</w:t>
      </w:r>
      <w:r w:rsidR="005B36AA">
        <w:t xml:space="preserve"> since </w:t>
      </w:r>
      <w:r w:rsidR="003D34BB">
        <w:t xml:space="preserve">half year </w:t>
      </w:r>
      <w:r w:rsidR="005B36AA">
        <w:t xml:space="preserve">reporting on 27 March 2020. </w:t>
      </w:r>
      <w:r>
        <w:t xml:space="preserve">The </w:t>
      </w:r>
      <w:r w:rsidR="003D34BB">
        <w:t>adjustment</w:t>
      </w:r>
      <w:r w:rsidRPr="00CA214F">
        <w:t xml:space="preserve"> relates to </w:t>
      </w:r>
      <w:r w:rsidR="005B36AA" w:rsidRPr="00CA214F">
        <w:t xml:space="preserve">a property lease which was </w:t>
      </w:r>
      <w:r w:rsidRPr="005771B0">
        <w:t>entered</w:t>
      </w:r>
      <w:r w:rsidR="003D34BB">
        <w:t xml:space="preserve"> into</w:t>
      </w:r>
      <w:r w:rsidRPr="005771B0">
        <w:t xml:space="preserve"> </w:t>
      </w:r>
      <w:r>
        <w:t>during the</w:t>
      </w:r>
      <w:r w:rsidRPr="005771B0">
        <w:t xml:space="preserve"> prior year but was not available for use until the current year</w:t>
      </w:r>
      <w:r w:rsidR="003D34BB">
        <w:t xml:space="preserve"> while fit out works were underway</w:t>
      </w:r>
      <w:r w:rsidRPr="005771B0">
        <w:t>.</w:t>
      </w:r>
      <w:r w:rsidR="003D34BB">
        <w:t xml:space="preserve"> The lease had not been included in the lease commitment </w:t>
      </w:r>
      <w:proofErr w:type="gramStart"/>
      <w:r w:rsidR="003D34BB">
        <w:t>at</w:t>
      </w:r>
      <w:proofErr w:type="gramEnd"/>
      <w:r w:rsidR="003D34BB">
        <w:t xml:space="preserve"> 27 September 2019</w:t>
      </w:r>
      <w:r w:rsidR="00E202FB">
        <w:t>.</w:t>
      </w:r>
      <w:r w:rsidR="003D34BB">
        <w:t xml:space="preserve"> </w:t>
      </w:r>
      <w:r w:rsidR="005B36AA" w:rsidRPr="00CA214F">
        <w:t>Th</w:t>
      </w:r>
      <w:r w:rsidR="003D34BB">
        <w:t xml:space="preserve">e right-of-use asset has been adjusted by </w:t>
      </w:r>
      <w:r w:rsidR="005B36AA" w:rsidRPr="00CA214F">
        <w:t>£</w:t>
      </w:r>
      <w:r w:rsidR="00D937AB" w:rsidRPr="00CA214F">
        <w:t>8.8</w:t>
      </w:r>
      <w:r w:rsidR="005B36AA" w:rsidRPr="00CA214F">
        <w:t xml:space="preserve">m </w:t>
      </w:r>
      <w:r w:rsidR="00D937AB" w:rsidRPr="00CA214F">
        <w:t xml:space="preserve">which includes £1.1m dilapidations provision </w:t>
      </w:r>
      <w:r w:rsidR="005B36AA" w:rsidRPr="00CA214F">
        <w:t xml:space="preserve">and </w:t>
      </w:r>
      <w:r w:rsidR="00D937AB" w:rsidRPr="00CA214F">
        <w:t xml:space="preserve">£7.7m </w:t>
      </w:r>
      <w:r w:rsidR="005B36AA" w:rsidRPr="00CA214F">
        <w:t>lease liabilities.</w:t>
      </w:r>
      <w:r w:rsidR="005B36AA">
        <w:t xml:space="preserve"> </w:t>
      </w:r>
    </w:p>
    <w:p w14:paraId="2A48261F" w14:textId="77777777" w:rsidR="005B36AA" w:rsidRPr="001E1407" w:rsidRDefault="005B36AA" w:rsidP="005B36AA">
      <w:pPr>
        <w:pStyle w:val="Paragraph"/>
        <w:spacing w:before="120" w:after="120"/>
      </w:pPr>
      <w:r w:rsidRPr="001E1407">
        <w:t xml:space="preserve">Set out below is the new accounting policy of the Group upon adoption of IFRS 16 </w:t>
      </w:r>
      <w:r w:rsidRPr="001E1407">
        <w:rPr>
          <w:i/>
        </w:rPr>
        <w:t>Leases</w:t>
      </w:r>
      <w:r w:rsidRPr="001E1407">
        <w:t>:</w:t>
      </w:r>
    </w:p>
    <w:p w14:paraId="2CEB2A09" w14:textId="77777777" w:rsidR="005B36AA" w:rsidRDefault="005B36AA" w:rsidP="005B36AA">
      <w:pPr>
        <w:pStyle w:val="Paragraph"/>
        <w:spacing w:before="0" w:after="120"/>
        <w:jc w:val="both"/>
      </w:pPr>
      <w:r w:rsidRPr="005D0EFF">
        <w:t>The Group leases various properties, motor vehicles and equipment. Rental contracts are typically made for fixed periods but may have extension options. Lease terms are negotiated on an individual basis and contain a wide range of different terms and conditions.</w:t>
      </w:r>
    </w:p>
    <w:p w14:paraId="54B86CA4" w14:textId="77777777" w:rsidR="005B36AA" w:rsidRDefault="005B36AA" w:rsidP="005B36AA">
      <w:pPr>
        <w:pStyle w:val="Paragraph"/>
        <w:spacing w:before="0" w:after="120"/>
        <w:jc w:val="both"/>
      </w:pPr>
      <w:r w:rsidRPr="005D0EFF">
        <w:t>At inception of a contract, the Group assesses whether a contract is, or contains, a lease.</w:t>
      </w:r>
      <w:r>
        <w:t xml:space="preserve"> A right–of–use asset and lease liability are recognised at commencement for contracts containing a lease, with the exception of leases with a term of 12 months or less or leases where the underlying asset is of low value, such leases continue to be expensed through the Income Statement as incurred. </w:t>
      </w:r>
    </w:p>
    <w:p w14:paraId="422CB375" w14:textId="2E919C00" w:rsidR="005B36AA" w:rsidRDefault="005B36AA" w:rsidP="005B36AA">
      <w:pPr>
        <w:pStyle w:val="Paragraph"/>
        <w:spacing w:before="0" w:after="120"/>
        <w:jc w:val="both"/>
      </w:pPr>
      <w:r w:rsidRPr="000A12B5">
        <w:t>The lease liability is initially measured at the present value of the lease payments payable over the lease term, discounted at the incremental borrowing rate.</w:t>
      </w:r>
      <w:r>
        <w:t xml:space="preserve"> </w:t>
      </w:r>
      <w:r w:rsidR="00680C92">
        <w:t>Lease payments include fixed payments, payments for an optional renewal period and termination option payments. The lease term is the non-cancellable period of the lease, which includes options to extend the lease term where it is reasonably certain the option will be exercised. The Group has applied judgement to determine the lease term for some lease contracts that includes renewal options and break clauses.</w:t>
      </w:r>
    </w:p>
    <w:p w14:paraId="392F534A" w14:textId="77777777" w:rsidR="005B36AA" w:rsidRDefault="005B36AA" w:rsidP="005B36AA">
      <w:pPr>
        <w:pStyle w:val="Paragraph"/>
        <w:spacing w:before="0" w:after="120"/>
        <w:jc w:val="both"/>
      </w:pPr>
      <w:r>
        <w:t xml:space="preserve">Following initial recognition, the lease liability is measured at amortised cost using the effective interest method. It is remeasured when there is a change in future minimum lease payments or when the Group changes its assessment of whether it is reasonably certain to exercise an option within a contract. </w:t>
      </w:r>
    </w:p>
    <w:p w14:paraId="679B08BC" w14:textId="231A8012" w:rsidR="005B36AA" w:rsidRDefault="005B36AA" w:rsidP="005B36AA">
      <w:pPr>
        <w:pStyle w:val="Paragraph"/>
        <w:spacing w:before="0" w:after="120"/>
        <w:jc w:val="both"/>
      </w:pPr>
      <w:r w:rsidRPr="000A12B5">
        <w:lastRenderedPageBreak/>
        <w:t>The right</w:t>
      </w:r>
      <w:r>
        <w:t>–</w:t>
      </w:r>
      <w:r w:rsidRPr="000A12B5">
        <w:t>of</w:t>
      </w:r>
      <w:r>
        <w:t>–</w:t>
      </w:r>
      <w:r w:rsidRPr="000A12B5">
        <w:t>use asset is initially measured at cost, which comprises the initial amount of the lease liability adjusted for any lease payments made at or before the commencement date, plus any initial direct costs incurred and an estimate of costs to dismantle and remove the asset less any lease incentives received.</w:t>
      </w:r>
      <w:r>
        <w:t xml:space="preserve">  </w:t>
      </w:r>
      <w:r w:rsidRPr="009939E8">
        <w:t>After lease commencement, the Group measures right</w:t>
      </w:r>
      <w:r>
        <w:t>–</w:t>
      </w:r>
      <w:r w:rsidRPr="009939E8">
        <w:t>of</w:t>
      </w:r>
      <w:r>
        <w:t>–</w:t>
      </w:r>
      <w:r w:rsidRPr="009939E8">
        <w:t>use assets using a cost model</w:t>
      </w:r>
      <w:r>
        <w:t>, reflecting</w:t>
      </w:r>
      <w:r w:rsidRPr="009939E8">
        <w:t xml:space="preserve"> cost less accumulated depreciation </w:t>
      </w:r>
      <w:r>
        <w:t xml:space="preserve">and </w:t>
      </w:r>
      <w:r w:rsidRPr="009939E8">
        <w:t>impairment.</w:t>
      </w:r>
      <w:r w:rsidR="0077144D">
        <w:t xml:space="preserve"> </w:t>
      </w:r>
      <w:r w:rsidRPr="009939E8">
        <w:t>The right</w:t>
      </w:r>
      <w:r>
        <w:t>–</w:t>
      </w:r>
      <w:r w:rsidRPr="009939E8">
        <w:t>of</w:t>
      </w:r>
      <w:r>
        <w:t>–</w:t>
      </w:r>
      <w:r w:rsidRPr="009939E8">
        <w:t>us</w:t>
      </w:r>
      <w:r>
        <w:t xml:space="preserve">e asset is </w:t>
      </w:r>
      <w:r w:rsidRPr="009939E8">
        <w:t>depreciated using the straight</w:t>
      </w:r>
      <w:r>
        <w:t>–</w:t>
      </w:r>
      <w:r w:rsidRPr="009939E8">
        <w:t>line method from the commencement date to the earlier of the end of the useful life of the right</w:t>
      </w:r>
      <w:r>
        <w:t>–</w:t>
      </w:r>
      <w:r w:rsidRPr="009939E8">
        <w:t>of</w:t>
      </w:r>
      <w:r>
        <w:t>–</w:t>
      </w:r>
      <w:r w:rsidRPr="009939E8">
        <w:t xml:space="preserve">use asset or the end of lease term. </w:t>
      </w:r>
    </w:p>
    <w:p w14:paraId="67F7B1F8" w14:textId="5EF4A2B9" w:rsidR="00680C92" w:rsidRPr="005771B0" w:rsidRDefault="00680C92" w:rsidP="005B36AA">
      <w:pPr>
        <w:pStyle w:val="Paragraph"/>
        <w:spacing w:before="0" w:after="120"/>
        <w:jc w:val="both"/>
        <w:rPr>
          <w:b/>
        </w:rPr>
      </w:pPr>
      <w:r w:rsidRPr="005771B0">
        <w:rPr>
          <w:b/>
        </w:rPr>
        <w:t>IFRIC 23</w:t>
      </w:r>
    </w:p>
    <w:p w14:paraId="7A530BB2" w14:textId="7E569DA2" w:rsidR="00680C92" w:rsidRDefault="00680C92" w:rsidP="005B36AA">
      <w:pPr>
        <w:pStyle w:val="Paragraph"/>
        <w:spacing w:before="0" w:after="120"/>
        <w:jc w:val="both"/>
      </w:pPr>
      <w:r>
        <w:t xml:space="preserve">IFRIC 23 </w:t>
      </w:r>
      <w:r w:rsidRPr="005771B0">
        <w:rPr>
          <w:i/>
        </w:rPr>
        <w:t>Uncertainty over Income Tax Treatments</w:t>
      </w:r>
      <w:r>
        <w:t xml:space="preserve"> (effective date for the G</w:t>
      </w:r>
      <w:r w:rsidR="006F671F">
        <w:t>r</w:t>
      </w:r>
      <w:r>
        <w:t>oup: financial year beginning 28 September 2019). This IFRIC clarifies the accounting treatment for un</w:t>
      </w:r>
      <w:r w:rsidR="006F671F">
        <w:t>certainties in income taxes and is applied in the determination of taxable profit (or tax loss), tax bases, unused tax losses,</w:t>
      </w:r>
      <w:r w:rsidR="00D21F46">
        <w:t xml:space="preserve"> unused tax credits and tax rates, when there is uncertainty over income tax treatments under IAS 12 </w:t>
      </w:r>
      <w:r w:rsidR="00D21F46" w:rsidRPr="005771B0">
        <w:rPr>
          <w:i/>
        </w:rPr>
        <w:t>Income Taxes</w:t>
      </w:r>
      <w:r w:rsidR="00D21F46">
        <w:t xml:space="preserve">. The Group calculates current and deferred tax provisions in line with the requirements of IFRIC 23 on the basis that in calculating provisions, it applies either the ‘expected value’ method of the ‘most likely’ method for each uncertainty. There was no impact for the Group on the adoption of the standard. </w:t>
      </w:r>
    </w:p>
    <w:p w14:paraId="363681FD" w14:textId="77777777" w:rsidR="006C19A7" w:rsidRDefault="006C19A7" w:rsidP="005771B0">
      <w:pPr>
        <w:pStyle w:val="Heading2"/>
        <w:numPr>
          <w:ilvl w:val="0"/>
          <w:numId w:val="0"/>
        </w:numPr>
        <w:ind w:left="720" w:hanging="720"/>
        <w:jc w:val="both"/>
      </w:pPr>
    </w:p>
    <w:p w14:paraId="64258A6B" w14:textId="77777777" w:rsidR="005B36AA" w:rsidRPr="00B204CB" w:rsidRDefault="005B36AA" w:rsidP="0094550B">
      <w:pPr>
        <w:pStyle w:val="Heading2"/>
      </w:pPr>
      <w:r>
        <w:t>Segment Information</w:t>
      </w:r>
    </w:p>
    <w:p w14:paraId="0F3C1DF7" w14:textId="77777777" w:rsidR="005B36AA" w:rsidRDefault="005B36AA" w:rsidP="005B36AA">
      <w:pPr>
        <w:pStyle w:val="BodyText"/>
        <w:jc w:val="both"/>
      </w:pPr>
    </w:p>
    <w:p w14:paraId="10564036" w14:textId="77777777" w:rsidR="005B36AA" w:rsidRDefault="005B36AA" w:rsidP="005B36AA">
      <w:pPr>
        <w:pStyle w:val="BodyText"/>
        <w:jc w:val="both"/>
      </w:pPr>
      <w:r>
        <w:t xml:space="preserve">Convenience Foods UK &amp; Ireland is the Group’s operating segment, which represents its reporting segment. The segment incorporates many UK convenience food categories including sandwiches, salads, sushi, chilled snacking, chilled ready meals, chilled soups and sauces, chilled quiche, ambient sauces and pickles and, frozen Yorkshire Puddings as well as the Irish ingredients trading businesses. </w:t>
      </w:r>
    </w:p>
    <w:p w14:paraId="57EA02ED" w14:textId="77777777" w:rsidR="005B36AA" w:rsidRDefault="005B36AA" w:rsidP="005B36AA">
      <w:pPr>
        <w:pStyle w:val="BodyText"/>
        <w:jc w:val="both"/>
      </w:pPr>
    </w:p>
    <w:p w14:paraId="477F177D" w14:textId="30074B33" w:rsidR="005B36AA" w:rsidRDefault="005B36AA" w:rsidP="005B36AA">
      <w:pPr>
        <w:pStyle w:val="BodyText"/>
        <w:jc w:val="both"/>
      </w:pPr>
      <w:r w:rsidRPr="00BB6ADB">
        <w:t xml:space="preserve">Revenue earned individually from four customers in Convenience Foods UK &amp; </w:t>
      </w:r>
      <w:r w:rsidRPr="0023663C">
        <w:t>Ireland of £2</w:t>
      </w:r>
      <w:r>
        <w:t>74.4</w:t>
      </w:r>
      <w:r w:rsidRPr="0023663C">
        <w:t>m, £168.</w:t>
      </w:r>
      <w:r w:rsidR="00E202FB">
        <w:t>5</w:t>
      </w:r>
      <w:r w:rsidRPr="0023663C">
        <w:t>m, £146.6m and £128.9m</w:t>
      </w:r>
      <w:r w:rsidRPr="00BB6ADB">
        <w:t xml:space="preserve"> respectively represents more than </w:t>
      </w:r>
      <w:r>
        <w:t>10</w:t>
      </w:r>
      <w:r w:rsidRPr="00BB6ADB">
        <w:t>% of the Group’s revenue (2019: Revenue earned individually from four customers in Convenience Foods UK &amp; Ireland of £304.0m, £247.5m, £163.</w:t>
      </w:r>
      <w:r w:rsidR="00507A59">
        <w:t>5</w:t>
      </w:r>
      <w:r w:rsidR="00507A59" w:rsidRPr="00BB6ADB">
        <w:t xml:space="preserve">m </w:t>
      </w:r>
      <w:r w:rsidRPr="00BB6ADB">
        <w:t>and £146.9m respectively represents more than 10% of the Group’s revenue)</w:t>
      </w:r>
      <w:r>
        <w:t>.</w:t>
      </w:r>
    </w:p>
    <w:p w14:paraId="71B4E4A2" w14:textId="77777777" w:rsidR="005B36AA" w:rsidRPr="00B204CB" w:rsidRDefault="005B36AA" w:rsidP="005B36AA">
      <w:pPr>
        <w:pStyle w:val="Heading2"/>
        <w:numPr>
          <w:ilvl w:val="0"/>
          <w:numId w:val="0"/>
        </w:numPr>
        <w:jc w:val="both"/>
      </w:pPr>
    </w:p>
    <w:tbl>
      <w:tblPr>
        <w:tblW w:w="10205" w:type="dxa"/>
        <w:tblLayout w:type="fixed"/>
        <w:tblLook w:val="01E0" w:firstRow="1" w:lastRow="1" w:firstColumn="1" w:lastColumn="1" w:noHBand="0" w:noVBand="0"/>
      </w:tblPr>
      <w:tblGrid>
        <w:gridCol w:w="5669"/>
        <w:gridCol w:w="1134"/>
        <w:gridCol w:w="1134"/>
        <w:gridCol w:w="1134"/>
        <w:gridCol w:w="1134"/>
      </w:tblGrid>
      <w:tr w:rsidR="005B36AA" w14:paraId="3B34EDC7" w14:textId="77777777" w:rsidTr="005B36AA">
        <w:trPr>
          <w:trHeight w:val="23"/>
        </w:trPr>
        <w:tc>
          <w:tcPr>
            <w:tcW w:w="5669" w:type="dxa"/>
          </w:tcPr>
          <w:p w14:paraId="43B40CF8" w14:textId="77777777" w:rsidR="005B36AA" w:rsidRDefault="005B36AA" w:rsidP="005B36AA">
            <w:pPr>
              <w:pStyle w:val="TableRowHead"/>
            </w:pPr>
          </w:p>
        </w:tc>
        <w:tc>
          <w:tcPr>
            <w:tcW w:w="2268" w:type="dxa"/>
            <w:gridSpan w:val="2"/>
            <w:vAlign w:val="bottom"/>
          </w:tcPr>
          <w:p w14:paraId="6D625225" w14:textId="77777777" w:rsidR="005B36AA" w:rsidRDefault="005B36AA" w:rsidP="005B36AA">
            <w:pPr>
              <w:pStyle w:val="Subtitle"/>
            </w:pPr>
          </w:p>
        </w:tc>
        <w:tc>
          <w:tcPr>
            <w:tcW w:w="2268" w:type="dxa"/>
            <w:gridSpan w:val="2"/>
            <w:vAlign w:val="bottom"/>
          </w:tcPr>
          <w:p w14:paraId="6FF63D4A" w14:textId="77777777" w:rsidR="005B36AA" w:rsidRPr="0021053C" w:rsidRDefault="005B36AA" w:rsidP="005B36AA">
            <w:pPr>
              <w:pStyle w:val="Subtitle"/>
              <w:jc w:val="center"/>
            </w:pPr>
            <w:r>
              <w:t xml:space="preserve">         </w:t>
            </w:r>
            <w:r w:rsidRPr="0021053C">
              <w:t>Convenience Foods</w:t>
            </w:r>
          </w:p>
          <w:p w14:paraId="549A36CB" w14:textId="77777777" w:rsidR="005B36AA" w:rsidRPr="008C0A7B" w:rsidRDefault="005B36AA" w:rsidP="005B36AA">
            <w:pPr>
              <w:pStyle w:val="Subtitle"/>
              <w:jc w:val="center"/>
            </w:pPr>
            <w:r>
              <w:t xml:space="preserve">         </w:t>
            </w:r>
            <w:r w:rsidRPr="0021053C">
              <w:t>UK &amp; Ireland</w:t>
            </w:r>
          </w:p>
        </w:tc>
      </w:tr>
      <w:tr w:rsidR="005B36AA" w14:paraId="1827871B" w14:textId="77777777" w:rsidTr="005B36AA">
        <w:trPr>
          <w:trHeight w:val="23"/>
        </w:trPr>
        <w:tc>
          <w:tcPr>
            <w:tcW w:w="5669" w:type="dxa"/>
            <w:tcBorders>
              <w:bottom w:val="single" w:sz="4" w:space="0" w:color="000000"/>
            </w:tcBorders>
          </w:tcPr>
          <w:p w14:paraId="7892B193" w14:textId="77777777" w:rsidR="005B36AA" w:rsidRDefault="005B36AA" w:rsidP="005B36AA">
            <w:pPr>
              <w:pStyle w:val="TableRowHead"/>
            </w:pPr>
          </w:p>
        </w:tc>
        <w:tc>
          <w:tcPr>
            <w:tcW w:w="1134" w:type="dxa"/>
            <w:tcBorders>
              <w:bottom w:val="single" w:sz="4" w:space="0" w:color="000000"/>
            </w:tcBorders>
            <w:vAlign w:val="bottom"/>
          </w:tcPr>
          <w:p w14:paraId="2EB33CC7" w14:textId="77777777" w:rsidR="005B36AA" w:rsidRDefault="005B36AA" w:rsidP="005B36AA">
            <w:pPr>
              <w:pStyle w:val="Subtitle"/>
            </w:pPr>
          </w:p>
        </w:tc>
        <w:tc>
          <w:tcPr>
            <w:tcW w:w="1134" w:type="dxa"/>
            <w:tcBorders>
              <w:bottom w:val="single" w:sz="4" w:space="0" w:color="000000"/>
            </w:tcBorders>
            <w:vAlign w:val="bottom"/>
          </w:tcPr>
          <w:p w14:paraId="2D2F792F" w14:textId="77777777" w:rsidR="005B36AA" w:rsidRPr="00337BE4" w:rsidRDefault="005B36AA" w:rsidP="005B36AA">
            <w:pPr>
              <w:pStyle w:val="Subtitle"/>
              <w:rPr>
                <w:b w:val="0"/>
              </w:rPr>
            </w:pPr>
          </w:p>
        </w:tc>
        <w:tc>
          <w:tcPr>
            <w:tcW w:w="1134" w:type="dxa"/>
            <w:tcBorders>
              <w:bottom w:val="single" w:sz="4" w:space="0" w:color="000000"/>
            </w:tcBorders>
            <w:vAlign w:val="bottom"/>
          </w:tcPr>
          <w:p w14:paraId="1148C037" w14:textId="77777777" w:rsidR="005B36AA" w:rsidRDefault="005B36AA" w:rsidP="005B36AA">
            <w:pPr>
              <w:pStyle w:val="Subtitle"/>
            </w:pPr>
            <w:r>
              <w:t xml:space="preserve">          2020</w:t>
            </w:r>
            <w:r>
              <w:br/>
            </w:r>
            <w:r w:rsidRPr="00FD0B2E">
              <w:t>£m</w:t>
            </w:r>
          </w:p>
        </w:tc>
        <w:tc>
          <w:tcPr>
            <w:tcW w:w="1134" w:type="dxa"/>
            <w:tcBorders>
              <w:bottom w:val="single" w:sz="4" w:space="0" w:color="000000"/>
            </w:tcBorders>
            <w:vAlign w:val="bottom"/>
          </w:tcPr>
          <w:p w14:paraId="2F02C40A" w14:textId="77777777" w:rsidR="005B36AA" w:rsidRPr="00337BE4" w:rsidRDefault="005B36AA" w:rsidP="005B36AA">
            <w:pPr>
              <w:pStyle w:val="Subtitle"/>
              <w:rPr>
                <w:b w:val="0"/>
              </w:rPr>
            </w:pPr>
            <w:r>
              <w:rPr>
                <w:b w:val="0"/>
              </w:rPr>
              <w:t>2019</w:t>
            </w:r>
            <w:r w:rsidRPr="00337BE4">
              <w:rPr>
                <w:b w:val="0"/>
              </w:rPr>
              <w:br/>
              <w:t>£m</w:t>
            </w:r>
          </w:p>
        </w:tc>
      </w:tr>
      <w:tr w:rsidR="005B36AA" w14:paraId="389B5BEF" w14:textId="77777777" w:rsidTr="005B36AA">
        <w:trPr>
          <w:trHeight w:val="23"/>
        </w:trPr>
        <w:tc>
          <w:tcPr>
            <w:tcW w:w="5669" w:type="dxa"/>
            <w:tcBorders>
              <w:top w:val="single" w:sz="4" w:space="0" w:color="000000"/>
              <w:bottom w:val="single" w:sz="6" w:space="0" w:color="auto"/>
            </w:tcBorders>
          </w:tcPr>
          <w:p w14:paraId="3F76D79F" w14:textId="77777777" w:rsidR="005B36AA" w:rsidRPr="00803BA2" w:rsidRDefault="005B36AA" w:rsidP="005B36AA">
            <w:pPr>
              <w:pStyle w:val="TableRowHead"/>
              <w:rPr>
                <w:b/>
              </w:rPr>
            </w:pPr>
            <w:r w:rsidRPr="00803BA2">
              <w:rPr>
                <w:b/>
              </w:rPr>
              <w:t>Revenue</w:t>
            </w:r>
          </w:p>
        </w:tc>
        <w:tc>
          <w:tcPr>
            <w:tcW w:w="1134" w:type="dxa"/>
            <w:tcBorders>
              <w:top w:val="single" w:sz="4" w:space="0" w:color="000000"/>
              <w:bottom w:val="single" w:sz="6" w:space="0" w:color="auto"/>
            </w:tcBorders>
            <w:vAlign w:val="bottom"/>
          </w:tcPr>
          <w:p w14:paraId="4D3ACD2C" w14:textId="77777777" w:rsidR="005B36AA" w:rsidRDefault="005B36AA" w:rsidP="005B36AA">
            <w:pPr>
              <w:pStyle w:val="Subtitle"/>
            </w:pPr>
          </w:p>
        </w:tc>
        <w:tc>
          <w:tcPr>
            <w:tcW w:w="1134" w:type="dxa"/>
            <w:tcBorders>
              <w:top w:val="single" w:sz="4" w:space="0" w:color="000000"/>
              <w:bottom w:val="single" w:sz="6" w:space="0" w:color="auto"/>
            </w:tcBorders>
            <w:vAlign w:val="bottom"/>
          </w:tcPr>
          <w:p w14:paraId="63DDE5BA" w14:textId="77777777" w:rsidR="005B36AA" w:rsidRPr="00337BE4" w:rsidRDefault="005B36AA" w:rsidP="005B36AA">
            <w:pPr>
              <w:pStyle w:val="Subtitle"/>
              <w:rPr>
                <w:b w:val="0"/>
              </w:rPr>
            </w:pPr>
          </w:p>
        </w:tc>
        <w:tc>
          <w:tcPr>
            <w:tcW w:w="1134" w:type="dxa"/>
            <w:tcBorders>
              <w:top w:val="single" w:sz="4" w:space="0" w:color="000000"/>
              <w:bottom w:val="single" w:sz="6" w:space="0" w:color="auto"/>
            </w:tcBorders>
            <w:vAlign w:val="bottom"/>
          </w:tcPr>
          <w:p w14:paraId="52C2FB1E" w14:textId="77777777" w:rsidR="005B36AA" w:rsidRPr="00D96688" w:rsidRDefault="005B36AA" w:rsidP="005B36AA">
            <w:pPr>
              <w:pStyle w:val="Subtitle"/>
              <w:rPr>
                <w:rFonts w:cstheme="minorHAnsi"/>
              </w:rPr>
            </w:pPr>
            <w:r>
              <w:rPr>
                <w:rFonts w:cstheme="minorHAnsi"/>
              </w:rPr>
              <w:t>1,264.7</w:t>
            </w:r>
          </w:p>
        </w:tc>
        <w:tc>
          <w:tcPr>
            <w:tcW w:w="1134" w:type="dxa"/>
            <w:tcBorders>
              <w:top w:val="single" w:sz="4" w:space="0" w:color="000000"/>
              <w:bottom w:val="single" w:sz="6" w:space="0" w:color="auto"/>
            </w:tcBorders>
            <w:vAlign w:val="bottom"/>
          </w:tcPr>
          <w:p w14:paraId="1D2892FB" w14:textId="77777777" w:rsidR="005B36AA" w:rsidRPr="006D1BD0" w:rsidRDefault="005B36AA" w:rsidP="005B36AA">
            <w:pPr>
              <w:pStyle w:val="Subtitle"/>
              <w:rPr>
                <w:rFonts w:cstheme="minorHAnsi"/>
                <w:b w:val="0"/>
              </w:rPr>
            </w:pPr>
            <w:r w:rsidRPr="006D1BD0">
              <w:rPr>
                <w:rFonts w:cstheme="minorHAnsi"/>
                <w:b w:val="0"/>
              </w:rPr>
              <w:t>1,446.1</w:t>
            </w:r>
          </w:p>
        </w:tc>
      </w:tr>
      <w:tr w:rsidR="005B36AA" w14:paraId="3629A346" w14:textId="77777777" w:rsidTr="005B36AA">
        <w:trPr>
          <w:trHeight w:val="23"/>
        </w:trPr>
        <w:tc>
          <w:tcPr>
            <w:tcW w:w="5669" w:type="dxa"/>
            <w:tcBorders>
              <w:top w:val="single" w:sz="6" w:space="0" w:color="auto"/>
            </w:tcBorders>
          </w:tcPr>
          <w:p w14:paraId="3B22B4DE" w14:textId="77777777" w:rsidR="005B36AA" w:rsidRPr="00803BA2" w:rsidRDefault="005B36AA" w:rsidP="005B36AA">
            <w:pPr>
              <w:pStyle w:val="TableRowHead"/>
              <w:rPr>
                <w:b/>
              </w:rPr>
            </w:pPr>
            <w:r w:rsidRPr="00803BA2">
              <w:rPr>
                <w:b/>
              </w:rPr>
              <w:t>Group operating profit before exceptional items and amortisation</w:t>
            </w:r>
          </w:p>
          <w:p w14:paraId="3D8188B5" w14:textId="77777777" w:rsidR="005B36AA" w:rsidRPr="00803BA2" w:rsidRDefault="005B36AA" w:rsidP="005B36AA">
            <w:pPr>
              <w:pStyle w:val="TableRowHead"/>
              <w:rPr>
                <w:b/>
              </w:rPr>
            </w:pPr>
            <w:r w:rsidRPr="00803BA2">
              <w:rPr>
                <w:b/>
              </w:rPr>
              <w:t>of acquisition related intangible assets</w:t>
            </w:r>
          </w:p>
        </w:tc>
        <w:tc>
          <w:tcPr>
            <w:tcW w:w="1134" w:type="dxa"/>
            <w:tcBorders>
              <w:top w:val="single" w:sz="6" w:space="0" w:color="auto"/>
            </w:tcBorders>
            <w:vAlign w:val="bottom"/>
          </w:tcPr>
          <w:p w14:paraId="2D665C59" w14:textId="77777777" w:rsidR="005B36AA" w:rsidRPr="002514C5" w:rsidRDefault="005B36AA" w:rsidP="005B36AA">
            <w:pPr>
              <w:pStyle w:val="Subtitle"/>
              <w:rPr>
                <w:iCs/>
                <w:sz w:val="17"/>
              </w:rPr>
            </w:pPr>
          </w:p>
        </w:tc>
        <w:tc>
          <w:tcPr>
            <w:tcW w:w="1134" w:type="dxa"/>
            <w:tcBorders>
              <w:top w:val="single" w:sz="6" w:space="0" w:color="auto"/>
            </w:tcBorders>
            <w:vAlign w:val="bottom"/>
          </w:tcPr>
          <w:p w14:paraId="4AF19EF1" w14:textId="77777777" w:rsidR="005B36AA" w:rsidRPr="00337BE4" w:rsidRDefault="005B36AA" w:rsidP="005B36AA">
            <w:pPr>
              <w:pStyle w:val="Subtitle"/>
              <w:rPr>
                <w:b w:val="0"/>
              </w:rPr>
            </w:pPr>
          </w:p>
        </w:tc>
        <w:tc>
          <w:tcPr>
            <w:tcW w:w="1134" w:type="dxa"/>
            <w:tcBorders>
              <w:top w:val="single" w:sz="6" w:space="0" w:color="auto"/>
            </w:tcBorders>
            <w:vAlign w:val="bottom"/>
          </w:tcPr>
          <w:p w14:paraId="326B70DF" w14:textId="77777777" w:rsidR="005B36AA" w:rsidRPr="00D96688" w:rsidRDefault="005B36AA" w:rsidP="005B36AA">
            <w:pPr>
              <w:pStyle w:val="Subtitle"/>
              <w:rPr>
                <w:rFonts w:cstheme="minorHAnsi"/>
              </w:rPr>
            </w:pPr>
            <w:r>
              <w:rPr>
                <w:rFonts w:cstheme="minorHAnsi"/>
              </w:rPr>
              <w:t>32.5</w:t>
            </w:r>
          </w:p>
        </w:tc>
        <w:tc>
          <w:tcPr>
            <w:tcW w:w="1134" w:type="dxa"/>
            <w:tcBorders>
              <w:top w:val="single" w:sz="6" w:space="0" w:color="auto"/>
            </w:tcBorders>
            <w:vAlign w:val="bottom"/>
          </w:tcPr>
          <w:p w14:paraId="5ED5F560" w14:textId="77777777" w:rsidR="005B36AA" w:rsidRPr="006D1BD0" w:rsidRDefault="005B36AA" w:rsidP="005B36AA">
            <w:pPr>
              <w:pStyle w:val="Subtitle"/>
              <w:rPr>
                <w:rFonts w:cstheme="minorHAnsi"/>
                <w:b w:val="0"/>
              </w:rPr>
            </w:pPr>
          </w:p>
          <w:p w14:paraId="51333FF6" w14:textId="77777777" w:rsidR="005B36AA" w:rsidRPr="006D1BD0" w:rsidRDefault="005B36AA" w:rsidP="005B36AA">
            <w:pPr>
              <w:pStyle w:val="Subtitle"/>
              <w:rPr>
                <w:rFonts w:cstheme="minorHAnsi"/>
                <w:b w:val="0"/>
              </w:rPr>
            </w:pPr>
            <w:r w:rsidRPr="006D1BD0">
              <w:rPr>
                <w:rFonts w:cstheme="minorHAnsi"/>
                <w:b w:val="0"/>
              </w:rPr>
              <w:t>105.5</w:t>
            </w:r>
          </w:p>
        </w:tc>
      </w:tr>
      <w:tr w:rsidR="005B36AA" w14:paraId="501E9A84" w14:textId="77777777" w:rsidTr="005B36AA">
        <w:trPr>
          <w:trHeight w:val="23"/>
        </w:trPr>
        <w:tc>
          <w:tcPr>
            <w:tcW w:w="5669" w:type="dxa"/>
          </w:tcPr>
          <w:p w14:paraId="76698546" w14:textId="77777777" w:rsidR="005B36AA" w:rsidRDefault="005B36AA" w:rsidP="005B36AA">
            <w:pPr>
              <w:pStyle w:val="TableRowHead"/>
            </w:pPr>
            <w:r>
              <w:t xml:space="preserve">Amortisation of acquisition related intangible assets </w:t>
            </w:r>
          </w:p>
        </w:tc>
        <w:tc>
          <w:tcPr>
            <w:tcW w:w="1134" w:type="dxa"/>
            <w:vAlign w:val="bottom"/>
          </w:tcPr>
          <w:p w14:paraId="492ACE42" w14:textId="77777777" w:rsidR="005B36AA" w:rsidRDefault="005B36AA" w:rsidP="005B36AA">
            <w:pPr>
              <w:pStyle w:val="Subtitle"/>
            </w:pPr>
          </w:p>
        </w:tc>
        <w:tc>
          <w:tcPr>
            <w:tcW w:w="1134" w:type="dxa"/>
            <w:vAlign w:val="bottom"/>
          </w:tcPr>
          <w:p w14:paraId="0A378F53" w14:textId="77777777" w:rsidR="005B36AA" w:rsidRPr="00337BE4" w:rsidRDefault="005B36AA" w:rsidP="005B36AA">
            <w:pPr>
              <w:pStyle w:val="Subtitle"/>
              <w:rPr>
                <w:b w:val="0"/>
              </w:rPr>
            </w:pPr>
          </w:p>
        </w:tc>
        <w:tc>
          <w:tcPr>
            <w:tcW w:w="1134" w:type="dxa"/>
            <w:vAlign w:val="bottom"/>
          </w:tcPr>
          <w:p w14:paraId="1082125C" w14:textId="77777777" w:rsidR="005B36AA" w:rsidRPr="00D96688" w:rsidRDefault="005B36AA" w:rsidP="005B36AA">
            <w:pPr>
              <w:pStyle w:val="Subtitle"/>
              <w:rPr>
                <w:rFonts w:cstheme="minorHAnsi"/>
              </w:rPr>
            </w:pPr>
            <w:r>
              <w:rPr>
                <w:rFonts w:cstheme="minorHAnsi"/>
              </w:rPr>
              <w:t>(3.9)</w:t>
            </w:r>
          </w:p>
        </w:tc>
        <w:tc>
          <w:tcPr>
            <w:tcW w:w="1134" w:type="dxa"/>
            <w:vAlign w:val="bottom"/>
          </w:tcPr>
          <w:p w14:paraId="69071788" w14:textId="77777777" w:rsidR="005B36AA" w:rsidRPr="006D1BD0" w:rsidRDefault="005B36AA" w:rsidP="005B36AA">
            <w:pPr>
              <w:pStyle w:val="Subtitle"/>
              <w:rPr>
                <w:rFonts w:cstheme="minorHAnsi"/>
                <w:b w:val="0"/>
              </w:rPr>
            </w:pPr>
            <w:r w:rsidRPr="006D1BD0">
              <w:rPr>
                <w:rFonts w:cstheme="minorHAnsi"/>
                <w:b w:val="0"/>
              </w:rPr>
              <w:t>(0.9)</w:t>
            </w:r>
          </w:p>
        </w:tc>
      </w:tr>
      <w:tr w:rsidR="005B36AA" w14:paraId="033CAD35" w14:textId="77777777" w:rsidTr="005B36AA">
        <w:trPr>
          <w:trHeight w:val="23"/>
        </w:trPr>
        <w:tc>
          <w:tcPr>
            <w:tcW w:w="5669" w:type="dxa"/>
            <w:tcBorders>
              <w:bottom w:val="single" w:sz="4" w:space="0" w:color="000000"/>
            </w:tcBorders>
          </w:tcPr>
          <w:p w14:paraId="411A9930" w14:textId="77777777" w:rsidR="005B36AA" w:rsidRDefault="005B36AA" w:rsidP="005B36AA">
            <w:pPr>
              <w:pStyle w:val="TableRowHead"/>
            </w:pPr>
            <w:r>
              <w:t>Exceptional items</w:t>
            </w:r>
            <w:r w:rsidR="00D364D9">
              <w:t xml:space="preserve"> within operating profit</w:t>
            </w:r>
          </w:p>
        </w:tc>
        <w:tc>
          <w:tcPr>
            <w:tcW w:w="1134" w:type="dxa"/>
            <w:tcBorders>
              <w:bottom w:val="single" w:sz="4" w:space="0" w:color="000000"/>
            </w:tcBorders>
            <w:vAlign w:val="bottom"/>
          </w:tcPr>
          <w:p w14:paraId="34739B1C" w14:textId="77777777" w:rsidR="005B36AA" w:rsidRDefault="005B36AA" w:rsidP="005B36AA">
            <w:pPr>
              <w:pStyle w:val="Subtitle"/>
            </w:pPr>
          </w:p>
        </w:tc>
        <w:tc>
          <w:tcPr>
            <w:tcW w:w="1134" w:type="dxa"/>
            <w:tcBorders>
              <w:bottom w:val="single" w:sz="4" w:space="0" w:color="000000"/>
            </w:tcBorders>
            <w:vAlign w:val="bottom"/>
          </w:tcPr>
          <w:p w14:paraId="52123E63" w14:textId="77777777" w:rsidR="005B36AA" w:rsidRPr="00337BE4" w:rsidRDefault="005B36AA" w:rsidP="005B36AA">
            <w:pPr>
              <w:pStyle w:val="Subtitle"/>
              <w:rPr>
                <w:b w:val="0"/>
              </w:rPr>
            </w:pPr>
          </w:p>
        </w:tc>
        <w:tc>
          <w:tcPr>
            <w:tcW w:w="1134" w:type="dxa"/>
            <w:tcBorders>
              <w:bottom w:val="single" w:sz="4" w:space="0" w:color="000000"/>
            </w:tcBorders>
            <w:vAlign w:val="bottom"/>
          </w:tcPr>
          <w:p w14:paraId="20F0452B" w14:textId="77777777" w:rsidR="005B36AA" w:rsidRPr="00D96688" w:rsidRDefault="005B36AA" w:rsidP="005B36AA">
            <w:pPr>
              <w:pStyle w:val="Subtitle"/>
              <w:rPr>
                <w:rFonts w:cstheme="minorHAnsi"/>
              </w:rPr>
            </w:pPr>
            <w:r>
              <w:rPr>
                <w:rFonts w:cstheme="minorHAnsi"/>
              </w:rPr>
              <w:t>(15.7)</w:t>
            </w:r>
          </w:p>
        </w:tc>
        <w:tc>
          <w:tcPr>
            <w:tcW w:w="1134" w:type="dxa"/>
            <w:tcBorders>
              <w:bottom w:val="single" w:sz="4" w:space="0" w:color="000000"/>
            </w:tcBorders>
            <w:vAlign w:val="bottom"/>
          </w:tcPr>
          <w:p w14:paraId="3C9A36FF" w14:textId="77777777" w:rsidR="005B36AA" w:rsidRPr="006D1BD0" w:rsidRDefault="005B36AA" w:rsidP="005B36AA">
            <w:pPr>
              <w:pStyle w:val="Subtitle"/>
              <w:rPr>
                <w:rFonts w:cstheme="minorHAnsi"/>
                <w:b w:val="0"/>
              </w:rPr>
            </w:pPr>
            <w:r w:rsidRPr="006D1BD0">
              <w:rPr>
                <w:rFonts w:cstheme="minorHAnsi"/>
                <w:b w:val="0"/>
              </w:rPr>
              <w:t>(4.8)</w:t>
            </w:r>
          </w:p>
        </w:tc>
      </w:tr>
      <w:tr w:rsidR="005B36AA" w14:paraId="70089DC8" w14:textId="77777777" w:rsidTr="005B36AA">
        <w:trPr>
          <w:trHeight w:val="23"/>
        </w:trPr>
        <w:tc>
          <w:tcPr>
            <w:tcW w:w="5669" w:type="dxa"/>
            <w:tcBorders>
              <w:top w:val="single" w:sz="4" w:space="0" w:color="000000"/>
            </w:tcBorders>
          </w:tcPr>
          <w:p w14:paraId="49CD7231" w14:textId="77777777" w:rsidR="005B36AA" w:rsidRPr="00803BA2" w:rsidRDefault="005B36AA" w:rsidP="005B36AA">
            <w:pPr>
              <w:pStyle w:val="TableRowHead"/>
              <w:rPr>
                <w:b/>
              </w:rPr>
            </w:pPr>
            <w:r w:rsidRPr="00803BA2">
              <w:rPr>
                <w:b/>
              </w:rPr>
              <w:t xml:space="preserve">Group operating profit </w:t>
            </w:r>
          </w:p>
        </w:tc>
        <w:tc>
          <w:tcPr>
            <w:tcW w:w="1134" w:type="dxa"/>
            <w:tcBorders>
              <w:top w:val="single" w:sz="4" w:space="0" w:color="000000"/>
            </w:tcBorders>
            <w:vAlign w:val="bottom"/>
          </w:tcPr>
          <w:p w14:paraId="69A29486" w14:textId="77777777" w:rsidR="005B36AA" w:rsidRDefault="005B36AA" w:rsidP="005B36AA">
            <w:pPr>
              <w:pStyle w:val="Subtitle"/>
            </w:pPr>
          </w:p>
        </w:tc>
        <w:tc>
          <w:tcPr>
            <w:tcW w:w="1134" w:type="dxa"/>
            <w:tcBorders>
              <w:top w:val="single" w:sz="4" w:space="0" w:color="000000"/>
            </w:tcBorders>
            <w:vAlign w:val="bottom"/>
          </w:tcPr>
          <w:p w14:paraId="1D28B78B" w14:textId="77777777" w:rsidR="005B36AA" w:rsidRPr="00337BE4" w:rsidRDefault="005B36AA" w:rsidP="005B36AA">
            <w:pPr>
              <w:pStyle w:val="Subtitle"/>
              <w:rPr>
                <w:b w:val="0"/>
              </w:rPr>
            </w:pPr>
          </w:p>
        </w:tc>
        <w:tc>
          <w:tcPr>
            <w:tcW w:w="1134" w:type="dxa"/>
            <w:tcBorders>
              <w:top w:val="single" w:sz="4" w:space="0" w:color="000000"/>
            </w:tcBorders>
            <w:vAlign w:val="bottom"/>
          </w:tcPr>
          <w:p w14:paraId="3E160153" w14:textId="77777777" w:rsidR="005B36AA" w:rsidRPr="00D96688" w:rsidRDefault="005B36AA" w:rsidP="005B36AA">
            <w:pPr>
              <w:pStyle w:val="Subtitle"/>
              <w:rPr>
                <w:rFonts w:cstheme="minorHAnsi"/>
              </w:rPr>
            </w:pPr>
            <w:r>
              <w:rPr>
                <w:rFonts w:cstheme="minorHAnsi"/>
              </w:rPr>
              <w:t>12.9</w:t>
            </w:r>
          </w:p>
        </w:tc>
        <w:tc>
          <w:tcPr>
            <w:tcW w:w="1134" w:type="dxa"/>
            <w:tcBorders>
              <w:top w:val="single" w:sz="4" w:space="0" w:color="000000"/>
            </w:tcBorders>
            <w:vAlign w:val="bottom"/>
          </w:tcPr>
          <w:p w14:paraId="6D3D9EF9" w14:textId="77777777" w:rsidR="005B36AA" w:rsidRPr="006D1BD0" w:rsidRDefault="005B36AA" w:rsidP="005B36AA">
            <w:pPr>
              <w:pStyle w:val="Subtitle"/>
              <w:rPr>
                <w:rFonts w:cstheme="minorHAnsi"/>
                <w:b w:val="0"/>
              </w:rPr>
            </w:pPr>
            <w:r w:rsidRPr="006D1BD0">
              <w:rPr>
                <w:rFonts w:cstheme="minorHAnsi"/>
                <w:b w:val="0"/>
              </w:rPr>
              <w:t>99.8</w:t>
            </w:r>
          </w:p>
        </w:tc>
      </w:tr>
      <w:tr w:rsidR="005B36AA" w14:paraId="7303F5B0" w14:textId="77777777" w:rsidTr="005B36AA">
        <w:trPr>
          <w:trHeight w:val="23"/>
        </w:trPr>
        <w:tc>
          <w:tcPr>
            <w:tcW w:w="5669" w:type="dxa"/>
          </w:tcPr>
          <w:p w14:paraId="1599EE15" w14:textId="77777777" w:rsidR="005B36AA" w:rsidRDefault="005B36AA" w:rsidP="005B36AA">
            <w:pPr>
              <w:pStyle w:val="TableRowHead"/>
            </w:pPr>
            <w:r>
              <w:t>Finance income</w:t>
            </w:r>
          </w:p>
        </w:tc>
        <w:tc>
          <w:tcPr>
            <w:tcW w:w="1134" w:type="dxa"/>
            <w:vAlign w:val="bottom"/>
          </w:tcPr>
          <w:p w14:paraId="4D4F48CF" w14:textId="77777777" w:rsidR="005B36AA" w:rsidRDefault="005B36AA" w:rsidP="005B36AA">
            <w:pPr>
              <w:pStyle w:val="Subtitle"/>
              <w:rPr>
                <w:rFonts w:ascii="Times New Roman"/>
                <w:sz w:val="14"/>
              </w:rPr>
            </w:pPr>
          </w:p>
        </w:tc>
        <w:tc>
          <w:tcPr>
            <w:tcW w:w="1134" w:type="dxa"/>
            <w:vAlign w:val="bottom"/>
          </w:tcPr>
          <w:p w14:paraId="75A91B57" w14:textId="77777777" w:rsidR="005B36AA" w:rsidRPr="00337BE4" w:rsidRDefault="005B36AA" w:rsidP="005B36AA">
            <w:pPr>
              <w:pStyle w:val="Subtitle"/>
              <w:rPr>
                <w:rFonts w:ascii="Times New Roman"/>
                <w:b w:val="0"/>
                <w:sz w:val="14"/>
              </w:rPr>
            </w:pPr>
          </w:p>
        </w:tc>
        <w:tc>
          <w:tcPr>
            <w:tcW w:w="1134" w:type="dxa"/>
            <w:vAlign w:val="bottom"/>
          </w:tcPr>
          <w:p w14:paraId="738AD941" w14:textId="77777777" w:rsidR="005B36AA" w:rsidRPr="00D96688" w:rsidRDefault="005B36AA" w:rsidP="005B36AA">
            <w:pPr>
              <w:pStyle w:val="Subtitle"/>
              <w:rPr>
                <w:rFonts w:cstheme="minorHAnsi"/>
              </w:rPr>
            </w:pPr>
            <w:r>
              <w:rPr>
                <w:rFonts w:cstheme="minorHAnsi"/>
              </w:rPr>
              <w:t>0.1</w:t>
            </w:r>
          </w:p>
        </w:tc>
        <w:tc>
          <w:tcPr>
            <w:tcW w:w="1134" w:type="dxa"/>
            <w:vAlign w:val="bottom"/>
          </w:tcPr>
          <w:p w14:paraId="30BD8E2C" w14:textId="77777777" w:rsidR="005B36AA" w:rsidRPr="006D1BD0" w:rsidRDefault="005B36AA" w:rsidP="005B36AA">
            <w:pPr>
              <w:pStyle w:val="Subtitle"/>
              <w:rPr>
                <w:rFonts w:cstheme="minorHAnsi"/>
                <w:b w:val="0"/>
              </w:rPr>
            </w:pPr>
            <w:r w:rsidRPr="006D1BD0">
              <w:rPr>
                <w:rFonts w:cstheme="minorHAnsi"/>
                <w:b w:val="0"/>
              </w:rPr>
              <w:t>0.8</w:t>
            </w:r>
          </w:p>
        </w:tc>
      </w:tr>
      <w:tr w:rsidR="005B36AA" w14:paraId="0BE6A66C" w14:textId="77777777" w:rsidTr="005B36AA">
        <w:trPr>
          <w:trHeight w:val="23"/>
        </w:trPr>
        <w:tc>
          <w:tcPr>
            <w:tcW w:w="5669" w:type="dxa"/>
          </w:tcPr>
          <w:p w14:paraId="79F55A9E" w14:textId="77777777" w:rsidR="005B36AA" w:rsidRDefault="005B36AA" w:rsidP="005B36AA">
            <w:pPr>
              <w:pStyle w:val="TableRowHead"/>
            </w:pPr>
            <w:r>
              <w:t>Finance costs</w:t>
            </w:r>
            <w:r w:rsidR="00D364D9">
              <w:t xml:space="preserve"> including exceptional finance costs</w:t>
            </w:r>
          </w:p>
        </w:tc>
        <w:tc>
          <w:tcPr>
            <w:tcW w:w="1134" w:type="dxa"/>
            <w:vAlign w:val="bottom"/>
          </w:tcPr>
          <w:p w14:paraId="54A25F00" w14:textId="77777777" w:rsidR="005B36AA" w:rsidRDefault="005B36AA" w:rsidP="005B36AA">
            <w:pPr>
              <w:pStyle w:val="Subtitle"/>
              <w:rPr>
                <w:rFonts w:ascii="Times New Roman"/>
                <w:sz w:val="14"/>
              </w:rPr>
            </w:pPr>
          </w:p>
        </w:tc>
        <w:tc>
          <w:tcPr>
            <w:tcW w:w="1134" w:type="dxa"/>
            <w:vAlign w:val="bottom"/>
          </w:tcPr>
          <w:p w14:paraId="742369B9" w14:textId="77777777" w:rsidR="005B36AA" w:rsidRPr="00337BE4" w:rsidRDefault="005B36AA" w:rsidP="005B36AA">
            <w:pPr>
              <w:pStyle w:val="Subtitle"/>
              <w:rPr>
                <w:rFonts w:ascii="Times New Roman"/>
                <w:b w:val="0"/>
                <w:sz w:val="14"/>
              </w:rPr>
            </w:pPr>
          </w:p>
        </w:tc>
        <w:tc>
          <w:tcPr>
            <w:tcW w:w="1134" w:type="dxa"/>
            <w:vAlign w:val="bottom"/>
          </w:tcPr>
          <w:p w14:paraId="0D9BDF89" w14:textId="77777777" w:rsidR="005B36AA" w:rsidRPr="00D96688" w:rsidRDefault="005B36AA" w:rsidP="005B36AA">
            <w:pPr>
              <w:pStyle w:val="Subtitle"/>
              <w:rPr>
                <w:rFonts w:cstheme="minorHAnsi"/>
              </w:rPr>
            </w:pPr>
            <w:r>
              <w:rPr>
                <w:rFonts w:cstheme="minorHAnsi"/>
              </w:rPr>
              <w:t>(24.4)</w:t>
            </w:r>
          </w:p>
        </w:tc>
        <w:tc>
          <w:tcPr>
            <w:tcW w:w="1134" w:type="dxa"/>
            <w:vAlign w:val="bottom"/>
          </w:tcPr>
          <w:p w14:paraId="2FDB5207" w14:textId="77777777" w:rsidR="005B36AA" w:rsidRPr="006D1BD0" w:rsidRDefault="005B36AA" w:rsidP="005B36AA">
            <w:pPr>
              <w:pStyle w:val="Subtitle"/>
              <w:rPr>
                <w:rFonts w:cstheme="minorHAnsi"/>
                <w:b w:val="0"/>
              </w:rPr>
            </w:pPr>
            <w:r w:rsidRPr="006D1BD0">
              <w:rPr>
                <w:rFonts w:cstheme="minorHAnsi"/>
                <w:b w:val="0"/>
              </w:rPr>
              <w:t>(45.1)</w:t>
            </w:r>
          </w:p>
        </w:tc>
      </w:tr>
      <w:tr w:rsidR="005B36AA" w14:paraId="0DCC0D47" w14:textId="77777777" w:rsidTr="005B36AA">
        <w:trPr>
          <w:trHeight w:val="23"/>
        </w:trPr>
        <w:tc>
          <w:tcPr>
            <w:tcW w:w="5669" w:type="dxa"/>
          </w:tcPr>
          <w:p w14:paraId="2A8B227A" w14:textId="77777777" w:rsidR="005B36AA" w:rsidRDefault="005B36AA" w:rsidP="005B36AA">
            <w:pPr>
              <w:pStyle w:val="TableRowHead"/>
            </w:pPr>
            <w:r>
              <w:t>Share of profit of associates after tax</w:t>
            </w:r>
          </w:p>
        </w:tc>
        <w:tc>
          <w:tcPr>
            <w:tcW w:w="1134" w:type="dxa"/>
            <w:vAlign w:val="bottom"/>
          </w:tcPr>
          <w:p w14:paraId="36B6605D" w14:textId="77777777" w:rsidR="005B36AA" w:rsidRDefault="005B36AA" w:rsidP="005B36AA">
            <w:pPr>
              <w:pStyle w:val="Subtitle"/>
              <w:rPr>
                <w:rFonts w:ascii="Times New Roman"/>
                <w:sz w:val="14"/>
              </w:rPr>
            </w:pPr>
          </w:p>
        </w:tc>
        <w:tc>
          <w:tcPr>
            <w:tcW w:w="1134" w:type="dxa"/>
            <w:vAlign w:val="bottom"/>
          </w:tcPr>
          <w:p w14:paraId="0D9B928D" w14:textId="77777777" w:rsidR="005B36AA" w:rsidRPr="00337BE4" w:rsidRDefault="005B36AA" w:rsidP="005B36AA">
            <w:pPr>
              <w:pStyle w:val="Subtitle"/>
              <w:rPr>
                <w:rFonts w:ascii="Times New Roman"/>
                <w:b w:val="0"/>
                <w:sz w:val="14"/>
              </w:rPr>
            </w:pPr>
          </w:p>
        </w:tc>
        <w:tc>
          <w:tcPr>
            <w:tcW w:w="1134" w:type="dxa"/>
            <w:vAlign w:val="bottom"/>
          </w:tcPr>
          <w:p w14:paraId="2451D8A2" w14:textId="77777777" w:rsidR="005B36AA" w:rsidRPr="00D96688" w:rsidRDefault="005B36AA" w:rsidP="005B36AA">
            <w:pPr>
              <w:pStyle w:val="Subtitle"/>
              <w:rPr>
                <w:rFonts w:cstheme="minorHAnsi"/>
              </w:rPr>
            </w:pPr>
            <w:r>
              <w:rPr>
                <w:rFonts w:cstheme="minorHAnsi"/>
              </w:rPr>
              <w:t>0.6</w:t>
            </w:r>
          </w:p>
        </w:tc>
        <w:tc>
          <w:tcPr>
            <w:tcW w:w="1134" w:type="dxa"/>
            <w:vAlign w:val="bottom"/>
          </w:tcPr>
          <w:p w14:paraId="72F0752C" w14:textId="77777777" w:rsidR="005B36AA" w:rsidRPr="006D1BD0" w:rsidRDefault="005B36AA" w:rsidP="005B36AA">
            <w:pPr>
              <w:pStyle w:val="Subtitle"/>
              <w:rPr>
                <w:rFonts w:cstheme="minorHAnsi"/>
                <w:b w:val="0"/>
              </w:rPr>
            </w:pPr>
            <w:r w:rsidRPr="006D1BD0">
              <w:rPr>
                <w:rFonts w:cstheme="minorHAnsi"/>
                <w:b w:val="0"/>
              </w:rPr>
              <w:t>0.9</w:t>
            </w:r>
          </w:p>
        </w:tc>
      </w:tr>
      <w:tr w:rsidR="005B36AA" w14:paraId="3D452560" w14:textId="77777777" w:rsidTr="005B36AA">
        <w:trPr>
          <w:trHeight w:val="23"/>
        </w:trPr>
        <w:tc>
          <w:tcPr>
            <w:tcW w:w="5669" w:type="dxa"/>
          </w:tcPr>
          <w:p w14:paraId="68260CAC" w14:textId="77777777" w:rsidR="005B36AA" w:rsidRDefault="005B36AA" w:rsidP="005B36AA">
            <w:pPr>
              <w:pStyle w:val="TableRowHead"/>
            </w:pPr>
            <w:r>
              <w:t>Taxation</w:t>
            </w:r>
          </w:p>
        </w:tc>
        <w:tc>
          <w:tcPr>
            <w:tcW w:w="1134" w:type="dxa"/>
            <w:vAlign w:val="bottom"/>
          </w:tcPr>
          <w:p w14:paraId="16C0FEF3" w14:textId="77777777" w:rsidR="005B36AA" w:rsidRDefault="005B36AA" w:rsidP="005B36AA">
            <w:pPr>
              <w:pStyle w:val="Subtitle"/>
              <w:rPr>
                <w:rFonts w:ascii="Times New Roman"/>
                <w:sz w:val="14"/>
              </w:rPr>
            </w:pPr>
          </w:p>
        </w:tc>
        <w:tc>
          <w:tcPr>
            <w:tcW w:w="1134" w:type="dxa"/>
            <w:vAlign w:val="bottom"/>
          </w:tcPr>
          <w:p w14:paraId="0501694D" w14:textId="77777777" w:rsidR="005B36AA" w:rsidRPr="00337BE4" w:rsidRDefault="005B36AA" w:rsidP="005B36AA">
            <w:pPr>
              <w:pStyle w:val="Subtitle"/>
              <w:rPr>
                <w:rFonts w:ascii="Times New Roman"/>
                <w:b w:val="0"/>
                <w:sz w:val="14"/>
              </w:rPr>
            </w:pPr>
          </w:p>
        </w:tc>
        <w:tc>
          <w:tcPr>
            <w:tcW w:w="1134" w:type="dxa"/>
            <w:vAlign w:val="bottom"/>
          </w:tcPr>
          <w:p w14:paraId="22316B38" w14:textId="77777777" w:rsidR="005B36AA" w:rsidRPr="00D96688" w:rsidRDefault="005B36AA" w:rsidP="005B36AA">
            <w:pPr>
              <w:pStyle w:val="Subtitle"/>
              <w:rPr>
                <w:rFonts w:cstheme="minorHAnsi"/>
              </w:rPr>
            </w:pPr>
            <w:r>
              <w:rPr>
                <w:rFonts w:cstheme="minorHAnsi"/>
              </w:rPr>
              <w:t>0.9</w:t>
            </w:r>
          </w:p>
        </w:tc>
        <w:tc>
          <w:tcPr>
            <w:tcW w:w="1134" w:type="dxa"/>
            <w:vAlign w:val="bottom"/>
          </w:tcPr>
          <w:p w14:paraId="5CEAF851" w14:textId="77777777" w:rsidR="005B36AA" w:rsidRPr="006D1BD0" w:rsidRDefault="005B36AA" w:rsidP="005B36AA">
            <w:pPr>
              <w:pStyle w:val="Subtitle"/>
              <w:rPr>
                <w:rFonts w:cstheme="minorHAnsi"/>
                <w:b w:val="0"/>
              </w:rPr>
            </w:pPr>
            <w:r w:rsidRPr="006D1BD0">
              <w:rPr>
                <w:rFonts w:cstheme="minorHAnsi"/>
                <w:b w:val="0"/>
              </w:rPr>
              <w:t>(13.0)</w:t>
            </w:r>
          </w:p>
        </w:tc>
      </w:tr>
      <w:tr w:rsidR="005B36AA" w14:paraId="63A07CD5" w14:textId="77777777" w:rsidTr="005B36AA">
        <w:trPr>
          <w:trHeight w:val="23"/>
        </w:trPr>
        <w:tc>
          <w:tcPr>
            <w:tcW w:w="5669" w:type="dxa"/>
            <w:tcBorders>
              <w:bottom w:val="single" w:sz="4" w:space="0" w:color="000000"/>
            </w:tcBorders>
          </w:tcPr>
          <w:p w14:paraId="20B7A792" w14:textId="77777777" w:rsidR="005B36AA" w:rsidRDefault="005B36AA" w:rsidP="005B36AA">
            <w:pPr>
              <w:pStyle w:val="TableRowHead"/>
            </w:pPr>
            <w:r>
              <w:t>Results from discontinued operations</w:t>
            </w:r>
          </w:p>
        </w:tc>
        <w:tc>
          <w:tcPr>
            <w:tcW w:w="1134" w:type="dxa"/>
            <w:tcBorders>
              <w:bottom w:val="single" w:sz="4" w:space="0" w:color="000000"/>
            </w:tcBorders>
            <w:vAlign w:val="bottom"/>
          </w:tcPr>
          <w:p w14:paraId="40A461C2" w14:textId="77777777" w:rsidR="005B36AA" w:rsidRDefault="005B36AA" w:rsidP="005B36AA">
            <w:pPr>
              <w:pStyle w:val="Subtitle"/>
              <w:rPr>
                <w:rFonts w:ascii="Times New Roman"/>
                <w:sz w:val="14"/>
              </w:rPr>
            </w:pPr>
          </w:p>
        </w:tc>
        <w:tc>
          <w:tcPr>
            <w:tcW w:w="1134" w:type="dxa"/>
            <w:tcBorders>
              <w:bottom w:val="single" w:sz="4" w:space="0" w:color="000000"/>
            </w:tcBorders>
            <w:vAlign w:val="bottom"/>
          </w:tcPr>
          <w:p w14:paraId="7D472185" w14:textId="77777777" w:rsidR="005B36AA" w:rsidRPr="00337BE4" w:rsidRDefault="005B36AA" w:rsidP="005B36AA">
            <w:pPr>
              <w:pStyle w:val="Subtitle"/>
              <w:rPr>
                <w:rFonts w:ascii="Times New Roman"/>
                <w:b w:val="0"/>
                <w:sz w:val="14"/>
              </w:rPr>
            </w:pPr>
          </w:p>
        </w:tc>
        <w:tc>
          <w:tcPr>
            <w:tcW w:w="1134" w:type="dxa"/>
            <w:tcBorders>
              <w:bottom w:val="single" w:sz="4" w:space="0" w:color="000000"/>
            </w:tcBorders>
            <w:vAlign w:val="bottom"/>
          </w:tcPr>
          <w:p w14:paraId="2CDDE78D" w14:textId="77777777" w:rsidR="005B36AA" w:rsidRPr="00D96688" w:rsidRDefault="005B36AA" w:rsidP="005B36AA">
            <w:pPr>
              <w:pStyle w:val="Subtitle"/>
              <w:rPr>
                <w:rFonts w:cstheme="minorHAnsi"/>
              </w:rPr>
            </w:pPr>
            <w:r w:rsidRPr="0023663C">
              <w:t>–</w:t>
            </w:r>
          </w:p>
        </w:tc>
        <w:tc>
          <w:tcPr>
            <w:tcW w:w="1134" w:type="dxa"/>
            <w:tcBorders>
              <w:bottom w:val="single" w:sz="4" w:space="0" w:color="000000"/>
            </w:tcBorders>
            <w:vAlign w:val="bottom"/>
          </w:tcPr>
          <w:p w14:paraId="5808C5FE" w14:textId="77777777" w:rsidR="005B36AA" w:rsidRPr="006D1BD0" w:rsidRDefault="005B36AA" w:rsidP="005B36AA">
            <w:pPr>
              <w:pStyle w:val="Subtitle"/>
              <w:rPr>
                <w:rFonts w:cstheme="minorHAnsi"/>
                <w:b w:val="0"/>
              </w:rPr>
            </w:pPr>
            <w:r w:rsidRPr="006D1BD0">
              <w:rPr>
                <w:rFonts w:cstheme="minorHAnsi"/>
                <w:b w:val="0"/>
              </w:rPr>
              <w:t>64.8</w:t>
            </w:r>
          </w:p>
        </w:tc>
      </w:tr>
      <w:tr w:rsidR="005B36AA" w14:paraId="6B74E1A1" w14:textId="77777777" w:rsidTr="005B36AA">
        <w:trPr>
          <w:trHeight w:val="23"/>
        </w:trPr>
        <w:tc>
          <w:tcPr>
            <w:tcW w:w="5669" w:type="dxa"/>
            <w:tcBorders>
              <w:top w:val="single" w:sz="4" w:space="0" w:color="000000"/>
              <w:bottom w:val="single" w:sz="8" w:space="0" w:color="auto"/>
            </w:tcBorders>
          </w:tcPr>
          <w:p w14:paraId="1EE1F63C" w14:textId="77777777" w:rsidR="005B36AA" w:rsidRPr="00803BA2" w:rsidRDefault="005B36AA" w:rsidP="005B36AA">
            <w:pPr>
              <w:pStyle w:val="TableRowHead"/>
              <w:rPr>
                <w:b/>
              </w:rPr>
            </w:pPr>
            <w:r>
              <w:rPr>
                <w:b/>
              </w:rPr>
              <w:t>(Loss)/p</w:t>
            </w:r>
            <w:r w:rsidRPr="00803BA2">
              <w:rPr>
                <w:b/>
              </w:rPr>
              <w:t>rofit for the period</w:t>
            </w:r>
          </w:p>
        </w:tc>
        <w:tc>
          <w:tcPr>
            <w:tcW w:w="1134" w:type="dxa"/>
            <w:tcBorders>
              <w:top w:val="single" w:sz="4" w:space="0" w:color="000000"/>
              <w:bottom w:val="single" w:sz="8" w:space="0" w:color="auto"/>
            </w:tcBorders>
            <w:vAlign w:val="bottom"/>
          </w:tcPr>
          <w:p w14:paraId="5DB02321" w14:textId="77777777" w:rsidR="005B36AA" w:rsidRDefault="005B36AA" w:rsidP="005B36AA">
            <w:pPr>
              <w:pStyle w:val="Subtitle"/>
              <w:rPr>
                <w:rFonts w:ascii="Times New Roman"/>
                <w:sz w:val="14"/>
              </w:rPr>
            </w:pPr>
          </w:p>
        </w:tc>
        <w:tc>
          <w:tcPr>
            <w:tcW w:w="1134" w:type="dxa"/>
            <w:tcBorders>
              <w:top w:val="single" w:sz="4" w:space="0" w:color="000000"/>
              <w:bottom w:val="single" w:sz="8" w:space="0" w:color="auto"/>
            </w:tcBorders>
            <w:vAlign w:val="bottom"/>
          </w:tcPr>
          <w:p w14:paraId="49407FD4" w14:textId="77777777" w:rsidR="005B36AA" w:rsidRDefault="005B36AA" w:rsidP="005B36AA">
            <w:pPr>
              <w:pStyle w:val="Subtitle"/>
              <w:rPr>
                <w:rFonts w:ascii="Times New Roman"/>
                <w:sz w:val="14"/>
              </w:rPr>
            </w:pPr>
          </w:p>
        </w:tc>
        <w:tc>
          <w:tcPr>
            <w:tcW w:w="1134" w:type="dxa"/>
            <w:tcBorders>
              <w:top w:val="single" w:sz="4" w:space="0" w:color="000000"/>
              <w:bottom w:val="single" w:sz="8" w:space="0" w:color="auto"/>
            </w:tcBorders>
            <w:vAlign w:val="bottom"/>
          </w:tcPr>
          <w:p w14:paraId="4A74D5DC" w14:textId="77777777" w:rsidR="005B36AA" w:rsidRPr="00D96688" w:rsidRDefault="005B36AA" w:rsidP="005B36AA">
            <w:pPr>
              <w:pStyle w:val="Subtitle"/>
              <w:rPr>
                <w:rFonts w:cstheme="minorHAnsi"/>
              </w:rPr>
            </w:pPr>
            <w:r>
              <w:rPr>
                <w:rFonts w:cstheme="minorHAnsi"/>
              </w:rPr>
              <w:t>(9.9)</w:t>
            </w:r>
          </w:p>
        </w:tc>
        <w:tc>
          <w:tcPr>
            <w:tcW w:w="1134" w:type="dxa"/>
            <w:tcBorders>
              <w:top w:val="single" w:sz="4" w:space="0" w:color="000000"/>
              <w:bottom w:val="single" w:sz="8" w:space="0" w:color="auto"/>
            </w:tcBorders>
            <w:vAlign w:val="bottom"/>
          </w:tcPr>
          <w:p w14:paraId="7F3D3DB2" w14:textId="77777777" w:rsidR="005B36AA" w:rsidRPr="006D1BD0" w:rsidRDefault="005B36AA" w:rsidP="005B36AA">
            <w:pPr>
              <w:pStyle w:val="Subtitle"/>
              <w:rPr>
                <w:rFonts w:cstheme="minorHAnsi"/>
                <w:b w:val="0"/>
              </w:rPr>
            </w:pPr>
            <w:r w:rsidRPr="006D1BD0">
              <w:rPr>
                <w:rFonts w:cstheme="minorHAnsi"/>
                <w:b w:val="0"/>
              </w:rPr>
              <w:t>108.2</w:t>
            </w:r>
          </w:p>
        </w:tc>
      </w:tr>
    </w:tbl>
    <w:p w14:paraId="7E00C303" w14:textId="77777777" w:rsidR="005B36AA" w:rsidRDefault="005B36AA" w:rsidP="005B36AA">
      <w:pPr>
        <w:pStyle w:val="BodyText"/>
      </w:pPr>
    </w:p>
    <w:p w14:paraId="0D125968" w14:textId="77777777" w:rsidR="005B36AA" w:rsidRDefault="005B36AA" w:rsidP="005B36AA">
      <w:pPr>
        <w:pStyle w:val="BodyText"/>
      </w:pPr>
      <w:r>
        <w:t>T</w:t>
      </w:r>
      <w:r w:rsidRPr="00EB272D">
        <w:t>he following table disaggregates revenue by product categories in the Convenience Foods U</w:t>
      </w:r>
      <w:r>
        <w:t>K and Ireland reporting segment:</w:t>
      </w:r>
    </w:p>
    <w:p w14:paraId="13FCA36E" w14:textId="77777777" w:rsidR="005B36AA" w:rsidRDefault="005B36AA" w:rsidP="005B36AA">
      <w:pPr>
        <w:pStyle w:val="BodyText"/>
      </w:pPr>
    </w:p>
    <w:tbl>
      <w:tblPr>
        <w:tblW w:w="0" w:type="auto"/>
        <w:tblLook w:val="04A0" w:firstRow="1" w:lastRow="0" w:firstColumn="1" w:lastColumn="0" w:noHBand="0" w:noVBand="1"/>
      </w:tblPr>
      <w:tblGrid>
        <w:gridCol w:w="7937"/>
        <w:gridCol w:w="1134"/>
        <w:gridCol w:w="1134"/>
      </w:tblGrid>
      <w:tr w:rsidR="005B36AA" w:rsidRPr="007A35AF" w14:paraId="77D81D0A" w14:textId="77777777" w:rsidTr="005B36AA">
        <w:trPr>
          <w:trHeight w:val="227"/>
        </w:trPr>
        <w:tc>
          <w:tcPr>
            <w:tcW w:w="7937" w:type="dxa"/>
          </w:tcPr>
          <w:p w14:paraId="5E1672B9" w14:textId="77777777" w:rsidR="005B36AA" w:rsidRPr="007A35AF" w:rsidRDefault="005B36AA" w:rsidP="005B36AA">
            <w:pPr>
              <w:rPr>
                <w:rFonts w:asciiTheme="minorHAnsi" w:eastAsiaTheme="minorHAnsi" w:hAnsiTheme="minorHAnsi" w:cstheme="minorBidi"/>
                <w:sz w:val="18"/>
                <w:szCs w:val="18"/>
                <w:lang w:eastAsia="en-US" w:bidi="ar-SA"/>
              </w:rPr>
            </w:pPr>
          </w:p>
        </w:tc>
        <w:tc>
          <w:tcPr>
            <w:tcW w:w="1134" w:type="dxa"/>
            <w:vAlign w:val="bottom"/>
          </w:tcPr>
          <w:p w14:paraId="1E3C1327"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2020</w:t>
            </w:r>
            <w:r w:rsidRPr="007A35AF">
              <w:rPr>
                <w:rFonts w:asciiTheme="minorHAnsi" w:eastAsiaTheme="minorHAnsi" w:hAnsiTheme="minorHAnsi" w:cstheme="minorBidi"/>
                <w:b/>
                <w:sz w:val="18"/>
                <w:szCs w:val="18"/>
                <w:lang w:eastAsia="en-US" w:bidi="ar-SA"/>
              </w:rPr>
              <w:br/>
              <w:t>£m</w:t>
            </w:r>
          </w:p>
        </w:tc>
        <w:tc>
          <w:tcPr>
            <w:tcW w:w="1134" w:type="dxa"/>
            <w:vAlign w:val="bottom"/>
          </w:tcPr>
          <w:p w14:paraId="01B780E2" w14:textId="77777777" w:rsidR="005B36AA" w:rsidRPr="000D4B42" w:rsidRDefault="005B36AA" w:rsidP="005B36AA">
            <w:pPr>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r w:rsidRPr="000D4B42">
              <w:rPr>
                <w:rFonts w:asciiTheme="minorHAnsi" w:eastAsiaTheme="minorHAnsi" w:hAnsiTheme="minorHAnsi" w:cstheme="minorBidi"/>
                <w:sz w:val="18"/>
                <w:szCs w:val="18"/>
                <w:lang w:eastAsia="en-US" w:bidi="ar-SA"/>
              </w:rPr>
              <w:br/>
              <w:t>£m</w:t>
            </w:r>
          </w:p>
        </w:tc>
      </w:tr>
      <w:tr w:rsidR="005B36AA" w:rsidRPr="007A35AF" w14:paraId="77DEE86A" w14:textId="77777777" w:rsidTr="005B36AA">
        <w:trPr>
          <w:trHeight w:val="227"/>
        </w:trPr>
        <w:tc>
          <w:tcPr>
            <w:tcW w:w="7937" w:type="dxa"/>
            <w:tcBorders>
              <w:top w:val="single" w:sz="4" w:space="0" w:color="auto"/>
            </w:tcBorders>
          </w:tcPr>
          <w:p w14:paraId="38DEF8A7" w14:textId="77777777" w:rsidR="005B36AA" w:rsidRPr="007A35AF" w:rsidRDefault="005B36AA" w:rsidP="005B36AA">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Revenue</w:t>
            </w:r>
          </w:p>
        </w:tc>
        <w:tc>
          <w:tcPr>
            <w:tcW w:w="1134" w:type="dxa"/>
            <w:tcBorders>
              <w:top w:val="single" w:sz="4" w:space="0" w:color="auto"/>
            </w:tcBorders>
            <w:vAlign w:val="bottom"/>
          </w:tcPr>
          <w:p w14:paraId="5CF5FE5A"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c>
          <w:tcPr>
            <w:tcW w:w="1134" w:type="dxa"/>
            <w:tcBorders>
              <w:top w:val="single" w:sz="4" w:space="0" w:color="auto"/>
            </w:tcBorders>
            <w:vAlign w:val="bottom"/>
          </w:tcPr>
          <w:p w14:paraId="642B9ACF"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r>
      <w:tr w:rsidR="005B36AA" w:rsidRPr="007A35AF" w14:paraId="2A2B4CC6" w14:textId="77777777" w:rsidTr="005B36AA">
        <w:trPr>
          <w:trHeight w:val="227"/>
        </w:trPr>
        <w:tc>
          <w:tcPr>
            <w:tcW w:w="7937" w:type="dxa"/>
          </w:tcPr>
          <w:p w14:paraId="3D8715F5" w14:textId="77777777" w:rsidR="005B36AA" w:rsidRPr="007A35AF"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Food to go categories</w:t>
            </w:r>
          </w:p>
        </w:tc>
        <w:tc>
          <w:tcPr>
            <w:tcW w:w="1134" w:type="dxa"/>
            <w:vAlign w:val="bottom"/>
          </w:tcPr>
          <w:p w14:paraId="02621DC4"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772.9</w:t>
            </w:r>
          </w:p>
        </w:tc>
        <w:tc>
          <w:tcPr>
            <w:tcW w:w="1134" w:type="dxa"/>
            <w:vAlign w:val="bottom"/>
          </w:tcPr>
          <w:p w14:paraId="091C9FCE"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962.5</w:t>
            </w:r>
          </w:p>
        </w:tc>
      </w:tr>
      <w:tr w:rsidR="005B36AA" w:rsidRPr="007A35AF" w14:paraId="0D4D1E58" w14:textId="77777777" w:rsidTr="005B36AA">
        <w:trPr>
          <w:trHeight w:val="227"/>
        </w:trPr>
        <w:tc>
          <w:tcPr>
            <w:tcW w:w="7937" w:type="dxa"/>
            <w:tcBorders>
              <w:bottom w:val="single" w:sz="4" w:space="0" w:color="auto"/>
            </w:tcBorders>
          </w:tcPr>
          <w:p w14:paraId="5A2D1578" w14:textId="77777777" w:rsidR="005B36AA" w:rsidRPr="007A35AF"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Other convenience categories</w:t>
            </w:r>
          </w:p>
        </w:tc>
        <w:tc>
          <w:tcPr>
            <w:tcW w:w="1134" w:type="dxa"/>
            <w:tcBorders>
              <w:bottom w:val="single" w:sz="4" w:space="0" w:color="auto"/>
            </w:tcBorders>
            <w:vAlign w:val="bottom"/>
          </w:tcPr>
          <w:p w14:paraId="0E9D8D7A"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491.8</w:t>
            </w:r>
          </w:p>
        </w:tc>
        <w:tc>
          <w:tcPr>
            <w:tcW w:w="1134" w:type="dxa"/>
            <w:tcBorders>
              <w:bottom w:val="single" w:sz="4" w:space="0" w:color="auto"/>
            </w:tcBorders>
            <w:vAlign w:val="bottom"/>
          </w:tcPr>
          <w:p w14:paraId="4D493A44"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483.6</w:t>
            </w:r>
          </w:p>
        </w:tc>
      </w:tr>
      <w:tr w:rsidR="005B36AA" w:rsidRPr="007A35AF" w14:paraId="00B8BA0A" w14:textId="77777777" w:rsidTr="005B36AA">
        <w:trPr>
          <w:trHeight w:val="227"/>
        </w:trPr>
        <w:tc>
          <w:tcPr>
            <w:tcW w:w="7937" w:type="dxa"/>
            <w:tcBorders>
              <w:top w:val="single" w:sz="4" w:space="0" w:color="auto"/>
              <w:bottom w:val="single" w:sz="8" w:space="0" w:color="auto"/>
            </w:tcBorders>
          </w:tcPr>
          <w:p w14:paraId="6291CF10" w14:textId="22DCB161" w:rsidR="005B36AA" w:rsidRPr="007A35AF" w:rsidRDefault="005B36AA" w:rsidP="00660EC8">
            <w:pPr>
              <w:rPr>
                <w:rFonts w:asciiTheme="minorHAnsi" w:eastAsiaTheme="minorHAnsi" w:hAnsiTheme="minorHAnsi" w:cstheme="minorBidi"/>
                <w:b/>
                <w:sz w:val="18"/>
                <w:szCs w:val="18"/>
                <w:lang w:eastAsia="en-US" w:bidi="ar-SA"/>
              </w:rPr>
            </w:pPr>
            <w:r w:rsidRPr="005F44BA">
              <w:rPr>
                <w:rFonts w:asciiTheme="minorHAnsi" w:eastAsiaTheme="minorHAnsi" w:hAnsiTheme="minorHAnsi" w:cstheme="minorBidi"/>
                <w:b/>
                <w:sz w:val="18"/>
                <w:szCs w:val="18"/>
                <w:lang w:eastAsia="en-US" w:bidi="ar-SA"/>
              </w:rPr>
              <w:t xml:space="preserve">Total revenue for Convenience Foods UK </w:t>
            </w:r>
            <w:r w:rsidR="009C1E33">
              <w:rPr>
                <w:rFonts w:asciiTheme="minorHAnsi" w:eastAsiaTheme="minorHAnsi" w:hAnsiTheme="minorHAnsi" w:cstheme="minorBidi"/>
                <w:b/>
                <w:sz w:val="18"/>
                <w:szCs w:val="18"/>
                <w:lang w:eastAsia="en-US" w:bidi="ar-SA"/>
              </w:rPr>
              <w:t>and</w:t>
            </w:r>
            <w:r w:rsidRPr="005F44BA">
              <w:rPr>
                <w:rFonts w:asciiTheme="minorHAnsi" w:eastAsiaTheme="minorHAnsi" w:hAnsiTheme="minorHAnsi" w:cstheme="minorBidi"/>
                <w:b/>
                <w:sz w:val="18"/>
                <w:szCs w:val="18"/>
                <w:lang w:eastAsia="en-US" w:bidi="ar-SA"/>
              </w:rPr>
              <w:t xml:space="preserve"> Ireland</w:t>
            </w:r>
          </w:p>
        </w:tc>
        <w:tc>
          <w:tcPr>
            <w:tcW w:w="1134" w:type="dxa"/>
            <w:tcBorders>
              <w:top w:val="single" w:sz="4" w:space="0" w:color="auto"/>
              <w:bottom w:val="single" w:sz="8" w:space="0" w:color="auto"/>
            </w:tcBorders>
            <w:vAlign w:val="bottom"/>
          </w:tcPr>
          <w:p w14:paraId="0EC18264"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1,264.7</w:t>
            </w:r>
          </w:p>
        </w:tc>
        <w:tc>
          <w:tcPr>
            <w:tcW w:w="1134" w:type="dxa"/>
            <w:tcBorders>
              <w:top w:val="single" w:sz="4" w:space="0" w:color="auto"/>
              <w:bottom w:val="single" w:sz="8" w:space="0" w:color="auto"/>
            </w:tcBorders>
            <w:vAlign w:val="bottom"/>
          </w:tcPr>
          <w:p w14:paraId="30B3E72F"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1,446.1</w:t>
            </w:r>
          </w:p>
        </w:tc>
      </w:tr>
    </w:tbl>
    <w:p w14:paraId="49C5BB71" w14:textId="77777777" w:rsidR="005B36AA" w:rsidRDefault="005B36AA" w:rsidP="005B36AA">
      <w:pPr>
        <w:pStyle w:val="BodyText"/>
      </w:pPr>
    </w:p>
    <w:p w14:paraId="41B4C587" w14:textId="12FDEFF9" w:rsidR="005B36AA" w:rsidRDefault="005B36AA" w:rsidP="005B36AA">
      <w:pPr>
        <w:pStyle w:val="BodyText"/>
        <w:jc w:val="both"/>
      </w:pPr>
      <w:r w:rsidRPr="00E71831">
        <w:t>Food to go categories includes sandwiches,</w:t>
      </w:r>
      <w:r>
        <w:t xml:space="preserve"> </w:t>
      </w:r>
      <w:r w:rsidRPr="00E71831">
        <w:t>salads</w:t>
      </w:r>
      <w:r>
        <w:t>, sushi and chilled snacking</w:t>
      </w:r>
      <w:r w:rsidRPr="00E71831">
        <w:t xml:space="preserve"> while the other convenience categories include chilled ready meals, chilled soups and sauces, chilled quiche, ambient sauces and pickles</w:t>
      </w:r>
      <w:r>
        <w:t>,</w:t>
      </w:r>
      <w:r w:rsidRPr="00E71831">
        <w:t xml:space="preserve"> and frozen Yorkshire Puddings as well as Irish Ingredient</w:t>
      </w:r>
      <w:r>
        <w:t>s trading</w:t>
      </w:r>
      <w:r w:rsidRPr="00E71831">
        <w:t xml:space="preserve"> businesses. </w:t>
      </w:r>
    </w:p>
    <w:p w14:paraId="4F0AAB6D" w14:textId="77777777" w:rsidR="006C19A7" w:rsidRDefault="006C19A7" w:rsidP="005B36AA">
      <w:pPr>
        <w:pStyle w:val="BodyText"/>
      </w:pPr>
    </w:p>
    <w:p w14:paraId="4FA1413A" w14:textId="77777777" w:rsidR="005B36AA" w:rsidRDefault="005B36AA" w:rsidP="005771B0">
      <w:pPr>
        <w:pStyle w:val="Heading2"/>
      </w:pPr>
      <w:r>
        <w:t>Exceptional Items</w:t>
      </w:r>
    </w:p>
    <w:p w14:paraId="78503804" w14:textId="77777777" w:rsidR="005B36AA" w:rsidRDefault="005B36AA" w:rsidP="005B36AA">
      <w:pPr>
        <w:pStyle w:val="BodyText"/>
      </w:pPr>
    </w:p>
    <w:p w14:paraId="3881EB83" w14:textId="77777777" w:rsidR="005B36AA" w:rsidRDefault="005B36AA" w:rsidP="005B36AA">
      <w:pPr>
        <w:pStyle w:val="BodyText"/>
        <w:jc w:val="both"/>
      </w:pPr>
      <w:r>
        <w:t>Exceptional items are those which, in management’s judgement, should be disclosed separately by virtue of their nature or amount. Such items are included within the Group Income Statement caption to which they relate and are separately disclosed in the notes to the Group Financial Statements.</w:t>
      </w:r>
    </w:p>
    <w:p w14:paraId="6B34D661" w14:textId="77777777" w:rsidR="005B36AA" w:rsidRPr="008C0A7B" w:rsidRDefault="005B36AA" w:rsidP="005B36AA">
      <w:pPr>
        <w:pStyle w:val="BodyText"/>
        <w:jc w:val="both"/>
      </w:pPr>
    </w:p>
    <w:p w14:paraId="6511469D" w14:textId="77777777" w:rsidR="005B36AA" w:rsidRDefault="005B36AA" w:rsidP="005B36AA">
      <w:pPr>
        <w:pStyle w:val="BodyText"/>
      </w:pPr>
      <w:r>
        <w:t>The Group reports the following exceptional items:</w:t>
      </w:r>
    </w:p>
    <w:tbl>
      <w:tblPr>
        <w:tblW w:w="10205" w:type="dxa"/>
        <w:tblLayout w:type="fixed"/>
        <w:tblLook w:val="04A0" w:firstRow="1" w:lastRow="0" w:firstColumn="1" w:lastColumn="0" w:noHBand="0" w:noVBand="1"/>
      </w:tblPr>
      <w:tblGrid>
        <w:gridCol w:w="6009"/>
        <w:gridCol w:w="680"/>
        <w:gridCol w:w="1134"/>
        <w:gridCol w:w="1247"/>
        <w:gridCol w:w="1135"/>
      </w:tblGrid>
      <w:tr w:rsidR="005B36AA" w:rsidRPr="003D5549" w14:paraId="745F9094" w14:textId="77777777" w:rsidTr="005B36AA">
        <w:trPr>
          <w:trHeight w:val="227"/>
        </w:trPr>
        <w:tc>
          <w:tcPr>
            <w:tcW w:w="6009" w:type="dxa"/>
            <w:tcBorders>
              <w:bottom w:val="single" w:sz="4" w:space="0" w:color="auto"/>
            </w:tcBorders>
            <w:vAlign w:val="bottom"/>
          </w:tcPr>
          <w:p w14:paraId="62CEED25"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bottom w:val="single" w:sz="4" w:space="0" w:color="auto"/>
            </w:tcBorders>
          </w:tcPr>
          <w:p w14:paraId="376C84CD" w14:textId="77777777" w:rsidR="005B36AA" w:rsidRPr="003D5549" w:rsidRDefault="005B36AA" w:rsidP="005B36AA">
            <w:pPr>
              <w:pStyle w:val="Subtitle"/>
              <w:rPr>
                <w:b w:val="0"/>
              </w:rPr>
            </w:pPr>
          </w:p>
        </w:tc>
        <w:tc>
          <w:tcPr>
            <w:tcW w:w="1134" w:type="dxa"/>
            <w:tcBorders>
              <w:bottom w:val="single" w:sz="4" w:space="0" w:color="auto"/>
            </w:tcBorders>
            <w:vAlign w:val="bottom"/>
          </w:tcPr>
          <w:p w14:paraId="592F7693" w14:textId="77777777" w:rsidR="005B36AA" w:rsidRPr="003D5549" w:rsidRDefault="005B36AA" w:rsidP="005B36AA">
            <w:pPr>
              <w:pStyle w:val="Subtitle"/>
            </w:pPr>
          </w:p>
        </w:tc>
        <w:tc>
          <w:tcPr>
            <w:tcW w:w="1247" w:type="dxa"/>
            <w:tcBorders>
              <w:bottom w:val="single" w:sz="4" w:space="0" w:color="auto"/>
            </w:tcBorders>
            <w:vAlign w:val="bottom"/>
          </w:tcPr>
          <w:p w14:paraId="0CE4D7E5" w14:textId="77777777" w:rsidR="005B36AA" w:rsidRPr="003D5549" w:rsidRDefault="005B36AA" w:rsidP="005B36AA">
            <w:pPr>
              <w:pStyle w:val="Subtitle"/>
            </w:pPr>
            <w:r>
              <w:t>2020</w:t>
            </w:r>
            <w:r w:rsidRPr="003D5549">
              <w:br/>
              <w:t>£m</w:t>
            </w:r>
          </w:p>
        </w:tc>
        <w:tc>
          <w:tcPr>
            <w:tcW w:w="1135" w:type="dxa"/>
            <w:tcBorders>
              <w:bottom w:val="single" w:sz="4" w:space="0" w:color="auto"/>
            </w:tcBorders>
            <w:vAlign w:val="bottom"/>
          </w:tcPr>
          <w:p w14:paraId="423B34A6" w14:textId="77777777" w:rsidR="005B36AA" w:rsidRPr="005771B0" w:rsidRDefault="005B36AA" w:rsidP="005B36AA">
            <w:pPr>
              <w:pStyle w:val="Subtitle"/>
              <w:rPr>
                <w:b w:val="0"/>
              </w:rPr>
            </w:pPr>
            <w:r w:rsidRPr="005771B0">
              <w:rPr>
                <w:b w:val="0"/>
              </w:rPr>
              <w:t>2019</w:t>
            </w:r>
            <w:r w:rsidRPr="005771B0">
              <w:rPr>
                <w:b w:val="0"/>
              </w:rPr>
              <w:br/>
              <w:t>£m</w:t>
            </w:r>
          </w:p>
        </w:tc>
      </w:tr>
      <w:tr w:rsidR="005B36AA" w:rsidRPr="003D5549" w14:paraId="5FD58545" w14:textId="77777777" w:rsidTr="005B36AA">
        <w:trPr>
          <w:trHeight w:val="227"/>
        </w:trPr>
        <w:tc>
          <w:tcPr>
            <w:tcW w:w="6009" w:type="dxa"/>
            <w:vAlign w:val="bottom"/>
          </w:tcPr>
          <w:p w14:paraId="113A7A86" w14:textId="6013732C" w:rsidR="005B36AA" w:rsidRDefault="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 xml:space="preserve">Debt restructuring </w:t>
            </w:r>
            <w:r w:rsidR="005751C0">
              <w:rPr>
                <w:rFonts w:asciiTheme="minorHAnsi" w:eastAsiaTheme="minorHAnsi" w:hAnsiTheme="minorHAnsi" w:cstheme="minorBidi"/>
                <w:sz w:val="18"/>
                <w:szCs w:val="18"/>
                <w:lang w:eastAsia="en-US" w:bidi="ar-SA"/>
              </w:rPr>
              <w:t>and modification</w:t>
            </w:r>
          </w:p>
        </w:tc>
        <w:tc>
          <w:tcPr>
            <w:tcW w:w="680" w:type="dxa"/>
          </w:tcPr>
          <w:p w14:paraId="0B7B2ACB" w14:textId="77777777" w:rsidR="005B36AA" w:rsidRPr="003D5549" w:rsidRDefault="005B36AA" w:rsidP="005B36AA">
            <w:pPr>
              <w:pStyle w:val="Subtitle"/>
              <w:jc w:val="center"/>
              <w:rPr>
                <w:b w:val="0"/>
              </w:rPr>
            </w:pPr>
            <w:r w:rsidRPr="003D5549">
              <w:rPr>
                <w:b w:val="0"/>
              </w:rPr>
              <w:t>(</w:t>
            </w:r>
            <w:r>
              <w:rPr>
                <w:b w:val="0"/>
              </w:rPr>
              <w:t>A</w:t>
            </w:r>
            <w:r w:rsidRPr="003D5549">
              <w:rPr>
                <w:b w:val="0"/>
              </w:rPr>
              <w:t>)</w:t>
            </w:r>
          </w:p>
        </w:tc>
        <w:tc>
          <w:tcPr>
            <w:tcW w:w="1134" w:type="dxa"/>
            <w:vAlign w:val="bottom"/>
          </w:tcPr>
          <w:p w14:paraId="0F25657F" w14:textId="77777777" w:rsidR="005B36AA" w:rsidRPr="003D5549" w:rsidRDefault="005B36AA" w:rsidP="005B36AA">
            <w:pPr>
              <w:pStyle w:val="Subtitle"/>
            </w:pPr>
          </w:p>
        </w:tc>
        <w:tc>
          <w:tcPr>
            <w:tcW w:w="1247" w:type="dxa"/>
            <w:vAlign w:val="bottom"/>
          </w:tcPr>
          <w:p w14:paraId="28B37202" w14:textId="77777777" w:rsidR="005B36AA" w:rsidRDefault="005B36AA" w:rsidP="005B36AA">
            <w:pPr>
              <w:pStyle w:val="Subtitle"/>
            </w:pPr>
            <w:r>
              <w:t>(7.1)</w:t>
            </w:r>
          </w:p>
        </w:tc>
        <w:tc>
          <w:tcPr>
            <w:tcW w:w="1135" w:type="dxa"/>
            <w:vAlign w:val="bottom"/>
          </w:tcPr>
          <w:p w14:paraId="07298B66" w14:textId="77777777" w:rsidR="005B36AA" w:rsidRDefault="005B36AA" w:rsidP="005B36AA">
            <w:pPr>
              <w:pStyle w:val="Subtitle"/>
            </w:pPr>
            <w:r w:rsidRPr="00EB7162">
              <w:rPr>
                <w:b w:val="0"/>
                <w:bCs/>
              </w:rPr>
              <w:t>(25.4)</w:t>
            </w:r>
          </w:p>
        </w:tc>
      </w:tr>
      <w:tr w:rsidR="005B36AA" w:rsidRPr="003D5549" w14:paraId="0DAEA4E8" w14:textId="77777777" w:rsidTr="005B36AA">
        <w:trPr>
          <w:trHeight w:val="227"/>
        </w:trPr>
        <w:tc>
          <w:tcPr>
            <w:tcW w:w="6009" w:type="dxa"/>
            <w:vAlign w:val="bottom"/>
          </w:tcPr>
          <w:p w14:paraId="1D669145" w14:textId="65363DFE" w:rsidR="005B36AA" w:rsidRDefault="002466BB" w:rsidP="004F0680">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Non-core p</w:t>
            </w:r>
            <w:r w:rsidR="005B36AA">
              <w:rPr>
                <w:rFonts w:asciiTheme="minorHAnsi" w:eastAsiaTheme="minorHAnsi" w:hAnsiTheme="minorHAnsi" w:cstheme="minorBidi"/>
                <w:sz w:val="18"/>
                <w:szCs w:val="18"/>
                <w:lang w:eastAsia="en-US" w:bidi="ar-SA"/>
              </w:rPr>
              <w:t xml:space="preserve">roperty related charges </w:t>
            </w:r>
          </w:p>
        </w:tc>
        <w:tc>
          <w:tcPr>
            <w:tcW w:w="680" w:type="dxa"/>
          </w:tcPr>
          <w:p w14:paraId="02DFB872" w14:textId="77777777" w:rsidR="005B36AA" w:rsidRPr="003D5549" w:rsidRDefault="005B36AA" w:rsidP="005B36AA">
            <w:pPr>
              <w:pStyle w:val="Subtitle"/>
              <w:jc w:val="center"/>
              <w:rPr>
                <w:b w:val="0"/>
              </w:rPr>
            </w:pPr>
            <w:r w:rsidRPr="003D5549">
              <w:rPr>
                <w:b w:val="0"/>
              </w:rPr>
              <w:t>(</w:t>
            </w:r>
            <w:r>
              <w:rPr>
                <w:b w:val="0"/>
              </w:rPr>
              <w:t>B</w:t>
            </w:r>
            <w:r w:rsidRPr="003D5549">
              <w:rPr>
                <w:b w:val="0"/>
              </w:rPr>
              <w:t>)</w:t>
            </w:r>
          </w:p>
        </w:tc>
        <w:tc>
          <w:tcPr>
            <w:tcW w:w="1134" w:type="dxa"/>
            <w:vAlign w:val="bottom"/>
          </w:tcPr>
          <w:p w14:paraId="5BB39F9D" w14:textId="77777777" w:rsidR="005B36AA" w:rsidRPr="003D5549" w:rsidRDefault="005B36AA" w:rsidP="005B36AA">
            <w:pPr>
              <w:pStyle w:val="Subtitle"/>
            </w:pPr>
          </w:p>
        </w:tc>
        <w:tc>
          <w:tcPr>
            <w:tcW w:w="1247" w:type="dxa"/>
            <w:vAlign w:val="bottom"/>
          </w:tcPr>
          <w:p w14:paraId="14FF3EB4" w14:textId="77777777" w:rsidR="005B36AA" w:rsidRDefault="005B36AA" w:rsidP="005B36AA">
            <w:pPr>
              <w:pStyle w:val="Subtitle"/>
            </w:pPr>
            <w:r>
              <w:t>(8.2)</w:t>
            </w:r>
          </w:p>
        </w:tc>
        <w:tc>
          <w:tcPr>
            <w:tcW w:w="1135" w:type="dxa"/>
            <w:vAlign w:val="bottom"/>
          </w:tcPr>
          <w:p w14:paraId="1F1542C1" w14:textId="77777777" w:rsidR="005B36AA" w:rsidRPr="0023663C" w:rsidRDefault="005B36AA" w:rsidP="005B36AA">
            <w:pPr>
              <w:pStyle w:val="Subtitle"/>
              <w:rPr>
                <w:b w:val="0"/>
              </w:rPr>
            </w:pPr>
            <w:r w:rsidRPr="0023663C">
              <w:rPr>
                <w:b w:val="0"/>
              </w:rPr>
              <w:t>–</w:t>
            </w:r>
          </w:p>
        </w:tc>
      </w:tr>
      <w:tr w:rsidR="005B36AA" w:rsidRPr="003D5549" w14:paraId="175B0F51" w14:textId="77777777" w:rsidTr="005B36AA">
        <w:trPr>
          <w:trHeight w:val="227"/>
        </w:trPr>
        <w:tc>
          <w:tcPr>
            <w:tcW w:w="6009" w:type="dxa"/>
            <w:vAlign w:val="bottom"/>
          </w:tcPr>
          <w:p w14:paraId="7FF913FF" w14:textId="77777777" w:rsidR="005B36AA" w:rsidRDefault="002466BB"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Inventory and plant and equipment </w:t>
            </w:r>
            <w:r w:rsidR="005B36AA">
              <w:rPr>
                <w:rFonts w:asciiTheme="minorHAnsi" w:eastAsiaTheme="minorHAnsi" w:hAnsiTheme="minorHAnsi" w:cstheme="minorBidi"/>
                <w:sz w:val="18"/>
                <w:szCs w:val="18"/>
                <w:lang w:eastAsia="en-US" w:bidi="ar-SA"/>
              </w:rPr>
              <w:t>impairment</w:t>
            </w:r>
          </w:p>
        </w:tc>
        <w:tc>
          <w:tcPr>
            <w:tcW w:w="680" w:type="dxa"/>
          </w:tcPr>
          <w:p w14:paraId="118114ED" w14:textId="77777777" w:rsidR="005B36AA" w:rsidRPr="003D5549" w:rsidRDefault="005B36AA" w:rsidP="005B36AA">
            <w:pPr>
              <w:pStyle w:val="Subtitle"/>
              <w:jc w:val="center"/>
              <w:rPr>
                <w:b w:val="0"/>
              </w:rPr>
            </w:pPr>
            <w:r w:rsidRPr="003D5549">
              <w:rPr>
                <w:b w:val="0"/>
              </w:rPr>
              <w:t>(</w:t>
            </w:r>
            <w:r>
              <w:rPr>
                <w:b w:val="0"/>
              </w:rPr>
              <w:t>C</w:t>
            </w:r>
            <w:r w:rsidRPr="003D5549">
              <w:rPr>
                <w:b w:val="0"/>
              </w:rPr>
              <w:t>)</w:t>
            </w:r>
          </w:p>
        </w:tc>
        <w:tc>
          <w:tcPr>
            <w:tcW w:w="1134" w:type="dxa"/>
            <w:vAlign w:val="bottom"/>
          </w:tcPr>
          <w:p w14:paraId="200C822B" w14:textId="77777777" w:rsidR="005B36AA" w:rsidRPr="003D5549" w:rsidRDefault="005B36AA" w:rsidP="005B36AA">
            <w:pPr>
              <w:pStyle w:val="Subtitle"/>
            </w:pPr>
          </w:p>
        </w:tc>
        <w:tc>
          <w:tcPr>
            <w:tcW w:w="1247" w:type="dxa"/>
            <w:vAlign w:val="bottom"/>
          </w:tcPr>
          <w:p w14:paraId="1AEA7CB2" w14:textId="77777777" w:rsidR="005B36AA" w:rsidRPr="003D5549" w:rsidRDefault="005B36AA" w:rsidP="005B36AA">
            <w:pPr>
              <w:pStyle w:val="Subtitle"/>
            </w:pPr>
            <w:r>
              <w:t>(4.8)</w:t>
            </w:r>
          </w:p>
        </w:tc>
        <w:tc>
          <w:tcPr>
            <w:tcW w:w="1135" w:type="dxa"/>
            <w:vAlign w:val="bottom"/>
          </w:tcPr>
          <w:p w14:paraId="30BE80AC" w14:textId="77777777" w:rsidR="005B36AA" w:rsidRDefault="005B36AA" w:rsidP="005B36AA">
            <w:pPr>
              <w:pStyle w:val="Subtitle"/>
            </w:pPr>
            <w:r w:rsidRPr="0023663C">
              <w:rPr>
                <w:b w:val="0"/>
              </w:rPr>
              <w:t>–</w:t>
            </w:r>
          </w:p>
        </w:tc>
      </w:tr>
      <w:tr w:rsidR="005B36AA" w:rsidRPr="00EB7162" w14:paraId="49B53D5D" w14:textId="77777777" w:rsidTr="005B36AA">
        <w:trPr>
          <w:trHeight w:val="227"/>
        </w:trPr>
        <w:tc>
          <w:tcPr>
            <w:tcW w:w="6009" w:type="dxa"/>
            <w:vAlign w:val="bottom"/>
          </w:tcPr>
          <w:p w14:paraId="1B675F2F"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lastRenderedPageBreak/>
              <w:t>Transaction and integration costs</w:t>
            </w:r>
          </w:p>
        </w:tc>
        <w:tc>
          <w:tcPr>
            <w:tcW w:w="680" w:type="dxa"/>
          </w:tcPr>
          <w:p w14:paraId="67BB4FDC" w14:textId="77777777" w:rsidR="005B36AA" w:rsidRPr="003D5549" w:rsidRDefault="005B36AA" w:rsidP="005B36AA">
            <w:pPr>
              <w:pStyle w:val="Subtitle"/>
              <w:jc w:val="center"/>
              <w:rPr>
                <w:b w:val="0"/>
              </w:rPr>
            </w:pPr>
            <w:r w:rsidRPr="003D5549">
              <w:rPr>
                <w:b w:val="0"/>
              </w:rPr>
              <w:t>(</w:t>
            </w:r>
            <w:r>
              <w:rPr>
                <w:b w:val="0"/>
              </w:rPr>
              <w:t>D</w:t>
            </w:r>
            <w:r w:rsidRPr="003D5549">
              <w:rPr>
                <w:b w:val="0"/>
              </w:rPr>
              <w:t>)</w:t>
            </w:r>
          </w:p>
        </w:tc>
        <w:tc>
          <w:tcPr>
            <w:tcW w:w="1134" w:type="dxa"/>
            <w:vAlign w:val="bottom"/>
          </w:tcPr>
          <w:p w14:paraId="17F39732" w14:textId="77777777" w:rsidR="005B36AA" w:rsidRPr="003D5549" w:rsidRDefault="005B36AA" w:rsidP="005B36AA">
            <w:pPr>
              <w:pStyle w:val="Subtitle"/>
            </w:pPr>
          </w:p>
        </w:tc>
        <w:tc>
          <w:tcPr>
            <w:tcW w:w="1247" w:type="dxa"/>
            <w:vAlign w:val="bottom"/>
          </w:tcPr>
          <w:p w14:paraId="76FC1EB2" w14:textId="77777777" w:rsidR="005B36AA" w:rsidRDefault="005B36AA" w:rsidP="005B36AA">
            <w:pPr>
              <w:pStyle w:val="Subtitle"/>
            </w:pPr>
            <w:r w:rsidRPr="00805542">
              <w:t>(2.9)</w:t>
            </w:r>
          </w:p>
        </w:tc>
        <w:tc>
          <w:tcPr>
            <w:tcW w:w="1135" w:type="dxa"/>
            <w:vAlign w:val="bottom"/>
          </w:tcPr>
          <w:p w14:paraId="41328215" w14:textId="77777777" w:rsidR="005B36AA" w:rsidRDefault="005B36AA" w:rsidP="005B36AA">
            <w:pPr>
              <w:pStyle w:val="Subtitle"/>
            </w:pPr>
            <w:r w:rsidRPr="00EB7162">
              <w:rPr>
                <w:b w:val="0"/>
                <w:bCs/>
              </w:rPr>
              <w:t>(1.8)</w:t>
            </w:r>
          </w:p>
        </w:tc>
      </w:tr>
      <w:tr w:rsidR="005B36AA" w:rsidRPr="00EB7162" w14:paraId="18C62D00" w14:textId="77777777" w:rsidTr="005B36AA">
        <w:trPr>
          <w:trHeight w:val="227"/>
        </w:trPr>
        <w:tc>
          <w:tcPr>
            <w:tcW w:w="6009" w:type="dxa"/>
            <w:vAlign w:val="bottom"/>
          </w:tcPr>
          <w:p w14:paraId="48FFFB8A"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Restructuring costs </w:t>
            </w:r>
          </w:p>
        </w:tc>
        <w:tc>
          <w:tcPr>
            <w:tcW w:w="680" w:type="dxa"/>
          </w:tcPr>
          <w:p w14:paraId="1F61C669" w14:textId="77777777" w:rsidR="005B36AA" w:rsidRPr="003D5549" w:rsidRDefault="005B36AA" w:rsidP="005B36AA">
            <w:pPr>
              <w:pStyle w:val="Subtitle"/>
              <w:jc w:val="center"/>
              <w:rPr>
                <w:b w:val="0"/>
              </w:rPr>
            </w:pPr>
            <w:r w:rsidRPr="003D5549">
              <w:rPr>
                <w:b w:val="0"/>
              </w:rPr>
              <w:t>(</w:t>
            </w:r>
            <w:r>
              <w:rPr>
                <w:b w:val="0"/>
              </w:rPr>
              <w:t>E</w:t>
            </w:r>
            <w:r w:rsidRPr="003D5549">
              <w:rPr>
                <w:b w:val="0"/>
              </w:rPr>
              <w:t>)</w:t>
            </w:r>
          </w:p>
        </w:tc>
        <w:tc>
          <w:tcPr>
            <w:tcW w:w="1134" w:type="dxa"/>
            <w:vAlign w:val="bottom"/>
          </w:tcPr>
          <w:p w14:paraId="0505657E" w14:textId="77777777" w:rsidR="005B36AA" w:rsidRPr="003D5549" w:rsidRDefault="005B36AA" w:rsidP="005B36AA">
            <w:pPr>
              <w:pStyle w:val="Subtitle"/>
            </w:pPr>
          </w:p>
        </w:tc>
        <w:tc>
          <w:tcPr>
            <w:tcW w:w="1247" w:type="dxa"/>
            <w:vAlign w:val="bottom"/>
          </w:tcPr>
          <w:p w14:paraId="3B1340DB" w14:textId="77777777" w:rsidR="005B36AA" w:rsidRPr="00805542" w:rsidRDefault="005B36AA" w:rsidP="005B36AA">
            <w:pPr>
              <w:pStyle w:val="Subtitle"/>
            </w:pPr>
            <w:r w:rsidRPr="00805542">
              <w:t>(2.0)</w:t>
            </w:r>
          </w:p>
        </w:tc>
        <w:tc>
          <w:tcPr>
            <w:tcW w:w="1135" w:type="dxa"/>
            <w:vAlign w:val="bottom"/>
          </w:tcPr>
          <w:p w14:paraId="6CABE03B" w14:textId="77777777" w:rsidR="005B36AA" w:rsidRPr="00EB7162" w:rsidRDefault="005B36AA" w:rsidP="005B36AA">
            <w:pPr>
              <w:pStyle w:val="Subtitle"/>
              <w:rPr>
                <w:b w:val="0"/>
                <w:bCs/>
              </w:rPr>
            </w:pPr>
            <w:r w:rsidRPr="0023663C">
              <w:rPr>
                <w:b w:val="0"/>
              </w:rPr>
              <w:t>–</w:t>
            </w:r>
          </w:p>
        </w:tc>
      </w:tr>
      <w:tr w:rsidR="005B36AA" w:rsidRPr="003D5549" w14:paraId="72F59436" w14:textId="77777777" w:rsidTr="005B36AA">
        <w:trPr>
          <w:trHeight w:val="227"/>
        </w:trPr>
        <w:tc>
          <w:tcPr>
            <w:tcW w:w="6009" w:type="dxa"/>
            <w:vAlign w:val="bottom"/>
          </w:tcPr>
          <w:p w14:paraId="05B90C54"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Legacy US legal matters</w:t>
            </w:r>
          </w:p>
        </w:tc>
        <w:tc>
          <w:tcPr>
            <w:tcW w:w="680" w:type="dxa"/>
          </w:tcPr>
          <w:p w14:paraId="271AB641" w14:textId="77777777" w:rsidR="005B36AA" w:rsidRPr="003D5549" w:rsidRDefault="005B36AA" w:rsidP="005B36AA">
            <w:pPr>
              <w:pStyle w:val="Subtitle"/>
              <w:jc w:val="center"/>
              <w:rPr>
                <w:b w:val="0"/>
              </w:rPr>
            </w:pPr>
            <w:r w:rsidRPr="003D5549">
              <w:rPr>
                <w:b w:val="0"/>
              </w:rPr>
              <w:t>(</w:t>
            </w:r>
            <w:r>
              <w:rPr>
                <w:b w:val="0"/>
              </w:rPr>
              <w:t>F</w:t>
            </w:r>
            <w:r w:rsidRPr="003D5549">
              <w:rPr>
                <w:b w:val="0"/>
              </w:rPr>
              <w:t>)</w:t>
            </w:r>
          </w:p>
        </w:tc>
        <w:tc>
          <w:tcPr>
            <w:tcW w:w="1134" w:type="dxa"/>
            <w:vAlign w:val="bottom"/>
          </w:tcPr>
          <w:p w14:paraId="46CE96E2" w14:textId="77777777" w:rsidR="005B36AA" w:rsidRPr="003D5549" w:rsidRDefault="005B36AA" w:rsidP="005B36AA">
            <w:pPr>
              <w:pStyle w:val="Subtitle"/>
            </w:pPr>
          </w:p>
        </w:tc>
        <w:tc>
          <w:tcPr>
            <w:tcW w:w="1247" w:type="dxa"/>
            <w:vAlign w:val="bottom"/>
          </w:tcPr>
          <w:p w14:paraId="7E7F2993" w14:textId="77777777" w:rsidR="005B36AA" w:rsidRPr="00313D10" w:rsidRDefault="005B36AA" w:rsidP="005B36AA">
            <w:pPr>
              <w:pStyle w:val="Subtitle"/>
            </w:pPr>
            <w:r w:rsidRPr="00313D10">
              <w:t>2.2</w:t>
            </w:r>
          </w:p>
        </w:tc>
        <w:tc>
          <w:tcPr>
            <w:tcW w:w="1135" w:type="dxa"/>
            <w:vAlign w:val="bottom"/>
          </w:tcPr>
          <w:p w14:paraId="6F6AE58F" w14:textId="77777777" w:rsidR="005B36AA" w:rsidRPr="003D5549" w:rsidRDefault="005B36AA" w:rsidP="005B36AA">
            <w:pPr>
              <w:pStyle w:val="Subtitle"/>
            </w:pPr>
            <w:r w:rsidRPr="0023663C">
              <w:rPr>
                <w:b w:val="0"/>
              </w:rPr>
              <w:t>–</w:t>
            </w:r>
          </w:p>
        </w:tc>
      </w:tr>
      <w:tr w:rsidR="005B36AA" w:rsidRPr="003D5549" w14:paraId="5793C6C7" w14:textId="77777777" w:rsidTr="005B36AA">
        <w:trPr>
          <w:trHeight w:val="227"/>
        </w:trPr>
        <w:tc>
          <w:tcPr>
            <w:tcW w:w="6009" w:type="dxa"/>
            <w:vAlign w:val="bottom"/>
          </w:tcPr>
          <w:p w14:paraId="5243BFCC" w14:textId="77777777" w:rsidR="005B36AA" w:rsidRPr="003D5549" w:rsidRDefault="005B36AA" w:rsidP="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Profit on disposal of Greencore’s US business</w:t>
            </w:r>
          </w:p>
        </w:tc>
        <w:tc>
          <w:tcPr>
            <w:tcW w:w="680" w:type="dxa"/>
          </w:tcPr>
          <w:p w14:paraId="0C21C968" w14:textId="77777777" w:rsidR="005B36AA" w:rsidRPr="003D5549" w:rsidRDefault="005B36AA" w:rsidP="005B36AA">
            <w:pPr>
              <w:pStyle w:val="Subtitle"/>
              <w:jc w:val="center"/>
              <w:rPr>
                <w:b w:val="0"/>
              </w:rPr>
            </w:pPr>
            <w:r w:rsidRPr="003D5549">
              <w:rPr>
                <w:b w:val="0"/>
              </w:rPr>
              <w:t>(</w:t>
            </w:r>
            <w:r>
              <w:rPr>
                <w:b w:val="0"/>
              </w:rPr>
              <w:t>G</w:t>
            </w:r>
            <w:r w:rsidRPr="003D5549">
              <w:rPr>
                <w:b w:val="0"/>
              </w:rPr>
              <w:t>)</w:t>
            </w:r>
          </w:p>
        </w:tc>
        <w:tc>
          <w:tcPr>
            <w:tcW w:w="1134" w:type="dxa"/>
            <w:vAlign w:val="bottom"/>
          </w:tcPr>
          <w:p w14:paraId="07385B86" w14:textId="77777777" w:rsidR="005B36AA" w:rsidRPr="003D5549" w:rsidRDefault="005B36AA" w:rsidP="005B36AA">
            <w:pPr>
              <w:pStyle w:val="Subtitle"/>
            </w:pPr>
          </w:p>
        </w:tc>
        <w:tc>
          <w:tcPr>
            <w:tcW w:w="1247" w:type="dxa"/>
            <w:vAlign w:val="bottom"/>
          </w:tcPr>
          <w:p w14:paraId="181BD4C3" w14:textId="77777777" w:rsidR="005B36AA" w:rsidRPr="003D5549" w:rsidRDefault="005B36AA" w:rsidP="005B36AA">
            <w:pPr>
              <w:pStyle w:val="Subtitle"/>
            </w:pPr>
            <w:r w:rsidRPr="0023663C">
              <w:t>–</w:t>
            </w:r>
          </w:p>
        </w:tc>
        <w:tc>
          <w:tcPr>
            <w:tcW w:w="1135" w:type="dxa"/>
            <w:vAlign w:val="bottom"/>
          </w:tcPr>
          <w:p w14:paraId="7EBDEF57" w14:textId="77777777" w:rsidR="005B36AA" w:rsidRPr="00EB7162" w:rsidRDefault="005B36AA" w:rsidP="005B36AA">
            <w:pPr>
              <w:pStyle w:val="Subtitle"/>
              <w:rPr>
                <w:b w:val="0"/>
                <w:bCs/>
              </w:rPr>
            </w:pPr>
            <w:r w:rsidRPr="00EB7162">
              <w:rPr>
                <w:b w:val="0"/>
                <w:bCs/>
              </w:rPr>
              <w:t>55.9</w:t>
            </w:r>
          </w:p>
        </w:tc>
      </w:tr>
      <w:tr w:rsidR="005B36AA" w:rsidRPr="003D5549" w14:paraId="76C85E07" w14:textId="77777777" w:rsidTr="005B36AA">
        <w:trPr>
          <w:trHeight w:val="227"/>
        </w:trPr>
        <w:tc>
          <w:tcPr>
            <w:tcW w:w="6009" w:type="dxa"/>
            <w:tcBorders>
              <w:bottom w:val="single" w:sz="4" w:space="0" w:color="auto"/>
            </w:tcBorders>
            <w:vAlign w:val="bottom"/>
          </w:tcPr>
          <w:p w14:paraId="5B3DA8F7" w14:textId="12C27C00" w:rsidR="005B36AA" w:rsidRPr="003D5549" w:rsidRDefault="005B36AA" w:rsidP="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Guaranteed Minimum Pension (</w:t>
            </w:r>
            <w:r w:rsidR="009C1E33">
              <w:rPr>
                <w:rFonts w:asciiTheme="minorHAnsi" w:eastAsiaTheme="minorHAnsi" w:hAnsiTheme="minorHAnsi" w:cstheme="minorBidi"/>
                <w:sz w:val="18"/>
                <w:szCs w:val="18"/>
                <w:lang w:eastAsia="en-US" w:bidi="ar-SA"/>
              </w:rPr>
              <w:t>‘</w:t>
            </w:r>
            <w:r w:rsidRPr="003D5549">
              <w:rPr>
                <w:rFonts w:asciiTheme="minorHAnsi" w:eastAsiaTheme="minorHAnsi" w:hAnsiTheme="minorHAnsi" w:cstheme="minorBidi"/>
                <w:sz w:val="18"/>
                <w:szCs w:val="18"/>
                <w:lang w:eastAsia="en-US" w:bidi="ar-SA"/>
              </w:rPr>
              <w:t>GMP</w:t>
            </w:r>
            <w:r w:rsidR="009C1E33">
              <w:rPr>
                <w:rFonts w:asciiTheme="minorHAnsi" w:eastAsiaTheme="minorHAnsi" w:hAnsiTheme="minorHAnsi" w:cstheme="minorBidi"/>
                <w:sz w:val="18"/>
                <w:szCs w:val="18"/>
                <w:lang w:eastAsia="en-US" w:bidi="ar-SA"/>
              </w:rPr>
              <w:t>’</w:t>
            </w:r>
            <w:r w:rsidRPr="003D5549">
              <w:rPr>
                <w:rFonts w:asciiTheme="minorHAnsi" w:eastAsiaTheme="minorHAnsi" w:hAnsiTheme="minorHAnsi" w:cstheme="minorBidi"/>
                <w:sz w:val="18"/>
                <w:szCs w:val="18"/>
                <w:lang w:eastAsia="en-US" w:bidi="ar-SA"/>
              </w:rPr>
              <w:t>) equalisation</w:t>
            </w:r>
          </w:p>
        </w:tc>
        <w:tc>
          <w:tcPr>
            <w:tcW w:w="680" w:type="dxa"/>
            <w:tcBorders>
              <w:bottom w:val="single" w:sz="4" w:space="0" w:color="auto"/>
            </w:tcBorders>
          </w:tcPr>
          <w:p w14:paraId="6788026A" w14:textId="77777777" w:rsidR="005B36AA" w:rsidRPr="003D5549" w:rsidRDefault="005B36AA" w:rsidP="005B36AA">
            <w:pPr>
              <w:pStyle w:val="Subtitle"/>
              <w:jc w:val="center"/>
              <w:rPr>
                <w:b w:val="0"/>
              </w:rPr>
            </w:pPr>
            <w:r>
              <w:rPr>
                <w:b w:val="0"/>
              </w:rPr>
              <w:t>(H</w:t>
            </w:r>
            <w:r w:rsidRPr="003D5549">
              <w:rPr>
                <w:b w:val="0"/>
              </w:rPr>
              <w:t>)</w:t>
            </w:r>
          </w:p>
        </w:tc>
        <w:tc>
          <w:tcPr>
            <w:tcW w:w="1134" w:type="dxa"/>
            <w:tcBorders>
              <w:bottom w:val="single" w:sz="4" w:space="0" w:color="auto"/>
            </w:tcBorders>
            <w:vAlign w:val="bottom"/>
          </w:tcPr>
          <w:p w14:paraId="67D191EB" w14:textId="77777777" w:rsidR="005B36AA" w:rsidRPr="003D5549" w:rsidRDefault="005B36AA" w:rsidP="005B36AA">
            <w:pPr>
              <w:pStyle w:val="Subtitle"/>
            </w:pPr>
          </w:p>
        </w:tc>
        <w:tc>
          <w:tcPr>
            <w:tcW w:w="1247" w:type="dxa"/>
            <w:tcBorders>
              <w:bottom w:val="single" w:sz="4" w:space="0" w:color="auto"/>
            </w:tcBorders>
            <w:vAlign w:val="bottom"/>
          </w:tcPr>
          <w:p w14:paraId="6DD7D669" w14:textId="77777777" w:rsidR="005B36AA" w:rsidRPr="003D5549" w:rsidRDefault="005B36AA" w:rsidP="005B36AA">
            <w:pPr>
              <w:pStyle w:val="Subtitle"/>
            </w:pPr>
            <w:r w:rsidRPr="0023663C">
              <w:t>–</w:t>
            </w:r>
          </w:p>
        </w:tc>
        <w:tc>
          <w:tcPr>
            <w:tcW w:w="1135" w:type="dxa"/>
            <w:tcBorders>
              <w:bottom w:val="single" w:sz="4" w:space="0" w:color="auto"/>
            </w:tcBorders>
            <w:vAlign w:val="bottom"/>
          </w:tcPr>
          <w:p w14:paraId="0C496585" w14:textId="77777777" w:rsidR="005B36AA" w:rsidRPr="003D5549" w:rsidRDefault="005B36AA" w:rsidP="005B36AA">
            <w:pPr>
              <w:pStyle w:val="Subtitle"/>
            </w:pPr>
            <w:r w:rsidRPr="006D1BD0">
              <w:rPr>
                <w:b w:val="0"/>
              </w:rPr>
              <w:t>(3.0)</w:t>
            </w:r>
          </w:p>
        </w:tc>
      </w:tr>
      <w:tr w:rsidR="005B36AA" w:rsidRPr="003D5549" w14:paraId="7193F570" w14:textId="77777777" w:rsidTr="005B36AA">
        <w:trPr>
          <w:trHeight w:val="227"/>
        </w:trPr>
        <w:tc>
          <w:tcPr>
            <w:tcW w:w="6009" w:type="dxa"/>
            <w:tcBorders>
              <w:top w:val="single" w:sz="4" w:space="0" w:color="auto"/>
            </w:tcBorders>
            <w:vAlign w:val="bottom"/>
          </w:tcPr>
          <w:p w14:paraId="7FCC3404" w14:textId="77777777" w:rsidR="005B36AA" w:rsidRPr="003D5549" w:rsidRDefault="005B36AA" w:rsidP="005B36AA">
            <w:pPr>
              <w:rPr>
                <w:rFonts w:asciiTheme="minorHAnsi" w:eastAsiaTheme="minorHAnsi" w:hAnsiTheme="minorHAnsi" w:cstheme="minorBidi"/>
                <w:b/>
                <w:sz w:val="18"/>
                <w:szCs w:val="18"/>
                <w:lang w:eastAsia="en-US" w:bidi="ar-SA"/>
              </w:rPr>
            </w:pPr>
          </w:p>
        </w:tc>
        <w:tc>
          <w:tcPr>
            <w:tcW w:w="680" w:type="dxa"/>
            <w:tcBorders>
              <w:top w:val="single" w:sz="4" w:space="0" w:color="auto"/>
            </w:tcBorders>
          </w:tcPr>
          <w:p w14:paraId="57F478DC" w14:textId="77777777" w:rsidR="005B36AA" w:rsidRPr="003D5549" w:rsidRDefault="005B36AA" w:rsidP="005B36AA">
            <w:pPr>
              <w:pStyle w:val="Subtitle"/>
              <w:jc w:val="center"/>
              <w:rPr>
                <w:b w:val="0"/>
              </w:rPr>
            </w:pPr>
          </w:p>
        </w:tc>
        <w:tc>
          <w:tcPr>
            <w:tcW w:w="1134" w:type="dxa"/>
            <w:tcBorders>
              <w:top w:val="single" w:sz="4" w:space="0" w:color="auto"/>
            </w:tcBorders>
            <w:vAlign w:val="bottom"/>
          </w:tcPr>
          <w:p w14:paraId="58CD700E" w14:textId="77777777" w:rsidR="005B36AA" w:rsidRPr="003D5549" w:rsidRDefault="005B36AA" w:rsidP="005B36AA">
            <w:pPr>
              <w:pStyle w:val="Subtitle"/>
            </w:pPr>
          </w:p>
        </w:tc>
        <w:tc>
          <w:tcPr>
            <w:tcW w:w="1247" w:type="dxa"/>
            <w:tcBorders>
              <w:top w:val="single" w:sz="4" w:space="0" w:color="auto"/>
            </w:tcBorders>
            <w:vAlign w:val="bottom"/>
          </w:tcPr>
          <w:p w14:paraId="5C50A4A6" w14:textId="4A1BCDDD" w:rsidR="005B36AA" w:rsidRPr="003D5549" w:rsidRDefault="005B36AA" w:rsidP="005B36AA">
            <w:pPr>
              <w:pStyle w:val="Subtitle"/>
            </w:pPr>
            <w:r>
              <w:t>(2</w:t>
            </w:r>
            <w:r w:rsidR="00D364D9">
              <w:t>2.8</w:t>
            </w:r>
            <w:r>
              <w:t>)</w:t>
            </w:r>
          </w:p>
        </w:tc>
        <w:tc>
          <w:tcPr>
            <w:tcW w:w="1135" w:type="dxa"/>
            <w:tcBorders>
              <w:top w:val="single" w:sz="4" w:space="0" w:color="auto"/>
            </w:tcBorders>
            <w:vAlign w:val="bottom"/>
          </w:tcPr>
          <w:p w14:paraId="1CC94CCC" w14:textId="77777777" w:rsidR="005B36AA" w:rsidRPr="00EB7162" w:rsidRDefault="005B36AA" w:rsidP="005B36AA">
            <w:pPr>
              <w:pStyle w:val="Subtitle"/>
              <w:rPr>
                <w:b w:val="0"/>
                <w:bCs/>
              </w:rPr>
            </w:pPr>
            <w:r w:rsidRPr="00EB7162">
              <w:rPr>
                <w:b w:val="0"/>
                <w:bCs/>
              </w:rPr>
              <w:t>25.7</w:t>
            </w:r>
          </w:p>
        </w:tc>
      </w:tr>
      <w:tr w:rsidR="005B36AA" w:rsidRPr="003D5549" w14:paraId="149A9011" w14:textId="77777777" w:rsidTr="005B36AA">
        <w:trPr>
          <w:trHeight w:val="227"/>
        </w:trPr>
        <w:tc>
          <w:tcPr>
            <w:tcW w:w="6009" w:type="dxa"/>
            <w:tcBorders>
              <w:bottom w:val="single" w:sz="4" w:space="0" w:color="auto"/>
            </w:tcBorders>
            <w:vAlign w:val="bottom"/>
          </w:tcPr>
          <w:p w14:paraId="543BC6E4" w14:textId="77777777" w:rsidR="005B36AA" w:rsidRPr="003D5549" w:rsidRDefault="005B36AA" w:rsidP="005B36AA">
            <w:pPr>
              <w:rPr>
                <w:rFonts w:asciiTheme="minorHAnsi" w:eastAsiaTheme="minorHAnsi" w:hAnsiTheme="minorHAnsi" w:cstheme="minorBidi"/>
                <w:i/>
                <w:sz w:val="18"/>
                <w:szCs w:val="18"/>
                <w:lang w:eastAsia="en-US" w:bidi="ar-SA"/>
              </w:rPr>
            </w:pPr>
            <w:r w:rsidRPr="003D5549">
              <w:rPr>
                <w:rFonts w:asciiTheme="minorHAnsi" w:eastAsiaTheme="minorHAnsi" w:hAnsiTheme="minorHAnsi" w:cstheme="minorBidi"/>
                <w:sz w:val="18"/>
                <w:szCs w:val="18"/>
                <w:lang w:eastAsia="en-US" w:bidi="ar-SA"/>
              </w:rPr>
              <w:t>Tax on exceptional items</w:t>
            </w:r>
          </w:p>
        </w:tc>
        <w:tc>
          <w:tcPr>
            <w:tcW w:w="680" w:type="dxa"/>
            <w:tcBorders>
              <w:bottom w:val="single" w:sz="4" w:space="0" w:color="auto"/>
            </w:tcBorders>
          </w:tcPr>
          <w:p w14:paraId="144A06C0" w14:textId="77777777" w:rsidR="005B36AA" w:rsidRPr="003D5549" w:rsidRDefault="005B36AA" w:rsidP="005B36AA">
            <w:pPr>
              <w:pStyle w:val="Subtitle"/>
              <w:jc w:val="center"/>
              <w:rPr>
                <w:b w:val="0"/>
              </w:rPr>
            </w:pPr>
          </w:p>
        </w:tc>
        <w:tc>
          <w:tcPr>
            <w:tcW w:w="1134" w:type="dxa"/>
            <w:tcBorders>
              <w:bottom w:val="single" w:sz="4" w:space="0" w:color="auto"/>
            </w:tcBorders>
            <w:vAlign w:val="bottom"/>
          </w:tcPr>
          <w:p w14:paraId="76F1B921" w14:textId="77777777" w:rsidR="005B36AA" w:rsidRPr="003D5549" w:rsidRDefault="005B36AA" w:rsidP="005B36AA">
            <w:pPr>
              <w:pStyle w:val="Subtitle"/>
            </w:pPr>
          </w:p>
        </w:tc>
        <w:tc>
          <w:tcPr>
            <w:tcW w:w="1247" w:type="dxa"/>
            <w:tcBorders>
              <w:bottom w:val="single" w:sz="4" w:space="0" w:color="auto"/>
            </w:tcBorders>
            <w:vAlign w:val="bottom"/>
          </w:tcPr>
          <w:p w14:paraId="32582ED6" w14:textId="27B5642A" w:rsidR="005B36AA" w:rsidRPr="003D5549" w:rsidRDefault="005B36AA" w:rsidP="00D364D9">
            <w:pPr>
              <w:pStyle w:val="Subtitle"/>
            </w:pPr>
            <w:r w:rsidRPr="00DA6FA4">
              <w:t>2.</w:t>
            </w:r>
            <w:r w:rsidR="00D364D9">
              <w:t>3</w:t>
            </w:r>
          </w:p>
        </w:tc>
        <w:tc>
          <w:tcPr>
            <w:tcW w:w="1135" w:type="dxa"/>
            <w:tcBorders>
              <w:bottom w:val="single" w:sz="4" w:space="0" w:color="auto"/>
            </w:tcBorders>
            <w:vAlign w:val="bottom"/>
          </w:tcPr>
          <w:p w14:paraId="7C09875A" w14:textId="77777777" w:rsidR="005B36AA" w:rsidRPr="00EB7162" w:rsidRDefault="005B36AA" w:rsidP="005B36AA">
            <w:pPr>
              <w:pStyle w:val="Subtitle"/>
              <w:rPr>
                <w:b w:val="0"/>
                <w:bCs/>
              </w:rPr>
            </w:pPr>
            <w:r w:rsidRPr="00EB7162">
              <w:rPr>
                <w:b w:val="0"/>
                <w:bCs/>
              </w:rPr>
              <w:t>0.2</w:t>
            </w:r>
          </w:p>
        </w:tc>
      </w:tr>
      <w:tr w:rsidR="005B36AA" w:rsidRPr="003D5549" w14:paraId="75EF686E" w14:textId="77777777" w:rsidTr="005B36AA">
        <w:trPr>
          <w:trHeight w:val="227"/>
        </w:trPr>
        <w:tc>
          <w:tcPr>
            <w:tcW w:w="6009" w:type="dxa"/>
            <w:tcBorders>
              <w:top w:val="single" w:sz="4" w:space="0" w:color="auto"/>
              <w:bottom w:val="single" w:sz="8" w:space="0" w:color="auto"/>
            </w:tcBorders>
            <w:vAlign w:val="bottom"/>
          </w:tcPr>
          <w:p w14:paraId="0895A622" w14:textId="77777777" w:rsidR="005B36AA" w:rsidRPr="003D5549" w:rsidRDefault="005B36AA" w:rsidP="005B36AA">
            <w:pPr>
              <w:rPr>
                <w:rFonts w:asciiTheme="minorHAnsi" w:eastAsiaTheme="minorHAnsi" w:hAnsiTheme="minorHAnsi" w:cstheme="minorBidi"/>
                <w:b/>
                <w:sz w:val="18"/>
                <w:szCs w:val="18"/>
                <w:lang w:eastAsia="en-US" w:bidi="ar-SA"/>
              </w:rPr>
            </w:pPr>
            <w:r w:rsidRPr="003D5549">
              <w:rPr>
                <w:rFonts w:asciiTheme="minorHAnsi" w:eastAsiaTheme="minorHAnsi" w:hAnsiTheme="minorHAnsi" w:cstheme="minorBidi"/>
                <w:b/>
                <w:sz w:val="18"/>
                <w:szCs w:val="18"/>
                <w:lang w:eastAsia="en-US" w:bidi="ar-SA"/>
              </w:rPr>
              <w:t xml:space="preserve">Total exceptional </w:t>
            </w:r>
            <w:r>
              <w:rPr>
                <w:rFonts w:asciiTheme="minorHAnsi" w:eastAsiaTheme="minorHAnsi" w:hAnsiTheme="minorHAnsi" w:cstheme="minorBidi"/>
                <w:b/>
                <w:sz w:val="18"/>
                <w:szCs w:val="18"/>
                <w:lang w:eastAsia="en-US" w:bidi="ar-SA"/>
              </w:rPr>
              <w:t>items</w:t>
            </w:r>
          </w:p>
        </w:tc>
        <w:tc>
          <w:tcPr>
            <w:tcW w:w="680" w:type="dxa"/>
            <w:tcBorders>
              <w:top w:val="single" w:sz="4" w:space="0" w:color="auto"/>
              <w:bottom w:val="single" w:sz="8" w:space="0" w:color="auto"/>
            </w:tcBorders>
          </w:tcPr>
          <w:p w14:paraId="7013248A" w14:textId="77777777" w:rsidR="005B36AA" w:rsidRPr="003D5549" w:rsidRDefault="005B36AA" w:rsidP="005B36AA">
            <w:pPr>
              <w:jc w:val="center"/>
              <w:rPr>
                <w:rFonts w:asciiTheme="minorHAnsi" w:eastAsiaTheme="minorHAnsi" w:hAnsiTheme="minorHAnsi" w:cstheme="minorBidi"/>
                <w:b/>
                <w:sz w:val="18"/>
                <w:szCs w:val="18"/>
                <w:lang w:eastAsia="en-US" w:bidi="ar-SA"/>
              </w:rPr>
            </w:pPr>
          </w:p>
        </w:tc>
        <w:tc>
          <w:tcPr>
            <w:tcW w:w="1134" w:type="dxa"/>
            <w:tcBorders>
              <w:top w:val="single" w:sz="4" w:space="0" w:color="auto"/>
              <w:bottom w:val="single" w:sz="8" w:space="0" w:color="auto"/>
            </w:tcBorders>
            <w:vAlign w:val="bottom"/>
          </w:tcPr>
          <w:p w14:paraId="296DB932" w14:textId="77777777" w:rsidR="005B36AA" w:rsidRPr="003D5549" w:rsidRDefault="005B36AA" w:rsidP="005B36AA">
            <w:pPr>
              <w:jc w:val="right"/>
              <w:rPr>
                <w:rFonts w:asciiTheme="minorHAnsi" w:eastAsiaTheme="minorHAnsi" w:hAnsiTheme="minorHAnsi" w:cstheme="minorBidi"/>
                <w:b/>
                <w:sz w:val="18"/>
                <w:szCs w:val="18"/>
                <w:lang w:eastAsia="en-US" w:bidi="ar-SA"/>
              </w:rPr>
            </w:pPr>
          </w:p>
        </w:tc>
        <w:tc>
          <w:tcPr>
            <w:tcW w:w="1247" w:type="dxa"/>
            <w:tcBorders>
              <w:top w:val="single" w:sz="4" w:space="0" w:color="auto"/>
              <w:bottom w:val="single" w:sz="8" w:space="0" w:color="auto"/>
            </w:tcBorders>
            <w:vAlign w:val="bottom"/>
          </w:tcPr>
          <w:p w14:paraId="71667EC4" w14:textId="74D060AB" w:rsidR="005B36AA" w:rsidRPr="003D5549"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w:t>
            </w:r>
            <w:r w:rsidR="00D364D9">
              <w:rPr>
                <w:rFonts w:asciiTheme="minorHAnsi" w:eastAsiaTheme="minorHAnsi" w:hAnsiTheme="minorHAnsi" w:cstheme="minorBidi"/>
                <w:b/>
                <w:sz w:val="18"/>
                <w:szCs w:val="18"/>
                <w:lang w:eastAsia="en-US" w:bidi="ar-SA"/>
              </w:rPr>
              <w:t>0.5</w:t>
            </w:r>
            <w:r>
              <w:rPr>
                <w:rFonts w:asciiTheme="minorHAnsi" w:eastAsiaTheme="minorHAnsi" w:hAnsiTheme="minorHAnsi" w:cstheme="minorBidi"/>
                <w:b/>
                <w:sz w:val="18"/>
                <w:szCs w:val="18"/>
                <w:lang w:eastAsia="en-US" w:bidi="ar-SA"/>
              </w:rPr>
              <w:t>)</w:t>
            </w:r>
          </w:p>
        </w:tc>
        <w:tc>
          <w:tcPr>
            <w:tcW w:w="1135" w:type="dxa"/>
            <w:tcBorders>
              <w:top w:val="single" w:sz="4" w:space="0" w:color="auto"/>
              <w:bottom w:val="single" w:sz="8" w:space="0" w:color="auto"/>
            </w:tcBorders>
            <w:vAlign w:val="bottom"/>
          </w:tcPr>
          <w:p w14:paraId="041A099C" w14:textId="77777777" w:rsidR="005B36AA" w:rsidRPr="00EB7162" w:rsidRDefault="005B36AA" w:rsidP="005B36AA">
            <w:pPr>
              <w:jc w:val="right"/>
              <w:rPr>
                <w:rFonts w:asciiTheme="minorHAnsi" w:eastAsiaTheme="minorHAnsi" w:hAnsiTheme="minorHAnsi" w:cstheme="minorBidi"/>
                <w:bCs/>
                <w:sz w:val="18"/>
                <w:szCs w:val="18"/>
                <w:lang w:eastAsia="en-US" w:bidi="ar-SA"/>
              </w:rPr>
            </w:pPr>
            <w:r w:rsidRPr="00EB7162">
              <w:rPr>
                <w:rFonts w:asciiTheme="minorHAnsi" w:eastAsiaTheme="minorHAnsi" w:hAnsiTheme="minorHAnsi" w:cstheme="minorBidi"/>
                <w:bCs/>
                <w:sz w:val="18"/>
                <w:szCs w:val="18"/>
                <w:lang w:eastAsia="en-US" w:bidi="ar-SA"/>
              </w:rPr>
              <w:t>25.9</w:t>
            </w:r>
          </w:p>
        </w:tc>
      </w:tr>
      <w:tr w:rsidR="005B36AA" w:rsidRPr="003D5549" w14:paraId="4508FB8E" w14:textId="77777777" w:rsidTr="005B36AA">
        <w:trPr>
          <w:trHeight w:val="227"/>
        </w:trPr>
        <w:tc>
          <w:tcPr>
            <w:tcW w:w="10205" w:type="dxa"/>
            <w:gridSpan w:val="5"/>
            <w:tcBorders>
              <w:top w:val="single" w:sz="8" w:space="0" w:color="auto"/>
            </w:tcBorders>
          </w:tcPr>
          <w:p w14:paraId="7C863E17" w14:textId="77777777" w:rsidR="005B36AA" w:rsidRPr="003D5549" w:rsidRDefault="005B36AA" w:rsidP="005B36AA">
            <w:pPr>
              <w:rPr>
                <w:rFonts w:asciiTheme="minorHAnsi" w:eastAsiaTheme="minorHAnsi" w:hAnsiTheme="minorHAnsi" w:cstheme="minorBidi"/>
                <w:sz w:val="18"/>
                <w:szCs w:val="18"/>
                <w:lang w:eastAsia="en-US" w:bidi="ar-SA"/>
              </w:rPr>
            </w:pPr>
          </w:p>
        </w:tc>
      </w:tr>
    </w:tbl>
    <w:p w14:paraId="04A75287" w14:textId="77777777" w:rsidR="005B36AA" w:rsidRDefault="005B36AA" w:rsidP="005B36AA">
      <w:pPr>
        <w:pStyle w:val="Heading2"/>
        <w:numPr>
          <w:ilvl w:val="0"/>
          <w:numId w:val="0"/>
        </w:numPr>
      </w:pPr>
    </w:p>
    <w:p w14:paraId="2215B3A7" w14:textId="79196FE9" w:rsidR="005B36AA" w:rsidRPr="00805542" w:rsidRDefault="005B36AA" w:rsidP="005B36AA">
      <w:pPr>
        <w:pStyle w:val="BodyText"/>
        <w:numPr>
          <w:ilvl w:val="0"/>
          <w:numId w:val="15"/>
        </w:numPr>
        <w:jc w:val="both"/>
        <w:rPr>
          <w:b/>
        </w:rPr>
      </w:pPr>
      <w:r w:rsidRPr="006B790E">
        <w:rPr>
          <w:b/>
        </w:rPr>
        <w:t>Debt Restructuring</w:t>
      </w:r>
      <w:r>
        <w:rPr>
          <w:b/>
        </w:rPr>
        <w:t xml:space="preserve"> </w:t>
      </w:r>
      <w:r w:rsidR="005751C0">
        <w:rPr>
          <w:b/>
        </w:rPr>
        <w:t>and modification</w:t>
      </w:r>
    </w:p>
    <w:p w14:paraId="3599C065" w14:textId="77777777" w:rsidR="005B36AA" w:rsidRDefault="005B36AA" w:rsidP="005B36AA">
      <w:pPr>
        <w:pStyle w:val="BodyText"/>
        <w:jc w:val="both"/>
        <w:rPr>
          <w:bCs/>
          <w:color w:val="FF0000"/>
        </w:rPr>
      </w:pPr>
    </w:p>
    <w:p w14:paraId="4D96C74B" w14:textId="499BEEE2" w:rsidR="005B36AA" w:rsidRDefault="005B36AA" w:rsidP="005B36AA">
      <w:pPr>
        <w:pStyle w:val="BodyText"/>
        <w:jc w:val="both"/>
        <w:rPr>
          <w:bCs/>
        </w:rPr>
      </w:pPr>
      <w:r w:rsidRPr="00313D10">
        <w:rPr>
          <w:bCs/>
        </w:rPr>
        <w:t>During the</w:t>
      </w:r>
      <w:r w:rsidRPr="00805542">
        <w:rPr>
          <w:bCs/>
        </w:rPr>
        <w:t xml:space="preserve"> year, </w:t>
      </w:r>
      <w:r w:rsidRPr="00313D10">
        <w:t xml:space="preserve">the </w:t>
      </w:r>
      <w:r w:rsidR="005751C0">
        <w:t>Group restructure</w:t>
      </w:r>
      <w:r w:rsidR="00A42025">
        <w:t>d its debt, adding</w:t>
      </w:r>
      <w:r w:rsidR="00074515">
        <w:t xml:space="preserve"> a</w:t>
      </w:r>
      <w:r w:rsidR="00A42025">
        <w:t xml:space="preserve"> new facilit</w:t>
      </w:r>
      <w:r w:rsidR="00074515">
        <w:t>y</w:t>
      </w:r>
      <w:r w:rsidR="00A42025">
        <w:t xml:space="preserve"> and securing amendments to existing financing agreements</w:t>
      </w:r>
      <w:r w:rsidR="005751C0">
        <w:t xml:space="preserve">. </w:t>
      </w:r>
      <w:r>
        <w:t>The Group recognised a debt modification charge of £5.9m in the income statement in the year,</w:t>
      </w:r>
      <w:r w:rsidR="008824B8">
        <w:t xml:space="preserve"> reflecting</w:t>
      </w:r>
      <w:r>
        <w:t xml:space="preserve"> </w:t>
      </w:r>
      <w:r w:rsidR="008824B8">
        <w:t xml:space="preserve">the </w:t>
      </w:r>
      <w:r w:rsidR="005751C0">
        <w:t xml:space="preserve">incremental </w:t>
      </w:r>
      <w:r w:rsidR="008824B8">
        <w:t xml:space="preserve">interest costs that will be incurred by the Group </w:t>
      </w:r>
      <w:r w:rsidR="005751C0">
        <w:t xml:space="preserve">in future periods </w:t>
      </w:r>
      <w:proofErr w:type="gramStart"/>
      <w:r w:rsidR="008824B8">
        <w:t>as a result of</w:t>
      </w:r>
      <w:proofErr w:type="gramEnd"/>
      <w:r w:rsidR="008824B8">
        <w:t xml:space="preserve"> the covenant </w:t>
      </w:r>
      <w:r w:rsidR="005751C0">
        <w:t>amendments</w:t>
      </w:r>
      <w:r w:rsidR="008824B8">
        <w:t>. In line with the debt modification requirements of IFRS 9, the Group is required to</w:t>
      </w:r>
      <w:r w:rsidR="00446715">
        <w:t xml:space="preserve"> reflect the </w:t>
      </w:r>
      <w:r w:rsidRPr="002158D3">
        <w:t>remeasur</w:t>
      </w:r>
      <w:r w:rsidR="00446715">
        <w:t>ement</w:t>
      </w:r>
      <w:r w:rsidRPr="002158D3">
        <w:t xml:space="preserve"> </w:t>
      </w:r>
      <w:r w:rsidR="00A42025">
        <w:t xml:space="preserve">of </w:t>
      </w:r>
      <w:r w:rsidRPr="002158D3">
        <w:t>the carrying</w:t>
      </w:r>
      <w:r>
        <w:t xml:space="preserve"> value of debt due to the change in the contractual cashflows</w:t>
      </w:r>
      <w:r w:rsidR="00756CC3">
        <w:t>,</w:t>
      </w:r>
      <w:r w:rsidR="008824B8">
        <w:t xml:space="preserve"> </w:t>
      </w:r>
      <w:r w:rsidR="00446715">
        <w:t xml:space="preserve">resulting in </w:t>
      </w:r>
      <w:r w:rsidR="008824B8">
        <w:t>a charge in the year</w:t>
      </w:r>
      <w:r w:rsidR="00A42025">
        <w:t>,</w:t>
      </w:r>
      <w:r w:rsidR="008824B8">
        <w:t xml:space="preserve"> with a corresponding increase in borrowings</w:t>
      </w:r>
      <w:r>
        <w:t>.</w:t>
      </w:r>
      <w:r w:rsidRPr="00B26FEF">
        <w:t xml:space="preserve"> </w:t>
      </w:r>
      <w:r w:rsidR="008824B8">
        <w:t xml:space="preserve">The Group also incurred </w:t>
      </w:r>
      <w:r w:rsidR="00756CC3">
        <w:t xml:space="preserve">£1.2m </w:t>
      </w:r>
      <w:r w:rsidR="00446715">
        <w:t>of transaction costs relating to the modification of facilities</w:t>
      </w:r>
      <w:r w:rsidRPr="00B26FEF">
        <w:rPr>
          <w:bCs/>
        </w:rPr>
        <w:t>.</w:t>
      </w:r>
    </w:p>
    <w:p w14:paraId="2C68775E" w14:textId="77777777" w:rsidR="005B36AA" w:rsidRDefault="005B36AA" w:rsidP="005B36AA">
      <w:pPr>
        <w:pStyle w:val="BodyText"/>
        <w:jc w:val="both"/>
        <w:rPr>
          <w:bCs/>
        </w:rPr>
      </w:pPr>
    </w:p>
    <w:p w14:paraId="3EB812F0" w14:textId="77777777" w:rsidR="005B36AA" w:rsidRDefault="005B36AA" w:rsidP="005B36AA">
      <w:pPr>
        <w:pStyle w:val="BodyText"/>
        <w:jc w:val="both"/>
        <w:rPr>
          <w:bCs/>
        </w:rPr>
      </w:pPr>
      <w:r w:rsidRPr="00413A32">
        <w:rPr>
          <w:bCs/>
        </w:rPr>
        <w:t xml:space="preserve">In the prior year, following the disposal of Greencore’s US business in November 2018, the Group reshaped its debt and associated derivative portfolio to reflect the removal of US dollar assets from the business. This resulted in a £25.4m exceptional charge in the period comprising the recycling of the net investment hedge of £22.3m including foreign exchange differences arising on debt and derivatives relating to US dollar exposure, and the cash cost of terminating a US dollar related swap. It also includes the recycling of interest rate swaps of £1.0m and the write </w:t>
      </w:r>
      <w:proofErr w:type="gramStart"/>
      <w:r w:rsidRPr="00413A32">
        <w:rPr>
          <w:bCs/>
        </w:rPr>
        <w:t>off of</w:t>
      </w:r>
      <w:proofErr w:type="gramEnd"/>
      <w:r w:rsidRPr="00413A32">
        <w:rPr>
          <w:bCs/>
        </w:rPr>
        <w:t xml:space="preserve"> capitalised finance fees on debt facilities of £2.1m.</w:t>
      </w:r>
    </w:p>
    <w:p w14:paraId="36BB4719" w14:textId="77777777" w:rsidR="005B36AA" w:rsidRDefault="005B36AA" w:rsidP="005B36AA">
      <w:pPr>
        <w:pStyle w:val="BodyText"/>
        <w:jc w:val="both"/>
        <w:rPr>
          <w:b/>
        </w:rPr>
      </w:pPr>
    </w:p>
    <w:p w14:paraId="5A29A842" w14:textId="7E283A27" w:rsidR="005B36AA" w:rsidRDefault="002466BB" w:rsidP="005B36AA">
      <w:pPr>
        <w:pStyle w:val="BodyText"/>
        <w:numPr>
          <w:ilvl w:val="0"/>
          <w:numId w:val="15"/>
        </w:numPr>
        <w:rPr>
          <w:b/>
        </w:rPr>
      </w:pPr>
      <w:r>
        <w:rPr>
          <w:b/>
        </w:rPr>
        <w:t>Non-core property related charges</w:t>
      </w:r>
    </w:p>
    <w:p w14:paraId="0B28D960" w14:textId="0D2CEC63" w:rsidR="005B36AA" w:rsidRPr="007A7369" w:rsidRDefault="005B36AA" w:rsidP="005B36AA">
      <w:pPr>
        <w:pStyle w:val="BodyText"/>
        <w:jc w:val="both"/>
        <w:rPr>
          <w:bCs/>
        </w:rPr>
      </w:pPr>
      <w:r w:rsidRPr="007A7369">
        <w:rPr>
          <w:bCs/>
        </w:rPr>
        <w:t xml:space="preserve">The Group completed a review of all property assets held across the Group </w:t>
      </w:r>
      <w:r w:rsidR="002466BB">
        <w:rPr>
          <w:bCs/>
        </w:rPr>
        <w:t>to assess the</w:t>
      </w:r>
      <w:r w:rsidR="00BB34AB">
        <w:rPr>
          <w:bCs/>
        </w:rPr>
        <w:t>ir</w:t>
      </w:r>
      <w:r w:rsidR="002466BB">
        <w:rPr>
          <w:bCs/>
        </w:rPr>
        <w:t xml:space="preserve"> recoverable value in line with the requirements of IAS 36 </w:t>
      </w:r>
      <w:r w:rsidR="00074515">
        <w:rPr>
          <w:bCs/>
          <w:i/>
        </w:rPr>
        <w:t>I</w:t>
      </w:r>
      <w:r w:rsidR="002466BB" w:rsidRPr="002466BB">
        <w:rPr>
          <w:bCs/>
          <w:i/>
        </w:rPr>
        <w:t xml:space="preserve">mpairment of </w:t>
      </w:r>
      <w:r w:rsidR="00074515">
        <w:rPr>
          <w:bCs/>
          <w:i/>
        </w:rPr>
        <w:t>A</w:t>
      </w:r>
      <w:r w:rsidR="002466BB" w:rsidRPr="002466BB">
        <w:rPr>
          <w:bCs/>
          <w:i/>
        </w:rPr>
        <w:t>ssets</w:t>
      </w:r>
      <w:r w:rsidRPr="007A7369">
        <w:rPr>
          <w:bCs/>
        </w:rPr>
        <w:t>. As a result, the Group recognised a charge of £</w:t>
      </w:r>
      <w:r>
        <w:rPr>
          <w:bCs/>
        </w:rPr>
        <w:t>3.6</w:t>
      </w:r>
      <w:r w:rsidRPr="007A7369">
        <w:rPr>
          <w:bCs/>
        </w:rPr>
        <w:t>m in relation to investment properties</w:t>
      </w:r>
      <w:r w:rsidR="00E54DC2">
        <w:rPr>
          <w:bCs/>
        </w:rPr>
        <w:t>, which</w:t>
      </w:r>
      <w:r w:rsidR="00BB34AB">
        <w:rPr>
          <w:bCs/>
        </w:rPr>
        <w:t xml:space="preserve"> includes</w:t>
      </w:r>
      <w:r w:rsidR="00E54DC2">
        <w:rPr>
          <w:bCs/>
        </w:rPr>
        <w:t xml:space="preserve"> £0.8m </w:t>
      </w:r>
      <w:r w:rsidR="001C457E">
        <w:rPr>
          <w:bCs/>
        </w:rPr>
        <w:t xml:space="preserve">carried </w:t>
      </w:r>
      <w:r w:rsidR="00A42025">
        <w:rPr>
          <w:bCs/>
        </w:rPr>
        <w:t>within</w:t>
      </w:r>
      <w:r w:rsidR="001C457E">
        <w:rPr>
          <w:bCs/>
        </w:rPr>
        <w:t xml:space="preserve"> other current assets</w:t>
      </w:r>
      <w:r w:rsidR="00BB34AB">
        <w:rPr>
          <w:bCs/>
        </w:rPr>
        <w:t>.</w:t>
      </w:r>
      <w:r w:rsidR="00E54DC2">
        <w:rPr>
          <w:bCs/>
        </w:rPr>
        <w:t xml:space="preserve"> </w:t>
      </w:r>
      <w:r w:rsidR="00BB34AB">
        <w:rPr>
          <w:bCs/>
        </w:rPr>
        <w:t xml:space="preserve">Land classified as property, plant and equipment was also impaired with a £4.3m </w:t>
      </w:r>
      <w:r w:rsidR="00E54DC2">
        <w:rPr>
          <w:bCs/>
        </w:rPr>
        <w:t>charge</w:t>
      </w:r>
      <w:r w:rsidR="00BB34AB">
        <w:rPr>
          <w:bCs/>
        </w:rPr>
        <w:t xml:space="preserve"> recognised in the year</w:t>
      </w:r>
      <w:r w:rsidR="001C457E">
        <w:rPr>
          <w:bCs/>
        </w:rPr>
        <w:t xml:space="preserve"> to write down the property to </w:t>
      </w:r>
      <w:r w:rsidR="00942659">
        <w:rPr>
          <w:bCs/>
        </w:rPr>
        <w:t xml:space="preserve">fair value which was determined to be </w:t>
      </w:r>
      <w:r w:rsidR="00A42025">
        <w:rPr>
          <w:bCs/>
        </w:rPr>
        <w:t xml:space="preserve">its </w:t>
      </w:r>
      <w:r w:rsidR="001C457E">
        <w:rPr>
          <w:bCs/>
        </w:rPr>
        <w:t>recoverable value</w:t>
      </w:r>
      <w:r w:rsidRPr="007A7369">
        <w:rPr>
          <w:bCs/>
        </w:rPr>
        <w:t xml:space="preserve">. The Group </w:t>
      </w:r>
      <w:r w:rsidR="00074515">
        <w:rPr>
          <w:bCs/>
        </w:rPr>
        <w:t xml:space="preserve">also </w:t>
      </w:r>
      <w:r w:rsidRPr="007A7369">
        <w:rPr>
          <w:bCs/>
        </w:rPr>
        <w:t xml:space="preserve">recognised a provision of £0.3m </w:t>
      </w:r>
      <w:r w:rsidR="001C457E">
        <w:rPr>
          <w:bCs/>
        </w:rPr>
        <w:t xml:space="preserve">of </w:t>
      </w:r>
      <w:r w:rsidRPr="007A7369">
        <w:rPr>
          <w:bCs/>
        </w:rPr>
        <w:t xml:space="preserve">remediation </w:t>
      </w:r>
      <w:r w:rsidR="001C457E">
        <w:rPr>
          <w:bCs/>
        </w:rPr>
        <w:t>costs</w:t>
      </w:r>
      <w:r w:rsidR="00A42025">
        <w:rPr>
          <w:bCs/>
        </w:rPr>
        <w:t xml:space="preserve"> in relation to investment properties. </w:t>
      </w:r>
    </w:p>
    <w:p w14:paraId="3927F2D8" w14:textId="77777777" w:rsidR="005B36AA" w:rsidRDefault="005B36AA" w:rsidP="005B36AA">
      <w:pPr>
        <w:pStyle w:val="BodyText"/>
        <w:jc w:val="both"/>
        <w:rPr>
          <w:bCs/>
          <w:color w:val="FF0000"/>
        </w:rPr>
      </w:pPr>
    </w:p>
    <w:p w14:paraId="4C9C206F" w14:textId="77777777" w:rsidR="005B36AA" w:rsidRDefault="002466BB" w:rsidP="005B36AA">
      <w:pPr>
        <w:pStyle w:val="BodyText"/>
        <w:numPr>
          <w:ilvl w:val="0"/>
          <w:numId w:val="15"/>
        </w:numPr>
        <w:rPr>
          <w:b/>
        </w:rPr>
      </w:pPr>
      <w:r>
        <w:rPr>
          <w:b/>
        </w:rPr>
        <w:t xml:space="preserve">Inventory and plant and equipment </w:t>
      </w:r>
      <w:r w:rsidR="005B36AA" w:rsidRPr="00805542">
        <w:rPr>
          <w:b/>
        </w:rPr>
        <w:t>impairment</w:t>
      </w:r>
    </w:p>
    <w:p w14:paraId="1C95259B" w14:textId="5146B0DE" w:rsidR="005B36AA" w:rsidRPr="007A7369" w:rsidRDefault="005B36AA" w:rsidP="005771B0">
      <w:pPr>
        <w:pStyle w:val="BodyText"/>
        <w:jc w:val="both"/>
        <w:rPr>
          <w:bCs/>
        </w:rPr>
      </w:pPr>
      <w:r w:rsidRPr="007A7369">
        <w:rPr>
          <w:bCs/>
        </w:rPr>
        <w:t>The Group recognised a</w:t>
      </w:r>
      <w:r w:rsidR="004F0680">
        <w:rPr>
          <w:bCs/>
        </w:rPr>
        <w:t>n</w:t>
      </w:r>
      <w:r w:rsidRPr="007A7369">
        <w:rPr>
          <w:bCs/>
        </w:rPr>
        <w:t xml:space="preserve"> </w:t>
      </w:r>
      <w:r w:rsidR="004F0680">
        <w:rPr>
          <w:bCs/>
        </w:rPr>
        <w:t xml:space="preserve">impairment </w:t>
      </w:r>
      <w:r w:rsidRPr="007A7369">
        <w:rPr>
          <w:bCs/>
        </w:rPr>
        <w:t xml:space="preserve">charge of £2.9m </w:t>
      </w:r>
      <w:r w:rsidR="004F0680">
        <w:rPr>
          <w:bCs/>
        </w:rPr>
        <w:t xml:space="preserve">relating to </w:t>
      </w:r>
      <w:r w:rsidRPr="007A7369">
        <w:rPr>
          <w:bCs/>
        </w:rPr>
        <w:t xml:space="preserve">inventory </w:t>
      </w:r>
      <w:r w:rsidR="004F0680">
        <w:rPr>
          <w:bCs/>
        </w:rPr>
        <w:t>during the year</w:t>
      </w:r>
      <w:r w:rsidR="001C457E">
        <w:rPr>
          <w:bCs/>
        </w:rPr>
        <w:t xml:space="preserve">. This was as a </w:t>
      </w:r>
      <w:r w:rsidR="004F0680">
        <w:rPr>
          <w:bCs/>
        </w:rPr>
        <w:t>result</w:t>
      </w:r>
      <w:r w:rsidR="001C457E">
        <w:rPr>
          <w:bCs/>
        </w:rPr>
        <w:t xml:space="preserve"> of</w:t>
      </w:r>
      <w:r w:rsidR="004F0680">
        <w:rPr>
          <w:bCs/>
        </w:rPr>
        <w:t xml:space="preserve"> a </w:t>
      </w:r>
      <w:r w:rsidRPr="007A7369">
        <w:rPr>
          <w:bCs/>
        </w:rPr>
        <w:t xml:space="preserve">drop off in demand </w:t>
      </w:r>
      <w:r w:rsidR="004F0680">
        <w:rPr>
          <w:bCs/>
        </w:rPr>
        <w:t>in</w:t>
      </w:r>
      <w:r w:rsidR="004F0680" w:rsidRPr="007A7369">
        <w:rPr>
          <w:bCs/>
        </w:rPr>
        <w:t xml:space="preserve"> </w:t>
      </w:r>
      <w:r w:rsidRPr="007A7369">
        <w:rPr>
          <w:bCs/>
        </w:rPr>
        <w:t xml:space="preserve">food to go categories </w:t>
      </w:r>
      <w:r w:rsidR="004F0680">
        <w:rPr>
          <w:bCs/>
        </w:rPr>
        <w:t xml:space="preserve">when the UK Government introduced a UK nationwide lockdown </w:t>
      </w:r>
      <w:r w:rsidRPr="007A7369">
        <w:rPr>
          <w:bCs/>
        </w:rPr>
        <w:t>earlier in the year</w:t>
      </w:r>
      <w:r w:rsidR="00A42025">
        <w:rPr>
          <w:bCs/>
        </w:rPr>
        <w:t>,</w:t>
      </w:r>
      <w:r w:rsidR="004F0680">
        <w:rPr>
          <w:bCs/>
        </w:rPr>
        <w:t xml:space="preserve"> </w:t>
      </w:r>
      <w:r w:rsidR="001C457E">
        <w:rPr>
          <w:bCs/>
        </w:rPr>
        <w:t xml:space="preserve">together with </w:t>
      </w:r>
      <w:r w:rsidR="002427DE">
        <w:rPr>
          <w:bCs/>
        </w:rPr>
        <w:t>temporarily ceasing production at</w:t>
      </w:r>
      <w:r w:rsidRPr="007A7369">
        <w:rPr>
          <w:bCs/>
        </w:rPr>
        <w:t xml:space="preserve"> the Northampton facility in August 2020 due to </w:t>
      </w:r>
      <w:r w:rsidR="00074515">
        <w:rPr>
          <w:bCs/>
        </w:rPr>
        <w:t>a</w:t>
      </w:r>
      <w:r w:rsidR="00074515" w:rsidRPr="007A7369">
        <w:rPr>
          <w:bCs/>
        </w:rPr>
        <w:t xml:space="preserve"> </w:t>
      </w:r>
      <w:r w:rsidRPr="007A7369">
        <w:rPr>
          <w:bCs/>
        </w:rPr>
        <w:t xml:space="preserve">COVID-19 outbreak. </w:t>
      </w:r>
    </w:p>
    <w:p w14:paraId="20D078A3" w14:textId="77777777" w:rsidR="005B36AA" w:rsidRPr="007A7369" w:rsidRDefault="005B36AA" w:rsidP="005771B0">
      <w:pPr>
        <w:pStyle w:val="BodyText"/>
        <w:jc w:val="both"/>
        <w:rPr>
          <w:b/>
        </w:rPr>
      </w:pPr>
    </w:p>
    <w:p w14:paraId="78B0CA12" w14:textId="4C09E5D6" w:rsidR="005B36AA" w:rsidRPr="007A7369" w:rsidRDefault="005B36AA" w:rsidP="005771B0">
      <w:pPr>
        <w:pStyle w:val="BodyText"/>
        <w:jc w:val="both"/>
        <w:rPr>
          <w:bCs/>
        </w:rPr>
      </w:pPr>
      <w:r>
        <w:rPr>
          <w:bCs/>
        </w:rPr>
        <w:t xml:space="preserve">The </w:t>
      </w:r>
      <w:r w:rsidRPr="007A7369">
        <w:rPr>
          <w:bCs/>
        </w:rPr>
        <w:t>Group also recognised an asset impairment charge of £</w:t>
      </w:r>
      <w:r w:rsidR="002466BB">
        <w:rPr>
          <w:bCs/>
        </w:rPr>
        <w:t>1.9</w:t>
      </w:r>
      <w:r w:rsidRPr="007A7369">
        <w:rPr>
          <w:bCs/>
        </w:rPr>
        <w:t xml:space="preserve">m relating to </w:t>
      </w:r>
      <w:r>
        <w:rPr>
          <w:bCs/>
        </w:rPr>
        <w:t xml:space="preserve">plant and equipment </w:t>
      </w:r>
      <w:r w:rsidRPr="007A7369">
        <w:rPr>
          <w:bCs/>
        </w:rPr>
        <w:t xml:space="preserve">in certain food to go facilities, following a review of the food to go network as a result of </w:t>
      </w:r>
      <w:r w:rsidR="00074515">
        <w:rPr>
          <w:bCs/>
        </w:rPr>
        <w:t xml:space="preserve">the </w:t>
      </w:r>
      <w:r w:rsidRPr="007A7369">
        <w:rPr>
          <w:bCs/>
        </w:rPr>
        <w:t xml:space="preserve">impact of COVID-19 on volumes.   </w:t>
      </w:r>
    </w:p>
    <w:p w14:paraId="314511F8" w14:textId="77777777" w:rsidR="005B36AA" w:rsidRPr="00805542" w:rsidRDefault="005B36AA" w:rsidP="00AC225D">
      <w:pPr>
        <w:pStyle w:val="BodyText"/>
        <w:jc w:val="both"/>
        <w:rPr>
          <w:bCs/>
        </w:rPr>
      </w:pPr>
    </w:p>
    <w:p w14:paraId="41CF33A1" w14:textId="77777777" w:rsidR="005B36AA" w:rsidRPr="00EE12B3" w:rsidRDefault="005B36AA" w:rsidP="005B36AA">
      <w:pPr>
        <w:pStyle w:val="BodyText"/>
        <w:numPr>
          <w:ilvl w:val="0"/>
          <w:numId w:val="15"/>
        </w:numPr>
        <w:jc w:val="both"/>
        <w:rPr>
          <w:b/>
        </w:rPr>
      </w:pPr>
      <w:r>
        <w:rPr>
          <w:b/>
        </w:rPr>
        <w:t>Transaction and Integration costs</w:t>
      </w:r>
    </w:p>
    <w:p w14:paraId="44FC8DD7" w14:textId="1FFC136F" w:rsidR="005B36AA" w:rsidRDefault="005B36AA" w:rsidP="005B36AA">
      <w:pPr>
        <w:pStyle w:val="BodyText"/>
        <w:jc w:val="both"/>
        <w:rPr>
          <w:bCs/>
        </w:rPr>
      </w:pPr>
      <w:r w:rsidRPr="007A7369">
        <w:rPr>
          <w:bCs/>
        </w:rPr>
        <w:t xml:space="preserve">The Group recognised a charge of £2.9m (2019: £1.8m), comprising £1.8m of transaction costs relating </w:t>
      </w:r>
      <w:r w:rsidR="00074515">
        <w:rPr>
          <w:bCs/>
        </w:rPr>
        <w:t xml:space="preserve">to </w:t>
      </w:r>
      <w:r w:rsidRPr="007A7369">
        <w:rPr>
          <w:bCs/>
        </w:rPr>
        <w:t xml:space="preserve">an aborted acquisition and £0.8m of integration costs in relation to the acquisition of </w:t>
      </w:r>
      <w:proofErr w:type="spellStart"/>
      <w:r w:rsidRPr="007A7369">
        <w:rPr>
          <w:bCs/>
        </w:rPr>
        <w:t>Freshtime</w:t>
      </w:r>
      <w:proofErr w:type="spellEnd"/>
      <w:r w:rsidRPr="007A7369">
        <w:rPr>
          <w:bCs/>
        </w:rPr>
        <w:t xml:space="preserve"> UK Limited in September 2019. In </w:t>
      </w:r>
      <w:proofErr w:type="gramStart"/>
      <w:r w:rsidRPr="007A7369">
        <w:rPr>
          <w:bCs/>
        </w:rPr>
        <w:t>addition</w:t>
      </w:r>
      <w:proofErr w:type="gramEnd"/>
      <w:r w:rsidRPr="007A7369">
        <w:rPr>
          <w:bCs/>
        </w:rPr>
        <w:t xml:space="preserve"> the Group incurred £0.3m of costs associated with the conditional agreement to dispose of its Irish Molasses </w:t>
      </w:r>
      <w:r w:rsidR="00A42025">
        <w:rPr>
          <w:bCs/>
        </w:rPr>
        <w:t>t</w:t>
      </w:r>
      <w:r w:rsidRPr="007A7369">
        <w:rPr>
          <w:bCs/>
        </w:rPr>
        <w:t>rading businesses which was announced in July 2020.</w:t>
      </w:r>
    </w:p>
    <w:p w14:paraId="2329B41B" w14:textId="77777777" w:rsidR="005B36AA" w:rsidRDefault="005B36AA" w:rsidP="005B36AA">
      <w:pPr>
        <w:pStyle w:val="BodyText"/>
        <w:jc w:val="both"/>
        <w:rPr>
          <w:b/>
          <w:color w:val="FF0000"/>
        </w:rPr>
      </w:pPr>
    </w:p>
    <w:p w14:paraId="11EF2EFA" w14:textId="77777777" w:rsidR="005B36AA" w:rsidRPr="00A2239E" w:rsidRDefault="005B36AA" w:rsidP="005B36AA">
      <w:pPr>
        <w:pStyle w:val="BodyText"/>
        <w:numPr>
          <w:ilvl w:val="0"/>
          <w:numId w:val="15"/>
        </w:numPr>
        <w:jc w:val="both"/>
        <w:rPr>
          <w:b/>
          <w:bCs/>
        </w:rPr>
      </w:pPr>
      <w:r w:rsidRPr="002C5D6A">
        <w:rPr>
          <w:b/>
        </w:rPr>
        <w:t xml:space="preserve">Restructuring </w:t>
      </w:r>
      <w:r>
        <w:rPr>
          <w:b/>
        </w:rPr>
        <w:t>costs</w:t>
      </w:r>
    </w:p>
    <w:p w14:paraId="1FE9E505" w14:textId="2C3197D8" w:rsidR="005B36AA" w:rsidRPr="00A2239E" w:rsidRDefault="005B36AA" w:rsidP="005B36AA">
      <w:pPr>
        <w:pStyle w:val="BodyText"/>
        <w:jc w:val="both"/>
      </w:pPr>
      <w:r w:rsidRPr="00A2239E">
        <w:t xml:space="preserve">During the </w:t>
      </w:r>
      <w:proofErr w:type="gramStart"/>
      <w:r w:rsidRPr="00A2239E">
        <w:t>year</w:t>
      </w:r>
      <w:proofErr w:type="gramEnd"/>
      <w:r w:rsidRPr="00A2239E">
        <w:t xml:space="preserve"> the Group incurred a cost of £2.0m in relation to restructuring activities</w:t>
      </w:r>
      <w:r w:rsidR="00074515">
        <w:t xml:space="preserve"> for redundancies following a review of the food to go network as a result of the impact of COVID-19 on volumes. </w:t>
      </w:r>
      <w:r w:rsidRPr="00A2239E">
        <w:t xml:space="preserve">  </w:t>
      </w:r>
    </w:p>
    <w:p w14:paraId="6B03AD22" w14:textId="77777777" w:rsidR="005B36AA" w:rsidRDefault="005B36AA" w:rsidP="005B36AA">
      <w:pPr>
        <w:pStyle w:val="BodyText"/>
        <w:jc w:val="both"/>
        <w:rPr>
          <w:b/>
        </w:rPr>
      </w:pPr>
    </w:p>
    <w:p w14:paraId="0715D3A9" w14:textId="77777777" w:rsidR="005B36AA" w:rsidRDefault="005B36AA" w:rsidP="005B36AA">
      <w:pPr>
        <w:pStyle w:val="BodyText"/>
        <w:numPr>
          <w:ilvl w:val="0"/>
          <w:numId w:val="15"/>
        </w:numPr>
        <w:jc w:val="both"/>
        <w:rPr>
          <w:b/>
        </w:rPr>
      </w:pPr>
      <w:r>
        <w:rPr>
          <w:b/>
        </w:rPr>
        <w:t>Legacy US legal matters</w:t>
      </w:r>
    </w:p>
    <w:p w14:paraId="6B65B9DB" w14:textId="059B16D5" w:rsidR="005B36AA" w:rsidRPr="00EB7162" w:rsidRDefault="004F0680" w:rsidP="005B36AA">
      <w:pPr>
        <w:pStyle w:val="BodyText"/>
        <w:jc w:val="both"/>
        <w:rPr>
          <w:bCs/>
        </w:rPr>
      </w:pPr>
      <w:r>
        <w:rPr>
          <w:bCs/>
        </w:rPr>
        <w:t>During the year</w:t>
      </w:r>
      <w:r w:rsidR="005B36AA" w:rsidRPr="00413A32">
        <w:rPr>
          <w:bCs/>
        </w:rPr>
        <w:t>, the Group recognised a credit of £2.2m on the settlement of a legacy US legal case, as an amount was recovered under</w:t>
      </w:r>
      <w:r w:rsidR="005B36AA">
        <w:rPr>
          <w:bCs/>
        </w:rPr>
        <w:t xml:space="preserve"> </w:t>
      </w:r>
      <w:r w:rsidR="005B36AA" w:rsidRPr="00413A32">
        <w:rPr>
          <w:bCs/>
        </w:rPr>
        <w:t xml:space="preserve">a Group insurance policy. </w:t>
      </w:r>
    </w:p>
    <w:p w14:paraId="389800FE" w14:textId="77777777" w:rsidR="005B36AA" w:rsidRPr="00EB7162" w:rsidRDefault="005B36AA" w:rsidP="005B36AA">
      <w:pPr>
        <w:pStyle w:val="BodyText"/>
        <w:jc w:val="both"/>
        <w:rPr>
          <w:bCs/>
        </w:rPr>
      </w:pPr>
    </w:p>
    <w:p w14:paraId="3A6AE29F" w14:textId="77777777" w:rsidR="005B36AA" w:rsidRDefault="005B36AA" w:rsidP="005B36AA">
      <w:pPr>
        <w:pStyle w:val="BodyText"/>
        <w:numPr>
          <w:ilvl w:val="0"/>
          <w:numId w:val="15"/>
        </w:numPr>
        <w:jc w:val="both"/>
        <w:rPr>
          <w:b/>
        </w:rPr>
      </w:pPr>
      <w:r w:rsidRPr="006A1480">
        <w:rPr>
          <w:b/>
        </w:rPr>
        <w:t>Profit on disposal of Greencore's US business</w:t>
      </w:r>
    </w:p>
    <w:p w14:paraId="3184B924" w14:textId="77777777" w:rsidR="005B36AA" w:rsidRPr="006A1480" w:rsidRDefault="005B36AA" w:rsidP="005B36AA">
      <w:pPr>
        <w:pStyle w:val="BodyText"/>
        <w:jc w:val="both"/>
        <w:rPr>
          <w:bCs/>
        </w:rPr>
      </w:pPr>
      <w:r w:rsidRPr="00413A32">
        <w:rPr>
          <w:bCs/>
        </w:rPr>
        <w:t xml:space="preserve">In the prior year, the Group completed the disposal of Greencore’s US business to Hearthside Food Solutions LLC. A profit </w:t>
      </w:r>
      <w:r w:rsidR="004F0680">
        <w:rPr>
          <w:bCs/>
        </w:rPr>
        <w:t xml:space="preserve">on disposal </w:t>
      </w:r>
      <w:r w:rsidRPr="00413A32">
        <w:rPr>
          <w:bCs/>
        </w:rPr>
        <w:t>of £55.9m was</w:t>
      </w:r>
      <w:r>
        <w:rPr>
          <w:bCs/>
        </w:rPr>
        <w:t xml:space="preserve"> </w:t>
      </w:r>
      <w:r w:rsidRPr="00413A32">
        <w:rPr>
          <w:bCs/>
        </w:rPr>
        <w:t>recognised which included transaction and separation costs of £17.9m. This was presented as discontinued in the Group's Income Statement.</w:t>
      </w:r>
      <w:r>
        <w:rPr>
          <w:bCs/>
        </w:rPr>
        <w:t xml:space="preserve"> </w:t>
      </w:r>
      <w:r w:rsidRPr="00413A32">
        <w:rPr>
          <w:bCs/>
        </w:rPr>
        <w:t xml:space="preserve">Details of the disposal are set out in </w:t>
      </w:r>
      <w:r w:rsidRPr="0096660C">
        <w:rPr>
          <w:bCs/>
        </w:rPr>
        <w:t>Note 10.</w:t>
      </w:r>
    </w:p>
    <w:p w14:paraId="4BBF6994" w14:textId="77777777" w:rsidR="005B36AA" w:rsidRDefault="005B36AA" w:rsidP="005B36AA">
      <w:pPr>
        <w:pStyle w:val="BodyText"/>
        <w:jc w:val="both"/>
        <w:rPr>
          <w:b/>
        </w:rPr>
      </w:pPr>
    </w:p>
    <w:p w14:paraId="094221E5" w14:textId="6BB679C3" w:rsidR="005B36AA" w:rsidRPr="006A1480" w:rsidRDefault="005B36AA" w:rsidP="005B36AA">
      <w:pPr>
        <w:pStyle w:val="BodyText"/>
        <w:numPr>
          <w:ilvl w:val="0"/>
          <w:numId w:val="15"/>
        </w:numPr>
        <w:jc w:val="both"/>
        <w:rPr>
          <w:b/>
        </w:rPr>
      </w:pPr>
      <w:r w:rsidRPr="006A1480">
        <w:rPr>
          <w:b/>
        </w:rPr>
        <w:t>Guaranteed Minimum Pension (GMP) equalisation</w:t>
      </w:r>
    </w:p>
    <w:p w14:paraId="491AFA79" w14:textId="77777777" w:rsidR="005B36AA" w:rsidRDefault="005B36AA" w:rsidP="005B36AA">
      <w:pPr>
        <w:pStyle w:val="BodyText"/>
        <w:jc w:val="both"/>
        <w:rPr>
          <w:bCs/>
        </w:rPr>
      </w:pPr>
      <w:r w:rsidRPr="00413A32">
        <w:rPr>
          <w:bCs/>
        </w:rPr>
        <w:t xml:space="preserve">Due to a ruling in the High Court of Justice of England and Wales in October 2018, pension schemes are under a duty to equalise benefits for </w:t>
      </w:r>
    </w:p>
    <w:p w14:paraId="2B07DB36" w14:textId="499B659D" w:rsidR="005B36AA" w:rsidRDefault="005B36AA" w:rsidP="005B36AA">
      <w:pPr>
        <w:pStyle w:val="BodyText"/>
        <w:jc w:val="both"/>
        <w:rPr>
          <w:bCs/>
        </w:rPr>
      </w:pPr>
      <w:r w:rsidRPr="00413A32">
        <w:rPr>
          <w:bCs/>
        </w:rPr>
        <w:t xml:space="preserve">all members, regardless of gender, in relation to minimum pension benefits. For the Group, an estimate was made of the impact of equalisation, which increased the legacy defined benefit pension scheme liabilities in the UK by £3.0m with a corresponding charge to exceptional items. Whilst guidance has been issued by the Department of Work and Pensions, legislative provisions regarding the change are still being finalised. </w:t>
      </w:r>
      <w:proofErr w:type="gramStart"/>
      <w:r w:rsidRPr="00413A32">
        <w:rPr>
          <w:bCs/>
        </w:rPr>
        <w:t>Therefore</w:t>
      </w:r>
      <w:proofErr w:type="gramEnd"/>
      <w:r w:rsidRPr="00413A32">
        <w:rPr>
          <w:bCs/>
        </w:rPr>
        <w:t xml:space="preserve"> in the continued absence of guidance, the Group has maintained </w:t>
      </w:r>
      <w:r w:rsidR="00AC225D">
        <w:rPr>
          <w:bCs/>
        </w:rPr>
        <w:t xml:space="preserve">its £3.0m </w:t>
      </w:r>
      <w:r w:rsidRPr="00413A32">
        <w:rPr>
          <w:bCs/>
        </w:rPr>
        <w:t>estimate</w:t>
      </w:r>
      <w:r w:rsidR="00AC225D">
        <w:rPr>
          <w:bCs/>
        </w:rPr>
        <w:t xml:space="preserve">d cost to equalise the funds </w:t>
      </w:r>
      <w:r w:rsidRPr="00413A32">
        <w:rPr>
          <w:bCs/>
        </w:rPr>
        <w:t>as at 25 September 2020</w:t>
      </w:r>
      <w:r w:rsidR="00AC225D">
        <w:rPr>
          <w:bCs/>
        </w:rPr>
        <w:t xml:space="preserve"> in line with the ruling</w:t>
      </w:r>
      <w:r w:rsidRPr="00413A32">
        <w:rPr>
          <w:bCs/>
        </w:rPr>
        <w:t>.</w:t>
      </w:r>
    </w:p>
    <w:p w14:paraId="677165A1" w14:textId="77777777" w:rsidR="005B36AA" w:rsidRDefault="005B36AA" w:rsidP="005B36AA">
      <w:pPr>
        <w:pStyle w:val="BodyText"/>
        <w:jc w:val="both"/>
        <w:rPr>
          <w:b/>
        </w:rPr>
      </w:pPr>
    </w:p>
    <w:p w14:paraId="0454C87A" w14:textId="3AC8CC1C" w:rsidR="005B36AA" w:rsidRDefault="00AC225D" w:rsidP="005B36AA">
      <w:pPr>
        <w:pStyle w:val="BodyText"/>
        <w:jc w:val="both"/>
        <w:rPr>
          <w:b/>
        </w:rPr>
      </w:pPr>
      <w:r>
        <w:rPr>
          <w:b/>
        </w:rPr>
        <w:t>Cash flow on exceptional items</w:t>
      </w:r>
    </w:p>
    <w:p w14:paraId="439BB4E1" w14:textId="140298FA" w:rsidR="005B36AA" w:rsidRDefault="005B36AA" w:rsidP="005B36AA">
      <w:pPr>
        <w:pStyle w:val="BodyText"/>
        <w:jc w:val="both"/>
        <w:rPr>
          <w:bCs/>
        </w:rPr>
      </w:pPr>
      <w:r w:rsidRPr="00413A32">
        <w:rPr>
          <w:bCs/>
        </w:rPr>
        <w:lastRenderedPageBreak/>
        <w:t>The total net cash outflow during the year in respect of exceptional ch</w:t>
      </w:r>
      <w:r>
        <w:rPr>
          <w:bCs/>
        </w:rPr>
        <w:t>arges was £</w:t>
      </w:r>
      <w:r w:rsidR="00292A98">
        <w:rPr>
          <w:bCs/>
        </w:rPr>
        <w:t>10.1</w:t>
      </w:r>
      <w:r w:rsidRPr="00413A32">
        <w:rPr>
          <w:bCs/>
        </w:rPr>
        <w:t xml:space="preserve">m (2019: £9.6m), of </w:t>
      </w:r>
      <w:r w:rsidRPr="00635D3B">
        <w:rPr>
          <w:bCs/>
        </w:rPr>
        <w:t xml:space="preserve">which </w:t>
      </w:r>
      <w:r>
        <w:rPr>
          <w:bCs/>
        </w:rPr>
        <w:t>£3.</w:t>
      </w:r>
      <w:r w:rsidR="00AC225D">
        <w:rPr>
          <w:bCs/>
        </w:rPr>
        <w:t>0</w:t>
      </w:r>
      <w:r w:rsidRPr="00635D3B">
        <w:rPr>
          <w:bCs/>
        </w:rPr>
        <w:t>m</w:t>
      </w:r>
      <w:r w:rsidRPr="00413A32">
        <w:rPr>
          <w:bCs/>
        </w:rPr>
        <w:t xml:space="preserve"> was in respect of prior year exceptional charges. </w:t>
      </w:r>
    </w:p>
    <w:p w14:paraId="68BD771F" w14:textId="77777777" w:rsidR="00967E01" w:rsidRDefault="00967E01" w:rsidP="005B36AA">
      <w:pPr>
        <w:pStyle w:val="BodyText"/>
        <w:jc w:val="both"/>
        <w:rPr>
          <w:bCs/>
        </w:rPr>
      </w:pPr>
    </w:p>
    <w:p w14:paraId="5641DB34" w14:textId="42B37780" w:rsidR="005B36AA" w:rsidRDefault="009C1E33" w:rsidP="005771B0">
      <w:pPr>
        <w:pStyle w:val="Heading2"/>
        <w:numPr>
          <w:ilvl w:val="0"/>
          <w:numId w:val="57"/>
        </w:numPr>
      </w:pPr>
      <w:r>
        <w:t>F</w:t>
      </w:r>
      <w:r w:rsidR="005B36AA">
        <w:t>inance costs</w:t>
      </w:r>
      <w:r>
        <w:t xml:space="preserve"> and finance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134"/>
        <w:gridCol w:w="1105"/>
      </w:tblGrid>
      <w:tr w:rsidR="005B36AA" w14:paraId="2488F211" w14:textId="77777777" w:rsidTr="005771B0">
        <w:trPr>
          <w:trHeight w:val="57"/>
        </w:trPr>
        <w:tc>
          <w:tcPr>
            <w:tcW w:w="7938" w:type="dxa"/>
            <w:tcBorders>
              <w:bottom w:val="single" w:sz="4" w:space="0" w:color="auto"/>
            </w:tcBorders>
            <w:vAlign w:val="bottom"/>
          </w:tcPr>
          <w:p w14:paraId="37834C9B" w14:textId="77777777" w:rsidR="005B36AA" w:rsidRPr="005771B0" w:rsidRDefault="005B36AA" w:rsidP="005771B0">
            <w:pPr>
              <w:rPr>
                <w:rFonts w:asciiTheme="minorHAnsi" w:eastAsiaTheme="minorHAnsi" w:hAnsiTheme="minorHAnsi" w:cstheme="minorBidi"/>
                <w:lang w:eastAsia="en-US" w:bidi="ar-SA"/>
              </w:rPr>
            </w:pPr>
          </w:p>
        </w:tc>
        <w:tc>
          <w:tcPr>
            <w:tcW w:w="1134" w:type="dxa"/>
            <w:tcBorders>
              <w:bottom w:val="single" w:sz="4" w:space="0" w:color="auto"/>
            </w:tcBorders>
          </w:tcPr>
          <w:p w14:paraId="431EB3AB"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2020</w:t>
            </w:r>
          </w:p>
          <w:p w14:paraId="0BDF8D67"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£m</w:t>
            </w:r>
          </w:p>
        </w:tc>
        <w:tc>
          <w:tcPr>
            <w:tcW w:w="1105" w:type="dxa"/>
            <w:tcBorders>
              <w:bottom w:val="single" w:sz="4" w:space="0" w:color="auto"/>
            </w:tcBorders>
          </w:tcPr>
          <w:p w14:paraId="1A405993"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2019</w:t>
            </w:r>
          </w:p>
          <w:p w14:paraId="31B915E0"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w:t>
            </w:r>
          </w:p>
        </w:tc>
      </w:tr>
      <w:tr w:rsidR="005B36AA" w14:paraId="593BCCD2" w14:textId="77777777" w:rsidTr="005771B0">
        <w:trPr>
          <w:trHeight w:val="139"/>
        </w:trPr>
        <w:tc>
          <w:tcPr>
            <w:tcW w:w="7938" w:type="dxa"/>
            <w:tcBorders>
              <w:top w:val="single" w:sz="4" w:space="0" w:color="auto"/>
            </w:tcBorders>
          </w:tcPr>
          <w:p w14:paraId="34BB38CA" w14:textId="79FC4AAE"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Finance </w:t>
            </w:r>
            <w:r w:rsidR="00096F67">
              <w:rPr>
                <w:rFonts w:asciiTheme="minorHAnsi" w:eastAsiaTheme="minorHAnsi" w:hAnsiTheme="minorHAnsi" w:cstheme="minorBidi"/>
                <w:b/>
                <w:bCs/>
                <w:sz w:val="18"/>
                <w:szCs w:val="18"/>
                <w:lang w:eastAsia="en-US" w:bidi="ar-SA"/>
              </w:rPr>
              <w:t>i</w:t>
            </w:r>
            <w:r w:rsidRPr="005771B0">
              <w:rPr>
                <w:rFonts w:asciiTheme="minorHAnsi" w:eastAsiaTheme="minorHAnsi" w:hAnsiTheme="minorHAnsi" w:cstheme="minorBidi"/>
                <w:b/>
                <w:bCs/>
                <w:sz w:val="18"/>
                <w:szCs w:val="18"/>
                <w:lang w:eastAsia="en-US" w:bidi="ar-SA"/>
              </w:rPr>
              <w:t>ncome</w:t>
            </w:r>
          </w:p>
        </w:tc>
        <w:tc>
          <w:tcPr>
            <w:tcW w:w="1134" w:type="dxa"/>
            <w:tcBorders>
              <w:top w:val="single" w:sz="4" w:space="0" w:color="auto"/>
            </w:tcBorders>
          </w:tcPr>
          <w:p w14:paraId="0D7E6338"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4" w:space="0" w:color="auto"/>
            </w:tcBorders>
          </w:tcPr>
          <w:p w14:paraId="44B119E9"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3C0393A6" w14:textId="77777777" w:rsidTr="005771B0">
        <w:trPr>
          <w:trHeight w:val="57"/>
        </w:trPr>
        <w:tc>
          <w:tcPr>
            <w:tcW w:w="7938" w:type="dxa"/>
            <w:tcBorders>
              <w:bottom w:val="single" w:sz="4" w:space="0" w:color="auto"/>
            </w:tcBorders>
          </w:tcPr>
          <w:p w14:paraId="662D7193"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Interest on bank deposits</w:t>
            </w:r>
          </w:p>
        </w:tc>
        <w:tc>
          <w:tcPr>
            <w:tcW w:w="1134" w:type="dxa"/>
            <w:tcBorders>
              <w:bottom w:val="single" w:sz="4" w:space="0" w:color="auto"/>
            </w:tcBorders>
          </w:tcPr>
          <w:p w14:paraId="786AF3B5"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Borders>
              <w:bottom w:val="single" w:sz="4" w:space="0" w:color="auto"/>
            </w:tcBorders>
          </w:tcPr>
          <w:p w14:paraId="3A1468C1"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0.8</w:t>
            </w:r>
          </w:p>
        </w:tc>
      </w:tr>
      <w:tr w:rsidR="005B36AA" w14:paraId="1D9B2EE5" w14:textId="77777777" w:rsidTr="005771B0">
        <w:trPr>
          <w:trHeight w:val="57"/>
        </w:trPr>
        <w:tc>
          <w:tcPr>
            <w:tcW w:w="7938" w:type="dxa"/>
            <w:tcBorders>
              <w:top w:val="single" w:sz="4" w:space="0" w:color="auto"/>
              <w:bottom w:val="single" w:sz="8" w:space="0" w:color="auto"/>
            </w:tcBorders>
          </w:tcPr>
          <w:p w14:paraId="7044117B" w14:textId="7A29F84A"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Total finance income 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8" w:space="0" w:color="auto"/>
            </w:tcBorders>
          </w:tcPr>
          <w:p w14:paraId="7E5F9524"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Borders>
              <w:top w:val="single" w:sz="4" w:space="0" w:color="auto"/>
              <w:bottom w:val="single" w:sz="8" w:space="0" w:color="auto"/>
            </w:tcBorders>
          </w:tcPr>
          <w:p w14:paraId="33E970DA"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0.8</w:t>
            </w:r>
          </w:p>
        </w:tc>
      </w:tr>
      <w:tr w:rsidR="005B36AA" w14:paraId="1C7C3DCA" w14:textId="77777777" w:rsidTr="005771B0">
        <w:trPr>
          <w:trHeight w:val="57"/>
        </w:trPr>
        <w:tc>
          <w:tcPr>
            <w:tcW w:w="7938" w:type="dxa"/>
            <w:tcBorders>
              <w:top w:val="single" w:sz="8" w:space="0" w:color="auto"/>
            </w:tcBorders>
          </w:tcPr>
          <w:p w14:paraId="6562B68B" w14:textId="77777777" w:rsidR="005B36AA" w:rsidRPr="005771B0" w:rsidRDefault="005B36AA" w:rsidP="005771B0">
            <w:pPr>
              <w:rPr>
                <w:rFonts w:asciiTheme="minorHAnsi" w:eastAsiaTheme="minorHAnsi" w:hAnsiTheme="minorHAnsi" w:cstheme="minorBidi"/>
                <w:lang w:eastAsia="en-US" w:bidi="ar-SA"/>
              </w:rPr>
            </w:pPr>
          </w:p>
        </w:tc>
        <w:tc>
          <w:tcPr>
            <w:tcW w:w="1134" w:type="dxa"/>
            <w:tcBorders>
              <w:top w:val="single" w:sz="8" w:space="0" w:color="auto"/>
            </w:tcBorders>
          </w:tcPr>
          <w:p w14:paraId="1701EAE9"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8" w:space="0" w:color="auto"/>
            </w:tcBorders>
          </w:tcPr>
          <w:p w14:paraId="3F9D9C26"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3AC61BD0" w14:textId="77777777" w:rsidTr="005771B0">
        <w:trPr>
          <w:trHeight w:val="57"/>
        </w:trPr>
        <w:tc>
          <w:tcPr>
            <w:tcW w:w="7938" w:type="dxa"/>
          </w:tcPr>
          <w:p w14:paraId="655B3C02" w14:textId="5EC9E59A"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Finance cost</w:t>
            </w:r>
            <w:r w:rsidR="00074515">
              <w:rPr>
                <w:rFonts w:asciiTheme="minorHAnsi" w:eastAsiaTheme="minorHAnsi" w:hAnsiTheme="minorHAnsi" w:cstheme="minorBidi"/>
                <w:b/>
                <w:bCs/>
                <w:sz w:val="18"/>
                <w:szCs w:val="18"/>
                <w:lang w:eastAsia="en-US" w:bidi="ar-SA"/>
              </w:rPr>
              <w:t>s</w:t>
            </w:r>
          </w:p>
        </w:tc>
        <w:tc>
          <w:tcPr>
            <w:tcW w:w="1134" w:type="dxa"/>
          </w:tcPr>
          <w:p w14:paraId="7819F975"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Pr>
          <w:p w14:paraId="1783EA74"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557D455A" w14:textId="77777777" w:rsidTr="005771B0">
        <w:trPr>
          <w:trHeight w:val="57"/>
        </w:trPr>
        <w:tc>
          <w:tcPr>
            <w:tcW w:w="7938" w:type="dxa"/>
          </w:tcPr>
          <w:p w14:paraId="5D25D2D4"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 xml:space="preserve">Finance costs on interest bearing cash and cash equivalents, </w:t>
            </w:r>
            <w:proofErr w:type="gramStart"/>
            <w:r w:rsidRPr="005771B0">
              <w:rPr>
                <w:rFonts w:asciiTheme="minorHAnsi" w:eastAsiaTheme="minorHAnsi" w:hAnsiTheme="minorHAnsi" w:cstheme="minorBidi"/>
                <w:sz w:val="18"/>
                <w:szCs w:val="18"/>
                <w:lang w:eastAsia="en-US" w:bidi="ar-SA"/>
              </w:rPr>
              <w:t>borrowings</w:t>
            </w:r>
            <w:proofErr w:type="gramEnd"/>
            <w:r w:rsidRPr="005771B0">
              <w:rPr>
                <w:rFonts w:asciiTheme="minorHAnsi" w:eastAsiaTheme="minorHAnsi" w:hAnsiTheme="minorHAnsi" w:cstheme="minorBidi"/>
                <w:sz w:val="18"/>
                <w:szCs w:val="18"/>
                <w:lang w:eastAsia="en-US" w:bidi="ar-SA"/>
              </w:rPr>
              <w:t xml:space="preserve"> and other financing costs</w:t>
            </w:r>
          </w:p>
        </w:tc>
        <w:tc>
          <w:tcPr>
            <w:tcW w:w="1134" w:type="dxa"/>
          </w:tcPr>
          <w:p w14:paraId="0F15E7CF"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(14.8)</w:t>
            </w:r>
          </w:p>
        </w:tc>
        <w:tc>
          <w:tcPr>
            <w:tcW w:w="1105" w:type="dxa"/>
          </w:tcPr>
          <w:p w14:paraId="566AAD0A"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(15.0)</w:t>
            </w:r>
          </w:p>
        </w:tc>
      </w:tr>
      <w:tr w:rsidR="005B36AA" w14:paraId="34CD3379" w14:textId="77777777" w:rsidTr="005771B0">
        <w:trPr>
          <w:trHeight w:val="57"/>
        </w:trPr>
        <w:tc>
          <w:tcPr>
            <w:tcW w:w="7938" w:type="dxa"/>
          </w:tcPr>
          <w:p w14:paraId="41DA7D0A"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Net pension financing charge</w:t>
            </w:r>
          </w:p>
        </w:tc>
        <w:tc>
          <w:tcPr>
            <w:tcW w:w="1134" w:type="dxa"/>
          </w:tcPr>
          <w:p w14:paraId="75FBBF52"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(1.9)</w:t>
            </w:r>
          </w:p>
        </w:tc>
        <w:tc>
          <w:tcPr>
            <w:tcW w:w="1105" w:type="dxa"/>
          </w:tcPr>
          <w:p w14:paraId="55E7B30F"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w:t>
            </w:r>
          </w:p>
        </w:tc>
      </w:tr>
      <w:tr w:rsidR="005B36AA" w14:paraId="02E0CF94" w14:textId="77777777" w:rsidTr="005771B0">
        <w:trPr>
          <w:trHeight w:val="57"/>
        </w:trPr>
        <w:tc>
          <w:tcPr>
            <w:tcW w:w="7938" w:type="dxa"/>
          </w:tcPr>
          <w:p w14:paraId="3F3C6773"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Unwind of discount on liabilities</w:t>
            </w:r>
          </w:p>
        </w:tc>
        <w:tc>
          <w:tcPr>
            <w:tcW w:w="1134" w:type="dxa"/>
          </w:tcPr>
          <w:p w14:paraId="0B596CFD"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Pr>
          <w:p w14:paraId="00B6E0F5"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(0.1)</w:t>
            </w:r>
          </w:p>
        </w:tc>
      </w:tr>
      <w:tr w:rsidR="005B36AA" w14:paraId="5EB0B11A" w14:textId="77777777" w:rsidTr="005771B0">
        <w:trPr>
          <w:trHeight w:val="57"/>
        </w:trPr>
        <w:tc>
          <w:tcPr>
            <w:tcW w:w="7938" w:type="dxa"/>
          </w:tcPr>
          <w:p w14:paraId="05881991"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Change in fair value of derivatives and related debt adjustment</w:t>
            </w:r>
          </w:p>
        </w:tc>
        <w:tc>
          <w:tcPr>
            <w:tcW w:w="1134" w:type="dxa"/>
          </w:tcPr>
          <w:p w14:paraId="51498283"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1.1</w:t>
            </w:r>
          </w:p>
        </w:tc>
        <w:tc>
          <w:tcPr>
            <w:tcW w:w="1105" w:type="dxa"/>
          </w:tcPr>
          <w:p w14:paraId="0C20BAF3"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(0.9)</w:t>
            </w:r>
          </w:p>
        </w:tc>
      </w:tr>
      <w:tr w:rsidR="005B36AA" w14:paraId="6D3996E7" w14:textId="77777777" w:rsidTr="005771B0">
        <w:trPr>
          <w:trHeight w:val="57"/>
        </w:trPr>
        <w:tc>
          <w:tcPr>
            <w:tcW w:w="7938" w:type="dxa"/>
          </w:tcPr>
          <w:p w14:paraId="3B870E75"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Interest on lease obligations</w:t>
            </w:r>
          </w:p>
        </w:tc>
        <w:tc>
          <w:tcPr>
            <w:tcW w:w="1134" w:type="dxa"/>
          </w:tcPr>
          <w:p w14:paraId="47427A71"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(1.2)</w:t>
            </w:r>
          </w:p>
        </w:tc>
        <w:tc>
          <w:tcPr>
            <w:tcW w:w="1105" w:type="dxa"/>
          </w:tcPr>
          <w:p w14:paraId="5C601605" w14:textId="027A3079" w:rsidR="005B36AA" w:rsidRPr="005771B0" w:rsidRDefault="00074515" w:rsidP="005771B0">
            <w:pPr>
              <w:jc w:val="right"/>
              <w:rPr>
                <w:rFonts w:asciiTheme="minorHAnsi" w:eastAsiaTheme="minorHAnsi" w:hAnsiTheme="minorHAnsi" w:cstheme="minorBidi"/>
                <w:b/>
                <w:lang w:eastAsia="en-US" w:bidi="ar-SA"/>
              </w:rPr>
            </w:pPr>
            <w:r w:rsidRPr="00B332D3">
              <w:rPr>
                <w:rFonts w:asciiTheme="minorHAnsi" w:eastAsiaTheme="minorHAnsi" w:hAnsiTheme="minorHAnsi" w:cstheme="minorBidi"/>
                <w:sz w:val="18"/>
                <w:szCs w:val="18"/>
                <w:lang w:eastAsia="en-US" w:bidi="ar-SA"/>
              </w:rPr>
              <w:t>–</w:t>
            </w:r>
          </w:p>
        </w:tc>
      </w:tr>
      <w:tr w:rsidR="005B36AA" w14:paraId="3F154D2A" w14:textId="77777777" w:rsidTr="005771B0">
        <w:trPr>
          <w:trHeight w:val="57"/>
        </w:trPr>
        <w:tc>
          <w:tcPr>
            <w:tcW w:w="7938" w:type="dxa"/>
            <w:tcBorders>
              <w:bottom w:val="single" w:sz="4" w:space="0" w:color="auto"/>
            </w:tcBorders>
          </w:tcPr>
          <w:p w14:paraId="555F1AFF"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FX on inter-company and external balances where hedge accounting is not applied</w:t>
            </w:r>
          </w:p>
        </w:tc>
        <w:tc>
          <w:tcPr>
            <w:tcW w:w="1134" w:type="dxa"/>
            <w:tcBorders>
              <w:bottom w:val="single" w:sz="4" w:space="0" w:color="auto"/>
            </w:tcBorders>
          </w:tcPr>
          <w:p w14:paraId="3C9B84E0"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(0.4)</w:t>
            </w:r>
          </w:p>
        </w:tc>
        <w:tc>
          <w:tcPr>
            <w:tcW w:w="1105" w:type="dxa"/>
            <w:tcBorders>
              <w:bottom w:val="single" w:sz="4" w:space="0" w:color="auto"/>
            </w:tcBorders>
          </w:tcPr>
          <w:p w14:paraId="35454FDB"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(1.2)</w:t>
            </w:r>
          </w:p>
        </w:tc>
      </w:tr>
      <w:tr w:rsidR="005B36AA" w14:paraId="54FFEB40" w14:textId="77777777" w:rsidTr="005771B0">
        <w:trPr>
          <w:trHeight w:val="57"/>
        </w:trPr>
        <w:tc>
          <w:tcPr>
            <w:tcW w:w="7938" w:type="dxa"/>
            <w:tcBorders>
              <w:top w:val="single" w:sz="4" w:space="0" w:color="auto"/>
              <w:bottom w:val="single" w:sz="4" w:space="0" w:color="auto"/>
            </w:tcBorders>
          </w:tcPr>
          <w:p w14:paraId="2F3E1E79" w14:textId="24A2382C"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w:t>
            </w:r>
            <w:r w:rsidR="00074515">
              <w:rPr>
                <w:rFonts w:asciiTheme="minorHAnsi" w:eastAsiaTheme="minorHAnsi" w:hAnsiTheme="minorHAnsi" w:cstheme="minorBidi"/>
                <w:b/>
                <w:bCs/>
                <w:sz w:val="18"/>
                <w:szCs w:val="18"/>
                <w:lang w:eastAsia="en-US" w:bidi="ar-SA"/>
              </w:rPr>
              <w:t xml:space="preserve">costs </w:t>
            </w:r>
            <w:r w:rsidR="00096F67">
              <w:rPr>
                <w:rFonts w:asciiTheme="minorHAnsi" w:eastAsiaTheme="minorHAnsi" w:hAnsiTheme="minorHAnsi" w:cstheme="minorBidi"/>
                <w:b/>
                <w:bCs/>
                <w:sz w:val="18"/>
                <w:szCs w:val="18"/>
                <w:lang w:eastAsia="en-US" w:bidi="ar-SA"/>
              </w:rPr>
              <w:t>recognised in the Group Income Statement before exceptional items</w:t>
            </w:r>
          </w:p>
        </w:tc>
        <w:tc>
          <w:tcPr>
            <w:tcW w:w="1134" w:type="dxa"/>
            <w:tcBorders>
              <w:top w:val="single" w:sz="4" w:space="0" w:color="auto"/>
              <w:bottom w:val="single" w:sz="4" w:space="0" w:color="auto"/>
            </w:tcBorders>
          </w:tcPr>
          <w:p w14:paraId="7D23D61B"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(17.3)</w:t>
            </w:r>
          </w:p>
        </w:tc>
        <w:tc>
          <w:tcPr>
            <w:tcW w:w="1105" w:type="dxa"/>
            <w:tcBorders>
              <w:top w:val="single" w:sz="4" w:space="0" w:color="auto"/>
              <w:bottom w:val="single" w:sz="4" w:space="0" w:color="auto"/>
            </w:tcBorders>
          </w:tcPr>
          <w:p w14:paraId="62D9B4F4"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(19.7)</w:t>
            </w:r>
          </w:p>
        </w:tc>
      </w:tr>
      <w:tr w:rsidR="005B36AA" w14:paraId="77654BAE" w14:textId="77777777" w:rsidTr="005771B0">
        <w:trPr>
          <w:trHeight w:val="57"/>
        </w:trPr>
        <w:tc>
          <w:tcPr>
            <w:tcW w:w="7938" w:type="dxa"/>
            <w:tcBorders>
              <w:top w:val="single" w:sz="4" w:space="0" w:color="auto"/>
            </w:tcBorders>
          </w:tcPr>
          <w:p w14:paraId="78F0E4B1" w14:textId="7E51BBE3"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Exceptional </w:t>
            </w:r>
            <w:r w:rsidR="00096F67">
              <w:rPr>
                <w:rFonts w:asciiTheme="minorHAnsi" w:eastAsiaTheme="minorHAnsi" w:hAnsiTheme="minorHAnsi" w:cstheme="minorBidi"/>
                <w:b/>
                <w:bCs/>
                <w:sz w:val="18"/>
                <w:szCs w:val="18"/>
                <w:lang w:eastAsia="en-US" w:bidi="ar-SA"/>
              </w:rPr>
              <w:t>items</w:t>
            </w:r>
          </w:p>
        </w:tc>
        <w:tc>
          <w:tcPr>
            <w:tcW w:w="1134" w:type="dxa"/>
            <w:tcBorders>
              <w:top w:val="single" w:sz="4" w:space="0" w:color="auto"/>
            </w:tcBorders>
          </w:tcPr>
          <w:p w14:paraId="4C825076"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4" w:space="0" w:color="auto"/>
            </w:tcBorders>
          </w:tcPr>
          <w:p w14:paraId="3E55A9F1"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28EBC6F2" w14:textId="77777777" w:rsidTr="005771B0">
        <w:trPr>
          <w:trHeight w:val="57"/>
        </w:trPr>
        <w:tc>
          <w:tcPr>
            <w:tcW w:w="7938" w:type="dxa"/>
            <w:tcBorders>
              <w:bottom w:val="single" w:sz="4" w:space="0" w:color="auto"/>
            </w:tcBorders>
          </w:tcPr>
          <w:p w14:paraId="041536D8" w14:textId="20A1E462"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 xml:space="preserve">Debt restructuring </w:t>
            </w:r>
            <w:r w:rsidR="00096F67">
              <w:rPr>
                <w:rFonts w:asciiTheme="minorHAnsi" w:eastAsiaTheme="minorHAnsi" w:hAnsiTheme="minorHAnsi" w:cstheme="minorBidi"/>
                <w:sz w:val="18"/>
                <w:szCs w:val="18"/>
                <w:lang w:eastAsia="en-US" w:bidi="ar-SA"/>
              </w:rPr>
              <w:t>and modification</w:t>
            </w:r>
          </w:p>
        </w:tc>
        <w:tc>
          <w:tcPr>
            <w:tcW w:w="1134" w:type="dxa"/>
            <w:tcBorders>
              <w:bottom w:val="single" w:sz="4" w:space="0" w:color="auto"/>
            </w:tcBorders>
          </w:tcPr>
          <w:p w14:paraId="3CE5ADD9"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(7.1)</w:t>
            </w:r>
          </w:p>
        </w:tc>
        <w:tc>
          <w:tcPr>
            <w:tcW w:w="1105" w:type="dxa"/>
            <w:tcBorders>
              <w:bottom w:val="single" w:sz="4" w:space="0" w:color="auto"/>
            </w:tcBorders>
          </w:tcPr>
          <w:p w14:paraId="524B2C35"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(25.4)</w:t>
            </w:r>
          </w:p>
        </w:tc>
      </w:tr>
      <w:tr w:rsidR="005B36AA" w14:paraId="07ADB26E" w14:textId="77777777" w:rsidTr="005771B0">
        <w:trPr>
          <w:trHeight w:val="57"/>
        </w:trPr>
        <w:tc>
          <w:tcPr>
            <w:tcW w:w="7938" w:type="dxa"/>
            <w:tcBorders>
              <w:top w:val="single" w:sz="4" w:space="0" w:color="auto"/>
              <w:bottom w:val="single" w:sz="4" w:space="0" w:color="auto"/>
            </w:tcBorders>
          </w:tcPr>
          <w:p w14:paraId="783BF5A5" w14:textId="7DC3533F"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exceptional finance </w:t>
            </w:r>
            <w:r w:rsidR="00074515">
              <w:rPr>
                <w:rFonts w:asciiTheme="minorHAnsi" w:eastAsiaTheme="minorHAnsi" w:hAnsiTheme="minorHAnsi" w:cstheme="minorBidi"/>
                <w:b/>
                <w:bCs/>
                <w:sz w:val="18"/>
                <w:szCs w:val="18"/>
                <w:lang w:eastAsia="en-US" w:bidi="ar-SA"/>
              </w:rPr>
              <w:t xml:space="preserve">costs </w:t>
            </w:r>
            <w:r w:rsidRPr="005771B0">
              <w:rPr>
                <w:rFonts w:asciiTheme="minorHAnsi" w:eastAsiaTheme="minorHAnsi" w:hAnsiTheme="minorHAnsi" w:cstheme="minorBidi"/>
                <w:b/>
                <w:bCs/>
                <w:sz w:val="18"/>
                <w:szCs w:val="18"/>
                <w:lang w:eastAsia="en-US" w:bidi="ar-SA"/>
              </w:rPr>
              <w:t>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4" w:space="0" w:color="auto"/>
            </w:tcBorders>
          </w:tcPr>
          <w:p w14:paraId="2F4BC2F0"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(7.1)</w:t>
            </w:r>
          </w:p>
        </w:tc>
        <w:tc>
          <w:tcPr>
            <w:tcW w:w="1105" w:type="dxa"/>
            <w:tcBorders>
              <w:top w:val="single" w:sz="4" w:space="0" w:color="auto"/>
              <w:bottom w:val="single" w:sz="4" w:space="0" w:color="auto"/>
            </w:tcBorders>
          </w:tcPr>
          <w:p w14:paraId="08823EBE"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(25.4)</w:t>
            </w:r>
          </w:p>
        </w:tc>
      </w:tr>
      <w:tr w:rsidR="005B36AA" w14:paraId="5153B1D4" w14:textId="77777777" w:rsidTr="005771B0">
        <w:trPr>
          <w:trHeight w:val="57"/>
        </w:trPr>
        <w:tc>
          <w:tcPr>
            <w:tcW w:w="7938" w:type="dxa"/>
            <w:tcBorders>
              <w:top w:val="single" w:sz="4" w:space="0" w:color="auto"/>
              <w:bottom w:val="single" w:sz="8" w:space="0" w:color="auto"/>
            </w:tcBorders>
          </w:tcPr>
          <w:p w14:paraId="2DA2CA4D" w14:textId="495D9B50"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w:t>
            </w:r>
            <w:r w:rsidR="00074515">
              <w:rPr>
                <w:rFonts w:asciiTheme="minorHAnsi" w:eastAsiaTheme="minorHAnsi" w:hAnsiTheme="minorHAnsi" w:cstheme="minorBidi"/>
                <w:b/>
                <w:bCs/>
                <w:sz w:val="18"/>
                <w:szCs w:val="18"/>
                <w:lang w:eastAsia="en-US" w:bidi="ar-SA"/>
              </w:rPr>
              <w:t>costs</w:t>
            </w:r>
            <w:r w:rsidR="00074515" w:rsidRPr="005771B0">
              <w:rPr>
                <w:rFonts w:asciiTheme="minorHAnsi" w:eastAsiaTheme="minorHAnsi" w:hAnsiTheme="minorHAnsi" w:cstheme="minorBidi"/>
                <w:b/>
                <w:bCs/>
                <w:sz w:val="18"/>
                <w:szCs w:val="18"/>
                <w:lang w:eastAsia="en-US" w:bidi="ar-SA"/>
              </w:rPr>
              <w:t xml:space="preserve"> </w:t>
            </w:r>
            <w:r w:rsidRPr="005771B0">
              <w:rPr>
                <w:rFonts w:asciiTheme="minorHAnsi" w:eastAsiaTheme="minorHAnsi" w:hAnsiTheme="minorHAnsi" w:cstheme="minorBidi"/>
                <w:b/>
                <w:bCs/>
                <w:sz w:val="18"/>
                <w:szCs w:val="18"/>
                <w:lang w:eastAsia="en-US" w:bidi="ar-SA"/>
              </w:rPr>
              <w:t>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8" w:space="0" w:color="auto"/>
            </w:tcBorders>
          </w:tcPr>
          <w:p w14:paraId="5937C97B"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(24.4)</w:t>
            </w:r>
          </w:p>
        </w:tc>
        <w:tc>
          <w:tcPr>
            <w:tcW w:w="1105" w:type="dxa"/>
            <w:tcBorders>
              <w:top w:val="single" w:sz="4" w:space="0" w:color="auto"/>
              <w:bottom w:val="single" w:sz="8" w:space="0" w:color="auto"/>
            </w:tcBorders>
          </w:tcPr>
          <w:p w14:paraId="4C3967E6"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(45.1)</w:t>
            </w:r>
          </w:p>
        </w:tc>
      </w:tr>
    </w:tbl>
    <w:p w14:paraId="12D9F29A" w14:textId="77777777" w:rsidR="005B36AA" w:rsidRDefault="005B36AA" w:rsidP="005B36AA">
      <w:pPr>
        <w:pStyle w:val="Heading2"/>
        <w:numPr>
          <w:ilvl w:val="0"/>
          <w:numId w:val="0"/>
        </w:numPr>
      </w:pPr>
    </w:p>
    <w:p w14:paraId="381DA855" w14:textId="77777777" w:rsidR="005B36AA" w:rsidRDefault="005B36AA" w:rsidP="005771B0">
      <w:pPr>
        <w:pStyle w:val="Heading2"/>
        <w:numPr>
          <w:ilvl w:val="0"/>
          <w:numId w:val="57"/>
        </w:numPr>
        <w:ind w:left="567" w:hanging="567"/>
      </w:pPr>
      <w:r>
        <w:t>Dividends Paid and Proposed</w:t>
      </w:r>
    </w:p>
    <w:p w14:paraId="64CF8E88" w14:textId="77777777" w:rsidR="005B36AA" w:rsidRDefault="005B36AA" w:rsidP="005B36AA">
      <w:pPr>
        <w:pStyle w:val="Heading2"/>
        <w:numPr>
          <w:ilvl w:val="0"/>
          <w:numId w:val="0"/>
        </w:numPr>
      </w:pPr>
    </w:p>
    <w:tbl>
      <w:tblPr>
        <w:tblpPr w:leftFromText="180" w:rightFromText="180" w:vertAnchor="text" w:horzAnchor="margin" w:tblpY="18"/>
        <w:tblW w:w="0" w:type="auto"/>
        <w:tblLayout w:type="fixed"/>
        <w:tblLook w:val="01E0" w:firstRow="1" w:lastRow="1" w:firstColumn="1" w:lastColumn="1" w:noHBand="0" w:noVBand="0"/>
      </w:tblPr>
      <w:tblGrid>
        <w:gridCol w:w="7937"/>
        <w:gridCol w:w="1134"/>
        <w:gridCol w:w="1134"/>
      </w:tblGrid>
      <w:tr w:rsidR="005B36AA" w:rsidRPr="00A7695B" w14:paraId="2CE8918F" w14:textId="77777777" w:rsidTr="005B36AA">
        <w:trPr>
          <w:trHeight w:val="227"/>
        </w:trPr>
        <w:tc>
          <w:tcPr>
            <w:tcW w:w="7937" w:type="dxa"/>
            <w:tcBorders>
              <w:bottom w:val="single" w:sz="4" w:space="0" w:color="auto"/>
            </w:tcBorders>
          </w:tcPr>
          <w:p w14:paraId="099BE674" w14:textId="77777777" w:rsidR="005B36AA" w:rsidRPr="005771B0" w:rsidRDefault="005B36AA" w:rsidP="005771B0">
            <w:pPr>
              <w:widowControl/>
              <w:autoSpaceDE/>
              <w:autoSpaceDN/>
            </w:pPr>
          </w:p>
        </w:tc>
        <w:tc>
          <w:tcPr>
            <w:tcW w:w="1134" w:type="dxa"/>
            <w:tcBorders>
              <w:bottom w:val="single" w:sz="4" w:space="0" w:color="auto"/>
            </w:tcBorders>
          </w:tcPr>
          <w:p w14:paraId="3CE4AAF6"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2020</w:t>
            </w:r>
          </w:p>
          <w:p w14:paraId="2B7F6966"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£m</w:t>
            </w:r>
          </w:p>
        </w:tc>
        <w:tc>
          <w:tcPr>
            <w:tcW w:w="1134" w:type="dxa"/>
            <w:tcBorders>
              <w:bottom w:val="single" w:sz="4" w:space="0" w:color="auto"/>
            </w:tcBorders>
          </w:tcPr>
          <w:p w14:paraId="51FB3336"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2019</w:t>
            </w:r>
            <w:r w:rsidRPr="00657DE0">
              <w:rPr>
                <w:rFonts w:asciiTheme="minorHAnsi" w:eastAsiaTheme="minorHAnsi" w:hAnsiTheme="minorHAnsi" w:cstheme="minorBidi"/>
                <w:sz w:val="18"/>
                <w:szCs w:val="18"/>
                <w:lang w:eastAsia="en-US" w:bidi="ar-SA"/>
              </w:rPr>
              <w:br/>
              <w:t>£m</w:t>
            </w:r>
          </w:p>
        </w:tc>
      </w:tr>
      <w:tr w:rsidR="005B36AA" w:rsidRPr="009121DC" w14:paraId="402F8DD5" w14:textId="77777777" w:rsidTr="005B36AA">
        <w:trPr>
          <w:trHeight w:val="227"/>
        </w:trPr>
        <w:tc>
          <w:tcPr>
            <w:tcW w:w="7937" w:type="dxa"/>
          </w:tcPr>
          <w:p w14:paraId="7124E6D9" w14:textId="77777777" w:rsidR="005B36AA" w:rsidRPr="0035290A" w:rsidRDefault="005B36AA" w:rsidP="005771B0">
            <w:pPr>
              <w:widowControl/>
              <w:autoSpaceDE/>
              <w:autoSpaceDN/>
              <w:rPr>
                <w:b/>
                <w:bCs/>
              </w:rPr>
            </w:pPr>
            <w:r w:rsidRPr="005771B0">
              <w:rPr>
                <w:rFonts w:asciiTheme="minorHAnsi" w:eastAsiaTheme="minorHAnsi" w:hAnsiTheme="minorHAnsi" w:cstheme="minorBidi"/>
                <w:b/>
                <w:bCs/>
                <w:sz w:val="18"/>
                <w:szCs w:val="18"/>
                <w:lang w:eastAsia="en-US" w:bidi="ar-SA"/>
              </w:rPr>
              <w:t>Amounts recognised as distributions to equity holders in the year:</w:t>
            </w:r>
          </w:p>
        </w:tc>
        <w:tc>
          <w:tcPr>
            <w:tcW w:w="1134" w:type="dxa"/>
          </w:tcPr>
          <w:p w14:paraId="2FB9131C" w14:textId="77777777" w:rsidR="005B36AA" w:rsidRPr="0035290A" w:rsidRDefault="005B36AA" w:rsidP="005771B0">
            <w:pPr>
              <w:widowControl/>
              <w:autoSpaceDE/>
              <w:autoSpaceDN/>
              <w:jc w:val="right"/>
              <w:rPr>
                <w:bCs/>
              </w:rPr>
            </w:pPr>
          </w:p>
        </w:tc>
        <w:tc>
          <w:tcPr>
            <w:tcW w:w="1134" w:type="dxa"/>
          </w:tcPr>
          <w:p w14:paraId="6A1EF1CF" w14:textId="77777777" w:rsidR="005B36AA" w:rsidRPr="005771B0" w:rsidRDefault="005B36AA" w:rsidP="005771B0">
            <w:pPr>
              <w:widowControl/>
              <w:autoSpaceDE/>
              <w:autoSpaceDN/>
              <w:jc w:val="right"/>
              <w:rPr>
                <w:b/>
              </w:rPr>
            </w:pPr>
          </w:p>
        </w:tc>
      </w:tr>
      <w:tr w:rsidR="005B36AA" w:rsidRPr="009121DC" w14:paraId="3F1EF448" w14:textId="77777777" w:rsidTr="005B36AA">
        <w:trPr>
          <w:trHeight w:val="227"/>
        </w:trPr>
        <w:tc>
          <w:tcPr>
            <w:tcW w:w="7937" w:type="dxa"/>
          </w:tcPr>
          <w:p w14:paraId="7B60F2FA" w14:textId="77777777" w:rsidR="005B36AA" w:rsidRPr="005771B0" w:rsidRDefault="005B36AA" w:rsidP="005771B0">
            <w:pPr>
              <w:widowControl/>
              <w:autoSpaceDE/>
              <w:autoSpaceDN/>
            </w:pPr>
            <w:r w:rsidRPr="005771B0">
              <w:rPr>
                <w:rFonts w:asciiTheme="minorHAnsi" w:eastAsiaTheme="minorHAnsi" w:hAnsiTheme="minorHAnsi" w:cstheme="minorBidi"/>
                <w:sz w:val="18"/>
                <w:szCs w:val="18"/>
                <w:lang w:eastAsia="en-US" w:bidi="ar-SA"/>
              </w:rPr>
              <w:t>Equity dividends on Ordinary Shares:</w:t>
            </w:r>
          </w:p>
        </w:tc>
        <w:tc>
          <w:tcPr>
            <w:tcW w:w="1134" w:type="dxa"/>
          </w:tcPr>
          <w:p w14:paraId="51564F6A" w14:textId="77777777" w:rsidR="005B36AA" w:rsidRPr="0035290A" w:rsidRDefault="005B36AA" w:rsidP="005771B0">
            <w:pPr>
              <w:widowControl/>
              <w:autoSpaceDE/>
              <w:autoSpaceDN/>
              <w:jc w:val="right"/>
              <w:rPr>
                <w:bCs/>
              </w:rPr>
            </w:pPr>
          </w:p>
        </w:tc>
        <w:tc>
          <w:tcPr>
            <w:tcW w:w="1134" w:type="dxa"/>
          </w:tcPr>
          <w:p w14:paraId="7731733D" w14:textId="77777777" w:rsidR="005B36AA" w:rsidRPr="005771B0" w:rsidRDefault="005B36AA" w:rsidP="005771B0">
            <w:pPr>
              <w:widowControl/>
              <w:autoSpaceDE/>
              <w:autoSpaceDN/>
              <w:jc w:val="right"/>
              <w:rPr>
                <w:b/>
              </w:rPr>
            </w:pPr>
          </w:p>
        </w:tc>
      </w:tr>
      <w:tr w:rsidR="005B36AA" w:rsidRPr="009121DC" w14:paraId="000E1132" w14:textId="77777777" w:rsidTr="005B36AA">
        <w:trPr>
          <w:trHeight w:val="227"/>
        </w:trPr>
        <w:tc>
          <w:tcPr>
            <w:tcW w:w="7937" w:type="dxa"/>
            <w:tcBorders>
              <w:bottom w:val="single" w:sz="4" w:space="0" w:color="auto"/>
            </w:tcBorders>
          </w:tcPr>
          <w:p w14:paraId="218E3138" w14:textId="3D26788D" w:rsidR="005B36AA" w:rsidRPr="00657DE0" w:rsidRDefault="005B36AA" w:rsidP="005771B0">
            <w:pPr>
              <w:widowControl/>
              <w:autoSpaceDE/>
              <w:autoSpaceDN/>
            </w:pPr>
            <w:r w:rsidRPr="00657DE0">
              <w:rPr>
                <w:rFonts w:asciiTheme="minorHAnsi" w:eastAsiaTheme="minorHAnsi" w:hAnsiTheme="minorHAnsi" w:cstheme="minorBidi"/>
                <w:sz w:val="18"/>
                <w:szCs w:val="18"/>
                <w:lang w:eastAsia="en-US" w:bidi="ar-SA"/>
              </w:rPr>
              <w:t xml:space="preserve">    Final dividend of 3.75 pence for the year ended 2</w:t>
            </w:r>
            <w:r w:rsidR="00D364D9" w:rsidRPr="00657DE0">
              <w:rPr>
                <w:rFonts w:asciiTheme="minorHAnsi" w:eastAsiaTheme="minorHAnsi" w:hAnsiTheme="minorHAnsi" w:cstheme="minorBidi"/>
                <w:sz w:val="18"/>
                <w:szCs w:val="18"/>
                <w:lang w:eastAsia="en-US" w:bidi="ar-SA"/>
              </w:rPr>
              <w:t>7</w:t>
            </w:r>
            <w:r w:rsidRPr="00657DE0">
              <w:rPr>
                <w:rFonts w:asciiTheme="minorHAnsi" w:eastAsiaTheme="minorHAnsi" w:hAnsiTheme="minorHAnsi" w:cstheme="minorBidi"/>
                <w:sz w:val="18"/>
                <w:szCs w:val="18"/>
                <w:lang w:eastAsia="en-US" w:bidi="ar-SA"/>
              </w:rPr>
              <w:t xml:space="preserve"> September 20</w:t>
            </w:r>
            <w:r w:rsidR="00D364D9" w:rsidRPr="00657DE0">
              <w:rPr>
                <w:rFonts w:asciiTheme="minorHAnsi" w:eastAsiaTheme="minorHAnsi" w:hAnsiTheme="minorHAnsi" w:cstheme="minorBidi"/>
                <w:sz w:val="18"/>
                <w:szCs w:val="18"/>
                <w:lang w:eastAsia="en-US" w:bidi="ar-SA"/>
              </w:rPr>
              <w:t>19</w:t>
            </w:r>
            <w:r w:rsidRPr="00657DE0">
              <w:rPr>
                <w:rFonts w:asciiTheme="minorHAnsi" w:eastAsiaTheme="minorHAnsi" w:hAnsiTheme="minorHAnsi" w:cstheme="minorBidi"/>
                <w:sz w:val="18"/>
                <w:szCs w:val="18"/>
                <w:lang w:eastAsia="en-US" w:bidi="ar-SA"/>
              </w:rPr>
              <w:t xml:space="preserve"> (201</w:t>
            </w:r>
            <w:r w:rsidR="00096F67">
              <w:rPr>
                <w:rFonts w:asciiTheme="minorHAnsi" w:eastAsiaTheme="minorHAnsi" w:hAnsiTheme="minorHAnsi" w:cstheme="minorBidi"/>
                <w:sz w:val="18"/>
                <w:szCs w:val="18"/>
                <w:lang w:eastAsia="en-US" w:bidi="ar-SA"/>
              </w:rPr>
              <w:t>8</w:t>
            </w:r>
            <w:r w:rsidRPr="00657DE0">
              <w:rPr>
                <w:rFonts w:asciiTheme="minorHAnsi" w:eastAsiaTheme="minorHAnsi" w:hAnsiTheme="minorHAnsi" w:cstheme="minorBidi"/>
                <w:sz w:val="18"/>
                <w:szCs w:val="18"/>
                <w:lang w:eastAsia="en-US" w:bidi="ar-SA"/>
              </w:rPr>
              <w:t>: 3.75 pence)</w:t>
            </w:r>
          </w:p>
          <w:p w14:paraId="6702FA9F" w14:textId="1DE925ED" w:rsidR="005B36AA" w:rsidRPr="00657DE0" w:rsidRDefault="005B36AA" w:rsidP="005771B0">
            <w:pPr>
              <w:widowControl/>
              <w:autoSpaceDE/>
              <w:autoSpaceDN/>
            </w:pPr>
            <w:r w:rsidRPr="00657DE0">
              <w:rPr>
                <w:rFonts w:asciiTheme="minorHAnsi" w:eastAsiaTheme="minorHAnsi" w:hAnsiTheme="minorHAnsi" w:cstheme="minorBidi"/>
                <w:sz w:val="18"/>
                <w:szCs w:val="18"/>
                <w:lang w:eastAsia="en-US" w:bidi="ar-SA"/>
              </w:rPr>
              <w:t xml:space="preserve">    Interim dividend of nil for the year ended 25 September 2020 (2019: 2.45 pence)</w:t>
            </w:r>
          </w:p>
        </w:tc>
        <w:tc>
          <w:tcPr>
            <w:tcW w:w="1134" w:type="dxa"/>
            <w:tcBorders>
              <w:bottom w:val="single" w:sz="4" w:space="0" w:color="auto"/>
            </w:tcBorders>
          </w:tcPr>
          <w:p w14:paraId="78559853" w14:textId="77777777" w:rsidR="005B36AA" w:rsidRPr="0035290A" w:rsidRDefault="005B36AA" w:rsidP="005771B0">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16.7</w:t>
            </w:r>
          </w:p>
          <w:p w14:paraId="06C19DF2" w14:textId="77777777" w:rsidR="005B36AA" w:rsidRPr="0035290A" w:rsidRDefault="005B36AA" w:rsidP="005771B0">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134" w:type="dxa"/>
            <w:tcBorders>
              <w:bottom w:val="single" w:sz="4" w:space="0" w:color="auto"/>
            </w:tcBorders>
          </w:tcPr>
          <w:p w14:paraId="4CD4EEB5"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23.8</w:t>
            </w:r>
          </w:p>
          <w:p w14:paraId="1FD66C86" w14:textId="2DBB5B18" w:rsidR="005B36AA" w:rsidRPr="006D1BD0" w:rsidRDefault="00AC6DCD" w:rsidP="005771B0">
            <w:pPr>
              <w:widowControl/>
              <w:autoSpaceDE/>
              <w:autoSpaceDN/>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10.9</w:t>
            </w:r>
          </w:p>
        </w:tc>
      </w:tr>
      <w:tr w:rsidR="005B36AA" w:rsidRPr="009121DC" w14:paraId="2BCF5606" w14:textId="77777777" w:rsidTr="005B36AA">
        <w:trPr>
          <w:trHeight w:val="227"/>
        </w:trPr>
        <w:tc>
          <w:tcPr>
            <w:tcW w:w="7937" w:type="dxa"/>
            <w:tcBorders>
              <w:top w:val="single" w:sz="4" w:space="0" w:color="auto"/>
              <w:bottom w:val="single" w:sz="8" w:space="0" w:color="auto"/>
            </w:tcBorders>
          </w:tcPr>
          <w:p w14:paraId="36B66DB4" w14:textId="77777777" w:rsidR="005B36AA" w:rsidRPr="0035290A" w:rsidRDefault="005B36AA" w:rsidP="005771B0">
            <w:pPr>
              <w:widowControl/>
              <w:autoSpaceDE/>
              <w:autoSpaceDN/>
              <w:rPr>
                <w:b/>
                <w:bCs/>
              </w:rPr>
            </w:pPr>
            <w:r w:rsidRPr="005771B0">
              <w:rPr>
                <w:rFonts w:asciiTheme="minorHAnsi" w:eastAsiaTheme="minorHAnsi" w:hAnsiTheme="minorHAnsi" w:cstheme="minorBidi"/>
                <w:b/>
                <w:bCs/>
                <w:sz w:val="18"/>
                <w:szCs w:val="18"/>
                <w:lang w:eastAsia="en-US" w:bidi="ar-SA"/>
              </w:rPr>
              <w:t>Total</w:t>
            </w:r>
          </w:p>
        </w:tc>
        <w:tc>
          <w:tcPr>
            <w:tcW w:w="1134" w:type="dxa"/>
            <w:tcBorders>
              <w:top w:val="single" w:sz="4" w:space="0" w:color="auto"/>
              <w:bottom w:val="single" w:sz="8" w:space="0" w:color="auto"/>
            </w:tcBorders>
          </w:tcPr>
          <w:p w14:paraId="0F9B5143"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16.7</w:t>
            </w:r>
          </w:p>
        </w:tc>
        <w:tc>
          <w:tcPr>
            <w:tcW w:w="1134" w:type="dxa"/>
            <w:tcBorders>
              <w:top w:val="single" w:sz="4" w:space="0" w:color="auto"/>
              <w:bottom w:val="single" w:sz="8" w:space="0" w:color="auto"/>
            </w:tcBorders>
          </w:tcPr>
          <w:p w14:paraId="5489214C"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34.7</w:t>
            </w:r>
          </w:p>
        </w:tc>
      </w:tr>
      <w:tr w:rsidR="005B36AA" w:rsidRPr="009121DC" w14:paraId="1C1CE361" w14:textId="77777777" w:rsidTr="005B36AA">
        <w:trPr>
          <w:trHeight w:val="227"/>
        </w:trPr>
        <w:tc>
          <w:tcPr>
            <w:tcW w:w="7937" w:type="dxa"/>
            <w:tcBorders>
              <w:top w:val="single" w:sz="8" w:space="0" w:color="auto"/>
            </w:tcBorders>
          </w:tcPr>
          <w:p w14:paraId="4C23EFDB" w14:textId="77777777" w:rsidR="005B36AA" w:rsidRPr="005771B0" w:rsidRDefault="005B36AA" w:rsidP="005771B0">
            <w:pPr>
              <w:widowControl/>
              <w:autoSpaceDE/>
              <w:autoSpaceDN/>
            </w:pPr>
          </w:p>
        </w:tc>
        <w:tc>
          <w:tcPr>
            <w:tcW w:w="1134" w:type="dxa"/>
            <w:tcBorders>
              <w:top w:val="single" w:sz="8" w:space="0" w:color="auto"/>
            </w:tcBorders>
          </w:tcPr>
          <w:p w14:paraId="19B58FEF" w14:textId="77777777" w:rsidR="005B36AA" w:rsidRPr="0035290A" w:rsidRDefault="005B36AA" w:rsidP="005771B0">
            <w:pPr>
              <w:widowControl/>
              <w:autoSpaceDE/>
              <w:autoSpaceDN/>
            </w:pPr>
          </w:p>
        </w:tc>
        <w:tc>
          <w:tcPr>
            <w:tcW w:w="1134" w:type="dxa"/>
            <w:tcBorders>
              <w:top w:val="single" w:sz="8" w:space="0" w:color="auto"/>
            </w:tcBorders>
          </w:tcPr>
          <w:p w14:paraId="655F8276" w14:textId="77777777" w:rsidR="005B36AA" w:rsidRPr="005771B0" w:rsidRDefault="005B36AA" w:rsidP="005771B0">
            <w:pPr>
              <w:widowControl/>
              <w:autoSpaceDE/>
              <w:autoSpaceDN/>
              <w:rPr>
                <w:b/>
              </w:rPr>
            </w:pPr>
          </w:p>
        </w:tc>
      </w:tr>
    </w:tbl>
    <w:p w14:paraId="1B4BB30B" w14:textId="77777777" w:rsidR="005B36AA" w:rsidRDefault="005B36AA" w:rsidP="005B36AA">
      <w:pPr>
        <w:pStyle w:val="BodyText"/>
      </w:pPr>
    </w:p>
    <w:p w14:paraId="7002098A" w14:textId="07A2731A" w:rsidR="005B36AA" w:rsidRDefault="005B36AA" w:rsidP="005B36AA">
      <w:pPr>
        <w:pStyle w:val="BodyText"/>
      </w:pPr>
      <w:r w:rsidRPr="007E04B7">
        <w:t xml:space="preserve">The Group announced </w:t>
      </w:r>
      <w:r>
        <w:t>during the year</w:t>
      </w:r>
      <w:r w:rsidRPr="007E04B7">
        <w:t xml:space="preserve"> that it was not proceeding with </w:t>
      </w:r>
      <w:r>
        <w:t>an</w:t>
      </w:r>
      <w:r w:rsidRPr="007E04B7">
        <w:t xml:space="preserve"> interim FY20 dividend</w:t>
      </w:r>
      <w:r>
        <w:t xml:space="preserve">, a </w:t>
      </w:r>
      <w:r w:rsidRPr="005308EC">
        <w:t>final FY20 dividend or an interim FY21 dividend payment.</w:t>
      </w:r>
    </w:p>
    <w:p w14:paraId="1934E45A" w14:textId="77777777" w:rsidR="005B36AA" w:rsidRDefault="005B36AA" w:rsidP="005B36AA">
      <w:pPr>
        <w:pStyle w:val="BodyText"/>
      </w:pPr>
    </w:p>
    <w:p w14:paraId="4C383F23" w14:textId="77777777" w:rsidR="005B36AA" w:rsidRDefault="005B36AA" w:rsidP="005B36AA">
      <w:pPr>
        <w:pStyle w:val="BodyText"/>
      </w:pPr>
    </w:p>
    <w:p w14:paraId="24DAED9F" w14:textId="77777777" w:rsidR="005B36AA" w:rsidRDefault="005B36AA" w:rsidP="005B36AA">
      <w:pPr>
        <w:pStyle w:val="Heading2"/>
        <w:numPr>
          <w:ilvl w:val="0"/>
          <w:numId w:val="31"/>
        </w:numPr>
      </w:pPr>
      <w:r>
        <w:t>Earnings per Ordinary Share</w:t>
      </w:r>
    </w:p>
    <w:p w14:paraId="7DDAA04F" w14:textId="77777777" w:rsidR="005B36AA" w:rsidRPr="00403EFB"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     </w:t>
      </w:r>
    </w:p>
    <w:tbl>
      <w:tblPr>
        <w:tblW w:w="10348" w:type="dxa"/>
        <w:tblLayout w:type="fixed"/>
        <w:tblLook w:val="01E0" w:firstRow="1" w:lastRow="1" w:firstColumn="1" w:lastColumn="1" w:noHBand="0" w:noVBand="0"/>
      </w:tblPr>
      <w:tblGrid>
        <w:gridCol w:w="3828"/>
        <w:gridCol w:w="1134"/>
        <w:gridCol w:w="1275"/>
        <w:gridCol w:w="851"/>
        <w:gridCol w:w="1134"/>
        <w:gridCol w:w="1276"/>
        <w:gridCol w:w="850"/>
      </w:tblGrid>
      <w:tr w:rsidR="005B36AA" w14:paraId="3B92CFBC" w14:textId="77777777" w:rsidTr="005B36AA">
        <w:trPr>
          <w:trHeight w:val="227"/>
        </w:trPr>
        <w:tc>
          <w:tcPr>
            <w:tcW w:w="10348" w:type="dxa"/>
            <w:gridSpan w:val="7"/>
          </w:tcPr>
          <w:p w14:paraId="4744F5B4" w14:textId="77777777" w:rsidR="005B36AA" w:rsidRDefault="005B36AA" w:rsidP="005B36AA">
            <w:pPr>
              <w:pStyle w:val="Subtitle"/>
              <w:jc w:val="left"/>
            </w:pPr>
            <w:r w:rsidRPr="00D35B2B">
              <w:rPr>
                <w:bCs/>
              </w:rPr>
              <w:t>N</w:t>
            </w:r>
            <w:r>
              <w:rPr>
                <w:bCs/>
              </w:rPr>
              <w:t>umerator for Earnings per Share C</w:t>
            </w:r>
            <w:r w:rsidRPr="00D35B2B">
              <w:rPr>
                <w:bCs/>
              </w:rPr>
              <w:t>alculations</w:t>
            </w:r>
          </w:p>
        </w:tc>
      </w:tr>
      <w:tr w:rsidR="005B36AA" w14:paraId="75C4D5B9" w14:textId="77777777" w:rsidTr="005B36AA">
        <w:trPr>
          <w:trHeight w:val="227"/>
        </w:trPr>
        <w:tc>
          <w:tcPr>
            <w:tcW w:w="3828" w:type="dxa"/>
          </w:tcPr>
          <w:p w14:paraId="0A3834DE" w14:textId="77777777" w:rsidR="005B36AA" w:rsidRDefault="005B36AA" w:rsidP="005B36AA">
            <w:pPr>
              <w:pStyle w:val="TableRowHead"/>
              <w:tabs>
                <w:tab w:val="left" w:pos="5245"/>
              </w:tabs>
            </w:pPr>
            <w:bookmarkStart w:id="1" w:name="_Hlk23761205"/>
          </w:p>
        </w:tc>
        <w:tc>
          <w:tcPr>
            <w:tcW w:w="3260" w:type="dxa"/>
            <w:gridSpan w:val="3"/>
            <w:vAlign w:val="bottom"/>
          </w:tcPr>
          <w:p w14:paraId="2950ECC3" w14:textId="77777777" w:rsidR="005B36AA" w:rsidRDefault="005B36AA" w:rsidP="005B36AA">
            <w:pPr>
              <w:pStyle w:val="Subtitle"/>
              <w:tabs>
                <w:tab w:val="left" w:pos="5245"/>
              </w:tabs>
              <w:jc w:val="center"/>
            </w:pPr>
            <w:r>
              <w:t>2020</w:t>
            </w:r>
          </w:p>
        </w:tc>
        <w:tc>
          <w:tcPr>
            <w:tcW w:w="3260" w:type="dxa"/>
            <w:gridSpan w:val="3"/>
          </w:tcPr>
          <w:p w14:paraId="2097AC97" w14:textId="77777777" w:rsidR="005B36AA" w:rsidRDefault="005B36AA" w:rsidP="005B36AA">
            <w:pPr>
              <w:pStyle w:val="Subtitle"/>
              <w:tabs>
                <w:tab w:val="left" w:pos="5245"/>
              </w:tabs>
              <w:jc w:val="center"/>
            </w:pPr>
            <w:r>
              <w:rPr>
                <w:b w:val="0"/>
              </w:rPr>
              <w:t>2019</w:t>
            </w:r>
          </w:p>
        </w:tc>
      </w:tr>
      <w:tr w:rsidR="005B36AA" w14:paraId="79213DCC" w14:textId="77777777" w:rsidTr="005B36AA">
        <w:trPr>
          <w:trHeight w:val="227"/>
        </w:trPr>
        <w:tc>
          <w:tcPr>
            <w:tcW w:w="3828" w:type="dxa"/>
            <w:tcBorders>
              <w:bottom w:val="single" w:sz="4" w:space="0" w:color="auto"/>
            </w:tcBorders>
          </w:tcPr>
          <w:p w14:paraId="1B48153E" w14:textId="77777777" w:rsidR="005B36AA" w:rsidRPr="00D35B2B" w:rsidRDefault="005B36AA" w:rsidP="005B36AA">
            <w:pPr>
              <w:pStyle w:val="TableRowHead"/>
              <w:tabs>
                <w:tab w:val="left" w:pos="5245"/>
              </w:tabs>
            </w:pPr>
          </w:p>
        </w:tc>
        <w:tc>
          <w:tcPr>
            <w:tcW w:w="1134" w:type="dxa"/>
            <w:tcBorders>
              <w:bottom w:val="single" w:sz="4" w:space="0" w:color="auto"/>
            </w:tcBorders>
            <w:vAlign w:val="bottom"/>
          </w:tcPr>
          <w:p w14:paraId="3763A8E4" w14:textId="77777777" w:rsidR="005B36AA" w:rsidRPr="00D35B2B" w:rsidRDefault="005B36AA" w:rsidP="005B36AA">
            <w:pPr>
              <w:pStyle w:val="Subtitle"/>
              <w:tabs>
                <w:tab w:val="left" w:pos="5245"/>
              </w:tabs>
            </w:pPr>
            <w:r w:rsidRPr="00D35B2B">
              <w:t>Continuing operations</w:t>
            </w:r>
          </w:p>
          <w:p w14:paraId="0553039B" w14:textId="77777777" w:rsidR="005B36AA" w:rsidRPr="00D35B2B" w:rsidRDefault="005B36AA" w:rsidP="005B36AA">
            <w:pPr>
              <w:tabs>
                <w:tab w:val="left" w:pos="5245"/>
              </w:tabs>
              <w:jc w:val="right"/>
              <w:rPr>
                <w:rFonts w:asciiTheme="minorHAnsi" w:eastAsiaTheme="minorHAnsi" w:hAnsiTheme="minorHAnsi" w:cstheme="minorBidi"/>
                <w:b/>
                <w:sz w:val="18"/>
                <w:szCs w:val="18"/>
                <w:lang w:eastAsia="en-US" w:bidi="ar-SA"/>
              </w:rPr>
            </w:pPr>
            <w:r w:rsidRPr="00D35B2B">
              <w:rPr>
                <w:rFonts w:asciiTheme="minorHAnsi" w:eastAsiaTheme="minorHAnsi" w:hAnsiTheme="minorHAnsi" w:cstheme="minorBidi"/>
                <w:b/>
                <w:sz w:val="18"/>
                <w:szCs w:val="18"/>
                <w:lang w:eastAsia="en-US" w:bidi="ar-SA"/>
              </w:rPr>
              <w:t>£m</w:t>
            </w:r>
          </w:p>
        </w:tc>
        <w:tc>
          <w:tcPr>
            <w:tcW w:w="1275" w:type="dxa"/>
            <w:tcBorders>
              <w:bottom w:val="single" w:sz="4" w:space="0" w:color="auto"/>
            </w:tcBorders>
            <w:vAlign w:val="bottom"/>
          </w:tcPr>
          <w:p w14:paraId="5CBDFD71" w14:textId="77777777" w:rsidR="005B36AA" w:rsidRPr="00D35B2B" w:rsidRDefault="005B36AA" w:rsidP="005B36AA">
            <w:pPr>
              <w:pStyle w:val="Subtitle"/>
              <w:tabs>
                <w:tab w:val="left" w:pos="5245"/>
              </w:tabs>
            </w:pPr>
            <w:r w:rsidRPr="00D35B2B">
              <w:t>Discontinued operations</w:t>
            </w:r>
            <w:r w:rsidRPr="00D35B2B">
              <w:br/>
              <w:t>£m</w:t>
            </w:r>
          </w:p>
        </w:tc>
        <w:tc>
          <w:tcPr>
            <w:tcW w:w="851" w:type="dxa"/>
            <w:tcBorders>
              <w:bottom w:val="single" w:sz="4" w:space="0" w:color="auto"/>
            </w:tcBorders>
            <w:vAlign w:val="bottom"/>
          </w:tcPr>
          <w:p w14:paraId="7FB0B15D" w14:textId="77777777" w:rsidR="005B36AA" w:rsidRPr="00D35B2B" w:rsidRDefault="005B36AA" w:rsidP="005B36AA">
            <w:pPr>
              <w:pStyle w:val="Subtitle"/>
              <w:tabs>
                <w:tab w:val="left" w:pos="5245"/>
              </w:tabs>
            </w:pPr>
            <w:r w:rsidRPr="00D35B2B">
              <w:t>Total</w:t>
            </w:r>
            <w:r w:rsidRPr="00D35B2B">
              <w:br/>
              <w:t>£m</w:t>
            </w:r>
          </w:p>
        </w:tc>
        <w:tc>
          <w:tcPr>
            <w:tcW w:w="1134" w:type="dxa"/>
            <w:tcBorders>
              <w:bottom w:val="single" w:sz="4" w:space="0" w:color="auto"/>
            </w:tcBorders>
            <w:vAlign w:val="bottom"/>
          </w:tcPr>
          <w:p w14:paraId="38912A68" w14:textId="77777777" w:rsidR="005B36AA" w:rsidRPr="00D35B2B" w:rsidRDefault="005B36AA" w:rsidP="005B36AA">
            <w:pPr>
              <w:pStyle w:val="Subtitle"/>
              <w:tabs>
                <w:tab w:val="left" w:pos="5245"/>
              </w:tabs>
              <w:rPr>
                <w:b w:val="0"/>
              </w:rPr>
            </w:pPr>
            <w:r w:rsidRPr="00D35B2B">
              <w:rPr>
                <w:b w:val="0"/>
              </w:rPr>
              <w:t>Continuing</w:t>
            </w:r>
          </w:p>
          <w:p w14:paraId="3414A7BB" w14:textId="77777777" w:rsidR="005B36AA" w:rsidRPr="00D35B2B" w:rsidRDefault="005B36AA" w:rsidP="005B36AA">
            <w:pPr>
              <w:pStyle w:val="Subtitle"/>
              <w:tabs>
                <w:tab w:val="left" w:pos="5245"/>
              </w:tabs>
              <w:rPr>
                <w:b w:val="0"/>
              </w:rPr>
            </w:pPr>
            <w:r>
              <w:rPr>
                <w:b w:val="0"/>
              </w:rPr>
              <w:t>o</w:t>
            </w:r>
            <w:r w:rsidRPr="00D35B2B">
              <w:rPr>
                <w:b w:val="0"/>
              </w:rPr>
              <w:t xml:space="preserve">perations </w:t>
            </w:r>
          </w:p>
          <w:p w14:paraId="17738382" w14:textId="77777777" w:rsidR="005B36AA" w:rsidRPr="00D35B2B" w:rsidRDefault="005B36AA" w:rsidP="005B36AA">
            <w:pPr>
              <w:pStyle w:val="Subtitle"/>
              <w:tabs>
                <w:tab w:val="left" w:pos="5245"/>
              </w:tabs>
              <w:rPr>
                <w:b w:val="0"/>
              </w:rPr>
            </w:pPr>
            <w:r w:rsidRPr="00D35B2B">
              <w:rPr>
                <w:b w:val="0"/>
              </w:rPr>
              <w:t>£m</w:t>
            </w:r>
          </w:p>
        </w:tc>
        <w:tc>
          <w:tcPr>
            <w:tcW w:w="1276" w:type="dxa"/>
            <w:tcBorders>
              <w:bottom w:val="single" w:sz="4" w:space="0" w:color="auto"/>
            </w:tcBorders>
            <w:vAlign w:val="bottom"/>
          </w:tcPr>
          <w:p w14:paraId="4588CC25" w14:textId="77777777" w:rsidR="005B36AA" w:rsidRPr="00D35B2B" w:rsidRDefault="005B36AA" w:rsidP="005B36AA">
            <w:pPr>
              <w:pStyle w:val="Subtitle"/>
              <w:tabs>
                <w:tab w:val="left" w:pos="5245"/>
              </w:tabs>
              <w:rPr>
                <w:b w:val="0"/>
              </w:rPr>
            </w:pPr>
            <w:r w:rsidRPr="00D35B2B">
              <w:rPr>
                <w:b w:val="0"/>
              </w:rPr>
              <w:t>Discontinu</w:t>
            </w:r>
            <w:r>
              <w:rPr>
                <w:b w:val="0"/>
              </w:rPr>
              <w:t>e</w:t>
            </w:r>
            <w:r w:rsidRPr="00D35B2B">
              <w:rPr>
                <w:b w:val="0"/>
              </w:rPr>
              <w:t>d operations</w:t>
            </w:r>
            <w:r w:rsidRPr="00D35B2B">
              <w:rPr>
                <w:b w:val="0"/>
              </w:rPr>
              <w:br/>
              <w:t>£m</w:t>
            </w:r>
          </w:p>
        </w:tc>
        <w:tc>
          <w:tcPr>
            <w:tcW w:w="850" w:type="dxa"/>
            <w:tcBorders>
              <w:bottom w:val="single" w:sz="4" w:space="0" w:color="auto"/>
            </w:tcBorders>
            <w:vAlign w:val="bottom"/>
          </w:tcPr>
          <w:p w14:paraId="2C0C90F1" w14:textId="77777777" w:rsidR="005B36AA" w:rsidRPr="00D35B2B" w:rsidRDefault="005B36AA" w:rsidP="005B36AA">
            <w:pPr>
              <w:pStyle w:val="Subtitle"/>
              <w:tabs>
                <w:tab w:val="left" w:pos="5245"/>
              </w:tabs>
              <w:rPr>
                <w:b w:val="0"/>
              </w:rPr>
            </w:pPr>
            <w:r w:rsidRPr="00D35B2B">
              <w:rPr>
                <w:b w:val="0"/>
              </w:rPr>
              <w:t>Total</w:t>
            </w:r>
            <w:r w:rsidRPr="00D35B2B">
              <w:rPr>
                <w:b w:val="0"/>
              </w:rPr>
              <w:br/>
              <w:t>£m</w:t>
            </w:r>
          </w:p>
        </w:tc>
      </w:tr>
      <w:tr w:rsidR="005B36AA" w14:paraId="65AFA480" w14:textId="77777777" w:rsidTr="005B36AA">
        <w:trPr>
          <w:trHeight w:val="227"/>
        </w:trPr>
        <w:tc>
          <w:tcPr>
            <w:tcW w:w="3828" w:type="dxa"/>
            <w:tcBorders>
              <w:top w:val="single" w:sz="4" w:space="0" w:color="auto"/>
              <w:bottom w:val="single" w:sz="8" w:space="0" w:color="auto"/>
            </w:tcBorders>
          </w:tcPr>
          <w:p w14:paraId="0B4CA98F" w14:textId="31DC8478" w:rsidR="005B36AA" w:rsidRPr="00D35B2B" w:rsidRDefault="005B36AA" w:rsidP="005B36AA">
            <w:pPr>
              <w:pStyle w:val="TableRowHead"/>
              <w:tabs>
                <w:tab w:val="left" w:pos="5245"/>
              </w:tabs>
              <w:rPr>
                <w:b/>
              </w:rPr>
            </w:pPr>
            <w:r>
              <w:rPr>
                <w:b/>
              </w:rPr>
              <w:t>(Loss)/profit</w:t>
            </w:r>
            <w:r w:rsidRPr="00D35B2B">
              <w:rPr>
                <w:b/>
              </w:rPr>
              <w:t xml:space="preserve"> attributable to equity holders of the Company </w:t>
            </w:r>
            <w:r>
              <w:rPr>
                <w:b/>
              </w:rPr>
              <w:t xml:space="preserve">(numerator </w:t>
            </w:r>
            <w:r w:rsidR="00096F67">
              <w:rPr>
                <w:b/>
              </w:rPr>
              <w:t>f</w:t>
            </w:r>
            <w:r>
              <w:rPr>
                <w:b/>
              </w:rPr>
              <w:t>or earnings per share calculations)</w:t>
            </w:r>
          </w:p>
        </w:tc>
        <w:tc>
          <w:tcPr>
            <w:tcW w:w="1134" w:type="dxa"/>
            <w:tcBorders>
              <w:top w:val="single" w:sz="4" w:space="0" w:color="auto"/>
              <w:bottom w:val="single" w:sz="8" w:space="0" w:color="auto"/>
            </w:tcBorders>
            <w:vAlign w:val="bottom"/>
          </w:tcPr>
          <w:p w14:paraId="17117C8A" w14:textId="77777777" w:rsidR="005B36AA" w:rsidRPr="00D35B2B" w:rsidRDefault="005B36AA" w:rsidP="005B36AA">
            <w:pPr>
              <w:pStyle w:val="Subtitle"/>
              <w:tabs>
                <w:tab w:val="left" w:pos="5245"/>
              </w:tabs>
              <w:rPr>
                <w:rFonts w:cstheme="minorHAnsi"/>
                <w:bCs/>
              </w:rPr>
            </w:pPr>
            <w:r>
              <w:rPr>
                <w:rFonts w:cstheme="minorHAnsi"/>
                <w:bCs/>
              </w:rPr>
              <w:t>(11.5)</w:t>
            </w:r>
          </w:p>
        </w:tc>
        <w:tc>
          <w:tcPr>
            <w:tcW w:w="1275" w:type="dxa"/>
            <w:tcBorders>
              <w:top w:val="single" w:sz="4" w:space="0" w:color="auto"/>
              <w:bottom w:val="single" w:sz="8" w:space="0" w:color="auto"/>
            </w:tcBorders>
            <w:vAlign w:val="bottom"/>
          </w:tcPr>
          <w:p w14:paraId="14E36658" w14:textId="77777777" w:rsidR="005B36AA" w:rsidRPr="000A154E" w:rsidRDefault="005B36AA" w:rsidP="005B36AA">
            <w:pPr>
              <w:pStyle w:val="Subtitle"/>
              <w:tabs>
                <w:tab w:val="left" w:pos="5245"/>
              </w:tabs>
              <w:rPr>
                <w:rFonts w:cstheme="minorHAnsi"/>
                <w:bCs/>
              </w:rPr>
            </w:pPr>
            <w:r w:rsidRPr="000A154E">
              <w:t>–</w:t>
            </w:r>
          </w:p>
        </w:tc>
        <w:tc>
          <w:tcPr>
            <w:tcW w:w="851" w:type="dxa"/>
            <w:tcBorders>
              <w:top w:val="single" w:sz="4" w:space="0" w:color="auto"/>
              <w:bottom w:val="single" w:sz="8" w:space="0" w:color="auto"/>
            </w:tcBorders>
            <w:vAlign w:val="bottom"/>
          </w:tcPr>
          <w:p w14:paraId="72D9F7E3" w14:textId="77777777" w:rsidR="005B36AA" w:rsidRPr="00D35B2B" w:rsidRDefault="005B36AA" w:rsidP="005B36AA">
            <w:pPr>
              <w:pStyle w:val="Subtitle"/>
              <w:tabs>
                <w:tab w:val="left" w:pos="5245"/>
              </w:tabs>
              <w:rPr>
                <w:rFonts w:cstheme="minorHAnsi"/>
                <w:bCs/>
              </w:rPr>
            </w:pPr>
            <w:r>
              <w:rPr>
                <w:rFonts w:cstheme="minorHAnsi"/>
                <w:bCs/>
              </w:rPr>
              <w:t>(11.5)</w:t>
            </w:r>
          </w:p>
        </w:tc>
        <w:tc>
          <w:tcPr>
            <w:tcW w:w="1134" w:type="dxa"/>
            <w:tcBorders>
              <w:top w:val="single" w:sz="4" w:space="0" w:color="auto"/>
              <w:bottom w:val="single" w:sz="8" w:space="0" w:color="auto"/>
            </w:tcBorders>
            <w:vAlign w:val="bottom"/>
          </w:tcPr>
          <w:p w14:paraId="2F07A8F7" w14:textId="77777777" w:rsidR="005B36AA" w:rsidRPr="003B72E1" w:rsidRDefault="005B36AA" w:rsidP="005B36AA">
            <w:pPr>
              <w:pStyle w:val="Subtitle"/>
              <w:tabs>
                <w:tab w:val="left" w:pos="5245"/>
              </w:tabs>
              <w:rPr>
                <w:rFonts w:cstheme="minorHAnsi"/>
                <w:b w:val="0"/>
                <w:bCs/>
              </w:rPr>
            </w:pPr>
            <w:r w:rsidRPr="003B72E1">
              <w:rPr>
                <w:rFonts w:cstheme="minorHAnsi"/>
                <w:b w:val="0"/>
                <w:bCs/>
              </w:rPr>
              <w:t>41.2</w:t>
            </w:r>
          </w:p>
        </w:tc>
        <w:tc>
          <w:tcPr>
            <w:tcW w:w="1276" w:type="dxa"/>
            <w:tcBorders>
              <w:top w:val="single" w:sz="4" w:space="0" w:color="auto"/>
              <w:bottom w:val="single" w:sz="8" w:space="0" w:color="auto"/>
            </w:tcBorders>
            <w:vAlign w:val="bottom"/>
          </w:tcPr>
          <w:p w14:paraId="53E9DBFA" w14:textId="77777777" w:rsidR="005B36AA" w:rsidRPr="003B72E1" w:rsidRDefault="005B36AA" w:rsidP="005B36AA">
            <w:pPr>
              <w:pStyle w:val="Subtitle"/>
              <w:tabs>
                <w:tab w:val="left" w:pos="5245"/>
              </w:tabs>
              <w:rPr>
                <w:rFonts w:cstheme="minorHAnsi"/>
                <w:b w:val="0"/>
                <w:bCs/>
              </w:rPr>
            </w:pPr>
            <w:r w:rsidRPr="003B72E1">
              <w:rPr>
                <w:rFonts w:cstheme="minorHAnsi"/>
                <w:b w:val="0"/>
                <w:bCs/>
              </w:rPr>
              <w:t>64.8</w:t>
            </w:r>
          </w:p>
        </w:tc>
        <w:tc>
          <w:tcPr>
            <w:tcW w:w="850" w:type="dxa"/>
            <w:tcBorders>
              <w:top w:val="single" w:sz="4" w:space="0" w:color="auto"/>
              <w:bottom w:val="single" w:sz="8" w:space="0" w:color="auto"/>
            </w:tcBorders>
            <w:vAlign w:val="bottom"/>
          </w:tcPr>
          <w:p w14:paraId="4DA8F444" w14:textId="77777777" w:rsidR="005B36AA" w:rsidRPr="003B72E1" w:rsidRDefault="005B36AA" w:rsidP="005B36AA">
            <w:pPr>
              <w:pStyle w:val="Subtitle"/>
              <w:tabs>
                <w:tab w:val="left" w:pos="5245"/>
              </w:tabs>
              <w:rPr>
                <w:rFonts w:cstheme="minorHAnsi"/>
                <w:b w:val="0"/>
                <w:bCs/>
              </w:rPr>
            </w:pPr>
            <w:r w:rsidRPr="003B72E1">
              <w:rPr>
                <w:rFonts w:cstheme="minorHAnsi"/>
                <w:b w:val="0"/>
                <w:bCs/>
              </w:rPr>
              <w:t>106.0</w:t>
            </w:r>
          </w:p>
        </w:tc>
      </w:tr>
    </w:tbl>
    <w:bookmarkEnd w:id="1"/>
    <w:p w14:paraId="7BEE4740" w14:textId="601508C0" w:rsidR="00292A98"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 </w:t>
      </w:r>
    </w:p>
    <w:p w14:paraId="4F073C06" w14:textId="77777777" w:rsidR="005B36AA" w:rsidRPr="00AF4386" w:rsidRDefault="005B36AA" w:rsidP="005B36AA">
      <w:pPr>
        <w:pStyle w:val="BodyText"/>
        <w:tabs>
          <w:tab w:val="left" w:pos="5245"/>
        </w:tabs>
        <w:rPr>
          <w:b/>
        </w:rPr>
      </w:pPr>
      <w:r>
        <w:rPr>
          <w:b/>
        </w:rPr>
        <w:t xml:space="preserve"> Denominator for Basic Earnings Per Share Calculations</w:t>
      </w:r>
    </w:p>
    <w:tbl>
      <w:tblPr>
        <w:tblW w:w="10348" w:type="dxa"/>
        <w:tblLayout w:type="fixed"/>
        <w:tblLook w:val="01E0" w:firstRow="1" w:lastRow="1" w:firstColumn="1" w:lastColumn="1" w:noHBand="0" w:noVBand="0"/>
      </w:tblPr>
      <w:tblGrid>
        <w:gridCol w:w="7937"/>
        <w:gridCol w:w="1277"/>
        <w:gridCol w:w="1134"/>
      </w:tblGrid>
      <w:tr w:rsidR="005B36AA" w14:paraId="1DDFC029" w14:textId="77777777" w:rsidTr="005B36AA">
        <w:trPr>
          <w:trHeight w:val="227"/>
        </w:trPr>
        <w:tc>
          <w:tcPr>
            <w:tcW w:w="7937" w:type="dxa"/>
            <w:tcBorders>
              <w:bottom w:val="single" w:sz="4" w:space="0" w:color="000000"/>
            </w:tcBorders>
          </w:tcPr>
          <w:p w14:paraId="63969DED" w14:textId="77777777" w:rsidR="005B36AA" w:rsidRDefault="005B36AA" w:rsidP="005B36AA">
            <w:pPr>
              <w:pStyle w:val="TableRowHead"/>
            </w:pPr>
          </w:p>
        </w:tc>
        <w:tc>
          <w:tcPr>
            <w:tcW w:w="1277" w:type="dxa"/>
            <w:tcBorders>
              <w:bottom w:val="single" w:sz="4" w:space="0" w:color="000000"/>
            </w:tcBorders>
            <w:vAlign w:val="bottom"/>
          </w:tcPr>
          <w:p w14:paraId="24356E95" w14:textId="77777777" w:rsidR="005B36AA" w:rsidRDefault="005B36AA" w:rsidP="005B36AA">
            <w:pPr>
              <w:pStyle w:val="Subtitle"/>
            </w:pPr>
          </w:p>
        </w:tc>
        <w:tc>
          <w:tcPr>
            <w:tcW w:w="1134" w:type="dxa"/>
            <w:tcBorders>
              <w:bottom w:val="single" w:sz="4" w:space="0" w:color="000000"/>
            </w:tcBorders>
            <w:vAlign w:val="bottom"/>
          </w:tcPr>
          <w:p w14:paraId="30E009AB" w14:textId="77777777" w:rsidR="005B36AA" w:rsidRPr="00ED3F65" w:rsidRDefault="005B36AA" w:rsidP="005B36AA">
            <w:pPr>
              <w:pStyle w:val="Subtitle"/>
              <w:rPr>
                <w:b w:val="0"/>
              </w:rPr>
            </w:pPr>
          </w:p>
        </w:tc>
      </w:tr>
      <w:tr w:rsidR="005B36AA" w14:paraId="5DA1A570" w14:textId="77777777" w:rsidTr="005B36AA">
        <w:trPr>
          <w:trHeight w:val="227"/>
        </w:trPr>
        <w:tc>
          <w:tcPr>
            <w:tcW w:w="7937" w:type="dxa"/>
            <w:tcBorders>
              <w:bottom w:val="single" w:sz="4" w:space="0" w:color="000000"/>
            </w:tcBorders>
          </w:tcPr>
          <w:p w14:paraId="2BDBB2F9" w14:textId="77777777" w:rsidR="005B36AA" w:rsidRDefault="005B36AA" w:rsidP="005B36AA">
            <w:pPr>
              <w:pStyle w:val="TableRowHead"/>
            </w:pPr>
          </w:p>
        </w:tc>
        <w:tc>
          <w:tcPr>
            <w:tcW w:w="1277" w:type="dxa"/>
            <w:tcBorders>
              <w:bottom w:val="single" w:sz="4" w:space="0" w:color="000000"/>
            </w:tcBorders>
            <w:vAlign w:val="bottom"/>
          </w:tcPr>
          <w:p w14:paraId="266DB846" w14:textId="77777777" w:rsidR="005B36AA" w:rsidRDefault="005B36AA" w:rsidP="005B36AA">
            <w:pPr>
              <w:pStyle w:val="Subtitle"/>
            </w:pPr>
            <w:r>
              <w:t>2020</w:t>
            </w:r>
            <w:r>
              <w:br/>
            </w:r>
            <w:r w:rsidRPr="00012AAD">
              <w:t>‘000</w:t>
            </w:r>
          </w:p>
        </w:tc>
        <w:tc>
          <w:tcPr>
            <w:tcW w:w="1134" w:type="dxa"/>
            <w:tcBorders>
              <w:bottom w:val="single" w:sz="4" w:space="0" w:color="000000"/>
            </w:tcBorders>
            <w:vAlign w:val="bottom"/>
          </w:tcPr>
          <w:p w14:paraId="5A4329A6" w14:textId="77777777" w:rsidR="005B36AA" w:rsidRPr="00ED3F65" w:rsidRDefault="005B36AA" w:rsidP="005B36AA">
            <w:pPr>
              <w:pStyle w:val="Subtitle"/>
              <w:rPr>
                <w:b w:val="0"/>
              </w:rPr>
            </w:pPr>
            <w:r>
              <w:rPr>
                <w:b w:val="0"/>
              </w:rPr>
              <w:t>2019</w:t>
            </w:r>
            <w:r w:rsidRPr="00ED3F65">
              <w:rPr>
                <w:b w:val="0"/>
              </w:rPr>
              <w:br/>
              <w:t>‘000</w:t>
            </w:r>
          </w:p>
        </w:tc>
      </w:tr>
      <w:tr w:rsidR="005B36AA" w:rsidRPr="003B72E1" w14:paraId="3435C9E7" w14:textId="77777777" w:rsidTr="005B36AA">
        <w:trPr>
          <w:trHeight w:val="227"/>
        </w:trPr>
        <w:tc>
          <w:tcPr>
            <w:tcW w:w="7937" w:type="dxa"/>
          </w:tcPr>
          <w:p w14:paraId="1D549541" w14:textId="77777777" w:rsidR="005B36AA" w:rsidRDefault="005B36AA" w:rsidP="005B36AA">
            <w:pPr>
              <w:pStyle w:val="TableRowHead"/>
            </w:pPr>
            <w:r>
              <w:t>Shares in issue at the beginning of the year</w:t>
            </w:r>
          </w:p>
        </w:tc>
        <w:tc>
          <w:tcPr>
            <w:tcW w:w="1277" w:type="dxa"/>
            <w:vAlign w:val="bottom"/>
          </w:tcPr>
          <w:p w14:paraId="50EE90BD" w14:textId="77777777" w:rsidR="005B36AA" w:rsidRDefault="005B36AA" w:rsidP="005B36AA">
            <w:pPr>
              <w:pStyle w:val="Subtitle"/>
            </w:pPr>
            <w:r>
              <w:t>446,007</w:t>
            </w:r>
          </w:p>
        </w:tc>
        <w:tc>
          <w:tcPr>
            <w:tcW w:w="1134" w:type="dxa"/>
            <w:vAlign w:val="bottom"/>
          </w:tcPr>
          <w:p w14:paraId="6B33905A" w14:textId="77777777" w:rsidR="005B36AA" w:rsidRPr="003B72E1" w:rsidRDefault="005B36AA" w:rsidP="005B36AA">
            <w:pPr>
              <w:pStyle w:val="Subtitle"/>
              <w:rPr>
                <w:b w:val="0"/>
              </w:rPr>
            </w:pPr>
            <w:r w:rsidRPr="003B72E1">
              <w:rPr>
                <w:b w:val="0"/>
              </w:rPr>
              <w:t>706,978</w:t>
            </w:r>
          </w:p>
        </w:tc>
      </w:tr>
      <w:tr w:rsidR="005B36AA" w:rsidRPr="003B72E1" w14:paraId="7F9BC9E9" w14:textId="77777777" w:rsidTr="005B36AA">
        <w:trPr>
          <w:trHeight w:val="227"/>
        </w:trPr>
        <w:tc>
          <w:tcPr>
            <w:tcW w:w="7937" w:type="dxa"/>
          </w:tcPr>
          <w:p w14:paraId="0E8F6A7A" w14:textId="77777777" w:rsidR="005B36AA" w:rsidRDefault="005B36AA" w:rsidP="005B36AA">
            <w:pPr>
              <w:pStyle w:val="TableRowHead"/>
            </w:pPr>
            <w:r>
              <w:t>Effect of shares held by Employee Benefit Trust</w:t>
            </w:r>
          </w:p>
        </w:tc>
        <w:tc>
          <w:tcPr>
            <w:tcW w:w="1277" w:type="dxa"/>
            <w:vAlign w:val="bottom"/>
          </w:tcPr>
          <w:p w14:paraId="2EF48FB5" w14:textId="77777777" w:rsidR="005B36AA" w:rsidRDefault="005B36AA" w:rsidP="005B36AA">
            <w:pPr>
              <w:pStyle w:val="Subtitle"/>
            </w:pPr>
            <w:r>
              <w:t>(2,235)</w:t>
            </w:r>
          </w:p>
        </w:tc>
        <w:tc>
          <w:tcPr>
            <w:tcW w:w="1134" w:type="dxa"/>
            <w:vAlign w:val="bottom"/>
          </w:tcPr>
          <w:p w14:paraId="7739CDDF" w14:textId="77777777" w:rsidR="005B36AA" w:rsidRPr="003B72E1" w:rsidRDefault="005B36AA" w:rsidP="005B36AA">
            <w:pPr>
              <w:pStyle w:val="Subtitle"/>
              <w:rPr>
                <w:b w:val="0"/>
              </w:rPr>
            </w:pPr>
            <w:r w:rsidRPr="003B72E1">
              <w:rPr>
                <w:b w:val="0"/>
              </w:rPr>
              <w:t>(3,389)</w:t>
            </w:r>
          </w:p>
        </w:tc>
      </w:tr>
      <w:tr w:rsidR="005B36AA" w:rsidRPr="003B72E1" w14:paraId="298ADFFA" w14:textId="77777777" w:rsidTr="005B36AA">
        <w:trPr>
          <w:trHeight w:val="227"/>
        </w:trPr>
        <w:tc>
          <w:tcPr>
            <w:tcW w:w="7937" w:type="dxa"/>
          </w:tcPr>
          <w:p w14:paraId="169DF10C" w14:textId="77777777" w:rsidR="005B36AA" w:rsidRDefault="005B36AA" w:rsidP="005B36AA">
            <w:pPr>
              <w:pStyle w:val="TableRowHead"/>
            </w:pPr>
            <w:r>
              <w:t>Effect of shares issued during the year</w:t>
            </w:r>
          </w:p>
        </w:tc>
        <w:tc>
          <w:tcPr>
            <w:tcW w:w="1277" w:type="dxa"/>
            <w:vAlign w:val="bottom"/>
          </w:tcPr>
          <w:p w14:paraId="44352782" w14:textId="77777777" w:rsidR="005B36AA" w:rsidRDefault="005B36AA" w:rsidP="005B36AA">
            <w:pPr>
              <w:pStyle w:val="Subtitle"/>
            </w:pPr>
            <w:r>
              <w:t>112</w:t>
            </w:r>
          </w:p>
        </w:tc>
        <w:tc>
          <w:tcPr>
            <w:tcW w:w="1134" w:type="dxa"/>
            <w:vAlign w:val="bottom"/>
          </w:tcPr>
          <w:p w14:paraId="46399160" w14:textId="77777777" w:rsidR="005B36AA" w:rsidRPr="003B72E1" w:rsidRDefault="005B36AA" w:rsidP="005B36AA">
            <w:pPr>
              <w:pStyle w:val="Subtitle"/>
              <w:rPr>
                <w:b w:val="0"/>
              </w:rPr>
            </w:pPr>
            <w:r w:rsidRPr="003B72E1">
              <w:rPr>
                <w:b w:val="0"/>
              </w:rPr>
              <w:t>15</w:t>
            </w:r>
          </w:p>
        </w:tc>
      </w:tr>
      <w:tr w:rsidR="005B36AA" w:rsidRPr="003B72E1" w14:paraId="4B786048" w14:textId="77777777" w:rsidTr="005B36AA">
        <w:trPr>
          <w:trHeight w:val="227"/>
        </w:trPr>
        <w:tc>
          <w:tcPr>
            <w:tcW w:w="7937" w:type="dxa"/>
            <w:tcBorders>
              <w:bottom w:val="single" w:sz="4" w:space="0" w:color="auto"/>
            </w:tcBorders>
          </w:tcPr>
          <w:p w14:paraId="4FBF33F7" w14:textId="77777777" w:rsidR="005B36AA" w:rsidRDefault="005B36AA" w:rsidP="005B36AA">
            <w:pPr>
              <w:pStyle w:val="TableRowHead"/>
            </w:pPr>
            <w:r>
              <w:t>Effect of share reduction due to tender offer</w:t>
            </w:r>
          </w:p>
        </w:tc>
        <w:tc>
          <w:tcPr>
            <w:tcW w:w="1277" w:type="dxa"/>
            <w:tcBorders>
              <w:bottom w:val="single" w:sz="4" w:space="0" w:color="auto"/>
            </w:tcBorders>
            <w:vAlign w:val="bottom"/>
          </w:tcPr>
          <w:p w14:paraId="753962C5" w14:textId="77777777" w:rsidR="005B36AA" w:rsidRPr="000A154E" w:rsidRDefault="005B36AA" w:rsidP="005B36AA">
            <w:pPr>
              <w:pStyle w:val="Subtitle"/>
            </w:pPr>
            <w:r w:rsidRPr="000A154E">
              <w:t>–</w:t>
            </w:r>
          </w:p>
        </w:tc>
        <w:tc>
          <w:tcPr>
            <w:tcW w:w="1134" w:type="dxa"/>
            <w:tcBorders>
              <w:bottom w:val="single" w:sz="4" w:space="0" w:color="auto"/>
            </w:tcBorders>
            <w:vAlign w:val="bottom"/>
          </w:tcPr>
          <w:p w14:paraId="358F09D1" w14:textId="77777777" w:rsidR="005B36AA" w:rsidRPr="003B72E1" w:rsidRDefault="005B36AA" w:rsidP="005B36AA">
            <w:pPr>
              <w:pStyle w:val="Subtitle"/>
              <w:rPr>
                <w:b w:val="0"/>
              </w:rPr>
            </w:pPr>
            <w:r w:rsidRPr="003B72E1">
              <w:rPr>
                <w:b w:val="0"/>
              </w:rPr>
              <w:t>(171,633)</w:t>
            </w:r>
          </w:p>
        </w:tc>
      </w:tr>
      <w:tr w:rsidR="005B36AA" w:rsidRPr="003B72E1" w14:paraId="5B4E2588" w14:textId="77777777" w:rsidTr="005B36AA">
        <w:trPr>
          <w:trHeight w:val="227"/>
        </w:trPr>
        <w:tc>
          <w:tcPr>
            <w:tcW w:w="7937" w:type="dxa"/>
            <w:tcBorders>
              <w:top w:val="single" w:sz="4" w:space="0" w:color="auto"/>
              <w:bottom w:val="single" w:sz="4" w:space="0" w:color="auto"/>
            </w:tcBorders>
          </w:tcPr>
          <w:p w14:paraId="64127D53" w14:textId="77777777" w:rsidR="005B36AA" w:rsidRPr="005060E6" w:rsidRDefault="005B36AA" w:rsidP="005B36AA">
            <w:pPr>
              <w:pStyle w:val="TableRowHead"/>
              <w:rPr>
                <w:b/>
              </w:rPr>
            </w:pPr>
            <w:r w:rsidRPr="005060E6">
              <w:rPr>
                <w:b/>
              </w:rPr>
              <w:t xml:space="preserve">Weighted average number of Ordinary Shares in issue during the </w:t>
            </w:r>
            <w:r>
              <w:rPr>
                <w:b/>
              </w:rPr>
              <w:t>year</w:t>
            </w:r>
          </w:p>
        </w:tc>
        <w:tc>
          <w:tcPr>
            <w:tcW w:w="1277" w:type="dxa"/>
            <w:tcBorders>
              <w:top w:val="single" w:sz="4" w:space="0" w:color="auto"/>
              <w:bottom w:val="single" w:sz="4" w:space="0" w:color="auto"/>
            </w:tcBorders>
            <w:vAlign w:val="bottom"/>
          </w:tcPr>
          <w:p w14:paraId="345ECAD2" w14:textId="77777777" w:rsidR="005B36AA" w:rsidRPr="00E111F7" w:rsidRDefault="005B36AA" w:rsidP="005B36AA">
            <w:pPr>
              <w:pStyle w:val="Subtitle"/>
            </w:pPr>
            <w:r>
              <w:t>443,884</w:t>
            </w:r>
          </w:p>
        </w:tc>
        <w:tc>
          <w:tcPr>
            <w:tcW w:w="1134" w:type="dxa"/>
            <w:tcBorders>
              <w:top w:val="single" w:sz="4" w:space="0" w:color="auto"/>
              <w:bottom w:val="single" w:sz="4" w:space="0" w:color="auto"/>
            </w:tcBorders>
            <w:vAlign w:val="bottom"/>
          </w:tcPr>
          <w:p w14:paraId="3397A2D2" w14:textId="77777777" w:rsidR="005B36AA" w:rsidRPr="003B72E1" w:rsidRDefault="005B36AA" w:rsidP="005B36AA">
            <w:pPr>
              <w:pStyle w:val="Subtitle"/>
              <w:rPr>
                <w:b w:val="0"/>
              </w:rPr>
            </w:pPr>
            <w:r w:rsidRPr="003B72E1">
              <w:rPr>
                <w:b w:val="0"/>
              </w:rPr>
              <w:t>531,971</w:t>
            </w:r>
          </w:p>
        </w:tc>
      </w:tr>
      <w:tr w:rsidR="005B36AA" w:rsidRPr="003B72E1" w14:paraId="043D942C" w14:textId="77777777" w:rsidTr="005B36AA">
        <w:trPr>
          <w:trHeight w:val="227"/>
        </w:trPr>
        <w:tc>
          <w:tcPr>
            <w:tcW w:w="7937" w:type="dxa"/>
            <w:tcBorders>
              <w:top w:val="single" w:sz="4" w:space="0" w:color="auto"/>
              <w:bottom w:val="single" w:sz="4" w:space="0" w:color="auto"/>
            </w:tcBorders>
          </w:tcPr>
          <w:p w14:paraId="6002CB0A" w14:textId="77777777" w:rsidR="005B36AA" w:rsidRPr="005060E6" w:rsidRDefault="005B36AA" w:rsidP="005B36AA">
            <w:pPr>
              <w:pStyle w:val="TableRowHead"/>
              <w:rPr>
                <w:b/>
              </w:rPr>
            </w:pPr>
            <w:r>
              <w:t>Dilutive effect of share awards</w:t>
            </w:r>
          </w:p>
        </w:tc>
        <w:tc>
          <w:tcPr>
            <w:tcW w:w="1277" w:type="dxa"/>
            <w:tcBorders>
              <w:top w:val="single" w:sz="4" w:space="0" w:color="auto"/>
              <w:bottom w:val="single" w:sz="4" w:space="0" w:color="auto"/>
            </w:tcBorders>
            <w:vAlign w:val="bottom"/>
          </w:tcPr>
          <w:p w14:paraId="66342967" w14:textId="77777777" w:rsidR="005B36AA" w:rsidRPr="00E111F7" w:rsidRDefault="005B36AA" w:rsidP="005B36AA">
            <w:pPr>
              <w:pStyle w:val="Subtitle"/>
            </w:pPr>
            <w:r>
              <w:t>1,180</w:t>
            </w:r>
          </w:p>
        </w:tc>
        <w:tc>
          <w:tcPr>
            <w:tcW w:w="1134" w:type="dxa"/>
            <w:tcBorders>
              <w:top w:val="single" w:sz="4" w:space="0" w:color="auto"/>
              <w:bottom w:val="single" w:sz="4" w:space="0" w:color="auto"/>
            </w:tcBorders>
            <w:vAlign w:val="bottom"/>
          </w:tcPr>
          <w:p w14:paraId="7A254E66" w14:textId="77777777" w:rsidR="005B36AA" w:rsidRPr="003B72E1" w:rsidRDefault="005B36AA" w:rsidP="005B36AA">
            <w:pPr>
              <w:pStyle w:val="Subtitle"/>
              <w:rPr>
                <w:b w:val="0"/>
              </w:rPr>
            </w:pPr>
            <w:r w:rsidRPr="003B72E1">
              <w:rPr>
                <w:b w:val="0"/>
              </w:rPr>
              <w:t>1,587</w:t>
            </w:r>
          </w:p>
        </w:tc>
      </w:tr>
      <w:tr w:rsidR="005B36AA" w:rsidRPr="003B72E1" w14:paraId="4946AF2C" w14:textId="77777777" w:rsidTr="005B36AA">
        <w:trPr>
          <w:trHeight w:val="227"/>
        </w:trPr>
        <w:tc>
          <w:tcPr>
            <w:tcW w:w="7937" w:type="dxa"/>
            <w:tcBorders>
              <w:top w:val="single" w:sz="4" w:space="0" w:color="auto"/>
              <w:bottom w:val="single" w:sz="8" w:space="0" w:color="auto"/>
            </w:tcBorders>
          </w:tcPr>
          <w:p w14:paraId="496A0BDD" w14:textId="77777777" w:rsidR="005B36AA" w:rsidRPr="005060E6" w:rsidRDefault="005B36AA" w:rsidP="005B36AA">
            <w:pPr>
              <w:pStyle w:val="TableRowHead"/>
              <w:rPr>
                <w:b/>
              </w:rPr>
            </w:pPr>
            <w:r w:rsidRPr="00D750D5">
              <w:rPr>
                <w:b/>
              </w:rPr>
              <w:t>Weighted average number of Ordinary Shares for diluted earnings per share</w:t>
            </w:r>
          </w:p>
        </w:tc>
        <w:tc>
          <w:tcPr>
            <w:tcW w:w="1277" w:type="dxa"/>
            <w:tcBorders>
              <w:top w:val="single" w:sz="4" w:space="0" w:color="auto"/>
              <w:bottom w:val="single" w:sz="8" w:space="0" w:color="auto"/>
            </w:tcBorders>
            <w:vAlign w:val="bottom"/>
          </w:tcPr>
          <w:p w14:paraId="0455F9C0" w14:textId="71C671E1" w:rsidR="005B36AA" w:rsidRPr="00E111F7" w:rsidRDefault="00660EC8" w:rsidP="005B36AA">
            <w:pPr>
              <w:pStyle w:val="Subtitle"/>
            </w:pPr>
            <w:r>
              <w:t>445,064</w:t>
            </w:r>
          </w:p>
        </w:tc>
        <w:tc>
          <w:tcPr>
            <w:tcW w:w="1134" w:type="dxa"/>
            <w:tcBorders>
              <w:top w:val="single" w:sz="4" w:space="0" w:color="auto"/>
              <w:bottom w:val="single" w:sz="8" w:space="0" w:color="auto"/>
            </w:tcBorders>
            <w:vAlign w:val="bottom"/>
          </w:tcPr>
          <w:p w14:paraId="715AF3C5" w14:textId="77777777" w:rsidR="005B36AA" w:rsidRPr="003B72E1" w:rsidRDefault="005B36AA" w:rsidP="005B36AA">
            <w:pPr>
              <w:pStyle w:val="Subtitle"/>
              <w:rPr>
                <w:b w:val="0"/>
              </w:rPr>
            </w:pPr>
            <w:r w:rsidRPr="003B72E1">
              <w:rPr>
                <w:b w:val="0"/>
              </w:rPr>
              <w:t>533,558</w:t>
            </w:r>
          </w:p>
        </w:tc>
      </w:tr>
    </w:tbl>
    <w:p w14:paraId="37BB0653" w14:textId="77777777" w:rsidR="005B36AA" w:rsidRDefault="005B36AA" w:rsidP="005B36AA">
      <w:pPr>
        <w:pStyle w:val="BodyText"/>
      </w:pPr>
    </w:p>
    <w:p w14:paraId="1CEE61BD" w14:textId="77777777" w:rsidR="005B36AA" w:rsidRDefault="005B36AA" w:rsidP="005B36AA">
      <w:pPr>
        <w:pStyle w:val="BodyText"/>
      </w:pPr>
      <w:r>
        <w:rPr>
          <w:b/>
        </w:rPr>
        <w:t>Earnings Per Share Calculations</w:t>
      </w:r>
    </w:p>
    <w:tbl>
      <w:tblPr>
        <w:tblW w:w="10348" w:type="dxa"/>
        <w:tblLayout w:type="fixed"/>
        <w:tblLook w:val="01E0" w:firstRow="1" w:lastRow="1" w:firstColumn="1" w:lastColumn="1" w:noHBand="0" w:noVBand="0"/>
      </w:tblPr>
      <w:tblGrid>
        <w:gridCol w:w="3855"/>
        <w:gridCol w:w="1247"/>
        <w:gridCol w:w="1247"/>
        <w:gridCol w:w="739"/>
        <w:gridCol w:w="1189"/>
        <w:gridCol w:w="1247"/>
        <w:gridCol w:w="824"/>
      </w:tblGrid>
      <w:tr w:rsidR="005B36AA" w14:paraId="4F71A8DC" w14:textId="77777777" w:rsidTr="005B36AA">
        <w:trPr>
          <w:trHeight w:val="227"/>
        </w:trPr>
        <w:tc>
          <w:tcPr>
            <w:tcW w:w="3855" w:type="dxa"/>
          </w:tcPr>
          <w:p w14:paraId="0028635C" w14:textId="77777777" w:rsidR="005B36AA" w:rsidRDefault="005B36AA" w:rsidP="005B36AA">
            <w:pPr>
              <w:pStyle w:val="TableRowHead"/>
            </w:pPr>
          </w:p>
        </w:tc>
        <w:tc>
          <w:tcPr>
            <w:tcW w:w="3233" w:type="dxa"/>
            <w:gridSpan w:val="3"/>
            <w:vAlign w:val="bottom"/>
          </w:tcPr>
          <w:p w14:paraId="28786FC7" w14:textId="77777777" w:rsidR="005B36AA" w:rsidRDefault="005B36AA" w:rsidP="005B36AA">
            <w:pPr>
              <w:pStyle w:val="Subtitle"/>
            </w:pPr>
          </w:p>
        </w:tc>
        <w:tc>
          <w:tcPr>
            <w:tcW w:w="3260" w:type="dxa"/>
            <w:gridSpan w:val="3"/>
            <w:vAlign w:val="bottom"/>
          </w:tcPr>
          <w:p w14:paraId="2F64F758" w14:textId="77777777" w:rsidR="005B36AA" w:rsidRDefault="005B36AA" w:rsidP="005B36AA">
            <w:pPr>
              <w:pStyle w:val="Subtitle"/>
              <w:rPr>
                <w:b w:val="0"/>
              </w:rPr>
            </w:pPr>
          </w:p>
        </w:tc>
      </w:tr>
      <w:tr w:rsidR="005B36AA" w14:paraId="036B7810" w14:textId="77777777" w:rsidTr="005B36AA">
        <w:trPr>
          <w:trHeight w:val="227"/>
        </w:trPr>
        <w:tc>
          <w:tcPr>
            <w:tcW w:w="3855" w:type="dxa"/>
          </w:tcPr>
          <w:p w14:paraId="5667DB1C" w14:textId="77777777" w:rsidR="005B36AA" w:rsidRDefault="005B36AA" w:rsidP="005B36AA">
            <w:pPr>
              <w:pStyle w:val="TableRowHead"/>
            </w:pPr>
            <w:bookmarkStart w:id="2" w:name="_Hlk23763773"/>
          </w:p>
        </w:tc>
        <w:tc>
          <w:tcPr>
            <w:tcW w:w="3233" w:type="dxa"/>
            <w:gridSpan w:val="3"/>
            <w:vAlign w:val="bottom"/>
          </w:tcPr>
          <w:p w14:paraId="694D9D2E" w14:textId="77777777" w:rsidR="005B36AA" w:rsidRPr="0099221E" w:rsidRDefault="005B36AA" w:rsidP="005B36AA">
            <w:pPr>
              <w:pStyle w:val="Subtitle"/>
              <w:jc w:val="center"/>
            </w:pPr>
            <w:r>
              <w:t>2020</w:t>
            </w:r>
          </w:p>
        </w:tc>
        <w:tc>
          <w:tcPr>
            <w:tcW w:w="3260" w:type="dxa"/>
            <w:gridSpan w:val="3"/>
            <w:vAlign w:val="bottom"/>
          </w:tcPr>
          <w:p w14:paraId="6193F002" w14:textId="77777777" w:rsidR="005B36AA" w:rsidRPr="0099221E" w:rsidRDefault="005B36AA" w:rsidP="005B36AA">
            <w:pPr>
              <w:pStyle w:val="Subtitle"/>
              <w:jc w:val="center"/>
              <w:rPr>
                <w:b w:val="0"/>
              </w:rPr>
            </w:pPr>
            <w:r>
              <w:rPr>
                <w:b w:val="0"/>
              </w:rPr>
              <w:t>2019</w:t>
            </w:r>
          </w:p>
        </w:tc>
      </w:tr>
      <w:tr w:rsidR="005B36AA" w14:paraId="5734CD3E" w14:textId="77777777" w:rsidTr="005B36AA">
        <w:trPr>
          <w:trHeight w:val="227"/>
        </w:trPr>
        <w:tc>
          <w:tcPr>
            <w:tcW w:w="3855" w:type="dxa"/>
            <w:tcBorders>
              <w:bottom w:val="single" w:sz="4" w:space="0" w:color="000000"/>
            </w:tcBorders>
          </w:tcPr>
          <w:p w14:paraId="4CE9B08A" w14:textId="77777777" w:rsidR="005B36AA" w:rsidRDefault="005B36AA" w:rsidP="005B36AA">
            <w:pPr>
              <w:pStyle w:val="TableRowHead"/>
            </w:pPr>
          </w:p>
        </w:tc>
        <w:tc>
          <w:tcPr>
            <w:tcW w:w="1247" w:type="dxa"/>
            <w:tcBorders>
              <w:bottom w:val="single" w:sz="4" w:space="0" w:color="000000"/>
            </w:tcBorders>
            <w:vAlign w:val="bottom"/>
          </w:tcPr>
          <w:p w14:paraId="3C2676D9" w14:textId="77777777" w:rsidR="005B36AA" w:rsidRPr="0099221E" w:rsidRDefault="005B36AA" w:rsidP="005B36AA">
            <w:pPr>
              <w:pStyle w:val="Subtitle"/>
            </w:pPr>
            <w:r>
              <w:t>Continuing operations</w:t>
            </w:r>
            <w:r>
              <w:br/>
              <w:t>pence</w:t>
            </w:r>
          </w:p>
        </w:tc>
        <w:tc>
          <w:tcPr>
            <w:tcW w:w="1247" w:type="dxa"/>
            <w:tcBorders>
              <w:bottom w:val="single" w:sz="4" w:space="0" w:color="000000"/>
            </w:tcBorders>
            <w:vAlign w:val="bottom"/>
          </w:tcPr>
          <w:p w14:paraId="2AAA3F12" w14:textId="77777777" w:rsidR="005B36AA" w:rsidRPr="0099221E" w:rsidRDefault="005B36AA" w:rsidP="005B36AA">
            <w:pPr>
              <w:pStyle w:val="Subtitle"/>
            </w:pPr>
            <w:r w:rsidRPr="0099221E">
              <w:t>Discontinued operations</w:t>
            </w:r>
            <w:r w:rsidRPr="0099221E">
              <w:br/>
              <w:t>pence</w:t>
            </w:r>
          </w:p>
        </w:tc>
        <w:tc>
          <w:tcPr>
            <w:tcW w:w="739" w:type="dxa"/>
            <w:tcBorders>
              <w:bottom w:val="single" w:sz="4" w:space="0" w:color="000000"/>
            </w:tcBorders>
            <w:vAlign w:val="bottom"/>
          </w:tcPr>
          <w:p w14:paraId="60426004" w14:textId="77777777" w:rsidR="005B36AA" w:rsidRPr="0099221E" w:rsidRDefault="005B36AA" w:rsidP="005B36AA">
            <w:pPr>
              <w:pStyle w:val="Subtitle"/>
            </w:pPr>
            <w:r w:rsidRPr="0099221E">
              <w:t>Total</w:t>
            </w:r>
            <w:r w:rsidRPr="0099221E">
              <w:br/>
              <w:t>pence</w:t>
            </w:r>
          </w:p>
        </w:tc>
        <w:tc>
          <w:tcPr>
            <w:tcW w:w="1189" w:type="dxa"/>
            <w:tcBorders>
              <w:bottom w:val="single" w:sz="4" w:space="0" w:color="000000"/>
            </w:tcBorders>
            <w:vAlign w:val="bottom"/>
          </w:tcPr>
          <w:p w14:paraId="6D6A686B" w14:textId="77777777" w:rsidR="005B36AA" w:rsidRPr="0099221E" w:rsidRDefault="005B36AA" w:rsidP="005B36AA">
            <w:pPr>
              <w:pStyle w:val="Subtitle"/>
              <w:rPr>
                <w:b w:val="0"/>
              </w:rPr>
            </w:pPr>
            <w:r w:rsidRPr="0099221E">
              <w:rPr>
                <w:b w:val="0"/>
              </w:rPr>
              <w:t>Continuing operations</w:t>
            </w:r>
            <w:r w:rsidRPr="0099221E">
              <w:rPr>
                <w:b w:val="0"/>
              </w:rPr>
              <w:br/>
              <w:t>pence</w:t>
            </w:r>
          </w:p>
        </w:tc>
        <w:tc>
          <w:tcPr>
            <w:tcW w:w="1247" w:type="dxa"/>
            <w:tcBorders>
              <w:bottom w:val="single" w:sz="4" w:space="0" w:color="000000"/>
            </w:tcBorders>
            <w:vAlign w:val="bottom"/>
          </w:tcPr>
          <w:p w14:paraId="2634D173" w14:textId="77777777" w:rsidR="005B36AA" w:rsidRPr="0099221E" w:rsidRDefault="005B36AA" w:rsidP="005B36AA">
            <w:pPr>
              <w:pStyle w:val="Subtitle"/>
              <w:rPr>
                <w:b w:val="0"/>
              </w:rPr>
            </w:pPr>
            <w:r w:rsidRPr="0099221E">
              <w:rPr>
                <w:b w:val="0"/>
              </w:rPr>
              <w:t>Discontinued operations</w:t>
            </w:r>
            <w:r w:rsidRPr="0099221E">
              <w:rPr>
                <w:b w:val="0"/>
              </w:rPr>
              <w:br/>
              <w:t>pence</w:t>
            </w:r>
          </w:p>
        </w:tc>
        <w:tc>
          <w:tcPr>
            <w:tcW w:w="824" w:type="dxa"/>
            <w:tcBorders>
              <w:bottom w:val="single" w:sz="4" w:space="0" w:color="000000"/>
            </w:tcBorders>
            <w:vAlign w:val="bottom"/>
          </w:tcPr>
          <w:p w14:paraId="5353F6ED" w14:textId="77777777" w:rsidR="005B36AA" w:rsidRPr="0099221E" w:rsidRDefault="005B36AA" w:rsidP="005B36AA">
            <w:pPr>
              <w:pStyle w:val="Subtitle"/>
              <w:rPr>
                <w:b w:val="0"/>
              </w:rPr>
            </w:pPr>
            <w:r w:rsidRPr="0099221E">
              <w:rPr>
                <w:b w:val="0"/>
              </w:rPr>
              <w:t>Total</w:t>
            </w:r>
            <w:r w:rsidRPr="0099221E">
              <w:rPr>
                <w:b w:val="0"/>
              </w:rPr>
              <w:br/>
              <w:t>pence</w:t>
            </w:r>
          </w:p>
        </w:tc>
      </w:tr>
      <w:tr w:rsidR="005B36AA" w14:paraId="15513B8E" w14:textId="77777777" w:rsidTr="005B36AA">
        <w:trPr>
          <w:trHeight w:val="227"/>
        </w:trPr>
        <w:tc>
          <w:tcPr>
            <w:tcW w:w="3855" w:type="dxa"/>
            <w:tcBorders>
              <w:top w:val="single" w:sz="4" w:space="0" w:color="000000"/>
              <w:bottom w:val="single" w:sz="8" w:space="0" w:color="auto"/>
            </w:tcBorders>
          </w:tcPr>
          <w:p w14:paraId="1FB2B9FD" w14:textId="77777777" w:rsidR="005B36AA" w:rsidRPr="001F38AB" w:rsidRDefault="005B36AA" w:rsidP="005B36AA">
            <w:pPr>
              <w:pStyle w:val="TableRowHead"/>
              <w:rPr>
                <w:b/>
              </w:rPr>
            </w:pPr>
            <w:r w:rsidRPr="001F38AB">
              <w:rPr>
                <w:b/>
              </w:rPr>
              <w:t>Basic earnings per Ordinary Share</w:t>
            </w:r>
          </w:p>
        </w:tc>
        <w:tc>
          <w:tcPr>
            <w:tcW w:w="1247" w:type="dxa"/>
            <w:tcBorders>
              <w:top w:val="single" w:sz="4" w:space="0" w:color="000000"/>
              <w:bottom w:val="single" w:sz="8" w:space="0" w:color="auto"/>
            </w:tcBorders>
            <w:vAlign w:val="bottom"/>
          </w:tcPr>
          <w:p w14:paraId="2695D90E" w14:textId="77777777" w:rsidR="005B36AA" w:rsidRPr="0099221E" w:rsidRDefault="005B36AA" w:rsidP="005B36AA">
            <w:pPr>
              <w:pStyle w:val="Subtitle"/>
            </w:pPr>
            <w:r>
              <w:t>(2.6)</w:t>
            </w:r>
          </w:p>
        </w:tc>
        <w:tc>
          <w:tcPr>
            <w:tcW w:w="1247" w:type="dxa"/>
            <w:tcBorders>
              <w:top w:val="single" w:sz="4" w:space="0" w:color="000000"/>
              <w:bottom w:val="single" w:sz="8" w:space="0" w:color="auto"/>
            </w:tcBorders>
            <w:vAlign w:val="bottom"/>
          </w:tcPr>
          <w:p w14:paraId="5DB4C620" w14:textId="650BC8D6" w:rsidR="005B36AA" w:rsidRPr="000A154E" w:rsidRDefault="00292A98" w:rsidP="005B36AA">
            <w:pPr>
              <w:pStyle w:val="Subtitle"/>
            </w:pPr>
            <w:r w:rsidRPr="000A154E">
              <w:t>–</w:t>
            </w:r>
          </w:p>
        </w:tc>
        <w:tc>
          <w:tcPr>
            <w:tcW w:w="739" w:type="dxa"/>
            <w:tcBorders>
              <w:top w:val="single" w:sz="4" w:space="0" w:color="000000"/>
              <w:bottom w:val="single" w:sz="8" w:space="0" w:color="auto"/>
            </w:tcBorders>
            <w:vAlign w:val="bottom"/>
          </w:tcPr>
          <w:p w14:paraId="7B21A3DF" w14:textId="77777777" w:rsidR="005B36AA" w:rsidRPr="0099221E" w:rsidRDefault="005B36AA" w:rsidP="005B36AA">
            <w:pPr>
              <w:pStyle w:val="Subtitle"/>
            </w:pPr>
            <w:r>
              <w:t>(2.6)</w:t>
            </w:r>
          </w:p>
        </w:tc>
        <w:tc>
          <w:tcPr>
            <w:tcW w:w="1189" w:type="dxa"/>
            <w:tcBorders>
              <w:top w:val="single" w:sz="4" w:space="0" w:color="000000"/>
              <w:bottom w:val="single" w:sz="8" w:space="0" w:color="auto"/>
            </w:tcBorders>
            <w:vAlign w:val="bottom"/>
          </w:tcPr>
          <w:p w14:paraId="54989194" w14:textId="77777777" w:rsidR="005B36AA" w:rsidRPr="003B72E1" w:rsidRDefault="005B36AA" w:rsidP="005B36AA">
            <w:pPr>
              <w:pStyle w:val="Subtitle"/>
              <w:rPr>
                <w:b w:val="0"/>
              </w:rPr>
            </w:pPr>
            <w:r w:rsidRPr="003B72E1">
              <w:rPr>
                <w:b w:val="0"/>
              </w:rPr>
              <w:t>7.7</w:t>
            </w:r>
          </w:p>
        </w:tc>
        <w:tc>
          <w:tcPr>
            <w:tcW w:w="1247" w:type="dxa"/>
            <w:tcBorders>
              <w:top w:val="single" w:sz="4" w:space="0" w:color="000000"/>
              <w:bottom w:val="single" w:sz="8" w:space="0" w:color="auto"/>
            </w:tcBorders>
            <w:vAlign w:val="bottom"/>
          </w:tcPr>
          <w:p w14:paraId="7C15C66F" w14:textId="77777777" w:rsidR="005B36AA" w:rsidRPr="003B72E1" w:rsidRDefault="005B36AA" w:rsidP="005B36AA">
            <w:pPr>
              <w:pStyle w:val="Subtitle"/>
              <w:rPr>
                <w:b w:val="0"/>
              </w:rPr>
            </w:pPr>
            <w:r w:rsidRPr="003B72E1">
              <w:rPr>
                <w:b w:val="0"/>
              </w:rPr>
              <w:t>12.2</w:t>
            </w:r>
          </w:p>
        </w:tc>
        <w:tc>
          <w:tcPr>
            <w:tcW w:w="824" w:type="dxa"/>
            <w:tcBorders>
              <w:top w:val="single" w:sz="4" w:space="0" w:color="000000"/>
              <w:bottom w:val="single" w:sz="8" w:space="0" w:color="auto"/>
            </w:tcBorders>
            <w:vAlign w:val="bottom"/>
          </w:tcPr>
          <w:p w14:paraId="6A6A9133" w14:textId="77777777" w:rsidR="005B36AA" w:rsidRPr="003B72E1" w:rsidRDefault="005B36AA" w:rsidP="005B36AA">
            <w:pPr>
              <w:pStyle w:val="Subtitle"/>
              <w:rPr>
                <w:b w:val="0"/>
              </w:rPr>
            </w:pPr>
            <w:r w:rsidRPr="003B72E1">
              <w:rPr>
                <w:b w:val="0"/>
              </w:rPr>
              <w:t>19.9</w:t>
            </w:r>
          </w:p>
        </w:tc>
      </w:tr>
      <w:bookmarkEnd w:id="2"/>
      <w:tr w:rsidR="005B36AA" w:rsidRPr="00D57337" w14:paraId="32814025" w14:textId="77777777" w:rsidTr="005B36AA">
        <w:trPr>
          <w:trHeight w:val="80"/>
        </w:trPr>
        <w:tc>
          <w:tcPr>
            <w:tcW w:w="3855" w:type="dxa"/>
          </w:tcPr>
          <w:p w14:paraId="68666AE2" w14:textId="77777777" w:rsidR="005B36AA" w:rsidRPr="00D57337" w:rsidRDefault="005B36AA" w:rsidP="005B36AA">
            <w:pPr>
              <w:widowControl/>
              <w:autoSpaceDE/>
              <w:autoSpaceDN/>
              <w:rPr>
                <w:rFonts w:asciiTheme="minorHAnsi" w:eastAsiaTheme="minorHAnsi" w:hAnsiTheme="minorHAnsi" w:cstheme="minorBidi"/>
                <w:sz w:val="18"/>
                <w:szCs w:val="18"/>
                <w:lang w:eastAsia="en-US" w:bidi="ar-SA"/>
              </w:rPr>
            </w:pPr>
          </w:p>
        </w:tc>
        <w:tc>
          <w:tcPr>
            <w:tcW w:w="3233" w:type="dxa"/>
            <w:gridSpan w:val="3"/>
            <w:vAlign w:val="bottom"/>
          </w:tcPr>
          <w:p w14:paraId="3C1F5810" w14:textId="77777777" w:rsidR="005B36AA" w:rsidRPr="00D57337" w:rsidRDefault="005B36AA" w:rsidP="005B36AA">
            <w:pPr>
              <w:widowControl/>
              <w:autoSpaceDE/>
              <w:autoSpaceDN/>
              <w:jc w:val="right"/>
              <w:rPr>
                <w:rFonts w:asciiTheme="minorHAnsi" w:eastAsiaTheme="minorHAnsi" w:hAnsiTheme="minorHAnsi" w:cstheme="minorBidi"/>
                <w:b/>
                <w:sz w:val="18"/>
                <w:szCs w:val="18"/>
                <w:lang w:eastAsia="en-US" w:bidi="ar-SA"/>
              </w:rPr>
            </w:pPr>
          </w:p>
        </w:tc>
        <w:tc>
          <w:tcPr>
            <w:tcW w:w="3260" w:type="dxa"/>
            <w:gridSpan w:val="3"/>
            <w:vAlign w:val="bottom"/>
          </w:tcPr>
          <w:p w14:paraId="1982303C" w14:textId="77777777" w:rsidR="005B36AA" w:rsidRPr="00D57337" w:rsidRDefault="005B36AA" w:rsidP="005B36AA">
            <w:pPr>
              <w:widowControl/>
              <w:autoSpaceDE/>
              <w:autoSpaceDN/>
              <w:jc w:val="right"/>
              <w:rPr>
                <w:rFonts w:asciiTheme="minorHAnsi" w:eastAsiaTheme="minorHAnsi" w:hAnsiTheme="minorHAnsi" w:cstheme="minorBidi"/>
                <w:sz w:val="18"/>
                <w:szCs w:val="18"/>
                <w:lang w:eastAsia="en-US" w:bidi="ar-SA"/>
              </w:rPr>
            </w:pPr>
          </w:p>
        </w:tc>
      </w:tr>
      <w:tr w:rsidR="005B36AA" w:rsidRPr="00D57337" w14:paraId="662B9627" w14:textId="77777777" w:rsidTr="005B36AA">
        <w:trPr>
          <w:trHeight w:val="227"/>
        </w:trPr>
        <w:tc>
          <w:tcPr>
            <w:tcW w:w="3855" w:type="dxa"/>
            <w:tcBorders>
              <w:top w:val="single" w:sz="4" w:space="0" w:color="000000"/>
              <w:bottom w:val="single" w:sz="8" w:space="0" w:color="auto"/>
            </w:tcBorders>
          </w:tcPr>
          <w:p w14:paraId="238696D2" w14:textId="77777777" w:rsidR="005B36AA" w:rsidRPr="00D57337" w:rsidRDefault="005B36AA" w:rsidP="005B36AA">
            <w:pPr>
              <w:widowControl/>
              <w:autoSpaceDE/>
              <w:autoSpaceDN/>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Diluted</w:t>
            </w:r>
            <w:r w:rsidRPr="00D57337">
              <w:rPr>
                <w:rFonts w:asciiTheme="minorHAnsi" w:eastAsiaTheme="minorHAnsi" w:hAnsiTheme="minorHAnsi" w:cstheme="minorBidi"/>
                <w:b/>
                <w:sz w:val="18"/>
                <w:szCs w:val="18"/>
                <w:lang w:eastAsia="en-US" w:bidi="ar-SA"/>
              </w:rPr>
              <w:t xml:space="preserve"> earnings per Ordinary Share</w:t>
            </w:r>
          </w:p>
        </w:tc>
        <w:tc>
          <w:tcPr>
            <w:tcW w:w="1247" w:type="dxa"/>
            <w:tcBorders>
              <w:top w:val="single" w:sz="4" w:space="0" w:color="000000"/>
              <w:bottom w:val="single" w:sz="8" w:space="0" w:color="auto"/>
            </w:tcBorders>
            <w:vAlign w:val="bottom"/>
          </w:tcPr>
          <w:p w14:paraId="7D54C5C9" w14:textId="77777777" w:rsidR="005B36AA" w:rsidRPr="00CB42AB" w:rsidRDefault="005B36AA" w:rsidP="005B36AA">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(2.6)</w:t>
            </w:r>
          </w:p>
        </w:tc>
        <w:tc>
          <w:tcPr>
            <w:tcW w:w="1247" w:type="dxa"/>
            <w:tcBorders>
              <w:top w:val="single" w:sz="4" w:space="0" w:color="000000"/>
              <w:bottom w:val="single" w:sz="8" w:space="0" w:color="auto"/>
            </w:tcBorders>
            <w:vAlign w:val="bottom"/>
          </w:tcPr>
          <w:p w14:paraId="3834A582" w14:textId="10249C93" w:rsidR="005B36AA" w:rsidRPr="005771B0" w:rsidRDefault="00292A98" w:rsidP="005B36AA">
            <w:pPr>
              <w:widowControl/>
              <w:autoSpaceDE/>
              <w:autoSpaceDN/>
              <w:jc w:val="right"/>
              <w:rPr>
                <w:rFonts w:asciiTheme="minorHAnsi" w:eastAsiaTheme="minorHAnsi" w:hAnsiTheme="minorHAnsi" w:cstheme="minorBidi"/>
                <w:b/>
                <w:sz w:val="18"/>
                <w:szCs w:val="18"/>
                <w:lang w:eastAsia="en-US" w:bidi="ar-SA"/>
              </w:rPr>
            </w:pPr>
            <w:r w:rsidRPr="005771B0">
              <w:rPr>
                <w:b/>
              </w:rPr>
              <w:t>–</w:t>
            </w:r>
          </w:p>
        </w:tc>
        <w:tc>
          <w:tcPr>
            <w:tcW w:w="739" w:type="dxa"/>
            <w:tcBorders>
              <w:top w:val="single" w:sz="4" w:space="0" w:color="000000"/>
              <w:bottom w:val="single" w:sz="8" w:space="0" w:color="auto"/>
            </w:tcBorders>
            <w:vAlign w:val="bottom"/>
          </w:tcPr>
          <w:p w14:paraId="56BE3EDF" w14:textId="77777777" w:rsidR="005B36AA" w:rsidRPr="00CB42AB" w:rsidRDefault="005B36AA" w:rsidP="005B36AA">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w:t>
            </w:r>
            <w:r w:rsidRPr="00EA530A">
              <w:rPr>
                <w:rFonts w:asciiTheme="minorHAnsi" w:eastAsiaTheme="minorHAnsi" w:hAnsiTheme="minorHAnsi" w:cstheme="minorBidi"/>
                <w:b/>
                <w:sz w:val="18"/>
                <w:szCs w:val="18"/>
                <w:lang w:eastAsia="en-US" w:bidi="ar-SA"/>
              </w:rPr>
              <w:t>2.</w:t>
            </w:r>
            <w:r>
              <w:rPr>
                <w:rFonts w:asciiTheme="minorHAnsi" w:eastAsiaTheme="minorHAnsi" w:hAnsiTheme="minorHAnsi" w:cstheme="minorBidi"/>
                <w:b/>
                <w:sz w:val="18"/>
                <w:szCs w:val="18"/>
                <w:lang w:eastAsia="en-US" w:bidi="ar-SA"/>
              </w:rPr>
              <w:t>6)</w:t>
            </w:r>
          </w:p>
        </w:tc>
        <w:tc>
          <w:tcPr>
            <w:tcW w:w="1189" w:type="dxa"/>
            <w:tcBorders>
              <w:top w:val="single" w:sz="4" w:space="0" w:color="000000"/>
              <w:bottom w:val="single" w:sz="8" w:space="0" w:color="auto"/>
            </w:tcBorders>
            <w:vAlign w:val="bottom"/>
          </w:tcPr>
          <w:p w14:paraId="5B7ED843"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7.7</w:t>
            </w:r>
          </w:p>
        </w:tc>
        <w:tc>
          <w:tcPr>
            <w:tcW w:w="1247" w:type="dxa"/>
            <w:tcBorders>
              <w:top w:val="single" w:sz="4" w:space="0" w:color="000000"/>
              <w:bottom w:val="single" w:sz="8" w:space="0" w:color="auto"/>
            </w:tcBorders>
            <w:vAlign w:val="bottom"/>
          </w:tcPr>
          <w:p w14:paraId="2C3B67B8"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12.2</w:t>
            </w:r>
          </w:p>
        </w:tc>
        <w:tc>
          <w:tcPr>
            <w:tcW w:w="824" w:type="dxa"/>
            <w:tcBorders>
              <w:top w:val="single" w:sz="4" w:space="0" w:color="000000"/>
              <w:bottom w:val="single" w:sz="8" w:space="0" w:color="auto"/>
            </w:tcBorders>
            <w:vAlign w:val="bottom"/>
          </w:tcPr>
          <w:p w14:paraId="7E06CE77"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19.9</w:t>
            </w:r>
          </w:p>
        </w:tc>
      </w:tr>
    </w:tbl>
    <w:p w14:paraId="312C37CD" w14:textId="77777777" w:rsidR="005B36AA" w:rsidRDefault="005B36AA" w:rsidP="005B36AA">
      <w:pPr>
        <w:pStyle w:val="BodyText"/>
      </w:pPr>
    </w:p>
    <w:p w14:paraId="086580F4" w14:textId="77777777" w:rsidR="005B36AA" w:rsidRDefault="005B36AA" w:rsidP="005B36AA">
      <w:pPr>
        <w:pStyle w:val="BodyText"/>
      </w:pPr>
    </w:p>
    <w:p w14:paraId="56C4BB50" w14:textId="77777777" w:rsidR="005B36AA" w:rsidRDefault="005B36AA" w:rsidP="005B36AA">
      <w:pPr>
        <w:pStyle w:val="Heading2"/>
        <w:numPr>
          <w:ilvl w:val="0"/>
          <w:numId w:val="32"/>
        </w:numPr>
      </w:pPr>
      <w:r>
        <w:t xml:space="preserve">Borrowings </w:t>
      </w: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1134"/>
        <w:gridCol w:w="1177"/>
        <w:gridCol w:w="1131"/>
        <w:gridCol w:w="990"/>
      </w:tblGrid>
      <w:tr w:rsidR="00F20196" w14:paraId="61793CBF" w14:textId="77777777" w:rsidTr="00657DE0">
        <w:trPr>
          <w:trHeight w:val="211"/>
          <w:jc w:val="center"/>
        </w:trPr>
        <w:tc>
          <w:tcPr>
            <w:tcW w:w="5954" w:type="dxa"/>
            <w:vAlign w:val="bottom"/>
          </w:tcPr>
          <w:p w14:paraId="0F96A481" w14:textId="77777777" w:rsidR="00F20196" w:rsidRPr="006D1798" w:rsidRDefault="00F20196" w:rsidP="005B36AA">
            <w:pPr>
              <w:pStyle w:val="T2"/>
              <w:jc w:val="left"/>
            </w:pPr>
          </w:p>
        </w:tc>
        <w:tc>
          <w:tcPr>
            <w:tcW w:w="3402" w:type="dxa"/>
            <w:gridSpan w:val="3"/>
          </w:tcPr>
          <w:p w14:paraId="4A009995" w14:textId="4083A152" w:rsidR="00F20196" w:rsidDel="00446715" w:rsidRDefault="00F20196" w:rsidP="005771B0">
            <w:pPr>
              <w:pStyle w:val="T2"/>
              <w:jc w:val="center"/>
              <w:rPr>
                <w:b/>
              </w:rPr>
            </w:pPr>
            <w:r>
              <w:rPr>
                <w:b/>
              </w:rPr>
              <w:t>2020</w:t>
            </w:r>
          </w:p>
        </w:tc>
        <w:tc>
          <w:tcPr>
            <w:tcW w:w="992" w:type="dxa"/>
          </w:tcPr>
          <w:p w14:paraId="1410BEED" w14:textId="14D0A67A" w:rsidR="00F20196" w:rsidRDefault="00F20196" w:rsidP="005B36AA">
            <w:pPr>
              <w:pStyle w:val="T2"/>
            </w:pPr>
            <w:r>
              <w:t>2019</w:t>
            </w:r>
          </w:p>
        </w:tc>
      </w:tr>
      <w:tr w:rsidR="001C457E" w14:paraId="242DBD70" w14:textId="77777777" w:rsidTr="005771B0">
        <w:trPr>
          <w:trHeight w:val="211"/>
          <w:jc w:val="center"/>
        </w:trPr>
        <w:tc>
          <w:tcPr>
            <w:tcW w:w="5954" w:type="dxa"/>
            <w:vAlign w:val="bottom"/>
          </w:tcPr>
          <w:p w14:paraId="17A15874" w14:textId="77777777" w:rsidR="001C457E" w:rsidRPr="006D1798" w:rsidRDefault="001C457E" w:rsidP="005B36AA">
            <w:pPr>
              <w:pStyle w:val="T2"/>
              <w:jc w:val="left"/>
            </w:pPr>
          </w:p>
        </w:tc>
        <w:tc>
          <w:tcPr>
            <w:tcW w:w="1134" w:type="dxa"/>
          </w:tcPr>
          <w:p w14:paraId="51AE82BF" w14:textId="34B2C6AC" w:rsidR="001C457E" w:rsidDel="00446715" w:rsidRDefault="00F20196" w:rsidP="005B36AA">
            <w:pPr>
              <w:pStyle w:val="T2"/>
              <w:rPr>
                <w:b/>
              </w:rPr>
            </w:pPr>
            <w:r>
              <w:rPr>
                <w:b/>
              </w:rPr>
              <w:t>Principal</w:t>
            </w:r>
            <w:r w:rsidR="00292A98">
              <w:rPr>
                <w:b/>
              </w:rPr>
              <w:t xml:space="preserve"> Borrowings</w:t>
            </w:r>
            <w:r>
              <w:rPr>
                <w:b/>
              </w:rPr>
              <w:t xml:space="preserve"> </w:t>
            </w:r>
          </w:p>
        </w:tc>
        <w:tc>
          <w:tcPr>
            <w:tcW w:w="1134" w:type="dxa"/>
          </w:tcPr>
          <w:p w14:paraId="6039EAAD" w14:textId="564F4476" w:rsidR="001C457E" w:rsidDel="00446715" w:rsidRDefault="00F20196" w:rsidP="005B36AA">
            <w:pPr>
              <w:pStyle w:val="T2"/>
              <w:rPr>
                <w:b/>
              </w:rPr>
            </w:pPr>
            <w:r>
              <w:rPr>
                <w:b/>
              </w:rPr>
              <w:t>Debt Modification</w:t>
            </w:r>
          </w:p>
        </w:tc>
        <w:tc>
          <w:tcPr>
            <w:tcW w:w="1134" w:type="dxa"/>
            <w:vAlign w:val="bottom"/>
          </w:tcPr>
          <w:p w14:paraId="23CB06E0" w14:textId="67977D48" w:rsidR="001C457E" w:rsidRPr="005C7C70" w:rsidRDefault="00F20196" w:rsidP="005B36AA">
            <w:pPr>
              <w:pStyle w:val="T2"/>
              <w:rPr>
                <w:b/>
              </w:rPr>
            </w:pPr>
            <w:r>
              <w:rPr>
                <w:b/>
              </w:rPr>
              <w:t>Total</w:t>
            </w:r>
          </w:p>
        </w:tc>
        <w:tc>
          <w:tcPr>
            <w:tcW w:w="992" w:type="dxa"/>
          </w:tcPr>
          <w:p w14:paraId="5370A9C5" w14:textId="39AE10BE" w:rsidR="001C457E" w:rsidRPr="00405D63" w:rsidRDefault="00F20196" w:rsidP="005B36AA">
            <w:pPr>
              <w:pStyle w:val="T2"/>
            </w:pPr>
            <w:r>
              <w:t>Total</w:t>
            </w:r>
          </w:p>
        </w:tc>
      </w:tr>
      <w:tr w:rsidR="001C457E" w14:paraId="2C49424A" w14:textId="77777777" w:rsidTr="005771B0">
        <w:trPr>
          <w:trHeight w:val="211"/>
          <w:jc w:val="center"/>
        </w:trPr>
        <w:tc>
          <w:tcPr>
            <w:tcW w:w="5954" w:type="dxa"/>
            <w:tcBorders>
              <w:bottom w:val="single" w:sz="4" w:space="0" w:color="auto"/>
            </w:tcBorders>
            <w:vAlign w:val="bottom"/>
          </w:tcPr>
          <w:p w14:paraId="09C9477C" w14:textId="77777777" w:rsidR="001C457E" w:rsidRPr="006D1798" w:rsidRDefault="001C457E" w:rsidP="005B36AA">
            <w:pPr>
              <w:pStyle w:val="T2"/>
              <w:jc w:val="left"/>
            </w:pPr>
          </w:p>
        </w:tc>
        <w:tc>
          <w:tcPr>
            <w:tcW w:w="1134" w:type="dxa"/>
            <w:tcBorders>
              <w:bottom w:val="single" w:sz="4" w:space="0" w:color="auto"/>
            </w:tcBorders>
          </w:tcPr>
          <w:p w14:paraId="193CB12C" w14:textId="3824266B" w:rsidR="001C457E" w:rsidRPr="005C7C70" w:rsidRDefault="00F20196" w:rsidP="005B36AA">
            <w:pPr>
              <w:pStyle w:val="T2"/>
              <w:rPr>
                <w:b/>
              </w:rPr>
            </w:pPr>
            <w:r w:rsidRPr="005C7C70">
              <w:rPr>
                <w:b/>
              </w:rPr>
              <w:t>£m</w:t>
            </w:r>
          </w:p>
        </w:tc>
        <w:tc>
          <w:tcPr>
            <w:tcW w:w="1134" w:type="dxa"/>
            <w:tcBorders>
              <w:bottom w:val="single" w:sz="4" w:space="0" w:color="auto"/>
            </w:tcBorders>
          </w:tcPr>
          <w:p w14:paraId="1FCA6EE1" w14:textId="6004EDD0" w:rsidR="001C457E" w:rsidRPr="005C7C70" w:rsidRDefault="00F20196" w:rsidP="005B36AA">
            <w:pPr>
              <w:pStyle w:val="T2"/>
              <w:rPr>
                <w:b/>
              </w:rPr>
            </w:pPr>
            <w:r w:rsidRPr="005C7C70">
              <w:rPr>
                <w:b/>
              </w:rPr>
              <w:t>£m</w:t>
            </w:r>
          </w:p>
        </w:tc>
        <w:tc>
          <w:tcPr>
            <w:tcW w:w="1134" w:type="dxa"/>
            <w:tcBorders>
              <w:bottom w:val="single" w:sz="4" w:space="0" w:color="auto"/>
            </w:tcBorders>
            <w:vAlign w:val="bottom"/>
          </w:tcPr>
          <w:p w14:paraId="09C812B4" w14:textId="28ECCEE8" w:rsidR="001C457E" w:rsidRDefault="001C457E" w:rsidP="005B36AA">
            <w:pPr>
              <w:pStyle w:val="T2"/>
              <w:rPr>
                <w:b/>
              </w:rPr>
            </w:pPr>
            <w:r w:rsidRPr="005C7C70">
              <w:rPr>
                <w:b/>
              </w:rPr>
              <w:t>£m</w:t>
            </w:r>
          </w:p>
        </w:tc>
        <w:tc>
          <w:tcPr>
            <w:tcW w:w="992" w:type="dxa"/>
            <w:tcBorders>
              <w:bottom w:val="single" w:sz="4" w:space="0" w:color="auto"/>
            </w:tcBorders>
          </w:tcPr>
          <w:p w14:paraId="5B822EC6" w14:textId="77777777" w:rsidR="001C457E" w:rsidRPr="00405D63" w:rsidRDefault="001C457E" w:rsidP="005B36AA">
            <w:pPr>
              <w:pStyle w:val="T2"/>
            </w:pPr>
            <w:r w:rsidRPr="00405D63">
              <w:t>£m</w:t>
            </w:r>
          </w:p>
        </w:tc>
      </w:tr>
      <w:tr w:rsidR="00292A98" w14:paraId="42AEDE56" w14:textId="77777777" w:rsidTr="00F20196">
        <w:trPr>
          <w:trHeight w:val="211"/>
          <w:jc w:val="center"/>
        </w:trPr>
        <w:tc>
          <w:tcPr>
            <w:tcW w:w="5954" w:type="dxa"/>
            <w:tcBorders>
              <w:top w:val="single" w:sz="4" w:space="0" w:color="auto"/>
            </w:tcBorders>
            <w:vAlign w:val="bottom"/>
          </w:tcPr>
          <w:p w14:paraId="7C486475" w14:textId="45D57921" w:rsidR="00292A98" w:rsidRPr="006D1798" w:rsidRDefault="00292A98">
            <w:pPr>
              <w:pStyle w:val="T2"/>
              <w:ind w:left="176"/>
              <w:jc w:val="left"/>
            </w:pPr>
            <w:r>
              <w:t>Bank overdrafts</w:t>
            </w:r>
          </w:p>
        </w:tc>
        <w:tc>
          <w:tcPr>
            <w:tcW w:w="1134" w:type="dxa"/>
            <w:tcBorders>
              <w:top w:val="single" w:sz="4" w:space="0" w:color="auto"/>
            </w:tcBorders>
          </w:tcPr>
          <w:p w14:paraId="0042DFDB" w14:textId="497C8E9F" w:rsidR="00292A98" w:rsidRDefault="00292A98" w:rsidP="005B36AA">
            <w:pPr>
              <w:pStyle w:val="T2"/>
              <w:rPr>
                <w:b/>
                <w:bCs/>
              </w:rPr>
            </w:pPr>
            <w:r>
              <w:rPr>
                <w:b/>
                <w:bCs/>
              </w:rPr>
              <w:t>(220.0)</w:t>
            </w:r>
          </w:p>
        </w:tc>
        <w:tc>
          <w:tcPr>
            <w:tcW w:w="1134" w:type="dxa"/>
            <w:tcBorders>
              <w:top w:val="single" w:sz="4" w:space="0" w:color="auto"/>
            </w:tcBorders>
          </w:tcPr>
          <w:p w14:paraId="20929812" w14:textId="137F1722" w:rsidR="00292A98" w:rsidRDefault="00292A98" w:rsidP="005B36AA">
            <w:pPr>
              <w:pStyle w:val="T2"/>
              <w:rPr>
                <w:b/>
                <w:bCs/>
              </w:rPr>
            </w:pPr>
            <w:r w:rsidRPr="000A154E">
              <w:t>–</w:t>
            </w:r>
          </w:p>
        </w:tc>
        <w:tc>
          <w:tcPr>
            <w:tcW w:w="1134" w:type="dxa"/>
            <w:tcBorders>
              <w:top w:val="single" w:sz="4" w:space="0" w:color="auto"/>
            </w:tcBorders>
          </w:tcPr>
          <w:p w14:paraId="32E0B745" w14:textId="0DA72F5F" w:rsidR="00292A98" w:rsidRDefault="00292A98" w:rsidP="005B36AA">
            <w:pPr>
              <w:pStyle w:val="T2"/>
              <w:rPr>
                <w:b/>
                <w:bCs/>
              </w:rPr>
            </w:pPr>
            <w:r>
              <w:rPr>
                <w:b/>
                <w:bCs/>
              </w:rPr>
              <w:t>(220.0)</w:t>
            </w:r>
          </w:p>
        </w:tc>
        <w:tc>
          <w:tcPr>
            <w:tcW w:w="992" w:type="dxa"/>
            <w:tcBorders>
              <w:top w:val="single" w:sz="4" w:space="0" w:color="auto"/>
            </w:tcBorders>
          </w:tcPr>
          <w:p w14:paraId="71E393ED" w14:textId="61D115F1" w:rsidR="00292A98" w:rsidRPr="00405D63" w:rsidRDefault="00292A98" w:rsidP="005B36AA">
            <w:pPr>
              <w:pStyle w:val="T2"/>
              <w:rPr>
                <w:bCs/>
              </w:rPr>
            </w:pPr>
            <w:r>
              <w:rPr>
                <w:bCs/>
              </w:rPr>
              <w:t>(223.4)</w:t>
            </w:r>
          </w:p>
        </w:tc>
      </w:tr>
      <w:tr w:rsidR="001C457E" w14:paraId="52F38EA2" w14:textId="77777777" w:rsidTr="005771B0">
        <w:trPr>
          <w:trHeight w:val="211"/>
          <w:jc w:val="center"/>
        </w:trPr>
        <w:tc>
          <w:tcPr>
            <w:tcW w:w="5954" w:type="dxa"/>
            <w:vAlign w:val="bottom"/>
          </w:tcPr>
          <w:p w14:paraId="1180DAFD" w14:textId="77777777" w:rsidR="001C457E" w:rsidRPr="006D1798" w:rsidRDefault="001C457E" w:rsidP="005771B0">
            <w:pPr>
              <w:pStyle w:val="T2"/>
              <w:ind w:left="176"/>
              <w:jc w:val="left"/>
            </w:pPr>
            <w:r w:rsidRPr="006D1798">
              <w:t>Bank borrowings</w:t>
            </w:r>
          </w:p>
        </w:tc>
        <w:tc>
          <w:tcPr>
            <w:tcW w:w="1134" w:type="dxa"/>
          </w:tcPr>
          <w:p w14:paraId="7FE99241" w14:textId="3065D86E" w:rsidR="001C457E" w:rsidRDefault="00F20196" w:rsidP="005B36AA">
            <w:pPr>
              <w:pStyle w:val="T2"/>
              <w:rPr>
                <w:b/>
                <w:bCs/>
              </w:rPr>
            </w:pPr>
            <w:r>
              <w:rPr>
                <w:b/>
                <w:bCs/>
              </w:rPr>
              <w:t>(278.9)</w:t>
            </w:r>
          </w:p>
        </w:tc>
        <w:tc>
          <w:tcPr>
            <w:tcW w:w="1134" w:type="dxa"/>
          </w:tcPr>
          <w:p w14:paraId="5A64A7DE" w14:textId="7CEEEB86" w:rsidR="001C457E" w:rsidRDefault="00F20196" w:rsidP="005B36AA">
            <w:pPr>
              <w:pStyle w:val="T2"/>
              <w:rPr>
                <w:b/>
                <w:bCs/>
              </w:rPr>
            </w:pPr>
            <w:r>
              <w:rPr>
                <w:b/>
                <w:bCs/>
              </w:rPr>
              <w:t>(4.6)</w:t>
            </w:r>
          </w:p>
        </w:tc>
        <w:tc>
          <w:tcPr>
            <w:tcW w:w="1134" w:type="dxa"/>
          </w:tcPr>
          <w:p w14:paraId="175DE80A" w14:textId="340C63FD" w:rsidR="001C457E" w:rsidRPr="005D0EFF" w:rsidRDefault="001C457E" w:rsidP="005B36AA">
            <w:pPr>
              <w:pStyle w:val="T2"/>
              <w:rPr>
                <w:b/>
                <w:bCs/>
              </w:rPr>
            </w:pPr>
            <w:r>
              <w:rPr>
                <w:b/>
                <w:bCs/>
              </w:rPr>
              <w:t>(283.5)</w:t>
            </w:r>
          </w:p>
        </w:tc>
        <w:tc>
          <w:tcPr>
            <w:tcW w:w="992" w:type="dxa"/>
          </w:tcPr>
          <w:p w14:paraId="089B9018" w14:textId="77777777" w:rsidR="001C457E" w:rsidRPr="00405D63" w:rsidRDefault="001C457E" w:rsidP="005B36AA">
            <w:pPr>
              <w:pStyle w:val="T2"/>
              <w:rPr>
                <w:bCs/>
              </w:rPr>
            </w:pPr>
            <w:r w:rsidRPr="00405D63">
              <w:rPr>
                <w:bCs/>
              </w:rPr>
              <w:t>(213.9)</w:t>
            </w:r>
          </w:p>
        </w:tc>
      </w:tr>
      <w:tr w:rsidR="001C457E" w14:paraId="7C96ABBA" w14:textId="77777777" w:rsidTr="005771B0">
        <w:trPr>
          <w:trHeight w:val="211"/>
          <w:jc w:val="center"/>
        </w:trPr>
        <w:tc>
          <w:tcPr>
            <w:tcW w:w="5954" w:type="dxa"/>
            <w:tcBorders>
              <w:bottom w:val="single" w:sz="4" w:space="0" w:color="auto"/>
            </w:tcBorders>
            <w:vAlign w:val="bottom"/>
          </w:tcPr>
          <w:p w14:paraId="64B3B33E" w14:textId="77777777" w:rsidR="001C457E" w:rsidRPr="006D1798" w:rsidRDefault="001C457E" w:rsidP="005771B0">
            <w:pPr>
              <w:pStyle w:val="T2"/>
              <w:ind w:left="176"/>
              <w:jc w:val="left"/>
            </w:pPr>
            <w:r w:rsidRPr="006D1798">
              <w:t xml:space="preserve">Private </w:t>
            </w:r>
            <w:r>
              <w:t>p</w:t>
            </w:r>
            <w:r w:rsidRPr="006D1798">
              <w:t xml:space="preserve">lacement </w:t>
            </w:r>
            <w:r>
              <w:t>n</w:t>
            </w:r>
            <w:r w:rsidRPr="006D1798">
              <w:t>otes</w:t>
            </w:r>
          </w:p>
        </w:tc>
        <w:tc>
          <w:tcPr>
            <w:tcW w:w="1134" w:type="dxa"/>
            <w:tcBorders>
              <w:bottom w:val="single" w:sz="4" w:space="0" w:color="auto"/>
            </w:tcBorders>
          </w:tcPr>
          <w:p w14:paraId="20C42200" w14:textId="2339F8B0" w:rsidR="001C457E" w:rsidRDefault="00F20196" w:rsidP="005B36AA">
            <w:pPr>
              <w:pStyle w:val="T2"/>
              <w:rPr>
                <w:b/>
                <w:bCs/>
              </w:rPr>
            </w:pPr>
            <w:r>
              <w:rPr>
                <w:b/>
                <w:bCs/>
              </w:rPr>
              <w:t>(112.7)</w:t>
            </w:r>
          </w:p>
        </w:tc>
        <w:tc>
          <w:tcPr>
            <w:tcW w:w="1134" w:type="dxa"/>
            <w:tcBorders>
              <w:bottom w:val="single" w:sz="4" w:space="0" w:color="auto"/>
            </w:tcBorders>
          </w:tcPr>
          <w:p w14:paraId="34BAB12D" w14:textId="2DB6A8A4" w:rsidR="001C457E" w:rsidRDefault="00F20196" w:rsidP="005B36AA">
            <w:pPr>
              <w:pStyle w:val="T2"/>
              <w:rPr>
                <w:b/>
                <w:bCs/>
              </w:rPr>
            </w:pPr>
            <w:r>
              <w:rPr>
                <w:b/>
                <w:bCs/>
              </w:rPr>
              <w:t>(1.3)</w:t>
            </w:r>
          </w:p>
        </w:tc>
        <w:tc>
          <w:tcPr>
            <w:tcW w:w="1134" w:type="dxa"/>
            <w:tcBorders>
              <w:bottom w:val="single" w:sz="4" w:space="0" w:color="auto"/>
            </w:tcBorders>
          </w:tcPr>
          <w:p w14:paraId="5CF03BEC" w14:textId="6288CA03" w:rsidR="001C457E" w:rsidRPr="005D0EFF" w:rsidRDefault="001C457E" w:rsidP="005B36AA">
            <w:pPr>
              <w:pStyle w:val="T2"/>
              <w:rPr>
                <w:b/>
                <w:bCs/>
              </w:rPr>
            </w:pPr>
            <w:r>
              <w:rPr>
                <w:b/>
                <w:bCs/>
              </w:rPr>
              <w:t>(114.0)</w:t>
            </w:r>
          </w:p>
        </w:tc>
        <w:tc>
          <w:tcPr>
            <w:tcW w:w="992" w:type="dxa"/>
            <w:tcBorders>
              <w:bottom w:val="single" w:sz="4" w:space="0" w:color="auto"/>
            </w:tcBorders>
          </w:tcPr>
          <w:p w14:paraId="0737A3E1" w14:textId="77777777" w:rsidR="001C457E" w:rsidRPr="00405D63" w:rsidRDefault="001C457E" w:rsidP="005B36AA">
            <w:pPr>
              <w:pStyle w:val="T2"/>
              <w:rPr>
                <w:bCs/>
              </w:rPr>
            </w:pPr>
            <w:r w:rsidRPr="00405D63">
              <w:rPr>
                <w:bCs/>
              </w:rPr>
              <w:t>(116.2)</w:t>
            </w:r>
          </w:p>
        </w:tc>
      </w:tr>
      <w:tr w:rsidR="001C457E" w14:paraId="3504205B" w14:textId="77777777" w:rsidTr="005771B0">
        <w:trPr>
          <w:trHeight w:val="211"/>
          <w:jc w:val="center"/>
        </w:trPr>
        <w:tc>
          <w:tcPr>
            <w:tcW w:w="5954" w:type="dxa"/>
            <w:tcBorders>
              <w:top w:val="single" w:sz="4" w:space="0" w:color="auto"/>
              <w:bottom w:val="single" w:sz="8" w:space="0" w:color="auto"/>
            </w:tcBorders>
            <w:vAlign w:val="bottom"/>
          </w:tcPr>
          <w:p w14:paraId="3B46F93B" w14:textId="77777777" w:rsidR="001C457E" w:rsidRPr="0026155F" w:rsidRDefault="001C457E" w:rsidP="005771B0">
            <w:pPr>
              <w:pStyle w:val="T2"/>
              <w:ind w:left="176"/>
              <w:jc w:val="left"/>
              <w:rPr>
                <w:b/>
              </w:rPr>
            </w:pPr>
            <w:r>
              <w:rPr>
                <w:b/>
              </w:rPr>
              <w:t>Total borrowings</w:t>
            </w:r>
          </w:p>
        </w:tc>
        <w:tc>
          <w:tcPr>
            <w:tcW w:w="1134" w:type="dxa"/>
            <w:tcBorders>
              <w:top w:val="single" w:sz="4" w:space="0" w:color="auto"/>
              <w:bottom w:val="single" w:sz="8" w:space="0" w:color="auto"/>
            </w:tcBorders>
          </w:tcPr>
          <w:p w14:paraId="3A188872" w14:textId="1C41FE28" w:rsidR="001C457E" w:rsidRDefault="00F20196">
            <w:pPr>
              <w:pStyle w:val="T2"/>
              <w:rPr>
                <w:b/>
                <w:bCs/>
              </w:rPr>
            </w:pPr>
            <w:r>
              <w:rPr>
                <w:b/>
                <w:bCs/>
              </w:rPr>
              <w:t>(</w:t>
            </w:r>
            <w:r w:rsidR="00040221">
              <w:rPr>
                <w:b/>
                <w:bCs/>
              </w:rPr>
              <w:t>611.6</w:t>
            </w:r>
            <w:r>
              <w:rPr>
                <w:b/>
                <w:bCs/>
              </w:rPr>
              <w:t>)</w:t>
            </w:r>
          </w:p>
        </w:tc>
        <w:tc>
          <w:tcPr>
            <w:tcW w:w="1134" w:type="dxa"/>
            <w:tcBorders>
              <w:top w:val="single" w:sz="4" w:space="0" w:color="auto"/>
              <w:bottom w:val="single" w:sz="8" w:space="0" w:color="auto"/>
            </w:tcBorders>
          </w:tcPr>
          <w:p w14:paraId="25600476" w14:textId="1CBCD6E4" w:rsidR="001C457E" w:rsidRDefault="00F20196" w:rsidP="005B36AA">
            <w:pPr>
              <w:pStyle w:val="T2"/>
              <w:rPr>
                <w:b/>
                <w:bCs/>
              </w:rPr>
            </w:pPr>
            <w:r>
              <w:rPr>
                <w:b/>
                <w:bCs/>
              </w:rPr>
              <w:t>(5.9)</w:t>
            </w:r>
          </w:p>
        </w:tc>
        <w:tc>
          <w:tcPr>
            <w:tcW w:w="1134" w:type="dxa"/>
            <w:tcBorders>
              <w:top w:val="single" w:sz="4" w:space="0" w:color="auto"/>
              <w:bottom w:val="single" w:sz="8" w:space="0" w:color="auto"/>
            </w:tcBorders>
          </w:tcPr>
          <w:p w14:paraId="2CD40D40" w14:textId="65C51DD7" w:rsidR="001C457E" w:rsidRPr="0026155F" w:rsidRDefault="001C457E" w:rsidP="005B36AA">
            <w:pPr>
              <w:pStyle w:val="T2"/>
              <w:rPr>
                <w:b/>
                <w:bCs/>
              </w:rPr>
            </w:pPr>
            <w:r>
              <w:rPr>
                <w:b/>
                <w:bCs/>
              </w:rPr>
              <w:t>(</w:t>
            </w:r>
            <w:r w:rsidR="00040221">
              <w:rPr>
                <w:b/>
                <w:bCs/>
              </w:rPr>
              <w:t>617.5</w:t>
            </w:r>
            <w:r>
              <w:rPr>
                <w:b/>
                <w:bCs/>
              </w:rPr>
              <w:t>)</w:t>
            </w:r>
          </w:p>
        </w:tc>
        <w:tc>
          <w:tcPr>
            <w:tcW w:w="992" w:type="dxa"/>
            <w:tcBorders>
              <w:top w:val="single" w:sz="4" w:space="0" w:color="auto"/>
              <w:bottom w:val="single" w:sz="8" w:space="0" w:color="auto"/>
            </w:tcBorders>
          </w:tcPr>
          <w:p w14:paraId="5E0D084B" w14:textId="5616B29F" w:rsidR="001C457E" w:rsidRPr="001E1407" w:rsidRDefault="001C457E">
            <w:pPr>
              <w:pStyle w:val="T2"/>
              <w:rPr>
                <w:bCs/>
              </w:rPr>
            </w:pPr>
            <w:r w:rsidRPr="001E1407">
              <w:rPr>
                <w:bCs/>
              </w:rPr>
              <w:t>(</w:t>
            </w:r>
            <w:r w:rsidR="009C3C3D">
              <w:rPr>
                <w:bCs/>
              </w:rPr>
              <w:t>553.5</w:t>
            </w:r>
            <w:r w:rsidRPr="001E1407">
              <w:rPr>
                <w:bCs/>
              </w:rPr>
              <w:t>)</w:t>
            </w:r>
          </w:p>
        </w:tc>
      </w:tr>
    </w:tbl>
    <w:p w14:paraId="7A5A073D" w14:textId="77777777" w:rsidR="005B36AA" w:rsidRDefault="005B36AA" w:rsidP="005B36AA">
      <w:pPr>
        <w:pStyle w:val="Heading2"/>
        <w:numPr>
          <w:ilvl w:val="0"/>
          <w:numId w:val="0"/>
        </w:numPr>
      </w:pPr>
    </w:p>
    <w:p w14:paraId="2D43B4DD" w14:textId="3740629B" w:rsidR="00292A98" w:rsidRDefault="00292A98" w:rsidP="005B36AA">
      <w:pPr>
        <w:pStyle w:val="Paragraph"/>
        <w:spacing w:before="0" w:after="120"/>
        <w:jc w:val="both"/>
        <w:rPr>
          <w:b/>
          <w:bCs/>
        </w:rPr>
      </w:pPr>
      <w:r>
        <w:rPr>
          <w:b/>
          <w:bCs/>
        </w:rPr>
        <w:t>Bank overdrafts</w:t>
      </w:r>
    </w:p>
    <w:p w14:paraId="1E8A35D8" w14:textId="1B5417B4" w:rsidR="00292A98" w:rsidRPr="005771B0" w:rsidRDefault="00292A98" w:rsidP="005B36AA">
      <w:pPr>
        <w:pStyle w:val="Paragraph"/>
        <w:spacing w:before="0" w:after="120"/>
        <w:jc w:val="both"/>
        <w:rPr>
          <w:bCs/>
        </w:rPr>
      </w:pPr>
      <w:r w:rsidRPr="005771B0">
        <w:rPr>
          <w:bCs/>
        </w:rPr>
        <w:t>As disclosed in Note 1</w:t>
      </w:r>
      <w:r w:rsidR="00CA402A">
        <w:rPr>
          <w:bCs/>
        </w:rPr>
        <w:t xml:space="preserve">, the Group’s bank overdrafts have been restated to meet the presentational requirements for offsetting in accordance with IAS 32. Comparative information for the year ended 27 September 2019 has increased from £nil to £223.4m. This has no impact on the Group’s net assets. </w:t>
      </w:r>
    </w:p>
    <w:p w14:paraId="6AD4BA99" w14:textId="77777777" w:rsidR="005B36AA" w:rsidRDefault="005B36AA" w:rsidP="005B36AA">
      <w:pPr>
        <w:pStyle w:val="Paragraph"/>
        <w:spacing w:before="0" w:after="120"/>
        <w:jc w:val="both"/>
        <w:rPr>
          <w:b/>
          <w:bCs/>
        </w:rPr>
      </w:pPr>
      <w:r w:rsidRPr="00FD7A57">
        <w:rPr>
          <w:b/>
          <w:bCs/>
        </w:rPr>
        <w:t>Bank Borrowings</w:t>
      </w:r>
    </w:p>
    <w:p w14:paraId="7E078121" w14:textId="3FCF5EB8" w:rsidR="005B36AA" w:rsidRDefault="005B36AA" w:rsidP="005B36AA">
      <w:pPr>
        <w:pStyle w:val="Paragraph"/>
        <w:spacing w:before="0" w:after="120"/>
        <w:jc w:val="both"/>
      </w:pPr>
      <w:r>
        <w:t xml:space="preserve">The Group’s bank borrowings, net of finance fees comprised </w:t>
      </w:r>
      <w:r w:rsidRPr="007D67A1">
        <w:t>of £</w:t>
      </w:r>
      <w:r w:rsidR="00FC0728">
        <w:t>2</w:t>
      </w:r>
      <w:r w:rsidR="00F20196">
        <w:t>78.9</w:t>
      </w:r>
      <w:r w:rsidRPr="007D67A1">
        <w:t>m</w:t>
      </w:r>
      <w:r>
        <w:t xml:space="preserve"> at 25 September 2020 (September 2019: £213.9m) with maturities ranging from January 2022 to January 2025, the earliest of which is the Group’s £50m bank bilateral facility which matures in January 2022. The Group </w:t>
      </w:r>
      <w:r w:rsidRPr="007D67A1">
        <w:t>had £185</w:t>
      </w:r>
      <w:r w:rsidR="00660EC8">
        <w:t>.0</w:t>
      </w:r>
      <w:r w:rsidRPr="007D67A1">
        <w:t>m</w:t>
      </w:r>
      <w:r>
        <w:t xml:space="preserve"> (September 2019: £175</w:t>
      </w:r>
      <w:r w:rsidR="00660EC8">
        <w:t>.0</w:t>
      </w:r>
      <w:r>
        <w:t xml:space="preserve">m) of undrawn committed bank facilities in respect of which all conditions precedent had been met. Uncommitted facilities undrawn </w:t>
      </w:r>
      <w:proofErr w:type="gramStart"/>
      <w:r>
        <w:t>at</w:t>
      </w:r>
      <w:proofErr w:type="gramEnd"/>
      <w:r>
        <w:t xml:space="preserve"> 25 September 2020 amounted </w:t>
      </w:r>
      <w:r w:rsidRPr="007D67A1">
        <w:t>to £7</w:t>
      </w:r>
      <w:r w:rsidR="00660EC8">
        <w:t>.0</w:t>
      </w:r>
      <w:r w:rsidRPr="007D67A1">
        <w:t>m (September</w:t>
      </w:r>
      <w:r>
        <w:t xml:space="preserve"> 2019: £7.0m). </w:t>
      </w:r>
    </w:p>
    <w:p w14:paraId="00F1D171" w14:textId="63CC0EBB" w:rsidR="005B36AA" w:rsidRDefault="005B36AA" w:rsidP="005B36AA">
      <w:pPr>
        <w:pStyle w:val="Paragraph"/>
        <w:spacing w:before="0" w:after="120"/>
        <w:jc w:val="both"/>
        <w:rPr>
          <w:b/>
          <w:bCs/>
        </w:rPr>
      </w:pPr>
      <w:r>
        <w:t xml:space="preserve">The Group extended the maturity of its £340m committed bank facility by one year to 2025 and secured an additional £75m one year committed debt facility in March </w:t>
      </w:r>
      <w:r w:rsidRPr="00033E36">
        <w:t xml:space="preserve">2020. In November 2020 the Group extended the maturity of the £75m committed bank facility by </w:t>
      </w:r>
      <w:r w:rsidR="00BF3AE6">
        <w:t>two</w:t>
      </w:r>
      <w:r w:rsidR="00BF3AE6" w:rsidRPr="00033E36">
        <w:t xml:space="preserve"> </w:t>
      </w:r>
      <w:r w:rsidRPr="00033E36">
        <w:t>year</w:t>
      </w:r>
      <w:r w:rsidR="00BF3AE6">
        <w:t>s</w:t>
      </w:r>
      <w:r w:rsidRPr="00033E36">
        <w:t xml:space="preserve"> to March </w:t>
      </w:r>
      <w:r w:rsidR="00BF3AE6" w:rsidRPr="00033E36">
        <w:t>202</w:t>
      </w:r>
      <w:r w:rsidR="00BF3AE6">
        <w:t>3</w:t>
      </w:r>
      <w:r w:rsidR="00BF3AE6" w:rsidRPr="00033E36">
        <w:t xml:space="preserve"> </w:t>
      </w:r>
      <w:r w:rsidRPr="00033E36">
        <w:t>and refinance</w:t>
      </w:r>
      <w:r w:rsidR="00174BC9">
        <w:t>d</w:t>
      </w:r>
      <w:r w:rsidRPr="00033E36">
        <w:t xml:space="preserve"> the £50m </w:t>
      </w:r>
      <w:r w:rsidR="00660EC8">
        <w:t xml:space="preserve">bank bilateral facility </w:t>
      </w:r>
      <w:r w:rsidRPr="00033E36">
        <w:t xml:space="preserve">for a new </w:t>
      </w:r>
      <w:proofErr w:type="gramStart"/>
      <w:r w:rsidR="00660EC8">
        <w:t>three</w:t>
      </w:r>
      <w:r w:rsidRPr="00033E36">
        <w:t xml:space="preserve"> year</w:t>
      </w:r>
      <w:proofErr w:type="gramEnd"/>
      <w:r w:rsidRPr="00033E36">
        <w:t xml:space="preserve"> term ending in </w:t>
      </w:r>
      <w:r w:rsidR="00BF3AE6">
        <w:t>January 2024</w:t>
      </w:r>
      <w:r w:rsidRPr="00033E36">
        <w:t>.</w:t>
      </w:r>
    </w:p>
    <w:p w14:paraId="57FC98AB" w14:textId="77777777" w:rsidR="005B36AA" w:rsidRPr="00FD7A57" w:rsidRDefault="005B36AA" w:rsidP="005B36AA">
      <w:pPr>
        <w:pStyle w:val="Paragraph"/>
        <w:spacing w:before="0" w:after="120"/>
        <w:jc w:val="both"/>
        <w:rPr>
          <w:b/>
          <w:bCs/>
        </w:rPr>
      </w:pPr>
      <w:r w:rsidRPr="00FD7A57">
        <w:rPr>
          <w:b/>
          <w:bCs/>
        </w:rPr>
        <w:t>Private Placement Notes</w:t>
      </w:r>
    </w:p>
    <w:p w14:paraId="1079AFF1" w14:textId="265E1312" w:rsidR="005B36AA" w:rsidRDefault="005B36AA" w:rsidP="005B36AA">
      <w:pPr>
        <w:spacing w:after="120"/>
        <w:jc w:val="both"/>
        <w:rPr>
          <w:rFonts w:eastAsiaTheme="minorHAnsi"/>
          <w:sz w:val="18"/>
          <w:szCs w:val="18"/>
          <w:lang w:bidi="ar-SA"/>
        </w:rPr>
      </w:pPr>
      <w:r>
        <w:rPr>
          <w:sz w:val="18"/>
          <w:szCs w:val="18"/>
        </w:rPr>
        <w:t xml:space="preserve">The Group’s outstanding Private Placement Notes net of finance fees comprised of </w:t>
      </w:r>
      <w:r w:rsidRPr="007D67A1">
        <w:rPr>
          <w:sz w:val="18"/>
          <w:szCs w:val="18"/>
        </w:rPr>
        <w:t>£</w:t>
      </w:r>
      <w:r w:rsidR="00F20196">
        <w:rPr>
          <w:sz w:val="18"/>
          <w:szCs w:val="18"/>
        </w:rPr>
        <w:t>112.7</w:t>
      </w:r>
      <w:r w:rsidRPr="007D67A1">
        <w:rPr>
          <w:sz w:val="18"/>
          <w:szCs w:val="18"/>
        </w:rPr>
        <w:t>m</w:t>
      </w:r>
      <w:r>
        <w:rPr>
          <w:sz w:val="18"/>
          <w:szCs w:val="18"/>
        </w:rPr>
        <w:t xml:space="preserve"> (denominated as $120.9m and £18m) </w:t>
      </w:r>
      <w:proofErr w:type="gramStart"/>
      <w:r>
        <w:rPr>
          <w:sz w:val="18"/>
          <w:szCs w:val="18"/>
        </w:rPr>
        <w:t>at</w:t>
      </w:r>
      <w:proofErr w:type="gramEnd"/>
      <w:r>
        <w:rPr>
          <w:sz w:val="18"/>
          <w:szCs w:val="18"/>
        </w:rPr>
        <w:t xml:space="preserve"> 25 September 2020 (2019: £116.2m, denominated as $120.9m and £18m). These were issued as fixed rate debt in October 2013 ($65m) and June 2016 ($74.5m and £18m) with maturities ranging between October 2021 and June 2026.</w:t>
      </w:r>
    </w:p>
    <w:p w14:paraId="275F6AFF" w14:textId="77777777" w:rsidR="005B36AA" w:rsidRDefault="005B36AA" w:rsidP="005B36AA">
      <w:pPr>
        <w:spacing w:after="120"/>
        <w:jc w:val="both"/>
        <w:rPr>
          <w:sz w:val="18"/>
          <w:szCs w:val="18"/>
        </w:rPr>
      </w:pPr>
      <w:r>
        <w:rPr>
          <w:sz w:val="18"/>
          <w:szCs w:val="18"/>
        </w:rPr>
        <w:t>The Group has swapped the $120.9m Private Placement Notes from fixed rate US Dollar to fixed rate sterling using cross–currency interest rate swaps. The fixed rate US dollar to fixed rate sterling swaps are designated as cash flow hedges.</w:t>
      </w:r>
    </w:p>
    <w:p w14:paraId="7BB6B1B6" w14:textId="77777777" w:rsidR="00CA402A" w:rsidRPr="00805542" w:rsidRDefault="00CA402A" w:rsidP="00CA402A">
      <w:pPr>
        <w:spacing w:after="120"/>
        <w:jc w:val="both"/>
        <w:rPr>
          <w:b/>
          <w:bCs/>
          <w:sz w:val="18"/>
          <w:szCs w:val="18"/>
        </w:rPr>
      </w:pPr>
      <w:r>
        <w:rPr>
          <w:b/>
          <w:bCs/>
          <w:sz w:val="18"/>
          <w:szCs w:val="18"/>
        </w:rPr>
        <w:t xml:space="preserve">Revisions to Financing Agreements </w:t>
      </w:r>
    </w:p>
    <w:p w14:paraId="1C8A26E4" w14:textId="444AD777" w:rsidR="00F20196" w:rsidRPr="00464D3F" w:rsidRDefault="005B36AA" w:rsidP="00F20196">
      <w:pPr>
        <w:adjustRightInd w:val="0"/>
        <w:jc w:val="both"/>
        <w:rPr>
          <w:sz w:val="18"/>
          <w:szCs w:val="18"/>
        </w:rPr>
      </w:pPr>
      <w:r w:rsidRPr="00036B90">
        <w:rPr>
          <w:sz w:val="18"/>
          <w:szCs w:val="18"/>
        </w:rPr>
        <w:t>Greencore secured agreement with its bank lending syndicate in May 2020 and its Private Placement Note Holders in July 2020 to waive the Net Debt: EBITDA covenant condition for the September 2020 and March 2021 test periods. The Group announces today that it has secured further amendments to its covenant conditions with its bank lending syndicate and Private Placement</w:t>
      </w:r>
      <w:r w:rsidR="00CE48FE">
        <w:rPr>
          <w:sz w:val="18"/>
          <w:szCs w:val="18"/>
        </w:rPr>
        <w:t xml:space="preserve"> Note</w:t>
      </w:r>
      <w:r w:rsidRPr="00036B90">
        <w:rPr>
          <w:sz w:val="18"/>
          <w:szCs w:val="18"/>
        </w:rPr>
        <w:t xml:space="preserve"> holder</w:t>
      </w:r>
      <w:r w:rsidR="00CE48FE">
        <w:rPr>
          <w:sz w:val="18"/>
          <w:szCs w:val="18"/>
        </w:rPr>
        <w:t>s</w:t>
      </w:r>
      <w:r w:rsidRPr="00036B90">
        <w:rPr>
          <w:sz w:val="18"/>
          <w:szCs w:val="18"/>
        </w:rPr>
        <w:t xml:space="preserve">. </w:t>
      </w:r>
      <w:r w:rsidR="00F20196">
        <w:rPr>
          <w:sz w:val="18"/>
          <w:szCs w:val="18"/>
        </w:rPr>
        <w:t>Of the key features, the Group has</w:t>
      </w:r>
      <w:r w:rsidR="00F20196" w:rsidRPr="00464D3F">
        <w:rPr>
          <w:sz w:val="18"/>
          <w:szCs w:val="18"/>
        </w:rPr>
        <w:t>:</w:t>
      </w:r>
    </w:p>
    <w:p w14:paraId="7430B820" w14:textId="2CFCB71E" w:rsidR="00F20196" w:rsidRPr="00602FBB" w:rsidRDefault="00F20196" w:rsidP="00F20196">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w:t>
      </w:r>
      <w:proofErr w:type="gramStart"/>
      <w:r w:rsidRPr="00602FBB">
        <w:rPr>
          <w:sz w:val="18"/>
          <w:szCs w:val="18"/>
        </w:rPr>
        <w:t>0x</w:t>
      </w:r>
      <w:r w:rsidR="00174BC9">
        <w:rPr>
          <w:sz w:val="18"/>
          <w:szCs w:val="18"/>
        </w:rPr>
        <w:t>;</w:t>
      </w:r>
      <w:proofErr w:type="gramEnd"/>
    </w:p>
    <w:p w14:paraId="0C149DB0" w14:textId="7609CFD7" w:rsidR="00F20196" w:rsidRPr="00602FBB" w:rsidRDefault="00F20196" w:rsidP="00F20196">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r w:rsidR="00174BC9">
        <w:rPr>
          <w:sz w:val="18"/>
          <w:szCs w:val="18"/>
        </w:rPr>
        <w:t>;</w:t>
      </w:r>
    </w:p>
    <w:p w14:paraId="0DF2185F" w14:textId="7177520E" w:rsidR="00F20196" w:rsidRPr="004C6A70" w:rsidRDefault="00F20196" w:rsidP="00F20196">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174BC9">
        <w:rPr>
          <w:sz w:val="18"/>
          <w:szCs w:val="18"/>
        </w:rPr>
        <w:t>m</w:t>
      </w:r>
      <w:r w:rsidRPr="00602FBB">
        <w:rPr>
          <w:sz w:val="18"/>
          <w:szCs w:val="18"/>
        </w:rPr>
        <w:t>-</w:t>
      </w:r>
      <w:r w:rsidR="00174BC9">
        <w:rPr>
          <w:sz w:val="18"/>
          <w:szCs w:val="18"/>
        </w:rPr>
        <w:t>£</w:t>
      </w:r>
      <w:proofErr w:type="gramStart"/>
      <w:r w:rsidRPr="00602FBB">
        <w:rPr>
          <w:sz w:val="18"/>
          <w:szCs w:val="18"/>
        </w:rPr>
        <w:t>125m</w:t>
      </w:r>
      <w:r w:rsidR="00174BC9">
        <w:rPr>
          <w:sz w:val="18"/>
          <w:szCs w:val="18"/>
        </w:rPr>
        <w:t>;</w:t>
      </w:r>
      <w:proofErr w:type="gramEnd"/>
    </w:p>
    <w:p w14:paraId="1B9DA72A" w14:textId="07167B91" w:rsidR="00F20196" w:rsidRDefault="00F20196" w:rsidP="00F20196">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174BC9">
        <w:rPr>
          <w:sz w:val="18"/>
          <w:szCs w:val="18"/>
        </w:rPr>
        <w:t>m</w:t>
      </w:r>
      <w:r>
        <w:rPr>
          <w:sz w:val="18"/>
          <w:szCs w:val="18"/>
        </w:rPr>
        <w:t>-£</w:t>
      </w:r>
      <w:proofErr w:type="gramStart"/>
      <w:r>
        <w:rPr>
          <w:sz w:val="18"/>
          <w:szCs w:val="18"/>
        </w:rPr>
        <w:t>550m</w:t>
      </w:r>
      <w:r w:rsidR="00174BC9">
        <w:rPr>
          <w:sz w:val="18"/>
          <w:szCs w:val="18"/>
        </w:rPr>
        <w:t>;</w:t>
      </w:r>
      <w:proofErr w:type="gramEnd"/>
    </w:p>
    <w:p w14:paraId="0A22C802" w14:textId="048F2B77" w:rsidR="00F20196" w:rsidRDefault="00F20196" w:rsidP="00F20196">
      <w:pPr>
        <w:pStyle w:val="ListParagraph"/>
        <w:numPr>
          <w:ilvl w:val="0"/>
          <w:numId w:val="22"/>
        </w:numPr>
        <w:adjustRightInd w:val="0"/>
        <w:jc w:val="both"/>
        <w:rPr>
          <w:sz w:val="18"/>
          <w:szCs w:val="18"/>
        </w:rPr>
      </w:pPr>
      <w:r>
        <w:rPr>
          <w:sz w:val="18"/>
          <w:szCs w:val="18"/>
        </w:rPr>
        <w:t>Agreed not to proceed with final FY20 dividend and interim FY21 dividend</w:t>
      </w:r>
      <w:r w:rsidR="00174BC9">
        <w:rPr>
          <w:sz w:val="18"/>
          <w:szCs w:val="18"/>
        </w:rPr>
        <w:t>; and</w:t>
      </w:r>
    </w:p>
    <w:p w14:paraId="735FAEB8" w14:textId="03833A25" w:rsidR="00F20196" w:rsidRDefault="00F20196" w:rsidP="00F20196">
      <w:pPr>
        <w:pStyle w:val="ListParagraph"/>
        <w:numPr>
          <w:ilvl w:val="0"/>
          <w:numId w:val="22"/>
        </w:numPr>
        <w:adjustRightInd w:val="0"/>
        <w:jc w:val="both"/>
        <w:rPr>
          <w:sz w:val="18"/>
          <w:szCs w:val="18"/>
        </w:rPr>
      </w:pPr>
      <w:r>
        <w:rPr>
          <w:sz w:val="18"/>
          <w:szCs w:val="18"/>
        </w:rPr>
        <w:t>Restricted acquisitions with an aggregate of £25m for the duration of the waiver period</w:t>
      </w:r>
      <w:r w:rsidR="00174BC9">
        <w:rPr>
          <w:sz w:val="18"/>
          <w:szCs w:val="18"/>
        </w:rPr>
        <w:t>.</w:t>
      </w:r>
    </w:p>
    <w:p w14:paraId="38BEB950" w14:textId="77777777" w:rsidR="00F20196" w:rsidRPr="004C6A70" w:rsidRDefault="00F20196" w:rsidP="00F20196">
      <w:pPr>
        <w:adjustRightInd w:val="0"/>
        <w:ind w:left="360"/>
        <w:jc w:val="both"/>
        <w:rPr>
          <w:sz w:val="18"/>
          <w:szCs w:val="18"/>
        </w:rPr>
      </w:pPr>
    </w:p>
    <w:p w14:paraId="3C0FD3DF" w14:textId="5C81859A" w:rsidR="00F20196" w:rsidRDefault="005B36AA" w:rsidP="005B36AA">
      <w:pPr>
        <w:jc w:val="both"/>
        <w:rPr>
          <w:sz w:val="18"/>
          <w:szCs w:val="18"/>
        </w:rPr>
      </w:pPr>
      <w:r w:rsidRPr="002158D3">
        <w:rPr>
          <w:sz w:val="18"/>
          <w:szCs w:val="18"/>
        </w:rPr>
        <w:t xml:space="preserve">The terms of the covenant waiver agreements </w:t>
      </w:r>
      <w:r w:rsidR="00F20196">
        <w:rPr>
          <w:sz w:val="18"/>
          <w:szCs w:val="18"/>
        </w:rPr>
        <w:t xml:space="preserve">result in </w:t>
      </w:r>
      <w:r w:rsidRPr="002158D3">
        <w:rPr>
          <w:sz w:val="18"/>
          <w:szCs w:val="18"/>
        </w:rPr>
        <w:t xml:space="preserve">a higher interest </w:t>
      </w:r>
      <w:r w:rsidR="00F20196">
        <w:rPr>
          <w:sz w:val="18"/>
          <w:szCs w:val="18"/>
        </w:rPr>
        <w:t>costs</w:t>
      </w:r>
      <w:r w:rsidR="00F20196" w:rsidRPr="002158D3">
        <w:rPr>
          <w:sz w:val="18"/>
          <w:szCs w:val="18"/>
        </w:rPr>
        <w:t xml:space="preserve"> </w:t>
      </w:r>
      <w:r w:rsidRPr="002158D3">
        <w:rPr>
          <w:sz w:val="18"/>
          <w:szCs w:val="18"/>
        </w:rPr>
        <w:t xml:space="preserve">for the </w:t>
      </w:r>
      <w:r w:rsidR="00F20196">
        <w:rPr>
          <w:sz w:val="18"/>
          <w:szCs w:val="18"/>
        </w:rPr>
        <w:t xml:space="preserve">waiver </w:t>
      </w:r>
      <w:r w:rsidRPr="002158D3">
        <w:rPr>
          <w:sz w:val="18"/>
          <w:szCs w:val="18"/>
        </w:rPr>
        <w:t>periods that the covenant conditions have been granted. In line with the Group</w:t>
      </w:r>
      <w:r w:rsidR="00174BC9">
        <w:rPr>
          <w:sz w:val="18"/>
          <w:szCs w:val="18"/>
        </w:rPr>
        <w:t>’</w:t>
      </w:r>
      <w:r w:rsidRPr="002158D3">
        <w:rPr>
          <w:sz w:val="18"/>
          <w:szCs w:val="18"/>
        </w:rPr>
        <w:t xml:space="preserve">s accounting policy on accounting for debt modifications, the Group recognised </w:t>
      </w:r>
      <w:r w:rsidR="00174BC9">
        <w:rPr>
          <w:sz w:val="18"/>
          <w:szCs w:val="18"/>
        </w:rPr>
        <w:t xml:space="preserve">a </w:t>
      </w:r>
      <w:r w:rsidRPr="002158D3">
        <w:rPr>
          <w:sz w:val="18"/>
          <w:szCs w:val="18"/>
        </w:rPr>
        <w:t xml:space="preserve">modification </w:t>
      </w:r>
      <w:r w:rsidR="00446715">
        <w:rPr>
          <w:sz w:val="18"/>
          <w:szCs w:val="18"/>
        </w:rPr>
        <w:t>charge</w:t>
      </w:r>
      <w:r w:rsidR="00446715" w:rsidRPr="002158D3">
        <w:rPr>
          <w:sz w:val="18"/>
          <w:szCs w:val="18"/>
        </w:rPr>
        <w:t xml:space="preserve"> </w:t>
      </w:r>
      <w:r w:rsidRPr="002158D3">
        <w:rPr>
          <w:sz w:val="18"/>
          <w:szCs w:val="18"/>
        </w:rPr>
        <w:t xml:space="preserve">of £5.9m in the income statement in the year. The charge reflects the </w:t>
      </w:r>
      <w:r w:rsidR="00174BC9">
        <w:rPr>
          <w:sz w:val="18"/>
          <w:szCs w:val="18"/>
        </w:rPr>
        <w:t xml:space="preserve">incremental </w:t>
      </w:r>
      <w:r w:rsidR="0020662E">
        <w:rPr>
          <w:sz w:val="18"/>
          <w:szCs w:val="18"/>
        </w:rPr>
        <w:t xml:space="preserve">interest costs that will be incurred by the Group </w:t>
      </w:r>
      <w:r w:rsidR="00174BC9">
        <w:rPr>
          <w:sz w:val="18"/>
          <w:szCs w:val="18"/>
        </w:rPr>
        <w:t xml:space="preserve">in future periods </w:t>
      </w:r>
      <w:proofErr w:type="gramStart"/>
      <w:r w:rsidR="00174BC9">
        <w:rPr>
          <w:sz w:val="18"/>
          <w:szCs w:val="18"/>
        </w:rPr>
        <w:t>as a result of</w:t>
      </w:r>
      <w:proofErr w:type="gramEnd"/>
      <w:r w:rsidR="00174BC9">
        <w:rPr>
          <w:sz w:val="18"/>
          <w:szCs w:val="18"/>
        </w:rPr>
        <w:t xml:space="preserve"> the </w:t>
      </w:r>
      <w:r w:rsidR="0020662E">
        <w:rPr>
          <w:sz w:val="18"/>
          <w:szCs w:val="18"/>
        </w:rPr>
        <w:t>covenant waivers</w:t>
      </w:r>
      <w:r>
        <w:rPr>
          <w:sz w:val="18"/>
          <w:szCs w:val="18"/>
        </w:rPr>
        <w:t>. Refer to note 3 Exceptional items.</w:t>
      </w:r>
      <w:r>
        <w:rPr>
          <w:sz w:val="18"/>
          <w:szCs w:val="18"/>
        </w:rPr>
        <w:tab/>
      </w:r>
    </w:p>
    <w:p w14:paraId="7E7A783B" w14:textId="77777777" w:rsidR="00F20196" w:rsidRDefault="00F20196" w:rsidP="005B36AA">
      <w:pPr>
        <w:jc w:val="both"/>
        <w:rPr>
          <w:sz w:val="18"/>
          <w:szCs w:val="18"/>
        </w:rPr>
      </w:pPr>
    </w:p>
    <w:p w14:paraId="2378A901" w14:textId="77777777" w:rsidR="005B36AA" w:rsidRDefault="005B36AA" w:rsidP="005771B0">
      <w:pPr>
        <w:pStyle w:val="Heading2"/>
        <w:numPr>
          <w:ilvl w:val="0"/>
          <w:numId w:val="48"/>
        </w:numPr>
      </w:pPr>
      <w:r>
        <w:t>Leases</w:t>
      </w:r>
    </w:p>
    <w:p w14:paraId="66F8559D" w14:textId="77777777" w:rsidR="005B36AA" w:rsidRDefault="005B36AA" w:rsidP="005B36AA">
      <w:pPr>
        <w:pStyle w:val="Heading2"/>
        <w:numPr>
          <w:ilvl w:val="0"/>
          <w:numId w:val="0"/>
        </w:numPr>
      </w:pPr>
    </w:p>
    <w:p w14:paraId="5FF96876" w14:textId="6FEF5662" w:rsidR="005B36AA" w:rsidRDefault="005B36AA" w:rsidP="005B36AA">
      <w:pPr>
        <w:pStyle w:val="Paragraph"/>
        <w:spacing w:before="0" w:after="120"/>
        <w:jc w:val="both"/>
      </w:pPr>
      <w:r>
        <w:t xml:space="preserve">The Group adopted IFRS 16 </w:t>
      </w:r>
      <w:r w:rsidRPr="002E0E9E">
        <w:rPr>
          <w:i/>
        </w:rPr>
        <w:t>Leases</w:t>
      </w:r>
      <w:r>
        <w:t xml:space="preserve"> with effect from 28 September 2019. At the date of transition, the Group calculated the lease commitments outstanding at that date and applied appropriate discount rates to calculate the present value of the lease commitment</w:t>
      </w:r>
      <w:r w:rsidR="00174BC9">
        <w:t>s</w:t>
      </w:r>
      <w:r>
        <w:t xml:space="preserve"> which was recognised as a lease liability and a right-of-use asset on the Group’s Statement of Financial Position.</w:t>
      </w:r>
    </w:p>
    <w:p w14:paraId="49BCD809" w14:textId="77777777" w:rsidR="005B36AA" w:rsidRPr="007D5C1E" w:rsidRDefault="005B36AA" w:rsidP="005B36AA">
      <w:pPr>
        <w:pStyle w:val="Heading2"/>
        <w:numPr>
          <w:ilvl w:val="0"/>
          <w:numId w:val="0"/>
        </w:numPr>
        <w:rPr>
          <w:b w:val="0"/>
          <w:bCs w:val="0"/>
        </w:rPr>
      </w:pPr>
      <w:r w:rsidRPr="007D5C1E">
        <w:rPr>
          <w:b w:val="0"/>
          <w:bCs w:val="0"/>
        </w:rPr>
        <w:t>The movement in the Group’s right-of-use leased assets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1361"/>
        <w:gridCol w:w="1361"/>
        <w:gridCol w:w="1361"/>
        <w:gridCol w:w="1361"/>
      </w:tblGrid>
      <w:tr w:rsidR="005B36AA" w14:paraId="68F9CC05" w14:textId="77777777" w:rsidTr="005B36AA">
        <w:trPr>
          <w:jc w:val="center"/>
        </w:trPr>
        <w:tc>
          <w:tcPr>
            <w:tcW w:w="4337" w:type="dxa"/>
            <w:vAlign w:val="bottom"/>
          </w:tcPr>
          <w:p w14:paraId="6CB8BD9D" w14:textId="77777777" w:rsidR="005B36AA" w:rsidRPr="006D1798" w:rsidRDefault="005B36AA" w:rsidP="005B36AA">
            <w:pPr>
              <w:pStyle w:val="T2"/>
              <w:jc w:val="left"/>
            </w:pPr>
          </w:p>
        </w:tc>
        <w:tc>
          <w:tcPr>
            <w:tcW w:w="1361" w:type="dxa"/>
          </w:tcPr>
          <w:p w14:paraId="064F22E7" w14:textId="77777777" w:rsidR="005B36AA" w:rsidRPr="005D0EFF" w:rsidRDefault="005B36AA" w:rsidP="005B36AA">
            <w:pPr>
              <w:pStyle w:val="T2"/>
              <w:rPr>
                <w:b/>
              </w:rPr>
            </w:pPr>
            <w:r>
              <w:rPr>
                <w:b/>
              </w:rPr>
              <w:t>Land and buildings</w:t>
            </w:r>
          </w:p>
        </w:tc>
        <w:tc>
          <w:tcPr>
            <w:tcW w:w="1361" w:type="dxa"/>
            <w:vAlign w:val="bottom"/>
          </w:tcPr>
          <w:p w14:paraId="24FABCEE" w14:textId="77777777" w:rsidR="005B36AA" w:rsidRPr="005D0EFF" w:rsidRDefault="005B36AA" w:rsidP="005B36AA">
            <w:pPr>
              <w:pStyle w:val="T2"/>
              <w:rPr>
                <w:b/>
              </w:rPr>
            </w:pPr>
            <w:r>
              <w:rPr>
                <w:b/>
              </w:rPr>
              <w:t>Plant &amp; machinery</w:t>
            </w:r>
          </w:p>
        </w:tc>
        <w:tc>
          <w:tcPr>
            <w:tcW w:w="1361" w:type="dxa"/>
            <w:vAlign w:val="bottom"/>
          </w:tcPr>
          <w:p w14:paraId="422EB51A" w14:textId="77777777" w:rsidR="005B36AA" w:rsidRPr="005D0EFF" w:rsidRDefault="005B36AA" w:rsidP="005B36AA">
            <w:pPr>
              <w:pStyle w:val="T2"/>
              <w:rPr>
                <w:b/>
              </w:rPr>
            </w:pPr>
            <w:proofErr w:type="gramStart"/>
            <w:r>
              <w:rPr>
                <w:b/>
              </w:rPr>
              <w:t>Motor  vehicles</w:t>
            </w:r>
            <w:proofErr w:type="gramEnd"/>
          </w:p>
        </w:tc>
        <w:tc>
          <w:tcPr>
            <w:tcW w:w="1361" w:type="dxa"/>
            <w:vAlign w:val="bottom"/>
          </w:tcPr>
          <w:p w14:paraId="14E67A98" w14:textId="77777777" w:rsidR="005B36AA" w:rsidRPr="005D0EFF" w:rsidRDefault="005B36AA" w:rsidP="005B36AA">
            <w:pPr>
              <w:pStyle w:val="T2"/>
              <w:rPr>
                <w:b/>
              </w:rPr>
            </w:pPr>
            <w:r>
              <w:rPr>
                <w:b/>
              </w:rPr>
              <w:t>Total</w:t>
            </w:r>
          </w:p>
        </w:tc>
      </w:tr>
      <w:tr w:rsidR="005B36AA" w14:paraId="416FCB68" w14:textId="77777777" w:rsidTr="005B36AA">
        <w:trPr>
          <w:jc w:val="center"/>
        </w:trPr>
        <w:tc>
          <w:tcPr>
            <w:tcW w:w="4337" w:type="dxa"/>
            <w:tcBorders>
              <w:bottom w:val="single" w:sz="2" w:space="0" w:color="auto"/>
            </w:tcBorders>
            <w:vAlign w:val="bottom"/>
          </w:tcPr>
          <w:p w14:paraId="5214BB80" w14:textId="77777777" w:rsidR="005B36AA" w:rsidRPr="006D1798" w:rsidRDefault="005B36AA" w:rsidP="005B36AA">
            <w:pPr>
              <w:pStyle w:val="T2"/>
              <w:jc w:val="left"/>
            </w:pPr>
          </w:p>
        </w:tc>
        <w:tc>
          <w:tcPr>
            <w:tcW w:w="1361" w:type="dxa"/>
            <w:tcBorders>
              <w:bottom w:val="single" w:sz="2" w:space="0" w:color="auto"/>
            </w:tcBorders>
          </w:tcPr>
          <w:p w14:paraId="0069F59F"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7C007940"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393877B3"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4654E206" w14:textId="77777777" w:rsidR="005B36AA" w:rsidRPr="005D0EFF" w:rsidRDefault="005B36AA" w:rsidP="005B36AA">
            <w:pPr>
              <w:pStyle w:val="T2"/>
              <w:rPr>
                <w:b/>
              </w:rPr>
            </w:pPr>
            <w:r w:rsidRPr="005D0EFF">
              <w:rPr>
                <w:b/>
              </w:rPr>
              <w:t>£m</w:t>
            </w:r>
          </w:p>
        </w:tc>
      </w:tr>
      <w:tr w:rsidR="005B36AA" w14:paraId="7746A504" w14:textId="77777777" w:rsidTr="005B36AA">
        <w:trPr>
          <w:jc w:val="center"/>
        </w:trPr>
        <w:tc>
          <w:tcPr>
            <w:tcW w:w="4337" w:type="dxa"/>
            <w:tcBorders>
              <w:top w:val="single" w:sz="2" w:space="0" w:color="auto"/>
            </w:tcBorders>
            <w:vAlign w:val="bottom"/>
          </w:tcPr>
          <w:p w14:paraId="78DB3CB4" w14:textId="77777777" w:rsidR="005B36AA" w:rsidRPr="006D1798" w:rsidRDefault="005B36AA" w:rsidP="005B36AA">
            <w:pPr>
              <w:pStyle w:val="T2"/>
              <w:jc w:val="left"/>
            </w:pPr>
            <w:proofErr w:type="gramStart"/>
            <w:r>
              <w:t>At</w:t>
            </w:r>
            <w:proofErr w:type="gramEnd"/>
            <w:r>
              <w:t xml:space="preserve"> 27 September 2019</w:t>
            </w:r>
          </w:p>
        </w:tc>
        <w:tc>
          <w:tcPr>
            <w:tcW w:w="1361" w:type="dxa"/>
            <w:tcBorders>
              <w:top w:val="single" w:sz="2" w:space="0" w:color="auto"/>
            </w:tcBorders>
          </w:tcPr>
          <w:p w14:paraId="0DB4C320" w14:textId="77777777" w:rsidR="005B36AA" w:rsidRPr="005D0EFF" w:rsidRDefault="005B36AA" w:rsidP="005B36AA">
            <w:pPr>
              <w:pStyle w:val="T2"/>
              <w:rPr>
                <w:b/>
              </w:rPr>
            </w:pPr>
            <w:r>
              <w:rPr>
                <w:b/>
              </w:rPr>
              <w:t>–</w:t>
            </w:r>
          </w:p>
        </w:tc>
        <w:tc>
          <w:tcPr>
            <w:tcW w:w="1361" w:type="dxa"/>
            <w:tcBorders>
              <w:top w:val="single" w:sz="2" w:space="0" w:color="auto"/>
            </w:tcBorders>
            <w:vAlign w:val="bottom"/>
          </w:tcPr>
          <w:p w14:paraId="6AAE4E4E" w14:textId="77777777" w:rsidR="005B36AA" w:rsidRPr="005D0EFF" w:rsidRDefault="005B36AA" w:rsidP="005B36AA">
            <w:pPr>
              <w:pStyle w:val="T2"/>
              <w:rPr>
                <w:b/>
                <w:bCs/>
              </w:rPr>
            </w:pPr>
            <w:r>
              <w:rPr>
                <w:b/>
                <w:bCs/>
              </w:rPr>
              <w:t>–</w:t>
            </w:r>
          </w:p>
        </w:tc>
        <w:tc>
          <w:tcPr>
            <w:tcW w:w="1361" w:type="dxa"/>
            <w:tcBorders>
              <w:top w:val="single" w:sz="2" w:space="0" w:color="auto"/>
            </w:tcBorders>
            <w:vAlign w:val="bottom"/>
          </w:tcPr>
          <w:p w14:paraId="3BFF0291" w14:textId="77777777" w:rsidR="005B36AA" w:rsidRPr="005D0EFF" w:rsidRDefault="005B36AA" w:rsidP="005B36AA">
            <w:pPr>
              <w:pStyle w:val="T2"/>
              <w:rPr>
                <w:b/>
              </w:rPr>
            </w:pPr>
            <w:r>
              <w:rPr>
                <w:b/>
              </w:rPr>
              <w:t>–</w:t>
            </w:r>
          </w:p>
        </w:tc>
        <w:tc>
          <w:tcPr>
            <w:tcW w:w="1361" w:type="dxa"/>
            <w:tcBorders>
              <w:top w:val="single" w:sz="2" w:space="0" w:color="auto"/>
            </w:tcBorders>
            <w:vAlign w:val="bottom"/>
          </w:tcPr>
          <w:p w14:paraId="411254A9" w14:textId="77777777" w:rsidR="005B36AA" w:rsidRPr="005D0EFF" w:rsidRDefault="005B36AA" w:rsidP="005B36AA">
            <w:pPr>
              <w:pStyle w:val="T2"/>
              <w:rPr>
                <w:b/>
              </w:rPr>
            </w:pPr>
            <w:r>
              <w:rPr>
                <w:b/>
              </w:rPr>
              <w:t>–</w:t>
            </w:r>
          </w:p>
        </w:tc>
      </w:tr>
      <w:tr w:rsidR="005B36AA" w14:paraId="519DE580" w14:textId="77777777" w:rsidTr="005B36AA">
        <w:trPr>
          <w:jc w:val="center"/>
        </w:trPr>
        <w:tc>
          <w:tcPr>
            <w:tcW w:w="4337" w:type="dxa"/>
            <w:vAlign w:val="bottom"/>
          </w:tcPr>
          <w:p w14:paraId="6C35918C" w14:textId="4BD1EDF4" w:rsidR="005B36AA" w:rsidRPr="006D1798" w:rsidRDefault="005B36AA" w:rsidP="005B36AA">
            <w:pPr>
              <w:pStyle w:val="T2"/>
              <w:jc w:val="left"/>
            </w:pPr>
            <w:r>
              <w:t xml:space="preserve">IFRS 16 Transition adjustment (note </w:t>
            </w:r>
            <w:r w:rsidR="00D364D9">
              <w:t>1</w:t>
            </w:r>
            <w:r>
              <w:t>)</w:t>
            </w:r>
          </w:p>
        </w:tc>
        <w:tc>
          <w:tcPr>
            <w:tcW w:w="1361" w:type="dxa"/>
          </w:tcPr>
          <w:p w14:paraId="5E1D94E1" w14:textId="77777777" w:rsidR="005B36AA" w:rsidRPr="00F2417B" w:rsidRDefault="005B36AA" w:rsidP="005B36AA">
            <w:pPr>
              <w:pStyle w:val="T2"/>
              <w:rPr>
                <w:b/>
              </w:rPr>
            </w:pPr>
            <w:r>
              <w:rPr>
                <w:b/>
              </w:rPr>
              <w:t>33</w:t>
            </w:r>
            <w:r w:rsidRPr="00F2417B">
              <w:rPr>
                <w:b/>
              </w:rPr>
              <w:t>.</w:t>
            </w:r>
            <w:r>
              <w:rPr>
                <w:b/>
              </w:rPr>
              <w:t>1</w:t>
            </w:r>
          </w:p>
        </w:tc>
        <w:tc>
          <w:tcPr>
            <w:tcW w:w="1361" w:type="dxa"/>
            <w:vAlign w:val="bottom"/>
          </w:tcPr>
          <w:p w14:paraId="2FE560AB" w14:textId="77777777" w:rsidR="005B36AA" w:rsidRPr="00162981" w:rsidRDefault="005B36AA" w:rsidP="005B36AA">
            <w:pPr>
              <w:pStyle w:val="T2"/>
              <w:rPr>
                <w:b/>
                <w:bCs/>
              </w:rPr>
            </w:pPr>
            <w:r w:rsidRPr="00162981">
              <w:rPr>
                <w:b/>
                <w:bCs/>
              </w:rPr>
              <w:t>5.2</w:t>
            </w:r>
          </w:p>
        </w:tc>
        <w:tc>
          <w:tcPr>
            <w:tcW w:w="1361" w:type="dxa"/>
            <w:vAlign w:val="bottom"/>
          </w:tcPr>
          <w:p w14:paraId="0DBA4D4D" w14:textId="77777777" w:rsidR="005B36AA" w:rsidRPr="00F2417B" w:rsidRDefault="005B36AA" w:rsidP="005B36AA">
            <w:pPr>
              <w:pStyle w:val="T2"/>
              <w:rPr>
                <w:b/>
              </w:rPr>
            </w:pPr>
            <w:r w:rsidRPr="00F2417B">
              <w:rPr>
                <w:b/>
              </w:rPr>
              <w:t>11.7</w:t>
            </w:r>
          </w:p>
        </w:tc>
        <w:tc>
          <w:tcPr>
            <w:tcW w:w="1361" w:type="dxa"/>
            <w:vAlign w:val="bottom"/>
          </w:tcPr>
          <w:p w14:paraId="3F3439E5" w14:textId="77777777" w:rsidR="005B36AA" w:rsidRPr="00F2417B" w:rsidRDefault="005B36AA" w:rsidP="005B36AA">
            <w:pPr>
              <w:pStyle w:val="T2"/>
              <w:rPr>
                <w:b/>
              </w:rPr>
            </w:pPr>
            <w:r>
              <w:rPr>
                <w:b/>
              </w:rPr>
              <w:t>50</w:t>
            </w:r>
            <w:r w:rsidRPr="00F2417B">
              <w:rPr>
                <w:b/>
              </w:rPr>
              <w:t>.</w:t>
            </w:r>
            <w:r>
              <w:rPr>
                <w:b/>
              </w:rPr>
              <w:t>0</w:t>
            </w:r>
          </w:p>
        </w:tc>
      </w:tr>
      <w:tr w:rsidR="005B36AA" w14:paraId="47573461" w14:textId="77777777" w:rsidTr="005B36AA">
        <w:trPr>
          <w:jc w:val="center"/>
        </w:trPr>
        <w:tc>
          <w:tcPr>
            <w:tcW w:w="4337" w:type="dxa"/>
            <w:vAlign w:val="bottom"/>
          </w:tcPr>
          <w:p w14:paraId="317A3B23" w14:textId="77777777" w:rsidR="005B36AA" w:rsidRPr="006D1798" w:rsidRDefault="005B36AA" w:rsidP="005B36AA">
            <w:pPr>
              <w:pStyle w:val="T2"/>
              <w:jc w:val="left"/>
            </w:pPr>
            <w:r>
              <w:t>Additions</w:t>
            </w:r>
          </w:p>
        </w:tc>
        <w:tc>
          <w:tcPr>
            <w:tcW w:w="1361" w:type="dxa"/>
          </w:tcPr>
          <w:p w14:paraId="393B8D2D" w14:textId="4FA28953" w:rsidR="005B36AA" w:rsidRPr="00162981" w:rsidRDefault="005B36AA">
            <w:pPr>
              <w:pStyle w:val="T2"/>
              <w:rPr>
                <w:b/>
              </w:rPr>
            </w:pPr>
            <w:r w:rsidRPr="00162981">
              <w:rPr>
                <w:b/>
              </w:rPr>
              <w:t>9.</w:t>
            </w:r>
            <w:r w:rsidR="0020662E">
              <w:rPr>
                <w:b/>
              </w:rPr>
              <w:t>5</w:t>
            </w:r>
          </w:p>
        </w:tc>
        <w:tc>
          <w:tcPr>
            <w:tcW w:w="1361" w:type="dxa"/>
            <w:vAlign w:val="bottom"/>
          </w:tcPr>
          <w:p w14:paraId="3CA3BA8F" w14:textId="297B0D45" w:rsidR="005B36AA" w:rsidRPr="00162981" w:rsidRDefault="005B36AA">
            <w:pPr>
              <w:pStyle w:val="T2"/>
              <w:rPr>
                <w:b/>
                <w:bCs/>
              </w:rPr>
            </w:pPr>
            <w:r w:rsidRPr="00162981">
              <w:rPr>
                <w:b/>
                <w:bCs/>
              </w:rPr>
              <w:t>2.</w:t>
            </w:r>
            <w:r w:rsidR="0020662E">
              <w:rPr>
                <w:b/>
                <w:bCs/>
              </w:rPr>
              <w:t>3</w:t>
            </w:r>
          </w:p>
        </w:tc>
        <w:tc>
          <w:tcPr>
            <w:tcW w:w="1361" w:type="dxa"/>
            <w:vAlign w:val="bottom"/>
          </w:tcPr>
          <w:p w14:paraId="7038D72A" w14:textId="70B8DAEB" w:rsidR="005B36AA" w:rsidRPr="00162981" w:rsidRDefault="005B36AA">
            <w:pPr>
              <w:pStyle w:val="T2"/>
              <w:rPr>
                <w:b/>
              </w:rPr>
            </w:pPr>
            <w:r w:rsidRPr="00162981">
              <w:rPr>
                <w:b/>
              </w:rPr>
              <w:t>8.</w:t>
            </w:r>
            <w:r w:rsidR="0020662E">
              <w:rPr>
                <w:b/>
              </w:rPr>
              <w:t>9</w:t>
            </w:r>
          </w:p>
        </w:tc>
        <w:tc>
          <w:tcPr>
            <w:tcW w:w="1361" w:type="dxa"/>
            <w:vAlign w:val="bottom"/>
          </w:tcPr>
          <w:p w14:paraId="4FA35095" w14:textId="7EB354D1" w:rsidR="005B36AA" w:rsidRPr="00162981" w:rsidRDefault="005B36AA" w:rsidP="005B36AA">
            <w:pPr>
              <w:pStyle w:val="T2"/>
              <w:rPr>
                <w:b/>
              </w:rPr>
            </w:pPr>
            <w:r w:rsidRPr="00162981">
              <w:rPr>
                <w:b/>
              </w:rPr>
              <w:t>20.</w:t>
            </w:r>
            <w:r w:rsidR="0020662E">
              <w:rPr>
                <w:b/>
              </w:rPr>
              <w:t>7</w:t>
            </w:r>
          </w:p>
        </w:tc>
      </w:tr>
      <w:tr w:rsidR="005B36AA" w14:paraId="5075D1E5" w14:textId="77777777" w:rsidTr="005B36AA">
        <w:trPr>
          <w:jc w:val="center"/>
        </w:trPr>
        <w:tc>
          <w:tcPr>
            <w:tcW w:w="4337" w:type="dxa"/>
            <w:vAlign w:val="bottom"/>
          </w:tcPr>
          <w:p w14:paraId="77813551" w14:textId="77777777" w:rsidR="005B36AA" w:rsidRDefault="005B36AA" w:rsidP="005B36AA">
            <w:pPr>
              <w:pStyle w:val="T2"/>
              <w:jc w:val="left"/>
            </w:pPr>
            <w:r>
              <w:t>Disposals</w:t>
            </w:r>
          </w:p>
        </w:tc>
        <w:tc>
          <w:tcPr>
            <w:tcW w:w="1361" w:type="dxa"/>
          </w:tcPr>
          <w:p w14:paraId="32E75A97" w14:textId="77777777" w:rsidR="005B36AA" w:rsidRPr="00162981" w:rsidRDefault="005B36AA" w:rsidP="005B36AA">
            <w:pPr>
              <w:pStyle w:val="T2"/>
              <w:rPr>
                <w:b/>
              </w:rPr>
            </w:pPr>
            <w:r>
              <w:rPr>
                <w:b/>
              </w:rPr>
              <w:t>–</w:t>
            </w:r>
          </w:p>
        </w:tc>
        <w:tc>
          <w:tcPr>
            <w:tcW w:w="1361" w:type="dxa"/>
            <w:vAlign w:val="bottom"/>
          </w:tcPr>
          <w:p w14:paraId="708B1790" w14:textId="40C9C20C" w:rsidR="005B36AA" w:rsidRPr="00162981" w:rsidRDefault="005B36AA">
            <w:pPr>
              <w:pStyle w:val="T2"/>
              <w:rPr>
                <w:b/>
              </w:rPr>
            </w:pPr>
            <w:r w:rsidRPr="00162981">
              <w:rPr>
                <w:b/>
              </w:rPr>
              <w:t>(0.</w:t>
            </w:r>
            <w:r w:rsidR="0020662E">
              <w:rPr>
                <w:b/>
              </w:rPr>
              <w:t>1</w:t>
            </w:r>
            <w:r w:rsidRPr="00162981">
              <w:rPr>
                <w:b/>
              </w:rPr>
              <w:t>)</w:t>
            </w:r>
          </w:p>
        </w:tc>
        <w:tc>
          <w:tcPr>
            <w:tcW w:w="1361" w:type="dxa"/>
            <w:vAlign w:val="bottom"/>
          </w:tcPr>
          <w:p w14:paraId="2313DECF" w14:textId="17262466" w:rsidR="005B36AA" w:rsidRPr="00162981" w:rsidRDefault="005B36AA">
            <w:pPr>
              <w:pStyle w:val="T2"/>
              <w:rPr>
                <w:b/>
              </w:rPr>
            </w:pPr>
            <w:r w:rsidRPr="00162981">
              <w:rPr>
                <w:b/>
              </w:rPr>
              <w:t>(0.</w:t>
            </w:r>
            <w:r w:rsidR="0020662E">
              <w:rPr>
                <w:b/>
              </w:rPr>
              <w:t>6</w:t>
            </w:r>
            <w:r w:rsidRPr="00162981">
              <w:rPr>
                <w:b/>
              </w:rPr>
              <w:t>)</w:t>
            </w:r>
          </w:p>
        </w:tc>
        <w:tc>
          <w:tcPr>
            <w:tcW w:w="1361" w:type="dxa"/>
            <w:vAlign w:val="bottom"/>
          </w:tcPr>
          <w:p w14:paraId="4C576977" w14:textId="2D4F0EF5" w:rsidR="005B36AA" w:rsidRPr="00162981" w:rsidRDefault="005B36AA">
            <w:pPr>
              <w:pStyle w:val="T2"/>
              <w:rPr>
                <w:b/>
              </w:rPr>
            </w:pPr>
            <w:r w:rsidRPr="00162981">
              <w:rPr>
                <w:b/>
              </w:rPr>
              <w:t>(0.</w:t>
            </w:r>
            <w:r w:rsidR="0020662E">
              <w:rPr>
                <w:b/>
              </w:rPr>
              <w:t>7</w:t>
            </w:r>
            <w:r w:rsidRPr="00162981">
              <w:rPr>
                <w:b/>
              </w:rPr>
              <w:t>)</w:t>
            </w:r>
          </w:p>
        </w:tc>
      </w:tr>
      <w:tr w:rsidR="005B36AA" w14:paraId="57A39986" w14:textId="77777777" w:rsidTr="005B36AA">
        <w:trPr>
          <w:jc w:val="center"/>
        </w:trPr>
        <w:tc>
          <w:tcPr>
            <w:tcW w:w="4337" w:type="dxa"/>
            <w:vAlign w:val="bottom"/>
          </w:tcPr>
          <w:p w14:paraId="53022BF6" w14:textId="77777777" w:rsidR="005B36AA" w:rsidRDefault="005B36AA" w:rsidP="004871D5">
            <w:pPr>
              <w:pStyle w:val="T2"/>
              <w:jc w:val="left"/>
            </w:pPr>
            <w:r>
              <w:t xml:space="preserve">Lease </w:t>
            </w:r>
            <w:r w:rsidR="004871D5">
              <w:t>term</w:t>
            </w:r>
            <w:r w:rsidR="002466BB">
              <w:t xml:space="preserve"> m</w:t>
            </w:r>
            <w:r>
              <w:t>odification</w:t>
            </w:r>
          </w:p>
        </w:tc>
        <w:tc>
          <w:tcPr>
            <w:tcW w:w="1361" w:type="dxa"/>
          </w:tcPr>
          <w:p w14:paraId="155D5A2E" w14:textId="77777777" w:rsidR="005B36AA" w:rsidRPr="00162981" w:rsidRDefault="005B36AA" w:rsidP="005B36AA">
            <w:pPr>
              <w:pStyle w:val="T2"/>
              <w:rPr>
                <w:b/>
              </w:rPr>
            </w:pPr>
            <w:r w:rsidRPr="00162981">
              <w:rPr>
                <w:b/>
              </w:rPr>
              <w:t>(0.8)</w:t>
            </w:r>
          </w:p>
        </w:tc>
        <w:tc>
          <w:tcPr>
            <w:tcW w:w="1361" w:type="dxa"/>
            <w:vAlign w:val="bottom"/>
          </w:tcPr>
          <w:p w14:paraId="39595A12" w14:textId="77777777" w:rsidR="005B36AA" w:rsidRPr="00162981" w:rsidRDefault="005B36AA" w:rsidP="005B36AA">
            <w:pPr>
              <w:pStyle w:val="T2"/>
              <w:rPr>
                <w:b/>
              </w:rPr>
            </w:pPr>
            <w:r>
              <w:rPr>
                <w:b/>
              </w:rPr>
              <w:t>–</w:t>
            </w:r>
          </w:p>
        </w:tc>
        <w:tc>
          <w:tcPr>
            <w:tcW w:w="1361" w:type="dxa"/>
            <w:vAlign w:val="bottom"/>
          </w:tcPr>
          <w:p w14:paraId="33E149B1" w14:textId="77777777" w:rsidR="005B36AA" w:rsidRPr="00162981" w:rsidRDefault="005B36AA" w:rsidP="005B36AA">
            <w:pPr>
              <w:pStyle w:val="T2"/>
              <w:rPr>
                <w:b/>
              </w:rPr>
            </w:pPr>
            <w:r>
              <w:rPr>
                <w:b/>
              </w:rPr>
              <w:t>–</w:t>
            </w:r>
          </w:p>
        </w:tc>
        <w:tc>
          <w:tcPr>
            <w:tcW w:w="1361" w:type="dxa"/>
            <w:vAlign w:val="bottom"/>
          </w:tcPr>
          <w:p w14:paraId="64D4ED61" w14:textId="77777777" w:rsidR="005B36AA" w:rsidRPr="00162981" w:rsidRDefault="005B36AA" w:rsidP="005B36AA">
            <w:pPr>
              <w:pStyle w:val="T2"/>
              <w:rPr>
                <w:b/>
              </w:rPr>
            </w:pPr>
            <w:r w:rsidRPr="00162981">
              <w:rPr>
                <w:b/>
              </w:rPr>
              <w:t>(0.8)</w:t>
            </w:r>
          </w:p>
        </w:tc>
      </w:tr>
      <w:tr w:rsidR="005B36AA" w14:paraId="68D962E6" w14:textId="77777777" w:rsidTr="005771B0">
        <w:trPr>
          <w:jc w:val="center"/>
        </w:trPr>
        <w:tc>
          <w:tcPr>
            <w:tcW w:w="4337" w:type="dxa"/>
            <w:vAlign w:val="bottom"/>
          </w:tcPr>
          <w:p w14:paraId="3A458A1D" w14:textId="77777777" w:rsidR="005B36AA" w:rsidRPr="006D1798" w:rsidRDefault="005B36AA" w:rsidP="005B36AA">
            <w:pPr>
              <w:pStyle w:val="T2"/>
              <w:jc w:val="left"/>
            </w:pPr>
            <w:r>
              <w:t>Depreciation charge for the period</w:t>
            </w:r>
          </w:p>
        </w:tc>
        <w:tc>
          <w:tcPr>
            <w:tcW w:w="1361" w:type="dxa"/>
          </w:tcPr>
          <w:p w14:paraId="18D04B9C" w14:textId="4CFDA5CB" w:rsidR="005B36AA" w:rsidRPr="00162981" w:rsidRDefault="005B36AA">
            <w:pPr>
              <w:pStyle w:val="T2"/>
              <w:rPr>
                <w:b/>
              </w:rPr>
            </w:pPr>
            <w:r w:rsidRPr="00162981">
              <w:rPr>
                <w:b/>
              </w:rPr>
              <w:t>(4.</w:t>
            </w:r>
            <w:r w:rsidR="0020662E">
              <w:rPr>
                <w:b/>
              </w:rPr>
              <w:t>8</w:t>
            </w:r>
            <w:r w:rsidRPr="00162981">
              <w:rPr>
                <w:b/>
              </w:rPr>
              <w:t>)</w:t>
            </w:r>
          </w:p>
        </w:tc>
        <w:tc>
          <w:tcPr>
            <w:tcW w:w="1361" w:type="dxa"/>
            <w:vAlign w:val="bottom"/>
          </w:tcPr>
          <w:p w14:paraId="09F167AE" w14:textId="39CE3FF4" w:rsidR="005B36AA" w:rsidRPr="00162981" w:rsidRDefault="005B36AA">
            <w:pPr>
              <w:pStyle w:val="T2"/>
              <w:rPr>
                <w:b/>
              </w:rPr>
            </w:pPr>
            <w:r w:rsidRPr="00162981">
              <w:rPr>
                <w:b/>
              </w:rPr>
              <w:t>(2.</w:t>
            </w:r>
            <w:r w:rsidR="0020662E">
              <w:rPr>
                <w:b/>
              </w:rPr>
              <w:t>3</w:t>
            </w:r>
            <w:r w:rsidRPr="00162981">
              <w:rPr>
                <w:b/>
              </w:rPr>
              <w:t>)</w:t>
            </w:r>
          </w:p>
        </w:tc>
        <w:tc>
          <w:tcPr>
            <w:tcW w:w="1361" w:type="dxa"/>
            <w:vAlign w:val="bottom"/>
          </w:tcPr>
          <w:p w14:paraId="0D23470B" w14:textId="77777777" w:rsidR="005B36AA" w:rsidRPr="00162981" w:rsidRDefault="005B36AA" w:rsidP="005B36AA">
            <w:pPr>
              <w:pStyle w:val="T2"/>
              <w:rPr>
                <w:b/>
              </w:rPr>
            </w:pPr>
            <w:r w:rsidRPr="00162981">
              <w:rPr>
                <w:b/>
              </w:rPr>
              <w:t>(5.8)</w:t>
            </w:r>
          </w:p>
        </w:tc>
        <w:tc>
          <w:tcPr>
            <w:tcW w:w="1361" w:type="dxa"/>
            <w:vAlign w:val="bottom"/>
          </w:tcPr>
          <w:p w14:paraId="1D6939C1" w14:textId="77777777" w:rsidR="005B36AA" w:rsidRPr="00162981" w:rsidRDefault="005B36AA" w:rsidP="005B36AA">
            <w:pPr>
              <w:pStyle w:val="T2"/>
              <w:rPr>
                <w:b/>
              </w:rPr>
            </w:pPr>
            <w:r w:rsidRPr="00162981">
              <w:rPr>
                <w:b/>
              </w:rPr>
              <w:t>(12.9)</w:t>
            </w:r>
          </w:p>
        </w:tc>
      </w:tr>
      <w:tr w:rsidR="005B36AA" w14:paraId="06FEA242" w14:textId="77777777" w:rsidTr="005771B0">
        <w:trPr>
          <w:jc w:val="center"/>
        </w:trPr>
        <w:tc>
          <w:tcPr>
            <w:tcW w:w="4337" w:type="dxa"/>
            <w:tcBorders>
              <w:bottom w:val="single" w:sz="2" w:space="0" w:color="auto"/>
            </w:tcBorders>
            <w:vAlign w:val="bottom"/>
          </w:tcPr>
          <w:p w14:paraId="76B3FDD3" w14:textId="77777777" w:rsidR="005B36AA" w:rsidRPr="00F2417B" w:rsidRDefault="005B36AA" w:rsidP="005B36AA">
            <w:pPr>
              <w:pStyle w:val="T2"/>
              <w:jc w:val="left"/>
            </w:pPr>
            <w:r w:rsidRPr="00F2417B">
              <w:t>Assets transferred to held for sale</w:t>
            </w:r>
          </w:p>
        </w:tc>
        <w:tc>
          <w:tcPr>
            <w:tcW w:w="1361" w:type="dxa"/>
            <w:tcBorders>
              <w:bottom w:val="single" w:sz="2" w:space="0" w:color="auto"/>
            </w:tcBorders>
          </w:tcPr>
          <w:p w14:paraId="721D738C" w14:textId="77777777" w:rsidR="005B36AA" w:rsidRPr="00F2417B" w:rsidRDefault="005B36AA" w:rsidP="005B36AA">
            <w:pPr>
              <w:pStyle w:val="T2"/>
              <w:rPr>
                <w:b/>
              </w:rPr>
            </w:pPr>
            <w:r w:rsidRPr="00F2417B">
              <w:rPr>
                <w:b/>
              </w:rPr>
              <w:t>(0.6)</w:t>
            </w:r>
          </w:p>
        </w:tc>
        <w:tc>
          <w:tcPr>
            <w:tcW w:w="1361" w:type="dxa"/>
            <w:tcBorders>
              <w:bottom w:val="single" w:sz="2" w:space="0" w:color="auto"/>
            </w:tcBorders>
            <w:vAlign w:val="bottom"/>
          </w:tcPr>
          <w:p w14:paraId="6EE6B146" w14:textId="77777777" w:rsidR="005B36AA" w:rsidRPr="00F2417B" w:rsidRDefault="005B36AA" w:rsidP="005B36AA">
            <w:pPr>
              <w:pStyle w:val="T2"/>
              <w:rPr>
                <w:b/>
                <w:bCs/>
              </w:rPr>
            </w:pPr>
            <w:r>
              <w:rPr>
                <w:b/>
              </w:rPr>
              <w:t>–</w:t>
            </w:r>
          </w:p>
        </w:tc>
        <w:tc>
          <w:tcPr>
            <w:tcW w:w="1361" w:type="dxa"/>
            <w:tcBorders>
              <w:bottom w:val="single" w:sz="2" w:space="0" w:color="auto"/>
            </w:tcBorders>
            <w:vAlign w:val="bottom"/>
          </w:tcPr>
          <w:p w14:paraId="232BCE88" w14:textId="77777777" w:rsidR="005B36AA" w:rsidRPr="00F2417B" w:rsidRDefault="005B36AA" w:rsidP="005B36AA">
            <w:pPr>
              <w:pStyle w:val="T2"/>
              <w:rPr>
                <w:b/>
              </w:rPr>
            </w:pPr>
            <w:r w:rsidRPr="00F2417B">
              <w:rPr>
                <w:b/>
              </w:rPr>
              <w:t>(0.1)</w:t>
            </w:r>
          </w:p>
        </w:tc>
        <w:tc>
          <w:tcPr>
            <w:tcW w:w="1361" w:type="dxa"/>
            <w:tcBorders>
              <w:bottom w:val="single" w:sz="2" w:space="0" w:color="auto"/>
            </w:tcBorders>
            <w:vAlign w:val="bottom"/>
          </w:tcPr>
          <w:p w14:paraId="629EF3DF" w14:textId="77777777" w:rsidR="005B36AA" w:rsidRPr="00F2417B" w:rsidRDefault="005B36AA" w:rsidP="005B36AA">
            <w:pPr>
              <w:pStyle w:val="T2"/>
              <w:rPr>
                <w:b/>
              </w:rPr>
            </w:pPr>
            <w:r w:rsidRPr="00F2417B">
              <w:rPr>
                <w:b/>
              </w:rPr>
              <w:t>(0.7)</w:t>
            </w:r>
          </w:p>
        </w:tc>
      </w:tr>
      <w:tr w:rsidR="005B36AA" w14:paraId="4DCE3EB7" w14:textId="77777777" w:rsidTr="005771B0">
        <w:trPr>
          <w:jc w:val="center"/>
        </w:trPr>
        <w:tc>
          <w:tcPr>
            <w:tcW w:w="4337" w:type="dxa"/>
            <w:tcBorders>
              <w:top w:val="single" w:sz="2" w:space="0" w:color="auto"/>
              <w:bottom w:val="single" w:sz="8" w:space="0" w:color="auto"/>
            </w:tcBorders>
            <w:vAlign w:val="bottom"/>
          </w:tcPr>
          <w:p w14:paraId="71A37532" w14:textId="77777777" w:rsidR="005B36AA" w:rsidRPr="005D0EFF" w:rsidRDefault="005B36AA" w:rsidP="005B36AA">
            <w:pPr>
              <w:pStyle w:val="T2"/>
              <w:jc w:val="left"/>
              <w:rPr>
                <w:b/>
              </w:rPr>
            </w:pPr>
            <w:r>
              <w:rPr>
                <w:b/>
              </w:rPr>
              <w:t xml:space="preserve">Right-of-use assets </w:t>
            </w:r>
            <w:proofErr w:type="gramStart"/>
            <w:r>
              <w:rPr>
                <w:b/>
              </w:rPr>
              <w:t>a</w:t>
            </w:r>
            <w:r w:rsidRPr="005D0EFF">
              <w:rPr>
                <w:b/>
              </w:rPr>
              <w:t>t</w:t>
            </w:r>
            <w:proofErr w:type="gramEnd"/>
            <w:r w:rsidRPr="005D0EFF">
              <w:rPr>
                <w:b/>
              </w:rPr>
              <w:t xml:space="preserve"> </w:t>
            </w:r>
            <w:r>
              <w:rPr>
                <w:b/>
              </w:rPr>
              <w:t>25 September 2020</w:t>
            </w:r>
          </w:p>
        </w:tc>
        <w:tc>
          <w:tcPr>
            <w:tcW w:w="1361" w:type="dxa"/>
            <w:tcBorders>
              <w:top w:val="single" w:sz="2" w:space="0" w:color="auto"/>
              <w:bottom w:val="single" w:sz="8" w:space="0" w:color="auto"/>
            </w:tcBorders>
          </w:tcPr>
          <w:p w14:paraId="26D3FA59" w14:textId="38783A00" w:rsidR="005B36AA" w:rsidRPr="00F2417B" w:rsidRDefault="005B36AA">
            <w:pPr>
              <w:pStyle w:val="T2"/>
              <w:rPr>
                <w:b/>
              </w:rPr>
            </w:pPr>
            <w:r w:rsidRPr="00F2417B">
              <w:rPr>
                <w:b/>
              </w:rPr>
              <w:t>36.</w:t>
            </w:r>
            <w:r w:rsidR="0020662E">
              <w:rPr>
                <w:b/>
              </w:rPr>
              <w:t>4</w:t>
            </w:r>
          </w:p>
        </w:tc>
        <w:tc>
          <w:tcPr>
            <w:tcW w:w="1361" w:type="dxa"/>
            <w:tcBorders>
              <w:top w:val="single" w:sz="2" w:space="0" w:color="auto"/>
              <w:bottom w:val="single" w:sz="8" w:space="0" w:color="auto"/>
            </w:tcBorders>
            <w:vAlign w:val="bottom"/>
          </w:tcPr>
          <w:p w14:paraId="2D37F37D" w14:textId="7755DAFA" w:rsidR="005B36AA" w:rsidRPr="00F2417B" w:rsidRDefault="005B36AA">
            <w:pPr>
              <w:pStyle w:val="T2"/>
              <w:rPr>
                <w:b/>
                <w:bCs/>
              </w:rPr>
            </w:pPr>
            <w:r w:rsidRPr="00F2417B">
              <w:rPr>
                <w:b/>
                <w:bCs/>
              </w:rPr>
              <w:t>5.</w:t>
            </w:r>
            <w:r w:rsidR="0020662E">
              <w:rPr>
                <w:b/>
                <w:bCs/>
              </w:rPr>
              <w:t>1</w:t>
            </w:r>
          </w:p>
        </w:tc>
        <w:tc>
          <w:tcPr>
            <w:tcW w:w="1361" w:type="dxa"/>
            <w:tcBorders>
              <w:top w:val="single" w:sz="2" w:space="0" w:color="auto"/>
              <w:bottom w:val="single" w:sz="8" w:space="0" w:color="auto"/>
            </w:tcBorders>
            <w:vAlign w:val="bottom"/>
          </w:tcPr>
          <w:p w14:paraId="5684BD01" w14:textId="77777777" w:rsidR="005B36AA" w:rsidRPr="00F2417B" w:rsidRDefault="005B36AA" w:rsidP="005B36AA">
            <w:pPr>
              <w:pStyle w:val="T2"/>
              <w:rPr>
                <w:b/>
              </w:rPr>
            </w:pPr>
            <w:r w:rsidRPr="00F2417B">
              <w:rPr>
                <w:b/>
              </w:rPr>
              <w:t>14.</w:t>
            </w:r>
            <w:r>
              <w:rPr>
                <w:b/>
              </w:rPr>
              <w:t>1</w:t>
            </w:r>
          </w:p>
        </w:tc>
        <w:tc>
          <w:tcPr>
            <w:tcW w:w="1361" w:type="dxa"/>
            <w:tcBorders>
              <w:top w:val="single" w:sz="2" w:space="0" w:color="auto"/>
              <w:bottom w:val="single" w:sz="8" w:space="0" w:color="auto"/>
            </w:tcBorders>
            <w:vAlign w:val="bottom"/>
          </w:tcPr>
          <w:p w14:paraId="3D53AADA" w14:textId="77777777" w:rsidR="005B36AA" w:rsidRPr="00F2417B" w:rsidRDefault="005B36AA" w:rsidP="005B36AA">
            <w:pPr>
              <w:pStyle w:val="T2"/>
              <w:rPr>
                <w:b/>
              </w:rPr>
            </w:pPr>
            <w:r w:rsidRPr="00F2417B">
              <w:rPr>
                <w:b/>
              </w:rPr>
              <w:t>55.</w:t>
            </w:r>
            <w:r>
              <w:rPr>
                <w:b/>
              </w:rPr>
              <w:t>6</w:t>
            </w:r>
          </w:p>
        </w:tc>
      </w:tr>
    </w:tbl>
    <w:p w14:paraId="136B0E14" w14:textId="77777777" w:rsidR="005B36AA" w:rsidRDefault="005B36AA" w:rsidP="005B36AA">
      <w:pPr>
        <w:pStyle w:val="Paragraph"/>
        <w:spacing w:after="120"/>
      </w:pPr>
      <w:r>
        <w:t xml:space="preserve">   T</w:t>
      </w:r>
      <w:r w:rsidRPr="00381039">
        <w:t xml:space="preserve">he movement in the Group’s </w:t>
      </w:r>
      <w:r>
        <w:t>lease liabilities</w:t>
      </w:r>
      <w:r w:rsidRPr="00381039">
        <w:t xml:space="preserve">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6AD22580" w14:textId="77777777" w:rsidTr="005B36AA">
        <w:trPr>
          <w:jc w:val="center"/>
        </w:trPr>
        <w:tc>
          <w:tcPr>
            <w:tcW w:w="8364" w:type="dxa"/>
            <w:vAlign w:val="bottom"/>
          </w:tcPr>
          <w:p w14:paraId="0D07E06C" w14:textId="77777777" w:rsidR="005B36AA" w:rsidRPr="006D1798" w:rsidRDefault="005B36AA" w:rsidP="005B36AA">
            <w:pPr>
              <w:pStyle w:val="T2"/>
              <w:jc w:val="left"/>
            </w:pPr>
          </w:p>
        </w:tc>
        <w:tc>
          <w:tcPr>
            <w:tcW w:w="1417" w:type="dxa"/>
            <w:vAlign w:val="bottom"/>
          </w:tcPr>
          <w:p w14:paraId="023949D5" w14:textId="77777777" w:rsidR="005B36AA" w:rsidRPr="006215CC" w:rsidRDefault="005B36AA" w:rsidP="005B36AA">
            <w:pPr>
              <w:pStyle w:val="T2"/>
              <w:rPr>
                <w:b/>
              </w:rPr>
            </w:pPr>
            <w:r>
              <w:rPr>
                <w:b/>
              </w:rPr>
              <w:t>Total</w:t>
            </w:r>
          </w:p>
        </w:tc>
      </w:tr>
      <w:tr w:rsidR="005B36AA" w14:paraId="35D04382" w14:textId="77777777" w:rsidTr="005B36AA">
        <w:trPr>
          <w:jc w:val="center"/>
        </w:trPr>
        <w:tc>
          <w:tcPr>
            <w:tcW w:w="8364" w:type="dxa"/>
            <w:tcBorders>
              <w:bottom w:val="single" w:sz="2" w:space="0" w:color="auto"/>
            </w:tcBorders>
            <w:vAlign w:val="bottom"/>
          </w:tcPr>
          <w:p w14:paraId="1AF59764" w14:textId="77777777" w:rsidR="005B36AA" w:rsidRPr="006D1798" w:rsidRDefault="005B36AA" w:rsidP="005B36AA">
            <w:pPr>
              <w:pStyle w:val="T2"/>
              <w:jc w:val="left"/>
            </w:pPr>
          </w:p>
        </w:tc>
        <w:tc>
          <w:tcPr>
            <w:tcW w:w="1417" w:type="dxa"/>
            <w:tcBorders>
              <w:bottom w:val="single" w:sz="2" w:space="0" w:color="auto"/>
            </w:tcBorders>
            <w:vAlign w:val="bottom"/>
          </w:tcPr>
          <w:p w14:paraId="5ABD937F" w14:textId="77777777" w:rsidR="005B36AA" w:rsidRPr="006215CC" w:rsidRDefault="005B36AA" w:rsidP="005B36AA">
            <w:pPr>
              <w:pStyle w:val="T2"/>
              <w:rPr>
                <w:b/>
              </w:rPr>
            </w:pPr>
            <w:r w:rsidRPr="006215CC">
              <w:rPr>
                <w:b/>
              </w:rPr>
              <w:t>£m</w:t>
            </w:r>
          </w:p>
        </w:tc>
      </w:tr>
      <w:tr w:rsidR="005B36AA" w14:paraId="098D19AF" w14:textId="77777777" w:rsidTr="005B36AA">
        <w:trPr>
          <w:jc w:val="center"/>
        </w:trPr>
        <w:tc>
          <w:tcPr>
            <w:tcW w:w="8364" w:type="dxa"/>
            <w:tcBorders>
              <w:top w:val="single" w:sz="2" w:space="0" w:color="auto"/>
            </w:tcBorders>
            <w:vAlign w:val="bottom"/>
          </w:tcPr>
          <w:p w14:paraId="11BA99F0" w14:textId="77777777" w:rsidR="005B36AA" w:rsidRPr="006D1798" w:rsidRDefault="005B36AA" w:rsidP="005B36AA">
            <w:pPr>
              <w:pStyle w:val="T2"/>
              <w:jc w:val="left"/>
            </w:pPr>
            <w:proofErr w:type="gramStart"/>
            <w:r>
              <w:t>At</w:t>
            </w:r>
            <w:proofErr w:type="gramEnd"/>
            <w:r>
              <w:t xml:space="preserve"> 27 September 2019</w:t>
            </w:r>
          </w:p>
        </w:tc>
        <w:tc>
          <w:tcPr>
            <w:tcW w:w="1417" w:type="dxa"/>
            <w:tcBorders>
              <w:top w:val="single" w:sz="2" w:space="0" w:color="auto"/>
            </w:tcBorders>
            <w:vAlign w:val="bottom"/>
          </w:tcPr>
          <w:p w14:paraId="3EB03925" w14:textId="77777777" w:rsidR="005B36AA" w:rsidRPr="006215CC" w:rsidRDefault="005B36AA" w:rsidP="005B36AA">
            <w:pPr>
              <w:pStyle w:val="T2"/>
              <w:rPr>
                <w:b/>
              </w:rPr>
            </w:pPr>
            <w:r>
              <w:rPr>
                <w:b/>
              </w:rPr>
              <w:t>–</w:t>
            </w:r>
          </w:p>
        </w:tc>
      </w:tr>
      <w:tr w:rsidR="005B36AA" w14:paraId="316C7D63" w14:textId="77777777" w:rsidTr="005B36AA">
        <w:trPr>
          <w:jc w:val="center"/>
        </w:trPr>
        <w:tc>
          <w:tcPr>
            <w:tcW w:w="8364" w:type="dxa"/>
            <w:vAlign w:val="bottom"/>
          </w:tcPr>
          <w:p w14:paraId="051F0EDE" w14:textId="33BEA5E0" w:rsidR="005B36AA" w:rsidRPr="006D1798" w:rsidRDefault="005B36AA">
            <w:pPr>
              <w:pStyle w:val="T2"/>
              <w:jc w:val="left"/>
            </w:pPr>
            <w:r>
              <w:t xml:space="preserve">IFRS 16 Transition adjustment (note </w:t>
            </w:r>
            <w:r w:rsidR="00174BC9">
              <w:t>1</w:t>
            </w:r>
            <w:r>
              <w:t>)</w:t>
            </w:r>
          </w:p>
        </w:tc>
        <w:tc>
          <w:tcPr>
            <w:tcW w:w="1417" w:type="dxa"/>
            <w:vAlign w:val="bottom"/>
          </w:tcPr>
          <w:p w14:paraId="138A0848" w14:textId="77777777" w:rsidR="005B36AA" w:rsidRPr="006215CC" w:rsidRDefault="005B36AA" w:rsidP="005B36AA">
            <w:pPr>
              <w:pStyle w:val="T2"/>
              <w:rPr>
                <w:b/>
              </w:rPr>
            </w:pPr>
            <w:r>
              <w:rPr>
                <w:b/>
              </w:rPr>
              <w:t>54.1</w:t>
            </w:r>
          </w:p>
        </w:tc>
      </w:tr>
      <w:tr w:rsidR="005B36AA" w14:paraId="6EB7180A" w14:textId="77777777" w:rsidTr="005B36AA">
        <w:trPr>
          <w:jc w:val="center"/>
        </w:trPr>
        <w:tc>
          <w:tcPr>
            <w:tcW w:w="8364" w:type="dxa"/>
            <w:vAlign w:val="bottom"/>
          </w:tcPr>
          <w:p w14:paraId="2A130087" w14:textId="77777777" w:rsidR="005B36AA" w:rsidRPr="006D1798" w:rsidRDefault="005B36AA" w:rsidP="005B36AA">
            <w:pPr>
              <w:pStyle w:val="T2"/>
              <w:jc w:val="left"/>
            </w:pPr>
            <w:r>
              <w:t xml:space="preserve">Additions </w:t>
            </w:r>
          </w:p>
        </w:tc>
        <w:tc>
          <w:tcPr>
            <w:tcW w:w="1417" w:type="dxa"/>
            <w:vAlign w:val="bottom"/>
          </w:tcPr>
          <w:p w14:paraId="36081269" w14:textId="33EE625C" w:rsidR="005B36AA" w:rsidRPr="00162981" w:rsidRDefault="005B36AA">
            <w:pPr>
              <w:pStyle w:val="T2"/>
              <w:rPr>
                <w:b/>
              </w:rPr>
            </w:pPr>
            <w:r w:rsidRPr="00162981">
              <w:rPr>
                <w:b/>
              </w:rPr>
              <w:t>20.</w:t>
            </w:r>
            <w:r w:rsidR="0020662E">
              <w:rPr>
                <w:b/>
              </w:rPr>
              <w:t>3</w:t>
            </w:r>
          </w:p>
        </w:tc>
      </w:tr>
      <w:tr w:rsidR="005B36AA" w14:paraId="5FD88607" w14:textId="77777777" w:rsidTr="005B36AA">
        <w:trPr>
          <w:jc w:val="center"/>
        </w:trPr>
        <w:tc>
          <w:tcPr>
            <w:tcW w:w="8364" w:type="dxa"/>
            <w:vAlign w:val="bottom"/>
          </w:tcPr>
          <w:p w14:paraId="012225EE" w14:textId="77777777" w:rsidR="005B36AA" w:rsidRDefault="005B36AA" w:rsidP="005B36AA">
            <w:pPr>
              <w:pStyle w:val="T2"/>
              <w:jc w:val="left"/>
            </w:pPr>
            <w:r>
              <w:t xml:space="preserve">Disposals </w:t>
            </w:r>
          </w:p>
        </w:tc>
        <w:tc>
          <w:tcPr>
            <w:tcW w:w="1417" w:type="dxa"/>
            <w:vAlign w:val="bottom"/>
          </w:tcPr>
          <w:p w14:paraId="1615DD53" w14:textId="5B40310C" w:rsidR="005B36AA" w:rsidRPr="00162981" w:rsidRDefault="005B36AA">
            <w:pPr>
              <w:pStyle w:val="T2"/>
              <w:rPr>
                <w:b/>
              </w:rPr>
            </w:pPr>
            <w:r w:rsidRPr="00162981">
              <w:rPr>
                <w:b/>
              </w:rPr>
              <w:t>(</w:t>
            </w:r>
            <w:r w:rsidR="0020662E">
              <w:rPr>
                <w:b/>
              </w:rPr>
              <w:t>0.9</w:t>
            </w:r>
            <w:r w:rsidRPr="00162981">
              <w:rPr>
                <w:b/>
              </w:rPr>
              <w:t>)</w:t>
            </w:r>
          </w:p>
        </w:tc>
      </w:tr>
      <w:tr w:rsidR="005B36AA" w14:paraId="5C4045A2" w14:textId="77777777" w:rsidTr="005B36AA">
        <w:trPr>
          <w:jc w:val="center"/>
        </w:trPr>
        <w:tc>
          <w:tcPr>
            <w:tcW w:w="8364" w:type="dxa"/>
            <w:vAlign w:val="bottom"/>
          </w:tcPr>
          <w:p w14:paraId="109AADD3" w14:textId="77777777" w:rsidR="005B36AA" w:rsidRDefault="002466BB" w:rsidP="004871D5">
            <w:pPr>
              <w:pStyle w:val="T2"/>
              <w:jc w:val="left"/>
            </w:pPr>
            <w:r>
              <w:t xml:space="preserve">Lease </w:t>
            </w:r>
            <w:r w:rsidR="004871D5">
              <w:t>term</w:t>
            </w:r>
            <w:r>
              <w:t xml:space="preserve"> m</w:t>
            </w:r>
            <w:r w:rsidR="005B36AA">
              <w:t>odification</w:t>
            </w:r>
          </w:p>
        </w:tc>
        <w:tc>
          <w:tcPr>
            <w:tcW w:w="1417" w:type="dxa"/>
            <w:vAlign w:val="bottom"/>
          </w:tcPr>
          <w:p w14:paraId="190B2968" w14:textId="48A67A17" w:rsidR="005B36AA" w:rsidRPr="00162981" w:rsidRDefault="005B36AA">
            <w:pPr>
              <w:pStyle w:val="T2"/>
              <w:rPr>
                <w:b/>
              </w:rPr>
            </w:pPr>
            <w:r w:rsidRPr="00162981">
              <w:rPr>
                <w:b/>
              </w:rPr>
              <w:t>(0.</w:t>
            </w:r>
            <w:r w:rsidR="0020662E">
              <w:rPr>
                <w:b/>
              </w:rPr>
              <w:t>9</w:t>
            </w:r>
            <w:r w:rsidRPr="00162981">
              <w:rPr>
                <w:b/>
              </w:rPr>
              <w:t>)</w:t>
            </w:r>
          </w:p>
        </w:tc>
      </w:tr>
      <w:tr w:rsidR="005B36AA" w14:paraId="04F97228" w14:textId="77777777" w:rsidTr="004871D5">
        <w:trPr>
          <w:jc w:val="center"/>
        </w:trPr>
        <w:tc>
          <w:tcPr>
            <w:tcW w:w="8364" w:type="dxa"/>
            <w:vAlign w:val="bottom"/>
          </w:tcPr>
          <w:p w14:paraId="28BC434D" w14:textId="77777777" w:rsidR="005B36AA" w:rsidRPr="006D1798" w:rsidRDefault="005B36AA" w:rsidP="005B36AA">
            <w:pPr>
              <w:pStyle w:val="T2"/>
              <w:jc w:val="left"/>
            </w:pPr>
            <w:r>
              <w:t>Payments</w:t>
            </w:r>
          </w:p>
        </w:tc>
        <w:tc>
          <w:tcPr>
            <w:tcW w:w="1417" w:type="dxa"/>
            <w:vAlign w:val="bottom"/>
          </w:tcPr>
          <w:p w14:paraId="596EA694" w14:textId="77777777" w:rsidR="005B36AA" w:rsidRPr="00162981" w:rsidRDefault="005B36AA" w:rsidP="005B36AA">
            <w:pPr>
              <w:pStyle w:val="T2"/>
              <w:rPr>
                <w:b/>
              </w:rPr>
            </w:pPr>
            <w:r w:rsidRPr="00162981">
              <w:rPr>
                <w:b/>
              </w:rPr>
              <w:t>(12.4)</w:t>
            </w:r>
          </w:p>
        </w:tc>
      </w:tr>
      <w:tr w:rsidR="005B36AA" w14:paraId="75415D07" w14:textId="77777777" w:rsidTr="004871D5">
        <w:trPr>
          <w:jc w:val="center"/>
        </w:trPr>
        <w:tc>
          <w:tcPr>
            <w:tcW w:w="8364" w:type="dxa"/>
            <w:vAlign w:val="bottom"/>
          </w:tcPr>
          <w:p w14:paraId="709D1BB4" w14:textId="77777777" w:rsidR="005B36AA" w:rsidRDefault="005B36AA" w:rsidP="005B36AA">
            <w:pPr>
              <w:pStyle w:val="T2"/>
              <w:jc w:val="left"/>
            </w:pPr>
            <w:r>
              <w:t xml:space="preserve">Lease interest </w:t>
            </w:r>
          </w:p>
        </w:tc>
        <w:tc>
          <w:tcPr>
            <w:tcW w:w="1417" w:type="dxa"/>
            <w:vAlign w:val="bottom"/>
          </w:tcPr>
          <w:p w14:paraId="563CCAEA" w14:textId="77777777" w:rsidR="005B36AA" w:rsidRPr="00162981" w:rsidRDefault="005B36AA" w:rsidP="005B36AA">
            <w:pPr>
              <w:pStyle w:val="T2"/>
              <w:rPr>
                <w:b/>
              </w:rPr>
            </w:pPr>
            <w:r w:rsidRPr="00162981">
              <w:rPr>
                <w:b/>
              </w:rPr>
              <w:t>1.2</w:t>
            </w:r>
          </w:p>
        </w:tc>
      </w:tr>
      <w:tr w:rsidR="005B36AA" w14:paraId="6FC1AF60" w14:textId="77777777" w:rsidTr="005B36AA">
        <w:trPr>
          <w:jc w:val="center"/>
        </w:trPr>
        <w:tc>
          <w:tcPr>
            <w:tcW w:w="8364" w:type="dxa"/>
            <w:tcBorders>
              <w:bottom w:val="single" w:sz="2" w:space="0" w:color="auto"/>
            </w:tcBorders>
            <w:vAlign w:val="bottom"/>
          </w:tcPr>
          <w:p w14:paraId="679AD691" w14:textId="77777777" w:rsidR="005B36AA" w:rsidRDefault="005B36AA" w:rsidP="005B36AA">
            <w:pPr>
              <w:pStyle w:val="T2"/>
              <w:jc w:val="left"/>
            </w:pPr>
            <w:r>
              <w:t>Liabilities transferred to held for sale</w:t>
            </w:r>
          </w:p>
        </w:tc>
        <w:tc>
          <w:tcPr>
            <w:tcW w:w="1417" w:type="dxa"/>
            <w:tcBorders>
              <w:bottom w:val="single" w:sz="2" w:space="0" w:color="auto"/>
            </w:tcBorders>
            <w:vAlign w:val="bottom"/>
          </w:tcPr>
          <w:p w14:paraId="3A2670C9" w14:textId="77777777" w:rsidR="005B36AA" w:rsidRPr="000B032D" w:rsidRDefault="005B36AA" w:rsidP="005B36AA">
            <w:pPr>
              <w:pStyle w:val="T2"/>
              <w:rPr>
                <w:b/>
              </w:rPr>
            </w:pPr>
            <w:r w:rsidRPr="000B032D">
              <w:rPr>
                <w:b/>
              </w:rPr>
              <w:t>(0.7)</w:t>
            </w:r>
          </w:p>
        </w:tc>
      </w:tr>
      <w:tr w:rsidR="005B36AA" w14:paraId="6D27897B" w14:textId="77777777" w:rsidTr="005771B0">
        <w:trPr>
          <w:jc w:val="center"/>
        </w:trPr>
        <w:tc>
          <w:tcPr>
            <w:tcW w:w="8364" w:type="dxa"/>
            <w:tcBorders>
              <w:top w:val="single" w:sz="2" w:space="0" w:color="auto"/>
              <w:bottom w:val="single" w:sz="8" w:space="0" w:color="auto"/>
            </w:tcBorders>
            <w:vAlign w:val="bottom"/>
          </w:tcPr>
          <w:p w14:paraId="7471E657" w14:textId="77777777" w:rsidR="005B36AA" w:rsidRPr="006215CC" w:rsidRDefault="005B36AA" w:rsidP="005B36AA">
            <w:pPr>
              <w:pStyle w:val="T2"/>
              <w:jc w:val="left"/>
              <w:rPr>
                <w:b/>
              </w:rPr>
            </w:pPr>
            <w:r>
              <w:rPr>
                <w:b/>
              </w:rPr>
              <w:t xml:space="preserve">Lease liabilities </w:t>
            </w:r>
            <w:proofErr w:type="gramStart"/>
            <w:r>
              <w:rPr>
                <w:b/>
              </w:rPr>
              <w:t>at</w:t>
            </w:r>
            <w:proofErr w:type="gramEnd"/>
            <w:r w:rsidRPr="006215CC">
              <w:rPr>
                <w:b/>
              </w:rPr>
              <w:t xml:space="preserve"> </w:t>
            </w:r>
            <w:r>
              <w:rPr>
                <w:b/>
              </w:rPr>
              <w:t>25 September</w:t>
            </w:r>
            <w:r w:rsidRPr="006215CC">
              <w:rPr>
                <w:b/>
              </w:rPr>
              <w:t xml:space="preserve"> 2020</w:t>
            </w:r>
          </w:p>
        </w:tc>
        <w:tc>
          <w:tcPr>
            <w:tcW w:w="1417" w:type="dxa"/>
            <w:tcBorders>
              <w:top w:val="single" w:sz="2" w:space="0" w:color="auto"/>
              <w:bottom w:val="single" w:sz="8" w:space="0" w:color="auto"/>
            </w:tcBorders>
            <w:vAlign w:val="bottom"/>
          </w:tcPr>
          <w:p w14:paraId="509E8A2C" w14:textId="35A6B14D" w:rsidR="005B36AA" w:rsidRPr="000B032D" w:rsidRDefault="005B36AA">
            <w:pPr>
              <w:pStyle w:val="T2"/>
              <w:rPr>
                <w:b/>
              </w:rPr>
            </w:pPr>
            <w:r w:rsidRPr="000B032D">
              <w:rPr>
                <w:b/>
              </w:rPr>
              <w:t>60.</w:t>
            </w:r>
            <w:r w:rsidR="0020662E">
              <w:rPr>
                <w:b/>
              </w:rPr>
              <w:t>7</w:t>
            </w:r>
          </w:p>
        </w:tc>
      </w:tr>
    </w:tbl>
    <w:p w14:paraId="00D8B243" w14:textId="77777777" w:rsidR="00A4402D" w:rsidRDefault="00A4402D" w:rsidP="005B36AA">
      <w:pPr>
        <w:pStyle w:val="Paragraph"/>
        <w:spacing w:before="0" w:after="120"/>
        <w:jc w:val="both"/>
      </w:pPr>
    </w:p>
    <w:p w14:paraId="143B528A" w14:textId="77777777" w:rsidR="005B36AA" w:rsidRDefault="005B36AA" w:rsidP="005B36AA">
      <w:pPr>
        <w:pStyle w:val="Paragraph"/>
        <w:spacing w:before="0" w:after="120"/>
        <w:jc w:val="both"/>
      </w:pPr>
      <w:r w:rsidRPr="00381039">
        <w:t xml:space="preserve">An analysis of the maturity profile </w:t>
      </w:r>
      <w:r>
        <w:t>of the discounted lease liabilities</w:t>
      </w:r>
      <w:r w:rsidRPr="00381039">
        <w:t xml:space="preserve"> arising from the Group’s leasing activities as </w:t>
      </w:r>
      <w:proofErr w:type="gramStart"/>
      <w:r w:rsidRPr="00381039">
        <w:t>at</w:t>
      </w:r>
      <w:proofErr w:type="gramEnd"/>
      <w:r w:rsidRPr="00381039">
        <w:t xml:space="preserve"> </w:t>
      </w:r>
      <w:r>
        <w:t>25 September 2020</w:t>
      </w:r>
      <w:r w:rsidRPr="00381039">
        <w:t xml:space="preserve"> is as follows:</w:t>
      </w:r>
    </w:p>
    <w:tbl>
      <w:tblPr>
        <w:tblStyle w:val="TableGrid"/>
        <w:tblW w:w="968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84"/>
        <w:gridCol w:w="1843"/>
        <w:gridCol w:w="1038"/>
      </w:tblGrid>
      <w:tr w:rsidR="005B36AA" w14:paraId="5AC4CD48" w14:textId="77777777" w:rsidTr="005B36AA">
        <w:tc>
          <w:tcPr>
            <w:tcW w:w="8647" w:type="dxa"/>
            <w:gridSpan w:val="3"/>
            <w:vAlign w:val="bottom"/>
          </w:tcPr>
          <w:p w14:paraId="42DA3354" w14:textId="77777777" w:rsidR="005B36AA" w:rsidRPr="00453A62" w:rsidRDefault="005B36AA" w:rsidP="005B36AA">
            <w:pPr>
              <w:pStyle w:val="T2"/>
              <w:jc w:val="left"/>
              <w:rPr>
                <w:b/>
              </w:rPr>
            </w:pPr>
          </w:p>
        </w:tc>
        <w:tc>
          <w:tcPr>
            <w:tcW w:w="1038" w:type="dxa"/>
            <w:vAlign w:val="bottom"/>
          </w:tcPr>
          <w:p w14:paraId="47EFEF86" w14:textId="56ECB4DB" w:rsidR="005B36AA" w:rsidRPr="00453A62" w:rsidRDefault="005B36AA" w:rsidP="005B36AA">
            <w:pPr>
              <w:pStyle w:val="T2"/>
              <w:rPr>
                <w:b/>
              </w:rPr>
            </w:pPr>
            <w:r>
              <w:rPr>
                <w:b/>
              </w:rPr>
              <w:t xml:space="preserve">    2020</w:t>
            </w:r>
          </w:p>
        </w:tc>
      </w:tr>
      <w:tr w:rsidR="005B36AA" w14:paraId="15A11B09" w14:textId="77777777" w:rsidTr="005B36AA">
        <w:tc>
          <w:tcPr>
            <w:tcW w:w="8647" w:type="dxa"/>
            <w:gridSpan w:val="3"/>
            <w:tcBorders>
              <w:bottom w:val="single" w:sz="2" w:space="0" w:color="auto"/>
            </w:tcBorders>
            <w:vAlign w:val="bottom"/>
          </w:tcPr>
          <w:p w14:paraId="4B0428AF" w14:textId="77777777" w:rsidR="005B36AA" w:rsidRPr="00453A62" w:rsidRDefault="005B36AA" w:rsidP="005B36AA">
            <w:pPr>
              <w:pStyle w:val="T2"/>
              <w:jc w:val="left"/>
              <w:rPr>
                <w:b/>
              </w:rPr>
            </w:pPr>
          </w:p>
        </w:tc>
        <w:tc>
          <w:tcPr>
            <w:tcW w:w="1038" w:type="dxa"/>
            <w:tcBorders>
              <w:bottom w:val="single" w:sz="2" w:space="0" w:color="auto"/>
            </w:tcBorders>
            <w:vAlign w:val="bottom"/>
          </w:tcPr>
          <w:p w14:paraId="7999A021" w14:textId="77777777" w:rsidR="005B36AA" w:rsidRPr="00453A62" w:rsidRDefault="005B36AA" w:rsidP="005B36AA">
            <w:pPr>
              <w:pStyle w:val="T2"/>
              <w:rPr>
                <w:b/>
              </w:rPr>
            </w:pPr>
            <w:r w:rsidRPr="00453A62">
              <w:rPr>
                <w:b/>
              </w:rPr>
              <w:t>£m</w:t>
            </w:r>
          </w:p>
        </w:tc>
      </w:tr>
      <w:tr w:rsidR="005B36AA" w14:paraId="565F4060" w14:textId="77777777" w:rsidTr="005B36AA">
        <w:tc>
          <w:tcPr>
            <w:tcW w:w="8647" w:type="dxa"/>
            <w:gridSpan w:val="3"/>
            <w:tcBorders>
              <w:top w:val="single" w:sz="2" w:space="0" w:color="auto"/>
            </w:tcBorders>
            <w:vAlign w:val="bottom"/>
          </w:tcPr>
          <w:p w14:paraId="6096E449" w14:textId="77777777" w:rsidR="005B36AA" w:rsidRPr="00D44C1D" w:rsidRDefault="005B36AA" w:rsidP="005B36AA">
            <w:pPr>
              <w:pStyle w:val="T2"/>
              <w:jc w:val="left"/>
            </w:pPr>
            <w:r>
              <w:t>Within one year</w:t>
            </w:r>
            <w:r w:rsidRPr="00D44C1D">
              <w:t xml:space="preserve"> </w:t>
            </w:r>
          </w:p>
        </w:tc>
        <w:tc>
          <w:tcPr>
            <w:tcW w:w="1038" w:type="dxa"/>
            <w:tcBorders>
              <w:top w:val="single" w:sz="2" w:space="0" w:color="auto"/>
            </w:tcBorders>
            <w:vAlign w:val="bottom"/>
          </w:tcPr>
          <w:p w14:paraId="17C0B151" w14:textId="51E32640" w:rsidR="005B36AA" w:rsidRPr="000B032D" w:rsidRDefault="005B36AA" w:rsidP="005B36AA">
            <w:pPr>
              <w:pStyle w:val="T2"/>
              <w:rPr>
                <w:b/>
              </w:rPr>
            </w:pPr>
            <w:r w:rsidRPr="000B032D">
              <w:rPr>
                <w:b/>
              </w:rPr>
              <w:t>1</w:t>
            </w:r>
            <w:r w:rsidR="0020662E">
              <w:rPr>
                <w:b/>
              </w:rPr>
              <w:t>4.1</w:t>
            </w:r>
          </w:p>
        </w:tc>
      </w:tr>
      <w:tr w:rsidR="005B36AA" w14:paraId="2AC1742A" w14:textId="77777777" w:rsidTr="005B36AA">
        <w:tc>
          <w:tcPr>
            <w:tcW w:w="8647" w:type="dxa"/>
            <w:gridSpan w:val="3"/>
            <w:vAlign w:val="bottom"/>
          </w:tcPr>
          <w:p w14:paraId="1F357573" w14:textId="77777777" w:rsidR="005B36AA" w:rsidRPr="00D44C1D" w:rsidRDefault="005B36AA" w:rsidP="005B36AA">
            <w:pPr>
              <w:pStyle w:val="T2"/>
              <w:jc w:val="left"/>
            </w:pPr>
            <w:r>
              <w:t>Between one and five years</w:t>
            </w:r>
          </w:p>
        </w:tc>
        <w:tc>
          <w:tcPr>
            <w:tcW w:w="1038" w:type="dxa"/>
            <w:vAlign w:val="bottom"/>
          </w:tcPr>
          <w:p w14:paraId="60E776B2" w14:textId="77777777" w:rsidR="005B36AA" w:rsidRPr="000B032D" w:rsidRDefault="005B36AA" w:rsidP="005B36AA">
            <w:pPr>
              <w:pStyle w:val="T2"/>
              <w:rPr>
                <w:b/>
              </w:rPr>
            </w:pPr>
            <w:r w:rsidRPr="000B032D">
              <w:rPr>
                <w:b/>
              </w:rPr>
              <w:t>32.5</w:t>
            </w:r>
          </w:p>
        </w:tc>
      </w:tr>
      <w:tr w:rsidR="005B36AA" w14:paraId="5619747F" w14:textId="77777777" w:rsidTr="005B36AA">
        <w:tc>
          <w:tcPr>
            <w:tcW w:w="8647" w:type="dxa"/>
            <w:gridSpan w:val="3"/>
            <w:tcBorders>
              <w:bottom w:val="single" w:sz="2" w:space="0" w:color="auto"/>
            </w:tcBorders>
            <w:vAlign w:val="bottom"/>
          </w:tcPr>
          <w:p w14:paraId="5A923F81" w14:textId="77777777" w:rsidR="005B36AA" w:rsidRPr="00D44C1D" w:rsidRDefault="005B36AA" w:rsidP="005B36AA">
            <w:pPr>
              <w:pStyle w:val="T2"/>
              <w:jc w:val="left"/>
            </w:pPr>
            <w:r>
              <w:t>Over 5 years</w:t>
            </w:r>
          </w:p>
        </w:tc>
        <w:tc>
          <w:tcPr>
            <w:tcW w:w="1038" w:type="dxa"/>
            <w:tcBorders>
              <w:bottom w:val="single" w:sz="2" w:space="0" w:color="auto"/>
            </w:tcBorders>
            <w:vAlign w:val="bottom"/>
          </w:tcPr>
          <w:p w14:paraId="379B264F" w14:textId="77777777" w:rsidR="005B36AA" w:rsidRPr="000B032D" w:rsidRDefault="005B36AA" w:rsidP="005B36AA">
            <w:pPr>
              <w:pStyle w:val="T2"/>
              <w:rPr>
                <w:b/>
              </w:rPr>
            </w:pPr>
            <w:r w:rsidRPr="000B032D">
              <w:rPr>
                <w:b/>
              </w:rPr>
              <w:t>14.1</w:t>
            </w:r>
          </w:p>
        </w:tc>
      </w:tr>
      <w:tr w:rsidR="005B36AA" w14:paraId="7954891F" w14:textId="77777777" w:rsidTr="005B36AA">
        <w:tc>
          <w:tcPr>
            <w:tcW w:w="8647" w:type="dxa"/>
            <w:gridSpan w:val="3"/>
            <w:tcBorders>
              <w:top w:val="single" w:sz="2" w:space="0" w:color="auto"/>
              <w:bottom w:val="single" w:sz="8" w:space="0" w:color="auto"/>
            </w:tcBorders>
            <w:vAlign w:val="bottom"/>
          </w:tcPr>
          <w:p w14:paraId="29971723" w14:textId="77777777" w:rsidR="005B36AA" w:rsidRPr="00453A62" w:rsidRDefault="005B36AA" w:rsidP="005B36AA">
            <w:pPr>
              <w:pStyle w:val="T2"/>
              <w:jc w:val="left"/>
              <w:rPr>
                <w:b/>
              </w:rPr>
            </w:pPr>
            <w:r>
              <w:rPr>
                <w:b/>
              </w:rPr>
              <w:t>Total</w:t>
            </w:r>
          </w:p>
        </w:tc>
        <w:tc>
          <w:tcPr>
            <w:tcW w:w="1038" w:type="dxa"/>
            <w:tcBorders>
              <w:top w:val="single" w:sz="2" w:space="0" w:color="auto"/>
              <w:bottom w:val="single" w:sz="8" w:space="0" w:color="auto"/>
            </w:tcBorders>
            <w:vAlign w:val="bottom"/>
          </w:tcPr>
          <w:p w14:paraId="245F5BE1" w14:textId="123F4649" w:rsidR="005B36AA" w:rsidRPr="000B032D" w:rsidRDefault="005B36AA" w:rsidP="005B36AA">
            <w:pPr>
              <w:pStyle w:val="T2"/>
              <w:rPr>
                <w:b/>
              </w:rPr>
            </w:pPr>
            <w:r w:rsidRPr="000B032D">
              <w:rPr>
                <w:b/>
              </w:rPr>
              <w:t>60.</w:t>
            </w:r>
            <w:r w:rsidR="0020662E">
              <w:rPr>
                <w:b/>
              </w:rPr>
              <w:t>7</w:t>
            </w:r>
          </w:p>
        </w:tc>
      </w:tr>
      <w:tr w:rsidR="005B36AA" w14:paraId="0D7DD083" w14:textId="77777777" w:rsidTr="005B36AA">
        <w:tc>
          <w:tcPr>
            <w:tcW w:w="4820" w:type="dxa"/>
            <w:tcBorders>
              <w:bottom w:val="single" w:sz="2" w:space="0" w:color="auto"/>
            </w:tcBorders>
          </w:tcPr>
          <w:p w14:paraId="3B1D67EB" w14:textId="77777777" w:rsidR="005B36AA" w:rsidRPr="00923DB3" w:rsidRDefault="005B36AA" w:rsidP="005B36AA">
            <w:pPr>
              <w:pStyle w:val="T2"/>
            </w:pPr>
          </w:p>
        </w:tc>
        <w:tc>
          <w:tcPr>
            <w:tcW w:w="1984" w:type="dxa"/>
            <w:tcBorders>
              <w:bottom w:val="single" w:sz="2" w:space="0" w:color="auto"/>
            </w:tcBorders>
            <w:vAlign w:val="bottom"/>
          </w:tcPr>
          <w:p w14:paraId="72286D5F" w14:textId="77777777" w:rsidR="005B36AA" w:rsidRPr="00923DB3" w:rsidRDefault="005B36AA" w:rsidP="005B36AA">
            <w:pPr>
              <w:pStyle w:val="T2"/>
              <w:rPr>
                <w:b/>
              </w:rPr>
            </w:pPr>
          </w:p>
        </w:tc>
        <w:tc>
          <w:tcPr>
            <w:tcW w:w="1843" w:type="dxa"/>
            <w:tcBorders>
              <w:bottom w:val="single" w:sz="2" w:space="0" w:color="auto"/>
            </w:tcBorders>
            <w:vAlign w:val="bottom"/>
          </w:tcPr>
          <w:p w14:paraId="13F8CEE6" w14:textId="77777777" w:rsidR="005B36AA" w:rsidRPr="00923DB3" w:rsidRDefault="005B36AA" w:rsidP="005B36AA">
            <w:pPr>
              <w:pStyle w:val="T2"/>
              <w:rPr>
                <w:b/>
              </w:rPr>
            </w:pPr>
          </w:p>
        </w:tc>
        <w:tc>
          <w:tcPr>
            <w:tcW w:w="1038" w:type="dxa"/>
            <w:tcBorders>
              <w:bottom w:val="single" w:sz="2" w:space="0" w:color="auto"/>
            </w:tcBorders>
            <w:vAlign w:val="bottom"/>
          </w:tcPr>
          <w:p w14:paraId="4B260AEC" w14:textId="77777777" w:rsidR="005B36AA" w:rsidRPr="00BF2283" w:rsidRDefault="005B36AA" w:rsidP="005B36AA">
            <w:pPr>
              <w:pStyle w:val="T2"/>
              <w:rPr>
                <w:highlight w:val="yellow"/>
              </w:rPr>
            </w:pPr>
          </w:p>
        </w:tc>
      </w:tr>
      <w:tr w:rsidR="005B36AA" w14:paraId="433D9649" w14:textId="77777777" w:rsidTr="005B36AA">
        <w:tc>
          <w:tcPr>
            <w:tcW w:w="4820" w:type="dxa"/>
            <w:tcBorders>
              <w:top w:val="single" w:sz="2" w:space="0" w:color="auto"/>
            </w:tcBorders>
            <w:vAlign w:val="bottom"/>
          </w:tcPr>
          <w:p w14:paraId="2EB4DDB9" w14:textId="77777777" w:rsidR="005B36AA" w:rsidRPr="00923DB3" w:rsidRDefault="005B36AA" w:rsidP="005B36AA">
            <w:pPr>
              <w:pStyle w:val="T2"/>
              <w:jc w:val="left"/>
              <w:rPr>
                <w:b/>
              </w:rPr>
            </w:pPr>
            <w:r w:rsidRPr="00923DB3">
              <w:rPr>
                <w:b/>
              </w:rPr>
              <w:t xml:space="preserve">Analysed as: </w:t>
            </w:r>
          </w:p>
        </w:tc>
        <w:tc>
          <w:tcPr>
            <w:tcW w:w="1984" w:type="dxa"/>
            <w:tcBorders>
              <w:top w:val="single" w:sz="2" w:space="0" w:color="auto"/>
            </w:tcBorders>
            <w:vAlign w:val="bottom"/>
          </w:tcPr>
          <w:p w14:paraId="6BAADB85" w14:textId="77777777" w:rsidR="005B36AA" w:rsidRPr="00923DB3" w:rsidRDefault="005B36AA" w:rsidP="005B36AA">
            <w:pPr>
              <w:pStyle w:val="T2"/>
            </w:pPr>
          </w:p>
        </w:tc>
        <w:tc>
          <w:tcPr>
            <w:tcW w:w="1843" w:type="dxa"/>
            <w:tcBorders>
              <w:top w:val="single" w:sz="2" w:space="0" w:color="auto"/>
            </w:tcBorders>
            <w:vAlign w:val="bottom"/>
          </w:tcPr>
          <w:p w14:paraId="14B46AF1" w14:textId="77777777" w:rsidR="005B36AA" w:rsidRPr="00923DB3" w:rsidRDefault="005B36AA" w:rsidP="005B36AA">
            <w:pPr>
              <w:pStyle w:val="T2"/>
            </w:pPr>
          </w:p>
        </w:tc>
        <w:tc>
          <w:tcPr>
            <w:tcW w:w="1038" w:type="dxa"/>
            <w:tcBorders>
              <w:top w:val="single" w:sz="2" w:space="0" w:color="auto"/>
            </w:tcBorders>
            <w:vAlign w:val="bottom"/>
          </w:tcPr>
          <w:p w14:paraId="68774922" w14:textId="77777777" w:rsidR="005B36AA" w:rsidRPr="00BF2283" w:rsidRDefault="005B36AA" w:rsidP="005B36AA">
            <w:pPr>
              <w:pStyle w:val="T2"/>
              <w:rPr>
                <w:highlight w:val="yellow"/>
              </w:rPr>
            </w:pPr>
          </w:p>
        </w:tc>
      </w:tr>
      <w:tr w:rsidR="005B36AA" w14:paraId="12DFBF8B" w14:textId="77777777" w:rsidTr="005B36AA">
        <w:tc>
          <w:tcPr>
            <w:tcW w:w="4820" w:type="dxa"/>
            <w:vAlign w:val="bottom"/>
          </w:tcPr>
          <w:p w14:paraId="2CBB4ECE" w14:textId="77777777" w:rsidR="005B36AA" w:rsidRPr="00923DB3" w:rsidRDefault="005B36AA" w:rsidP="005B36AA">
            <w:pPr>
              <w:pStyle w:val="T2"/>
              <w:jc w:val="left"/>
            </w:pPr>
            <w:r w:rsidRPr="00923DB3">
              <w:t>Current liabilities</w:t>
            </w:r>
          </w:p>
        </w:tc>
        <w:tc>
          <w:tcPr>
            <w:tcW w:w="1984" w:type="dxa"/>
            <w:vAlign w:val="bottom"/>
          </w:tcPr>
          <w:p w14:paraId="28CAF7F9" w14:textId="77777777" w:rsidR="005B36AA" w:rsidRPr="00453A62" w:rsidRDefault="005B36AA" w:rsidP="005B36AA">
            <w:pPr>
              <w:pStyle w:val="T2"/>
              <w:rPr>
                <w:b/>
              </w:rPr>
            </w:pPr>
          </w:p>
        </w:tc>
        <w:tc>
          <w:tcPr>
            <w:tcW w:w="1843" w:type="dxa"/>
            <w:vAlign w:val="bottom"/>
          </w:tcPr>
          <w:p w14:paraId="0D97DBB5" w14:textId="77777777" w:rsidR="005B36AA" w:rsidRPr="00453A62" w:rsidRDefault="005B36AA" w:rsidP="005B36AA">
            <w:pPr>
              <w:pStyle w:val="T2"/>
              <w:rPr>
                <w:b/>
              </w:rPr>
            </w:pPr>
          </w:p>
        </w:tc>
        <w:tc>
          <w:tcPr>
            <w:tcW w:w="1038" w:type="dxa"/>
            <w:vAlign w:val="bottom"/>
          </w:tcPr>
          <w:p w14:paraId="15D476D6" w14:textId="20781A9D" w:rsidR="005B36AA" w:rsidRPr="000B032D" w:rsidRDefault="005B36AA" w:rsidP="005B36AA">
            <w:pPr>
              <w:pStyle w:val="T2"/>
              <w:rPr>
                <w:b/>
              </w:rPr>
            </w:pPr>
            <w:r w:rsidRPr="000B032D">
              <w:rPr>
                <w:b/>
              </w:rPr>
              <w:t>1</w:t>
            </w:r>
            <w:r w:rsidR="0020662E">
              <w:rPr>
                <w:b/>
              </w:rPr>
              <w:t>4.1</w:t>
            </w:r>
          </w:p>
        </w:tc>
      </w:tr>
      <w:tr w:rsidR="005B36AA" w14:paraId="2157BA4D" w14:textId="77777777" w:rsidTr="005B36AA">
        <w:tc>
          <w:tcPr>
            <w:tcW w:w="4820" w:type="dxa"/>
            <w:vAlign w:val="bottom"/>
          </w:tcPr>
          <w:p w14:paraId="2CC3FC22" w14:textId="77777777" w:rsidR="005B36AA" w:rsidRPr="00923DB3" w:rsidRDefault="005B36AA" w:rsidP="005B36AA">
            <w:pPr>
              <w:pStyle w:val="T2"/>
              <w:jc w:val="left"/>
            </w:pPr>
            <w:r w:rsidRPr="00923DB3">
              <w:t>Non</w:t>
            </w:r>
            <w:r>
              <w:t>–</w:t>
            </w:r>
            <w:r w:rsidRPr="00923DB3">
              <w:t>current liabilities</w:t>
            </w:r>
          </w:p>
        </w:tc>
        <w:tc>
          <w:tcPr>
            <w:tcW w:w="1984" w:type="dxa"/>
            <w:vAlign w:val="bottom"/>
          </w:tcPr>
          <w:p w14:paraId="75AC6683" w14:textId="77777777" w:rsidR="005B36AA" w:rsidRPr="00453A62" w:rsidRDefault="005B36AA" w:rsidP="005B36AA">
            <w:pPr>
              <w:pStyle w:val="T2"/>
              <w:rPr>
                <w:b/>
              </w:rPr>
            </w:pPr>
          </w:p>
        </w:tc>
        <w:tc>
          <w:tcPr>
            <w:tcW w:w="1843" w:type="dxa"/>
            <w:vAlign w:val="bottom"/>
          </w:tcPr>
          <w:p w14:paraId="71E59856" w14:textId="77777777" w:rsidR="005B36AA" w:rsidRPr="00453A62" w:rsidRDefault="005B36AA" w:rsidP="005B36AA">
            <w:pPr>
              <w:pStyle w:val="T2"/>
              <w:rPr>
                <w:b/>
              </w:rPr>
            </w:pPr>
          </w:p>
        </w:tc>
        <w:tc>
          <w:tcPr>
            <w:tcW w:w="1038" w:type="dxa"/>
            <w:vAlign w:val="bottom"/>
          </w:tcPr>
          <w:p w14:paraId="1012190D" w14:textId="77777777" w:rsidR="005B36AA" w:rsidRPr="000B032D" w:rsidRDefault="005B36AA" w:rsidP="005B36AA">
            <w:pPr>
              <w:pStyle w:val="T2"/>
              <w:rPr>
                <w:b/>
              </w:rPr>
            </w:pPr>
            <w:r w:rsidRPr="000B032D">
              <w:rPr>
                <w:b/>
              </w:rPr>
              <w:t>46.6</w:t>
            </w:r>
          </w:p>
        </w:tc>
      </w:tr>
      <w:tr w:rsidR="005B36AA" w14:paraId="73EC9457" w14:textId="77777777" w:rsidTr="005B36AA">
        <w:tc>
          <w:tcPr>
            <w:tcW w:w="4820" w:type="dxa"/>
            <w:tcBorders>
              <w:top w:val="single" w:sz="2" w:space="0" w:color="auto"/>
              <w:bottom w:val="single" w:sz="8" w:space="0" w:color="auto"/>
            </w:tcBorders>
            <w:vAlign w:val="bottom"/>
          </w:tcPr>
          <w:p w14:paraId="3D92E6C0" w14:textId="77777777" w:rsidR="005B36AA" w:rsidRPr="004A2ED9" w:rsidRDefault="005B36AA" w:rsidP="005B36AA">
            <w:pPr>
              <w:pStyle w:val="T2"/>
              <w:jc w:val="left"/>
              <w:rPr>
                <w:b/>
                <w:bCs/>
              </w:rPr>
            </w:pPr>
            <w:r w:rsidRPr="004A2ED9">
              <w:rPr>
                <w:b/>
                <w:bCs/>
              </w:rPr>
              <w:t>Total</w:t>
            </w:r>
          </w:p>
        </w:tc>
        <w:tc>
          <w:tcPr>
            <w:tcW w:w="1984" w:type="dxa"/>
            <w:tcBorders>
              <w:top w:val="single" w:sz="2" w:space="0" w:color="auto"/>
              <w:bottom w:val="single" w:sz="8" w:space="0" w:color="auto"/>
            </w:tcBorders>
            <w:vAlign w:val="bottom"/>
          </w:tcPr>
          <w:p w14:paraId="47AB383B" w14:textId="77777777" w:rsidR="005B36AA" w:rsidRPr="00453A62" w:rsidRDefault="005B36AA" w:rsidP="005B36AA">
            <w:pPr>
              <w:pStyle w:val="T2"/>
              <w:rPr>
                <w:b/>
              </w:rPr>
            </w:pPr>
          </w:p>
        </w:tc>
        <w:tc>
          <w:tcPr>
            <w:tcW w:w="1843" w:type="dxa"/>
            <w:tcBorders>
              <w:top w:val="single" w:sz="2" w:space="0" w:color="auto"/>
              <w:bottom w:val="single" w:sz="8" w:space="0" w:color="auto"/>
            </w:tcBorders>
            <w:vAlign w:val="bottom"/>
          </w:tcPr>
          <w:p w14:paraId="0E98F92B" w14:textId="77777777" w:rsidR="005B36AA" w:rsidRPr="00453A62" w:rsidRDefault="005B36AA" w:rsidP="005B36AA">
            <w:pPr>
              <w:pStyle w:val="T2"/>
              <w:rPr>
                <w:b/>
              </w:rPr>
            </w:pPr>
          </w:p>
        </w:tc>
        <w:tc>
          <w:tcPr>
            <w:tcW w:w="1038" w:type="dxa"/>
            <w:tcBorders>
              <w:top w:val="single" w:sz="2" w:space="0" w:color="auto"/>
              <w:bottom w:val="single" w:sz="8" w:space="0" w:color="auto"/>
            </w:tcBorders>
            <w:vAlign w:val="bottom"/>
          </w:tcPr>
          <w:p w14:paraId="1D9B8FE9" w14:textId="3AA1C670" w:rsidR="005B36AA" w:rsidRPr="000B032D" w:rsidRDefault="005B36AA" w:rsidP="005B36AA">
            <w:pPr>
              <w:pStyle w:val="T2"/>
              <w:rPr>
                <w:b/>
              </w:rPr>
            </w:pPr>
            <w:r w:rsidRPr="000B032D">
              <w:rPr>
                <w:b/>
              </w:rPr>
              <w:t>60.</w:t>
            </w:r>
            <w:r w:rsidR="0020662E">
              <w:rPr>
                <w:b/>
              </w:rPr>
              <w:t>7</w:t>
            </w:r>
          </w:p>
        </w:tc>
      </w:tr>
    </w:tbl>
    <w:p w14:paraId="5603BE5F" w14:textId="77777777" w:rsidR="005B36AA" w:rsidRDefault="005B36AA" w:rsidP="005B36AA">
      <w:pPr>
        <w:jc w:val="both"/>
        <w:rPr>
          <w:sz w:val="18"/>
          <w:szCs w:val="18"/>
        </w:rPr>
      </w:pPr>
    </w:p>
    <w:p w14:paraId="68AB2A96" w14:textId="6B468283" w:rsidR="005B36AA" w:rsidRDefault="005B36AA" w:rsidP="005B36AA">
      <w:pPr>
        <w:pStyle w:val="Paragraph"/>
        <w:spacing w:after="120"/>
        <w:jc w:val="both"/>
      </w:pPr>
      <w:r>
        <w:t>Th</w:t>
      </w:r>
      <w:r w:rsidRPr="00381039">
        <w:t>e Group avails of the exemption from capitalising lease costs for short</w:t>
      </w:r>
      <w:r>
        <w:t>–</w:t>
      </w:r>
      <w:r w:rsidRPr="00381039">
        <w:t>term leases and low</w:t>
      </w:r>
      <w:r w:rsidR="00174BC9">
        <w:t xml:space="preserve"> </w:t>
      </w:r>
      <w:r w:rsidRPr="00381039">
        <w:t xml:space="preserve">value assets where the relevant criteria are met. The following lease costs have been charged to the </w:t>
      </w:r>
      <w:r w:rsidR="00174BC9">
        <w:t xml:space="preserve">Group </w:t>
      </w:r>
      <w:r w:rsidRPr="00381039">
        <w:t>Income Statement as incurred: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000E824A" w14:textId="77777777" w:rsidTr="005771B0">
        <w:trPr>
          <w:jc w:val="center"/>
        </w:trPr>
        <w:tc>
          <w:tcPr>
            <w:tcW w:w="8364" w:type="dxa"/>
            <w:vAlign w:val="bottom"/>
          </w:tcPr>
          <w:p w14:paraId="098DA1CD" w14:textId="77777777" w:rsidR="005B36AA" w:rsidRPr="006D1798" w:rsidRDefault="005B36AA" w:rsidP="005B36AA">
            <w:pPr>
              <w:pStyle w:val="T2"/>
              <w:jc w:val="left"/>
            </w:pPr>
          </w:p>
        </w:tc>
        <w:tc>
          <w:tcPr>
            <w:tcW w:w="1417" w:type="dxa"/>
            <w:vAlign w:val="bottom"/>
          </w:tcPr>
          <w:p w14:paraId="187C9FE3" w14:textId="13395865" w:rsidR="005B36AA" w:rsidRPr="006215CC" w:rsidRDefault="005B36AA" w:rsidP="00477680">
            <w:pPr>
              <w:pStyle w:val="T2"/>
              <w:rPr>
                <w:b/>
              </w:rPr>
            </w:pPr>
            <w:r w:rsidRPr="00453A62">
              <w:rPr>
                <w:b/>
              </w:rPr>
              <w:t xml:space="preserve"> </w:t>
            </w:r>
            <w:r>
              <w:rPr>
                <w:b/>
              </w:rPr>
              <w:t xml:space="preserve">     </w:t>
            </w:r>
            <w:r w:rsidRPr="00453A62">
              <w:rPr>
                <w:b/>
              </w:rPr>
              <w:t>20</w:t>
            </w:r>
            <w:r>
              <w:rPr>
                <w:b/>
              </w:rPr>
              <w:t>20</w:t>
            </w:r>
          </w:p>
        </w:tc>
      </w:tr>
      <w:tr w:rsidR="005B36AA" w14:paraId="0A5BABD2" w14:textId="77777777" w:rsidTr="005771B0">
        <w:trPr>
          <w:jc w:val="center"/>
        </w:trPr>
        <w:tc>
          <w:tcPr>
            <w:tcW w:w="8364" w:type="dxa"/>
            <w:tcBorders>
              <w:bottom w:val="single" w:sz="2" w:space="0" w:color="auto"/>
            </w:tcBorders>
            <w:vAlign w:val="bottom"/>
          </w:tcPr>
          <w:p w14:paraId="47A8F48C" w14:textId="77777777" w:rsidR="005B36AA" w:rsidRPr="006D1798" w:rsidRDefault="005B36AA" w:rsidP="005B36AA">
            <w:pPr>
              <w:pStyle w:val="T2"/>
              <w:jc w:val="left"/>
            </w:pPr>
          </w:p>
        </w:tc>
        <w:tc>
          <w:tcPr>
            <w:tcW w:w="1417" w:type="dxa"/>
            <w:tcBorders>
              <w:bottom w:val="single" w:sz="2" w:space="0" w:color="auto"/>
            </w:tcBorders>
            <w:vAlign w:val="bottom"/>
          </w:tcPr>
          <w:p w14:paraId="37BA8A62" w14:textId="77777777" w:rsidR="005B36AA" w:rsidRPr="006215CC" w:rsidRDefault="005B36AA" w:rsidP="005B36AA">
            <w:pPr>
              <w:pStyle w:val="T2"/>
              <w:rPr>
                <w:b/>
              </w:rPr>
            </w:pPr>
            <w:r w:rsidRPr="006215CC">
              <w:rPr>
                <w:b/>
              </w:rPr>
              <w:t>£m</w:t>
            </w:r>
          </w:p>
        </w:tc>
      </w:tr>
      <w:tr w:rsidR="005B36AA" w14:paraId="52886DF8" w14:textId="77777777" w:rsidTr="005771B0">
        <w:trPr>
          <w:jc w:val="center"/>
        </w:trPr>
        <w:tc>
          <w:tcPr>
            <w:tcW w:w="8364" w:type="dxa"/>
            <w:tcBorders>
              <w:top w:val="single" w:sz="2" w:space="0" w:color="auto"/>
            </w:tcBorders>
            <w:vAlign w:val="bottom"/>
          </w:tcPr>
          <w:p w14:paraId="79DB3F13" w14:textId="77777777" w:rsidR="005B36AA" w:rsidRPr="000B032D" w:rsidRDefault="005B36AA" w:rsidP="005B36AA">
            <w:pPr>
              <w:pStyle w:val="T2"/>
              <w:jc w:val="left"/>
            </w:pPr>
            <w:r w:rsidRPr="000B032D">
              <w:t>Short–term leases</w:t>
            </w:r>
          </w:p>
        </w:tc>
        <w:tc>
          <w:tcPr>
            <w:tcW w:w="1417" w:type="dxa"/>
            <w:tcBorders>
              <w:top w:val="single" w:sz="2" w:space="0" w:color="auto"/>
            </w:tcBorders>
            <w:vAlign w:val="bottom"/>
          </w:tcPr>
          <w:p w14:paraId="6B0FA70C" w14:textId="77777777" w:rsidR="005B36AA" w:rsidRPr="000B032D" w:rsidRDefault="005B36AA" w:rsidP="005B36AA">
            <w:pPr>
              <w:pStyle w:val="T2"/>
              <w:rPr>
                <w:b/>
              </w:rPr>
            </w:pPr>
            <w:r w:rsidRPr="000B032D">
              <w:rPr>
                <w:b/>
              </w:rPr>
              <w:t>0.7</w:t>
            </w:r>
          </w:p>
        </w:tc>
      </w:tr>
      <w:tr w:rsidR="005B36AA" w14:paraId="240E615A" w14:textId="77777777" w:rsidTr="005771B0">
        <w:trPr>
          <w:jc w:val="center"/>
        </w:trPr>
        <w:tc>
          <w:tcPr>
            <w:tcW w:w="8364" w:type="dxa"/>
            <w:vAlign w:val="bottom"/>
          </w:tcPr>
          <w:p w14:paraId="56EFB19D" w14:textId="77777777" w:rsidR="005B36AA" w:rsidRPr="000B032D" w:rsidRDefault="005B36AA" w:rsidP="005B36AA">
            <w:pPr>
              <w:pStyle w:val="T2"/>
              <w:jc w:val="left"/>
            </w:pPr>
            <w:r w:rsidRPr="000B032D">
              <w:t>Leases of low value assets</w:t>
            </w:r>
          </w:p>
        </w:tc>
        <w:tc>
          <w:tcPr>
            <w:tcW w:w="1417" w:type="dxa"/>
            <w:vAlign w:val="bottom"/>
          </w:tcPr>
          <w:p w14:paraId="447DAACD" w14:textId="77777777" w:rsidR="005B36AA" w:rsidRPr="000B032D" w:rsidRDefault="005B36AA" w:rsidP="005B36AA">
            <w:pPr>
              <w:pStyle w:val="T2"/>
              <w:rPr>
                <w:b/>
              </w:rPr>
            </w:pPr>
            <w:r w:rsidRPr="000B032D">
              <w:rPr>
                <w:b/>
              </w:rPr>
              <w:t>0.1</w:t>
            </w:r>
          </w:p>
        </w:tc>
      </w:tr>
      <w:tr w:rsidR="005B36AA" w14:paraId="3821E472" w14:textId="77777777" w:rsidTr="005771B0">
        <w:trPr>
          <w:jc w:val="center"/>
        </w:trPr>
        <w:tc>
          <w:tcPr>
            <w:tcW w:w="8364" w:type="dxa"/>
            <w:tcBorders>
              <w:top w:val="single" w:sz="2" w:space="0" w:color="auto"/>
              <w:bottom w:val="single" w:sz="8" w:space="0" w:color="auto"/>
            </w:tcBorders>
            <w:vAlign w:val="bottom"/>
          </w:tcPr>
          <w:p w14:paraId="56B97C3B" w14:textId="77777777" w:rsidR="005B36AA" w:rsidRPr="000B032D" w:rsidRDefault="005B36AA" w:rsidP="005B36AA">
            <w:pPr>
              <w:pStyle w:val="T2"/>
              <w:jc w:val="left"/>
              <w:rPr>
                <w:b/>
              </w:rPr>
            </w:pPr>
            <w:r w:rsidRPr="000B032D">
              <w:rPr>
                <w:b/>
              </w:rPr>
              <w:t>Total</w:t>
            </w:r>
          </w:p>
        </w:tc>
        <w:tc>
          <w:tcPr>
            <w:tcW w:w="1417" w:type="dxa"/>
            <w:tcBorders>
              <w:top w:val="single" w:sz="2" w:space="0" w:color="auto"/>
              <w:bottom w:val="single" w:sz="8" w:space="0" w:color="auto"/>
            </w:tcBorders>
            <w:vAlign w:val="bottom"/>
          </w:tcPr>
          <w:p w14:paraId="24DFC8AA" w14:textId="77777777" w:rsidR="005B36AA" w:rsidRPr="000B032D" w:rsidRDefault="005B36AA" w:rsidP="005B36AA">
            <w:pPr>
              <w:pStyle w:val="T2"/>
              <w:rPr>
                <w:b/>
              </w:rPr>
            </w:pPr>
            <w:r w:rsidRPr="000B032D">
              <w:rPr>
                <w:b/>
              </w:rPr>
              <w:t>0.8</w:t>
            </w:r>
          </w:p>
        </w:tc>
      </w:tr>
    </w:tbl>
    <w:p w14:paraId="37C95097" w14:textId="77777777" w:rsidR="005B36AA" w:rsidRDefault="005B36AA" w:rsidP="005B36AA">
      <w:pPr>
        <w:pStyle w:val="Paragraph"/>
        <w:spacing w:after="120"/>
      </w:pPr>
      <w:r w:rsidRPr="00536D6B">
        <w:t>The total cash outflow for lease payments during the period was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7EC2B81D" w14:textId="77777777" w:rsidTr="005B36AA">
        <w:trPr>
          <w:jc w:val="center"/>
        </w:trPr>
        <w:tc>
          <w:tcPr>
            <w:tcW w:w="8364" w:type="dxa"/>
            <w:vAlign w:val="bottom"/>
          </w:tcPr>
          <w:p w14:paraId="41257B8F" w14:textId="77777777" w:rsidR="005B36AA" w:rsidRPr="006D1798" w:rsidRDefault="005B36AA" w:rsidP="005B36AA">
            <w:pPr>
              <w:pStyle w:val="T2"/>
              <w:jc w:val="left"/>
            </w:pPr>
          </w:p>
        </w:tc>
        <w:tc>
          <w:tcPr>
            <w:tcW w:w="1417" w:type="dxa"/>
            <w:vAlign w:val="bottom"/>
          </w:tcPr>
          <w:p w14:paraId="24F24EB8" w14:textId="232E56AF" w:rsidR="005B36AA" w:rsidRPr="006215CC" w:rsidRDefault="005B36AA">
            <w:pPr>
              <w:pStyle w:val="T2"/>
              <w:rPr>
                <w:b/>
              </w:rPr>
            </w:pPr>
            <w:r w:rsidRPr="00453A62">
              <w:rPr>
                <w:b/>
              </w:rPr>
              <w:t>20</w:t>
            </w:r>
            <w:r>
              <w:rPr>
                <w:b/>
              </w:rPr>
              <w:t>20</w:t>
            </w:r>
          </w:p>
        </w:tc>
      </w:tr>
      <w:tr w:rsidR="005B36AA" w14:paraId="514B744C" w14:textId="77777777" w:rsidTr="005B36AA">
        <w:trPr>
          <w:jc w:val="center"/>
        </w:trPr>
        <w:tc>
          <w:tcPr>
            <w:tcW w:w="8364" w:type="dxa"/>
            <w:tcBorders>
              <w:bottom w:val="single" w:sz="2" w:space="0" w:color="auto"/>
            </w:tcBorders>
            <w:vAlign w:val="bottom"/>
          </w:tcPr>
          <w:p w14:paraId="0F1E377C" w14:textId="77777777" w:rsidR="005B36AA" w:rsidRPr="006D1798" w:rsidRDefault="005B36AA" w:rsidP="005B36AA">
            <w:pPr>
              <w:pStyle w:val="T2"/>
              <w:jc w:val="left"/>
            </w:pPr>
          </w:p>
        </w:tc>
        <w:tc>
          <w:tcPr>
            <w:tcW w:w="1417" w:type="dxa"/>
            <w:tcBorders>
              <w:bottom w:val="single" w:sz="2" w:space="0" w:color="auto"/>
            </w:tcBorders>
            <w:vAlign w:val="bottom"/>
          </w:tcPr>
          <w:p w14:paraId="154348C5" w14:textId="77777777" w:rsidR="005B36AA" w:rsidRPr="006215CC" w:rsidRDefault="005B36AA" w:rsidP="005B36AA">
            <w:pPr>
              <w:pStyle w:val="T2"/>
              <w:rPr>
                <w:b/>
              </w:rPr>
            </w:pPr>
            <w:r w:rsidRPr="006215CC">
              <w:rPr>
                <w:b/>
              </w:rPr>
              <w:t>£m</w:t>
            </w:r>
          </w:p>
        </w:tc>
      </w:tr>
      <w:tr w:rsidR="005B36AA" w14:paraId="20243CEE" w14:textId="77777777" w:rsidTr="005B36AA">
        <w:trPr>
          <w:jc w:val="center"/>
        </w:trPr>
        <w:tc>
          <w:tcPr>
            <w:tcW w:w="8364" w:type="dxa"/>
            <w:tcBorders>
              <w:top w:val="single" w:sz="2" w:space="0" w:color="auto"/>
            </w:tcBorders>
            <w:vAlign w:val="bottom"/>
          </w:tcPr>
          <w:p w14:paraId="56B9736E" w14:textId="77777777" w:rsidR="005B36AA" w:rsidRPr="006D1798" w:rsidRDefault="005B36AA" w:rsidP="005B36AA">
            <w:pPr>
              <w:pStyle w:val="T2"/>
              <w:jc w:val="left"/>
            </w:pPr>
            <w:r>
              <w:t>Cash outflow for short–term leases and leases of low value</w:t>
            </w:r>
          </w:p>
        </w:tc>
        <w:tc>
          <w:tcPr>
            <w:tcW w:w="1417" w:type="dxa"/>
            <w:tcBorders>
              <w:top w:val="single" w:sz="2" w:space="0" w:color="auto"/>
            </w:tcBorders>
            <w:vAlign w:val="bottom"/>
          </w:tcPr>
          <w:p w14:paraId="238E2B6A" w14:textId="77777777" w:rsidR="005B36AA" w:rsidRPr="000B032D" w:rsidRDefault="005B36AA" w:rsidP="005B36AA">
            <w:pPr>
              <w:pStyle w:val="T2"/>
              <w:rPr>
                <w:b/>
              </w:rPr>
            </w:pPr>
            <w:r w:rsidRPr="000B032D">
              <w:rPr>
                <w:b/>
              </w:rPr>
              <w:t>0.6</w:t>
            </w:r>
          </w:p>
        </w:tc>
      </w:tr>
      <w:tr w:rsidR="005B36AA" w14:paraId="19945A05" w14:textId="77777777" w:rsidTr="005B36AA">
        <w:trPr>
          <w:jc w:val="center"/>
        </w:trPr>
        <w:tc>
          <w:tcPr>
            <w:tcW w:w="8364" w:type="dxa"/>
            <w:vAlign w:val="bottom"/>
          </w:tcPr>
          <w:p w14:paraId="29422B83" w14:textId="43C04FEA" w:rsidR="005B36AA" w:rsidRPr="006D1798" w:rsidRDefault="005B36AA">
            <w:pPr>
              <w:pStyle w:val="T2"/>
              <w:jc w:val="left"/>
            </w:pPr>
            <w:r>
              <w:t>Lease payments relating to capitalised right-of-use assets</w:t>
            </w:r>
          </w:p>
        </w:tc>
        <w:tc>
          <w:tcPr>
            <w:tcW w:w="1417" w:type="dxa"/>
            <w:vAlign w:val="bottom"/>
          </w:tcPr>
          <w:p w14:paraId="6A8C0B24" w14:textId="77777777" w:rsidR="005B36AA" w:rsidRPr="000B032D" w:rsidRDefault="005B36AA" w:rsidP="005B36AA">
            <w:pPr>
              <w:pStyle w:val="T2"/>
              <w:rPr>
                <w:b/>
              </w:rPr>
            </w:pPr>
            <w:r w:rsidRPr="000B032D">
              <w:rPr>
                <w:b/>
              </w:rPr>
              <w:t>1</w:t>
            </w:r>
            <w:r>
              <w:rPr>
                <w:b/>
              </w:rPr>
              <w:t>1</w:t>
            </w:r>
            <w:r w:rsidRPr="000B032D">
              <w:rPr>
                <w:b/>
              </w:rPr>
              <w:t>.</w:t>
            </w:r>
            <w:r>
              <w:rPr>
                <w:b/>
              </w:rPr>
              <w:t>2</w:t>
            </w:r>
          </w:p>
        </w:tc>
      </w:tr>
      <w:tr w:rsidR="005B36AA" w14:paraId="07EC853B" w14:textId="77777777" w:rsidTr="005B36AA">
        <w:trPr>
          <w:jc w:val="center"/>
        </w:trPr>
        <w:tc>
          <w:tcPr>
            <w:tcW w:w="8364" w:type="dxa"/>
            <w:tcBorders>
              <w:bottom w:val="single" w:sz="8" w:space="0" w:color="auto"/>
            </w:tcBorders>
            <w:vAlign w:val="bottom"/>
          </w:tcPr>
          <w:p w14:paraId="6B4E218B" w14:textId="38F15E9E" w:rsidR="005B36AA" w:rsidRPr="002A4423" w:rsidRDefault="00174BC9">
            <w:pPr>
              <w:pStyle w:val="T2"/>
              <w:jc w:val="left"/>
            </w:pPr>
            <w:r>
              <w:t>Interest payment on lease obligations</w:t>
            </w:r>
          </w:p>
        </w:tc>
        <w:tc>
          <w:tcPr>
            <w:tcW w:w="1417" w:type="dxa"/>
            <w:tcBorders>
              <w:bottom w:val="single" w:sz="8" w:space="0" w:color="auto"/>
            </w:tcBorders>
            <w:vAlign w:val="bottom"/>
          </w:tcPr>
          <w:p w14:paraId="2F69C663" w14:textId="77777777" w:rsidR="005B36AA" w:rsidRPr="000B032D" w:rsidRDefault="005B36AA" w:rsidP="005B36AA">
            <w:pPr>
              <w:pStyle w:val="T2"/>
              <w:rPr>
                <w:b/>
              </w:rPr>
            </w:pPr>
            <w:r>
              <w:rPr>
                <w:b/>
              </w:rPr>
              <w:t>1.2</w:t>
            </w:r>
          </w:p>
        </w:tc>
      </w:tr>
      <w:tr w:rsidR="005B36AA" w14:paraId="58187E1D" w14:textId="77777777" w:rsidTr="005B36AA">
        <w:trPr>
          <w:jc w:val="center"/>
        </w:trPr>
        <w:tc>
          <w:tcPr>
            <w:tcW w:w="8364" w:type="dxa"/>
            <w:tcBorders>
              <w:top w:val="single" w:sz="2" w:space="0" w:color="auto"/>
              <w:bottom w:val="single" w:sz="8" w:space="0" w:color="auto"/>
            </w:tcBorders>
            <w:vAlign w:val="bottom"/>
          </w:tcPr>
          <w:p w14:paraId="17BFE3EE" w14:textId="77777777" w:rsidR="005B36AA" w:rsidRPr="006215CC" w:rsidRDefault="005B36AA" w:rsidP="005B36AA">
            <w:pPr>
              <w:pStyle w:val="T2"/>
              <w:jc w:val="left"/>
              <w:rPr>
                <w:b/>
              </w:rPr>
            </w:pPr>
            <w:r>
              <w:rPr>
                <w:b/>
              </w:rPr>
              <w:t>Total</w:t>
            </w:r>
          </w:p>
        </w:tc>
        <w:tc>
          <w:tcPr>
            <w:tcW w:w="1417" w:type="dxa"/>
            <w:tcBorders>
              <w:top w:val="single" w:sz="2" w:space="0" w:color="auto"/>
              <w:bottom w:val="single" w:sz="8" w:space="0" w:color="auto"/>
            </w:tcBorders>
            <w:vAlign w:val="bottom"/>
          </w:tcPr>
          <w:p w14:paraId="3797DD7B" w14:textId="77777777" w:rsidR="005B36AA" w:rsidRPr="000B032D" w:rsidRDefault="005B36AA" w:rsidP="005B36AA">
            <w:pPr>
              <w:pStyle w:val="T2"/>
              <w:rPr>
                <w:b/>
              </w:rPr>
            </w:pPr>
            <w:r w:rsidRPr="000B032D">
              <w:rPr>
                <w:b/>
              </w:rPr>
              <w:t>13.0</w:t>
            </w:r>
          </w:p>
        </w:tc>
      </w:tr>
    </w:tbl>
    <w:p w14:paraId="3EAB14D9" w14:textId="77777777" w:rsidR="005B36AA" w:rsidRDefault="005B36AA" w:rsidP="005B36AA">
      <w:pPr>
        <w:jc w:val="both"/>
        <w:rPr>
          <w:sz w:val="18"/>
          <w:szCs w:val="18"/>
        </w:rPr>
      </w:pPr>
    </w:p>
    <w:p w14:paraId="444B9B67" w14:textId="77777777" w:rsidR="005B36AA" w:rsidRDefault="005B36AA" w:rsidP="005B36AA">
      <w:pPr>
        <w:jc w:val="both"/>
        <w:rPr>
          <w:sz w:val="18"/>
          <w:szCs w:val="18"/>
        </w:rPr>
      </w:pPr>
    </w:p>
    <w:p w14:paraId="7554546A" w14:textId="77777777" w:rsidR="00455686" w:rsidRDefault="00455686" w:rsidP="00455686">
      <w:pPr>
        <w:pStyle w:val="Heading2"/>
        <w:numPr>
          <w:ilvl w:val="0"/>
          <w:numId w:val="64"/>
        </w:numPr>
      </w:pPr>
      <w:r w:rsidRPr="00B01480">
        <w:t>Retirement Benefit Obligations</w:t>
      </w:r>
    </w:p>
    <w:p w14:paraId="6BC07DA3" w14:textId="77777777" w:rsidR="00455686" w:rsidRPr="00B01480" w:rsidRDefault="00455686" w:rsidP="00CF055B">
      <w:pPr>
        <w:pStyle w:val="Heading2"/>
        <w:numPr>
          <w:ilvl w:val="0"/>
          <w:numId w:val="0"/>
        </w:numPr>
        <w:ind w:left="720"/>
      </w:pPr>
    </w:p>
    <w:p w14:paraId="3F375D1F" w14:textId="77777777" w:rsidR="00455686" w:rsidRDefault="00455686" w:rsidP="00455686">
      <w:pPr>
        <w:pStyle w:val="Paragraph"/>
        <w:spacing w:before="0" w:after="120"/>
        <w:jc w:val="both"/>
      </w:pPr>
      <w:r>
        <w:t>The Group operates three</w:t>
      </w:r>
      <w:r w:rsidRPr="00F91BA7">
        <w:t xml:space="preserve"> legacy defined benefit pension schemes in the Republic of Irel</w:t>
      </w:r>
      <w:r>
        <w:t>and (the ‘Irish schemes’) and one</w:t>
      </w:r>
      <w:r w:rsidRPr="00F91BA7">
        <w:t xml:space="preserve"> legacy defined benefit pension scheme and one legacy defined benefit commitment in the UK (the </w:t>
      </w:r>
      <w:r>
        <w:t>‘</w:t>
      </w:r>
      <w:r w:rsidRPr="00F91BA7">
        <w:t>UK scheme</w:t>
      </w:r>
      <w:r>
        <w:t>s’</w:t>
      </w:r>
      <w:r w:rsidRPr="00F91BA7">
        <w:t>). These are all closed to future accrual and there is an assumption applied in the valuation of the schemes that there will be no discretionary increases in pension</w:t>
      </w:r>
      <w:r>
        <w:t xml:space="preserve"> </w:t>
      </w:r>
      <w:r w:rsidRPr="00F91BA7">
        <w:t>payment</w:t>
      </w:r>
      <w:r>
        <w:t>s</w:t>
      </w:r>
      <w:r w:rsidRPr="00F91BA7">
        <w:t>. The scheme assets are held in separate Trustee administered funds. The Group continues to seek ways to reduce its liabilities through various restructuring initiatives in co</w:t>
      </w:r>
      <w:r>
        <w:t>-</w:t>
      </w:r>
      <w:r w:rsidRPr="00F91BA7">
        <w:t xml:space="preserve">operation with the respective schemes. </w:t>
      </w:r>
    </w:p>
    <w:p w14:paraId="1915B654" w14:textId="77777777" w:rsidR="005B36AA" w:rsidRDefault="005B36AA" w:rsidP="005B36AA">
      <w:pPr>
        <w:pStyle w:val="Paragraph"/>
        <w:spacing w:before="0" w:after="120"/>
        <w:jc w:val="both"/>
      </w:pPr>
      <w:r w:rsidRPr="00F91BA7">
        <w:lastRenderedPageBreak/>
        <w:t>In consultation with the independent actuaries to the scheme, the valuation of pension obligations have been updated to reflect current market discount rates, rates of increase in salaries, pension payments and inflation, current market values of investments and actual investment returns.</w:t>
      </w:r>
    </w:p>
    <w:p w14:paraId="71008450" w14:textId="6A3FF202" w:rsidR="005B36AA" w:rsidRDefault="005B36AA" w:rsidP="005B36AA">
      <w:pPr>
        <w:pStyle w:val="Paragraph"/>
        <w:spacing w:before="0" w:after="120"/>
        <w:jc w:val="both"/>
      </w:pPr>
      <w:r w:rsidRPr="00B71062">
        <w:t xml:space="preserve">The Group’s </w:t>
      </w:r>
      <w:r>
        <w:t>retirement</w:t>
      </w:r>
      <w:r w:rsidRPr="00B71062">
        <w:t xml:space="preserve"> benefit obligations moved from a net</w:t>
      </w:r>
      <w:r>
        <w:t xml:space="preserve"> liability of £92.0m </w:t>
      </w:r>
      <w:proofErr w:type="gramStart"/>
      <w:r>
        <w:t>at</w:t>
      </w:r>
      <w:proofErr w:type="gramEnd"/>
      <w:r>
        <w:t xml:space="preserve"> 27 September 2019 to a net liability </w:t>
      </w:r>
      <w:r w:rsidRPr="005A2C63">
        <w:t>of £82.1m at</w:t>
      </w:r>
      <w:r w:rsidRPr="00947E6A">
        <w:t xml:space="preserve"> 25 September 2020. This </w:t>
      </w:r>
      <w:r>
        <w:t xml:space="preserve">reduction in the net liability position is </w:t>
      </w:r>
      <w:r w:rsidR="008A0EF5">
        <w:t xml:space="preserve">mainly </w:t>
      </w:r>
      <w:r>
        <w:t xml:space="preserve">driven by </w:t>
      </w:r>
      <w:r w:rsidRPr="00F80150">
        <w:t xml:space="preserve">the ongoing contributions made by the Group in respect of schemes in deficit. </w:t>
      </w:r>
      <w:r w:rsidR="00D364D9">
        <w:t xml:space="preserve">During the year, the Group paid £10.4m </w:t>
      </w:r>
      <w:r w:rsidR="008A0EF5">
        <w:t xml:space="preserve">(2019: £16.7m) </w:t>
      </w:r>
      <w:r w:rsidR="00D364D9">
        <w:t xml:space="preserve">in contributions to the pension schemes. </w:t>
      </w:r>
    </w:p>
    <w:p w14:paraId="34F54A70" w14:textId="32341882" w:rsidR="005B36AA" w:rsidRDefault="005B36AA" w:rsidP="005B36AA">
      <w:pPr>
        <w:pStyle w:val="Paragraph"/>
        <w:spacing w:before="0" w:after="120"/>
        <w:jc w:val="both"/>
      </w:pPr>
      <w:r>
        <w:t xml:space="preserve">In protecting the business and liquidity in response to the COVID-19 pandemic, the Group entered a formal agreement with the Trustees of the legacy defined benefit pension scheme in the UK to defer cash contributions to the pension for a period of six months which resulted </w:t>
      </w:r>
      <w:r w:rsidR="00BA2D4A">
        <w:t>i</w:t>
      </w:r>
      <w:r>
        <w:t xml:space="preserve">n a reduction of cash contributions of £4.9m. </w:t>
      </w:r>
    </w:p>
    <w:p w14:paraId="31841E25" w14:textId="72BC25E3" w:rsidR="007F11AD" w:rsidRPr="005771B0" w:rsidRDefault="007F11AD" w:rsidP="005771B0">
      <w:pPr>
        <w:pStyle w:val="Paragraph"/>
        <w:spacing w:before="0" w:after="120"/>
        <w:jc w:val="both"/>
      </w:pPr>
      <w:r w:rsidRPr="005771B0">
        <w:t xml:space="preserve">Where a funding valuation reveals a deficit in a scheme, the Group will generally agree a schedule of contributions with the trustees designed to address the deficit over an agreed future time horizon. Full actuarial valuations were carried out between 31 March 2017 and 31 March 2019. There is a live actuarial valuation ongoing in respect of </w:t>
      </w:r>
      <w:r>
        <w:t xml:space="preserve">the </w:t>
      </w:r>
      <w:r w:rsidRPr="005771B0">
        <w:t xml:space="preserve">UK scheme and as such, subject to completion of the ongoing engagement with the Trustees the cash contributions will be agreed in FY21. In general, actuarial valuations are not available for public inspection, however, the results of valuations are advised to members of the various schemes. </w:t>
      </w:r>
      <w:proofErr w:type="gramStart"/>
      <w:r w:rsidRPr="005771B0">
        <w:t>All of</w:t>
      </w:r>
      <w:proofErr w:type="gramEnd"/>
      <w:r w:rsidRPr="005771B0">
        <w:t xml:space="preserve"> the schemes are operating under the terms of current funding proposals agreed with the relevant pension authorities.</w:t>
      </w:r>
    </w:p>
    <w:p w14:paraId="41356C2D" w14:textId="56A3AE56" w:rsidR="00A75DA2" w:rsidRDefault="005B36AA" w:rsidP="005B36AA">
      <w:pPr>
        <w:pStyle w:val="Paragraph"/>
        <w:spacing w:before="0" w:after="120"/>
        <w:jc w:val="both"/>
      </w:pPr>
      <w:bookmarkStart w:id="3" w:name="_Hlk52524505"/>
      <w:r>
        <w:t>The Group continue to seek ways to reduce its liabilities through various restructuring initiatives in co-operation with the</w:t>
      </w:r>
      <w:r w:rsidR="00AC225D">
        <w:t xml:space="preserve"> Trustee</w:t>
      </w:r>
      <w:r w:rsidR="00BA2D4A">
        <w:t>s</w:t>
      </w:r>
      <w:r w:rsidR="00AC225D">
        <w:t xml:space="preserve"> of the</w:t>
      </w:r>
      <w:r>
        <w:t xml:space="preserve"> respective schemes</w:t>
      </w:r>
      <w:r w:rsidR="00AC225D">
        <w:t>,</w:t>
      </w:r>
      <w:r>
        <w:t xml:space="preserve"> which if implemented could modestly increase the annual cash funding requirements. </w:t>
      </w:r>
      <w:r w:rsidRPr="005F112A">
        <w:t xml:space="preserve">During the </w:t>
      </w:r>
      <w:r w:rsidR="00AC225D">
        <w:t>year</w:t>
      </w:r>
      <w:r w:rsidRPr="005F112A">
        <w:t>, the Trustees of one of the smaller UK legacy defined benefit schemes, completed a buy-out of t</w:t>
      </w:r>
      <w:r w:rsidRPr="001007AC">
        <w:t xml:space="preserve">he scheme </w:t>
      </w:r>
      <w:r w:rsidR="00AC225D">
        <w:t>liabilities</w:t>
      </w:r>
      <w:r w:rsidRPr="005F112A">
        <w:t xml:space="preserve"> </w:t>
      </w:r>
      <w:r w:rsidR="00A75DA2">
        <w:t>resulting in a settlement. This eliminated</w:t>
      </w:r>
      <w:r w:rsidR="00AC225D">
        <w:t xml:space="preserve"> </w:t>
      </w:r>
      <w:r w:rsidR="00A75DA2">
        <w:t xml:space="preserve">the Group’s future </w:t>
      </w:r>
      <w:r w:rsidR="00AC225D">
        <w:t>obligation</w:t>
      </w:r>
      <w:r w:rsidR="00A75DA2">
        <w:t>s</w:t>
      </w:r>
      <w:r w:rsidR="00AC225D">
        <w:t xml:space="preserve"> under the scheme.</w:t>
      </w:r>
      <w:r w:rsidR="00A75DA2">
        <w:t xml:space="preserve"> The carrying value of the plan assets and scheme liabilities prior to settlement were £20.</w:t>
      </w:r>
      <w:proofErr w:type="gramStart"/>
      <w:r w:rsidR="00A75DA2">
        <w:t>0m</w:t>
      </w:r>
      <w:proofErr w:type="gramEnd"/>
      <w:r w:rsidR="00A75DA2">
        <w:t xml:space="preserve"> respectively.</w:t>
      </w:r>
      <w:r w:rsidR="00CE48FE">
        <w:t xml:space="preserve"> </w:t>
      </w:r>
    </w:p>
    <w:p w14:paraId="4F29114F" w14:textId="77777777" w:rsidR="00CE48FE" w:rsidRPr="005771B0" w:rsidRDefault="00CE48FE" w:rsidP="005771B0">
      <w:pPr>
        <w:pStyle w:val="Paragraph"/>
        <w:spacing w:before="0" w:after="120"/>
        <w:jc w:val="both"/>
      </w:pPr>
      <w:r w:rsidRPr="00CE48FE">
        <w:t>In October 2020, the Trustees of two of the smaller Irish defined benefit pension schemes purchased an insurance policy for the scheme liabilities relating to pension members. The insurance p</w:t>
      </w:r>
      <w:r w:rsidRPr="00E037F4">
        <w:t>olicy is treated as a plan asset and the fair value of the policy is deemed to be the present value of the related obligations.</w:t>
      </w:r>
    </w:p>
    <w:bookmarkEnd w:id="3"/>
    <w:p w14:paraId="4B257856" w14:textId="77777777" w:rsidR="005B36AA" w:rsidRPr="00CE48FE" w:rsidRDefault="005B36AA" w:rsidP="005771B0">
      <w:pPr>
        <w:pStyle w:val="Paragraph"/>
        <w:spacing w:before="0" w:after="120"/>
        <w:jc w:val="both"/>
      </w:pPr>
      <w:r w:rsidRPr="00CE48FE">
        <w:t>The principal actuarial assumptions are as follows:</w:t>
      </w:r>
    </w:p>
    <w:tbl>
      <w:tblPr>
        <w:tblpPr w:leftFromText="180" w:rightFromText="180" w:vertAnchor="text" w:horzAnchor="margin" w:tblpY="39"/>
        <w:tblW w:w="10205" w:type="dxa"/>
        <w:tblLayout w:type="fixed"/>
        <w:tblLook w:val="01E0" w:firstRow="1" w:lastRow="1" w:firstColumn="1" w:lastColumn="1" w:noHBand="0" w:noVBand="0"/>
      </w:tblPr>
      <w:tblGrid>
        <w:gridCol w:w="5669"/>
        <w:gridCol w:w="1134"/>
        <w:gridCol w:w="1134"/>
        <w:gridCol w:w="1134"/>
        <w:gridCol w:w="1134"/>
      </w:tblGrid>
      <w:tr w:rsidR="005B36AA" w14:paraId="4ED60D6B" w14:textId="77777777" w:rsidTr="005B36AA">
        <w:trPr>
          <w:trHeight w:val="227"/>
        </w:trPr>
        <w:tc>
          <w:tcPr>
            <w:tcW w:w="5669" w:type="dxa"/>
            <w:vAlign w:val="bottom"/>
          </w:tcPr>
          <w:p w14:paraId="778666FC" w14:textId="77777777" w:rsidR="005B36AA" w:rsidRDefault="005B36AA" w:rsidP="005B36AA">
            <w:pPr>
              <w:pStyle w:val="TableRowHead"/>
            </w:pPr>
          </w:p>
        </w:tc>
        <w:tc>
          <w:tcPr>
            <w:tcW w:w="2268" w:type="dxa"/>
            <w:gridSpan w:val="2"/>
            <w:vAlign w:val="bottom"/>
          </w:tcPr>
          <w:p w14:paraId="7A29D963" w14:textId="20F9A39F" w:rsidR="005B36AA" w:rsidRDefault="005B36AA" w:rsidP="005B36AA">
            <w:pPr>
              <w:pStyle w:val="Subtitle"/>
              <w:jc w:val="center"/>
            </w:pPr>
            <w:r>
              <w:t>UK Schemes</w:t>
            </w:r>
          </w:p>
        </w:tc>
        <w:tc>
          <w:tcPr>
            <w:tcW w:w="2268" w:type="dxa"/>
            <w:gridSpan w:val="2"/>
            <w:vAlign w:val="bottom"/>
          </w:tcPr>
          <w:p w14:paraId="3285B74F" w14:textId="2406CB0D" w:rsidR="005B36AA" w:rsidRPr="00F22A70" w:rsidRDefault="005B36AA" w:rsidP="005B36AA">
            <w:pPr>
              <w:pStyle w:val="Subtitle"/>
              <w:jc w:val="center"/>
              <w:rPr>
                <w:b w:val="0"/>
              </w:rPr>
            </w:pPr>
            <w:r>
              <w:rPr>
                <w:b w:val="0"/>
              </w:rPr>
              <w:t>Irish Schemes</w:t>
            </w:r>
          </w:p>
        </w:tc>
      </w:tr>
      <w:tr w:rsidR="005B36AA" w14:paraId="3239AAA2" w14:textId="77777777" w:rsidTr="005B36AA">
        <w:trPr>
          <w:trHeight w:val="227"/>
        </w:trPr>
        <w:tc>
          <w:tcPr>
            <w:tcW w:w="5669" w:type="dxa"/>
            <w:tcBorders>
              <w:bottom w:val="single" w:sz="4" w:space="0" w:color="000000"/>
            </w:tcBorders>
            <w:vAlign w:val="bottom"/>
          </w:tcPr>
          <w:p w14:paraId="04CD92CC" w14:textId="77777777" w:rsidR="005B36AA" w:rsidRDefault="005B36AA" w:rsidP="005B36AA">
            <w:pPr>
              <w:pStyle w:val="TableRowHead"/>
            </w:pPr>
          </w:p>
        </w:tc>
        <w:tc>
          <w:tcPr>
            <w:tcW w:w="1134" w:type="dxa"/>
            <w:tcBorders>
              <w:bottom w:val="single" w:sz="4" w:space="0" w:color="000000"/>
            </w:tcBorders>
            <w:vAlign w:val="bottom"/>
          </w:tcPr>
          <w:p w14:paraId="5D85562D" w14:textId="77777777" w:rsidR="005B36AA" w:rsidRDefault="005B36AA" w:rsidP="005B36AA">
            <w:pPr>
              <w:pStyle w:val="Subtitle"/>
            </w:pPr>
            <w:r>
              <w:t>2020</w:t>
            </w:r>
          </w:p>
        </w:tc>
        <w:tc>
          <w:tcPr>
            <w:tcW w:w="1134" w:type="dxa"/>
            <w:tcBorders>
              <w:bottom w:val="single" w:sz="4" w:space="0" w:color="000000"/>
            </w:tcBorders>
            <w:vAlign w:val="bottom"/>
          </w:tcPr>
          <w:p w14:paraId="5F47F3C8" w14:textId="77777777" w:rsidR="005B36AA" w:rsidRPr="00C520E8" w:rsidRDefault="005B36AA" w:rsidP="005B36AA">
            <w:pPr>
              <w:pStyle w:val="Subtitle"/>
              <w:rPr>
                <w:b w:val="0"/>
                <w:bCs/>
              </w:rPr>
            </w:pPr>
            <w:r>
              <w:rPr>
                <w:b w:val="0"/>
                <w:bCs/>
              </w:rPr>
              <w:t>2019</w:t>
            </w:r>
          </w:p>
        </w:tc>
        <w:tc>
          <w:tcPr>
            <w:tcW w:w="1134" w:type="dxa"/>
            <w:tcBorders>
              <w:bottom w:val="single" w:sz="4" w:space="0" w:color="000000"/>
            </w:tcBorders>
            <w:vAlign w:val="bottom"/>
          </w:tcPr>
          <w:p w14:paraId="66602E06" w14:textId="77777777" w:rsidR="005B36AA" w:rsidRPr="00C520E8" w:rsidRDefault="005B36AA" w:rsidP="005B36AA">
            <w:pPr>
              <w:pStyle w:val="Subtitle"/>
              <w:rPr>
                <w:bCs/>
              </w:rPr>
            </w:pPr>
            <w:r>
              <w:rPr>
                <w:bCs/>
              </w:rPr>
              <w:t>2020</w:t>
            </w:r>
          </w:p>
        </w:tc>
        <w:tc>
          <w:tcPr>
            <w:tcW w:w="1134" w:type="dxa"/>
            <w:tcBorders>
              <w:bottom w:val="single" w:sz="4" w:space="0" w:color="000000"/>
            </w:tcBorders>
            <w:vAlign w:val="bottom"/>
          </w:tcPr>
          <w:p w14:paraId="12D28B60" w14:textId="77777777" w:rsidR="005B36AA" w:rsidRPr="00F22A70" w:rsidRDefault="005B36AA" w:rsidP="005B36AA">
            <w:pPr>
              <w:pStyle w:val="Subtitle"/>
              <w:rPr>
                <w:b w:val="0"/>
              </w:rPr>
            </w:pPr>
            <w:r>
              <w:rPr>
                <w:b w:val="0"/>
              </w:rPr>
              <w:t>2019</w:t>
            </w:r>
          </w:p>
        </w:tc>
      </w:tr>
      <w:tr w:rsidR="005B36AA" w14:paraId="3792EA0D" w14:textId="77777777" w:rsidTr="005B36AA">
        <w:trPr>
          <w:trHeight w:val="227"/>
        </w:trPr>
        <w:tc>
          <w:tcPr>
            <w:tcW w:w="5669" w:type="dxa"/>
            <w:tcBorders>
              <w:top w:val="single" w:sz="4" w:space="0" w:color="000000"/>
            </w:tcBorders>
            <w:vAlign w:val="bottom"/>
          </w:tcPr>
          <w:p w14:paraId="6953CAA3" w14:textId="42BBF7C2" w:rsidR="005B36AA" w:rsidRDefault="005B36AA" w:rsidP="005B36AA">
            <w:pPr>
              <w:pStyle w:val="TableRowHead"/>
            </w:pPr>
            <w:r>
              <w:t>Rate of increase in pension payments*</w:t>
            </w:r>
          </w:p>
        </w:tc>
        <w:tc>
          <w:tcPr>
            <w:tcW w:w="1134" w:type="dxa"/>
            <w:tcBorders>
              <w:top w:val="single" w:sz="4" w:space="0" w:color="000000"/>
            </w:tcBorders>
            <w:vAlign w:val="bottom"/>
          </w:tcPr>
          <w:p w14:paraId="4E91BB7C" w14:textId="77777777" w:rsidR="005B36AA" w:rsidRPr="00C520E8" w:rsidRDefault="005B36AA" w:rsidP="005B36AA">
            <w:pPr>
              <w:pStyle w:val="Subtitle"/>
              <w:rPr>
                <w:bCs/>
              </w:rPr>
            </w:pPr>
            <w:r>
              <w:rPr>
                <w:bCs/>
              </w:rPr>
              <w:t>2.85%</w:t>
            </w:r>
          </w:p>
        </w:tc>
        <w:tc>
          <w:tcPr>
            <w:tcW w:w="1134" w:type="dxa"/>
            <w:tcBorders>
              <w:top w:val="single" w:sz="4" w:space="0" w:color="000000"/>
            </w:tcBorders>
            <w:vAlign w:val="bottom"/>
          </w:tcPr>
          <w:p w14:paraId="47D26FF2" w14:textId="77777777" w:rsidR="005B36AA" w:rsidRPr="00AB7614" w:rsidRDefault="005B36AA" w:rsidP="005B36AA">
            <w:pPr>
              <w:pStyle w:val="Subtitle"/>
              <w:rPr>
                <w:b w:val="0"/>
                <w:bCs/>
              </w:rPr>
            </w:pPr>
            <w:r w:rsidRPr="00AB7614">
              <w:rPr>
                <w:b w:val="0"/>
                <w:bCs/>
              </w:rPr>
              <w:t>2.95%</w:t>
            </w:r>
          </w:p>
        </w:tc>
        <w:tc>
          <w:tcPr>
            <w:tcW w:w="1134" w:type="dxa"/>
            <w:tcBorders>
              <w:top w:val="single" w:sz="4" w:space="0" w:color="000000"/>
            </w:tcBorders>
            <w:vAlign w:val="bottom"/>
          </w:tcPr>
          <w:p w14:paraId="6F1D5FF7" w14:textId="77777777" w:rsidR="005B36AA" w:rsidRPr="00C520E8" w:rsidRDefault="005B36AA" w:rsidP="005B36AA">
            <w:pPr>
              <w:pStyle w:val="Subtitle"/>
              <w:rPr>
                <w:bCs/>
              </w:rPr>
            </w:pPr>
            <w:r>
              <w:rPr>
                <w:bCs/>
              </w:rPr>
              <w:t>0.00%</w:t>
            </w:r>
          </w:p>
        </w:tc>
        <w:tc>
          <w:tcPr>
            <w:tcW w:w="1134" w:type="dxa"/>
            <w:tcBorders>
              <w:top w:val="single" w:sz="4" w:space="0" w:color="000000"/>
            </w:tcBorders>
            <w:vAlign w:val="bottom"/>
          </w:tcPr>
          <w:p w14:paraId="54F78AC1" w14:textId="77777777" w:rsidR="005B36AA" w:rsidRPr="00AB7614" w:rsidRDefault="005B36AA" w:rsidP="005B36AA">
            <w:pPr>
              <w:pStyle w:val="Subtitle"/>
              <w:rPr>
                <w:b w:val="0"/>
                <w:bCs/>
              </w:rPr>
            </w:pPr>
            <w:r w:rsidRPr="00AB7614">
              <w:rPr>
                <w:b w:val="0"/>
                <w:bCs/>
              </w:rPr>
              <w:t>0.00%</w:t>
            </w:r>
          </w:p>
        </w:tc>
      </w:tr>
      <w:tr w:rsidR="005B36AA" w14:paraId="5DAAF366" w14:textId="77777777" w:rsidTr="005B36AA">
        <w:trPr>
          <w:trHeight w:val="227"/>
        </w:trPr>
        <w:tc>
          <w:tcPr>
            <w:tcW w:w="5669" w:type="dxa"/>
            <w:vAlign w:val="bottom"/>
          </w:tcPr>
          <w:p w14:paraId="1A29C9B2" w14:textId="77777777" w:rsidR="005B36AA" w:rsidRDefault="005B36AA" w:rsidP="005B36AA">
            <w:pPr>
              <w:pStyle w:val="TableRowHead"/>
            </w:pPr>
            <w:r>
              <w:t>Discount rate</w:t>
            </w:r>
          </w:p>
        </w:tc>
        <w:tc>
          <w:tcPr>
            <w:tcW w:w="1134" w:type="dxa"/>
            <w:vAlign w:val="bottom"/>
          </w:tcPr>
          <w:p w14:paraId="502B6464" w14:textId="77777777" w:rsidR="005B36AA" w:rsidRPr="00C520E8" w:rsidRDefault="005B36AA" w:rsidP="005B36AA">
            <w:pPr>
              <w:pStyle w:val="Subtitle"/>
              <w:rPr>
                <w:bCs/>
              </w:rPr>
            </w:pPr>
            <w:r>
              <w:rPr>
                <w:bCs/>
              </w:rPr>
              <w:t>1.70%</w:t>
            </w:r>
          </w:p>
        </w:tc>
        <w:tc>
          <w:tcPr>
            <w:tcW w:w="1134" w:type="dxa"/>
            <w:vAlign w:val="bottom"/>
          </w:tcPr>
          <w:p w14:paraId="2BB7290B" w14:textId="77777777" w:rsidR="005B36AA" w:rsidRPr="00AB7614" w:rsidRDefault="005B36AA" w:rsidP="005B36AA">
            <w:pPr>
              <w:pStyle w:val="Subtitle"/>
              <w:rPr>
                <w:b w:val="0"/>
                <w:bCs/>
              </w:rPr>
            </w:pPr>
            <w:r w:rsidRPr="00AB7614">
              <w:rPr>
                <w:b w:val="0"/>
                <w:bCs/>
              </w:rPr>
              <w:t>1.80%</w:t>
            </w:r>
          </w:p>
        </w:tc>
        <w:tc>
          <w:tcPr>
            <w:tcW w:w="1134" w:type="dxa"/>
            <w:vAlign w:val="bottom"/>
          </w:tcPr>
          <w:p w14:paraId="2CAE673C" w14:textId="77777777" w:rsidR="005B36AA" w:rsidRPr="00C520E8" w:rsidRDefault="005B36AA" w:rsidP="005B36AA">
            <w:pPr>
              <w:pStyle w:val="Subtitle"/>
              <w:rPr>
                <w:bCs/>
              </w:rPr>
            </w:pPr>
            <w:r>
              <w:rPr>
                <w:bCs/>
              </w:rPr>
              <w:t>0.95%</w:t>
            </w:r>
          </w:p>
        </w:tc>
        <w:tc>
          <w:tcPr>
            <w:tcW w:w="1134" w:type="dxa"/>
            <w:vAlign w:val="bottom"/>
          </w:tcPr>
          <w:p w14:paraId="39BB3347" w14:textId="77777777" w:rsidR="005B36AA" w:rsidRPr="00AB7614" w:rsidRDefault="005B36AA" w:rsidP="005B36AA">
            <w:pPr>
              <w:pStyle w:val="Subtitle"/>
              <w:rPr>
                <w:b w:val="0"/>
                <w:bCs/>
              </w:rPr>
            </w:pPr>
            <w:r w:rsidRPr="00AB7614">
              <w:rPr>
                <w:b w:val="0"/>
                <w:bCs/>
              </w:rPr>
              <w:t>0.85%</w:t>
            </w:r>
          </w:p>
        </w:tc>
      </w:tr>
      <w:tr w:rsidR="005B36AA" w14:paraId="6F4074F9" w14:textId="77777777" w:rsidTr="005B36AA">
        <w:trPr>
          <w:trHeight w:val="227"/>
        </w:trPr>
        <w:tc>
          <w:tcPr>
            <w:tcW w:w="5669" w:type="dxa"/>
            <w:tcBorders>
              <w:bottom w:val="single" w:sz="8" w:space="0" w:color="auto"/>
            </w:tcBorders>
            <w:vAlign w:val="bottom"/>
          </w:tcPr>
          <w:p w14:paraId="02486A46" w14:textId="77777777" w:rsidR="005B36AA" w:rsidRDefault="005B36AA" w:rsidP="005B36AA">
            <w:pPr>
              <w:pStyle w:val="TableRowHead"/>
            </w:pPr>
            <w:r>
              <w:t>Inflation rate**</w:t>
            </w:r>
          </w:p>
        </w:tc>
        <w:tc>
          <w:tcPr>
            <w:tcW w:w="1134" w:type="dxa"/>
            <w:tcBorders>
              <w:bottom w:val="single" w:sz="8" w:space="0" w:color="auto"/>
            </w:tcBorders>
            <w:vAlign w:val="bottom"/>
          </w:tcPr>
          <w:p w14:paraId="2F21A738" w14:textId="77777777" w:rsidR="005B36AA" w:rsidRPr="00C520E8" w:rsidRDefault="005B36AA" w:rsidP="005B36AA">
            <w:pPr>
              <w:pStyle w:val="Subtitle"/>
              <w:rPr>
                <w:bCs/>
              </w:rPr>
            </w:pPr>
            <w:r>
              <w:rPr>
                <w:bCs/>
              </w:rPr>
              <w:t>2.95%</w:t>
            </w:r>
          </w:p>
        </w:tc>
        <w:tc>
          <w:tcPr>
            <w:tcW w:w="1134" w:type="dxa"/>
            <w:tcBorders>
              <w:bottom w:val="single" w:sz="8" w:space="0" w:color="auto"/>
            </w:tcBorders>
            <w:vAlign w:val="bottom"/>
          </w:tcPr>
          <w:p w14:paraId="3918D422" w14:textId="77777777" w:rsidR="005B36AA" w:rsidRPr="00AB7614" w:rsidRDefault="005B36AA" w:rsidP="005B36AA">
            <w:pPr>
              <w:pStyle w:val="Subtitle"/>
              <w:rPr>
                <w:b w:val="0"/>
                <w:bCs/>
              </w:rPr>
            </w:pPr>
            <w:r w:rsidRPr="00AB7614">
              <w:rPr>
                <w:b w:val="0"/>
                <w:bCs/>
              </w:rPr>
              <w:t>3.05%</w:t>
            </w:r>
          </w:p>
        </w:tc>
        <w:tc>
          <w:tcPr>
            <w:tcW w:w="1134" w:type="dxa"/>
            <w:tcBorders>
              <w:bottom w:val="single" w:sz="8" w:space="0" w:color="auto"/>
            </w:tcBorders>
            <w:vAlign w:val="bottom"/>
          </w:tcPr>
          <w:p w14:paraId="088EDD18" w14:textId="77777777" w:rsidR="005B36AA" w:rsidRPr="00C520E8" w:rsidRDefault="005B36AA" w:rsidP="005B36AA">
            <w:pPr>
              <w:pStyle w:val="Subtitle"/>
              <w:rPr>
                <w:bCs/>
              </w:rPr>
            </w:pPr>
            <w:r>
              <w:rPr>
                <w:bCs/>
              </w:rPr>
              <w:t>1.50%</w:t>
            </w:r>
          </w:p>
        </w:tc>
        <w:tc>
          <w:tcPr>
            <w:tcW w:w="1134" w:type="dxa"/>
            <w:tcBorders>
              <w:bottom w:val="single" w:sz="8" w:space="0" w:color="auto"/>
            </w:tcBorders>
            <w:vAlign w:val="bottom"/>
          </w:tcPr>
          <w:p w14:paraId="6BC492CB" w14:textId="77777777" w:rsidR="005B36AA" w:rsidRPr="00AB7614" w:rsidRDefault="005B36AA" w:rsidP="005B36AA">
            <w:pPr>
              <w:pStyle w:val="Subtitle"/>
              <w:rPr>
                <w:b w:val="0"/>
                <w:bCs/>
              </w:rPr>
            </w:pPr>
            <w:r w:rsidRPr="00AB7614">
              <w:rPr>
                <w:b w:val="0"/>
                <w:bCs/>
              </w:rPr>
              <w:t>1.50%</w:t>
            </w:r>
          </w:p>
        </w:tc>
      </w:tr>
      <w:tr w:rsidR="005B36AA" w14:paraId="2B8E025D" w14:textId="77777777" w:rsidTr="005B36AA">
        <w:trPr>
          <w:trHeight w:val="227"/>
        </w:trPr>
        <w:tc>
          <w:tcPr>
            <w:tcW w:w="10205" w:type="dxa"/>
            <w:gridSpan w:val="5"/>
            <w:tcBorders>
              <w:top w:val="single" w:sz="8" w:space="0" w:color="auto"/>
            </w:tcBorders>
          </w:tcPr>
          <w:p w14:paraId="16D45EC8" w14:textId="5B881BD6" w:rsidR="005B36AA" w:rsidRPr="00660EC8" w:rsidRDefault="005B36AA" w:rsidP="005B36AA">
            <w:pPr>
              <w:pStyle w:val="TableComments"/>
              <w:ind w:left="0" w:right="316"/>
              <w:jc w:val="both"/>
              <w:rPr>
                <w:szCs w:val="16"/>
              </w:rPr>
            </w:pPr>
            <w:r w:rsidRPr="00E05961">
              <w:rPr>
                <w:szCs w:val="16"/>
              </w:rPr>
              <w:t xml:space="preserve">* </w:t>
            </w:r>
            <w:r>
              <w:t xml:space="preserve"> </w:t>
            </w:r>
            <w:r w:rsidRPr="00202445">
              <w:rPr>
                <w:szCs w:val="16"/>
              </w:rPr>
              <w:t xml:space="preserve">The rate of increase in pension payments applies to </w:t>
            </w:r>
            <w:proofErr w:type="gramStart"/>
            <w:r w:rsidRPr="00202445">
              <w:rPr>
                <w:szCs w:val="16"/>
              </w:rPr>
              <w:t>the majority of</w:t>
            </w:r>
            <w:proofErr w:type="gramEnd"/>
            <w:r w:rsidRPr="00202445">
              <w:rPr>
                <w:szCs w:val="16"/>
              </w:rPr>
              <w:t xml:space="preserve"> the liability base, however there are certain categories within the Group's Irish Schemes that have an entitlement to pension indexation</w:t>
            </w:r>
            <w:r w:rsidR="00BA2D4A">
              <w:rPr>
                <w:szCs w:val="16"/>
              </w:rPr>
              <w:t>.</w:t>
            </w:r>
          </w:p>
          <w:p w14:paraId="6C44EEE7" w14:textId="2A1A9D3E" w:rsidR="005B36AA" w:rsidRDefault="005B36AA" w:rsidP="005B36AA">
            <w:pPr>
              <w:pStyle w:val="TableComments"/>
              <w:ind w:left="0" w:right="316"/>
              <w:jc w:val="both"/>
            </w:pPr>
            <w:r>
              <w:t>**Inflation is Retail Price Index (RPI) for UK Schemes, for reference Consumer Price Index (CPI) is assumed to be 0.5% per annum lower than RPI</w:t>
            </w:r>
            <w:r w:rsidR="00BA2D4A">
              <w:t>.</w:t>
            </w:r>
          </w:p>
        </w:tc>
      </w:tr>
    </w:tbl>
    <w:p w14:paraId="01FD79BD" w14:textId="77777777" w:rsidR="005B36AA" w:rsidRDefault="005B36AA" w:rsidP="005B36AA">
      <w:pPr>
        <w:widowControl/>
        <w:adjustRightInd w:val="0"/>
        <w:jc w:val="both"/>
        <w:rPr>
          <w:rFonts w:asciiTheme="minorHAnsi" w:hAnsiTheme="minorHAnsi" w:cstheme="minorHAnsi"/>
          <w:sz w:val="18"/>
          <w:szCs w:val="18"/>
        </w:rPr>
      </w:pPr>
    </w:p>
    <w:p w14:paraId="497B9A9D" w14:textId="77777777" w:rsidR="005B36AA" w:rsidRDefault="005B36AA" w:rsidP="005B36AA">
      <w:pPr>
        <w:widowControl/>
        <w:adjustRightInd w:val="0"/>
        <w:jc w:val="both"/>
        <w:rPr>
          <w:rFonts w:asciiTheme="minorHAnsi" w:hAnsiTheme="minorHAnsi" w:cstheme="minorHAnsi"/>
          <w:sz w:val="18"/>
          <w:szCs w:val="18"/>
        </w:rPr>
      </w:pPr>
      <w:r>
        <w:rPr>
          <w:rFonts w:asciiTheme="minorHAnsi" w:hAnsiTheme="minorHAnsi" w:cstheme="minorHAnsi"/>
          <w:sz w:val="18"/>
          <w:szCs w:val="18"/>
        </w:rPr>
        <w:t>The financial position of the schemes was as follows:</w:t>
      </w:r>
    </w:p>
    <w:tbl>
      <w:tblPr>
        <w:tblW w:w="10205" w:type="dxa"/>
        <w:tblLayout w:type="fixed"/>
        <w:tblLook w:val="01E0" w:firstRow="1" w:lastRow="1" w:firstColumn="1" w:lastColumn="1" w:noHBand="0" w:noVBand="0"/>
      </w:tblPr>
      <w:tblGrid>
        <w:gridCol w:w="5669"/>
        <w:gridCol w:w="1134"/>
        <w:gridCol w:w="1134"/>
        <w:gridCol w:w="1134"/>
        <w:gridCol w:w="1134"/>
      </w:tblGrid>
      <w:tr w:rsidR="005B36AA" w14:paraId="6AE66ADD" w14:textId="77777777" w:rsidTr="005B36AA">
        <w:trPr>
          <w:trHeight w:val="227"/>
        </w:trPr>
        <w:tc>
          <w:tcPr>
            <w:tcW w:w="5669" w:type="dxa"/>
            <w:tcBorders>
              <w:bottom w:val="single" w:sz="4" w:space="0" w:color="auto"/>
            </w:tcBorders>
            <w:vAlign w:val="bottom"/>
          </w:tcPr>
          <w:p w14:paraId="25E761DD" w14:textId="77777777" w:rsidR="005B36AA" w:rsidRPr="00637F6B" w:rsidRDefault="005B36AA" w:rsidP="005B36AA">
            <w:pPr>
              <w:pStyle w:val="TableRowHead"/>
            </w:pPr>
          </w:p>
        </w:tc>
        <w:tc>
          <w:tcPr>
            <w:tcW w:w="1134" w:type="dxa"/>
            <w:tcBorders>
              <w:bottom w:val="single" w:sz="4" w:space="0" w:color="auto"/>
            </w:tcBorders>
            <w:vAlign w:val="bottom"/>
          </w:tcPr>
          <w:p w14:paraId="38A2132F" w14:textId="77777777" w:rsidR="005B36AA" w:rsidRDefault="005B36AA" w:rsidP="005B36AA">
            <w:pPr>
              <w:pStyle w:val="Subtitle"/>
              <w:rPr>
                <w:bCs/>
              </w:rPr>
            </w:pPr>
            <w:r w:rsidRPr="00074798">
              <w:rPr>
                <w:bCs/>
              </w:rPr>
              <w:t xml:space="preserve">UK </w:t>
            </w:r>
          </w:p>
          <w:p w14:paraId="3CC6B8E2" w14:textId="77777777" w:rsidR="005B36AA" w:rsidRPr="00074798" w:rsidRDefault="005B36AA" w:rsidP="005B36AA">
            <w:pPr>
              <w:pStyle w:val="Subtitle"/>
              <w:rPr>
                <w:bCs/>
              </w:rPr>
            </w:pPr>
            <w:r w:rsidRPr="00074798">
              <w:rPr>
                <w:bCs/>
              </w:rPr>
              <w:t>Schemes</w:t>
            </w:r>
            <w:r w:rsidRPr="00074798">
              <w:rPr>
                <w:bCs/>
              </w:rPr>
              <w:br/>
              <w:t>£m</w:t>
            </w:r>
          </w:p>
        </w:tc>
        <w:tc>
          <w:tcPr>
            <w:tcW w:w="1134" w:type="dxa"/>
            <w:tcBorders>
              <w:bottom w:val="single" w:sz="4" w:space="0" w:color="auto"/>
            </w:tcBorders>
            <w:vAlign w:val="bottom"/>
          </w:tcPr>
          <w:p w14:paraId="2EAF8288" w14:textId="77777777" w:rsidR="005B36AA" w:rsidRPr="00074798" w:rsidRDefault="005B36AA" w:rsidP="005B36AA">
            <w:pPr>
              <w:pStyle w:val="Subtitle"/>
              <w:rPr>
                <w:bCs/>
              </w:rPr>
            </w:pPr>
            <w:r w:rsidRPr="00074798">
              <w:rPr>
                <w:bCs/>
              </w:rPr>
              <w:t>Irish Schemes</w:t>
            </w:r>
            <w:r w:rsidRPr="00074798">
              <w:rPr>
                <w:bCs/>
              </w:rPr>
              <w:br/>
              <w:t>£m</w:t>
            </w:r>
          </w:p>
        </w:tc>
        <w:tc>
          <w:tcPr>
            <w:tcW w:w="1134" w:type="dxa"/>
            <w:tcBorders>
              <w:bottom w:val="single" w:sz="4" w:space="0" w:color="auto"/>
            </w:tcBorders>
            <w:vAlign w:val="bottom"/>
          </w:tcPr>
          <w:p w14:paraId="1E2F5960" w14:textId="77777777" w:rsidR="005B36AA" w:rsidRDefault="005B36AA" w:rsidP="005B36AA">
            <w:pPr>
              <w:pStyle w:val="Subtitle"/>
            </w:pPr>
            <w:r>
              <w:t>2020</w:t>
            </w:r>
          </w:p>
          <w:p w14:paraId="198473AC" w14:textId="77777777" w:rsidR="005B36AA" w:rsidRPr="00637F6B" w:rsidRDefault="005B36AA" w:rsidP="005B36AA">
            <w:pPr>
              <w:pStyle w:val="Subtitle"/>
            </w:pPr>
            <w:r>
              <w:t>Total</w:t>
            </w:r>
            <w:r w:rsidRPr="00637F6B">
              <w:br/>
              <w:t>£m</w:t>
            </w:r>
          </w:p>
        </w:tc>
        <w:tc>
          <w:tcPr>
            <w:tcW w:w="1134" w:type="dxa"/>
            <w:tcBorders>
              <w:bottom w:val="single" w:sz="4" w:space="0" w:color="auto"/>
            </w:tcBorders>
            <w:vAlign w:val="bottom"/>
          </w:tcPr>
          <w:p w14:paraId="09563F04" w14:textId="77777777" w:rsidR="005B36AA" w:rsidRDefault="005B36AA" w:rsidP="005B36AA">
            <w:pPr>
              <w:pStyle w:val="Subtitle"/>
              <w:rPr>
                <w:b w:val="0"/>
              </w:rPr>
            </w:pPr>
            <w:r>
              <w:rPr>
                <w:b w:val="0"/>
              </w:rPr>
              <w:t>2019</w:t>
            </w:r>
          </w:p>
          <w:p w14:paraId="4CBC3267" w14:textId="77777777" w:rsidR="005B36AA" w:rsidRPr="00637F6B" w:rsidRDefault="005B36AA" w:rsidP="005B36AA">
            <w:pPr>
              <w:pStyle w:val="Subtitle"/>
              <w:rPr>
                <w:b w:val="0"/>
              </w:rPr>
            </w:pPr>
            <w:r>
              <w:rPr>
                <w:b w:val="0"/>
              </w:rPr>
              <w:t>Total</w:t>
            </w:r>
            <w:r w:rsidRPr="00637F6B">
              <w:rPr>
                <w:b w:val="0"/>
              </w:rPr>
              <w:br/>
              <w:t>£m</w:t>
            </w:r>
          </w:p>
        </w:tc>
      </w:tr>
      <w:tr w:rsidR="005B36AA" w14:paraId="63FE5AE9" w14:textId="77777777" w:rsidTr="005B36AA">
        <w:trPr>
          <w:trHeight w:val="227"/>
        </w:trPr>
        <w:tc>
          <w:tcPr>
            <w:tcW w:w="5669" w:type="dxa"/>
            <w:tcBorders>
              <w:top w:val="single" w:sz="4" w:space="0" w:color="auto"/>
            </w:tcBorders>
            <w:vAlign w:val="bottom"/>
          </w:tcPr>
          <w:p w14:paraId="249E8B23" w14:textId="77777777" w:rsidR="005B36AA" w:rsidRPr="00637F6B" w:rsidRDefault="005B36AA" w:rsidP="005B36AA">
            <w:pPr>
              <w:pStyle w:val="TableRowHead"/>
            </w:pPr>
            <w:r w:rsidRPr="00637F6B">
              <w:t>Fair value of plan assets</w:t>
            </w:r>
          </w:p>
        </w:tc>
        <w:tc>
          <w:tcPr>
            <w:tcW w:w="1134" w:type="dxa"/>
            <w:tcBorders>
              <w:top w:val="single" w:sz="4" w:space="0" w:color="auto"/>
            </w:tcBorders>
            <w:vAlign w:val="bottom"/>
          </w:tcPr>
          <w:p w14:paraId="714C7216" w14:textId="77777777" w:rsidR="005B36AA" w:rsidRPr="008A4B06" w:rsidRDefault="005B36AA" w:rsidP="005B36AA">
            <w:pPr>
              <w:pStyle w:val="Subtitle"/>
              <w:rPr>
                <w:bCs/>
              </w:rPr>
            </w:pPr>
            <w:r>
              <w:rPr>
                <w:bCs/>
              </w:rPr>
              <w:t>232.8</w:t>
            </w:r>
          </w:p>
        </w:tc>
        <w:tc>
          <w:tcPr>
            <w:tcW w:w="1134" w:type="dxa"/>
            <w:tcBorders>
              <w:top w:val="single" w:sz="4" w:space="0" w:color="auto"/>
            </w:tcBorders>
            <w:vAlign w:val="bottom"/>
          </w:tcPr>
          <w:p w14:paraId="1CC1B4EC" w14:textId="77777777" w:rsidR="005B36AA" w:rsidRPr="008A4B06" w:rsidRDefault="005B36AA" w:rsidP="005B36AA">
            <w:pPr>
              <w:pStyle w:val="Subtitle"/>
              <w:rPr>
                <w:bCs/>
              </w:rPr>
            </w:pPr>
            <w:r>
              <w:rPr>
                <w:bCs/>
              </w:rPr>
              <w:t>270.0</w:t>
            </w:r>
          </w:p>
        </w:tc>
        <w:tc>
          <w:tcPr>
            <w:tcW w:w="1134" w:type="dxa"/>
            <w:tcBorders>
              <w:top w:val="single" w:sz="4" w:space="0" w:color="auto"/>
            </w:tcBorders>
            <w:vAlign w:val="bottom"/>
          </w:tcPr>
          <w:p w14:paraId="4E46902F" w14:textId="77777777" w:rsidR="005B36AA" w:rsidRPr="00637F6B" w:rsidRDefault="005B36AA" w:rsidP="005B36AA">
            <w:pPr>
              <w:pStyle w:val="Subtitle"/>
            </w:pPr>
            <w:r>
              <w:t>502.8</w:t>
            </w:r>
          </w:p>
        </w:tc>
        <w:tc>
          <w:tcPr>
            <w:tcW w:w="1134" w:type="dxa"/>
            <w:tcBorders>
              <w:top w:val="single" w:sz="4" w:space="0" w:color="auto"/>
            </w:tcBorders>
            <w:vAlign w:val="bottom"/>
          </w:tcPr>
          <w:p w14:paraId="04163BBC" w14:textId="77777777" w:rsidR="005B36AA" w:rsidRPr="00AB7614" w:rsidRDefault="005B36AA" w:rsidP="005B36AA">
            <w:pPr>
              <w:pStyle w:val="Subtitle"/>
              <w:rPr>
                <w:b w:val="0"/>
              </w:rPr>
            </w:pPr>
            <w:r w:rsidRPr="00AB7614">
              <w:rPr>
                <w:b w:val="0"/>
              </w:rPr>
              <w:t>524.7</w:t>
            </w:r>
          </w:p>
        </w:tc>
      </w:tr>
      <w:tr w:rsidR="005B36AA" w14:paraId="27A9329B" w14:textId="77777777" w:rsidTr="005B36AA">
        <w:trPr>
          <w:trHeight w:val="227"/>
        </w:trPr>
        <w:tc>
          <w:tcPr>
            <w:tcW w:w="5669" w:type="dxa"/>
            <w:tcBorders>
              <w:bottom w:val="single" w:sz="4" w:space="0" w:color="auto"/>
            </w:tcBorders>
            <w:vAlign w:val="bottom"/>
          </w:tcPr>
          <w:p w14:paraId="2FF27EA7" w14:textId="77777777" w:rsidR="005B36AA" w:rsidRPr="00637F6B" w:rsidRDefault="005B36AA" w:rsidP="005B36AA">
            <w:pPr>
              <w:pStyle w:val="TableRowHead"/>
            </w:pPr>
            <w:r w:rsidRPr="00637F6B">
              <w:t>Present value of scheme liabilities</w:t>
            </w:r>
          </w:p>
        </w:tc>
        <w:tc>
          <w:tcPr>
            <w:tcW w:w="1134" w:type="dxa"/>
            <w:tcBorders>
              <w:bottom w:val="single" w:sz="4" w:space="0" w:color="auto"/>
            </w:tcBorders>
            <w:vAlign w:val="bottom"/>
          </w:tcPr>
          <w:p w14:paraId="04F196A0" w14:textId="77777777" w:rsidR="005B36AA" w:rsidRPr="008A4B06" w:rsidRDefault="005B36AA" w:rsidP="005B36AA">
            <w:pPr>
              <w:pStyle w:val="Subtitle"/>
              <w:rPr>
                <w:bCs/>
              </w:rPr>
            </w:pPr>
            <w:r>
              <w:rPr>
                <w:bCs/>
              </w:rPr>
              <w:t>(356.7)</w:t>
            </w:r>
          </w:p>
        </w:tc>
        <w:tc>
          <w:tcPr>
            <w:tcW w:w="1134" w:type="dxa"/>
            <w:tcBorders>
              <w:bottom w:val="single" w:sz="4" w:space="0" w:color="auto"/>
            </w:tcBorders>
            <w:vAlign w:val="bottom"/>
          </w:tcPr>
          <w:p w14:paraId="432C3651" w14:textId="77777777" w:rsidR="005B36AA" w:rsidRPr="008A4B06" w:rsidRDefault="005B36AA" w:rsidP="005B36AA">
            <w:pPr>
              <w:pStyle w:val="Subtitle"/>
              <w:rPr>
                <w:bCs/>
              </w:rPr>
            </w:pPr>
            <w:r>
              <w:rPr>
                <w:bCs/>
              </w:rPr>
              <w:t>(228.2)</w:t>
            </w:r>
          </w:p>
        </w:tc>
        <w:tc>
          <w:tcPr>
            <w:tcW w:w="1134" w:type="dxa"/>
            <w:tcBorders>
              <w:bottom w:val="single" w:sz="4" w:space="0" w:color="auto"/>
            </w:tcBorders>
            <w:vAlign w:val="bottom"/>
          </w:tcPr>
          <w:p w14:paraId="122C9220" w14:textId="77777777" w:rsidR="005B36AA" w:rsidRPr="00637F6B" w:rsidRDefault="005B36AA" w:rsidP="005B36AA">
            <w:pPr>
              <w:pStyle w:val="Subtitle"/>
            </w:pPr>
            <w:r>
              <w:t>(584.9)</w:t>
            </w:r>
          </w:p>
        </w:tc>
        <w:tc>
          <w:tcPr>
            <w:tcW w:w="1134" w:type="dxa"/>
            <w:tcBorders>
              <w:bottom w:val="single" w:sz="4" w:space="0" w:color="auto"/>
            </w:tcBorders>
            <w:vAlign w:val="bottom"/>
          </w:tcPr>
          <w:p w14:paraId="52EEA127" w14:textId="77777777" w:rsidR="005B36AA" w:rsidRPr="00AB7614" w:rsidRDefault="005B36AA" w:rsidP="005B36AA">
            <w:pPr>
              <w:pStyle w:val="Subtitle"/>
              <w:rPr>
                <w:b w:val="0"/>
              </w:rPr>
            </w:pPr>
            <w:r w:rsidRPr="00AB7614">
              <w:rPr>
                <w:b w:val="0"/>
              </w:rPr>
              <w:t>(616.7)</w:t>
            </w:r>
          </w:p>
        </w:tc>
      </w:tr>
      <w:tr w:rsidR="005B36AA" w14:paraId="197846DC" w14:textId="77777777" w:rsidTr="005B36AA">
        <w:trPr>
          <w:trHeight w:val="227"/>
        </w:trPr>
        <w:tc>
          <w:tcPr>
            <w:tcW w:w="5669" w:type="dxa"/>
            <w:tcBorders>
              <w:top w:val="single" w:sz="4" w:space="0" w:color="auto"/>
            </w:tcBorders>
            <w:vAlign w:val="bottom"/>
          </w:tcPr>
          <w:p w14:paraId="21072B31" w14:textId="77777777" w:rsidR="005B36AA" w:rsidRPr="00637F6B" w:rsidRDefault="005B36AA" w:rsidP="005B36AA">
            <w:pPr>
              <w:pStyle w:val="TableRowHead"/>
            </w:pPr>
            <w:r w:rsidRPr="00637F6B">
              <w:t>(Deficit)/surplus in schemes</w:t>
            </w:r>
          </w:p>
        </w:tc>
        <w:tc>
          <w:tcPr>
            <w:tcW w:w="1134" w:type="dxa"/>
            <w:tcBorders>
              <w:top w:val="single" w:sz="4" w:space="0" w:color="auto"/>
            </w:tcBorders>
            <w:vAlign w:val="bottom"/>
          </w:tcPr>
          <w:p w14:paraId="2B10CA33" w14:textId="77777777" w:rsidR="005B36AA" w:rsidRPr="008A4B06" w:rsidRDefault="005B36AA" w:rsidP="005B36AA">
            <w:pPr>
              <w:pStyle w:val="Subtitle"/>
              <w:rPr>
                <w:bCs/>
              </w:rPr>
            </w:pPr>
            <w:r>
              <w:rPr>
                <w:bCs/>
              </w:rPr>
              <w:t>(123.9)</w:t>
            </w:r>
          </w:p>
        </w:tc>
        <w:tc>
          <w:tcPr>
            <w:tcW w:w="1134" w:type="dxa"/>
            <w:tcBorders>
              <w:top w:val="single" w:sz="4" w:space="0" w:color="auto"/>
            </w:tcBorders>
            <w:vAlign w:val="bottom"/>
          </w:tcPr>
          <w:p w14:paraId="3E29C05F" w14:textId="77777777" w:rsidR="005B36AA" w:rsidRPr="008A4B06" w:rsidRDefault="005B36AA" w:rsidP="005B36AA">
            <w:pPr>
              <w:pStyle w:val="Subtitle"/>
              <w:rPr>
                <w:bCs/>
              </w:rPr>
            </w:pPr>
            <w:r>
              <w:rPr>
                <w:bCs/>
              </w:rPr>
              <w:t>41.8</w:t>
            </w:r>
          </w:p>
        </w:tc>
        <w:tc>
          <w:tcPr>
            <w:tcW w:w="1134" w:type="dxa"/>
            <w:tcBorders>
              <w:top w:val="single" w:sz="4" w:space="0" w:color="auto"/>
            </w:tcBorders>
            <w:vAlign w:val="bottom"/>
          </w:tcPr>
          <w:p w14:paraId="62C5DF0A" w14:textId="77777777" w:rsidR="005B36AA" w:rsidRPr="00637F6B" w:rsidRDefault="005B36AA" w:rsidP="005B36AA">
            <w:pPr>
              <w:pStyle w:val="Subtitle"/>
            </w:pPr>
            <w:r>
              <w:t>(82.1)</w:t>
            </w:r>
          </w:p>
        </w:tc>
        <w:tc>
          <w:tcPr>
            <w:tcW w:w="1134" w:type="dxa"/>
            <w:tcBorders>
              <w:top w:val="single" w:sz="4" w:space="0" w:color="auto"/>
            </w:tcBorders>
            <w:vAlign w:val="bottom"/>
          </w:tcPr>
          <w:p w14:paraId="5C0A7D5D" w14:textId="77777777" w:rsidR="005B36AA" w:rsidRPr="00AB7614" w:rsidRDefault="005B36AA" w:rsidP="005B36AA">
            <w:pPr>
              <w:pStyle w:val="Subtitle"/>
              <w:rPr>
                <w:b w:val="0"/>
              </w:rPr>
            </w:pPr>
            <w:r w:rsidRPr="00AB7614">
              <w:rPr>
                <w:b w:val="0"/>
              </w:rPr>
              <w:t>(92.0)</w:t>
            </w:r>
          </w:p>
        </w:tc>
      </w:tr>
      <w:tr w:rsidR="005B36AA" w14:paraId="6EB78371" w14:textId="77777777" w:rsidTr="005B36AA">
        <w:trPr>
          <w:trHeight w:val="227"/>
        </w:trPr>
        <w:tc>
          <w:tcPr>
            <w:tcW w:w="5669" w:type="dxa"/>
            <w:tcBorders>
              <w:bottom w:val="single" w:sz="4" w:space="0" w:color="auto"/>
            </w:tcBorders>
            <w:vAlign w:val="bottom"/>
          </w:tcPr>
          <w:p w14:paraId="364312E1" w14:textId="77777777" w:rsidR="005B36AA" w:rsidRPr="00637F6B" w:rsidRDefault="005B36AA" w:rsidP="005B36AA">
            <w:pPr>
              <w:pStyle w:val="TableRowHead"/>
            </w:pPr>
            <w:r w:rsidRPr="00637F6B">
              <w:t>Deferred tax asset</w:t>
            </w:r>
            <w:r>
              <w:t xml:space="preserve"> </w:t>
            </w:r>
          </w:p>
        </w:tc>
        <w:tc>
          <w:tcPr>
            <w:tcW w:w="1134" w:type="dxa"/>
            <w:tcBorders>
              <w:bottom w:val="single" w:sz="4" w:space="0" w:color="auto"/>
            </w:tcBorders>
            <w:vAlign w:val="bottom"/>
          </w:tcPr>
          <w:p w14:paraId="46381AFA" w14:textId="0FA0C8E6" w:rsidR="005B36AA" w:rsidRPr="008A4B06" w:rsidRDefault="0020662E" w:rsidP="005B36AA">
            <w:pPr>
              <w:pStyle w:val="Subtitle"/>
              <w:rPr>
                <w:bCs/>
              </w:rPr>
            </w:pPr>
            <w:r>
              <w:rPr>
                <w:bCs/>
              </w:rPr>
              <w:t>23.5</w:t>
            </w:r>
          </w:p>
        </w:tc>
        <w:tc>
          <w:tcPr>
            <w:tcW w:w="1134" w:type="dxa"/>
            <w:tcBorders>
              <w:bottom w:val="single" w:sz="4" w:space="0" w:color="auto"/>
            </w:tcBorders>
            <w:vAlign w:val="bottom"/>
          </w:tcPr>
          <w:p w14:paraId="716FCF78" w14:textId="2647CA91" w:rsidR="005B36AA" w:rsidRPr="005A2C63" w:rsidRDefault="0020662E" w:rsidP="005B36AA">
            <w:pPr>
              <w:pStyle w:val="Subtitle"/>
              <w:rPr>
                <w:bCs/>
              </w:rPr>
            </w:pPr>
            <w:r>
              <w:t>(5.2)</w:t>
            </w:r>
          </w:p>
        </w:tc>
        <w:tc>
          <w:tcPr>
            <w:tcW w:w="1134" w:type="dxa"/>
            <w:tcBorders>
              <w:bottom w:val="single" w:sz="4" w:space="0" w:color="auto"/>
            </w:tcBorders>
            <w:vAlign w:val="bottom"/>
          </w:tcPr>
          <w:p w14:paraId="697728F3" w14:textId="77777777" w:rsidR="005B36AA" w:rsidRPr="005A2C63" w:rsidRDefault="005B36AA" w:rsidP="005B36AA">
            <w:pPr>
              <w:pStyle w:val="Subtitle"/>
              <w:rPr>
                <w:b w:val="0"/>
              </w:rPr>
            </w:pPr>
            <w:r w:rsidRPr="005A2C63">
              <w:t>18.3</w:t>
            </w:r>
          </w:p>
        </w:tc>
        <w:tc>
          <w:tcPr>
            <w:tcW w:w="1134" w:type="dxa"/>
            <w:tcBorders>
              <w:bottom w:val="single" w:sz="4" w:space="0" w:color="auto"/>
            </w:tcBorders>
            <w:vAlign w:val="bottom"/>
          </w:tcPr>
          <w:p w14:paraId="1B6AE3F2" w14:textId="77777777" w:rsidR="005B36AA" w:rsidRPr="00AB7614" w:rsidRDefault="005B36AA" w:rsidP="005B36AA">
            <w:pPr>
              <w:pStyle w:val="Subtitle"/>
              <w:rPr>
                <w:b w:val="0"/>
              </w:rPr>
            </w:pPr>
            <w:r w:rsidRPr="00AB7614">
              <w:rPr>
                <w:b w:val="0"/>
              </w:rPr>
              <w:t>17.2</w:t>
            </w:r>
          </w:p>
        </w:tc>
      </w:tr>
      <w:tr w:rsidR="005B36AA" w14:paraId="2FC9D2C9" w14:textId="77777777" w:rsidTr="005B36AA">
        <w:trPr>
          <w:trHeight w:val="227"/>
        </w:trPr>
        <w:tc>
          <w:tcPr>
            <w:tcW w:w="5669" w:type="dxa"/>
            <w:tcBorders>
              <w:top w:val="single" w:sz="4" w:space="0" w:color="auto"/>
              <w:bottom w:val="single" w:sz="8" w:space="0" w:color="auto"/>
            </w:tcBorders>
            <w:vAlign w:val="bottom"/>
          </w:tcPr>
          <w:p w14:paraId="113A7FAA" w14:textId="77777777" w:rsidR="005B36AA" w:rsidRPr="00692E97" w:rsidRDefault="005B36AA" w:rsidP="005B36AA">
            <w:pPr>
              <w:pStyle w:val="TableRowHead"/>
              <w:rPr>
                <w:b/>
              </w:rPr>
            </w:pPr>
            <w:r w:rsidRPr="00692E97">
              <w:rPr>
                <w:b/>
              </w:rPr>
              <w:t xml:space="preserve">Net (liability)/asset at end of </w:t>
            </w:r>
            <w:r>
              <w:rPr>
                <w:b/>
              </w:rPr>
              <w:t>year</w:t>
            </w:r>
          </w:p>
        </w:tc>
        <w:tc>
          <w:tcPr>
            <w:tcW w:w="1134" w:type="dxa"/>
            <w:tcBorders>
              <w:top w:val="single" w:sz="4" w:space="0" w:color="auto"/>
              <w:bottom w:val="single" w:sz="8" w:space="0" w:color="auto"/>
            </w:tcBorders>
            <w:vAlign w:val="bottom"/>
          </w:tcPr>
          <w:p w14:paraId="0C4048BF" w14:textId="2B32DA32" w:rsidR="005B36AA" w:rsidRPr="008A4B06" w:rsidRDefault="005B36AA">
            <w:pPr>
              <w:pStyle w:val="Subtitle"/>
              <w:rPr>
                <w:bCs/>
              </w:rPr>
            </w:pPr>
            <w:r>
              <w:rPr>
                <w:bCs/>
              </w:rPr>
              <w:t>(10</w:t>
            </w:r>
            <w:r w:rsidR="0020662E">
              <w:rPr>
                <w:bCs/>
              </w:rPr>
              <w:t>0.4</w:t>
            </w:r>
            <w:r>
              <w:rPr>
                <w:bCs/>
              </w:rPr>
              <w:t>)</w:t>
            </w:r>
          </w:p>
        </w:tc>
        <w:tc>
          <w:tcPr>
            <w:tcW w:w="1134" w:type="dxa"/>
            <w:tcBorders>
              <w:top w:val="single" w:sz="4" w:space="0" w:color="auto"/>
              <w:bottom w:val="single" w:sz="8" w:space="0" w:color="auto"/>
            </w:tcBorders>
            <w:vAlign w:val="bottom"/>
          </w:tcPr>
          <w:p w14:paraId="19336C67" w14:textId="58E96882" w:rsidR="005B36AA" w:rsidRPr="00451C23" w:rsidRDefault="0020662E" w:rsidP="005B36AA">
            <w:pPr>
              <w:pStyle w:val="Subtitle"/>
              <w:rPr>
                <w:bCs/>
              </w:rPr>
            </w:pPr>
            <w:r>
              <w:rPr>
                <w:bCs/>
              </w:rPr>
              <w:t>36.6</w:t>
            </w:r>
          </w:p>
        </w:tc>
        <w:tc>
          <w:tcPr>
            <w:tcW w:w="1134" w:type="dxa"/>
            <w:tcBorders>
              <w:top w:val="single" w:sz="4" w:space="0" w:color="auto"/>
              <w:bottom w:val="single" w:sz="8" w:space="0" w:color="auto"/>
            </w:tcBorders>
            <w:vAlign w:val="bottom"/>
          </w:tcPr>
          <w:p w14:paraId="64D27AEA" w14:textId="77777777" w:rsidR="005B36AA" w:rsidRPr="00637F6B" w:rsidRDefault="005B36AA" w:rsidP="005B36AA">
            <w:pPr>
              <w:pStyle w:val="Subtitle"/>
            </w:pPr>
            <w:r>
              <w:t>(63.8)</w:t>
            </w:r>
          </w:p>
        </w:tc>
        <w:tc>
          <w:tcPr>
            <w:tcW w:w="1134" w:type="dxa"/>
            <w:tcBorders>
              <w:top w:val="single" w:sz="4" w:space="0" w:color="auto"/>
              <w:bottom w:val="single" w:sz="8" w:space="0" w:color="auto"/>
            </w:tcBorders>
            <w:vAlign w:val="bottom"/>
          </w:tcPr>
          <w:p w14:paraId="79C2587E" w14:textId="77777777" w:rsidR="005B36AA" w:rsidRPr="00AB7614" w:rsidRDefault="005B36AA" w:rsidP="005B36AA">
            <w:pPr>
              <w:pStyle w:val="Subtitle"/>
              <w:rPr>
                <w:b w:val="0"/>
              </w:rPr>
            </w:pPr>
            <w:r w:rsidRPr="00AB7614">
              <w:rPr>
                <w:b w:val="0"/>
              </w:rPr>
              <w:t>(74.8)</w:t>
            </w:r>
          </w:p>
        </w:tc>
      </w:tr>
      <w:tr w:rsidR="005B36AA" w14:paraId="7938CB2F" w14:textId="77777777" w:rsidTr="005B36AA">
        <w:trPr>
          <w:trHeight w:val="227"/>
        </w:trPr>
        <w:tc>
          <w:tcPr>
            <w:tcW w:w="5669" w:type="dxa"/>
            <w:vAlign w:val="bottom"/>
          </w:tcPr>
          <w:p w14:paraId="6CA829FB" w14:textId="77777777" w:rsidR="005B36AA" w:rsidRDefault="005B36AA" w:rsidP="005B36AA">
            <w:pPr>
              <w:pStyle w:val="TableRowHead"/>
              <w:rPr>
                <w:b/>
              </w:rPr>
            </w:pPr>
          </w:p>
          <w:p w14:paraId="0A5F6E89" w14:textId="77777777" w:rsidR="005B36AA" w:rsidRPr="00692E97" w:rsidRDefault="005B36AA" w:rsidP="005B36AA">
            <w:pPr>
              <w:pStyle w:val="TableRowHead"/>
              <w:rPr>
                <w:b/>
              </w:rPr>
            </w:pPr>
            <w:r w:rsidRPr="00692E97">
              <w:rPr>
                <w:b/>
              </w:rPr>
              <w:t>Presented as:</w:t>
            </w:r>
          </w:p>
        </w:tc>
        <w:tc>
          <w:tcPr>
            <w:tcW w:w="1134" w:type="dxa"/>
            <w:vAlign w:val="bottom"/>
          </w:tcPr>
          <w:p w14:paraId="0A202410" w14:textId="77777777" w:rsidR="005B36AA" w:rsidRPr="00637F6B" w:rsidRDefault="005B36AA" w:rsidP="005B36AA">
            <w:pPr>
              <w:pStyle w:val="Subtitle"/>
              <w:rPr>
                <w:b w:val="0"/>
              </w:rPr>
            </w:pPr>
          </w:p>
        </w:tc>
        <w:tc>
          <w:tcPr>
            <w:tcW w:w="1134" w:type="dxa"/>
            <w:vAlign w:val="bottom"/>
          </w:tcPr>
          <w:p w14:paraId="0E142653" w14:textId="77777777" w:rsidR="005B36AA" w:rsidRPr="00637F6B" w:rsidRDefault="005B36AA" w:rsidP="005B36AA">
            <w:pPr>
              <w:pStyle w:val="Subtitle"/>
              <w:rPr>
                <w:b w:val="0"/>
              </w:rPr>
            </w:pPr>
          </w:p>
        </w:tc>
        <w:tc>
          <w:tcPr>
            <w:tcW w:w="1134" w:type="dxa"/>
            <w:vAlign w:val="bottom"/>
          </w:tcPr>
          <w:p w14:paraId="360EED95" w14:textId="77777777" w:rsidR="005B36AA" w:rsidRPr="00637F6B" w:rsidRDefault="005B36AA" w:rsidP="005B36AA">
            <w:pPr>
              <w:pStyle w:val="Subtitle"/>
            </w:pPr>
          </w:p>
        </w:tc>
        <w:tc>
          <w:tcPr>
            <w:tcW w:w="1134" w:type="dxa"/>
            <w:vAlign w:val="bottom"/>
          </w:tcPr>
          <w:p w14:paraId="75BD4624" w14:textId="77777777" w:rsidR="005B36AA" w:rsidRPr="00637F6B" w:rsidRDefault="005B36AA" w:rsidP="005B36AA">
            <w:pPr>
              <w:pStyle w:val="Subtitle"/>
              <w:rPr>
                <w:b w:val="0"/>
              </w:rPr>
            </w:pPr>
          </w:p>
        </w:tc>
      </w:tr>
      <w:tr w:rsidR="005B36AA" w14:paraId="114507A8" w14:textId="77777777" w:rsidTr="005B36AA">
        <w:trPr>
          <w:trHeight w:val="227"/>
        </w:trPr>
        <w:tc>
          <w:tcPr>
            <w:tcW w:w="5669" w:type="dxa"/>
            <w:vAlign w:val="bottom"/>
          </w:tcPr>
          <w:p w14:paraId="12D7D0E0" w14:textId="77777777" w:rsidR="005B36AA" w:rsidRPr="00637F6B" w:rsidRDefault="005B36AA" w:rsidP="005B36AA">
            <w:pPr>
              <w:pStyle w:val="TableRowHead"/>
            </w:pPr>
            <w:r>
              <w:t xml:space="preserve">     </w:t>
            </w:r>
            <w:r w:rsidRPr="00322ED6">
              <w:t>Retirement benefit asset*</w:t>
            </w:r>
          </w:p>
        </w:tc>
        <w:tc>
          <w:tcPr>
            <w:tcW w:w="1134" w:type="dxa"/>
            <w:vAlign w:val="bottom"/>
          </w:tcPr>
          <w:p w14:paraId="7C74CC28" w14:textId="77777777" w:rsidR="005B36AA" w:rsidRPr="00637F6B" w:rsidRDefault="005B36AA" w:rsidP="005B36AA">
            <w:pPr>
              <w:pStyle w:val="Subtitle"/>
              <w:rPr>
                <w:b w:val="0"/>
              </w:rPr>
            </w:pPr>
          </w:p>
        </w:tc>
        <w:tc>
          <w:tcPr>
            <w:tcW w:w="1134" w:type="dxa"/>
            <w:vAlign w:val="bottom"/>
          </w:tcPr>
          <w:p w14:paraId="27C90FDF" w14:textId="77777777" w:rsidR="005B36AA" w:rsidRPr="00637F6B" w:rsidRDefault="005B36AA" w:rsidP="005B36AA">
            <w:pPr>
              <w:pStyle w:val="Subtitle"/>
              <w:rPr>
                <w:b w:val="0"/>
              </w:rPr>
            </w:pPr>
          </w:p>
        </w:tc>
        <w:tc>
          <w:tcPr>
            <w:tcW w:w="1134" w:type="dxa"/>
            <w:vAlign w:val="bottom"/>
          </w:tcPr>
          <w:p w14:paraId="6772A2DE" w14:textId="77777777" w:rsidR="005B36AA" w:rsidRPr="00637F6B" w:rsidRDefault="005B36AA" w:rsidP="005B36AA">
            <w:pPr>
              <w:pStyle w:val="Subtitle"/>
            </w:pPr>
            <w:r>
              <w:t>42.9</w:t>
            </w:r>
          </w:p>
        </w:tc>
        <w:tc>
          <w:tcPr>
            <w:tcW w:w="1134" w:type="dxa"/>
            <w:vAlign w:val="bottom"/>
          </w:tcPr>
          <w:p w14:paraId="33DF1C14" w14:textId="77777777" w:rsidR="005B36AA" w:rsidRPr="00AB7614" w:rsidRDefault="005B36AA" w:rsidP="005B36AA">
            <w:pPr>
              <w:pStyle w:val="Subtitle"/>
              <w:rPr>
                <w:b w:val="0"/>
              </w:rPr>
            </w:pPr>
            <w:r w:rsidRPr="00AB7614">
              <w:rPr>
                <w:b w:val="0"/>
              </w:rPr>
              <w:t>36.4</w:t>
            </w:r>
          </w:p>
        </w:tc>
      </w:tr>
      <w:tr w:rsidR="005B36AA" w14:paraId="737F1422" w14:textId="77777777" w:rsidTr="005B36AA">
        <w:trPr>
          <w:trHeight w:val="227"/>
        </w:trPr>
        <w:tc>
          <w:tcPr>
            <w:tcW w:w="5669" w:type="dxa"/>
            <w:tcBorders>
              <w:bottom w:val="single" w:sz="8" w:space="0" w:color="auto"/>
            </w:tcBorders>
            <w:vAlign w:val="bottom"/>
          </w:tcPr>
          <w:p w14:paraId="20436A16" w14:textId="77777777" w:rsidR="005B36AA" w:rsidRPr="00637F6B" w:rsidRDefault="005B36AA" w:rsidP="005B36AA">
            <w:pPr>
              <w:pStyle w:val="TableRowHead"/>
            </w:pPr>
            <w:r>
              <w:t xml:space="preserve">     </w:t>
            </w:r>
            <w:r w:rsidRPr="00637F6B">
              <w:t>Retirement benefit obligation</w:t>
            </w:r>
          </w:p>
        </w:tc>
        <w:tc>
          <w:tcPr>
            <w:tcW w:w="1134" w:type="dxa"/>
            <w:tcBorders>
              <w:bottom w:val="single" w:sz="8" w:space="0" w:color="auto"/>
            </w:tcBorders>
            <w:vAlign w:val="bottom"/>
          </w:tcPr>
          <w:p w14:paraId="55498E5B" w14:textId="77777777" w:rsidR="005B36AA" w:rsidRPr="00637F6B" w:rsidRDefault="005B36AA" w:rsidP="005B36AA">
            <w:pPr>
              <w:pStyle w:val="Subtitle"/>
              <w:rPr>
                <w:b w:val="0"/>
              </w:rPr>
            </w:pPr>
          </w:p>
        </w:tc>
        <w:tc>
          <w:tcPr>
            <w:tcW w:w="1134" w:type="dxa"/>
            <w:tcBorders>
              <w:bottom w:val="single" w:sz="8" w:space="0" w:color="auto"/>
            </w:tcBorders>
            <w:vAlign w:val="bottom"/>
          </w:tcPr>
          <w:p w14:paraId="01E71407" w14:textId="77777777" w:rsidR="005B36AA" w:rsidRPr="00637F6B" w:rsidRDefault="005B36AA" w:rsidP="005B36AA">
            <w:pPr>
              <w:pStyle w:val="Subtitle"/>
              <w:rPr>
                <w:b w:val="0"/>
              </w:rPr>
            </w:pPr>
          </w:p>
        </w:tc>
        <w:tc>
          <w:tcPr>
            <w:tcW w:w="1134" w:type="dxa"/>
            <w:tcBorders>
              <w:bottom w:val="single" w:sz="8" w:space="0" w:color="auto"/>
            </w:tcBorders>
            <w:vAlign w:val="bottom"/>
          </w:tcPr>
          <w:p w14:paraId="18F7F14A" w14:textId="77777777" w:rsidR="005B36AA" w:rsidRPr="00637F6B" w:rsidRDefault="005B36AA" w:rsidP="005B36AA">
            <w:pPr>
              <w:pStyle w:val="Subtitle"/>
            </w:pPr>
            <w:r>
              <w:t>(125.0)</w:t>
            </w:r>
          </w:p>
        </w:tc>
        <w:tc>
          <w:tcPr>
            <w:tcW w:w="1134" w:type="dxa"/>
            <w:tcBorders>
              <w:bottom w:val="single" w:sz="8" w:space="0" w:color="auto"/>
            </w:tcBorders>
            <w:vAlign w:val="bottom"/>
          </w:tcPr>
          <w:p w14:paraId="7AF065D2" w14:textId="77777777" w:rsidR="005B36AA" w:rsidRPr="00AB7614" w:rsidRDefault="005B36AA" w:rsidP="005B36AA">
            <w:pPr>
              <w:pStyle w:val="Subtitle"/>
              <w:rPr>
                <w:b w:val="0"/>
              </w:rPr>
            </w:pPr>
            <w:r w:rsidRPr="00AB7614">
              <w:rPr>
                <w:b w:val="0"/>
              </w:rPr>
              <w:t>(128.4)</w:t>
            </w:r>
          </w:p>
        </w:tc>
      </w:tr>
      <w:tr w:rsidR="005B36AA" w14:paraId="0CF203C9" w14:textId="77777777" w:rsidTr="005B36AA">
        <w:trPr>
          <w:trHeight w:val="227"/>
        </w:trPr>
        <w:tc>
          <w:tcPr>
            <w:tcW w:w="10205" w:type="dxa"/>
            <w:gridSpan w:val="5"/>
            <w:tcBorders>
              <w:top w:val="single" w:sz="8" w:space="0" w:color="auto"/>
            </w:tcBorders>
            <w:vAlign w:val="bottom"/>
          </w:tcPr>
          <w:p w14:paraId="6D345D73" w14:textId="77777777" w:rsidR="005B36AA" w:rsidRPr="005A2C63" w:rsidRDefault="005B36AA" w:rsidP="005B36AA">
            <w:pPr>
              <w:pStyle w:val="TableComments"/>
              <w:ind w:left="29" w:right="316" w:hanging="29"/>
              <w:jc w:val="both"/>
            </w:pPr>
            <w:r w:rsidRPr="00685EA7">
              <w:t>*The value of a net pension benefit asset is the value of any amount the Group reasonably expects to recover by way of a refund of surplus</w:t>
            </w:r>
            <w:r>
              <w:t xml:space="preserve"> </w:t>
            </w:r>
            <w:r w:rsidRPr="00685EA7">
              <w:t>from the remaining assets of a plan at the end of the plan’s life.</w:t>
            </w:r>
          </w:p>
        </w:tc>
      </w:tr>
    </w:tbl>
    <w:p w14:paraId="3B87E500" w14:textId="77777777" w:rsidR="005B36AA" w:rsidRDefault="005B36AA" w:rsidP="005B36AA">
      <w:pPr>
        <w:pStyle w:val="BodyText"/>
        <w:rPr>
          <w:b/>
          <w:bCs/>
        </w:rPr>
      </w:pPr>
    </w:p>
    <w:p w14:paraId="67690691" w14:textId="77777777" w:rsidR="005B36AA" w:rsidRDefault="005B36AA" w:rsidP="005B36AA">
      <w:pPr>
        <w:pStyle w:val="BodyText"/>
        <w:rPr>
          <w:b/>
          <w:bCs/>
        </w:rPr>
      </w:pPr>
      <w:r w:rsidRPr="00947E6A">
        <w:rPr>
          <w:b/>
          <w:bCs/>
        </w:rPr>
        <w:t>Sensitivity of pension liability to judgemental assumptions</w:t>
      </w:r>
    </w:p>
    <w:p w14:paraId="432DD326" w14:textId="77777777" w:rsidR="005B36AA" w:rsidRDefault="005B36AA" w:rsidP="005B36AA">
      <w:pPr>
        <w:pStyle w:val="BodyText"/>
        <w:rPr>
          <w:b/>
          <w:bC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06"/>
        <w:gridCol w:w="1219"/>
        <w:gridCol w:w="1219"/>
        <w:gridCol w:w="1220"/>
      </w:tblGrid>
      <w:tr w:rsidR="005B36AA" w14:paraId="13EDFC62" w14:textId="77777777" w:rsidTr="005B36AA">
        <w:tc>
          <w:tcPr>
            <w:tcW w:w="1842" w:type="dxa"/>
            <w:vAlign w:val="bottom"/>
          </w:tcPr>
          <w:p w14:paraId="500A36EA" w14:textId="77777777" w:rsidR="005B36AA" w:rsidRPr="00E31429" w:rsidRDefault="005B36AA" w:rsidP="005B36AA">
            <w:pPr>
              <w:pStyle w:val="T2"/>
              <w:jc w:val="left"/>
            </w:pPr>
          </w:p>
        </w:tc>
        <w:tc>
          <w:tcPr>
            <w:tcW w:w="4706" w:type="dxa"/>
            <w:vAlign w:val="bottom"/>
          </w:tcPr>
          <w:p w14:paraId="32E98E3E" w14:textId="77777777" w:rsidR="005B36AA" w:rsidRPr="00E31429" w:rsidRDefault="005B36AA" w:rsidP="005B36AA">
            <w:pPr>
              <w:pStyle w:val="T2"/>
              <w:jc w:val="left"/>
            </w:pPr>
          </w:p>
        </w:tc>
        <w:tc>
          <w:tcPr>
            <w:tcW w:w="3658" w:type="dxa"/>
            <w:gridSpan w:val="3"/>
          </w:tcPr>
          <w:p w14:paraId="4502B531" w14:textId="0D5B33D9" w:rsidR="005B36AA" w:rsidRPr="003F23F5" w:rsidRDefault="0020662E" w:rsidP="005B36AA">
            <w:pPr>
              <w:pStyle w:val="T2"/>
              <w:jc w:val="center"/>
              <w:rPr>
                <w:b/>
              </w:rPr>
            </w:pPr>
            <w:r>
              <w:rPr>
                <w:b/>
              </w:rPr>
              <w:t xml:space="preserve">Impact on </w:t>
            </w:r>
            <w:r w:rsidR="005B36AA" w:rsidRPr="003F23F5">
              <w:rPr>
                <w:b/>
              </w:rPr>
              <w:t>Scheme Liabilities</w:t>
            </w:r>
          </w:p>
        </w:tc>
      </w:tr>
      <w:tr w:rsidR="005B36AA" w14:paraId="54E7BF7C" w14:textId="77777777" w:rsidTr="005771B0">
        <w:tc>
          <w:tcPr>
            <w:tcW w:w="1842" w:type="dxa"/>
            <w:tcBorders>
              <w:bottom w:val="single" w:sz="2" w:space="0" w:color="auto"/>
            </w:tcBorders>
            <w:vAlign w:val="bottom"/>
          </w:tcPr>
          <w:p w14:paraId="2BF7FE70" w14:textId="77777777" w:rsidR="005B36AA" w:rsidRPr="00422360" w:rsidRDefault="005B36AA" w:rsidP="005B36AA">
            <w:pPr>
              <w:pStyle w:val="T2"/>
              <w:jc w:val="left"/>
              <w:rPr>
                <w:b/>
              </w:rPr>
            </w:pPr>
            <w:r w:rsidRPr="00422360">
              <w:rPr>
                <w:b/>
              </w:rPr>
              <w:t>Assumption</w:t>
            </w:r>
          </w:p>
        </w:tc>
        <w:tc>
          <w:tcPr>
            <w:tcW w:w="4706" w:type="dxa"/>
            <w:tcBorders>
              <w:bottom w:val="single" w:sz="2" w:space="0" w:color="auto"/>
            </w:tcBorders>
            <w:vAlign w:val="bottom"/>
          </w:tcPr>
          <w:p w14:paraId="63E8E96C" w14:textId="77777777" w:rsidR="005B36AA" w:rsidRPr="00422360" w:rsidRDefault="005B36AA" w:rsidP="005B36AA">
            <w:pPr>
              <w:pStyle w:val="T2"/>
              <w:jc w:val="left"/>
              <w:rPr>
                <w:b/>
              </w:rPr>
            </w:pPr>
            <w:r w:rsidRPr="00422360">
              <w:rPr>
                <w:b/>
              </w:rPr>
              <w:t>Change in assumption</w:t>
            </w:r>
          </w:p>
        </w:tc>
        <w:tc>
          <w:tcPr>
            <w:tcW w:w="1219" w:type="dxa"/>
            <w:tcBorders>
              <w:bottom w:val="single" w:sz="2" w:space="0" w:color="auto"/>
            </w:tcBorders>
            <w:vAlign w:val="bottom"/>
          </w:tcPr>
          <w:p w14:paraId="794FD329" w14:textId="77777777" w:rsidR="005B36AA" w:rsidRDefault="005B36AA" w:rsidP="005B36AA">
            <w:pPr>
              <w:pStyle w:val="T2"/>
              <w:rPr>
                <w:b/>
              </w:rPr>
            </w:pPr>
            <w:r w:rsidRPr="00422360">
              <w:rPr>
                <w:b/>
              </w:rPr>
              <w:t xml:space="preserve">UK </w:t>
            </w:r>
          </w:p>
          <w:p w14:paraId="0664C090" w14:textId="77777777" w:rsidR="005B36AA" w:rsidRPr="00422360" w:rsidRDefault="005B36AA" w:rsidP="005B36AA">
            <w:pPr>
              <w:pStyle w:val="T2"/>
              <w:rPr>
                <w:b/>
              </w:rPr>
            </w:pPr>
            <w:r w:rsidRPr="00422360">
              <w:rPr>
                <w:b/>
              </w:rPr>
              <w:t>Schemes</w:t>
            </w:r>
          </w:p>
        </w:tc>
        <w:tc>
          <w:tcPr>
            <w:tcW w:w="1219" w:type="dxa"/>
            <w:tcBorders>
              <w:bottom w:val="single" w:sz="2" w:space="0" w:color="auto"/>
            </w:tcBorders>
            <w:vAlign w:val="bottom"/>
          </w:tcPr>
          <w:p w14:paraId="623C00BE" w14:textId="77777777" w:rsidR="005B36AA" w:rsidRDefault="005B36AA" w:rsidP="005B36AA">
            <w:pPr>
              <w:pStyle w:val="T2"/>
              <w:rPr>
                <w:b/>
              </w:rPr>
            </w:pPr>
            <w:r w:rsidRPr="00422360">
              <w:rPr>
                <w:b/>
              </w:rPr>
              <w:t xml:space="preserve">Irish </w:t>
            </w:r>
          </w:p>
          <w:p w14:paraId="32F56E36" w14:textId="77777777" w:rsidR="005B36AA" w:rsidRPr="00422360" w:rsidRDefault="005B36AA" w:rsidP="005B36AA">
            <w:pPr>
              <w:pStyle w:val="T2"/>
              <w:rPr>
                <w:b/>
              </w:rPr>
            </w:pPr>
            <w:r w:rsidRPr="00422360">
              <w:rPr>
                <w:b/>
              </w:rPr>
              <w:t>Schemes</w:t>
            </w:r>
          </w:p>
        </w:tc>
        <w:tc>
          <w:tcPr>
            <w:tcW w:w="1220" w:type="dxa"/>
            <w:tcBorders>
              <w:bottom w:val="single" w:sz="2" w:space="0" w:color="auto"/>
            </w:tcBorders>
            <w:vAlign w:val="bottom"/>
          </w:tcPr>
          <w:p w14:paraId="0C91EAC2" w14:textId="77777777" w:rsidR="005B36AA" w:rsidRPr="00422360" w:rsidRDefault="005B36AA" w:rsidP="005B36AA">
            <w:pPr>
              <w:pStyle w:val="T2"/>
              <w:rPr>
                <w:b/>
              </w:rPr>
            </w:pPr>
            <w:r w:rsidRPr="00422360">
              <w:rPr>
                <w:b/>
              </w:rPr>
              <w:t>Total</w:t>
            </w:r>
          </w:p>
        </w:tc>
      </w:tr>
      <w:tr w:rsidR="00942659" w14:paraId="15EDF402" w14:textId="77777777" w:rsidTr="005771B0">
        <w:tc>
          <w:tcPr>
            <w:tcW w:w="1842" w:type="dxa"/>
            <w:tcBorders>
              <w:bottom w:val="single" w:sz="2" w:space="0" w:color="auto"/>
            </w:tcBorders>
            <w:vAlign w:val="bottom"/>
          </w:tcPr>
          <w:p w14:paraId="7C24A654" w14:textId="77777777" w:rsidR="00942659" w:rsidRPr="00422360" w:rsidRDefault="00942659" w:rsidP="005B36AA">
            <w:pPr>
              <w:pStyle w:val="T2"/>
              <w:jc w:val="left"/>
              <w:rPr>
                <w:b/>
              </w:rPr>
            </w:pPr>
          </w:p>
        </w:tc>
        <w:tc>
          <w:tcPr>
            <w:tcW w:w="4706" w:type="dxa"/>
            <w:tcBorders>
              <w:bottom w:val="single" w:sz="2" w:space="0" w:color="auto"/>
            </w:tcBorders>
            <w:vAlign w:val="bottom"/>
          </w:tcPr>
          <w:p w14:paraId="250DDBCE" w14:textId="77777777" w:rsidR="00942659" w:rsidRPr="00422360" w:rsidRDefault="00942659" w:rsidP="005B36AA">
            <w:pPr>
              <w:pStyle w:val="T2"/>
              <w:jc w:val="left"/>
              <w:rPr>
                <w:b/>
              </w:rPr>
            </w:pPr>
          </w:p>
        </w:tc>
        <w:tc>
          <w:tcPr>
            <w:tcW w:w="1219" w:type="dxa"/>
            <w:tcBorders>
              <w:bottom w:val="single" w:sz="2" w:space="0" w:color="auto"/>
            </w:tcBorders>
            <w:vAlign w:val="bottom"/>
          </w:tcPr>
          <w:p w14:paraId="1FB627E8" w14:textId="64B6B97B" w:rsidR="00942659" w:rsidRPr="00422360" w:rsidRDefault="00942659" w:rsidP="005B36AA">
            <w:pPr>
              <w:pStyle w:val="T2"/>
              <w:rPr>
                <w:b/>
              </w:rPr>
            </w:pPr>
            <w:r>
              <w:rPr>
                <w:b/>
              </w:rPr>
              <w:t>£m</w:t>
            </w:r>
          </w:p>
        </w:tc>
        <w:tc>
          <w:tcPr>
            <w:tcW w:w="1219" w:type="dxa"/>
            <w:tcBorders>
              <w:bottom w:val="single" w:sz="2" w:space="0" w:color="auto"/>
            </w:tcBorders>
            <w:vAlign w:val="bottom"/>
          </w:tcPr>
          <w:p w14:paraId="2A25C05B" w14:textId="50F68BD5" w:rsidR="00942659" w:rsidRPr="00422360" w:rsidRDefault="00942659" w:rsidP="005B36AA">
            <w:pPr>
              <w:pStyle w:val="T2"/>
              <w:rPr>
                <w:b/>
              </w:rPr>
            </w:pPr>
            <w:r>
              <w:rPr>
                <w:b/>
              </w:rPr>
              <w:t>£m</w:t>
            </w:r>
          </w:p>
        </w:tc>
        <w:tc>
          <w:tcPr>
            <w:tcW w:w="1220" w:type="dxa"/>
            <w:tcBorders>
              <w:bottom w:val="single" w:sz="2" w:space="0" w:color="auto"/>
            </w:tcBorders>
            <w:vAlign w:val="bottom"/>
          </w:tcPr>
          <w:p w14:paraId="05512B12" w14:textId="1D5F56A7" w:rsidR="00942659" w:rsidRPr="00422360" w:rsidRDefault="00942659" w:rsidP="005B36AA">
            <w:pPr>
              <w:pStyle w:val="T2"/>
              <w:rPr>
                <w:b/>
              </w:rPr>
            </w:pPr>
            <w:r>
              <w:rPr>
                <w:b/>
              </w:rPr>
              <w:t>£m</w:t>
            </w:r>
          </w:p>
        </w:tc>
      </w:tr>
      <w:tr w:rsidR="0020662E" w14:paraId="4686FD9F" w14:textId="77777777" w:rsidTr="005B36AA">
        <w:tc>
          <w:tcPr>
            <w:tcW w:w="1842" w:type="dxa"/>
            <w:tcBorders>
              <w:top w:val="single" w:sz="2" w:space="0" w:color="auto"/>
            </w:tcBorders>
            <w:vAlign w:val="bottom"/>
          </w:tcPr>
          <w:p w14:paraId="59A9DBED" w14:textId="77777777" w:rsidR="0020662E" w:rsidRPr="00422360" w:rsidRDefault="0020662E" w:rsidP="005B36AA">
            <w:pPr>
              <w:pStyle w:val="T2"/>
              <w:jc w:val="left"/>
            </w:pPr>
            <w:r>
              <w:t>Discount rate</w:t>
            </w:r>
          </w:p>
        </w:tc>
        <w:tc>
          <w:tcPr>
            <w:tcW w:w="4706" w:type="dxa"/>
            <w:tcBorders>
              <w:top w:val="single" w:sz="2" w:space="0" w:color="auto"/>
            </w:tcBorders>
            <w:vAlign w:val="bottom"/>
          </w:tcPr>
          <w:p w14:paraId="6466F1CE" w14:textId="77777777" w:rsidR="0020662E" w:rsidRPr="00422360" w:rsidRDefault="0020662E" w:rsidP="005B36AA">
            <w:pPr>
              <w:pStyle w:val="T2"/>
              <w:jc w:val="left"/>
            </w:pPr>
            <w:r>
              <w:t>Increase by 0.5%</w:t>
            </w:r>
          </w:p>
        </w:tc>
        <w:tc>
          <w:tcPr>
            <w:tcW w:w="1219" w:type="dxa"/>
            <w:tcBorders>
              <w:top w:val="single" w:sz="2" w:space="0" w:color="auto"/>
            </w:tcBorders>
            <w:vAlign w:val="bottom"/>
          </w:tcPr>
          <w:p w14:paraId="5C575C74" w14:textId="1305E685" w:rsidR="0020662E" w:rsidRDefault="00BA2D4A" w:rsidP="00660EC8">
            <w:pPr>
              <w:pStyle w:val="T2"/>
            </w:pPr>
            <w:r>
              <w:t>-</w:t>
            </w:r>
            <w:r w:rsidR="0020662E">
              <w:t>30.5</w:t>
            </w:r>
          </w:p>
        </w:tc>
        <w:tc>
          <w:tcPr>
            <w:tcW w:w="1219" w:type="dxa"/>
            <w:tcBorders>
              <w:top w:val="single" w:sz="2" w:space="0" w:color="auto"/>
            </w:tcBorders>
            <w:vAlign w:val="bottom"/>
          </w:tcPr>
          <w:p w14:paraId="1E82A835" w14:textId="0B58FA5A" w:rsidR="0020662E" w:rsidRDefault="00BA2D4A">
            <w:pPr>
              <w:pStyle w:val="T2"/>
            </w:pPr>
            <w:r>
              <w:t>-</w:t>
            </w:r>
            <w:r w:rsidR="0020662E">
              <w:t>13.6</w:t>
            </w:r>
          </w:p>
        </w:tc>
        <w:tc>
          <w:tcPr>
            <w:tcW w:w="1220" w:type="dxa"/>
            <w:tcBorders>
              <w:top w:val="single" w:sz="2" w:space="0" w:color="auto"/>
            </w:tcBorders>
            <w:vAlign w:val="bottom"/>
          </w:tcPr>
          <w:p w14:paraId="157BB978" w14:textId="1F7C38C4" w:rsidR="0020662E" w:rsidRDefault="00BA2D4A">
            <w:pPr>
              <w:pStyle w:val="T2"/>
            </w:pPr>
            <w:r>
              <w:t>-</w:t>
            </w:r>
            <w:r w:rsidR="0020662E">
              <w:t>44.1</w:t>
            </w:r>
          </w:p>
        </w:tc>
      </w:tr>
      <w:tr w:rsidR="005B36AA" w14:paraId="704BE2AC" w14:textId="77777777" w:rsidTr="005771B0">
        <w:tc>
          <w:tcPr>
            <w:tcW w:w="1842" w:type="dxa"/>
            <w:vAlign w:val="bottom"/>
          </w:tcPr>
          <w:p w14:paraId="43BC8C1C" w14:textId="77777777" w:rsidR="005B36AA" w:rsidRPr="00422360" w:rsidRDefault="005B36AA" w:rsidP="005B36AA">
            <w:pPr>
              <w:pStyle w:val="T2"/>
              <w:jc w:val="left"/>
            </w:pPr>
            <w:r w:rsidRPr="00422360">
              <w:t>Discount rate</w:t>
            </w:r>
          </w:p>
        </w:tc>
        <w:tc>
          <w:tcPr>
            <w:tcW w:w="4706" w:type="dxa"/>
            <w:vAlign w:val="bottom"/>
          </w:tcPr>
          <w:p w14:paraId="3357F5B9" w14:textId="77777777" w:rsidR="005B36AA" w:rsidRPr="00422360" w:rsidRDefault="005B36AA" w:rsidP="005B36AA">
            <w:pPr>
              <w:pStyle w:val="T2"/>
              <w:jc w:val="left"/>
            </w:pPr>
            <w:r w:rsidRPr="00422360">
              <w:t>Decrease by 0.5%</w:t>
            </w:r>
          </w:p>
        </w:tc>
        <w:tc>
          <w:tcPr>
            <w:tcW w:w="1219" w:type="dxa"/>
            <w:vAlign w:val="bottom"/>
          </w:tcPr>
          <w:p w14:paraId="507A9518" w14:textId="035F4339" w:rsidR="005B36AA" w:rsidRPr="00422360" w:rsidRDefault="00BA2D4A" w:rsidP="005B36AA">
            <w:pPr>
              <w:pStyle w:val="T2"/>
            </w:pPr>
            <w:r>
              <w:t>+</w:t>
            </w:r>
            <w:r w:rsidR="005B36AA">
              <w:t>34.8</w:t>
            </w:r>
          </w:p>
        </w:tc>
        <w:tc>
          <w:tcPr>
            <w:tcW w:w="1219" w:type="dxa"/>
            <w:vAlign w:val="bottom"/>
          </w:tcPr>
          <w:p w14:paraId="09B6A039" w14:textId="7256B4B4" w:rsidR="005B36AA" w:rsidRPr="00422360" w:rsidRDefault="00BA2D4A" w:rsidP="005B36AA">
            <w:pPr>
              <w:pStyle w:val="T2"/>
            </w:pPr>
            <w:r>
              <w:t>+</w:t>
            </w:r>
            <w:r w:rsidR="005B36AA">
              <w:t>14.7</w:t>
            </w:r>
          </w:p>
        </w:tc>
        <w:tc>
          <w:tcPr>
            <w:tcW w:w="1220" w:type="dxa"/>
            <w:vAlign w:val="bottom"/>
          </w:tcPr>
          <w:p w14:paraId="3E2D70C4" w14:textId="7B9A87BF" w:rsidR="005B36AA" w:rsidRPr="00422360" w:rsidRDefault="00BA2D4A" w:rsidP="005B36AA">
            <w:pPr>
              <w:pStyle w:val="T2"/>
            </w:pPr>
            <w:r>
              <w:t>+</w:t>
            </w:r>
            <w:r w:rsidR="005B36AA">
              <w:t>49.5</w:t>
            </w:r>
          </w:p>
        </w:tc>
      </w:tr>
      <w:tr w:rsidR="005B36AA" w14:paraId="5009C48F" w14:textId="77777777" w:rsidTr="005B36AA">
        <w:tc>
          <w:tcPr>
            <w:tcW w:w="1842" w:type="dxa"/>
            <w:vAlign w:val="bottom"/>
          </w:tcPr>
          <w:p w14:paraId="2A43C7AA" w14:textId="77777777" w:rsidR="005B36AA" w:rsidRPr="00422360" w:rsidRDefault="005B36AA" w:rsidP="005B36AA">
            <w:pPr>
              <w:pStyle w:val="T2"/>
              <w:jc w:val="left"/>
            </w:pPr>
            <w:r w:rsidRPr="00422360">
              <w:t>Rate of inflation</w:t>
            </w:r>
          </w:p>
        </w:tc>
        <w:tc>
          <w:tcPr>
            <w:tcW w:w="4706" w:type="dxa"/>
            <w:vAlign w:val="bottom"/>
          </w:tcPr>
          <w:p w14:paraId="054F7CE2" w14:textId="77777777" w:rsidR="005B36AA" w:rsidRPr="00422360" w:rsidRDefault="005B36AA" w:rsidP="005B36AA">
            <w:pPr>
              <w:pStyle w:val="T2"/>
              <w:jc w:val="left"/>
            </w:pPr>
            <w:r w:rsidRPr="00422360">
              <w:t>Increase by 0.5%</w:t>
            </w:r>
          </w:p>
        </w:tc>
        <w:tc>
          <w:tcPr>
            <w:tcW w:w="1219" w:type="dxa"/>
            <w:vAlign w:val="bottom"/>
          </w:tcPr>
          <w:p w14:paraId="55769F73" w14:textId="7EE0BF87" w:rsidR="005B36AA" w:rsidRPr="00422360" w:rsidRDefault="00BA2D4A">
            <w:pPr>
              <w:pStyle w:val="T2"/>
            </w:pPr>
            <w:r>
              <w:t>+</w:t>
            </w:r>
            <w:r w:rsidR="005B36AA">
              <w:t>2</w:t>
            </w:r>
            <w:r w:rsidR="0020662E">
              <w:t>7.0</w:t>
            </w:r>
          </w:p>
        </w:tc>
        <w:tc>
          <w:tcPr>
            <w:tcW w:w="1219" w:type="dxa"/>
            <w:vAlign w:val="bottom"/>
          </w:tcPr>
          <w:p w14:paraId="42CFE534" w14:textId="0F678794" w:rsidR="005B36AA" w:rsidRPr="00422360" w:rsidRDefault="00BA2D4A" w:rsidP="005B36AA">
            <w:pPr>
              <w:pStyle w:val="T2"/>
            </w:pPr>
            <w:r>
              <w:t>+</w:t>
            </w:r>
            <w:r w:rsidR="005B36AA">
              <w:t>5.3</w:t>
            </w:r>
          </w:p>
        </w:tc>
        <w:tc>
          <w:tcPr>
            <w:tcW w:w="1220" w:type="dxa"/>
            <w:vAlign w:val="bottom"/>
          </w:tcPr>
          <w:p w14:paraId="3C98E158" w14:textId="0F20AAFD" w:rsidR="005B36AA" w:rsidRPr="00422360" w:rsidRDefault="00BA2D4A" w:rsidP="00660EC8">
            <w:pPr>
              <w:pStyle w:val="T2"/>
            </w:pPr>
            <w:r>
              <w:t>+</w:t>
            </w:r>
            <w:r w:rsidR="005B36AA">
              <w:t>32.</w:t>
            </w:r>
            <w:r>
              <w:t>3</w:t>
            </w:r>
          </w:p>
        </w:tc>
      </w:tr>
      <w:tr w:rsidR="0020662E" w14:paraId="3F6C1DD4" w14:textId="77777777" w:rsidTr="005B36AA">
        <w:tc>
          <w:tcPr>
            <w:tcW w:w="1842" w:type="dxa"/>
            <w:vAlign w:val="bottom"/>
          </w:tcPr>
          <w:p w14:paraId="21C688C1" w14:textId="77777777" w:rsidR="0020662E" w:rsidRPr="00422360" w:rsidRDefault="0020662E" w:rsidP="005B36AA">
            <w:pPr>
              <w:pStyle w:val="T2"/>
              <w:jc w:val="left"/>
            </w:pPr>
            <w:r>
              <w:t>Rate of inflation</w:t>
            </w:r>
          </w:p>
        </w:tc>
        <w:tc>
          <w:tcPr>
            <w:tcW w:w="4706" w:type="dxa"/>
            <w:vAlign w:val="bottom"/>
          </w:tcPr>
          <w:p w14:paraId="58790FAE" w14:textId="77777777" w:rsidR="0020662E" w:rsidRPr="00422360" w:rsidRDefault="0020662E" w:rsidP="005B36AA">
            <w:pPr>
              <w:pStyle w:val="T2"/>
              <w:jc w:val="left"/>
            </w:pPr>
            <w:r>
              <w:t>Decrease by 0.5%</w:t>
            </w:r>
          </w:p>
        </w:tc>
        <w:tc>
          <w:tcPr>
            <w:tcW w:w="1219" w:type="dxa"/>
            <w:vAlign w:val="bottom"/>
          </w:tcPr>
          <w:p w14:paraId="375B6F90" w14:textId="0CCF7984" w:rsidR="0020662E" w:rsidRDefault="00BA2D4A" w:rsidP="00660EC8">
            <w:pPr>
              <w:pStyle w:val="T2"/>
            </w:pPr>
            <w:r>
              <w:t>-</w:t>
            </w:r>
            <w:r w:rsidR="0020662E">
              <w:t>24.2</w:t>
            </w:r>
          </w:p>
        </w:tc>
        <w:tc>
          <w:tcPr>
            <w:tcW w:w="1219" w:type="dxa"/>
            <w:vAlign w:val="bottom"/>
          </w:tcPr>
          <w:p w14:paraId="49D3A9A0" w14:textId="5238BA57" w:rsidR="0020662E" w:rsidRDefault="00BA2D4A" w:rsidP="005B36AA">
            <w:pPr>
              <w:pStyle w:val="T2"/>
            </w:pPr>
            <w:r>
              <w:t>-4.9</w:t>
            </w:r>
          </w:p>
        </w:tc>
        <w:tc>
          <w:tcPr>
            <w:tcW w:w="1220" w:type="dxa"/>
            <w:vAlign w:val="bottom"/>
          </w:tcPr>
          <w:p w14:paraId="581F2F72" w14:textId="4E9D5908" w:rsidR="0020662E" w:rsidRDefault="00BA2D4A" w:rsidP="00660EC8">
            <w:pPr>
              <w:pStyle w:val="T2"/>
            </w:pPr>
            <w:r>
              <w:t>-</w:t>
            </w:r>
            <w:r w:rsidR="00B854FF">
              <w:t>29.1</w:t>
            </w:r>
          </w:p>
        </w:tc>
      </w:tr>
      <w:tr w:rsidR="005B36AA" w14:paraId="04CD4970" w14:textId="77777777" w:rsidTr="005B36AA">
        <w:tc>
          <w:tcPr>
            <w:tcW w:w="1842" w:type="dxa"/>
            <w:tcBorders>
              <w:bottom w:val="single" w:sz="2" w:space="0" w:color="auto"/>
            </w:tcBorders>
            <w:vAlign w:val="bottom"/>
          </w:tcPr>
          <w:p w14:paraId="31C119B2" w14:textId="77777777" w:rsidR="005B36AA" w:rsidRPr="00422360" w:rsidRDefault="005B36AA" w:rsidP="005B36AA">
            <w:pPr>
              <w:pStyle w:val="T2"/>
              <w:jc w:val="left"/>
            </w:pPr>
            <w:r w:rsidRPr="00422360">
              <w:t>Rate of mortality</w:t>
            </w:r>
          </w:p>
        </w:tc>
        <w:tc>
          <w:tcPr>
            <w:tcW w:w="4706" w:type="dxa"/>
            <w:tcBorders>
              <w:bottom w:val="single" w:sz="2" w:space="0" w:color="auto"/>
            </w:tcBorders>
            <w:vAlign w:val="bottom"/>
          </w:tcPr>
          <w:p w14:paraId="580386AC" w14:textId="77777777" w:rsidR="005B36AA" w:rsidRPr="00422360" w:rsidRDefault="005B36AA" w:rsidP="005B36AA">
            <w:pPr>
              <w:pStyle w:val="T2"/>
              <w:jc w:val="left"/>
            </w:pPr>
            <w:r w:rsidRPr="00422360">
              <w:t>Members assumed to live 1 year longer</w:t>
            </w:r>
          </w:p>
        </w:tc>
        <w:tc>
          <w:tcPr>
            <w:tcW w:w="1219" w:type="dxa"/>
            <w:tcBorders>
              <w:bottom w:val="single" w:sz="2" w:space="0" w:color="auto"/>
            </w:tcBorders>
            <w:vAlign w:val="bottom"/>
          </w:tcPr>
          <w:p w14:paraId="1A52597E" w14:textId="0E756D5C" w:rsidR="005B36AA" w:rsidRPr="00422360" w:rsidRDefault="00BA2D4A" w:rsidP="005B36AA">
            <w:pPr>
              <w:pStyle w:val="T2"/>
            </w:pPr>
            <w:r>
              <w:t>+</w:t>
            </w:r>
            <w:r w:rsidR="005B36AA">
              <w:t>11.7</w:t>
            </w:r>
          </w:p>
        </w:tc>
        <w:tc>
          <w:tcPr>
            <w:tcW w:w="1219" w:type="dxa"/>
            <w:tcBorders>
              <w:bottom w:val="single" w:sz="2" w:space="0" w:color="auto"/>
            </w:tcBorders>
            <w:vAlign w:val="bottom"/>
          </w:tcPr>
          <w:p w14:paraId="643FE48E" w14:textId="49F122EF" w:rsidR="005B36AA" w:rsidRPr="00422360" w:rsidRDefault="00BA2D4A" w:rsidP="005B36AA">
            <w:pPr>
              <w:pStyle w:val="T2"/>
            </w:pPr>
            <w:r>
              <w:t>+</w:t>
            </w:r>
            <w:r w:rsidR="005B36AA">
              <w:t>8.2</w:t>
            </w:r>
          </w:p>
        </w:tc>
        <w:tc>
          <w:tcPr>
            <w:tcW w:w="1220" w:type="dxa"/>
            <w:tcBorders>
              <w:bottom w:val="single" w:sz="2" w:space="0" w:color="auto"/>
            </w:tcBorders>
            <w:vAlign w:val="bottom"/>
          </w:tcPr>
          <w:p w14:paraId="022FF4C1" w14:textId="42D613B9" w:rsidR="005B36AA" w:rsidRPr="00422360" w:rsidRDefault="00BA2D4A" w:rsidP="005B36AA">
            <w:pPr>
              <w:pStyle w:val="T2"/>
            </w:pPr>
            <w:r>
              <w:t>+</w:t>
            </w:r>
            <w:r w:rsidR="005B36AA">
              <w:t>19.9</w:t>
            </w:r>
          </w:p>
        </w:tc>
      </w:tr>
      <w:tr w:rsidR="005B36AA" w14:paraId="5E910B03" w14:textId="77777777" w:rsidTr="005B36AA">
        <w:tc>
          <w:tcPr>
            <w:tcW w:w="6548" w:type="dxa"/>
            <w:gridSpan w:val="2"/>
            <w:tcBorders>
              <w:top w:val="single" w:sz="2" w:space="0" w:color="auto"/>
            </w:tcBorders>
            <w:vAlign w:val="bottom"/>
          </w:tcPr>
          <w:p w14:paraId="5286FF71" w14:textId="77777777" w:rsidR="005B36AA" w:rsidRPr="00422360" w:rsidRDefault="005B36AA" w:rsidP="005B36AA">
            <w:pPr>
              <w:pStyle w:val="T2"/>
              <w:ind w:left="-108"/>
              <w:jc w:val="left"/>
              <w:rPr>
                <w:b/>
              </w:rPr>
            </w:pPr>
            <w:r w:rsidRPr="00422360">
              <w:br/>
            </w:r>
            <w:r w:rsidRPr="00422360">
              <w:rPr>
                <w:b/>
              </w:rPr>
              <w:t>Sensitivity of pension scheme assets to yield movements</w:t>
            </w:r>
          </w:p>
        </w:tc>
        <w:tc>
          <w:tcPr>
            <w:tcW w:w="1219" w:type="dxa"/>
            <w:tcBorders>
              <w:top w:val="single" w:sz="2" w:space="0" w:color="auto"/>
            </w:tcBorders>
          </w:tcPr>
          <w:p w14:paraId="200273E6" w14:textId="77777777" w:rsidR="005B36AA" w:rsidRPr="00422360" w:rsidRDefault="005B36AA" w:rsidP="005B36AA">
            <w:pPr>
              <w:pStyle w:val="T2"/>
            </w:pPr>
          </w:p>
        </w:tc>
        <w:tc>
          <w:tcPr>
            <w:tcW w:w="1219" w:type="dxa"/>
            <w:tcBorders>
              <w:top w:val="single" w:sz="2" w:space="0" w:color="auto"/>
            </w:tcBorders>
          </w:tcPr>
          <w:p w14:paraId="192511A7" w14:textId="77777777" w:rsidR="005B36AA" w:rsidRPr="00422360" w:rsidRDefault="005B36AA" w:rsidP="005B36AA">
            <w:pPr>
              <w:pStyle w:val="T2"/>
            </w:pPr>
          </w:p>
        </w:tc>
        <w:tc>
          <w:tcPr>
            <w:tcW w:w="1220" w:type="dxa"/>
            <w:tcBorders>
              <w:top w:val="single" w:sz="2" w:space="0" w:color="auto"/>
            </w:tcBorders>
          </w:tcPr>
          <w:p w14:paraId="3E22F801" w14:textId="77777777" w:rsidR="005B36AA" w:rsidRPr="00422360" w:rsidRDefault="005B36AA" w:rsidP="005B36AA">
            <w:pPr>
              <w:pStyle w:val="T2"/>
            </w:pPr>
          </w:p>
        </w:tc>
      </w:tr>
      <w:tr w:rsidR="005B36AA" w14:paraId="2774CC28" w14:textId="77777777" w:rsidTr="005B36AA">
        <w:tc>
          <w:tcPr>
            <w:tcW w:w="1842" w:type="dxa"/>
            <w:vAlign w:val="bottom"/>
          </w:tcPr>
          <w:p w14:paraId="7D606B52" w14:textId="77777777" w:rsidR="005B36AA" w:rsidRPr="00422360" w:rsidRDefault="005B36AA" w:rsidP="005B36AA">
            <w:pPr>
              <w:pStyle w:val="T2"/>
              <w:jc w:val="left"/>
            </w:pPr>
          </w:p>
        </w:tc>
        <w:tc>
          <w:tcPr>
            <w:tcW w:w="4706" w:type="dxa"/>
            <w:vAlign w:val="bottom"/>
          </w:tcPr>
          <w:p w14:paraId="770224F1" w14:textId="77777777" w:rsidR="005B36AA" w:rsidRPr="00422360" w:rsidRDefault="005B36AA" w:rsidP="005B36AA">
            <w:pPr>
              <w:pStyle w:val="T2"/>
              <w:jc w:val="left"/>
            </w:pPr>
          </w:p>
        </w:tc>
        <w:tc>
          <w:tcPr>
            <w:tcW w:w="3658" w:type="dxa"/>
            <w:gridSpan w:val="3"/>
          </w:tcPr>
          <w:p w14:paraId="28503101" w14:textId="734C52A5" w:rsidR="005B36AA" w:rsidRPr="00422360" w:rsidRDefault="0020662E" w:rsidP="005B36AA">
            <w:pPr>
              <w:pStyle w:val="T2"/>
              <w:jc w:val="center"/>
              <w:rPr>
                <w:b/>
              </w:rPr>
            </w:pPr>
            <w:r>
              <w:rPr>
                <w:b/>
              </w:rPr>
              <w:t>Impact on</w:t>
            </w:r>
            <w:r w:rsidR="005B36AA" w:rsidRPr="00422360">
              <w:rPr>
                <w:b/>
              </w:rPr>
              <w:t xml:space="preserve"> Scheme Assets</w:t>
            </w:r>
          </w:p>
        </w:tc>
      </w:tr>
      <w:tr w:rsidR="005B36AA" w14:paraId="19A320F6" w14:textId="77777777" w:rsidTr="005B36AA">
        <w:tc>
          <w:tcPr>
            <w:tcW w:w="1842" w:type="dxa"/>
            <w:tcBorders>
              <w:bottom w:val="single" w:sz="2" w:space="0" w:color="auto"/>
            </w:tcBorders>
            <w:vAlign w:val="bottom"/>
          </w:tcPr>
          <w:p w14:paraId="46C8D75F" w14:textId="77777777" w:rsidR="005B36AA" w:rsidRPr="00422360" w:rsidRDefault="005B36AA" w:rsidP="005B36AA">
            <w:pPr>
              <w:pStyle w:val="T2"/>
              <w:jc w:val="left"/>
              <w:rPr>
                <w:b/>
              </w:rPr>
            </w:pPr>
            <w:r w:rsidRPr="00422360">
              <w:rPr>
                <w:b/>
              </w:rPr>
              <w:t>Assumption</w:t>
            </w:r>
          </w:p>
        </w:tc>
        <w:tc>
          <w:tcPr>
            <w:tcW w:w="4706" w:type="dxa"/>
            <w:tcBorders>
              <w:bottom w:val="single" w:sz="2" w:space="0" w:color="auto"/>
            </w:tcBorders>
            <w:vAlign w:val="bottom"/>
          </w:tcPr>
          <w:p w14:paraId="21FB443C" w14:textId="77777777" w:rsidR="005B36AA" w:rsidRPr="00422360" w:rsidRDefault="005B36AA" w:rsidP="005B36AA">
            <w:pPr>
              <w:pStyle w:val="T2"/>
              <w:jc w:val="left"/>
              <w:rPr>
                <w:b/>
              </w:rPr>
            </w:pPr>
            <w:r w:rsidRPr="00422360">
              <w:rPr>
                <w:b/>
              </w:rPr>
              <w:t>Change in assumption</w:t>
            </w:r>
          </w:p>
        </w:tc>
        <w:tc>
          <w:tcPr>
            <w:tcW w:w="1219" w:type="dxa"/>
            <w:tcBorders>
              <w:bottom w:val="single" w:sz="2" w:space="0" w:color="auto"/>
            </w:tcBorders>
            <w:vAlign w:val="bottom"/>
          </w:tcPr>
          <w:p w14:paraId="3F757AC7" w14:textId="77777777" w:rsidR="005B36AA" w:rsidRDefault="005B36AA" w:rsidP="005B36AA">
            <w:pPr>
              <w:pStyle w:val="T2"/>
              <w:rPr>
                <w:b/>
              </w:rPr>
            </w:pPr>
            <w:r w:rsidRPr="00422360">
              <w:rPr>
                <w:b/>
              </w:rPr>
              <w:t xml:space="preserve">UK </w:t>
            </w:r>
          </w:p>
          <w:p w14:paraId="18F3FAFD" w14:textId="77777777" w:rsidR="005B36AA" w:rsidRPr="00422360" w:rsidRDefault="005B36AA" w:rsidP="005B36AA">
            <w:pPr>
              <w:pStyle w:val="T2"/>
              <w:rPr>
                <w:b/>
              </w:rPr>
            </w:pPr>
            <w:r w:rsidRPr="00422360">
              <w:rPr>
                <w:b/>
              </w:rPr>
              <w:lastRenderedPageBreak/>
              <w:t>Schemes</w:t>
            </w:r>
          </w:p>
        </w:tc>
        <w:tc>
          <w:tcPr>
            <w:tcW w:w="1219" w:type="dxa"/>
            <w:tcBorders>
              <w:bottom w:val="single" w:sz="2" w:space="0" w:color="auto"/>
            </w:tcBorders>
            <w:vAlign w:val="bottom"/>
          </w:tcPr>
          <w:p w14:paraId="62F07574" w14:textId="77777777" w:rsidR="005B36AA" w:rsidRDefault="005B36AA" w:rsidP="005B36AA">
            <w:pPr>
              <w:pStyle w:val="T2"/>
              <w:rPr>
                <w:b/>
              </w:rPr>
            </w:pPr>
            <w:r w:rsidRPr="00422360">
              <w:rPr>
                <w:b/>
              </w:rPr>
              <w:lastRenderedPageBreak/>
              <w:t xml:space="preserve">Irish </w:t>
            </w:r>
          </w:p>
          <w:p w14:paraId="3DD6D029" w14:textId="77777777" w:rsidR="005B36AA" w:rsidRPr="00422360" w:rsidRDefault="005B36AA" w:rsidP="005B36AA">
            <w:pPr>
              <w:pStyle w:val="T2"/>
              <w:rPr>
                <w:b/>
              </w:rPr>
            </w:pPr>
            <w:r w:rsidRPr="00422360">
              <w:rPr>
                <w:b/>
              </w:rPr>
              <w:lastRenderedPageBreak/>
              <w:t>Schemes</w:t>
            </w:r>
          </w:p>
        </w:tc>
        <w:tc>
          <w:tcPr>
            <w:tcW w:w="1220" w:type="dxa"/>
            <w:tcBorders>
              <w:bottom w:val="single" w:sz="2" w:space="0" w:color="auto"/>
            </w:tcBorders>
            <w:vAlign w:val="bottom"/>
          </w:tcPr>
          <w:p w14:paraId="74FC99BF" w14:textId="77777777" w:rsidR="005B36AA" w:rsidRPr="00422360" w:rsidRDefault="005B36AA" w:rsidP="005B36AA">
            <w:pPr>
              <w:pStyle w:val="T2"/>
              <w:rPr>
                <w:b/>
              </w:rPr>
            </w:pPr>
            <w:r w:rsidRPr="00422360">
              <w:rPr>
                <w:b/>
              </w:rPr>
              <w:lastRenderedPageBreak/>
              <w:t xml:space="preserve"> Total </w:t>
            </w:r>
          </w:p>
        </w:tc>
      </w:tr>
      <w:tr w:rsidR="00942659" w14:paraId="7045C129" w14:textId="77777777" w:rsidTr="005B36AA">
        <w:tc>
          <w:tcPr>
            <w:tcW w:w="1842" w:type="dxa"/>
            <w:tcBorders>
              <w:bottom w:val="single" w:sz="2" w:space="0" w:color="auto"/>
            </w:tcBorders>
            <w:vAlign w:val="bottom"/>
          </w:tcPr>
          <w:p w14:paraId="4BE327EA" w14:textId="77777777" w:rsidR="00942659" w:rsidRPr="00422360" w:rsidRDefault="00942659" w:rsidP="005B36AA">
            <w:pPr>
              <w:pStyle w:val="T2"/>
              <w:jc w:val="left"/>
              <w:rPr>
                <w:b/>
              </w:rPr>
            </w:pPr>
          </w:p>
        </w:tc>
        <w:tc>
          <w:tcPr>
            <w:tcW w:w="4706" w:type="dxa"/>
            <w:tcBorders>
              <w:bottom w:val="single" w:sz="2" w:space="0" w:color="auto"/>
            </w:tcBorders>
            <w:vAlign w:val="bottom"/>
          </w:tcPr>
          <w:p w14:paraId="647F1073" w14:textId="77777777" w:rsidR="00942659" w:rsidRPr="00422360" w:rsidRDefault="00942659" w:rsidP="005B36AA">
            <w:pPr>
              <w:pStyle w:val="T2"/>
              <w:jc w:val="left"/>
              <w:rPr>
                <w:b/>
              </w:rPr>
            </w:pPr>
          </w:p>
        </w:tc>
        <w:tc>
          <w:tcPr>
            <w:tcW w:w="1219" w:type="dxa"/>
            <w:tcBorders>
              <w:bottom w:val="single" w:sz="2" w:space="0" w:color="auto"/>
            </w:tcBorders>
            <w:vAlign w:val="bottom"/>
          </w:tcPr>
          <w:p w14:paraId="79A700D0" w14:textId="3F102387" w:rsidR="00942659" w:rsidRPr="00422360" w:rsidRDefault="00942659" w:rsidP="005B36AA">
            <w:pPr>
              <w:pStyle w:val="T2"/>
              <w:rPr>
                <w:b/>
              </w:rPr>
            </w:pPr>
            <w:r>
              <w:rPr>
                <w:b/>
              </w:rPr>
              <w:t>£m</w:t>
            </w:r>
          </w:p>
        </w:tc>
        <w:tc>
          <w:tcPr>
            <w:tcW w:w="1219" w:type="dxa"/>
            <w:tcBorders>
              <w:bottom w:val="single" w:sz="2" w:space="0" w:color="auto"/>
            </w:tcBorders>
            <w:vAlign w:val="bottom"/>
          </w:tcPr>
          <w:p w14:paraId="16D72121" w14:textId="692FBF97" w:rsidR="00942659" w:rsidRPr="00422360" w:rsidRDefault="00942659" w:rsidP="005B36AA">
            <w:pPr>
              <w:pStyle w:val="T2"/>
              <w:rPr>
                <w:b/>
              </w:rPr>
            </w:pPr>
            <w:r>
              <w:rPr>
                <w:b/>
              </w:rPr>
              <w:t>£m</w:t>
            </w:r>
          </w:p>
        </w:tc>
        <w:tc>
          <w:tcPr>
            <w:tcW w:w="1220" w:type="dxa"/>
            <w:tcBorders>
              <w:bottom w:val="single" w:sz="2" w:space="0" w:color="auto"/>
            </w:tcBorders>
            <w:vAlign w:val="bottom"/>
          </w:tcPr>
          <w:p w14:paraId="561EA250" w14:textId="67D603FB" w:rsidR="00942659" w:rsidRPr="00422360" w:rsidRDefault="00942659" w:rsidP="005B36AA">
            <w:pPr>
              <w:pStyle w:val="T2"/>
              <w:rPr>
                <w:b/>
              </w:rPr>
            </w:pPr>
            <w:r>
              <w:rPr>
                <w:b/>
              </w:rPr>
              <w:t>£m</w:t>
            </w:r>
          </w:p>
        </w:tc>
      </w:tr>
      <w:tr w:rsidR="005B36AA" w14:paraId="3F1A7581" w14:textId="77777777" w:rsidTr="005B36AA">
        <w:tc>
          <w:tcPr>
            <w:tcW w:w="1842" w:type="dxa"/>
            <w:tcBorders>
              <w:top w:val="single" w:sz="2" w:space="0" w:color="auto"/>
              <w:bottom w:val="single" w:sz="4" w:space="0" w:color="auto"/>
            </w:tcBorders>
            <w:vAlign w:val="bottom"/>
          </w:tcPr>
          <w:p w14:paraId="2234387D" w14:textId="77777777" w:rsidR="005B36AA" w:rsidRPr="00422360" w:rsidRDefault="005B36AA" w:rsidP="005B36AA">
            <w:pPr>
              <w:pStyle w:val="T2"/>
              <w:jc w:val="left"/>
            </w:pPr>
            <w:r w:rsidRPr="00422360">
              <w:t>Change in bond yields</w:t>
            </w:r>
          </w:p>
        </w:tc>
        <w:tc>
          <w:tcPr>
            <w:tcW w:w="4706" w:type="dxa"/>
            <w:tcBorders>
              <w:top w:val="single" w:sz="2" w:space="0" w:color="auto"/>
              <w:bottom w:val="single" w:sz="4" w:space="0" w:color="auto"/>
            </w:tcBorders>
            <w:vAlign w:val="bottom"/>
          </w:tcPr>
          <w:p w14:paraId="4867D2F3" w14:textId="77777777" w:rsidR="005B36AA" w:rsidRPr="00422360" w:rsidRDefault="005B36AA" w:rsidP="005B36AA">
            <w:pPr>
              <w:pStyle w:val="T2"/>
              <w:jc w:val="left"/>
            </w:pPr>
            <w:r w:rsidRPr="00422360">
              <w:t>Decrease by 0.5%</w:t>
            </w:r>
          </w:p>
        </w:tc>
        <w:tc>
          <w:tcPr>
            <w:tcW w:w="1219" w:type="dxa"/>
            <w:tcBorders>
              <w:top w:val="single" w:sz="2" w:space="0" w:color="auto"/>
              <w:bottom w:val="single" w:sz="4" w:space="0" w:color="auto"/>
            </w:tcBorders>
            <w:vAlign w:val="bottom"/>
          </w:tcPr>
          <w:p w14:paraId="52148F50" w14:textId="29BF8570" w:rsidR="005B36AA" w:rsidRPr="00422360" w:rsidRDefault="00BA2D4A" w:rsidP="005B36AA">
            <w:pPr>
              <w:pStyle w:val="T2"/>
            </w:pPr>
            <w:r>
              <w:t>+</w:t>
            </w:r>
            <w:r w:rsidR="005B36AA">
              <w:t>26.0</w:t>
            </w:r>
          </w:p>
        </w:tc>
        <w:tc>
          <w:tcPr>
            <w:tcW w:w="1219" w:type="dxa"/>
            <w:tcBorders>
              <w:top w:val="single" w:sz="2" w:space="0" w:color="auto"/>
              <w:bottom w:val="single" w:sz="4" w:space="0" w:color="auto"/>
            </w:tcBorders>
            <w:vAlign w:val="bottom"/>
          </w:tcPr>
          <w:p w14:paraId="79CAE47F" w14:textId="336EDC60" w:rsidR="005B36AA" w:rsidRPr="00422360" w:rsidRDefault="00BA2D4A" w:rsidP="005B36AA">
            <w:pPr>
              <w:pStyle w:val="T2"/>
            </w:pPr>
            <w:r>
              <w:t>+</w:t>
            </w:r>
            <w:r w:rsidR="005B36AA">
              <w:t>14.1</w:t>
            </w:r>
          </w:p>
        </w:tc>
        <w:tc>
          <w:tcPr>
            <w:tcW w:w="1220" w:type="dxa"/>
            <w:tcBorders>
              <w:top w:val="single" w:sz="2" w:space="0" w:color="auto"/>
              <w:bottom w:val="single" w:sz="4" w:space="0" w:color="auto"/>
            </w:tcBorders>
            <w:vAlign w:val="bottom"/>
          </w:tcPr>
          <w:p w14:paraId="77ACE6AD" w14:textId="3F091BAD" w:rsidR="005B36AA" w:rsidRPr="00422360" w:rsidRDefault="00BA2D4A" w:rsidP="005B36AA">
            <w:pPr>
              <w:pStyle w:val="T2"/>
            </w:pPr>
            <w:r>
              <w:t>+</w:t>
            </w:r>
            <w:r w:rsidR="005B36AA">
              <w:t>40.1</w:t>
            </w:r>
          </w:p>
        </w:tc>
      </w:tr>
    </w:tbl>
    <w:p w14:paraId="751ABD09" w14:textId="77777777" w:rsidR="005B36AA" w:rsidRDefault="005B36AA" w:rsidP="005B36AA">
      <w:pPr>
        <w:pStyle w:val="BodyText"/>
        <w:rPr>
          <w:b/>
          <w:bCs/>
        </w:rPr>
      </w:pPr>
    </w:p>
    <w:p w14:paraId="1DD3070B" w14:textId="77777777" w:rsidR="00A4402D" w:rsidRDefault="00A4402D" w:rsidP="005B36AA">
      <w:pPr>
        <w:pStyle w:val="BodyText"/>
        <w:rPr>
          <w:b/>
          <w:bCs/>
        </w:rPr>
      </w:pPr>
    </w:p>
    <w:p w14:paraId="4424EC55" w14:textId="520B809F" w:rsidR="005B36AA" w:rsidRDefault="00A75DA2" w:rsidP="005771B0">
      <w:pPr>
        <w:pStyle w:val="Heading2"/>
        <w:numPr>
          <w:ilvl w:val="0"/>
          <w:numId w:val="50"/>
        </w:numPr>
      </w:pPr>
      <w:r>
        <w:t>Assets held for sale and disposal of undertakings</w:t>
      </w:r>
    </w:p>
    <w:p w14:paraId="578B53FE" w14:textId="77777777" w:rsidR="005B36AA" w:rsidRDefault="005B36AA" w:rsidP="005B36AA">
      <w:pPr>
        <w:pStyle w:val="Heading2"/>
        <w:numPr>
          <w:ilvl w:val="0"/>
          <w:numId w:val="0"/>
        </w:numPr>
        <w:ind w:left="720"/>
      </w:pPr>
    </w:p>
    <w:p w14:paraId="41CF13B3" w14:textId="505009EB" w:rsidR="00BA2D4A" w:rsidRPr="005771B0" w:rsidRDefault="00BA2D4A" w:rsidP="005B36AA">
      <w:pPr>
        <w:spacing w:after="120"/>
        <w:jc w:val="both"/>
        <w:rPr>
          <w:b/>
          <w:sz w:val="18"/>
          <w:szCs w:val="18"/>
        </w:rPr>
      </w:pPr>
      <w:r w:rsidRPr="005771B0">
        <w:rPr>
          <w:b/>
          <w:sz w:val="18"/>
          <w:szCs w:val="18"/>
        </w:rPr>
        <w:t>Molasses trading businesses</w:t>
      </w:r>
    </w:p>
    <w:p w14:paraId="17220C52" w14:textId="32702EA8" w:rsidR="005B36AA" w:rsidRPr="00602360" w:rsidRDefault="005B36AA" w:rsidP="005B36AA">
      <w:pPr>
        <w:spacing w:after="120"/>
        <w:jc w:val="both"/>
        <w:rPr>
          <w:sz w:val="18"/>
          <w:szCs w:val="18"/>
        </w:rPr>
      </w:pPr>
      <w:r w:rsidRPr="00602360">
        <w:rPr>
          <w:sz w:val="18"/>
          <w:szCs w:val="18"/>
        </w:rPr>
        <w:t xml:space="preserve">On 28th July 2020, </w:t>
      </w:r>
      <w:r w:rsidRPr="00655EDC">
        <w:rPr>
          <w:sz w:val="18"/>
          <w:szCs w:val="18"/>
        </w:rPr>
        <w:t>the Group announced that it had entered into a</w:t>
      </w:r>
      <w:r w:rsidR="00A75DA2">
        <w:rPr>
          <w:sz w:val="18"/>
          <w:szCs w:val="18"/>
        </w:rPr>
        <w:t xml:space="preserve"> conditional</w:t>
      </w:r>
      <w:r w:rsidRPr="00655EDC">
        <w:rPr>
          <w:sz w:val="18"/>
          <w:szCs w:val="18"/>
        </w:rPr>
        <w:t xml:space="preserve"> agreement to sell its interest in its molasses trading business</w:t>
      </w:r>
      <w:r w:rsidR="00A75DA2">
        <w:rPr>
          <w:sz w:val="18"/>
          <w:szCs w:val="18"/>
        </w:rPr>
        <w:t>es to United Molasses Marketing (Ireland) Limited and United Molasses Marketing Limited</w:t>
      </w:r>
      <w:r w:rsidRPr="00655EDC">
        <w:rPr>
          <w:sz w:val="18"/>
          <w:szCs w:val="18"/>
        </w:rPr>
        <w:t xml:space="preserve"> which includes Premier Molasses Company Limited (</w:t>
      </w:r>
      <w:r w:rsidR="00BA2D4A">
        <w:rPr>
          <w:sz w:val="18"/>
          <w:szCs w:val="18"/>
        </w:rPr>
        <w:t>‘</w:t>
      </w:r>
      <w:r w:rsidRPr="00655EDC">
        <w:rPr>
          <w:sz w:val="18"/>
          <w:szCs w:val="18"/>
        </w:rPr>
        <w:t>Premier Molasses</w:t>
      </w:r>
      <w:r w:rsidR="00BA2D4A">
        <w:rPr>
          <w:sz w:val="18"/>
          <w:szCs w:val="18"/>
        </w:rPr>
        <w:t>’</w:t>
      </w:r>
      <w:r w:rsidRPr="00655EDC">
        <w:rPr>
          <w:sz w:val="18"/>
          <w:szCs w:val="18"/>
        </w:rPr>
        <w:t>) and United Molasses (Ireland) Limited (</w:t>
      </w:r>
      <w:r w:rsidR="00BA2D4A">
        <w:rPr>
          <w:sz w:val="18"/>
          <w:szCs w:val="18"/>
        </w:rPr>
        <w:t>‘</w:t>
      </w:r>
      <w:r w:rsidRPr="00655EDC">
        <w:rPr>
          <w:sz w:val="18"/>
          <w:szCs w:val="18"/>
        </w:rPr>
        <w:t>UMI</w:t>
      </w:r>
      <w:r w:rsidR="00BA2D4A">
        <w:rPr>
          <w:sz w:val="18"/>
          <w:szCs w:val="18"/>
        </w:rPr>
        <w:t>’</w:t>
      </w:r>
      <w:r w:rsidRPr="00655EDC">
        <w:rPr>
          <w:sz w:val="18"/>
          <w:szCs w:val="18"/>
        </w:rPr>
        <w:t>).</w:t>
      </w:r>
    </w:p>
    <w:p w14:paraId="103F5F7D" w14:textId="57C0E138" w:rsidR="005B36AA" w:rsidRPr="00602360" w:rsidRDefault="005B36AA" w:rsidP="005B36AA">
      <w:pPr>
        <w:spacing w:after="120"/>
        <w:jc w:val="both"/>
        <w:rPr>
          <w:sz w:val="18"/>
          <w:szCs w:val="18"/>
        </w:rPr>
      </w:pPr>
      <w:r w:rsidRPr="00602360">
        <w:rPr>
          <w:sz w:val="18"/>
          <w:szCs w:val="18"/>
        </w:rPr>
        <w:t>The core activities of these businesses are importing and distributing animal feed across the island of Ireland. The Group is selling its interests for a cash consideration of approximately £15.</w:t>
      </w:r>
      <w:r w:rsidR="00DE30F3">
        <w:rPr>
          <w:sz w:val="18"/>
          <w:szCs w:val="18"/>
        </w:rPr>
        <w:t>6</w:t>
      </w:r>
      <w:r w:rsidRPr="00602360">
        <w:rPr>
          <w:sz w:val="18"/>
          <w:szCs w:val="18"/>
        </w:rPr>
        <w:t>m, subject to custom</w:t>
      </w:r>
      <w:r>
        <w:rPr>
          <w:sz w:val="18"/>
          <w:szCs w:val="18"/>
        </w:rPr>
        <w:t xml:space="preserve">ary </w:t>
      </w:r>
      <w:r w:rsidR="00622B3B">
        <w:rPr>
          <w:sz w:val="18"/>
          <w:szCs w:val="18"/>
        </w:rPr>
        <w:t xml:space="preserve">adjustments for cash, debt and </w:t>
      </w:r>
      <w:r>
        <w:rPr>
          <w:sz w:val="18"/>
          <w:szCs w:val="18"/>
        </w:rPr>
        <w:t>working capital</w:t>
      </w:r>
      <w:r w:rsidRPr="00602360">
        <w:rPr>
          <w:sz w:val="18"/>
          <w:szCs w:val="18"/>
        </w:rPr>
        <w:t xml:space="preserve">. The </w:t>
      </w:r>
      <w:r w:rsidR="00A75DA2">
        <w:rPr>
          <w:sz w:val="18"/>
          <w:szCs w:val="18"/>
        </w:rPr>
        <w:t>t</w:t>
      </w:r>
      <w:r w:rsidRPr="00602360">
        <w:rPr>
          <w:sz w:val="18"/>
          <w:szCs w:val="18"/>
        </w:rPr>
        <w:t>ransaction is subject to the approval of r</w:t>
      </w:r>
      <w:r>
        <w:rPr>
          <w:sz w:val="18"/>
          <w:szCs w:val="18"/>
        </w:rPr>
        <w:t>elevant anti‐trust authorities</w:t>
      </w:r>
      <w:r w:rsidR="00A75DA2">
        <w:rPr>
          <w:sz w:val="18"/>
          <w:szCs w:val="18"/>
        </w:rPr>
        <w:t xml:space="preserve"> which is ongoing. </w:t>
      </w:r>
      <w:r w:rsidRPr="00602360">
        <w:rPr>
          <w:sz w:val="18"/>
          <w:szCs w:val="18"/>
        </w:rPr>
        <w:t xml:space="preserve"> </w:t>
      </w:r>
    </w:p>
    <w:p w14:paraId="6A3EECA3" w14:textId="77777777" w:rsidR="005B36AA" w:rsidRPr="00602360" w:rsidRDefault="005B36AA" w:rsidP="005B36AA">
      <w:pPr>
        <w:spacing w:after="120"/>
        <w:jc w:val="both"/>
        <w:rPr>
          <w:sz w:val="18"/>
          <w:szCs w:val="18"/>
        </w:rPr>
      </w:pPr>
      <w:proofErr w:type="gramStart"/>
      <w:r w:rsidRPr="00602360">
        <w:rPr>
          <w:sz w:val="18"/>
          <w:szCs w:val="18"/>
        </w:rPr>
        <w:t>At</w:t>
      </w:r>
      <w:proofErr w:type="gramEnd"/>
      <w:r w:rsidRPr="00602360">
        <w:rPr>
          <w:sz w:val="18"/>
          <w:szCs w:val="18"/>
        </w:rPr>
        <w:t xml:space="preserve"> 25 September 2020, the disposal met the recognition criteria to be classified as held for sale under IFRS 5 </w:t>
      </w:r>
      <w:r w:rsidRPr="00DF6143">
        <w:rPr>
          <w:i/>
          <w:sz w:val="18"/>
          <w:szCs w:val="18"/>
        </w:rPr>
        <w:t>Non-Current Assets Held for Sale and Discontinued Operations</w:t>
      </w:r>
      <w:r w:rsidRPr="00602360">
        <w:rPr>
          <w:sz w:val="18"/>
          <w:szCs w:val="18"/>
        </w:rPr>
        <w:t xml:space="preserve">. The businesses are not considered to be either separate major lines of business or geographical areas of operation and therefore do not constitute discontinued operations as defined in IFRS 5 </w:t>
      </w:r>
      <w:r w:rsidRPr="00DF6143">
        <w:rPr>
          <w:i/>
          <w:sz w:val="18"/>
          <w:szCs w:val="18"/>
        </w:rPr>
        <w:t>Non-Current Assets Held for Sale and Discontinued Operations</w:t>
      </w:r>
      <w:r w:rsidRPr="00602360">
        <w:rPr>
          <w:sz w:val="18"/>
          <w:szCs w:val="18"/>
        </w:rPr>
        <w:t>.</w:t>
      </w:r>
    </w:p>
    <w:p w14:paraId="0B092C31" w14:textId="77777777" w:rsidR="005B36AA" w:rsidRPr="00602360" w:rsidRDefault="005B36AA" w:rsidP="005B36AA">
      <w:pPr>
        <w:spacing w:after="120"/>
        <w:jc w:val="both"/>
        <w:rPr>
          <w:sz w:val="18"/>
          <w:szCs w:val="18"/>
        </w:rPr>
      </w:pPr>
      <w:r w:rsidRPr="00602360">
        <w:rPr>
          <w:sz w:val="18"/>
          <w:szCs w:val="18"/>
        </w:rPr>
        <w:t>Greencore’s Molasses trading businesses are included within the Convenience Foods UK and Ireland reporting segment.</w:t>
      </w:r>
    </w:p>
    <w:p w14:paraId="3E6FDD27" w14:textId="77777777" w:rsidR="005B36AA" w:rsidRPr="00DB67F2" w:rsidRDefault="005B36AA" w:rsidP="005B36AA">
      <w:pPr>
        <w:pStyle w:val="Heading2"/>
        <w:numPr>
          <w:ilvl w:val="0"/>
          <w:numId w:val="0"/>
        </w:numPr>
        <w:rPr>
          <w:b w:val="0"/>
          <w:bCs w:val="0"/>
        </w:rPr>
      </w:pPr>
      <w:proofErr w:type="gramStart"/>
      <w:r w:rsidRPr="00DB67F2">
        <w:rPr>
          <w:b w:val="0"/>
          <w:bCs w:val="0"/>
        </w:rPr>
        <w:t>At</w:t>
      </w:r>
      <w:proofErr w:type="gramEnd"/>
      <w:r w:rsidRPr="00DB67F2">
        <w:rPr>
          <w:b w:val="0"/>
          <w:bCs w:val="0"/>
        </w:rPr>
        <w:t xml:space="preserve"> 25 September 2020, the following assets and liabilities were classified as held for sale:</w:t>
      </w:r>
    </w:p>
    <w:tbl>
      <w:tblPr>
        <w:tblW w:w="10205" w:type="dxa"/>
        <w:tblLayout w:type="fixed"/>
        <w:tblLook w:val="04A0" w:firstRow="1" w:lastRow="0" w:firstColumn="1" w:lastColumn="0" w:noHBand="0" w:noVBand="1"/>
      </w:tblPr>
      <w:tblGrid>
        <w:gridCol w:w="6009"/>
        <w:gridCol w:w="680"/>
        <w:gridCol w:w="1172"/>
        <w:gridCol w:w="1172"/>
        <w:gridCol w:w="1172"/>
      </w:tblGrid>
      <w:tr w:rsidR="005B36AA" w:rsidRPr="003D5549" w14:paraId="32F9F32A" w14:textId="77777777" w:rsidTr="005771B0">
        <w:tc>
          <w:tcPr>
            <w:tcW w:w="10205" w:type="dxa"/>
            <w:gridSpan w:val="5"/>
            <w:tcBorders>
              <w:bottom w:val="single" w:sz="4" w:space="0" w:color="auto"/>
            </w:tcBorders>
          </w:tcPr>
          <w:p w14:paraId="6483E520" w14:textId="77777777" w:rsidR="005B36AA" w:rsidRPr="003D5549" w:rsidRDefault="005B36AA" w:rsidP="005B36AA">
            <w:pPr>
              <w:pStyle w:val="Subtitle"/>
              <w:jc w:val="left"/>
            </w:pPr>
          </w:p>
        </w:tc>
      </w:tr>
      <w:tr w:rsidR="005B36AA" w:rsidRPr="003D5549" w14:paraId="389133B8" w14:textId="77777777" w:rsidTr="005771B0">
        <w:trPr>
          <w:trHeight w:val="227"/>
        </w:trPr>
        <w:tc>
          <w:tcPr>
            <w:tcW w:w="6009" w:type="dxa"/>
            <w:tcBorders>
              <w:top w:val="single" w:sz="4" w:space="0" w:color="auto"/>
            </w:tcBorders>
            <w:vAlign w:val="bottom"/>
          </w:tcPr>
          <w:p w14:paraId="39F2535F"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top w:val="single" w:sz="4" w:space="0" w:color="auto"/>
            </w:tcBorders>
          </w:tcPr>
          <w:p w14:paraId="2075376F" w14:textId="77777777" w:rsidR="005B36AA" w:rsidRPr="003D5549" w:rsidRDefault="005B36AA" w:rsidP="005B36AA">
            <w:pPr>
              <w:pStyle w:val="Subtitle"/>
              <w:rPr>
                <w:b w:val="0"/>
              </w:rPr>
            </w:pPr>
          </w:p>
        </w:tc>
        <w:tc>
          <w:tcPr>
            <w:tcW w:w="1172" w:type="dxa"/>
            <w:tcBorders>
              <w:top w:val="single" w:sz="4" w:space="0" w:color="auto"/>
            </w:tcBorders>
            <w:vAlign w:val="bottom"/>
          </w:tcPr>
          <w:p w14:paraId="4BDC6195" w14:textId="77777777" w:rsidR="005B36AA" w:rsidRPr="003D5549" w:rsidRDefault="005B36AA" w:rsidP="005B36AA">
            <w:pPr>
              <w:pStyle w:val="Subtitle"/>
            </w:pPr>
            <w:r>
              <w:t>Premier Molasses</w:t>
            </w:r>
          </w:p>
        </w:tc>
        <w:tc>
          <w:tcPr>
            <w:tcW w:w="1172" w:type="dxa"/>
            <w:tcBorders>
              <w:top w:val="single" w:sz="4" w:space="0" w:color="auto"/>
            </w:tcBorders>
            <w:vAlign w:val="bottom"/>
          </w:tcPr>
          <w:p w14:paraId="60987D2D" w14:textId="77777777" w:rsidR="005B36AA" w:rsidRPr="003D5549" w:rsidRDefault="005B36AA" w:rsidP="005B36AA">
            <w:pPr>
              <w:pStyle w:val="Subtitle"/>
            </w:pPr>
            <w:r>
              <w:t>UMI</w:t>
            </w:r>
          </w:p>
        </w:tc>
        <w:tc>
          <w:tcPr>
            <w:tcW w:w="1172" w:type="dxa"/>
            <w:tcBorders>
              <w:top w:val="single" w:sz="4" w:space="0" w:color="auto"/>
            </w:tcBorders>
            <w:vAlign w:val="bottom"/>
          </w:tcPr>
          <w:p w14:paraId="5506FE57" w14:textId="77777777" w:rsidR="005B36AA" w:rsidRDefault="005B36AA" w:rsidP="005B36AA">
            <w:pPr>
              <w:pStyle w:val="Subtitle"/>
            </w:pPr>
            <w:r>
              <w:t xml:space="preserve">2020 </w:t>
            </w:r>
          </w:p>
          <w:p w14:paraId="08582507" w14:textId="77777777" w:rsidR="005B36AA" w:rsidRPr="003D5549" w:rsidRDefault="005B36AA" w:rsidP="005B36AA">
            <w:pPr>
              <w:pStyle w:val="Subtitle"/>
            </w:pPr>
            <w:r>
              <w:t>Total</w:t>
            </w:r>
          </w:p>
        </w:tc>
      </w:tr>
      <w:tr w:rsidR="005B36AA" w:rsidRPr="003D5549" w14:paraId="6C5BC72A" w14:textId="77777777" w:rsidTr="005771B0">
        <w:trPr>
          <w:trHeight w:val="227"/>
        </w:trPr>
        <w:tc>
          <w:tcPr>
            <w:tcW w:w="6009" w:type="dxa"/>
            <w:tcBorders>
              <w:bottom w:val="single" w:sz="4" w:space="0" w:color="auto"/>
            </w:tcBorders>
            <w:vAlign w:val="bottom"/>
          </w:tcPr>
          <w:p w14:paraId="3579D9D5"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bottom w:val="single" w:sz="4" w:space="0" w:color="auto"/>
            </w:tcBorders>
          </w:tcPr>
          <w:p w14:paraId="1EA69EDE" w14:textId="77777777" w:rsidR="005B36AA" w:rsidRPr="003D5549" w:rsidRDefault="005B36AA" w:rsidP="005B36AA">
            <w:pPr>
              <w:pStyle w:val="Subtitle"/>
              <w:rPr>
                <w:b w:val="0"/>
              </w:rPr>
            </w:pPr>
          </w:p>
        </w:tc>
        <w:tc>
          <w:tcPr>
            <w:tcW w:w="1172" w:type="dxa"/>
            <w:tcBorders>
              <w:bottom w:val="single" w:sz="4" w:space="0" w:color="auto"/>
            </w:tcBorders>
            <w:vAlign w:val="bottom"/>
          </w:tcPr>
          <w:p w14:paraId="79295FFF" w14:textId="44AF8A32" w:rsidR="005B36AA" w:rsidRPr="003D5549" w:rsidRDefault="005B36AA" w:rsidP="00660EC8">
            <w:pPr>
              <w:pStyle w:val="Subtitle"/>
            </w:pPr>
            <w:r>
              <w:t>£m</w:t>
            </w:r>
          </w:p>
        </w:tc>
        <w:tc>
          <w:tcPr>
            <w:tcW w:w="1172" w:type="dxa"/>
            <w:tcBorders>
              <w:bottom w:val="single" w:sz="4" w:space="0" w:color="auto"/>
            </w:tcBorders>
            <w:vAlign w:val="bottom"/>
          </w:tcPr>
          <w:p w14:paraId="4354A010" w14:textId="1D556E77" w:rsidR="005B36AA" w:rsidRPr="003D5549" w:rsidRDefault="005B36AA" w:rsidP="005B36AA">
            <w:pPr>
              <w:pStyle w:val="Subtitle"/>
            </w:pPr>
            <w:r>
              <w:t>£m</w:t>
            </w:r>
          </w:p>
        </w:tc>
        <w:tc>
          <w:tcPr>
            <w:tcW w:w="1172" w:type="dxa"/>
            <w:tcBorders>
              <w:bottom w:val="single" w:sz="4" w:space="0" w:color="auto"/>
            </w:tcBorders>
            <w:vAlign w:val="bottom"/>
          </w:tcPr>
          <w:p w14:paraId="208D6B58" w14:textId="717B9DF3" w:rsidR="005B36AA" w:rsidRDefault="005B36AA" w:rsidP="00660EC8">
            <w:pPr>
              <w:pStyle w:val="Subtitle"/>
            </w:pPr>
            <w:r>
              <w:t>£m</w:t>
            </w:r>
          </w:p>
        </w:tc>
      </w:tr>
      <w:tr w:rsidR="00BD6BE2" w:rsidRPr="003D5549" w14:paraId="6C0951E5" w14:textId="77777777" w:rsidTr="005B36AA">
        <w:trPr>
          <w:trHeight w:val="227"/>
        </w:trPr>
        <w:tc>
          <w:tcPr>
            <w:tcW w:w="6009" w:type="dxa"/>
            <w:tcBorders>
              <w:top w:val="single" w:sz="4" w:space="0" w:color="auto"/>
            </w:tcBorders>
            <w:vAlign w:val="bottom"/>
          </w:tcPr>
          <w:p w14:paraId="644340E1" w14:textId="23CF01AF" w:rsidR="00BD6BE2" w:rsidRPr="005771B0" w:rsidRDefault="00BD6BE2" w:rsidP="005B36AA">
            <w:pPr>
              <w:rPr>
                <w:rFonts w:asciiTheme="minorHAnsi" w:eastAsiaTheme="minorHAnsi" w:hAnsiTheme="minorHAnsi" w:cstheme="minorBidi"/>
                <w:b/>
                <w:sz w:val="18"/>
                <w:szCs w:val="18"/>
                <w:lang w:eastAsia="en-US" w:bidi="ar-SA"/>
              </w:rPr>
            </w:pPr>
            <w:r w:rsidRPr="005771B0">
              <w:rPr>
                <w:rFonts w:asciiTheme="minorHAnsi" w:eastAsiaTheme="minorHAnsi" w:hAnsiTheme="minorHAnsi" w:cstheme="minorBidi"/>
                <w:b/>
                <w:sz w:val="18"/>
                <w:szCs w:val="18"/>
                <w:lang w:eastAsia="en-US" w:bidi="ar-SA"/>
              </w:rPr>
              <w:t>Assets</w:t>
            </w:r>
          </w:p>
        </w:tc>
        <w:tc>
          <w:tcPr>
            <w:tcW w:w="680" w:type="dxa"/>
            <w:tcBorders>
              <w:top w:val="single" w:sz="4" w:space="0" w:color="auto"/>
            </w:tcBorders>
          </w:tcPr>
          <w:p w14:paraId="031CD268" w14:textId="77777777" w:rsidR="00BD6BE2" w:rsidRPr="003D5549" w:rsidRDefault="00BD6BE2" w:rsidP="005B36AA">
            <w:pPr>
              <w:pStyle w:val="Subtitle"/>
              <w:jc w:val="center"/>
              <w:rPr>
                <w:b w:val="0"/>
              </w:rPr>
            </w:pPr>
          </w:p>
        </w:tc>
        <w:tc>
          <w:tcPr>
            <w:tcW w:w="1172" w:type="dxa"/>
            <w:tcBorders>
              <w:top w:val="single" w:sz="4" w:space="0" w:color="auto"/>
            </w:tcBorders>
            <w:vAlign w:val="bottom"/>
          </w:tcPr>
          <w:p w14:paraId="03C08B05" w14:textId="77777777" w:rsidR="00BD6BE2" w:rsidRDefault="00BD6BE2" w:rsidP="005B36AA">
            <w:pPr>
              <w:pStyle w:val="Subtitle"/>
            </w:pPr>
          </w:p>
        </w:tc>
        <w:tc>
          <w:tcPr>
            <w:tcW w:w="1172" w:type="dxa"/>
            <w:tcBorders>
              <w:top w:val="single" w:sz="4" w:space="0" w:color="auto"/>
            </w:tcBorders>
            <w:vAlign w:val="bottom"/>
          </w:tcPr>
          <w:p w14:paraId="0CA1EAE1" w14:textId="77777777" w:rsidR="00BD6BE2" w:rsidRPr="005A2C63" w:rsidRDefault="00BD6BE2" w:rsidP="005B36AA">
            <w:pPr>
              <w:pStyle w:val="Subtitle"/>
            </w:pPr>
          </w:p>
        </w:tc>
        <w:tc>
          <w:tcPr>
            <w:tcW w:w="1172" w:type="dxa"/>
            <w:tcBorders>
              <w:top w:val="single" w:sz="4" w:space="0" w:color="auto"/>
            </w:tcBorders>
            <w:vAlign w:val="bottom"/>
          </w:tcPr>
          <w:p w14:paraId="3ABC7CB7" w14:textId="77777777" w:rsidR="00BD6BE2" w:rsidRPr="005A2C63" w:rsidRDefault="00BD6BE2" w:rsidP="005B36AA">
            <w:pPr>
              <w:pStyle w:val="Subtitle"/>
              <w:rPr>
                <w:bCs/>
              </w:rPr>
            </w:pPr>
          </w:p>
        </w:tc>
      </w:tr>
      <w:tr w:rsidR="005B36AA" w:rsidRPr="003D5549" w14:paraId="7CBBC67A" w14:textId="77777777" w:rsidTr="005771B0">
        <w:trPr>
          <w:trHeight w:val="227"/>
        </w:trPr>
        <w:tc>
          <w:tcPr>
            <w:tcW w:w="6009" w:type="dxa"/>
            <w:vAlign w:val="bottom"/>
          </w:tcPr>
          <w:p w14:paraId="17F478F1"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Property, </w:t>
            </w:r>
            <w:proofErr w:type="gramStart"/>
            <w:r>
              <w:rPr>
                <w:rFonts w:asciiTheme="minorHAnsi" w:eastAsiaTheme="minorHAnsi" w:hAnsiTheme="minorHAnsi" w:cstheme="minorBidi"/>
                <w:sz w:val="18"/>
                <w:szCs w:val="18"/>
                <w:lang w:eastAsia="en-US" w:bidi="ar-SA"/>
              </w:rPr>
              <w:t>plant</w:t>
            </w:r>
            <w:proofErr w:type="gramEnd"/>
            <w:r>
              <w:rPr>
                <w:rFonts w:asciiTheme="minorHAnsi" w:eastAsiaTheme="minorHAnsi" w:hAnsiTheme="minorHAnsi" w:cstheme="minorBidi"/>
                <w:sz w:val="18"/>
                <w:szCs w:val="18"/>
                <w:lang w:eastAsia="en-US" w:bidi="ar-SA"/>
              </w:rPr>
              <w:t xml:space="preserve"> and equipment </w:t>
            </w:r>
          </w:p>
        </w:tc>
        <w:tc>
          <w:tcPr>
            <w:tcW w:w="680" w:type="dxa"/>
          </w:tcPr>
          <w:p w14:paraId="18D07192" w14:textId="77777777" w:rsidR="005B36AA" w:rsidRPr="003D5549" w:rsidRDefault="005B36AA" w:rsidP="005B36AA">
            <w:pPr>
              <w:pStyle w:val="Subtitle"/>
              <w:jc w:val="center"/>
              <w:rPr>
                <w:b w:val="0"/>
              </w:rPr>
            </w:pPr>
          </w:p>
        </w:tc>
        <w:tc>
          <w:tcPr>
            <w:tcW w:w="1172" w:type="dxa"/>
            <w:vAlign w:val="bottom"/>
          </w:tcPr>
          <w:p w14:paraId="0FA1B47A" w14:textId="77777777" w:rsidR="005B36AA" w:rsidRPr="003D5549" w:rsidRDefault="005B36AA" w:rsidP="005B36AA">
            <w:pPr>
              <w:pStyle w:val="Subtitle"/>
            </w:pPr>
            <w:r>
              <w:t>3.4</w:t>
            </w:r>
          </w:p>
        </w:tc>
        <w:tc>
          <w:tcPr>
            <w:tcW w:w="1172" w:type="dxa"/>
            <w:vAlign w:val="bottom"/>
          </w:tcPr>
          <w:p w14:paraId="499555E8" w14:textId="77777777" w:rsidR="005B36AA" w:rsidRPr="005A2C63" w:rsidRDefault="005B36AA" w:rsidP="005B36AA">
            <w:pPr>
              <w:pStyle w:val="Subtitle"/>
            </w:pPr>
            <w:r w:rsidRPr="005A2C63">
              <w:t>–</w:t>
            </w:r>
          </w:p>
        </w:tc>
        <w:tc>
          <w:tcPr>
            <w:tcW w:w="1172" w:type="dxa"/>
            <w:vAlign w:val="bottom"/>
          </w:tcPr>
          <w:p w14:paraId="010D77DB" w14:textId="77777777" w:rsidR="005B36AA" w:rsidRPr="005A2C63" w:rsidRDefault="005B36AA" w:rsidP="005B36AA">
            <w:pPr>
              <w:pStyle w:val="Subtitle"/>
              <w:rPr>
                <w:bCs/>
              </w:rPr>
            </w:pPr>
            <w:r w:rsidRPr="005A2C63">
              <w:rPr>
                <w:bCs/>
              </w:rPr>
              <w:t>3.4</w:t>
            </w:r>
          </w:p>
        </w:tc>
      </w:tr>
      <w:tr w:rsidR="005B36AA" w:rsidRPr="003D5549" w14:paraId="2C973562" w14:textId="77777777" w:rsidTr="005B36AA">
        <w:trPr>
          <w:trHeight w:val="227"/>
        </w:trPr>
        <w:tc>
          <w:tcPr>
            <w:tcW w:w="6009" w:type="dxa"/>
            <w:vAlign w:val="bottom"/>
          </w:tcPr>
          <w:p w14:paraId="4ABA1FD2"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Right-of-use assets</w:t>
            </w:r>
          </w:p>
        </w:tc>
        <w:tc>
          <w:tcPr>
            <w:tcW w:w="680" w:type="dxa"/>
          </w:tcPr>
          <w:p w14:paraId="61639713" w14:textId="77777777" w:rsidR="005B36AA" w:rsidRPr="003D5549" w:rsidRDefault="005B36AA" w:rsidP="005B36AA">
            <w:pPr>
              <w:pStyle w:val="Subtitle"/>
              <w:jc w:val="center"/>
              <w:rPr>
                <w:b w:val="0"/>
              </w:rPr>
            </w:pPr>
          </w:p>
        </w:tc>
        <w:tc>
          <w:tcPr>
            <w:tcW w:w="1172" w:type="dxa"/>
            <w:vAlign w:val="bottom"/>
          </w:tcPr>
          <w:p w14:paraId="44A7A14C" w14:textId="77777777" w:rsidR="005B36AA" w:rsidRPr="003D5549" w:rsidRDefault="005B36AA" w:rsidP="005B36AA">
            <w:pPr>
              <w:pStyle w:val="Subtitle"/>
            </w:pPr>
            <w:r>
              <w:t>0.7</w:t>
            </w:r>
          </w:p>
        </w:tc>
        <w:tc>
          <w:tcPr>
            <w:tcW w:w="1172" w:type="dxa"/>
            <w:vAlign w:val="bottom"/>
          </w:tcPr>
          <w:p w14:paraId="6DE3C1F0" w14:textId="77777777" w:rsidR="005B36AA" w:rsidRPr="005A2C63" w:rsidRDefault="005B36AA" w:rsidP="005B36AA">
            <w:pPr>
              <w:pStyle w:val="Subtitle"/>
            </w:pPr>
            <w:r w:rsidRPr="005A2C63">
              <w:t>–</w:t>
            </w:r>
          </w:p>
        </w:tc>
        <w:tc>
          <w:tcPr>
            <w:tcW w:w="1172" w:type="dxa"/>
            <w:vAlign w:val="bottom"/>
          </w:tcPr>
          <w:p w14:paraId="55941284" w14:textId="77777777" w:rsidR="005B36AA" w:rsidRPr="005A2C63" w:rsidRDefault="005B36AA" w:rsidP="005B36AA">
            <w:pPr>
              <w:pStyle w:val="Subtitle"/>
              <w:rPr>
                <w:bCs/>
              </w:rPr>
            </w:pPr>
            <w:r w:rsidRPr="005A2C63">
              <w:rPr>
                <w:bCs/>
              </w:rPr>
              <w:t>0.7</w:t>
            </w:r>
          </w:p>
        </w:tc>
      </w:tr>
      <w:tr w:rsidR="005B36AA" w:rsidRPr="003D5549" w14:paraId="690252D7" w14:textId="77777777" w:rsidTr="005B36AA">
        <w:trPr>
          <w:trHeight w:val="227"/>
        </w:trPr>
        <w:tc>
          <w:tcPr>
            <w:tcW w:w="6009" w:type="dxa"/>
            <w:vAlign w:val="bottom"/>
          </w:tcPr>
          <w:p w14:paraId="3FE7CBDD"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Investment in associate</w:t>
            </w:r>
          </w:p>
        </w:tc>
        <w:tc>
          <w:tcPr>
            <w:tcW w:w="680" w:type="dxa"/>
          </w:tcPr>
          <w:p w14:paraId="3A84C044" w14:textId="77777777" w:rsidR="005B36AA" w:rsidRPr="003D5549" w:rsidRDefault="005B36AA" w:rsidP="005B36AA">
            <w:pPr>
              <w:pStyle w:val="Subtitle"/>
              <w:jc w:val="center"/>
              <w:rPr>
                <w:b w:val="0"/>
              </w:rPr>
            </w:pPr>
          </w:p>
        </w:tc>
        <w:tc>
          <w:tcPr>
            <w:tcW w:w="1172" w:type="dxa"/>
            <w:vAlign w:val="bottom"/>
          </w:tcPr>
          <w:p w14:paraId="11D0C886" w14:textId="77777777" w:rsidR="005B36AA" w:rsidRPr="003D5549" w:rsidRDefault="005B36AA" w:rsidP="005B36AA">
            <w:pPr>
              <w:pStyle w:val="Subtitle"/>
            </w:pPr>
            <w:r w:rsidRPr="005A2C63">
              <w:t>–</w:t>
            </w:r>
          </w:p>
        </w:tc>
        <w:tc>
          <w:tcPr>
            <w:tcW w:w="1172" w:type="dxa"/>
            <w:vAlign w:val="bottom"/>
          </w:tcPr>
          <w:p w14:paraId="11A96BAA" w14:textId="77777777" w:rsidR="005B36AA" w:rsidRPr="005A2C63" w:rsidRDefault="005B36AA" w:rsidP="005B36AA">
            <w:pPr>
              <w:pStyle w:val="Subtitle"/>
            </w:pPr>
            <w:r w:rsidRPr="005A2C63">
              <w:t>1.5</w:t>
            </w:r>
          </w:p>
        </w:tc>
        <w:tc>
          <w:tcPr>
            <w:tcW w:w="1172" w:type="dxa"/>
            <w:vAlign w:val="bottom"/>
          </w:tcPr>
          <w:p w14:paraId="2B9407F7" w14:textId="77777777" w:rsidR="005B36AA" w:rsidRPr="005A2C63" w:rsidRDefault="005B36AA" w:rsidP="005B36AA">
            <w:pPr>
              <w:pStyle w:val="Subtitle"/>
              <w:rPr>
                <w:bCs/>
              </w:rPr>
            </w:pPr>
            <w:r w:rsidRPr="005A2C63">
              <w:rPr>
                <w:bCs/>
              </w:rPr>
              <w:t>1.5</w:t>
            </w:r>
          </w:p>
        </w:tc>
      </w:tr>
      <w:tr w:rsidR="005B36AA" w:rsidRPr="003D5549" w14:paraId="23D0AA03" w14:textId="77777777" w:rsidTr="005B36AA">
        <w:trPr>
          <w:trHeight w:val="227"/>
        </w:trPr>
        <w:tc>
          <w:tcPr>
            <w:tcW w:w="6009" w:type="dxa"/>
            <w:vAlign w:val="bottom"/>
          </w:tcPr>
          <w:p w14:paraId="1930E038"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Inventories</w:t>
            </w:r>
          </w:p>
        </w:tc>
        <w:tc>
          <w:tcPr>
            <w:tcW w:w="680" w:type="dxa"/>
          </w:tcPr>
          <w:p w14:paraId="03167D38" w14:textId="77777777" w:rsidR="005B36AA" w:rsidRPr="003D5549" w:rsidRDefault="005B36AA" w:rsidP="005B36AA">
            <w:pPr>
              <w:pStyle w:val="Subtitle"/>
              <w:jc w:val="center"/>
              <w:rPr>
                <w:b w:val="0"/>
              </w:rPr>
            </w:pPr>
          </w:p>
        </w:tc>
        <w:tc>
          <w:tcPr>
            <w:tcW w:w="1172" w:type="dxa"/>
            <w:vAlign w:val="bottom"/>
          </w:tcPr>
          <w:p w14:paraId="10CE7BA7" w14:textId="77777777" w:rsidR="005B36AA" w:rsidRPr="003D5549" w:rsidRDefault="005B36AA" w:rsidP="005B36AA">
            <w:pPr>
              <w:pStyle w:val="Subtitle"/>
            </w:pPr>
            <w:r>
              <w:t>2.6</w:t>
            </w:r>
          </w:p>
        </w:tc>
        <w:tc>
          <w:tcPr>
            <w:tcW w:w="1172" w:type="dxa"/>
            <w:vAlign w:val="bottom"/>
          </w:tcPr>
          <w:p w14:paraId="5C6A72E3" w14:textId="77777777" w:rsidR="005B36AA" w:rsidRPr="005A2C63" w:rsidRDefault="005B36AA" w:rsidP="005B36AA">
            <w:pPr>
              <w:pStyle w:val="Subtitle"/>
            </w:pPr>
            <w:r w:rsidRPr="005A2C63">
              <w:t>–</w:t>
            </w:r>
          </w:p>
        </w:tc>
        <w:tc>
          <w:tcPr>
            <w:tcW w:w="1172" w:type="dxa"/>
            <w:vAlign w:val="bottom"/>
          </w:tcPr>
          <w:p w14:paraId="7AC6484D" w14:textId="77777777" w:rsidR="005B36AA" w:rsidRPr="005A2C63" w:rsidRDefault="005B36AA" w:rsidP="005B36AA">
            <w:pPr>
              <w:pStyle w:val="Subtitle"/>
              <w:rPr>
                <w:bCs/>
              </w:rPr>
            </w:pPr>
            <w:r w:rsidRPr="005A2C63">
              <w:rPr>
                <w:bCs/>
              </w:rPr>
              <w:t>2.6</w:t>
            </w:r>
          </w:p>
        </w:tc>
      </w:tr>
      <w:tr w:rsidR="005B36AA" w:rsidRPr="003D5549" w14:paraId="5250BF1E" w14:textId="77777777" w:rsidTr="005B36AA">
        <w:trPr>
          <w:trHeight w:val="227"/>
        </w:trPr>
        <w:tc>
          <w:tcPr>
            <w:tcW w:w="6009" w:type="dxa"/>
            <w:vAlign w:val="bottom"/>
          </w:tcPr>
          <w:p w14:paraId="1716E845"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Trade and other receivables</w:t>
            </w:r>
          </w:p>
        </w:tc>
        <w:tc>
          <w:tcPr>
            <w:tcW w:w="680" w:type="dxa"/>
          </w:tcPr>
          <w:p w14:paraId="64D954DD" w14:textId="77777777" w:rsidR="005B36AA" w:rsidRPr="003D5549" w:rsidRDefault="005B36AA" w:rsidP="005B36AA">
            <w:pPr>
              <w:pStyle w:val="Subtitle"/>
              <w:jc w:val="center"/>
              <w:rPr>
                <w:b w:val="0"/>
              </w:rPr>
            </w:pPr>
          </w:p>
        </w:tc>
        <w:tc>
          <w:tcPr>
            <w:tcW w:w="1172" w:type="dxa"/>
            <w:vAlign w:val="bottom"/>
          </w:tcPr>
          <w:p w14:paraId="00998C2A" w14:textId="77777777" w:rsidR="005B36AA" w:rsidRPr="003D5549" w:rsidRDefault="005B36AA" w:rsidP="005B36AA">
            <w:pPr>
              <w:pStyle w:val="Subtitle"/>
            </w:pPr>
            <w:r>
              <w:t>3.0</w:t>
            </w:r>
          </w:p>
        </w:tc>
        <w:tc>
          <w:tcPr>
            <w:tcW w:w="1172" w:type="dxa"/>
            <w:vAlign w:val="bottom"/>
          </w:tcPr>
          <w:p w14:paraId="1DA2CDA0" w14:textId="77777777" w:rsidR="005B36AA" w:rsidRPr="005A2C63" w:rsidRDefault="005B36AA" w:rsidP="005B36AA">
            <w:pPr>
              <w:pStyle w:val="Subtitle"/>
            </w:pPr>
            <w:r w:rsidRPr="005A2C63">
              <w:t>–</w:t>
            </w:r>
          </w:p>
        </w:tc>
        <w:tc>
          <w:tcPr>
            <w:tcW w:w="1172" w:type="dxa"/>
            <w:vAlign w:val="bottom"/>
          </w:tcPr>
          <w:p w14:paraId="09B7269B" w14:textId="77777777" w:rsidR="005B36AA" w:rsidRPr="005A2C63" w:rsidRDefault="005B36AA" w:rsidP="005B36AA">
            <w:pPr>
              <w:pStyle w:val="Subtitle"/>
              <w:rPr>
                <w:bCs/>
              </w:rPr>
            </w:pPr>
            <w:r w:rsidRPr="005A2C63">
              <w:rPr>
                <w:bCs/>
              </w:rPr>
              <w:t>3.0</w:t>
            </w:r>
          </w:p>
        </w:tc>
      </w:tr>
      <w:tr w:rsidR="005B36AA" w:rsidRPr="00723C31" w14:paraId="78BA21D6" w14:textId="77777777" w:rsidTr="005771B0">
        <w:trPr>
          <w:trHeight w:val="227"/>
        </w:trPr>
        <w:tc>
          <w:tcPr>
            <w:tcW w:w="6009" w:type="dxa"/>
            <w:tcBorders>
              <w:top w:val="single" w:sz="4" w:space="0" w:color="auto"/>
              <w:bottom w:val="single" w:sz="4" w:space="0" w:color="auto"/>
            </w:tcBorders>
            <w:vAlign w:val="bottom"/>
          </w:tcPr>
          <w:p w14:paraId="7EC0C9EF" w14:textId="2E676180" w:rsidR="005B36AA" w:rsidRPr="00723C31" w:rsidRDefault="00BD6BE2" w:rsidP="00660EC8">
            <w:pPr>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Total a</w:t>
            </w:r>
            <w:r w:rsidR="005B36AA" w:rsidRPr="00723C31">
              <w:rPr>
                <w:rFonts w:asciiTheme="minorHAnsi" w:eastAsiaTheme="minorHAnsi" w:hAnsiTheme="minorHAnsi" w:cstheme="minorBidi"/>
                <w:b/>
                <w:bCs/>
                <w:sz w:val="18"/>
                <w:szCs w:val="18"/>
                <w:lang w:eastAsia="en-US" w:bidi="ar-SA"/>
              </w:rPr>
              <w:t>ssets held for sale</w:t>
            </w:r>
          </w:p>
        </w:tc>
        <w:tc>
          <w:tcPr>
            <w:tcW w:w="680" w:type="dxa"/>
            <w:tcBorders>
              <w:top w:val="single" w:sz="4" w:space="0" w:color="auto"/>
              <w:bottom w:val="single" w:sz="4" w:space="0" w:color="auto"/>
            </w:tcBorders>
          </w:tcPr>
          <w:p w14:paraId="450FCADD" w14:textId="77777777" w:rsidR="005B36AA" w:rsidRPr="003D5549" w:rsidRDefault="005B36AA" w:rsidP="005B36AA">
            <w:pPr>
              <w:pStyle w:val="Subtitle"/>
              <w:jc w:val="center"/>
              <w:rPr>
                <w:b w:val="0"/>
              </w:rPr>
            </w:pPr>
          </w:p>
        </w:tc>
        <w:tc>
          <w:tcPr>
            <w:tcW w:w="1172" w:type="dxa"/>
            <w:tcBorders>
              <w:top w:val="single" w:sz="4" w:space="0" w:color="auto"/>
              <w:bottom w:val="single" w:sz="4" w:space="0" w:color="auto"/>
            </w:tcBorders>
            <w:vAlign w:val="bottom"/>
          </w:tcPr>
          <w:p w14:paraId="09E64FA3" w14:textId="77777777" w:rsidR="005B36AA" w:rsidRPr="003D5549" w:rsidRDefault="005B36AA" w:rsidP="005B36AA">
            <w:pPr>
              <w:pStyle w:val="Subtitle"/>
            </w:pPr>
            <w:r>
              <w:t>9.7</w:t>
            </w:r>
          </w:p>
        </w:tc>
        <w:tc>
          <w:tcPr>
            <w:tcW w:w="1172" w:type="dxa"/>
            <w:tcBorders>
              <w:top w:val="single" w:sz="4" w:space="0" w:color="auto"/>
              <w:bottom w:val="single" w:sz="4" w:space="0" w:color="auto"/>
            </w:tcBorders>
            <w:vAlign w:val="bottom"/>
          </w:tcPr>
          <w:p w14:paraId="6389E167" w14:textId="77777777" w:rsidR="005B36AA" w:rsidRPr="005A2C63" w:rsidRDefault="005B36AA" w:rsidP="005B36AA">
            <w:pPr>
              <w:pStyle w:val="Subtitle"/>
            </w:pPr>
            <w:r w:rsidRPr="005A2C63">
              <w:t>1.5</w:t>
            </w:r>
          </w:p>
        </w:tc>
        <w:tc>
          <w:tcPr>
            <w:tcW w:w="1172" w:type="dxa"/>
            <w:tcBorders>
              <w:top w:val="single" w:sz="4" w:space="0" w:color="auto"/>
              <w:bottom w:val="single" w:sz="4" w:space="0" w:color="auto"/>
            </w:tcBorders>
            <w:vAlign w:val="bottom"/>
          </w:tcPr>
          <w:p w14:paraId="3B99074E" w14:textId="77777777" w:rsidR="005B36AA" w:rsidRPr="005A2C63" w:rsidRDefault="005B36AA" w:rsidP="005B36AA">
            <w:pPr>
              <w:pStyle w:val="Subtitle"/>
            </w:pPr>
            <w:r w:rsidRPr="005A2C63">
              <w:t>11.2</w:t>
            </w:r>
          </w:p>
        </w:tc>
      </w:tr>
      <w:tr w:rsidR="00BD6BE2" w:rsidRPr="003D5549" w14:paraId="439872A5" w14:textId="77777777" w:rsidTr="005B36AA">
        <w:trPr>
          <w:trHeight w:val="227"/>
        </w:trPr>
        <w:tc>
          <w:tcPr>
            <w:tcW w:w="6009" w:type="dxa"/>
            <w:tcBorders>
              <w:top w:val="single" w:sz="4" w:space="0" w:color="auto"/>
            </w:tcBorders>
            <w:vAlign w:val="bottom"/>
          </w:tcPr>
          <w:p w14:paraId="154AE328" w14:textId="35C712A0" w:rsidR="00BD6BE2" w:rsidRPr="005771B0" w:rsidRDefault="00BD6BE2" w:rsidP="005B36AA">
            <w:pPr>
              <w:rPr>
                <w:rFonts w:asciiTheme="minorHAnsi" w:eastAsiaTheme="minorHAnsi" w:hAnsiTheme="minorHAnsi" w:cstheme="minorBidi"/>
                <w:b/>
                <w:sz w:val="18"/>
                <w:szCs w:val="18"/>
                <w:lang w:eastAsia="en-US" w:bidi="ar-SA"/>
              </w:rPr>
            </w:pPr>
            <w:r w:rsidRPr="005771B0">
              <w:rPr>
                <w:rFonts w:asciiTheme="minorHAnsi" w:eastAsiaTheme="minorHAnsi" w:hAnsiTheme="minorHAnsi" w:cstheme="minorBidi"/>
                <w:b/>
                <w:sz w:val="18"/>
                <w:szCs w:val="18"/>
                <w:lang w:eastAsia="en-US" w:bidi="ar-SA"/>
              </w:rPr>
              <w:t>Liabilities</w:t>
            </w:r>
          </w:p>
        </w:tc>
        <w:tc>
          <w:tcPr>
            <w:tcW w:w="680" w:type="dxa"/>
            <w:tcBorders>
              <w:top w:val="single" w:sz="4" w:space="0" w:color="auto"/>
            </w:tcBorders>
          </w:tcPr>
          <w:p w14:paraId="74F92230" w14:textId="77777777" w:rsidR="00BD6BE2" w:rsidRPr="003D5549" w:rsidRDefault="00BD6BE2" w:rsidP="005B36AA">
            <w:pPr>
              <w:pStyle w:val="Subtitle"/>
              <w:jc w:val="center"/>
              <w:rPr>
                <w:b w:val="0"/>
              </w:rPr>
            </w:pPr>
          </w:p>
        </w:tc>
        <w:tc>
          <w:tcPr>
            <w:tcW w:w="1172" w:type="dxa"/>
            <w:tcBorders>
              <w:top w:val="single" w:sz="4" w:space="0" w:color="auto"/>
            </w:tcBorders>
            <w:vAlign w:val="bottom"/>
          </w:tcPr>
          <w:p w14:paraId="14A16F2C" w14:textId="77777777" w:rsidR="00BD6BE2" w:rsidRDefault="00BD6BE2" w:rsidP="005B36AA">
            <w:pPr>
              <w:pStyle w:val="Subtitle"/>
            </w:pPr>
          </w:p>
        </w:tc>
        <w:tc>
          <w:tcPr>
            <w:tcW w:w="1172" w:type="dxa"/>
            <w:tcBorders>
              <w:top w:val="single" w:sz="4" w:space="0" w:color="auto"/>
            </w:tcBorders>
            <w:vAlign w:val="bottom"/>
          </w:tcPr>
          <w:p w14:paraId="10329579" w14:textId="77777777" w:rsidR="00BD6BE2" w:rsidRPr="005A2C63" w:rsidRDefault="00BD6BE2" w:rsidP="005B36AA">
            <w:pPr>
              <w:pStyle w:val="Subtitle"/>
            </w:pPr>
          </w:p>
        </w:tc>
        <w:tc>
          <w:tcPr>
            <w:tcW w:w="1172" w:type="dxa"/>
            <w:tcBorders>
              <w:top w:val="single" w:sz="4" w:space="0" w:color="auto"/>
            </w:tcBorders>
            <w:vAlign w:val="bottom"/>
          </w:tcPr>
          <w:p w14:paraId="7F9CF60E" w14:textId="77777777" w:rsidR="00BD6BE2" w:rsidRPr="005A2C63" w:rsidRDefault="00BD6BE2" w:rsidP="005B36AA">
            <w:pPr>
              <w:pStyle w:val="Subtitle"/>
              <w:rPr>
                <w:bCs/>
              </w:rPr>
            </w:pPr>
          </w:p>
        </w:tc>
      </w:tr>
      <w:tr w:rsidR="005B36AA" w:rsidRPr="003D5549" w14:paraId="27752EE5" w14:textId="77777777" w:rsidTr="005771B0">
        <w:trPr>
          <w:trHeight w:val="227"/>
        </w:trPr>
        <w:tc>
          <w:tcPr>
            <w:tcW w:w="6009" w:type="dxa"/>
            <w:vAlign w:val="bottom"/>
          </w:tcPr>
          <w:p w14:paraId="17B0FB2B"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Trade and other payables</w:t>
            </w:r>
          </w:p>
        </w:tc>
        <w:tc>
          <w:tcPr>
            <w:tcW w:w="680" w:type="dxa"/>
          </w:tcPr>
          <w:p w14:paraId="7BA04DCD" w14:textId="77777777" w:rsidR="005B36AA" w:rsidRPr="003D5549" w:rsidRDefault="005B36AA" w:rsidP="005B36AA">
            <w:pPr>
              <w:pStyle w:val="Subtitle"/>
              <w:jc w:val="center"/>
              <w:rPr>
                <w:b w:val="0"/>
              </w:rPr>
            </w:pPr>
          </w:p>
        </w:tc>
        <w:tc>
          <w:tcPr>
            <w:tcW w:w="1172" w:type="dxa"/>
            <w:vAlign w:val="bottom"/>
          </w:tcPr>
          <w:p w14:paraId="4FD59F9E" w14:textId="77777777" w:rsidR="005B36AA" w:rsidRPr="003D5549" w:rsidRDefault="005B36AA" w:rsidP="005B36AA">
            <w:pPr>
              <w:pStyle w:val="Subtitle"/>
            </w:pPr>
            <w:r>
              <w:t>0.6</w:t>
            </w:r>
          </w:p>
        </w:tc>
        <w:tc>
          <w:tcPr>
            <w:tcW w:w="1172" w:type="dxa"/>
            <w:vAlign w:val="bottom"/>
          </w:tcPr>
          <w:p w14:paraId="51594AD6" w14:textId="77777777" w:rsidR="005B36AA" w:rsidRPr="005A2C63" w:rsidRDefault="005B36AA" w:rsidP="005B36AA">
            <w:pPr>
              <w:pStyle w:val="Subtitle"/>
            </w:pPr>
            <w:r w:rsidRPr="005A2C63">
              <w:t>–</w:t>
            </w:r>
          </w:p>
        </w:tc>
        <w:tc>
          <w:tcPr>
            <w:tcW w:w="1172" w:type="dxa"/>
            <w:vAlign w:val="bottom"/>
          </w:tcPr>
          <w:p w14:paraId="6998D6CC" w14:textId="77777777" w:rsidR="005B36AA" w:rsidRPr="005A2C63" w:rsidRDefault="005B36AA" w:rsidP="005B36AA">
            <w:pPr>
              <w:pStyle w:val="Subtitle"/>
              <w:rPr>
                <w:bCs/>
              </w:rPr>
            </w:pPr>
            <w:r w:rsidRPr="005A2C63">
              <w:rPr>
                <w:bCs/>
              </w:rPr>
              <w:t>0.6</w:t>
            </w:r>
          </w:p>
        </w:tc>
      </w:tr>
      <w:tr w:rsidR="005B36AA" w:rsidRPr="003D5549" w14:paraId="62F4FB0A" w14:textId="77777777" w:rsidTr="005B36AA">
        <w:trPr>
          <w:trHeight w:val="227"/>
        </w:trPr>
        <w:tc>
          <w:tcPr>
            <w:tcW w:w="6009" w:type="dxa"/>
            <w:vAlign w:val="bottom"/>
          </w:tcPr>
          <w:p w14:paraId="5594D86A"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Deferred tax liability</w:t>
            </w:r>
          </w:p>
        </w:tc>
        <w:tc>
          <w:tcPr>
            <w:tcW w:w="680" w:type="dxa"/>
          </w:tcPr>
          <w:p w14:paraId="4A3F3073" w14:textId="77777777" w:rsidR="005B36AA" w:rsidRPr="003D5549" w:rsidRDefault="005B36AA" w:rsidP="005B36AA">
            <w:pPr>
              <w:pStyle w:val="Subtitle"/>
              <w:jc w:val="center"/>
              <w:rPr>
                <w:b w:val="0"/>
              </w:rPr>
            </w:pPr>
          </w:p>
        </w:tc>
        <w:tc>
          <w:tcPr>
            <w:tcW w:w="1172" w:type="dxa"/>
            <w:vAlign w:val="bottom"/>
          </w:tcPr>
          <w:p w14:paraId="753292BA" w14:textId="77777777" w:rsidR="005B36AA" w:rsidRPr="003D5549" w:rsidRDefault="005B36AA" w:rsidP="005B36AA">
            <w:pPr>
              <w:pStyle w:val="Subtitle"/>
            </w:pPr>
            <w:r>
              <w:t>0.4</w:t>
            </w:r>
          </w:p>
        </w:tc>
        <w:tc>
          <w:tcPr>
            <w:tcW w:w="1172" w:type="dxa"/>
            <w:vAlign w:val="bottom"/>
          </w:tcPr>
          <w:p w14:paraId="3033D971" w14:textId="77777777" w:rsidR="005B36AA" w:rsidRPr="005A2C63" w:rsidRDefault="005B36AA" w:rsidP="005B36AA">
            <w:pPr>
              <w:pStyle w:val="Subtitle"/>
            </w:pPr>
            <w:r w:rsidRPr="005A2C63">
              <w:t>–</w:t>
            </w:r>
          </w:p>
        </w:tc>
        <w:tc>
          <w:tcPr>
            <w:tcW w:w="1172" w:type="dxa"/>
            <w:vAlign w:val="bottom"/>
          </w:tcPr>
          <w:p w14:paraId="50297EDE" w14:textId="77777777" w:rsidR="005B36AA" w:rsidRPr="005A2C63" w:rsidRDefault="005B36AA" w:rsidP="005B36AA">
            <w:pPr>
              <w:pStyle w:val="Subtitle"/>
            </w:pPr>
            <w:r w:rsidRPr="005A2C63">
              <w:t>0.</w:t>
            </w:r>
            <w:r>
              <w:t>4</w:t>
            </w:r>
          </w:p>
        </w:tc>
      </w:tr>
      <w:tr w:rsidR="005B36AA" w:rsidRPr="003D5549" w14:paraId="5E527759" w14:textId="77777777" w:rsidTr="005B36AA">
        <w:trPr>
          <w:trHeight w:val="227"/>
        </w:trPr>
        <w:tc>
          <w:tcPr>
            <w:tcW w:w="6009" w:type="dxa"/>
            <w:vAlign w:val="bottom"/>
          </w:tcPr>
          <w:p w14:paraId="6B4F9A27"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Lease liabilities</w:t>
            </w:r>
          </w:p>
        </w:tc>
        <w:tc>
          <w:tcPr>
            <w:tcW w:w="680" w:type="dxa"/>
          </w:tcPr>
          <w:p w14:paraId="67D9BD1B" w14:textId="77777777" w:rsidR="005B36AA" w:rsidRPr="003D5549" w:rsidRDefault="005B36AA" w:rsidP="005B36AA">
            <w:pPr>
              <w:pStyle w:val="Subtitle"/>
              <w:jc w:val="center"/>
              <w:rPr>
                <w:b w:val="0"/>
              </w:rPr>
            </w:pPr>
          </w:p>
        </w:tc>
        <w:tc>
          <w:tcPr>
            <w:tcW w:w="1172" w:type="dxa"/>
            <w:vAlign w:val="bottom"/>
          </w:tcPr>
          <w:p w14:paraId="2738A73A" w14:textId="77777777" w:rsidR="005B36AA" w:rsidRPr="003D5549" w:rsidRDefault="005B36AA" w:rsidP="005B36AA">
            <w:pPr>
              <w:pStyle w:val="Subtitle"/>
            </w:pPr>
            <w:r>
              <w:t>0.7</w:t>
            </w:r>
          </w:p>
        </w:tc>
        <w:tc>
          <w:tcPr>
            <w:tcW w:w="1172" w:type="dxa"/>
            <w:vAlign w:val="bottom"/>
          </w:tcPr>
          <w:p w14:paraId="43741D8F" w14:textId="77777777" w:rsidR="005B36AA" w:rsidRPr="005A2C63" w:rsidRDefault="005B36AA" w:rsidP="005B36AA">
            <w:pPr>
              <w:pStyle w:val="Subtitle"/>
            </w:pPr>
            <w:r w:rsidRPr="005A2C63">
              <w:t>–</w:t>
            </w:r>
          </w:p>
        </w:tc>
        <w:tc>
          <w:tcPr>
            <w:tcW w:w="1172" w:type="dxa"/>
            <w:vAlign w:val="bottom"/>
          </w:tcPr>
          <w:p w14:paraId="589EC759" w14:textId="77777777" w:rsidR="005B36AA" w:rsidRPr="005A2C63" w:rsidRDefault="005B36AA" w:rsidP="005B36AA">
            <w:pPr>
              <w:pStyle w:val="Subtitle"/>
              <w:rPr>
                <w:bCs/>
              </w:rPr>
            </w:pPr>
            <w:r w:rsidRPr="005A2C63">
              <w:rPr>
                <w:bCs/>
              </w:rPr>
              <w:t>0.7</w:t>
            </w:r>
          </w:p>
        </w:tc>
      </w:tr>
      <w:tr w:rsidR="005B36AA" w:rsidRPr="003D5549" w14:paraId="6EAE87AA" w14:textId="77777777" w:rsidTr="005B36AA">
        <w:trPr>
          <w:trHeight w:val="227"/>
        </w:trPr>
        <w:tc>
          <w:tcPr>
            <w:tcW w:w="6009" w:type="dxa"/>
            <w:tcBorders>
              <w:top w:val="single" w:sz="4" w:space="0" w:color="auto"/>
              <w:bottom w:val="single" w:sz="8" w:space="0" w:color="auto"/>
            </w:tcBorders>
            <w:vAlign w:val="bottom"/>
          </w:tcPr>
          <w:p w14:paraId="1CB97F41" w14:textId="4F142678" w:rsidR="005B36AA" w:rsidRPr="003D5549" w:rsidRDefault="00BD6BE2" w:rsidP="00660EC8">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Total l</w:t>
            </w:r>
            <w:r w:rsidR="005B36AA">
              <w:rPr>
                <w:rFonts w:asciiTheme="minorHAnsi" w:eastAsiaTheme="minorHAnsi" w:hAnsiTheme="minorHAnsi" w:cstheme="minorBidi"/>
                <w:b/>
                <w:sz w:val="18"/>
                <w:szCs w:val="18"/>
                <w:lang w:eastAsia="en-US" w:bidi="ar-SA"/>
              </w:rPr>
              <w:t>iabilities held for sale</w:t>
            </w:r>
          </w:p>
        </w:tc>
        <w:tc>
          <w:tcPr>
            <w:tcW w:w="680" w:type="dxa"/>
            <w:tcBorders>
              <w:top w:val="single" w:sz="4" w:space="0" w:color="auto"/>
              <w:bottom w:val="single" w:sz="8" w:space="0" w:color="auto"/>
            </w:tcBorders>
          </w:tcPr>
          <w:p w14:paraId="1353A600" w14:textId="77777777" w:rsidR="005B36AA" w:rsidRPr="003D5549" w:rsidRDefault="005B36AA" w:rsidP="005B36AA">
            <w:pPr>
              <w:pStyle w:val="Subtitle"/>
              <w:jc w:val="center"/>
              <w:rPr>
                <w:b w:val="0"/>
              </w:rPr>
            </w:pPr>
          </w:p>
        </w:tc>
        <w:tc>
          <w:tcPr>
            <w:tcW w:w="1172" w:type="dxa"/>
            <w:tcBorders>
              <w:top w:val="single" w:sz="4" w:space="0" w:color="auto"/>
              <w:bottom w:val="single" w:sz="8" w:space="0" w:color="auto"/>
            </w:tcBorders>
            <w:vAlign w:val="bottom"/>
          </w:tcPr>
          <w:p w14:paraId="0B14091F" w14:textId="77777777" w:rsidR="005B36AA" w:rsidRPr="003D5549" w:rsidRDefault="005B36AA" w:rsidP="005B36AA">
            <w:pPr>
              <w:pStyle w:val="Subtitle"/>
            </w:pPr>
            <w:r>
              <w:t>1.7</w:t>
            </w:r>
          </w:p>
        </w:tc>
        <w:tc>
          <w:tcPr>
            <w:tcW w:w="1172" w:type="dxa"/>
            <w:tcBorders>
              <w:top w:val="single" w:sz="4" w:space="0" w:color="auto"/>
              <w:bottom w:val="single" w:sz="8" w:space="0" w:color="auto"/>
            </w:tcBorders>
            <w:vAlign w:val="bottom"/>
          </w:tcPr>
          <w:p w14:paraId="1AAEA9CE" w14:textId="77777777" w:rsidR="005B36AA" w:rsidRPr="005A2C63" w:rsidRDefault="005B36AA" w:rsidP="005B36AA">
            <w:pPr>
              <w:pStyle w:val="Subtitle"/>
            </w:pPr>
            <w:r w:rsidRPr="005A2C63">
              <w:t>–</w:t>
            </w:r>
          </w:p>
        </w:tc>
        <w:tc>
          <w:tcPr>
            <w:tcW w:w="1172" w:type="dxa"/>
            <w:tcBorders>
              <w:top w:val="single" w:sz="4" w:space="0" w:color="auto"/>
              <w:bottom w:val="single" w:sz="8" w:space="0" w:color="auto"/>
            </w:tcBorders>
            <w:vAlign w:val="bottom"/>
          </w:tcPr>
          <w:p w14:paraId="39B4F883" w14:textId="77777777" w:rsidR="005B36AA" w:rsidRPr="005A2C63" w:rsidRDefault="005B36AA" w:rsidP="005B36AA">
            <w:pPr>
              <w:pStyle w:val="Subtitle"/>
            </w:pPr>
            <w:r w:rsidRPr="005A2C63">
              <w:t>1.</w:t>
            </w:r>
            <w:r>
              <w:t>7</w:t>
            </w:r>
          </w:p>
        </w:tc>
      </w:tr>
      <w:tr w:rsidR="005B36AA" w:rsidRPr="003D5549" w14:paraId="23A1937C" w14:textId="77777777" w:rsidTr="005B36AA">
        <w:trPr>
          <w:trHeight w:val="227"/>
        </w:trPr>
        <w:tc>
          <w:tcPr>
            <w:tcW w:w="10205" w:type="dxa"/>
            <w:gridSpan w:val="5"/>
            <w:tcBorders>
              <w:top w:val="single" w:sz="8" w:space="0" w:color="auto"/>
            </w:tcBorders>
          </w:tcPr>
          <w:p w14:paraId="389768F0" w14:textId="77777777" w:rsidR="005B36AA" w:rsidRPr="003D5549" w:rsidRDefault="005B36AA" w:rsidP="005B36AA">
            <w:pPr>
              <w:rPr>
                <w:rFonts w:asciiTheme="minorHAnsi" w:eastAsiaTheme="minorHAnsi" w:hAnsiTheme="minorHAnsi" w:cstheme="minorBidi"/>
                <w:sz w:val="18"/>
                <w:szCs w:val="18"/>
                <w:lang w:eastAsia="en-US" w:bidi="ar-SA"/>
              </w:rPr>
            </w:pPr>
          </w:p>
        </w:tc>
      </w:tr>
    </w:tbl>
    <w:p w14:paraId="08A3BCCA" w14:textId="77777777" w:rsidR="005B36AA" w:rsidRPr="00D13EF1" w:rsidRDefault="005B36AA" w:rsidP="005B36AA">
      <w:pPr>
        <w:spacing w:before="160" w:after="120"/>
        <w:rPr>
          <w:b/>
          <w:sz w:val="18"/>
          <w:szCs w:val="18"/>
        </w:rPr>
      </w:pPr>
      <w:r w:rsidRPr="00D13EF1">
        <w:rPr>
          <w:b/>
          <w:sz w:val="18"/>
          <w:szCs w:val="18"/>
        </w:rPr>
        <w:t>Greencore’s US Business</w:t>
      </w:r>
    </w:p>
    <w:p w14:paraId="0C8E4277" w14:textId="5314A18F" w:rsidR="005B36AA" w:rsidRDefault="005B36AA" w:rsidP="005B36AA">
      <w:pPr>
        <w:spacing w:after="120"/>
        <w:jc w:val="both"/>
        <w:rPr>
          <w:sz w:val="18"/>
          <w:szCs w:val="18"/>
        </w:rPr>
      </w:pPr>
      <w:r>
        <w:rPr>
          <w:sz w:val="18"/>
          <w:szCs w:val="18"/>
        </w:rPr>
        <w:t>In the prior year, the Group completed, on 25 November 2018, the disposal of its US business to Hearthside Food Solutions LLC. In the year ended 27 September 2019, a profit of £</w:t>
      </w:r>
      <w:r w:rsidR="0045357C">
        <w:rPr>
          <w:sz w:val="18"/>
          <w:szCs w:val="18"/>
        </w:rPr>
        <w:t>64.8</w:t>
      </w:r>
      <w:r>
        <w:rPr>
          <w:sz w:val="18"/>
          <w:szCs w:val="18"/>
        </w:rPr>
        <w:t>m was recognised with a net cash inflow arising on the disposal of £810.9m.</w:t>
      </w:r>
    </w:p>
    <w:p w14:paraId="489881BB" w14:textId="77777777" w:rsidR="005B36AA" w:rsidRPr="001D4796" w:rsidRDefault="005B36AA" w:rsidP="005B36AA">
      <w:pPr>
        <w:pStyle w:val="SectionH3"/>
      </w:pPr>
      <w:r w:rsidRPr="001D4796">
        <w:t>Hull</w:t>
      </w:r>
    </w:p>
    <w:p w14:paraId="1DB5CD1C" w14:textId="23A27AC3" w:rsidR="005B36AA" w:rsidRDefault="005B36AA" w:rsidP="005B36AA">
      <w:pPr>
        <w:spacing w:after="120"/>
        <w:jc w:val="both"/>
        <w:rPr>
          <w:sz w:val="18"/>
          <w:szCs w:val="18"/>
        </w:rPr>
      </w:pPr>
      <w:r>
        <w:rPr>
          <w:sz w:val="18"/>
          <w:szCs w:val="18"/>
        </w:rPr>
        <w:t>In the prior year, the Group received £1</w:t>
      </w:r>
      <w:r w:rsidR="00BD6BE2">
        <w:rPr>
          <w:sz w:val="18"/>
          <w:szCs w:val="18"/>
        </w:rPr>
        <w:t>.0</w:t>
      </w:r>
      <w:r>
        <w:rPr>
          <w:sz w:val="18"/>
          <w:szCs w:val="18"/>
        </w:rPr>
        <w:t xml:space="preserve">m of deferred cash consideration from the disposal of </w:t>
      </w:r>
      <w:r w:rsidRPr="002F4459">
        <w:rPr>
          <w:sz w:val="18"/>
          <w:szCs w:val="18"/>
        </w:rPr>
        <w:t>its Cakes and Desserts business at Hull (</w:t>
      </w:r>
      <w:r w:rsidR="00BD6BE2">
        <w:rPr>
          <w:sz w:val="18"/>
          <w:szCs w:val="18"/>
        </w:rPr>
        <w:t>‘</w:t>
      </w:r>
      <w:r w:rsidRPr="002F4459">
        <w:rPr>
          <w:sz w:val="18"/>
          <w:szCs w:val="18"/>
        </w:rPr>
        <w:t>Hull</w:t>
      </w:r>
      <w:r w:rsidR="00BD6BE2">
        <w:rPr>
          <w:sz w:val="18"/>
          <w:szCs w:val="18"/>
        </w:rPr>
        <w:t>’</w:t>
      </w:r>
      <w:r w:rsidRPr="002F4459">
        <w:rPr>
          <w:sz w:val="18"/>
          <w:szCs w:val="18"/>
        </w:rPr>
        <w:t xml:space="preserve">) to Bright Blue Foods Limited </w:t>
      </w:r>
      <w:r>
        <w:rPr>
          <w:sz w:val="18"/>
          <w:szCs w:val="18"/>
        </w:rPr>
        <w:t>in February 2018.</w:t>
      </w:r>
    </w:p>
    <w:p w14:paraId="0FF3A9C0" w14:textId="77777777" w:rsidR="00A4402D" w:rsidRDefault="00A4402D" w:rsidP="005B36AA">
      <w:pPr>
        <w:pStyle w:val="Heading2"/>
        <w:numPr>
          <w:ilvl w:val="0"/>
          <w:numId w:val="0"/>
        </w:numPr>
        <w:ind w:left="567"/>
      </w:pPr>
    </w:p>
    <w:p w14:paraId="11C3DBC2" w14:textId="77777777" w:rsidR="005B36AA" w:rsidRDefault="005B36AA" w:rsidP="0094550B">
      <w:pPr>
        <w:pStyle w:val="Heading2"/>
        <w:numPr>
          <w:ilvl w:val="0"/>
          <w:numId w:val="50"/>
        </w:numPr>
      </w:pPr>
      <w:r>
        <w:t>Acquisition of undertakings</w:t>
      </w:r>
    </w:p>
    <w:p w14:paraId="21D24D03" w14:textId="77777777" w:rsidR="005B36AA" w:rsidRDefault="005B36AA" w:rsidP="005B36AA">
      <w:pPr>
        <w:pStyle w:val="Heading2"/>
        <w:numPr>
          <w:ilvl w:val="0"/>
          <w:numId w:val="0"/>
        </w:numPr>
      </w:pPr>
    </w:p>
    <w:p w14:paraId="1BE13406" w14:textId="77777777" w:rsidR="005B36AA" w:rsidRPr="00D13EF1" w:rsidRDefault="005B36AA" w:rsidP="005B36AA">
      <w:pPr>
        <w:pStyle w:val="SectionH3"/>
      </w:pPr>
      <w:proofErr w:type="spellStart"/>
      <w:r w:rsidRPr="00D13EF1">
        <w:t>Freshtime</w:t>
      </w:r>
      <w:proofErr w:type="spellEnd"/>
      <w:r w:rsidRPr="00D13EF1">
        <w:t xml:space="preserve"> UK Limited</w:t>
      </w:r>
    </w:p>
    <w:p w14:paraId="29958C0B" w14:textId="2B4C4FB3" w:rsidR="005B36AA" w:rsidRDefault="005B36AA" w:rsidP="005B36AA">
      <w:pPr>
        <w:pStyle w:val="Paragraph"/>
        <w:spacing w:before="0" w:after="120"/>
        <w:jc w:val="both"/>
      </w:pPr>
      <w:r w:rsidRPr="005D0EFF">
        <w:t xml:space="preserve">On 3 September 2019, the Group acquired 100% of </w:t>
      </w:r>
      <w:proofErr w:type="spellStart"/>
      <w:r w:rsidRPr="005D0EFF">
        <w:t>Freshtime</w:t>
      </w:r>
      <w:proofErr w:type="spellEnd"/>
      <w:r w:rsidRPr="005D0EFF">
        <w:t xml:space="preserve"> UK Limited (‘</w:t>
      </w:r>
      <w:proofErr w:type="spellStart"/>
      <w:r w:rsidRPr="005D0EFF">
        <w:t>Freshtime</w:t>
      </w:r>
      <w:proofErr w:type="spellEnd"/>
      <w:r w:rsidRPr="005D0EFF">
        <w:t>’)</w:t>
      </w:r>
      <w:r>
        <w:t xml:space="preserve"> for £56.2m</w:t>
      </w:r>
      <w:r w:rsidRPr="005D0EFF">
        <w:t xml:space="preserve">. </w:t>
      </w:r>
      <w:proofErr w:type="spellStart"/>
      <w:r w:rsidRPr="005D0EFF">
        <w:t>Freshtime</w:t>
      </w:r>
      <w:proofErr w:type="spellEnd"/>
      <w:r w:rsidRPr="005D0EFF">
        <w:t xml:space="preserve"> </w:t>
      </w:r>
      <w:r>
        <w:t>was</w:t>
      </w:r>
      <w:r w:rsidRPr="005D0EFF">
        <w:t xml:space="preserve"> a well</w:t>
      </w:r>
      <w:r w:rsidR="00BD6BE2">
        <w:t>-</w:t>
      </w:r>
      <w:r w:rsidRPr="005D0EFF">
        <w:t>established supplier of meal salads, chilled snacking and prepared produce in the UK</w:t>
      </w:r>
      <w:r>
        <w:t xml:space="preserve">, </w:t>
      </w:r>
      <w:r w:rsidRPr="005D0EFF">
        <w:t>operat</w:t>
      </w:r>
      <w:r>
        <w:t>ing</w:t>
      </w:r>
      <w:r w:rsidRPr="005D0EFF">
        <w:t xml:space="preserve"> from a single facility in Boston, Lincolnshire</w:t>
      </w:r>
      <w:r>
        <w:t xml:space="preserve">. </w:t>
      </w:r>
      <w:r w:rsidRPr="005D0EFF">
        <w:t>The fair value of the assets acquired, determined in accordance with IFRS</w:t>
      </w:r>
      <w:r>
        <w:t xml:space="preserve"> have now been finalised and are presented in the table below. </w:t>
      </w:r>
      <w:proofErr w:type="gramStart"/>
      <w:r>
        <w:t>In particular, provisional</w:t>
      </w:r>
      <w:proofErr w:type="gramEnd"/>
      <w:r>
        <w:t xml:space="preserve"> values relating to property, plant and equipment have been revised to reflect an external property valuation resulting in a £1.2m reduction to the net assets as reported on 27 September 2019. Deferred tax on fair value adjustments has also been finalised.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6"/>
      </w:tblGrid>
      <w:tr w:rsidR="005B36AA" w:rsidRPr="005C7C70" w14:paraId="5AF816D0" w14:textId="77777777" w:rsidTr="005B36AA">
        <w:trPr>
          <w:jc w:val="center"/>
        </w:trPr>
        <w:tc>
          <w:tcPr>
            <w:tcW w:w="8505" w:type="dxa"/>
            <w:vAlign w:val="bottom"/>
          </w:tcPr>
          <w:p w14:paraId="692A4EDF" w14:textId="77777777" w:rsidR="005B36AA" w:rsidRPr="007870E8" w:rsidRDefault="005B36AA" w:rsidP="005B36AA">
            <w:pPr>
              <w:pStyle w:val="T2"/>
              <w:jc w:val="left"/>
            </w:pPr>
          </w:p>
        </w:tc>
        <w:tc>
          <w:tcPr>
            <w:tcW w:w="1276" w:type="dxa"/>
            <w:vAlign w:val="bottom"/>
          </w:tcPr>
          <w:p w14:paraId="1720A8CA" w14:textId="77777777" w:rsidR="005B36AA" w:rsidRPr="005771B0" w:rsidRDefault="005B36AA" w:rsidP="005B36AA">
            <w:pPr>
              <w:pStyle w:val="T2"/>
              <w:rPr>
                <w:b/>
              </w:rPr>
            </w:pPr>
            <w:r w:rsidRPr="005771B0">
              <w:rPr>
                <w:b/>
              </w:rPr>
              <w:t xml:space="preserve"> September 2019</w:t>
            </w:r>
          </w:p>
        </w:tc>
      </w:tr>
      <w:tr w:rsidR="005B36AA" w:rsidRPr="005C7C70" w14:paraId="295CEB76" w14:textId="77777777" w:rsidTr="005B36AA">
        <w:trPr>
          <w:jc w:val="center"/>
        </w:trPr>
        <w:tc>
          <w:tcPr>
            <w:tcW w:w="8505" w:type="dxa"/>
            <w:tcBorders>
              <w:bottom w:val="single" w:sz="2" w:space="0" w:color="auto"/>
            </w:tcBorders>
            <w:vAlign w:val="bottom"/>
          </w:tcPr>
          <w:p w14:paraId="7A9003B3" w14:textId="77777777" w:rsidR="005B36AA" w:rsidRPr="007870E8" w:rsidRDefault="005B36AA" w:rsidP="005B36AA">
            <w:pPr>
              <w:pStyle w:val="T2"/>
              <w:jc w:val="left"/>
            </w:pPr>
          </w:p>
        </w:tc>
        <w:tc>
          <w:tcPr>
            <w:tcW w:w="1276" w:type="dxa"/>
            <w:tcBorders>
              <w:bottom w:val="single" w:sz="2" w:space="0" w:color="auto"/>
            </w:tcBorders>
            <w:vAlign w:val="bottom"/>
          </w:tcPr>
          <w:p w14:paraId="01EAD794" w14:textId="77777777" w:rsidR="005B36AA" w:rsidRPr="005771B0" w:rsidRDefault="005B36AA" w:rsidP="005B36AA">
            <w:pPr>
              <w:pStyle w:val="T2"/>
              <w:rPr>
                <w:b/>
              </w:rPr>
            </w:pPr>
            <w:r w:rsidRPr="005771B0">
              <w:rPr>
                <w:b/>
              </w:rPr>
              <w:t>£m</w:t>
            </w:r>
          </w:p>
        </w:tc>
      </w:tr>
      <w:tr w:rsidR="005B36AA" w:rsidRPr="006215CC" w14:paraId="39D4E3B0" w14:textId="77777777" w:rsidTr="005B36AA">
        <w:trPr>
          <w:jc w:val="center"/>
        </w:trPr>
        <w:tc>
          <w:tcPr>
            <w:tcW w:w="8505" w:type="dxa"/>
            <w:tcBorders>
              <w:top w:val="single" w:sz="2" w:space="0" w:color="auto"/>
            </w:tcBorders>
            <w:vAlign w:val="bottom"/>
          </w:tcPr>
          <w:p w14:paraId="6CC1C52A" w14:textId="77777777" w:rsidR="005B36AA" w:rsidRPr="007870E8" w:rsidRDefault="005B36AA" w:rsidP="005B36AA">
            <w:pPr>
              <w:pStyle w:val="T2"/>
              <w:jc w:val="left"/>
              <w:rPr>
                <w:b/>
              </w:rPr>
            </w:pPr>
            <w:r w:rsidRPr="007870E8">
              <w:rPr>
                <w:b/>
              </w:rPr>
              <w:t>Assets</w:t>
            </w:r>
          </w:p>
        </w:tc>
        <w:tc>
          <w:tcPr>
            <w:tcW w:w="1276" w:type="dxa"/>
            <w:tcBorders>
              <w:top w:val="single" w:sz="2" w:space="0" w:color="auto"/>
            </w:tcBorders>
            <w:vAlign w:val="bottom"/>
          </w:tcPr>
          <w:p w14:paraId="60B5CF0C" w14:textId="77777777" w:rsidR="005B36AA" w:rsidRPr="005A2C63" w:rsidRDefault="005B36AA" w:rsidP="005B36AA">
            <w:pPr>
              <w:pStyle w:val="T2"/>
            </w:pPr>
          </w:p>
        </w:tc>
      </w:tr>
      <w:tr w:rsidR="005B36AA" w:rsidRPr="006215CC" w14:paraId="77CA2DFB" w14:textId="77777777" w:rsidTr="005B36AA">
        <w:trPr>
          <w:jc w:val="center"/>
        </w:trPr>
        <w:tc>
          <w:tcPr>
            <w:tcW w:w="8505" w:type="dxa"/>
            <w:vAlign w:val="bottom"/>
          </w:tcPr>
          <w:p w14:paraId="372FB918" w14:textId="77777777" w:rsidR="005B36AA" w:rsidRPr="007870E8" w:rsidRDefault="005B36AA" w:rsidP="005B36AA">
            <w:pPr>
              <w:pStyle w:val="T2"/>
              <w:jc w:val="left"/>
            </w:pPr>
            <w:r w:rsidRPr="007870E8">
              <w:t>Intangible assets</w:t>
            </w:r>
          </w:p>
        </w:tc>
        <w:tc>
          <w:tcPr>
            <w:tcW w:w="1276" w:type="dxa"/>
          </w:tcPr>
          <w:p w14:paraId="3CDCA59C" w14:textId="77777777" w:rsidR="005B36AA" w:rsidRPr="005A2C63" w:rsidRDefault="005B36AA" w:rsidP="005B36AA">
            <w:pPr>
              <w:pStyle w:val="T2"/>
            </w:pPr>
            <w:r w:rsidRPr="005A2C63">
              <w:t>17.5</w:t>
            </w:r>
          </w:p>
        </w:tc>
      </w:tr>
      <w:tr w:rsidR="005B36AA" w:rsidRPr="006215CC" w14:paraId="0CF0A3B9" w14:textId="77777777" w:rsidTr="005B36AA">
        <w:trPr>
          <w:jc w:val="center"/>
        </w:trPr>
        <w:tc>
          <w:tcPr>
            <w:tcW w:w="8505" w:type="dxa"/>
            <w:vAlign w:val="bottom"/>
          </w:tcPr>
          <w:p w14:paraId="2252EDFF" w14:textId="77777777" w:rsidR="005B36AA" w:rsidRPr="007870E8" w:rsidRDefault="005B36AA" w:rsidP="005B36AA">
            <w:pPr>
              <w:pStyle w:val="T2"/>
              <w:jc w:val="left"/>
            </w:pPr>
            <w:r w:rsidRPr="007870E8">
              <w:t xml:space="preserve">Property, </w:t>
            </w:r>
            <w:proofErr w:type="gramStart"/>
            <w:r w:rsidRPr="007870E8">
              <w:t>plant</w:t>
            </w:r>
            <w:proofErr w:type="gramEnd"/>
            <w:r w:rsidRPr="007870E8">
              <w:t xml:space="preserve"> and equipment</w:t>
            </w:r>
          </w:p>
        </w:tc>
        <w:tc>
          <w:tcPr>
            <w:tcW w:w="1276" w:type="dxa"/>
          </w:tcPr>
          <w:p w14:paraId="62811432" w14:textId="77777777" w:rsidR="005B36AA" w:rsidRPr="005A2C63" w:rsidRDefault="005B36AA" w:rsidP="005B36AA">
            <w:pPr>
              <w:pStyle w:val="T2"/>
            </w:pPr>
            <w:r w:rsidRPr="005A2C63">
              <w:rPr>
                <w:bCs/>
              </w:rPr>
              <w:t>4.1</w:t>
            </w:r>
          </w:p>
        </w:tc>
      </w:tr>
      <w:tr w:rsidR="005B36AA" w:rsidRPr="006215CC" w14:paraId="05485482" w14:textId="77777777" w:rsidTr="005B36AA">
        <w:trPr>
          <w:jc w:val="center"/>
        </w:trPr>
        <w:tc>
          <w:tcPr>
            <w:tcW w:w="8505" w:type="dxa"/>
            <w:vAlign w:val="bottom"/>
          </w:tcPr>
          <w:p w14:paraId="06C5B6B8" w14:textId="299A5D19" w:rsidR="005B36AA" w:rsidRPr="007870E8" w:rsidRDefault="005B36AA" w:rsidP="005B36AA">
            <w:pPr>
              <w:pStyle w:val="T2"/>
              <w:jc w:val="left"/>
            </w:pPr>
            <w:r w:rsidRPr="007870E8">
              <w:t>Inventor</w:t>
            </w:r>
            <w:r w:rsidR="0045357C">
              <w:t>ies</w:t>
            </w:r>
          </w:p>
        </w:tc>
        <w:tc>
          <w:tcPr>
            <w:tcW w:w="1276" w:type="dxa"/>
          </w:tcPr>
          <w:p w14:paraId="69FF6165" w14:textId="77777777" w:rsidR="005B36AA" w:rsidRPr="005A2C63" w:rsidRDefault="005B36AA" w:rsidP="005B36AA">
            <w:pPr>
              <w:pStyle w:val="T2"/>
            </w:pPr>
            <w:r w:rsidRPr="005A2C63">
              <w:rPr>
                <w:bCs/>
              </w:rPr>
              <w:t>1.2</w:t>
            </w:r>
          </w:p>
        </w:tc>
      </w:tr>
      <w:tr w:rsidR="005B36AA" w:rsidRPr="00DB5C52" w14:paraId="4BF16440" w14:textId="77777777" w:rsidTr="005B36AA">
        <w:trPr>
          <w:jc w:val="center"/>
        </w:trPr>
        <w:tc>
          <w:tcPr>
            <w:tcW w:w="8505" w:type="dxa"/>
            <w:vAlign w:val="bottom"/>
          </w:tcPr>
          <w:p w14:paraId="42DEB985" w14:textId="77777777" w:rsidR="005B36AA" w:rsidRPr="007870E8" w:rsidRDefault="005B36AA" w:rsidP="005B36AA">
            <w:pPr>
              <w:pStyle w:val="T2"/>
              <w:jc w:val="left"/>
            </w:pPr>
            <w:r w:rsidRPr="007870E8">
              <w:t>Current tax receivable</w:t>
            </w:r>
          </w:p>
        </w:tc>
        <w:tc>
          <w:tcPr>
            <w:tcW w:w="1276" w:type="dxa"/>
          </w:tcPr>
          <w:p w14:paraId="7580094A" w14:textId="77777777" w:rsidR="005B36AA" w:rsidRPr="005A2C63" w:rsidRDefault="005B36AA" w:rsidP="005B36AA">
            <w:pPr>
              <w:pStyle w:val="T2"/>
            </w:pPr>
            <w:r w:rsidRPr="005A2C63">
              <w:t>0.5</w:t>
            </w:r>
          </w:p>
        </w:tc>
      </w:tr>
      <w:tr w:rsidR="005B36AA" w:rsidRPr="006215CC" w14:paraId="37755E22" w14:textId="77777777" w:rsidTr="005B36AA">
        <w:trPr>
          <w:jc w:val="center"/>
        </w:trPr>
        <w:tc>
          <w:tcPr>
            <w:tcW w:w="8505" w:type="dxa"/>
            <w:tcBorders>
              <w:bottom w:val="single" w:sz="4" w:space="0" w:color="auto"/>
            </w:tcBorders>
            <w:vAlign w:val="bottom"/>
          </w:tcPr>
          <w:p w14:paraId="069FDB92" w14:textId="77777777" w:rsidR="005B36AA" w:rsidRPr="007870E8" w:rsidRDefault="005B36AA" w:rsidP="005B36AA">
            <w:pPr>
              <w:pStyle w:val="T2"/>
              <w:jc w:val="left"/>
            </w:pPr>
            <w:r w:rsidRPr="007870E8">
              <w:lastRenderedPageBreak/>
              <w:t>Trade and other receivables</w:t>
            </w:r>
          </w:p>
        </w:tc>
        <w:tc>
          <w:tcPr>
            <w:tcW w:w="1276" w:type="dxa"/>
            <w:tcBorders>
              <w:bottom w:val="single" w:sz="4" w:space="0" w:color="auto"/>
            </w:tcBorders>
          </w:tcPr>
          <w:p w14:paraId="3DB72E3B" w14:textId="77777777" w:rsidR="005B36AA" w:rsidRPr="005A2C63" w:rsidRDefault="005B36AA" w:rsidP="005B36AA">
            <w:pPr>
              <w:pStyle w:val="T2"/>
            </w:pPr>
            <w:r w:rsidRPr="005A2C63">
              <w:rPr>
                <w:bCs/>
              </w:rPr>
              <w:t>11.7</w:t>
            </w:r>
          </w:p>
        </w:tc>
      </w:tr>
      <w:tr w:rsidR="005B36AA" w:rsidRPr="006215CC" w14:paraId="787AB73A" w14:textId="77777777" w:rsidTr="005B36AA">
        <w:trPr>
          <w:jc w:val="center"/>
        </w:trPr>
        <w:tc>
          <w:tcPr>
            <w:tcW w:w="8505" w:type="dxa"/>
            <w:tcBorders>
              <w:top w:val="single" w:sz="4" w:space="0" w:color="auto"/>
              <w:bottom w:val="single" w:sz="4" w:space="0" w:color="auto"/>
            </w:tcBorders>
            <w:vAlign w:val="bottom"/>
          </w:tcPr>
          <w:p w14:paraId="2CA909E1" w14:textId="77777777" w:rsidR="005B36AA" w:rsidRPr="007870E8" w:rsidRDefault="005B36AA" w:rsidP="005B36AA">
            <w:pPr>
              <w:pStyle w:val="T2"/>
              <w:jc w:val="left"/>
              <w:rPr>
                <w:b/>
              </w:rPr>
            </w:pPr>
            <w:r w:rsidRPr="007870E8">
              <w:rPr>
                <w:b/>
              </w:rPr>
              <w:t>Total assets</w:t>
            </w:r>
          </w:p>
        </w:tc>
        <w:tc>
          <w:tcPr>
            <w:tcW w:w="1276" w:type="dxa"/>
            <w:tcBorders>
              <w:top w:val="single" w:sz="4" w:space="0" w:color="auto"/>
              <w:bottom w:val="single" w:sz="4" w:space="0" w:color="auto"/>
            </w:tcBorders>
          </w:tcPr>
          <w:p w14:paraId="6BECDA2C" w14:textId="77777777" w:rsidR="005B36AA" w:rsidRPr="005A2C63" w:rsidRDefault="005B36AA" w:rsidP="005B36AA">
            <w:pPr>
              <w:pStyle w:val="T2"/>
              <w:rPr>
                <w:b/>
              </w:rPr>
            </w:pPr>
            <w:r w:rsidRPr="005A2C63">
              <w:rPr>
                <w:b/>
                <w:bCs/>
              </w:rPr>
              <w:t>35.0</w:t>
            </w:r>
          </w:p>
        </w:tc>
      </w:tr>
      <w:tr w:rsidR="005B36AA" w:rsidRPr="006215CC" w14:paraId="1E3D1EE4" w14:textId="77777777" w:rsidTr="005B36AA">
        <w:trPr>
          <w:jc w:val="center"/>
        </w:trPr>
        <w:tc>
          <w:tcPr>
            <w:tcW w:w="8505" w:type="dxa"/>
            <w:tcBorders>
              <w:top w:val="single" w:sz="4" w:space="0" w:color="auto"/>
            </w:tcBorders>
            <w:vAlign w:val="bottom"/>
          </w:tcPr>
          <w:p w14:paraId="16D425FB" w14:textId="77777777" w:rsidR="005B36AA" w:rsidRPr="007870E8" w:rsidRDefault="005B36AA" w:rsidP="005B36AA">
            <w:pPr>
              <w:pStyle w:val="T2"/>
              <w:jc w:val="left"/>
              <w:rPr>
                <w:b/>
              </w:rPr>
            </w:pPr>
            <w:r w:rsidRPr="007870E8">
              <w:rPr>
                <w:b/>
              </w:rPr>
              <w:t>Liabilities</w:t>
            </w:r>
          </w:p>
        </w:tc>
        <w:tc>
          <w:tcPr>
            <w:tcW w:w="1276" w:type="dxa"/>
            <w:tcBorders>
              <w:top w:val="single" w:sz="4" w:space="0" w:color="auto"/>
            </w:tcBorders>
          </w:tcPr>
          <w:p w14:paraId="63C1D60A" w14:textId="77777777" w:rsidR="005B36AA" w:rsidRPr="005A2C63" w:rsidRDefault="005B36AA" w:rsidP="005B36AA">
            <w:pPr>
              <w:pStyle w:val="T2"/>
            </w:pPr>
          </w:p>
        </w:tc>
      </w:tr>
      <w:tr w:rsidR="005B36AA" w:rsidRPr="006215CC" w14:paraId="72F33D09" w14:textId="77777777" w:rsidTr="005B36AA">
        <w:trPr>
          <w:jc w:val="center"/>
        </w:trPr>
        <w:tc>
          <w:tcPr>
            <w:tcW w:w="8505" w:type="dxa"/>
            <w:vAlign w:val="bottom"/>
          </w:tcPr>
          <w:p w14:paraId="29D6E1D4" w14:textId="77777777" w:rsidR="005B36AA" w:rsidRPr="007870E8" w:rsidRDefault="005B36AA" w:rsidP="005B36AA">
            <w:pPr>
              <w:pStyle w:val="T2"/>
              <w:jc w:val="left"/>
            </w:pPr>
            <w:r w:rsidRPr="007870E8">
              <w:t>Provisions</w:t>
            </w:r>
          </w:p>
        </w:tc>
        <w:tc>
          <w:tcPr>
            <w:tcW w:w="1276" w:type="dxa"/>
          </w:tcPr>
          <w:p w14:paraId="33A2430E" w14:textId="77777777" w:rsidR="005B36AA" w:rsidRPr="005A2C63" w:rsidRDefault="005B36AA" w:rsidP="005B36AA">
            <w:pPr>
              <w:pStyle w:val="T2"/>
            </w:pPr>
            <w:r w:rsidRPr="005A2C63">
              <w:rPr>
                <w:bCs/>
              </w:rPr>
              <w:t>(0.1)</w:t>
            </w:r>
          </w:p>
        </w:tc>
      </w:tr>
      <w:tr w:rsidR="005B36AA" w:rsidRPr="006215CC" w14:paraId="79C5B22B" w14:textId="77777777" w:rsidTr="005B36AA">
        <w:trPr>
          <w:jc w:val="center"/>
        </w:trPr>
        <w:tc>
          <w:tcPr>
            <w:tcW w:w="8505" w:type="dxa"/>
            <w:vAlign w:val="bottom"/>
          </w:tcPr>
          <w:p w14:paraId="78797103" w14:textId="77777777" w:rsidR="005B36AA" w:rsidRPr="007870E8" w:rsidRDefault="005B36AA" w:rsidP="005B36AA">
            <w:pPr>
              <w:pStyle w:val="T2"/>
              <w:jc w:val="left"/>
            </w:pPr>
            <w:r w:rsidRPr="007870E8">
              <w:t>Deferred tax liabilities</w:t>
            </w:r>
          </w:p>
        </w:tc>
        <w:tc>
          <w:tcPr>
            <w:tcW w:w="1276" w:type="dxa"/>
          </w:tcPr>
          <w:p w14:paraId="65F16BE9" w14:textId="77777777" w:rsidR="005B36AA" w:rsidRPr="005A2C63" w:rsidRDefault="005B36AA" w:rsidP="005B36AA">
            <w:pPr>
              <w:pStyle w:val="T2"/>
            </w:pPr>
            <w:r w:rsidRPr="005A2C63">
              <w:t>(3.0)</w:t>
            </w:r>
          </w:p>
        </w:tc>
      </w:tr>
      <w:tr w:rsidR="005B36AA" w:rsidRPr="006215CC" w14:paraId="34697482" w14:textId="77777777" w:rsidTr="005B36AA">
        <w:trPr>
          <w:jc w:val="center"/>
        </w:trPr>
        <w:tc>
          <w:tcPr>
            <w:tcW w:w="8505" w:type="dxa"/>
            <w:vAlign w:val="bottom"/>
          </w:tcPr>
          <w:p w14:paraId="3051045F" w14:textId="77777777" w:rsidR="005B36AA" w:rsidRPr="007870E8" w:rsidRDefault="005B36AA" w:rsidP="005B36AA">
            <w:pPr>
              <w:pStyle w:val="T2"/>
              <w:jc w:val="left"/>
            </w:pPr>
            <w:r w:rsidRPr="007870E8">
              <w:t>Trade and other payables</w:t>
            </w:r>
          </w:p>
        </w:tc>
        <w:tc>
          <w:tcPr>
            <w:tcW w:w="1276" w:type="dxa"/>
          </w:tcPr>
          <w:p w14:paraId="2F2187F4" w14:textId="77777777" w:rsidR="005B36AA" w:rsidRPr="005A2C63" w:rsidRDefault="005B36AA" w:rsidP="005B36AA">
            <w:pPr>
              <w:pStyle w:val="T2"/>
            </w:pPr>
            <w:r w:rsidRPr="005A2C63">
              <w:rPr>
                <w:bCs/>
              </w:rPr>
              <w:t>(14.2)</w:t>
            </w:r>
          </w:p>
        </w:tc>
      </w:tr>
      <w:tr w:rsidR="005B36AA" w:rsidRPr="006215CC" w14:paraId="2D858C5E" w14:textId="77777777" w:rsidTr="005B36AA">
        <w:trPr>
          <w:jc w:val="center"/>
        </w:trPr>
        <w:tc>
          <w:tcPr>
            <w:tcW w:w="8505" w:type="dxa"/>
            <w:tcBorders>
              <w:bottom w:val="single" w:sz="4" w:space="0" w:color="auto"/>
            </w:tcBorders>
            <w:vAlign w:val="bottom"/>
          </w:tcPr>
          <w:p w14:paraId="4CA76309" w14:textId="77777777" w:rsidR="005B36AA" w:rsidRPr="007870E8" w:rsidRDefault="005B36AA" w:rsidP="005B36AA">
            <w:pPr>
              <w:pStyle w:val="T2"/>
              <w:jc w:val="left"/>
            </w:pPr>
            <w:r w:rsidRPr="007870E8">
              <w:t>Current tax payable</w:t>
            </w:r>
          </w:p>
        </w:tc>
        <w:tc>
          <w:tcPr>
            <w:tcW w:w="1276" w:type="dxa"/>
            <w:tcBorders>
              <w:bottom w:val="single" w:sz="4" w:space="0" w:color="auto"/>
            </w:tcBorders>
          </w:tcPr>
          <w:p w14:paraId="4C8F38DE" w14:textId="77777777" w:rsidR="005B36AA" w:rsidRPr="005A2C63" w:rsidRDefault="005B36AA" w:rsidP="005B36AA">
            <w:pPr>
              <w:pStyle w:val="T2"/>
            </w:pPr>
            <w:r w:rsidRPr="005A2C63">
              <w:rPr>
                <w:bCs/>
              </w:rPr>
              <w:t>(1.3)</w:t>
            </w:r>
          </w:p>
        </w:tc>
      </w:tr>
      <w:tr w:rsidR="005B36AA" w:rsidRPr="006215CC" w14:paraId="466CAF53" w14:textId="77777777" w:rsidTr="005B36AA">
        <w:trPr>
          <w:jc w:val="center"/>
        </w:trPr>
        <w:tc>
          <w:tcPr>
            <w:tcW w:w="8505" w:type="dxa"/>
            <w:tcBorders>
              <w:top w:val="single" w:sz="4" w:space="0" w:color="auto"/>
              <w:bottom w:val="single" w:sz="4" w:space="0" w:color="auto"/>
            </w:tcBorders>
            <w:vAlign w:val="bottom"/>
          </w:tcPr>
          <w:p w14:paraId="7766C551" w14:textId="77777777" w:rsidR="005B36AA" w:rsidRPr="007870E8" w:rsidRDefault="005B36AA" w:rsidP="005B36AA">
            <w:pPr>
              <w:pStyle w:val="T2"/>
              <w:jc w:val="left"/>
              <w:rPr>
                <w:b/>
              </w:rPr>
            </w:pPr>
            <w:r w:rsidRPr="007870E8">
              <w:rPr>
                <w:b/>
              </w:rPr>
              <w:t>Total liabilities</w:t>
            </w:r>
          </w:p>
        </w:tc>
        <w:tc>
          <w:tcPr>
            <w:tcW w:w="1276" w:type="dxa"/>
            <w:tcBorders>
              <w:top w:val="single" w:sz="4" w:space="0" w:color="auto"/>
              <w:bottom w:val="single" w:sz="4" w:space="0" w:color="auto"/>
            </w:tcBorders>
          </w:tcPr>
          <w:p w14:paraId="3CACA618" w14:textId="77777777" w:rsidR="005B36AA" w:rsidRPr="005A2C63" w:rsidRDefault="005B36AA" w:rsidP="005B36AA">
            <w:pPr>
              <w:pStyle w:val="T2"/>
              <w:rPr>
                <w:b/>
              </w:rPr>
            </w:pPr>
            <w:r w:rsidRPr="005A2C63">
              <w:rPr>
                <w:b/>
                <w:bCs/>
              </w:rPr>
              <w:t>(18.6)</w:t>
            </w:r>
          </w:p>
        </w:tc>
      </w:tr>
      <w:tr w:rsidR="005B36AA" w:rsidRPr="006215CC" w14:paraId="2009A7C2" w14:textId="77777777" w:rsidTr="005B36AA">
        <w:trPr>
          <w:jc w:val="center"/>
        </w:trPr>
        <w:tc>
          <w:tcPr>
            <w:tcW w:w="8505" w:type="dxa"/>
            <w:tcBorders>
              <w:top w:val="single" w:sz="4" w:space="0" w:color="auto"/>
              <w:bottom w:val="single" w:sz="4" w:space="0" w:color="auto"/>
            </w:tcBorders>
            <w:vAlign w:val="bottom"/>
          </w:tcPr>
          <w:p w14:paraId="528EDD5D" w14:textId="77777777" w:rsidR="005B36AA" w:rsidRPr="007870E8" w:rsidRDefault="005B36AA" w:rsidP="005B36AA">
            <w:pPr>
              <w:pStyle w:val="T2"/>
              <w:jc w:val="left"/>
              <w:rPr>
                <w:b/>
              </w:rPr>
            </w:pPr>
            <w:r w:rsidRPr="007870E8">
              <w:rPr>
                <w:b/>
              </w:rPr>
              <w:t xml:space="preserve">Net assets acquired </w:t>
            </w:r>
          </w:p>
        </w:tc>
        <w:tc>
          <w:tcPr>
            <w:tcW w:w="1276" w:type="dxa"/>
            <w:tcBorders>
              <w:top w:val="single" w:sz="4" w:space="0" w:color="auto"/>
              <w:bottom w:val="single" w:sz="4" w:space="0" w:color="auto"/>
            </w:tcBorders>
          </w:tcPr>
          <w:p w14:paraId="4DCF2D4C" w14:textId="77777777" w:rsidR="005B36AA" w:rsidRPr="005A2C63" w:rsidRDefault="005B36AA" w:rsidP="005B36AA">
            <w:pPr>
              <w:pStyle w:val="T2"/>
              <w:rPr>
                <w:b/>
                <w:bCs/>
              </w:rPr>
            </w:pPr>
            <w:r w:rsidRPr="005A2C63">
              <w:rPr>
                <w:b/>
                <w:bCs/>
              </w:rPr>
              <w:t>16.4</w:t>
            </w:r>
          </w:p>
        </w:tc>
      </w:tr>
      <w:tr w:rsidR="005B36AA" w:rsidRPr="006215CC" w14:paraId="528C62AF" w14:textId="77777777" w:rsidTr="005B36AA">
        <w:trPr>
          <w:jc w:val="center"/>
        </w:trPr>
        <w:tc>
          <w:tcPr>
            <w:tcW w:w="8505" w:type="dxa"/>
            <w:tcBorders>
              <w:top w:val="single" w:sz="4" w:space="0" w:color="auto"/>
              <w:bottom w:val="single" w:sz="4" w:space="0" w:color="auto"/>
            </w:tcBorders>
            <w:vAlign w:val="bottom"/>
          </w:tcPr>
          <w:p w14:paraId="2D758D94" w14:textId="77777777" w:rsidR="005B36AA" w:rsidRPr="007870E8" w:rsidRDefault="005B36AA" w:rsidP="005B36AA">
            <w:pPr>
              <w:pStyle w:val="T2"/>
              <w:jc w:val="left"/>
            </w:pPr>
            <w:r w:rsidRPr="007870E8">
              <w:t>Goodwill</w:t>
            </w:r>
          </w:p>
        </w:tc>
        <w:tc>
          <w:tcPr>
            <w:tcW w:w="1276" w:type="dxa"/>
            <w:tcBorders>
              <w:top w:val="single" w:sz="4" w:space="0" w:color="auto"/>
              <w:bottom w:val="single" w:sz="4" w:space="0" w:color="auto"/>
            </w:tcBorders>
          </w:tcPr>
          <w:p w14:paraId="11C520EA" w14:textId="77777777" w:rsidR="005B36AA" w:rsidRPr="005A2C63" w:rsidRDefault="005B36AA" w:rsidP="005B36AA">
            <w:pPr>
              <w:pStyle w:val="T2"/>
            </w:pPr>
            <w:r w:rsidRPr="005A2C63">
              <w:t>39.8</w:t>
            </w:r>
          </w:p>
        </w:tc>
      </w:tr>
      <w:tr w:rsidR="005B36AA" w:rsidRPr="006215CC" w14:paraId="74788D3A" w14:textId="77777777" w:rsidTr="005771B0">
        <w:trPr>
          <w:jc w:val="center"/>
        </w:trPr>
        <w:tc>
          <w:tcPr>
            <w:tcW w:w="8505" w:type="dxa"/>
            <w:tcBorders>
              <w:top w:val="single" w:sz="4" w:space="0" w:color="auto"/>
              <w:bottom w:val="single" w:sz="4" w:space="0" w:color="auto"/>
            </w:tcBorders>
            <w:vAlign w:val="bottom"/>
          </w:tcPr>
          <w:p w14:paraId="6EB2BDD2" w14:textId="77777777" w:rsidR="005B36AA" w:rsidRPr="007870E8" w:rsidRDefault="005B36AA" w:rsidP="005B36AA">
            <w:pPr>
              <w:pStyle w:val="T2"/>
              <w:jc w:val="left"/>
              <w:rPr>
                <w:b/>
              </w:rPr>
            </w:pPr>
            <w:r w:rsidRPr="007870E8">
              <w:rPr>
                <w:b/>
              </w:rPr>
              <w:t>Total enterprise value</w:t>
            </w:r>
          </w:p>
        </w:tc>
        <w:tc>
          <w:tcPr>
            <w:tcW w:w="1276" w:type="dxa"/>
            <w:tcBorders>
              <w:top w:val="single" w:sz="4" w:space="0" w:color="auto"/>
              <w:bottom w:val="single" w:sz="4" w:space="0" w:color="auto"/>
            </w:tcBorders>
          </w:tcPr>
          <w:p w14:paraId="5A2910DB" w14:textId="77777777" w:rsidR="005B36AA" w:rsidRPr="005A2C63" w:rsidRDefault="005B36AA" w:rsidP="005B36AA">
            <w:pPr>
              <w:pStyle w:val="T2"/>
              <w:rPr>
                <w:b/>
              </w:rPr>
            </w:pPr>
            <w:r w:rsidRPr="005A2C63">
              <w:rPr>
                <w:b/>
                <w:bCs/>
              </w:rPr>
              <w:t>56.2</w:t>
            </w:r>
          </w:p>
        </w:tc>
      </w:tr>
      <w:tr w:rsidR="009C6E5A" w:rsidRPr="006215CC" w14:paraId="1EE81F10" w14:textId="77777777" w:rsidTr="005771B0">
        <w:trPr>
          <w:jc w:val="center"/>
        </w:trPr>
        <w:tc>
          <w:tcPr>
            <w:tcW w:w="8505" w:type="dxa"/>
            <w:tcBorders>
              <w:top w:val="single" w:sz="4" w:space="0" w:color="auto"/>
            </w:tcBorders>
            <w:vAlign w:val="bottom"/>
          </w:tcPr>
          <w:p w14:paraId="35570B83" w14:textId="77777777" w:rsidR="009C6E5A" w:rsidRPr="007870E8" w:rsidRDefault="009C6E5A" w:rsidP="005B36AA">
            <w:pPr>
              <w:pStyle w:val="T2"/>
              <w:jc w:val="left"/>
              <w:rPr>
                <w:b/>
              </w:rPr>
            </w:pPr>
          </w:p>
        </w:tc>
        <w:tc>
          <w:tcPr>
            <w:tcW w:w="1276" w:type="dxa"/>
            <w:tcBorders>
              <w:top w:val="single" w:sz="4" w:space="0" w:color="auto"/>
            </w:tcBorders>
          </w:tcPr>
          <w:p w14:paraId="67616838" w14:textId="77777777" w:rsidR="009C6E5A" w:rsidRPr="005A2C63" w:rsidRDefault="009C6E5A" w:rsidP="005B36AA">
            <w:pPr>
              <w:pStyle w:val="T2"/>
              <w:rPr>
                <w:b/>
                <w:bCs/>
              </w:rPr>
            </w:pPr>
          </w:p>
        </w:tc>
      </w:tr>
    </w:tbl>
    <w:p w14:paraId="4AF3E4DA" w14:textId="77777777" w:rsidR="005B36AA" w:rsidRPr="005771B0" w:rsidRDefault="005B36AA" w:rsidP="0094550B">
      <w:pPr>
        <w:pStyle w:val="Heading2"/>
        <w:numPr>
          <w:ilvl w:val="0"/>
          <w:numId w:val="50"/>
        </w:numPr>
      </w:pPr>
      <w:r w:rsidRPr="005771B0">
        <w:t>Subsequent Events</w:t>
      </w:r>
    </w:p>
    <w:p w14:paraId="099F50CC" w14:textId="77777777" w:rsidR="005B36AA" w:rsidRDefault="005B36AA" w:rsidP="005B36AA">
      <w:pPr>
        <w:pStyle w:val="Heading2"/>
        <w:numPr>
          <w:ilvl w:val="0"/>
          <w:numId w:val="0"/>
        </w:numPr>
        <w:ind w:left="720" w:hanging="720"/>
        <w:rPr>
          <w:highlight w:val="yellow"/>
        </w:rPr>
      </w:pPr>
    </w:p>
    <w:p w14:paraId="4D633D71" w14:textId="5317FB30" w:rsidR="00CE79EE" w:rsidRPr="005771B0" w:rsidRDefault="00382FAC" w:rsidP="005771B0">
      <w:pPr>
        <w:pStyle w:val="Paragraph"/>
        <w:spacing w:before="0" w:after="120"/>
        <w:jc w:val="both"/>
        <w:rPr>
          <w:b/>
        </w:rPr>
      </w:pPr>
      <w:r>
        <w:rPr>
          <w:b/>
        </w:rPr>
        <w:t>Revisions to financing agreements</w:t>
      </w:r>
    </w:p>
    <w:p w14:paraId="412299F8" w14:textId="3308F36F" w:rsidR="0045357C" w:rsidRDefault="0045357C" w:rsidP="005771B0">
      <w:pPr>
        <w:pStyle w:val="Paragraph"/>
        <w:spacing w:before="0" w:after="120"/>
        <w:jc w:val="both"/>
      </w:pPr>
      <w:r w:rsidRPr="00ED51B3">
        <w:t>In November 2020</w:t>
      </w:r>
      <w:r w:rsidR="00BD6BE2">
        <w:t>,</w:t>
      </w:r>
      <w:r w:rsidRPr="00ED51B3">
        <w:t xml:space="preserve"> the Group extended the maturity of its £75m committed bank facility by </w:t>
      </w:r>
      <w:r w:rsidR="00BF3AE6">
        <w:t>two</w:t>
      </w:r>
      <w:r w:rsidRPr="00ED51B3">
        <w:t xml:space="preserve"> year</w:t>
      </w:r>
      <w:r w:rsidR="00BF3AE6">
        <w:t>s</w:t>
      </w:r>
      <w:r w:rsidRPr="00ED51B3">
        <w:t xml:space="preserve"> to March 202</w:t>
      </w:r>
      <w:r w:rsidR="00BF3AE6">
        <w:t>3</w:t>
      </w:r>
      <w:r w:rsidRPr="00ED51B3">
        <w:t xml:space="preserve"> and refinanced its £50m bilateral loan for a new </w:t>
      </w:r>
      <w:proofErr w:type="gramStart"/>
      <w:r w:rsidR="009C6E5A">
        <w:t xml:space="preserve">three </w:t>
      </w:r>
      <w:r w:rsidRPr="00ED51B3">
        <w:t>year</w:t>
      </w:r>
      <w:proofErr w:type="gramEnd"/>
      <w:r w:rsidRPr="00ED51B3">
        <w:t xml:space="preserve"> term maturing in </w:t>
      </w:r>
      <w:r w:rsidR="00BF3AE6">
        <w:t>January 2024</w:t>
      </w:r>
      <w:r w:rsidRPr="00ED51B3">
        <w:t>.</w:t>
      </w:r>
      <w:r w:rsidR="00F20196">
        <w:t xml:space="preserve"> In addition, </w:t>
      </w:r>
      <w:r w:rsidR="00CE79EE">
        <w:t xml:space="preserve">the Group </w:t>
      </w:r>
      <w:r w:rsidRPr="0081071F">
        <w:t>has secured further amendments to its covenant conditions with its bank lendi</w:t>
      </w:r>
      <w:r>
        <w:t xml:space="preserve">ng syndicate and its Private Placement Note holders. The amended covenant </w:t>
      </w:r>
      <w:r w:rsidR="0062583B">
        <w:t>conditions</w:t>
      </w:r>
      <w:r w:rsidR="00CE79EE">
        <w:t xml:space="preserve"> are set out in Note 7. </w:t>
      </w:r>
    </w:p>
    <w:p w14:paraId="165BCBE0" w14:textId="2529C4AE" w:rsidR="00CE79EE" w:rsidRPr="005771B0" w:rsidRDefault="00CE79EE" w:rsidP="005771B0">
      <w:pPr>
        <w:pStyle w:val="Heading2"/>
        <w:numPr>
          <w:ilvl w:val="0"/>
          <w:numId w:val="0"/>
        </w:numPr>
        <w:jc w:val="both"/>
        <w:rPr>
          <w:rFonts w:asciiTheme="minorHAnsi" w:eastAsiaTheme="minorHAnsi" w:hAnsiTheme="minorHAnsi" w:cstheme="minorBidi"/>
          <w:bCs w:val="0"/>
          <w:lang w:eastAsia="en-US" w:bidi="ar-SA"/>
        </w:rPr>
      </w:pPr>
      <w:r w:rsidRPr="005771B0">
        <w:rPr>
          <w:rFonts w:asciiTheme="minorHAnsi" w:eastAsiaTheme="minorHAnsi" w:hAnsiTheme="minorHAnsi" w:cstheme="minorBidi"/>
          <w:bCs w:val="0"/>
          <w:lang w:eastAsia="en-US" w:bidi="ar-SA"/>
        </w:rPr>
        <w:t xml:space="preserve">Equity </w:t>
      </w:r>
      <w:r w:rsidR="00382FAC">
        <w:rPr>
          <w:rFonts w:asciiTheme="minorHAnsi" w:eastAsiaTheme="minorHAnsi" w:hAnsiTheme="minorHAnsi" w:cstheme="minorBidi"/>
          <w:bCs w:val="0"/>
          <w:lang w:eastAsia="en-US" w:bidi="ar-SA"/>
        </w:rPr>
        <w:t>p</w:t>
      </w:r>
      <w:r w:rsidRPr="005771B0">
        <w:rPr>
          <w:rFonts w:asciiTheme="minorHAnsi" w:eastAsiaTheme="minorHAnsi" w:hAnsiTheme="minorHAnsi" w:cstheme="minorBidi"/>
          <w:bCs w:val="0"/>
          <w:lang w:eastAsia="en-US" w:bidi="ar-SA"/>
        </w:rPr>
        <w:t>lacing</w:t>
      </w:r>
    </w:p>
    <w:p w14:paraId="67143BBA" w14:textId="77777777" w:rsidR="00382FAC" w:rsidRDefault="00382FAC" w:rsidP="005771B0">
      <w:pPr>
        <w:widowControl/>
        <w:autoSpaceDE/>
        <w:autoSpaceDN/>
        <w:jc w:val="both"/>
        <w:rPr>
          <w:rFonts w:cs="Arial"/>
          <w:sz w:val="18"/>
          <w:szCs w:val="18"/>
        </w:rPr>
      </w:pPr>
    </w:p>
    <w:p w14:paraId="0441B047" w14:textId="76EDB25A" w:rsidR="00382FAC" w:rsidRDefault="00382FAC" w:rsidP="005771B0">
      <w:pPr>
        <w:widowControl/>
        <w:autoSpaceDE/>
        <w:autoSpaceDN/>
        <w:jc w:val="both"/>
        <w:rPr>
          <w:rFonts w:cs="Arial"/>
          <w:sz w:val="18"/>
          <w:szCs w:val="18"/>
        </w:rPr>
      </w:pPr>
      <w:r>
        <w:rPr>
          <w:rFonts w:cs="Arial"/>
          <w:sz w:val="18"/>
          <w:szCs w:val="18"/>
        </w:rPr>
        <w:t xml:space="preserve">The Group has </w:t>
      </w:r>
      <w:r w:rsidRPr="00F45CD1">
        <w:rPr>
          <w:rFonts w:cs="Arial"/>
          <w:sz w:val="18"/>
          <w:szCs w:val="18"/>
        </w:rPr>
        <w:t>announced today a non-pre-emptive equity placing of new ordinary shares targeting gross proceeds of up to £90m as part of the suite of operational and financing measures</w:t>
      </w:r>
      <w:r>
        <w:rPr>
          <w:rFonts w:cs="Arial"/>
          <w:sz w:val="18"/>
          <w:szCs w:val="18"/>
        </w:rPr>
        <w:t xml:space="preserve"> to protect the business. </w:t>
      </w:r>
    </w:p>
    <w:p w14:paraId="1CD76C1B" w14:textId="77777777" w:rsidR="009C6E5A" w:rsidRDefault="009C6E5A" w:rsidP="005771B0">
      <w:pPr>
        <w:widowControl/>
        <w:autoSpaceDE/>
        <w:autoSpaceDN/>
        <w:jc w:val="both"/>
        <w:rPr>
          <w:rFonts w:cs="Arial"/>
          <w:sz w:val="18"/>
          <w:szCs w:val="18"/>
        </w:rPr>
      </w:pPr>
    </w:p>
    <w:p w14:paraId="034B5A5D" w14:textId="1F0BDF84" w:rsidR="009C6E5A" w:rsidRPr="005771B0" w:rsidRDefault="009C6E5A" w:rsidP="005771B0">
      <w:pPr>
        <w:pStyle w:val="Heading2"/>
        <w:numPr>
          <w:ilvl w:val="0"/>
          <w:numId w:val="0"/>
        </w:numPr>
        <w:jc w:val="both"/>
        <w:rPr>
          <w:rFonts w:asciiTheme="minorHAnsi" w:eastAsiaTheme="minorHAnsi" w:hAnsiTheme="minorHAnsi" w:cstheme="minorBidi"/>
          <w:lang w:eastAsia="en-US" w:bidi="ar-SA"/>
        </w:rPr>
      </w:pPr>
      <w:r w:rsidRPr="005771B0">
        <w:rPr>
          <w:rFonts w:asciiTheme="minorHAnsi" w:eastAsiaTheme="minorHAnsi" w:hAnsiTheme="minorHAnsi" w:cstheme="minorBidi"/>
          <w:bCs w:val="0"/>
          <w:lang w:eastAsia="en-US" w:bidi="ar-SA"/>
        </w:rPr>
        <w:t xml:space="preserve">Pension plan asset </w:t>
      </w:r>
    </w:p>
    <w:p w14:paraId="0DA7FF53" w14:textId="7CD64F0A" w:rsidR="009C6E5A" w:rsidRDefault="009C6E5A" w:rsidP="0094550B">
      <w:pPr>
        <w:pStyle w:val="Heading2"/>
        <w:numPr>
          <w:ilvl w:val="0"/>
          <w:numId w:val="0"/>
        </w:numPr>
        <w:spacing w:before="0" w:after="120"/>
        <w:jc w:val="both"/>
        <w:rPr>
          <w:rFonts w:asciiTheme="minorHAnsi" w:eastAsiaTheme="minorHAnsi" w:hAnsiTheme="minorHAnsi" w:cstheme="minorBidi"/>
          <w:b w:val="0"/>
          <w:bCs w:val="0"/>
          <w:lang w:eastAsia="en-US" w:bidi="ar-SA"/>
        </w:rPr>
      </w:pPr>
      <w:r w:rsidRPr="005771B0">
        <w:rPr>
          <w:rFonts w:asciiTheme="minorHAnsi" w:eastAsiaTheme="minorHAnsi" w:hAnsiTheme="minorHAnsi" w:cstheme="minorBidi"/>
          <w:b w:val="0"/>
          <w:bCs w:val="0"/>
          <w:lang w:eastAsia="en-US" w:bidi="ar-SA"/>
        </w:rPr>
        <w:t>In October 2020, the Trustees of two of the smaller Irish defined benefit pension schemes purchased an insurance policy for the scheme liabilities relating to pension members. The insurance policy is treated as a plan asset and the fair value of the policy is deemed to be the present value of the related obligations.</w:t>
      </w:r>
    </w:p>
    <w:p w14:paraId="238E4DA1" w14:textId="77777777" w:rsidR="0094550B" w:rsidRPr="005771B0" w:rsidRDefault="0094550B" w:rsidP="0094550B">
      <w:pPr>
        <w:pStyle w:val="Heading2"/>
        <w:numPr>
          <w:ilvl w:val="0"/>
          <w:numId w:val="0"/>
        </w:numPr>
        <w:spacing w:before="0" w:after="120"/>
        <w:jc w:val="both"/>
        <w:rPr>
          <w:rFonts w:asciiTheme="minorHAnsi" w:eastAsiaTheme="minorHAnsi" w:hAnsiTheme="minorHAnsi" w:cstheme="minorBidi"/>
          <w:lang w:eastAsia="en-US" w:bidi="ar-SA"/>
        </w:rPr>
      </w:pPr>
    </w:p>
    <w:p w14:paraId="5A4A159D" w14:textId="77777777" w:rsidR="005B36AA" w:rsidRDefault="005B36AA" w:rsidP="0094550B">
      <w:pPr>
        <w:pStyle w:val="Heading2"/>
        <w:numPr>
          <w:ilvl w:val="0"/>
          <w:numId w:val="50"/>
        </w:numPr>
        <w:spacing w:before="0" w:after="120"/>
      </w:pPr>
      <w:r>
        <w:t>Information</w:t>
      </w:r>
    </w:p>
    <w:p w14:paraId="3A0D556A" w14:textId="4FCA11FD" w:rsidR="005B36AA"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Copies of the Yearly Financial Report are available for download from the Group's website at </w:t>
      </w:r>
      <w:hyperlink r:id="rId12">
        <w:r w:rsidRPr="00403EFB">
          <w:rPr>
            <w:rFonts w:asciiTheme="minorHAnsi" w:hAnsiTheme="minorHAnsi" w:cstheme="minorHAnsi"/>
            <w:sz w:val="18"/>
            <w:szCs w:val="18"/>
          </w:rPr>
          <w:t>www.greencore.com.</w:t>
        </w:r>
      </w:hyperlink>
    </w:p>
    <w:p w14:paraId="223503B2" w14:textId="77777777" w:rsidR="003A5BD2" w:rsidRDefault="003A5BD2" w:rsidP="005B36AA">
      <w:pPr>
        <w:widowControl/>
        <w:adjustRightInd w:val="0"/>
        <w:jc w:val="both"/>
        <w:rPr>
          <w:rFonts w:asciiTheme="minorHAnsi" w:hAnsiTheme="minorHAnsi" w:cstheme="minorHAnsi"/>
          <w:sz w:val="18"/>
          <w:szCs w:val="18"/>
        </w:rPr>
      </w:pPr>
    </w:p>
    <w:p w14:paraId="2544EF95" w14:textId="77777777" w:rsidR="0094550B" w:rsidRDefault="0094550B" w:rsidP="003A5BD2">
      <w:pPr>
        <w:spacing w:after="5" w:line="242" w:lineRule="auto"/>
        <w:ind w:right="-567"/>
        <w:jc w:val="both"/>
        <w:rPr>
          <w:b/>
          <w:caps/>
          <w:color w:val="000000"/>
          <w:sz w:val="18"/>
        </w:rPr>
      </w:pPr>
    </w:p>
    <w:p w14:paraId="00B80581" w14:textId="6A7DF3FE" w:rsidR="003A5BD2" w:rsidRPr="00EE38FD" w:rsidRDefault="003A5BD2" w:rsidP="003A5BD2">
      <w:pPr>
        <w:spacing w:after="5" w:line="242" w:lineRule="auto"/>
        <w:ind w:right="-567"/>
        <w:jc w:val="both"/>
        <w:rPr>
          <w:b/>
          <w:caps/>
          <w:color w:val="000000"/>
          <w:sz w:val="18"/>
        </w:rPr>
      </w:pPr>
      <w:r>
        <w:rPr>
          <w:b/>
          <w:caps/>
          <w:color w:val="000000"/>
          <w:sz w:val="18"/>
        </w:rPr>
        <w:t xml:space="preserve">Appendix: </w:t>
      </w:r>
      <w:r w:rsidRPr="00EE38FD">
        <w:rPr>
          <w:b/>
          <w:caps/>
          <w:color w:val="000000"/>
          <w:sz w:val="18"/>
        </w:rPr>
        <w:t>Alternative Performance Measures</w:t>
      </w:r>
    </w:p>
    <w:p w14:paraId="2EB7D91E" w14:textId="77777777" w:rsidR="003A5BD2" w:rsidRDefault="003A5BD2" w:rsidP="003A5BD2">
      <w:pPr>
        <w:spacing w:after="5" w:line="242" w:lineRule="auto"/>
        <w:ind w:right="-567"/>
        <w:jc w:val="both"/>
        <w:rPr>
          <w:b/>
          <w:color w:val="000000"/>
          <w:sz w:val="18"/>
        </w:rPr>
      </w:pPr>
    </w:p>
    <w:p w14:paraId="5E1110AA" w14:textId="77777777" w:rsidR="003A5BD2" w:rsidRDefault="003A5BD2" w:rsidP="003A5BD2">
      <w:pPr>
        <w:widowControl/>
        <w:adjustRightInd w:val="0"/>
        <w:jc w:val="both"/>
        <w:rPr>
          <w:sz w:val="18"/>
          <w:szCs w:val="18"/>
        </w:rPr>
      </w:pPr>
      <w:r w:rsidRPr="00403EFB">
        <w:rPr>
          <w:rFonts w:asciiTheme="minorHAnsi" w:hAnsiTheme="minorHAnsi" w:cstheme="minorHAnsi"/>
          <w:sz w:val="18"/>
          <w:szCs w:val="18"/>
        </w:rPr>
        <w:t>The Group uses the following Alternative Performance Measures (‘APMs’) which are non-IFRS measures to monitor the performance of its operations and of the Group as a whole: Pro Forma Revenue Growth, Adjusted EBITDA, Adjusted Operating Profit, Adjusted Operating Margin, Adjusted Profit before Tax (‘PBT’), Adjusted Earnings, Adjusted Earnings per Share, Maintenance and Strategic Capital Expenditure, Free Cash Flow</w:t>
      </w:r>
      <w:r>
        <w:rPr>
          <w:rFonts w:asciiTheme="minorHAnsi" w:hAnsiTheme="minorHAnsi" w:cstheme="minorHAnsi"/>
          <w:sz w:val="18"/>
          <w:szCs w:val="18"/>
        </w:rPr>
        <w:t xml:space="preserve">, Free Cash Flow Conversion, Net Debt, </w:t>
      </w:r>
      <w:r w:rsidRPr="00403EFB">
        <w:rPr>
          <w:rFonts w:asciiTheme="minorHAnsi" w:hAnsiTheme="minorHAnsi" w:cstheme="minorHAnsi"/>
          <w:sz w:val="18"/>
          <w:szCs w:val="18"/>
        </w:rPr>
        <w:t>Net Debt</w:t>
      </w:r>
      <w:r>
        <w:rPr>
          <w:rFonts w:asciiTheme="minorHAnsi" w:hAnsiTheme="minorHAnsi" w:cstheme="minorHAnsi"/>
          <w:sz w:val="18"/>
          <w:szCs w:val="18"/>
        </w:rPr>
        <w:t xml:space="preserve"> excluding lease liabilities and Return on Invested Capital (‘ROIC’)</w:t>
      </w:r>
      <w:r w:rsidRPr="00403EFB">
        <w:rPr>
          <w:rFonts w:asciiTheme="minorHAnsi" w:hAnsiTheme="minorHAnsi" w:cstheme="minorHAnsi"/>
          <w:sz w:val="18"/>
          <w:szCs w:val="18"/>
        </w:rPr>
        <w:t>.</w:t>
      </w:r>
      <w:r>
        <w:rPr>
          <w:rFonts w:asciiTheme="minorHAnsi" w:hAnsiTheme="minorHAnsi" w:cstheme="minorHAnsi"/>
          <w:sz w:val="18"/>
          <w:szCs w:val="18"/>
        </w:rPr>
        <w:t xml:space="preserve"> </w:t>
      </w:r>
    </w:p>
    <w:p w14:paraId="4FB93B03" w14:textId="77777777" w:rsidR="003A5BD2" w:rsidRDefault="003A5BD2" w:rsidP="003A5BD2">
      <w:pPr>
        <w:widowControl/>
        <w:adjustRightInd w:val="0"/>
        <w:jc w:val="both"/>
        <w:rPr>
          <w:sz w:val="18"/>
          <w:szCs w:val="18"/>
        </w:rPr>
      </w:pPr>
    </w:p>
    <w:p w14:paraId="1019BDCE" w14:textId="77777777" w:rsidR="003A5BD2" w:rsidRDefault="003A5BD2" w:rsidP="003A5BD2">
      <w:pPr>
        <w:widowControl/>
        <w:adjustRightInd w:val="0"/>
        <w:jc w:val="both"/>
        <w:rPr>
          <w:sz w:val="18"/>
          <w:szCs w:val="18"/>
        </w:rPr>
      </w:pPr>
      <w:r w:rsidRPr="0062480F">
        <w:rPr>
          <w:sz w:val="18"/>
          <w:szCs w:val="18"/>
        </w:rPr>
        <w:t>The Group believes that these APMs provide useful historical information to help investors evaluate the performance of the underlying business and are measures commonly used by certain investors and security analysts for evaluating the performance of the Group. In addition, the Group uses certain APMs which reflect the underlying performance on the basis that this provides a more relevant focus on the core business performance of the Group. The APMs are not part of the IFRS financial statements and are accordingly not audited.</w:t>
      </w:r>
    </w:p>
    <w:p w14:paraId="469347E6" w14:textId="77777777" w:rsidR="003A5BD2" w:rsidRDefault="003A5BD2" w:rsidP="003A5BD2">
      <w:pPr>
        <w:spacing w:before="160"/>
        <w:jc w:val="both"/>
        <w:rPr>
          <w:sz w:val="18"/>
          <w:szCs w:val="18"/>
        </w:rPr>
      </w:pPr>
      <w:r w:rsidRPr="00D1572A">
        <w:rPr>
          <w:sz w:val="18"/>
          <w:szCs w:val="18"/>
        </w:rPr>
        <w:t>On 28 September 2019</w:t>
      </w:r>
      <w:r>
        <w:rPr>
          <w:sz w:val="18"/>
          <w:szCs w:val="18"/>
        </w:rPr>
        <w:t>,</w:t>
      </w:r>
      <w:r w:rsidRPr="00D1572A">
        <w:rPr>
          <w:sz w:val="18"/>
          <w:szCs w:val="18"/>
        </w:rPr>
        <w:t xml:space="preserve"> the Group adopted IFRS 16</w:t>
      </w:r>
      <w:r>
        <w:rPr>
          <w:sz w:val="18"/>
          <w:szCs w:val="18"/>
        </w:rPr>
        <w:t xml:space="preserve"> </w:t>
      </w:r>
      <w:r w:rsidRPr="00B07700">
        <w:rPr>
          <w:i/>
          <w:sz w:val="18"/>
          <w:szCs w:val="18"/>
        </w:rPr>
        <w:t>Leases</w:t>
      </w:r>
      <w:r w:rsidRPr="00D1572A">
        <w:rPr>
          <w:sz w:val="18"/>
          <w:szCs w:val="18"/>
        </w:rPr>
        <w:t>, the new accounting standard for leases. The Group transitioned to the standard using the modified retrospective approach, which does not require the restatement of comparative periods</w:t>
      </w:r>
      <w:r>
        <w:rPr>
          <w:sz w:val="18"/>
          <w:szCs w:val="18"/>
        </w:rPr>
        <w:t xml:space="preserve"> and as such the APMs for the prior period have not been restated</w:t>
      </w:r>
      <w:r w:rsidRPr="004A2ED9">
        <w:rPr>
          <w:sz w:val="18"/>
          <w:szCs w:val="18"/>
        </w:rPr>
        <w:t xml:space="preserve">. The changes </w:t>
      </w:r>
      <w:r>
        <w:rPr>
          <w:sz w:val="18"/>
          <w:szCs w:val="18"/>
        </w:rPr>
        <w:t>introduced by the</w:t>
      </w:r>
      <w:r w:rsidRPr="004A2ED9">
        <w:rPr>
          <w:sz w:val="18"/>
          <w:szCs w:val="18"/>
        </w:rPr>
        <w:t xml:space="preserve"> standard impacted profit for the financial year by r</w:t>
      </w:r>
      <w:r>
        <w:rPr>
          <w:sz w:val="18"/>
          <w:szCs w:val="18"/>
        </w:rPr>
        <w:t>eplacing</w:t>
      </w:r>
      <w:r w:rsidRPr="004A2ED9">
        <w:rPr>
          <w:sz w:val="18"/>
          <w:szCs w:val="18"/>
        </w:rPr>
        <w:t xml:space="preserve"> operating lease costs </w:t>
      </w:r>
      <w:r>
        <w:rPr>
          <w:sz w:val="18"/>
          <w:szCs w:val="18"/>
        </w:rPr>
        <w:t>with a depreciation and interest charge</w:t>
      </w:r>
      <w:r w:rsidRPr="004A2ED9">
        <w:rPr>
          <w:sz w:val="18"/>
          <w:szCs w:val="18"/>
        </w:rPr>
        <w:t xml:space="preserve">. In the statement of financial position, net assets </w:t>
      </w:r>
      <w:r>
        <w:rPr>
          <w:sz w:val="18"/>
          <w:szCs w:val="18"/>
        </w:rPr>
        <w:t>are</w:t>
      </w:r>
      <w:r w:rsidRPr="004A2ED9">
        <w:rPr>
          <w:sz w:val="18"/>
          <w:szCs w:val="18"/>
        </w:rPr>
        <w:t xml:space="preserve"> impacted by an uplift in</w:t>
      </w:r>
      <w:r>
        <w:rPr>
          <w:sz w:val="18"/>
          <w:szCs w:val="18"/>
        </w:rPr>
        <w:t xml:space="preserve"> the</w:t>
      </w:r>
      <w:r w:rsidRPr="004A2ED9">
        <w:rPr>
          <w:sz w:val="18"/>
          <w:szCs w:val="18"/>
        </w:rPr>
        <w:t xml:space="preserve"> </w:t>
      </w:r>
      <w:r>
        <w:rPr>
          <w:sz w:val="18"/>
          <w:szCs w:val="18"/>
        </w:rPr>
        <w:t>r</w:t>
      </w:r>
      <w:r w:rsidRPr="004A2ED9">
        <w:rPr>
          <w:sz w:val="18"/>
          <w:szCs w:val="18"/>
        </w:rPr>
        <w:t>ight</w:t>
      </w:r>
      <w:r>
        <w:rPr>
          <w:sz w:val="18"/>
          <w:szCs w:val="18"/>
        </w:rPr>
        <w:t>-</w:t>
      </w:r>
      <w:r w:rsidRPr="004A2ED9">
        <w:rPr>
          <w:sz w:val="18"/>
          <w:szCs w:val="18"/>
        </w:rPr>
        <w:t>of</w:t>
      </w:r>
      <w:r>
        <w:rPr>
          <w:sz w:val="18"/>
          <w:szCs w:val="18"/>
        </w:rPr>
        <w:t>-u</w:t>
      </w:r>
      <w:r w:rsidRPr="004A2ED9">
        <w:rPr>
          <w:sz w:val="18"/>
          <w:szCs w:val="18"/>
        </w:rPr>
        <w:t xml:space="preserve">se assets offset by </w:t>
      </w:r>
      <w:r>
        <w:rPr>
          <w:sz w:val="18"/>
          <w:szCs w:val="18"/>
        </w:rPr>
        <w:t xml:space="preserve">the </w:t>
      </w:r>
      <w:r w:rsidRPr="004A2ED9">
        <w:rPr>
          <w:sz w:val="18"/>
          <w:szCs w:val="18"/>
        </w:rPr>
        <w:t>lease obligations</w:t>
      </w:r>
      <w:r>
        <w:rPr>
          <w:sz w:val="18"/>
          <w:szCs w:val="18"/>
        </w:rPr>
        <w:t xml:space="preserve"> and after adjusting for the tax effect of the transition</w:t>
      </w:r>
      <w:r w:rsidRPr="004A2ED9">
        <w:rPr>
          <w:sz w:val="18"/>
          <w:szCs w:val="18"/>
        </w:rPr>
        <w:t>.</w:t>
      </w:r>
      <w:r>
        <w:rPr>
          <w:sz w:val="18"/>
          <w:szCs w:val="18"/>
        </w:rPr>
        <w:t xml:space="preserve"> The impact on APMs due to IFRS 16 </w:t>
      </w:r>
      <w:r w:rsidRPr="005F112A">
        <w:rPr>
          <w:i/>
          <w:sz w:val="18"/>
          <w:szCs w:val="18"/>
        </w:rPr>
        <w:t>Leases</w:t>
      </w:r>
      <w:r w:rsidRPr="005771B0">
        <w:rPr>
          <w:sz w:val="18"/>
          <w:szCs w:val="18"/>
        </w:rPr>
        <w:t xml:space="preserve"> in FY20 </w:t>
      </w:r>
      <w:r>
        <w:rPr>
          <w:sz w:val="18"/>
          <w:szCs w:val="18"/>
        </w:rPr>
        <w:t xml:space="preserve">is set out in the table below. </w:t>
      </w:r>
    </w:p>
    <w:p w14:paraId="4B6870B1" w14:textId="77777777" w:rsidR="003A5BD2" w:rsidRDefault="003A5BD2" w:rsidP="005B36AA">
      <w:pPr>
        <w:widowControl/>
        <w:adjustRightInd w:val="0"/>
        <w:jc w:val="both"/>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689"/>
        <w:gridCol w:w="1017"/>
      </w:tblGrid>
      <w:tr w:rsidR="007109E7" w14:paraId="6FC45949" w14:textId="77777777" w:rsidTr="0094550B">
        <w:tc>
          <w:tcPr>
            <w:tcW w:w="2689" w:type="dxa"/>
          </w:tcPr>
          <w:p w14:paraId="1B53F5D9" w14:textId="77777777" w:rsidR="007109E7" w:rsidRPr="005771B0" w:rsidRDefault="007109E7" w:rsidP="008559E5">
            <w:pPr>
              <w:adjustRightInd w:val="0"/>
              <w:jc w:val="both"/>
              <w:rPr>
                <w:rFonts w:asciiTheme="minorHAnsi" w:hAnsiTheme="minorHAnsi" w:cstheme="minorHAnsi"/>
                <w:b/>
                <w:sz w:val="18"/>
                <w:szCs w:val="18"/>
              </w:rPr>
            </w:pPr>
            <w:r w:rsidRPr="005771B0">
              <w:rPr>
                <w:rFonts w:asciiTheme="minorHAnsi" w:hAnsiTheme="minorHAnsi" w:cstheme="minorHAnsi"/>
                <w:b/>
                <w:sz w:val="18"/>
                <w:szCs w:val="18"/>
              </w:rPr>
              <w:t>Performance measures</w:t>
            </w:r>
          </w:p>
        </w:tc>
        <w:tc>
          <w:tcPr>
            <w:tcW w:w="1017" w:type="dxa"/>
          </w:tcPr>
          <w:p w14:paraId="7F0B4E36" w14:textId="77777777" w:rsidR="007109E7" w:rsidRPr="005771B0" w:rsidRDefault="007109E7" w:rsidP="008559E5">
            <w:pPr>
              <w:adjustRightInd w:val="0"/>
              <w:jc w:val="right"/>
              <w:rPr>
                <w:rFonts w:asciiTheme="minorHAnsi" w:hAnsiTheme="minorHAnsi" w:cstheme="minorHAnsi"/>
                <w:b/>
                <w:sz w:val="18"/>
                <w:szCs w:val="18"/>
              </w:rPr>
            </w:pPr>
            <w:r w:rsidRPr="005771B0">
              <w:rPr>
                <w:rFonts w:asciiTheme="minorHAnsi" w:hAnsiTheme="minorHAnsi" w:cstheme="minorHAnsi"/>
                <w:b/>
                <w:sz w:val="18"/>
                <w:szCs w:val="18"/>
              </w:rPr>
              <w:t>FY20</w:t>
            </w:r>
          </w:p>
        </w:tc>
      </w:tr>
      <w:tr w:rsidR="007109E7" w14:paraId="3D80E2E8" w14:textId="77777777" w:rsidTr="0094550B">
        <w:tc>
          <w:tcPr>
            <w:tcW w:w="2689" w:type="dxa"/>
          </w:tcPr>
          <w:p w14:paraId="5AA24678"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EBITDA (£m)</w:t>
            </w:r>
          </w:p>
        </w:tc>
        <w:tc>
          <w:tcPr>
            <w:tcW w:w="1017" w:type="dxa"/>
          </w:tcPr>
          <w:p w14:paraId="1E765AAA"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+12.9</w:t>
            </w:r>
          </w:p>
        </w:tc>
      </w:tr>
      <w:tr w:rsidR="007109E7" w14:paraId="2827D1B6" w14:textId="77777777" w:rsidTr="0094550B">
        <w:tc>
          <w:tcPr>
            <w:tcW w:w="2689" w:type="dxa"/>
          </w:tcPr>
          <w:p w14:paraId="148DAC22"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Operating Profit (£m)</w:t>
            </w:r>
          </w:p>
        </w:tc>
        <w:tc>
          <w:tcPr>
            <w:tcW w:w="1017" w:type="dxa"/>
          </w:tcPr>
          <w:p w14:paraId="1A1163A1"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Immaterial</w:t>
            </w:r>
          </w:p>
        </w:tc>
      </w:tr>
      <w:tr w:rsidR="007109E7" w14:paraId="3BEE5CAD" w14:textId="77777777" w:rsidTr="0094550B">
        <w:tc>
          <w:tcPr>
            <w:tcW w:w="2689" w:type="dxa"/>
          </w:tcPr>
          <w:p w14:paraId="1AA4EBC4"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Profit Before Tax (£m)</w:t>
            </w:r>
          </w:p>
        </w:tc>
        <w:tc>
          <w:tcPr>
            <w:tcW w:w="1017" w:type="dxa"/>
          </w:tcPr>
          <w:p w14:paraId="43F57DF8"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-1.2</w:t>
            </w:r>
          </w:p>
        </w:tc>
      </w:tr>
      <w:tr w:rsidR="007109E7" w14:paraId="783D1844" w14:textId="77777777" w:rsidTr="0094550B">
        <w:tc>
          <w:tcPr>
            <w:tcW w:w="2689" w:type="dxa"/>
          </w:tcPr>
          <w:p w14:paraId="42661A8F"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EPS (pence)</w:t>
            </w:r>
          </w:p>
        </w:tc>
        <w:tc>
          <w:tcPr>
            <w:tcW w:w="1017" w:type="dxa"/>
          </w:tcPr>
          <w:p w14:paraId="6215C540"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-0.3</w:t>
            </w:r>
          </w:p>
        </w:tc>
      </w:tr>
      <w:tr w:rsidR="007109E7" w14:paraId="7637B9CE" w14:textId="77777777" w:rsidTr="0094550B">
        <w:tc>
          <w:tcPr>
            <w:tcW w:w="2689" w:type="dxa"/>
            <w:vAlign w:val="center"/>
          </w:tcPr>
          <w:p w14:paraId="5AD8D7BF" w14:textId="77777777" w:rsidR="007109E7" w:rsidRDefault="007109E7" w:rsidP="008559E5">
            <w:pPr>
              <w:adjustRightInd w:val="0"/>
              <w:rPr>
                <w:rFonts w:asciiTheme="minorHAnsi" w:hAnsiTheme="minorHAnsi" w:cstheme="minorHAnsi"/>
                <w:sz w:val="18"/>
                <w:szCs w:val="18"/>
              </w:rPr>
            </w:pPr>
            <w:r>
              <w:rPr>
                <w:rFonts w:asciiTheme="minorHAnsi" w:hAnsiTheme="minorHAnsi" w:cstheme="minorHAnsi"/>
                <w:sz w:val="18"/>
                <w:szCs w:val="18"/>
              </w:rPr>
              <w:t>Free Cash Flow (£m)</w:t>
            </w:r>
          </w:p>
        </w:tc>
        <w:tc>
          <w:tcPr>
            <w:tcW w:w="1017" w:type="dxa"/>
            <w:vAlign w:val="center"/>
          </w:tcPr>
          <w:p w14:paraId="4BD99BB8" w14:textId="77777777" w:rsidR="007109E7" w:rsidRPr="00AC5FB2" w:rsidRDefault="007109E7" w:rsidP="008559E5">
            <w:pPr>
              <w:adjustRightInd w:val="0"/>
              <w:jc w:val="right"/>
              <w:rPr>
                <w:rFonts w:asciiTheme="minorHAnsi" w:hAnsiTheme="minorHAnsi" w:cstheme="minorHAnsi"/>
                <w:sz w:val="18"/>
                <w:szCs w:val="18"/>
              </w:rPr>
            </w:pPr>
            <w:r w:rsidRPr="00AC5FB2">
              <w:t>–</w:t>
            </w:r>
          </w:p>
        </w:tc>
      </w:tr>
      <w:tr w:rsidR="007109E7" w14:paraId="42B0A8D2" w14:textId="77777777" w:rsidTr="0094550B">
        <w:tc>
          <w:tcPr>
            <w:tcW w:w="2689" w:type="dxa"/>
          </w:tcPr>
          <w:p w14:paraId="52E01D7A"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Net Debt (£m)</w:t>
            </w:r>
          </w:p>
        </w:tc>
        <w:tc>
          <w:tcPr>
            <w:tcW w:w="1017" w:type="dxa"/>
          </w:tcPr>
          <w:p w14:paraId="7AD7C515"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+60.7</w:t>
            </w:r>
          </w:p>
        </w:tc>
      </w:tr>
      <w:tr w:rsidR="007109E7" w14:paraId="77479FD7" w14:textId="77777777" w:rsidTr="0094550B">
        <w:tc>
          <w:tcPr>
            <w:tcW w:w="2689" w:type="dxa"/>
          </w:tcPr>
          <w:p w14:paraId="0E49533D"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ROIC (%)</w:t>
            </w:r>
          </w:p>
        </w:tc>
        <w:tc>
          <w:tcPr>
            <w:tcW w:w="1017" w:type="dxa"/>
          </w:tcPr>
          <w:p w14:paraId="2E0B018F"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-0.1</w:t>
            </w:r>
          </w:p>
        </w:tc>
      </w:tr>
    </w:tbl>
    <w:p w14:paraId="11CBF398" w14:textId="77777777" w:rsidR="007109E7" w:rsidRDefault="007109E7" w:rsidP="007109E7">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p>
    <w:p w14:paraId="584CC4B1" w14:textId="77777777" w:rsidR="007109E7" w:rsidRPr="00EE38FD" w:rsidRDefault="007109E7" w:rsidP="007109E7">
      <w:pPr>
        <w:pStyle w:val="Heading2"/>
        <w:numPr>
          <w:ilvl w:val="0"/>
          <w:numId w:val="0"/>
        </w:numPr>
        <w:rPr>
          <w:caps/>
        </w:rPr>
      </w:pPr>
      <w:r w:rsidRPr="00EE38FD">
        <w:rPr>
          <w:caps/>
        </w:rPr>
        <w:t>Pro Forma Revenue Growth</w:t>
      </w:r>
    </w:p>
    <w:p w14:paraId="1422962A" w14:textId="77777777" w:rsidR="007109E7" w:rsidRDefault="007109E7" w:rsidP="007109E7">
      <w:pPr>
        <w:pStyle w:val="BodyText"/>
      </w:pPr>
    </w:p>
    <w:p w14:paraId="0DE79743" w14:textId="77777777" w:rsidR="007109E7" w:rsidRPr="00EE38FD" w:rsidRDefault="007109E7" w:rsidP="0094550B">
      <w:pPr>
        <w:widowControl/>
        <w:adjustRightInd w:val="0"/>
        <w:spacing w:after="120"/>
        <w:jc w:val="both"/>
        <w:rPr>
          <w:rFonts w:asciiTheme="minorHAnsi" w:hAnsiTheme="minorHAnsi" w:cstheme="minorHAnsi"/>
          <w:sz w:val="18"/>
          <w:szCs w:val="18"/>
        </w:rPr>
      </w:pPr>
      <w:r w:rsidRPr="00EE38FD">
        <w:rPr>
          <w:rFonts w:asciiTheme="minorHAnsi" w:hAnsiTheme="minorHAnsi" w:cstheme="minorHAnsi"/>
          <w:sz w:val="18"/>
          <w:szCs w:val="18"/>
        </w:rPr>
        <w:t>The Group uses Pro Forma Revenue Growth as a supplemental measure of its performance. The Group believes that Pro Forma Revenue Growth provides a more accurate guide to underlying revenue performance.</w:t>
      </w:r>
    </w:p>
    <w:p w14:paraId="614EB5C7" w14:textId="1401D874" w:rsidR="007109E7" w:rsidRPr="00EE38FD" w:rsidRDefault="007109E7" w:rsidP="0094550B">
      <w:pPr>
        <w:widowControl/>
        <w:adjustRightInd w:val="0"/>
        <w:spacing w:after="120"/>
        <w:jc w:val="both"/>
        <w:rPr>
          <w:rFonts w:asciiTheme="minorHAnsi" w:hAnsiTheme="minorHAnsi" w:cstheme="minorHAnsi"/>
          <w:sz w:val="18"/>
          <w:szCs w:val="18"/>
        </w:rPr>
      </w:pPr>
      <w:r w:rsidRPr="003A6352">
        <w:rPr>
          <w:sz w:val="18"/>
          <w:szCs w:val="18"/>
        </w:rPr>
        <w:lastRenderedPageBreak/>
        <w:t xml:space="preserve">Pro Forma Revenue Growth adjusts </w:t>
      </w:r>
      <w:r w:rsidRPr="00196436">
        <w:rPr>
          <w:sz w:val="18"/>
          <w:szCs w:val="18"/>
        </w:rPr>
        <w:t xml:space="preserve">reported revenue to reflect the ownership of </w:t>
      </w:r>
      <w:proofErr w:type="spellStart"/>
      <w:r w:rsidRPr="00196436">
        <w:rPr>
          <w:sz w:val="18"/>
          <w:szCs w:val="18"/>
        </w:rPr>
        <w:t>Freshtime</w:t>
      </w:r>
      <w:proofErr w:type="spellEnd"/>
      <w:r w:rsidRPr="00196436">
        <w:rPr>
          <w:sz w:val="18"/>
          <w:szCs w:val="18"/>
        </w:rPr>
        <w:t xml:space="preserve"> for the full period in FY19 and excludes the impact of revenue from the exit of longer life ready meals manufacturing at the Kiveton facility in </w:t>
      </w:r>
      <w:r>
        <w:rPr>
          <w:sz w:val="18"/>
          <w:szCs w:val="18"/>
        </w:rPr>
        <w:t>FY</w:t>
      </w:r>
      <w:r w:rsidRPr="00196436">
        <w:rPr>
          <w:sz w:val="18"/>
          <w:szCs w:val="18"/>
        </w:rPr>
        <w:t>19. It also presents the numbers on a constant currency basis</w:t>
      </w:r>
      <w:r>
        <w:rPr>
          <w:sz w:val="18"/>
          <w:szCs w:val="18"/>
        </w:rPr>
        <w:t xml:space="preserve"> utilising FY19 FX rates on FY20 reported revenue.</w:t>
      </w:r>
    </w:p>
    <w:tbl>
      <w:tblPr>
        <w:tblW w:w="10205" w:type="dxa"/>
        <w:tblLayout w:type="fixed"/>
        <w:tblLook w:val="01E0" w:firstRow="1" w:lastRow="1" w:firstColumn="1" w:lastColumn="1" w:noHBand="0" w:noVBand="0"/>
      </w:tblPr>
      <w:tblGrid>
        <w:gridCol w:w="8505"/>
        <w:gridCol w:w="1700"/>
      </w:tblGrid>
      <w:tr w:rsidR="007109E7" w14:paraId="6D24AD48" w14:textId="77777777" w:rsidTr="008559E5">
        <w:trPr>
          <w:trHeight w:val="227"/>
        </w:trPr>
        <w:tc>
          <w:tcPr>
            <w:tcW w:w="8505" w:type="dxa"/>
            <w:tcBorders>
              <w:bottom w:val="single" w:sz="4" w:space="0" w:color="auto"/>
            </w:tcBorders>
            <w:vAlign w:val="bottom"/>
          </w:tcPr>
          <w:p w14:paraId="23A0730E" w14:textId="77777777" w:rsidR="007109E7" w:rsidRPr="00F567E7" w:rsidRDefault="007109E7" w:rsidP="008559E5">
            <w:pPr>
              <w:pStyle w:val="TableRowHead"/>
            </w:pPr>
          </w:p>
        </w:tc>
        <w:tc>
          <w:tcPr>
            <w:tcW w:w="1700" w:type="dxa"/>
            <w:tcBorders>
              <w:bottom w:val="single" w:sz="4" w:space="0" w:color="auto"/>
            </w:tcBorders>
            <w:vAlign w:val="bottom"/>
          </w:tcPr>
          <w:p w14:paraId="5D6A98CE" w14:textId="77777777" w:rsidR="007109E7" w:rsidRDefault="007109E7" w:rsidP="008559E5">
            <w:pPr>
              <w:pStyle w:val="Subtitle"/>
            </w:pPr>
            <w:r>
              <w:t>2020</w:t>
            </w:r>
            <w:r>
              <w:br/>
              <w:t>Convenience Foods</w:t>
            </w:r>
          </w:p>
          <w:p w14:paraId="5D7503EE" w14:textId="77777777" w:rsidR="007109E7" w:rsidRPr="00F567E7" w:rsidRDefault="007109E7" w:rsidP="008559E5">
            <w:pPr>
              <w:pStyle w:val="Subtitle"/>
            </w:pPr>
            <w:r>
              <w:t>UK &amp; Ireland</w:t>
            </w:r>
            <w:r>
              <w:br/>
              <w:t>%</w:t>
            </w:r>
          </w:p>
        </w:tc>
      </w:tr>
      <w:tr w:rsidR="007109E7" w14:paraId="45405C82" w14:textId="77777777" w:rsidTr="008559E5">
        <w:trPr>
          <w:trHeight w:val="227"/>
        </w:trPr>
        <w:tc>
          <w:tcPr>
            <w:tcW w:w="8505" w:type="dxa"/>
            <w:tcBorders>
              <w:top w:val="single" w:sz="4" w:space="0" w:color="auto"/>
            </w:tcBorders>
            <w:vAlign w:val="bottom"/>
          </w:tcPr>
          <w:p w14:paraId="33188B9B" w14:textId="77777777" w:rsidR="007109E7" w:rsidRPr="00F567E7" w:rsidRDefault="007109E7" w:rsidP="008559E5">
            <w:pPr>
              <w:pStyle w:val="TableRowHead"/>
            </w:pPr>
            <w:r w:rsidRPr="00F567E7">
              <w:t>Reported revenue</w:t>
            </w:r>
          </w:p>
        </w:tc>
        <w:tc>
          <w:tcPr>
            <w:tcW w:w="1700" w:type="dxa"/>
            <w:tcBorders>
              <w:top w:val="single" w:sz="4" w:space="0" w:color="auto"/>
            </w:tcBorders>
            <w:vAlign w:val="bottom"/>
          </w:tcPr>
          <w:p w14:paraId="4FB09B3D" w14:textId="77777777" w:rsidR="007109E7" w:rsidRPr="0050671B" w:rsidRDefault="007109E7" w:rsidP="008559E5">
            <w:pPr>
              <w:pStyle w:val="Subtitle"/>
            </w:pPr>
            <w:r>
              <w:t>(12.5%)</w:t>
            </w:r>
          </w:p>
        </w:tc>
      </w:tr>
      <w:tr w:rsidR="007109E7" w14:paraId="0E4B9693" w14:textId="77777777" w:rsidTr="008559E5">
        <w:trPr>
          <w:trHeight w:val="227"/>
        </w:trPr>
        <w:tc>
          <w:tcPr>
            <w:tcW w:w="8505" w:type="dxa"/>
            <w:vAlign w:val="bottom"/>
          </w:tcPr>
          <w:p w14:paraId="5129CFE7" w14:textId="77777777" w:rsidR="007109E7" w:rsidRPr="00F567E7" w:rsidRDefault="007109E7" w:rsidP="008559E5">
            <w:pPr>
              <w:pStyle w:val="TableRowHead"/>
            </w:pPr>
            <w:r w:rsidRPr="00F567E7">
              <w:t>Impact of disposals and exits</w:t>
            </w:r>
          </w:p>
        </w:tc>
        <w:tc>
          <w:tcPr>
            <w:tcW w:w="1700" w:type="dxa"/>
            <w:vAlign w:val="bottom"/>
          </w:tcPr>
          <w:p w14:paraId="4C19A13E" w14:textId="77777777" w:rsidR="007109E7" w:rsidRPr="0050671B" w:rsidRDefault="007109E7" w:rsidP="008559E5">
            <w:pPr>
              <w:pStyle w:val="Subtitle"/>
            </w:pPr>
            <w:r>
              <w:t>0.3%</w:t>
            </w:r>
          </w:p>
        </w:tc>
      </w:tr>
      <w:tr w:rsidR="007109E7" w14:paraId="3471ED38" w14:textId="77777777" w:rsidTr="008559E5">
        <w:trPr>
          <w:trHeight w:val="227"/>
        </w:trPr>
        <w:tc>
          <w:tcPr>
            <w:tcW w:w="8505" w:type="dxa"/>
            <w:vAlign w:val="bottom"/>
          </w:tcPr>
          <w:p w14:paraId="04DC5115" w14:textId="77777777" w:rsidR="007109E7" w:rsidRPr="00F567E7" w:rsidRDefault="007109E7" w:rsidP="008559E5">
            <w:pPr>
              <w:pStyle w:val="TableRowHead"/>
            </w:pPr>
            <w:r>
              <w:t>Impact of acquisitions</w:t>
            </w:r>
          </w:p>
        </w:tc>
        <w:tc>
          <w:tcPr>
            <w:tcW w:w="1700" w:type="dxa"/>
            <w:vAlign w:val="bottom"/>
          </w:tcPr>
          <w:p w14:paraId="131F57A4" w14:textId="77777777" w:rsidR="007109E7" w:rsidRPr="0050671B" w:rsidRDefault="007109E7" w:rsidP="008559E5">
            <w:pPr>
              <w:pStyle w:val="Subtitle"/>
            </w:pPr>
            <w:r>
              <w:t>(2.1%)</w:t>
            </w:r>
          </w:p>
        </w:tc>
      </w:tr>
      <w:tr w:rsidR="007109E7" w14:paraId="39F64416" w14:textId="77777777" w:rsidTr="008559E5">
        <w:trPr>
          <w:trHeight w:val="227"/>
        </w:trPr>
        <w:tc>
          <w:tcPr>
            <w:tcW w:w="8505" w:type="dxa"/>
            <w:tcBorders>
              <w:bottom w:val="single" w:sz="4" w:space="0" w:color="auto"/>
            </w:tcBorders>
            <w:vAlign w:val="bottom"/>
          </w:tcPr>
          <w:p w14:paraId="11A6517E" w14:textId="77777777" w:rsidR="007109E7" w:rsidRPr="00F567E7" w:rsidRDefault="007109E7" w:rsidP="008559E5">
            <w:pPr>
              <w:pStyle w:val="TableRowHead"/>
            </w:pPr>
            <w:r>
              <w:t>Impact of currency</w:t>
            </w:r>
          </w:p>
        </w:tc>
        <w:tc>
          <w:tcPr>
            <w:tcW w:w="1700" w:type="dxa"/>
            <w:tcBorders>
              <w:bottom w:val="single" w:sz="4" w:space="0" w:color="auto"/>
            </w:tcBorders>
            <w:vAlign w:val="bottom"/>
          </w:tcPr>
          <w:p w14:paraId="34910193" w14:textId="77777777" w:rsidR="007109E7" w:rsidRPr="0050671B" w:rsidRDefault="007109E7" w:rsidP="008559E5">
            <w:pPr>
              <w:pStyle w:val="Subtitle"/>
            </w:pPr>
            <w:r w:rsidRPr="00AC5FB2">
              <w:t>–</w:t>
            </w:r>
          </w:p>
        </w:tc>
      </w:tr>
      <w:tr w:rsidR="007109E7" w14:paraId="0EF752A1" w14:textId="77777777" w:rsidTr="008559E5">
        <w:trPr>
          <w:trHeight w:val="227"/>
        </w:trPr>
        <w:tc>
          <w:tcPr>
            <w:tcW w:w="8505" w:type="dxa"/>
            <w:tcBorders>
              <w:top w:val="single" w:sz="4" w:space="0" w:color="auto"/>
              <w:bottom w:val="single" w:sz="8" w:space="0" w:color="auto"/>
            </w:tcBorders>
            <w:vAlign w:val="bottom"/>
          </w:tcPr>
          <w:p w14:paraId="379ED81C" w14:textId="77777777" w:rsidR="007109E7" w:rsidRPr="00F567E7" w:rsidRDefault="007109E7" w:rsidP="008559E5">
            <w:pPr>
              <w:pStyle w:val="TableRowHead"/>
              <w:rPr>
                <w:b/>
              </w:rPr>
            </w:pPr>
            <w:r w:rsidRPr="00F567E7">
              <w:rPr>
                <w:b/>
              </w:rPr>
              <w:t>Pro Forma Revenue Growth (%)</w:t>
            </w:r>
          </w:p>
        </w:tc>
        <w:tc>
          <w:tcPr>
            <w:tcW w:w="1700" w:type="dxa"/>
            <w:tcBorders>
              <w:top w:val="single" w:sz="4" w:space="0" w:color="auto"/>
              <w:bottom w:val="single" w:sz="8" w:space="0" w:color="auto"/>
            </w:tcBorders>
            <w:vAlign w:val="bottom"/>
          </w:tcPr>
          <w:p w14:paraId="63D57506" w14:textId="77777777" w:rsidR="007109E7" w:rsidRPr="0050671B" w:rsidRDefault="007109E7" w:rsidP="008559E5">
            <w:pPr>
              <w:pStyle w:val="Subtitle"/>
            </w:pPr>
            <w:r>
              <w:t>(14.3%)</w:t>
            </w:r>
          </w:p>
        </w:tc>
      </w:tr>
    </w:tbl>
    <w:p w14:paraId="4129B019" w14:textId="77777777" w:rsidR="007109E7" w:rsidRDefault="007109E7" w:rsidP="007109E7">
      <w:pPr>
        <w:pStyle w:val="BodyText"/>
      </w:pPr>
    </w:p>
    <w:p w14:paraId="77557F1A" w14:textId="77777777" w:rsidR="007109E7" w:rsidRDefault="007109E7" w:rsidP="007109E7">
      <w:pPr>
        <w:widowControl/>
        <w:adjustRightInd w:val="0"/>
        <w:jc w:val="both"/>
        <w:rPr>
          <w:rFonts w:asciiTheme="minorHAnsi" w:hAnsiTheme="minorHAnsi" w:cstheme="minorHAnsi"/>
          <w:sz w:val="18"/>
          <w:szCs w:val="18"/>
        </w:rPr>
      </w:pPr>
      <w:r w:rsidRPr="00660AB2">
        <w:rPr>
          <w:rFonts w:asciiTheme="minorHAnsi" w:hAnsiTheme="minorHAnsi" w:cstheme="minorHAnsi"/>
          <w:sz w:val="18"/>
          <w:szCs w:val="18"/>
        </w:rPr>
        <w:t>The table below shows the Pro Forma Revenue split by food to go categories and other convenience categories</w:t>
      </w:r>
      <w:r w:rsidRPr="00BE1C0F">
        <w:rPr>
          <w:rFonts w:asciiTheme="minorHAnsi" w:hAnsiTheme="minorHAnsi" w:cstheme="minorHAnsi"/>
          <w:sz w:val="18"/>
          <w:szCs w:val="18"/>
        </w:rPr>
        <w:t xml:space="preserve">. </w:t>
      </w:r>
    </w:p>
    <w:p w14:paraId="25FA085A" w14:textId="77777777" w:rsidR="007109E7" w:rsidRPr="002A7FD2" w:rsidRDefault="007109E7" w:rsidP="007109E7">
      <w:pPr>
        <w:widowControl/>
        <w:adjustRightInd w:val="0"/>
        <w:jc w:val="both"/>
        <w:rPr>
          <w:rFonts w:asciiTheme="minorHAnsi" w:hAnsiTheme="minorHAnsi" w:cstheme="minorHAnsi"/>
          <w:sz w:val="18"/>
          <w:szCs w:val="18"/>
        </w:rPr>
      </w:pPr>
    </w:p>
    <w:tbl>
      <w:tblPr>
        <w:tblW w:w="10206" w:type="dxa"/>
        <w:tblLayout w:type="fixed"/>
        <w:tblLook w:val="01E0" w:firstRow="1" w:lastRow="1" w:firstColumn="1" w:lastColumn="1" w:noHBand="0" w:noVBand="0"/>
      </w:tblPr>
      <w:tblGrid>
        <w:gridCol w:w="4962"/>
        <w:gridCol w:w="803"/>
        <w:gridCol w:w="803"/>
        <w:gridCol w:w="803"/>
        <w:gridCol w:w="426"/>
        <w:gridCol w:w="803"/>
        <w:gridCol w:w="803"/>
        <w:gridCol w:w="803"/>
      </w:tblGrid>
      <w:tr w:rsidR="007109E7" w14:paraId="2A9602BF" w14:textId="77777777" w:rsidTr="008559E5">
        <w:trPr>
          <w:trHeight w:val="230"/>
        </w:trPr>
        <w:tc>
          <w:tcPr>
            <w:tcW w:w="4962" w:type="dxa"/>
            <w:vAlign w:val="bottom"/>
          </w:tcPr>
          <w:p w14:paraId="041F1A93" w14:textId="77777777" w:rsidR="007109E7" w:rsidRPr="00F97F7B" w:rsidRDefault="007109E7" w:rsidP="008559E5">
            <w:pPr>
              <w:pStyle w:val="TableRowHead"/>
            </w:pPr>
          </w:p>
        </w:tc>
        <w:tc>
          <w:tcPr>
            <w:tcW w:w="2409" w:type="dxa"/>
            <w:gridSpan w:val="3"/>
            <w:vAlign w:val="bottom"/>
          </w:tcPr>
          <w:p w14:paraId="384B1D85" w14:textId="77777777" w:rsidR="007109E7" w:rsidRDefault="007109E7" w:rsidP="008559E5">
            <w:pPr>
              <w:pStyle w:val="Subtitle"/>
              <w:jc w:val="center"/>
            </w:pPr>
            <w:r>
              <w:t xml:space="preserve">Food to go </w:t>
            </w:r>
          </w:p>
          <w:p w14:paraId="34B83FEC" w14:textId="77777777" w:rsidR="007109E7" w:rsidRDefault="007109E7" w:rsidP="008559E5">
            <w:pPr>
              <w:pStyle w:val="Subtitle"/>
              <w:jc w:val="center"/>
            </w:pPr>
            <w:r>
              <w:t>categories</w:t>
            </w:r>
          </w:p>
        </w:tc>
        <w:tc>
          <w:tcPr>
            <w:tcW w:w="426" w:type="dxa"/>
          </w:tcPr>
          <w:p w14:paraId="1B791AF3" w14:textId="77777777" w:rsidR="007109E7" w:rsidRDefault="007109E7" w:rsidP="008559E5">
            <w:pPr>
              <w:pStyle w:val="Subtitle"/>
              <w:jc w:val="center"/>
            </w:pPr>
          </w:p>
        </w:tc>
        <w:tc>
          <w:tcPr>
            <w:tcW w:w="2409" w:type="dxa"/>
            <w:gridSpan w:val="3"/>
          </w:tcPr>
          <w:p w14:paraId="100BAA6E" w14:textId="77777777" w:rsidR="007109E7" w:rsidRDefault="007109E7" w:rsidP="008559E5">
            <w:pPr>
              <w:pStyle w:val="Subtitle"/>
              <w:jc w:val="center"/>
            </w:pPr>
            <w:r>
              <w:t xml:space="preserve">   Other convenience categories</w:t>
            </w:r>
          </w:p>
        </w:tc>
      </w:tr>
      <w:tr w:rsidR="007109E7" w14:paraId="1CD4E938" w14:textId="77777777" w:rsidTr="008559E5">
        <w:trPr>
          <w:trHeight w:val="230"/>
        </w:trPr>
        <w:tc>
          <w:tcPr>
            <w:tcW w:w="4962" w:type="dxa"/>
            <w:tcBorders>
              <w:bottom w:val="single" w:sz="4" w:space="0" w:color="000000"/>
            </w:tcBorders>
            <w:vAlign w:val="bottom"/>
          </w:tcPr>
          <w:p w14:paraId="57F4297C" w14:textId="77777777" w:rsidR="007109E7" w:rsidRPr="00F97F7B" w:rsidRDefault="007109E7" w:rsidP="008559E5">
            <w:pPr>
              <w:pStyle w:val="TableRowHead"/>
            </w:pPr>
          </w:p>
        </w:tc>
        <w:tc>
          <w:tcPr>
            <w:tcW w:w="803" w:type="dxa"/>
            <w:tcBorders>
              <w:bottom w:val="single" w:sz="4" w:space="0" w:color="000000"/>
            </w:tcBorders>
            <w:vAlign w:val="bottom"/>
          </w:tcPr>
          <w:p w14:paraId="4CE85A8E" w14:textId="77777777" w:rsidR="007109E7" w:rsidRPr="00F97F7B" w:rsidRDefault="007109E7" w:rsidP="008559E5">
            <w:pPr>
              <w:pStyle w:val="Subtitle"/>
            </w:pPr>
            <w:r>
              <w:t>H1 FY20</w:t>
            </w:r>
          </w:p>
          <w:p w14:paraId="08E6D1A1" w14:textId="77777777" w:rsidR="007109E7" w:rsidRPr="00F97F7B" w:rsidRDefault="007109E7" w:rsidP="008559E5">
            <w:pPr>
              <w:pStyle w:val="Subtitle"/>
            </w:pPr>
            <w:r w:rsidRPr="00F97F7B">
              <w:t>%</w:t>
            </w:r>
          </w:p>
        </w:tc>
        <w:tc>
          <w:tcPr>
            <w:tcW w:w="803" w:type="dxa"/>
            <w:tcBorders>
              <w:bottom w:val="single" w:sz="4" w:space="0" w:color="000000"/>
            </w:tcBorders>
            <w:vAlign w:val="bottom"/>
          </w:tcPr>
          <w:p w14:paraId="1A04D160" w14:textId="77777777" w:rsidR="007109E7" w:rsidRPr="00F97F7B" w:rsidRDefault="007109E7" w:rsidP="008559E5">
            <w:pPr>
              <w:pStyle w:val="Subtitle"/>
            </w:pPr>
            <w:r>
              <w:t>H2 FY20</w:t>
            </w:r>
          </w:p>
          <w:p w14:paraId="45E11914" w14:textId="77777777" w:rsidR="007109E7" w:rsidRPr="00F97F7B" w:rsidRDefault="007109E7" w:rsidP="008559E5">
            <w:pPr>
              <w:pStyle w:val="Subtitle"/>
            </w:pPr>
            <w:r w:rsidRPr="00F97F7B">
              <w:t>%</w:t>
            </w:r>
          </w:p>
        </w:tc>
        <w:tc>
          <w:tcPr>
            <w:tcW w:w="803" w:type="dxa"/>
            <w:tcBorders>
              <w:bottom w:val="single" w:sz="4" w:space="0" w:color="000000"/>
            </w:tcBorders>
          </w:tcPr>
          <w:p w14:paraId="678BFFDC" w14:textId="77777777" w:rsidR="007109E7" w:rsidRPr="00F97F7B" w:rsidRDefault="007109E7" w:rsidP="008559E5">
            <w:pPr>
              <w:pStyle w:val="Subtitle"/>
            </w:pPr>
            <w:r>
              <w:t>Full Year</w:t>
            </w:r>
          </w:p>
          <w:p w14:paraId="00E394D6" w14:textId="77777777" w:rsidR="007109E7" w:rsidRPr="00F97F7B" w:rsidRDefault="007109E7" w:rsidP="008559E5">
            <w:pPr>
              <w:pStyle w:val="Subtitle"/>
            </w:pPr>
            <w:r w:rsidRPr="00F97F7B">
              <w:t>%</w:t>
            </w:r>
          </w:p>
        </w:tc>
        <w:tc>
          <w:tcPr>
            <w:tcW w:w="426" w:type="dxa"/>
            <w:tcBorders>
              <w:bottom w:val="single" w:sz="4" w:space="0" w:color="000000"/>
            </w:tcBorders>
          </w:tcPr>
          <w:p w14:paraId="35D17729" w14:textId="77777777" w:rsidR="007109E7" w:rsidRDefault="007109E7" w:rsidP="008559E5">
            <w:pPr>
              <w:pStyle w:val="Subtitle"/>
            </w:pPr>
          </w:p>
        </w:tc>
        <w:tc>
          <w:tcPr>
            <w:tcW w:w="803" w:type="dxa"/>
            <w:tcBorders>
              <w:bottom w:val="single" w:sz="4" w:space="0" w:color="000000"/>
            </w:tcBorders>
            <w:vAlign w:val="bottom"/>
          </w:tcPr>
          <w:p w14:paraId="3FD53A2F" w14:textId="77777777" w:rsidR="007109E7" w:rsidRPr="00F97F7B" w:rsidRDefault="007109E7" w:rsidP="008559E5">
            <w:pPr>
              <w:pStyle w:val="Subtitle"/>
            </w:pPr>
            <w:r>
              <w:t>H1 FY20</w:t>
            </w:r>
          </w:p>
          <w:p w14:paraId="7225FDA7" w14:textId="77777777" w:rsidR="007109E7" w:rsidRPr="00F97F7B" w:rsidRDefault="007109E7" w:rsidP="008559E5">
            <w:pPr>
              <w:pStyle w:val="Subtitle"/>
            </w:pPr>
            <w:r w:rsidRPr="00F97F7B">
              <w:t>%</w:t>
            </w:r>
          </w:p>
        </w:tc>
        <w:tc>
          <w:tcPr>
            <w:tcW w:w="803" w:type="dxa"/>
            <w:tcBorders>
              <w:bottom w:val="single" w:sz="4" w:space="0" w:color="000000"/>
            </w:tcBorders>
            <w:vAlign w:val="bottom"/>
          </w:tcPr>
          <w:p w14:paraId="3680F50B" w14:textId="77777777" w:rsidR="007109E7" w:rsidRPr="00F97F7B" w:rsidRDefault="007109E7" w:rsidP="008559E5">
            <w:pPr>
              <w:pStyle w:val="Subtitle"/>
            </w:pPr>
            <w:r>
              <w:t>H2 FY20</w:t>
            </w:r>
          </w:p>
          <w:p w14:paraId="0C4566C3" w14:textId="77777777" w:rsidR="007109E7" w:rsidRPr="00F97F7B" w:rsidRDefault="007109E7" w:rsidP="008559E5">
            <w:pPr>
              <w:pStyle w:val="Subtitle"/>
            </w:pPr>
            <w:r w:rsidRPr="00F97F7B">
              <w:t>%</w:t>
            </w:r>
          </w:p>
        </w:tc>
        <w:tc>
          <w:tcPr>
            <w:tcW w:w="803" w:type="dxa"/>
            <w:tcBorders>
              <w:bottom w:val="single" w:sz="4" w:space="0" w:color="000000"/>
            </w:tcBorders>
          </w:tcPr>
          <w:p w14:paraId="5D84106B" w14:textId="77777777" w:rsidR="007109E7" w:rsidRPr="00F97F7B" w:rsidRDefault="007109E7" w:rsidP="008559E5">
            <w:pPr>
              <w:pStyle w:val="Subtitle"/>
            </w:pPr>
            <w:r>
              <w:t>Full Year</w:t>
            </w:r>
          </w:p>
          <w:p w14:paraId="2E76C0F3" w14:textId="77777777" w:rsidR="007109E7" w:rsidRPr="00F97F7B" w:rsidRDefault="007109E7" w:rsidP="008559E5">
            <w:pPr>
              <w:pStyle w:val="Subtitle"/>
            </w:pPr>
            <w:r w:rsidRPr="00F97F7B">
              <w:t>%</w:t>
            </w:r>
          </w:p>
        </w:tc>
      </w:tr>
      <w:tr w:rsidR="007109E7" w14:paraId="686DC45B" w14:textId="77777777" w:rsidTr="008559E5">
        <w:trPr>
          <w:trHeight w:val="230"/>
        </w:trPr>
        <w:tc>
          <w:tcPr>
            <w:tcW w:w="4962" w:type="dxa"/>
            <w:tcBorders>
              <w:top w:val="single" w:sz="4" w:space="0" w:color="000000"/>
            </w:tcBorders>
            <w:vAlign w:val="bottom"/>
          </w:tcPr>
          <w:p w14:paraId="2F03D300" w14:textId="77777777" w:rsidR="007109E7" w:rsidRPr="00F97F7B" w:rsidRDefault="007109E7" w:rsidP="008559E5">
            <w:pPr>
              <w:pStyle w:val="TableRowHead"/>
            </w:pPr>
            <w:r w:rsidRPr="00F97F7B">
              <w:t>Reported revenue</w:t>
            </w:r>
          </w:p>
        </w:tc>
        <w:tc>
          <w:tcPr>
            <w:tcW w:w="803" w:type="dxa"/>
            <w:tcBorders>
              <w:top w:val="nil"/>
              <w:left w:val="nil"/>
              <w:bottom w:val="nil"/>
              <w:right w:val="nil"/>
            </w:tcBorders>
            <w:shd w:val="clear" w:color="auto" w:fill="auto"/>
          </w:tcPr>
          <w:p w14:paraId="40C26FAE" w14:textId="77777777" w:rsidR="007109E7" w:rsidRPr="0050671B" w:rsidRDefault="007109E7" w:rsidP="008559E5">
            <w:pPr>
              <w:pStyle w:val="Subtitle"/>
            </w:pPr>
            <w:r>
              <w:t>1.9%</w:t>
            </w:r>
          </w:p>
        </w:tc>
        <w:tc>
          <w:tcPr>
            <w:tcW w:w="803" w:type="dxa"/>
            <w:tcBorders>
              <w:top w:val="nil"/>
              <w:left w:val="nil"/>
              <w:bottom w:val="nil"/>
              <w:right w:val="nil"/>
            </w:tcBorders>
            <w:shd w:val="clear" w:color="auto" w:fill="auto"/>
          </w:tcPr>
          <w:p w14:paraId="7E434764" w14:textId="77777777" w:rsidR="007109E7" w:rsidRPr="0050671B" w:rsidRDefault="007109E7" w:rsidP="008559E5">
            <w:pPr>
              <w:pStyle w:val="Subtitle"/>
            </w:pPr>
            <w:r>
              <w:t>(38.5%)</w:t>
            </w:r>
          </w:p>
        </w:tc>
        <w:tc>
          <w:tcPr>
            <w:tcW w:w="803" w:type="dxa"/>
            <w:tcBorders>
              <w:top w:val="nil"/>
              <w:left w:val="nil"/>
              <w:bottom w:val="nil"/>
              <w:right w:val="nil"/>
            </w:tcBorders>
            <w:shd w:val="clear" w:color="auto" w:fill="auto"/>
          </w:tcPr>
          <w:p w14:paraId="7616B7B8" w14:textId="77777777" w:rsidR="007109E7" w:rsidRPr="0050671B" w:rsidRDefault="007109E7" w:rsidP="008559E5">
            <w:pPr>
              <w:pStyle w:val="Subtitle"/>
            </w:pPr>
            <w:r>
              <w:t>(19.7%)</w:t>
            </w:r>
          </w:p>
        </w:tc>
        <w:tc>
          <w:tcPr>
            <w:tcW w:w="426" w:type="dxa"/>
            <w:tcBorders>
              <w:top w:val="nil"/>
              <w:left w:val="nil"/>
              <w:bottom w:val="nil"/>
              <w:right w:val="nil"/>
            </w:tcBorders>
          </w:tcPr>
          <w:p w14:paraId="6092F95D"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017557CE" w14:textId="77777777" w:rsidR="007109E7" w:rsidRPr="0050671B" w:rsidRDefault="007109E7" w:rsidP="008559E5">
            <w:pPr>
              <w:pStyle w:val="Subtitle"/>
            </w:pPr>
            <w:r>
              <w:t>1.0%</w:t>
            </w:r>
          </w:p>
        </w:tc>
        <w:tc>
          <w:tcPr>
            <w:tcW w:w="803" w:type="dxa"/>
            <w:tcBorders>
              <w:top w:val="nil"/>
              <w:left w:val="nil"/>
              <w:bottom w:val="nil"/>
              <w:right w:val="nil"/>
            </w:tcBorders>
            <w:shd w:val="clear" w:color="auto" w:fill="auto"/>
          </w:tcPr>
          <w:p w14:paraId="0DB62659" w14:textId="77777777" w:rsidR="007109E7" w:rsidRPr="0050671B" w:rsidRDefault="007109E7" w:rsidP="008559E5">
            <w:pPr>
              <w:pStyle w:val="Subtitle"/>
            </w:pPr>
            <w:r>
              <w:t>2.4%</w:t>
            </w:r>
          </w:p>
        </w:tc>
        <w:tc>
          <w:tcPr>
            <w:tcW w:w="803" w:type="dxa"/>
            <w:tcBorders>
              <w:top w:val="nil"/>
              <w:left w:val="nil"/>
              <w:bottom w:val="nil"/>
              <w:right w:val="nil"/>
            </w:tcBorders>
            <w:shd w:val="clear" w:color="auto" w:fill="auto"/>
          </w:tcPr>
          <w:p w14:paraId="1FE9D3C4" w14:textId="77777777" w:rsidR="007109E7" w:rsidRPr="0050671B" w:rsidRDefault="007109E7" w:rsidP="008559E5">
            <w:pPr>
              <w:pStyle w:val="Subtitle"/>
            </w:pPr>
            <w:r>
              <w:t>1.7%</w:t>
            </w:r>
          </w:p>
        </w:tc>
      </w:tr>
      <w:tr w:rsidR="007109E7" w14:paraId="684C76D8" w14:textId="77777777" w:rsidTr="008559E5">
        <w:trPr>
          <w:trHeight w:val="230"/>
        </w:trPr>
        <w:tc>
          <w:tcPr>
            <w:tcW w:w="4962" w:type="dxa"/>
            <w:vAlign w:val="bottom"/>
          </w:tcPr>
          <w:p w14:paraId="5612B774" w14:textId="77777777" w:rsidR="007109E7" w:rsidRPr="00F97F7B" w:rsidRDefault="007109E7" w:rsidP="008559E5">
            <w:pPr>
              <w:pStyle w:val="TableRowHead"/>
            </w:pPr>
            <w:r w:rsidRPr="00F97F7B">
              <w:t>Impact of disposals and exits</w:t>
            </w:r>
          </w:p>
        </w:tc>
        <w:tc>
          <w:tcPr>
            <w:tcW w:w="803" w:type="dxa"/>
            <w:tcBorders>
              <w:top w:val="nil"/>
              <w:left w:val="nil"/>
              <w:bottom w:val="nil"/>
              <w:right w:val="nil"/>
            </w:tcBorders>
            <w:shd w:val="clear" w:color="auto" w:fill="auto"/>
          </w:tcPr>
          <w:p w14:paraId="2714BDF3"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61C7E0D4"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4C08FEC8" w14:textId="77777777" w:rsidR="007109E7" w:rsidRPr="0050671B" w:rsidRDefault="007109E7" w:rsidP="008559E5">
            <w:pPr>
              <w:pStyle w:val="Subtitle"/>
            </w:pPr>
            <w:r w:rsidRPr="00AC5FB2">
              <w:t>–</w:t>
            </w:r>
          </w:p>
        </w:tc>
        <w:tc>
          <w:tcPr>
            <w:tcW w:w="426" w:type="dxa"/>
            <w:tcBorders>
              <w:top w:val="nil"/>
              <w:left w:val="nil"/>
              <w:bottom w:val="nil"/>
              <w:right w:val="nil"/>
            </w:tcBorders>
          </w:tcPr>
          <w:p w14:paraId="1023095D"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2B2AEBEF" w14:textId="77777777" w:rsidR="007109E7" w:rsidRPr="0050671B" w:rsidRDefault="007109E7" w:rsidP="008559E5">
            <w:pPr>
              <w:pStyle w:val="Subtitle"/>
            </w:pPr>
            <w:r>
              <w:t>2.6%</w:t>
            </w:r>
          </w:p>
        </w:tc>
        <w:tc>
          <w:tcPr>
            <w:tcW w:w="803" w:type="dxa"/>
            <w:tcBorders>
              <w:top w:val="nil"/>
              <w:left w:val="nil"/>
              <w:bottom w:val="nil"/>
              <w:right w:val="nil"/>
            </w:tcBorders>
            <w:shd w:val="clear" w:color="auto" w:fill="auto"/>
          </w:tcPr>
          <w:p w14:paraId="28A9FDAD"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1C75A520" w14:textId="77777777" w:rsidR="007109E7" w:rsidRPr="0050671B" w:rsidRDefault="007109E7" w:rsidP="008559E5">
            <w:pPr>
              <w:pStyle w:val="Subtitle"/>
            </w:pPr>
            <w:r>
              <w:t>1.4%</w:t>
            </w:r>
          </w:p>
        </w:tc>
      </w:tr>
      <w:tr w:rsidR="007109E7" w14:paraId="47E46428" w14:textId="77777777" w:rsidTr="008559E5">
        <w:trPr>
          <w:trHeight w:val="230"/>
        </w:trPr>
        <w:tc>
          <w:tcPr>
            <w:tcW w:w="4962" w:type="dxa"/>
            <w:vAlign w:val="bottom"/>
          </w:tcPr>
          <w:p w14:paraId="58781B7A" w14:textId="77777777" w:rsidR="007109E7" w:rsidRPr="00F97F7B" w:rsidRDefault="007109E7" w:rsidP="008559E5">
            <w:pPr>
              <w:pStyle w:val="TableRowHead"/>
            </w:pPr>
            <w:r>
              <w:t>Impact of acquisitions</w:t>
            </w:r>
          </w:p>
        </w:tc>
        <w:tc>
          <w:tcPr>
            <w:tcW w:w="803" w:type="dxa"/>
            <w:tcBorders>
              <w:top w:val="nil"/>
              <w:left w:val="nil"/>
              <w:bottom w:val="nil"/>
              <w:right w:val="nil"/>
            </w:tcBorders>
            <w:shd w:val="clear" w:color="auto" w:fill="auto"/>
          </w:tcPr>
          <w:p w14:paraId="12C2FD73" w14:textId="77777777" w:rsidR="007109E7" w:rsidRPr="0050671B" w:rsidRDefault="007109E7" w:rsidP="008559E5">
            <w:pPr>
              <w:pStyle w:val="Subtitle"/>
            </w:pPr>
            <w:r>
              <w:t>(4.0%)</w:t>
            </w:r>
          </w:p>
        </w:tc>
        <w:tc>
          <w:tcPr>
            <w:tcW w:w="803" w:type="dxa"/>
            <w:tcBorders>
              <w:top w:val="nil"/>
              <w:left w:val="nil"/>
              <w:bottom w:val="nil"/>
              <w:right w:val="nil"/>
            </w:tcBorders>
            <w:shd w:val="clear" w:color="auto" w:fill="auto"/>
          </w:tcPr>
          <w:p w14:paraId="5D81EE5B" w14:textId="77777777" w:rsidR="007109E7" w:rsidRPr="0050671B" w:rsidRDefault="007109E7" w:rsidP="008559E5">
            <w:pPr>
              <w:pStyle w:val="Subtitle"/>
            </w:pPr>
            <w:r>
              <w:t>(2.0%)</w:t>
            </w:r>
          </w:p>
        </w:tc>
        <w:tc>
          <w:tcPr>
            <w:tcW w:w="803" w:type="dxa"/>
            <w:tcBorders>
              <w:top w:val="nil"/>
              <w:left w:val="nil"/>
              <w:bottom w:val="nil"/>
              <w:right w:val="nil"/>
            </w:tcBorders>
            <w:shd w:val="clear" w:color="auto" w:fill="auto"/>
          </w:tcPr>
          <w:p w14:paraId="5CA20122" w14:textId="77777777" w:rsidR="007109E7" w:rsidRPr="0050671B" w:rsidRDefault="007109E7" w:rsidP="008559E5">
            <w:pPr>
              <w:pStyle w:val="Subtitle"/>
            </w:pPr>
            <w:r>
              <w:t>(2.9%)</w:t>
            </w:r>
          </w:p>
        </w:tc>
        <w:tc>
          <w:tcPr>
            <w:tcW w:w="426" w:type="dxa"/>
            <w:tcBorders>
              <w:top w:val="nil"/>
              <w:left w:val="nil"/>
              <w:bottom w:val="nil"/>
              <w:right w:val="nil"/>
            </w:tcBorders>
          </w:tcPr>
          <w:p w14:paraId="4E125AA7"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312CA8B0"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1950309F"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3465FE95" w14:textId="77777777" w:rsidR="007109E7" w:rsidRPr="0050671B" w:rsidRDefault="007109E7" w:rsidP="008559E5">
            <w:pPr>
              <w:pStyle w:val="Subtitle"/>
            </w:pPr>
            <w:r w:rsidRPr="00AC5FB2">
              <w:t>–</w:t>
            </w:r>
          </w:p>
        </w:tc>
      </w:tr>
      <w:tr w:rsidR="007109E7" w14:paraId="3D8038A3" w14:textId="77777777" w:rsidTr="008559E5">
        <w:trPr>
          <w:trHeight w:val="230"/>
        </w:trPr>
        <w:tc>
          <w:tcPr>
            <w:tcW w:w="4962" w:type="dxa"/>
            <w:tcBorders>
              <w:bottom w:val="single" w:sz="4" w:space="0" w:color="auto"/>
            </w:tcBorders>
            <w:vAlign w:val="bottom"/>
          </w:tcPr>
          <w:p w14:paraId="1FE33E0E" w14:textId="77777777" w:rsidR="007109E7" w:rsidRPr="00F97F7B" w:rsidRDefault="007109E7" w:rsidP="008559E5">
            <w:pPr>
              <w:pStyle w:val="TableRowHead"/>
            </w:pPr>
            <w:r w:rsidRPr="00F97F7B">
              <w:t>Impact of currency</w:t>
            </w:r>
            <w:r w:rsidRPr="00F97F7B">
              <w:tab/>
            </w:r>
          </w:p>
        </w:tc>
        <w:tc>
          <w:tcPr>
            <w:tcW w:w="803" w:type="dxa"/>
            <w:tcBorders>
              <w:top w:val="nil"/>
              <w:left w:val="nil"/>
              <w:bottom w:val="nil"/>
              <w:right w:val="nil"/>
            </w:tcBorders>
            <w:shd w:val="clear" w:color="auto" w:fill="auto"/>
          </w:tcPr>
          <w:p w14:paraId="6BD06BA9"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35BF24A9"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00EE4163" w14:textId="77777777" w:rsidR="007109E7" w:rsidRPr="0050671B" w:rsidRDefault="007109E7" w:rsidP="008559E5">
            <w:pPr>
              <w:pStyle w:val="Subtitle"/>
            </w:pPr>
            <w:r w:rsidRPr="00AC5FB2">
              <w:t>–</w:t>
            </w:r>
          </w:p>
        </w:tc>
        <w:tc>
          <w:tcPr>
            <w:tcW w:w="426" w:type="dxa"/>
            <w:tcBorders>
              <w:top w:val="nil"/>
              <w:left w:val="nil"/>
              <w:bottom w:val="nil"/>
              <w:right w:val="nil"/>
            </w:tcBorders>
          </w:tcPr>
          <w:p w14:paraId="4F4F2C36"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2B5FE4C4" w14:textId="77777777" w:rsidR="007109E7" w:rsidRPr="0050671B" w:rsidRDefault="007109E7" w:rsidP="008559E5">
            <w:pPr>
              <w:pStyle w:val="Subtitle"/>
            </w:pPr>
            <w:r>
              <w:t>0.4%</w:t>
            </w:r>
          </w:p>
        </w:tc>
        <w:tc>
          <w:tcPr>
            <w:tcW w:w="803" w:type="dxa"/>
            <w:tcBorders>
              <w:top w:val="nil"/>
              <w:left w:val="nil"/>
              <w:bottom w:val="nil"/>
              <w:right w:val="nil"/>
            </w:tcBorders>
            <w:shd w:val="clear" w:color="auto" w:fill="auto"/>
          </w:tcPr>
          <w:p w14:paraId="18D80DA5" w14:textId="77777777" w:rsidR="007109E7" w:rsidRPr="0050671B" w:rsidRDefault="007109E7" w:rsidP="008559E5">
            <w:pPr>
              <w:pStyle w:val="Subtitle"/>
            </w:pPr>
            <w:r>
              <w:t>(0.2%)</w:t>
            </w:r>
          </w:p>
        </w:tc>
        <w:tc>
          <w:tcPr>
            <w:tcW w:w="803" w:type="dxa"/>
            <w:tcBorders>
              <w:top w:val="nil"/>
              <w:left w:val="nil"/>
              <w:bottom w:val="nil"/>
              <w:right w:val="nil"/>
            </w:tcBorders>
            <w:shd w:val="clear" w:color="auto" w:fill="auto"/>
          </w:tcPr>
          <w:p w14:paraId="33902FA2" w14:textId="77777777" w:rsidR="007109E7" w:rsidRPr="0050671B" w:rsidRDefault="007109E7" w:rsidP="008559E5">
            <w:pPr>
              <w:pStyle w:val="Subtitle"/>
            </w:pPr>
            <w:r>
              <w:t>0.1%</w:t>
            </w:r>
          </w:p>
        </w:tc>
      </w:tr>
      <w:tr w:rsidR="007109E7" w:rsidRPr="002C3B46" w14:paraId="01C7B03F" w14:textId="77777777" w:rsidTr="008559E5">
        <w:trPr>
          <w:trHeight w:val="208"/>
        </w:trPr>
        <w:tc>
          <w:tcPr>
            <w:tcW w:w="4962" w:type="dxa"/>
            <w:tcBorders>
              <w:top w:val="single" w:sz="4" w:space="0" w:color="auto"/>
              <w:bottom w:val="single" w:sz="8" w:space="0" w:color="auto"/>
            </w:tcBorders>
            <w:vAlign w:val="bottom"/>
          </w:tcPr>
          <w:p w14:paraId="7B09966F" w14:textId="77777777" w:rsidR="007109E7" w:rsidRPr="002C3B46" w:rsidRDefault="007109E7" w:rsidP="008559E5">
            <w:pPr>
              <w:pStyle w:val="TableRowHead"/>
              <w:rPr>
                <w:b/>
              </w:rPr>
            </w:pPr>
            <w:r w:rsidRPr="002C3B46">
              <w:rPr>
                <w:b/>
              </w:rPr>
              <w:t>Pro Forma Revenue Growth (%</w:t>
            </w:r>
            <w:r>
              <w:rPr>
                <w:b/>
              </w:rPr>
              <w:t>)</w:t>
            </w:r>
          </w:p>
        </w:tc>
        <w:tc>
          <w:tcPr>
            <w:tcW w:w="803" w:type="dxa"/>
            <w:tcBorders>
              <w:top w:val="single" w:sz="4" w:space="0" w:color="auto"/>
              <w:bottom w:val="single" w:sz="8" w:space="0" w:color="auto"/>
            </w:tcBorders>
            <w:vAlign w:val="center"/>
          </w:tcPr>
          <w:p w14:paraId="39DD1CA2" w14:textId="77777777" w:rsidR="007109E7" w:rsidRPr="0050671B" w:rsidRDefault="007109E7" w:rsidP="008559E5">
            <w:pPr>
              <w:pStyle w:val="Subtitle"/>
            </w:pPr>
            <w:r>
              <w:t>(2.1%)</w:t>
            </w:r>
          </w:p>
        </w:tc>
        <w:tc>
          <w:tcPr>
            <w:tcW w:w="803" w:type="dxa"/>
            <w:tcBorders>
              <w:top w:val="single" w:sz="4" w:space="0" w:color="auto"/>
              <w:bottom w:val="single" w:sz="8" w:space="0" w:color="auto"/>
            </w:tcBorders>
            <w:vAlign w:val="center"/>
          </w:tcPr>
          <w:p w14:paraId="72A03383" w14:textId="77777777" w:rsidR="007109E7" w:rsidRPr="0050671B" w:rsidRDefault="007109E7" w:rsidP="008559E5">
            <w:pPr>
              <w:pStyle w:val="Subtitle"/>
            </w:pPr>
            <w:r>
              <w:t>(40.5%)</w:t>
            </w:r>
          </w:p>
        </w:tc>
        <w:tc>
          <w:tcPr>
            <w:tcW w:w="803" w:type="dxa"/>
            <w:tcBorders>
              <w:top w:val="single" w:sz="4" w:space="0" w:color="auto"/>
              <w:bottom w:val="single" w:sz="8" w:space="0" w:color="auto"/>
            </w:tcBorders>
            <w:vAlign w:val="center"/>
          </w:tcPr>
          <w:p w14:paraId="06E51F6E" w14:textId="77777777" w:rsidR="007109E7" w:rsidRPr="0050671B" w:rsidRDefault="007109E7" w:rsidP="008559E5">
            <w:pPr>
              <w:pStyle w:val="Subtitle"/>
            </w:pPr>
            <w:r>
              <w:t>(22.6%)</w:t>
            </w:r>
          </w:p>
        </w:tc>
        <w:tc>
          <w:tcPr>
            <w:tcW w:w="426" w:type="dxa"/>
            <w:tcBorders>
              <w:top w:val="single" w:sz="4" w:space="0" w:color="auto"/>
              <w:bottom w:val="single" w:sz="8" w:space="0" w:color="auto"/>
            </w:tcBorders>
          </w:tcPr>
          <w:p w14:paraId="1EF375BC" w14:textId="77777777" w:rsidR="007109E7" w:rsidRPr="0050671B" w:rsidRDefault="007109E7" w:rsidP="008559E5">
            <w:pPr>
              <w:pStyle w:val="Subtitle"/>
            </w:pPr>
          </w:p>
        </w:tc>
        <w:tc>
          <w:tcPr>
            <w:tcW w:w="803" w:type="dxa"/>
            <w:tcBorders>
              <w:top w:val="single" w:sz="4" w:space="0" w:color="auto"/>
              <w:bottom w:val="single" w:sz="8" w:space="0" w:color="auto"/>
            </w:tcBorders>
            <w:vAlign w:val="center"/>
          </w:tcPr>
          <w:p w14:paraId="7CF87EAA" w14:textId="77777777" w:rsidR="007109E7" w:rsidRPr="0050671B" w:rsidRDefault="007109E7" w:rsidP="008559E5">
            <w:pPr>
              <w:pStyle w:val="Subtitle"/>
            </w:pPr>
            <w:r>
              <w:t>4.0%</w:t>
            </w:r>
          </w:p>
        </w:tc>
        <w:tc>
          <w:tcPr>
            <w:tcW w:w="803" w:type="dxa"/>
            <w:tcBorders>
              <w:top w:val="single" w:sz="4" w:space="0" w:color="auto"/>
              <w:bottom w:val="single" w:sz="8" w:space="0" w:color="auto"/>
            </w:tcBorders>
            <w:vAlign w:val="center"/>
          </w:tcPr>
          <w:p w14:paraId="64204A00" w14:textId="77777777" w:rsidR="007109E7" w:rsidRPr="0050671B" w:rsidRDefault="007109E7" w:rsidP="008559E5">
            <w:pPr>
              <w:pStyle w:val="Subtitle"/>
            </w:pPr>
            <w:r>
              <w:t>2.2%</w:t>
            </w:r>
          </w:p>
        </w:tc>
        <w:tc>
          <w:tcPr>
            <w:tcW w:w="803" w:type="dxa"/>
            <w:tcBorders>
              <w:top w:val="single" w:sz="4" w:space="0" w:color="auto"/>
              <w:bottom w:val="single" w:sz="8" w:space="0" w:color="auto"/>
            </w:tcBorders>
            <w:vAlign w:val="center"/>
          </w:tcPr>
          <w:p w14:paraId="45C3C0C9" w14:textId="77777777" w:rsidR="007109E7" w:rsidRPr="0050671B" w:rsidRDefault="007109E7" w:rsidP="008559E5">
            <w:pPr>
              <w:pStyle w:val="Subtitle"/>
            </w:pPr>
            <w:r>
              <w:t>3.2%</w:t>
            </w:r>
          </w:p>
        </w:tc>
      </w:tr>
    </w:tbl>
    <w:p w14:paraId="64C11077" w14:textId="77777777" w:rsidR="007109E7" w:rsidRDefault="007109E7" w:rsidP="007109E7">
      <w:pPr>
        <w:pStyle w:val="BodyText"/>
      </w:pPr>
    </w:p>
    <w:p w14:paraId="2274772C" w14:textId="77777777" w:rsidR="007109E7" w:rsidRDefault="007109E7" w:rsidP="007109E7">
      <w:pPr>
        <w:spacing w:after="5" w:line="242" w:lineRule="auto"/>
        <w:ind w:right="-567"/>
        <w:jc w:val="both"/>
        <w:rPr>
          <w:b/>
          <w:caps/>
          <w:color w:val="000000"/>
          <w:sz w:val="18"/>
        </w:rPr>
      </w:pPr>
    </w:p>
    <w:p w14:paraId="690C96DE" w14:textId="77777777" w:rsidR="007109E7" w:rsidRPr="0062480F" w:rsidRDefault="007109E7" w:rsidP="007109E7">
      <w:pPr>
        <w:spacing w:after="5" w:line="242" w:lineRule="auto"/>
        <w:ind w:right="-567"/>
        <w:jc w:val="both"/>
        <w:rPr>
          <w:b/>
          <w:caps/>
          <w:color w:val="000000"/>
          <w:sz w:val="18"/>
        </w:rPr>
      </w:pPr>
      <w:r w:rsidRPr="0062480F">
        <w:rPr>
          <w:b/>
          <w:caps/>
          <w:color w:val="000000"/>
          <w:sz w:val="18"/>
        </w:rPr>
        <w:t>ADJUSTED EBITDA, ADJUSTED OPERATING PROFIT AND ADJUSTED OPERATING MARGIN</w:t>
      </w:r>
    </w:p>
    <w:p w14:paraId="2304B238" w14:textId="77777777" w:rsidR="007109E7" w:rsidRDefault="007109E7" w:rsidP="007109E7">
      <w:pPr>
        <w:pStyle w:val="BodyText"/>
      </w:pPr>
    </w:p>
    <w:p w14:paraId="0635D395"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Adjusted EBITDA, Adjusted Operating Profit and Adjusted Operating Margin are used by the Group to measure the underlying and ongoing operating performance of each business </w:t>
      </w:r>
      <w:r>
        <w:rPr>
          <w:rFonts w:asciiTheme="minorHAnsi" w:hAnsiTheme="minorHAnsi" w:cstheme="minorHAnsi"/>
          <w:sz w:val="18"/>
          <w:szCs w:val="18"/>
        </w:rPr>
        <w:t xml:space="preserve">unit </w:t>
      </w:r>
      <w:r w:rsidRPr="002A7FD2">
        <w:rPr>
          <w:rFonts w:asciiTheme="minorHAnsi" w:hAnsiTheme="minorHAnsi" w:cstheme="minorHAnsi"/>
          <w:sz w:val="18"/>
          <w:szCs w:val="18"/>
        </w:rPr>
        <w:t>and of the Group as a whole.</w:t>
      </w:r>
    </w:p>
    <w:p w14:paraId="5A02A84F" w14:textId="77777777" w:rsidR="007109E7" w:rsidRPr="002A7FD2" w:rsidRDefault="007109E7" w:rsidP="007109E7">
      <w:pPr>
        <w:widowControl/>
        <w:adjustRightInd w:val="0"/>
        <w:jc w:val="both"/>
        <w:rPr>
          <w:rFonts w:asciiTheme="minorHAnsi" w:hAnsiTheme="minorHAnsi" w:cstheme="minorHAnsi"/>
          <w:sz w:val="18"/>
          <w:szCs w:val="18"/>
        </w:rPr>
      </w:pPr>
    </w:p>
    <w:p w14:paraId="32FFCCD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Operating Profit as operating profit before amortisation of acquisition related intangibles and exceptional </w:t>
      </w:r>
      <w:r>
        <w:rPr>
          <w:rFonts w:asciiTheme="minorHAnsi" w:hAnsiTheme="minorHAnsi" w:cstheme="minorHAnsi"/>
          <w:sz w:val="18"/>
          <w:szCs w:val="18"/>
        </w:rPr>
        <w:t>items</w:t>
      </w:r>
      <w:r w:rsidRPr="002A7FD2">
        <w:rPr>
          <w:rFonts w:asciiTheme="minorHAnsi" w:hAnsiTheme="minorHAnsi" w:cstheme="minorHAnsi"/>
          <w:sz w:val="18"/>
          <w:szCs w:val="18"/>
        </w:rPr>
        <w:t>. Adjusted EBITDA is calculated as Adjusted Operating Profit plus depreciation and amortisation of</w:t>
      </w:r>
      <w:r>
        <w:rPr>
          <w:rFonts w:asciiTheme="minorHAnsi" w:hAnsiTheme="minorHAnsi" w:cstheme="minorHAnsi"/>
          <w:sz w:val="18"/>
          <w:szCs w:val="18"/>
        </w:rPr>
        <w:t xml:space="preserve"> </w:t>
      </w:r>
      <w:r w:rsidRPr="002A7FD2">
        <w:rPr>
          <w:rFonts w:asciiTheme="minorHAnsi" w:hAnsiTheme="minorHAnsi" w:cstheme="minorHAnsi"/>
          <w:sz w:val="18"/>
          <w:szCs w:val="18"/>
        </w:rPr>
        <w:t>intangible assets. Adjusted Operating Margin is calculated as Adjusted Operating Profit divided by reported revenue.</w:t>
      </w:r>
    </w:p>
    <w:p w14:paraId="1A6254C3" w14:textId="77777777" w:rsidR="007109E7" w:rsidRPr="002A7FD2" w:rsidRDefault="007109E7" w:rsidP="007109E7">
      <w:pPr>
        <w:widowControl/>
        <w:adjustRightInd w:val="0"/>
        <w:jc w:val="both"/>
        <w:rPr>
          <w:rFonts w:asciiTheme="minorHAnsi" w:hAnsiTheme="minorHAnsi" w:cstheme="minorHAnsi"/>
          <w:sz w:val="18"/>
          <w:szCs w:val="18"/>
        </w:rPr>
      </w:pPr>
    </w:p>
    <w:p w14:paraId="495A6B9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following table sets forth a reconciliation from the Group’s profit for the financial year to Adjusted Operating Profit, Adjusted </w:t>
      </w:r>
      <w:proofErr w:type="gramStart"/>
      <w:r w:rsidRPr="002A7FD2">
        <w:rPr>
          <w:rFonts w:asciiTheme="minorHAnsi" w:hAnsiTheme="minorHAnsi" w:cstheme="minorHAnsi"/>
          <w:sz w:val="18"/>
          <w:szCs w:val="18"/>
        </w:rPr>
        <w:t>EBITDA</w:t>
      </w:r>
      <w:proofErr w:type="gramEnd"/>
      <w:r w:rsidRPr="002A7FD2">
        <w:rPr>
          <w:rFonts w:asciiTheme="minorHAnsi" w:hAnsiTheme="minorHAnsi" w:cstheme="minorHAnsi"/>
          <w:sz w:val="18"/>
          <w:szCs w:val="18"/>
        </w:rPr>
        <w:t xml:space="preserve"> and Adjusted Operating Margin:</w:t>
      </w:r>
    </w:p>
    <w:p w14:paraId="2CDE8D3F" w14:textId="77777777" w:rsidR="007109E7" w:rsidRDefault="007109E7" w:rsidP="007109E7">
      <w:pPr>
        <w:pStyle w:val="BodyText"/>
      </w:pPr>
    </w:p>
    <w:tbl>
      <w:tblPr>
        <w:tblW w:w="10206" w:type="dxa"/>
        <w:tblLayout w:type="fixed"/>
        <w:tblLook w:val="01E0" w:firstRow="1" w:lastRow="1" w:firstColumn="1" w:lastColumn="1" w:noHBand="0" w:noVBand="0"/>
      </w:tblPr>
      <w:tblGrid>
        <w:gridCol w:w="3855"/>
        <w:gridCol w:w="1247"/>
        <w:gridCol w:w="1247"/>
        <w:gridCol w:w="681"/>
        <w:gridCol w:w="1247"/>
        <w:gridCol w:w="1247"/>
        <w:gridCol w:w="682"/>
      </w:tblGrid>
      <w:tr w:rsidR="007109E7" w:rsidRPr="00ED1935" w14:paraId="4777D4D5" w14:textId="77777777" w:rsidTr="008559E5">
        <w:trPr>
          <w:trHeight w:val="227"/>
        </w:trPr>
        <w:tc>
          <w:tcPr>
            <w:tcW w:w="3855" w:type="dxa"/>
          </w:tcPr>
          <w:p w14:paraId="70DD7A5B" w14:textId="77777777" w:rsidR="007109E7" w:rsidRPr="00ED1935" w:rsidRDefault="007109E7" w:rsidP="008559E5">
            <w:pPr>
              <w:widowControl/>
              <w:autoSpaceDE/>
              <w:autoSpaceDN/>
              <w:rPr>
                <w:rFonts w:asciiTheme="minorHAnsi" w:eastAsiaTheme="minorHAnsi" w:hAnsiTheme="minorHAnsi" w:cstheme="minorBidi"/>
                <w:sz w:val="18"/>
                <w:szCs w:val="18"/>
                <w:lang w:eastAsia="en-US" w:bidi="ar-SA"/>
              </w:rPr>
            </w:pPr>
          </w:p>
        </w:tc>
        <w:tc>
          <w:tcPr>
            <w:tcW w:w="3175" w:type="dxa"/>
            <w:gridSpan w:val="3"/>
            <w:vAlign w:val="bottom"/>
          </w:tcPr>
          <w:p w14:paraId="7BABF868" w14:textId="77777777" w:rsidR="007109E7" w:rsidRPr="00A46B58" w:rsidRDefault="007109E7" w:rsidP="008559E5">
            <w:pPr>
              <w:widowControl/>
              <w:autoSpaceDE/>
              <w:autoSpaceDN/>
              <w:jc w:val="center"/>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2020</w:t>
            </w:r>
          </w:p>
        </w:tc>
        <w:tc>
          <w:tcPr>
            <w:tcW w:w="3176" w:type="dxa"/>
            <w:gridSpan w:val="3"/>
            <w:vAlign w:val="bottom"/>
          </w:tcPr>
          <w:p w14:paraId="0F6597A9" w14:textId="77777777" w:rsidR="007109E7" w:rsidRPr="00ED1935" w:rsidRDefault="007109E7" w:rsidP="008559E5">
            <w:pPr>
              <w:widowControl/>
              <w:autoSpaceDE/>
              <w:autoSpaceDN/>
              <w:jc w:val="cente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p>
        </w:tc>
      </w:tr>
      <w:tr w:rsidR="007109E7" w:rsidRPr="00ED1935" w14:paraId="215EE1CD" w14:textId="77777777" w:rsidTr="008559E5">
        <w:trPr>
          <w:trHeight w:val="227"/>
        </w:trPr>
        <w:tc>
          <w:tcPr>
            <w:tcW w:w="3855" w:type="dxa"/>
            <w:tcBorders>
              <w:bottom w:val="single" w:sz="4" w:space="0" w:color="auto"/>
            </w:tcBorders>
          </w:tcPr>
          <w:p w14:paraId="5B2CD02F" w14:textId="77777777" w:rsidR="007109E7" w:rsidRPr="00ED1935" w:rsidRDefault="007109E7" w:rsidP="008559E5">
            <w:pPr>
              <w:widowControl/>
              <w:autoSpaceDE/>
              <w:autoSpaceDN/>
              <w:rPr>
                <w:rFonts w:asciiTheme="minorHAnsi" w:eastAsiaTheme="minorHAnsi" w:hAnsiTheme="minorHAnsi" w:cstheme="minorBidi"/>
                <w:sz w:val="18"/>
                <w:szCs w:val="18"/>
                <w:lang w:eastAsia="en-US" w:bidi="ar-SA"/>
              </w:rPr>
            </w:pPr>
          </w:p>
        </w:tc>
        <w:tc>
          <w:tcPr>
            <w:tcW w:w="1247" w:type="dxa"/>
            <w:tcBorders>
              <w:bottom w:val="single" w:sz="4" w:space="0" w:color="auto"/>
            </w:tcBorders>
            <w:vAlign w:val="bottom"/>
          </w:tcPr>
          <w:p w14:paraId="613B8EFD"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44E959AD"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Foods</w:t>
            </w:r>
          </w:p>
          <w:p w14:paraId="47220C8D" w14:textId="77777777" w:rsidR="007109E7" w:rsidRPr="00D85282"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1249D0">
              <w:rPr>
                <w:rFonts w:asciiTheme="minorHAnsi" w:eastAsiaTheme="minorHAnsi" w:hAnsiTheme="minorHAnsi" w:cstheme="minorBidi"/>
                <w:b/>
                <w:bCs/>
                <w:sz w:val="18"/>
                <w:szCs w:val="18"/>
                <w:lang w:eastAsia="en-US" w:bidi="ar-SA"/>
              </w:rPr>
              <w:t>UK &amp; Ireland</w:t>
            </w:r>
            <w:r w:rsidRPr="001249D0">
              <w:rPr>
                <w:rFonts w:asciiTheme="minorHAnsi" w:eastAsiaTheme="minorHAnsi" w:hAnsiTheme="minorHAnsi" w:cstheme="minorBidi"/>
                <w:b/>
                <w:bCs/>
                <w:sz w:val="18"/>
                <w:szCs w:val="18"/>
                <w:lang w:eastAsia="en-US" w:bidi="ar-SA"/>
              </w:rPr>
              <w:br/>
              <w:t>£m</w:t>
            </w:r>
          </w:p>
        </w:tc>
        <w:tc>
          <w:tcPr>
            <w:tcW w:w="1247" w:type="dxa"/>
            <w:tcBorders>
              <w:bottom w:val="single" w:sz="4" w:space="0" w:color="auto"/>
            </w:tcBorders>
            <w:vAlign w:val="bottom"/>
          </w:tcPr>
          <w:p w14:paraId="00485ABD" w14:textId="77777777" w:rsidR="007109E7" w:rsidRPr="00FF24C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FF24CA">
              <w:rPr>
                <w:rFonts w:asciiTheme="minorHAnsi" w:eastAsiaTheme="minorHAnsi" w:hAnsiTheme="minorHAnsi" w:cstheme="minorBidi"/>
                <w:b/>
                <w:bCs/>
                <w:sz w:val="18"/>
                <w:szCs w:val="18"/>
                <w:lang w:eastAsia="en-US" w:bidi="ar-SA"/>
              </w:rPr>
              <w:t>Discontinued operations</w:t>
            </w:r>
            <w:r w:rsidRPr="00FF24CA">
              <w:rPr>
                <w:rFonts w:asciiTheme="minorHAnsi" w:eastAsiaTheme="minorHAnsi" w:hAnsiTheme="minorHAnsi" w:cstheme="minorBidi"/>
                <w:b/>
                <w:bCs/>
                <w:sz w:val="18"/>
                <w:szCs w:val="18"/>
                <w:lang w:eastAsia="en-US" w:bidi="ar-SA"/>
              </w:rPr>
              <w:br/>
              <w:t>£m</w:t>
            </w:r>
          </w:p>
        </w:tc>
        <w:tc>
          <w:tcPr>
            <w:tcW w:w="681" w:type="dxa"/>
            <w:tcBorders>
              <w:bottom w:val="single" w:sz="4" w:space="0" w:color="auto"/>
            </w:tcBorders>
            <w:vAlign w:val="bottom"/>
          </w:tcPr>
          <w:p w14:paraId="72CDAC25" w14:textId="77777777" w:rsidR="007109E7" w:rsidRPr="005771B0"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Total</w:t>
            </w:r>
            <w:r w:rsidRPr="005771B0">
              <w:rPr>
                <w:rFonts w:asciiTheme="minorHAnsi" w:eastAsiaTheme="minorHAnsi" w:hAnsiTheme="minorHAnsi" w:cstheme="minorBidi"/>
                <w:b/>
                <w:bCs/>
                <w:sz w:val="18"/>
                <w:szCs w:val="18"/>
                <w:lang w:eastAsia="en-US" w:bidi="ar-SA"/>
              </w:rPr>
              <w:br/>
              <w:t>£m</w:t>
            </w:r>
          </w:p>
        </w:tc>
        <w:tc>
          <w:tcPr>
            <w:tcW w:w="1247" w:type="dxa"/>
            <w:tcBorders>
              <w:bottom w:val="single" w:sz="4" w:space="0" w:color="auto"/>
            </w:tcBorders>
            <w:vAlign w:val="bottom"/>
          </w:tcPr>
          <w:p w14:paraId="5751FD14"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Convenience</w:t>
            </w:r>
          </w:p>
          <w:p w14:paraId="7F66D73B"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Foods</w:t>
            </w:r>
          </w:p>
          <w:p w14:paraId="275BF303"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UK &amp; Ireland</w:t>
            </w:r>
            <w:r>
              <w:rPr>
                <w:rFonts w:asciiTheme="minorHAnsi" w:eastAsiaTheme="minorHAnsi" w:hAnsiTheme="minorHAnsi" w:cstheme="minorBidi"/>
                <w:sz w:val="18"/>
                <w:szCs w:val="18"/>
                <w:lang w:eastAsia="en-US" w:bidi="ar-SA"/>
              </w:rPr>
              <w:br/>
              <w:t>£m</w:t>
            </w:r>
          </w:p>
        </w:tc>
        <w:tc>
          <w:tcPr>
            <w:tcW w:w="1247" w:type="dxa"/>
            <w:tcBorders>
              <w:bottom w:val="single" w:sz="4" w:space="0" w:color="auto"/>
            </w:tcBorders>
            <w:vAlign w:val="bottom"/>
          </w:tcPr>
          <w:p w14:paraId="0D86883E"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Discontinued operations</w:t>
            </w:r>
            <w:r w:rsidRPr="00ED1935">
              <w:rPr>
                <w:rFonts w:asciiTheme="minorHAnsi" w:eastAsiaTheme="minorHAnsi" w:hAnsiTheme="minorHAnsi" w:cstheme="minorBidi"/>
                <w:sz w:val="18"/>
                <w:szCs w:val="18"/>
                <w:lang w:eastAsia="en-US" w:bidi="ar-SA"/>
              </w:rPr>
              <w:br/>
            </w:r>
            <w:r>
              <w:rPr>
                <w:rFonts w:asciiTheme="minorHAnsi" w:eastAsiaTheme="minorHAnsi" w:hAnsiTheme="minorHAnsi" w:cstheme="minorBidi"/>
                <w:sz w:val="18"/>
                <w:szCs w:val="18"/>
                <w:lang w:eastAsia="en-US" w:bidi="ar-SA"/>
              </w:rPr>
              <w:t>£m</w:t>
            </w:r>
          </w:p>
        </w:tc>
        <w:tc>
          <w:tcPr>
            <w:tcW w:w="682" w:type="dxa"/>
            <w:tcBorders>
              <w:bottom w:val="single" w:sz="4" w:space="0" w:color="auto"/>
            </w:tcBorders>
            <w:vAlign w:val="bottom"/>
          </w:tcPr>
          <w:p w14:paraId="7D25774E"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Total</w:t>
            </w:r>
            <w:r w:rsidRPr="00ED1935">
              <w:rPr>
                <w:rFonts w:asciiTheme="minorHAnsi" w:eastAsiaTheme="minorHAnsi" w:hAnsiTheme="minorHAnsi" w:cstheme="minorBidi"/>
                <w:sz w:val="18"/>
                <w:szCs w:val="18"/>
                <w:lang w:eastAsia="en-US" w:bidi="ar-SA"/>
              </w:rPr>
              <w:br/>
            </w:r>
            <w:r>
              <w:rPr>
                <w:rFonts w:asciiTheme="minorHAnsi" w:eastAsiaTheme="minorHAnsi" w:hAnsiTheme="minorHAnsi" w:cstheme="minorBidi"/>
                <w:sz w:val="18"/>
                <w:szCs w:val="18"/>
                <w:lang w:eastAsia="en-US" w:bidi="ar-SA"/>
              </w:rPr>
              <w:t>£m</w:t>
            </w:r>
          </w:p>
        </w:tc>
      </w:tr>
      <w:tr w:rsidR="007109E7" w:rsidRPr="00ED1935" w14:paraId="6E6B9AB0" w14:textId="77777777" w:rsidTr="008559E5">
        <w:trPr>
          <w:trHeight w:val="227"/>
        </w:trPr>
        <w:tc>
          <w:tcPr>
            <w:tcW w:w="3855" w:type="dxa"/>
            <w:tcBorders>
              <w:top w:val="single" w:sz="4" w:space="0" w:color="auto"/>
            </w:tcBorders>
            <w:vAlign w:val="center"/>
          </w:tcPr>
          <w:p w14:paraId="50092FB1"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Profit for the financial year</w:t>
            </w:r>
          </w:p>
        </w:tc>
        <w:tc>
          <w:tcPr>
            <w:tcW w:w="1247" w:type="dxa"/>
            <w:tcBorders>
              <w:top w:val="single" w:sz="4" w:space="0" w:color="auto"/>
            </w:tcBorders>
            <w:vAlign w:val="center"/>
          </w:tcPr>
          <w:p w14:paraId="0B777850"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(9.9)</w:t>
            </w:r>
          </w:p>
        </w:tc>
        <w:tc>
          <w:tcPr>
            <w:tcW w:w="1247" w:type="dxa"/>
            <w:tcBorders>
              <w:top w:val="single" w:sz="4" w:space="0" w:color="auto"/>
            </w:tcBorders>
            <w:vAlign w:val="center"/>
          </w:tcPr>
          <w:p w14:paraId="014F54D5"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tcBorders>
            <w:vAlign w:val="center"/>
          </w:tcPr>
          <w:p w14:paraId="5B761298" w14:textId="77777777" w:rsidR="007109E7" w:rsidRPr="00292A9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(9.</w:t>
            </w:r>
            <w:r w:rsidRPr="002C2661">
              <w:rPr>
                <w:rFonts w:asciiTheme="minorHAnsi" w:eastAsiaTheme="minorHAnsi" w:hAnsiTheme="minorHAnsi" w:cstheme="minorBidi"/>
                <w:b/>
                <w:bCs/>
                <w:sz w:val="18"/>
                <w:szCs w:val="18"/>
                <w:lang w:eastAsia="en-US" w:bidi="ar-SA"/>
              </w:rPr>
              <w:t>9</w:t>
            </w:r>
            <w:r w:rsidRPr="00A46B58">
              <w:rPr>
                <w:rFonts w:asciiTheme="minorHAnsi" w:eastAsiaTheme="minorHAnsi" w:hAnsiTheme="minorHAnsi" w:cstheme="minorBidi"/>
                <w:b/>
                <w:bCs/>
                <w:sz w:val="18"/>
                <w:szCs w:val="18"/>
                <w:lang w:eastAsia="en-US" w:bidi="ar-SA"/>
              </w:rPr>
              <w:t>)</w:t>
            </w:r>
          </w:p>
        </w:tc>
        <w:tc>
          <w:tcPr>
            <w:tcW w:w="1247" w:type="dxa"/>
            <w:tcBorders>
              <w:top w:val="single" w:sz="4" w:space="0" w:color="auto"/>
            </w:tcBorders>
            <w:vAlign w:val="center"/>
          </w:tcPr>
          <w:p w14:paraId="5BB4394B"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43.4</w:t>
            </w:r>
          </w:p>
        </w:tc>
        <w:tc>
          <w:tcPr>
            <w:tcW w:w="1247" w:type="dxa"/>
            <w:tcBorders>
              <w:top w:val="single" w:sz="4" w:space="0" w:color="auto"/>
            </w:tcBorders>
            <w:vAlign w:val="center"/>
          </w:tcPr>
          <w:p w14:paraId="2C06E304"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64.8</w:t>
            </w:r>
          </w:p>
        </w:tc>
        <w:tc>
          <w:tcPr>
            <w:tcW w:w="682" w:type="dxa"/>
            <w:tcBorders>
              <w:top w:val="single" w:sz="4" w:space="0" w:color="auto"/>
            </w:tcBorders>
            <w:vAlign w:val="center"/>
          </w:tcPr>
          <w:p w14:paraId="1F3FD21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108.2</w:t>
            </w:r>
          </w:p>
        </w:tc>
      </w:tr>
      <w:tr w:rsidR="007109E7" w:rsidRPr="00ED1935" w14:paraId="1B0C1641" w14:textId="77777777" w:rsidTr="008559E5">
        <w:trPr>
          <w:trHeight w:val="227"/>
        </w:trPr>
        <w:tc>
          <w:tcPr>
            <w:tcW w:w="3855" w:type="dxa"/>
            <w:vAlign w:val="center"/>
          </w:tcPr>
          <w:p w14:paraId="311A4614"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 xml:space="preserve">Taxation </w:t>
            </w:r>
            <w:r w:rsidRPr="005771B0">
              <w:rPr>
                <w:rFonts w:asciiTheme="minorHAnsi" w:eastAsiaTheme="minorHAnsi" w:hAnsiTheme="minorHAnsi" w:cstheme="minorBidi"/>
                <w:sz w:val="18"/>
                <w:szCs w:val="18"/>
                <w:vertAlign w:val="superscript"/>
                <w:lang w:eastAsia="en-US" w:bidi="ar-SA"/>
              </w:rPr>
              <w:t>(A)</w:t>
            </w:r>
          </w:p>
        </w:tc>
        <w:tc>
          <w:tcPr>
            <w:tcW w:w="1247" w:type="dxa"/>
            <w:vAlign w:val="center"/>
          </w:tcPr>
          <w:p w14:paraId="57FF35B8"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(0.9)</w:t>
            </w:r>
          </w:p>
        </w:tc>
        <w:tc>
          <w:tcPr>
            <w:tcW w:w="1247" w:type="dxa"/>
            <w:vAlign w:val="center"/>
          </w:tcPr>
          <w:p w14:paraId="74BCC67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0917597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(0.9)</w:t>
            </w:r>
          </w:p>
        </w:tc>
        <w:tc>
          <w:tcPr>
            <w:tcW w:w="1247" w:type="dxa"/>
            <w:vAlign w:val="center"/>
          </w:tcPr>
          <w:p w14:paraId="5FCF0829"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13.0</w:t>
            </w:r>
          </w:p>
        </w:tc>
        <w:tc>
          <w:tcPr>
            <w:tcW w:w="1247" w:type="dxa"/>
            <w:vAlign w:val="center"/>
          </w:tcPr>
          <w:p w14:paraId="2478EB02" w14:textId="77777777" w:rsidR="007109E7" w:rsidRPr="00AC5FB2"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vAlign w:val="center"/>
          </w:tcPr>
          <w:p w14:paraId="4DDC6499"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13.0</w:t>
            </w:r>
          </w:p>
        </w:tc>
      </w:tr>
      <w:tr w:rsidR="007109E7" w:rsidRPr="00ED1935" w14:paraId="334D334C" w14:textId="77777777" w:rsidTr="008559E5">
        <w:trPr>
          <w:trHeight w:val="227"/>
        </w:trPr>
        <w:tc>
          <w:tcPr>
            <w:tcW w:w="3855" w:type="dxa"/>
            <w:vAlign w:val="center"/>
          </w:tcPr>
          <w:p w14:paraId="39BE78D5"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Net finance costs</w:t>
            </w:r>
            <w:r w:rsidRPr="005771B0">
              <w:rPr>
                <w:rFonts w:asciiTheme="minorHAnsi" w:eastAsiaTheme="minorHAnsi" w:hAnsiTheme="minorHAnsi" w:cstheme="minorBidi"/>
                <w:sz w:val="18"/>
                <w:szCs w:val="18"/>
                <w:vertAlign w:val="superscript"/>
                <w:lang w:eastAsia="en-US" w:bidi="ar-SA"/>
              </w:rPr>
              <w:t xml:space="preserve"> (B)</w:t>
            </w:r>
          </w:p>
        </w:tc>
        <w:tc>
          <w:tcPr>
            <w:tcW w:w="1247" w:type="dxa"/>
            <w:vAlign w:val="center"/>
          </w:tcPr>
          <w:p w14:paraId="5B2E463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17.2</w:t>
            </w:r>
          </w:p>
        </w:tc>
        <w:tc>
          <w:tcPr>
            <w:tcW w:w="1247" w:type="dxa"/>
            <w:vAlign w:val="center"/>
          </w:tcPr>
          <w:p w14:paraId="194886B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0E65196A"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17.2</w:t>
            </w:r>
          </w:p>
        </w:tc>
        <w:tc>
          <w:tcPr>
            <w:tcW w:w="1247" w:type="dxa"/>
            <w:vAlign w:val="center"/>
          </w:tcPr>
          <w:p w14:paraId="578C9F7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18.9</w:t>
            </w:r>
          </w:p>
        </w:tc>
        <w:tc>
          <w:tcPr>
            <w:tcW w:w="1247" w:type="dxa"/>
            <w:vAlign w:val="center"/>
          </w:tcPr>
          <w:p w14:paraId="48CDAB2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0.2</w:t>
            </w:r>
          </w:p>
        </w:tc>
        <w:tc>
          <w:tcPr>
            <w:tcW w:w="682" w:type="dxa"/>
            <w:vAlign w:val="center"/>
          </w:tcPr>
          <w:p w14:paraId="152B259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19.1</w:t>
            </w:r>
          </w:p>
        </w:tc>
      </w:tr>
      <w:tr w:rsidR="007109E7" w:rsidRPr="00ED1935" w14:paraId="3ABF12EA" w14:textId="77777777" w:rsidTr="008559E5">
        <w:trPr>
          <w:trHeight w:val="227"/>
        </w:trPr>
        <w:tc>
          <w:tcPr>
            <w:tcW w:w="3855" w:type="dxa"/>
            <w:vAlign w:val="center"/>
          </w:tcPr>
          <w:p w14:paraId="33B5BB9C"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Share of profit of associates after tax</w:t>
            </w:r>
          </w:p>
        </w:tc>
        <w:tc>
          <w:tcPr>
            <w:tcW w:w="1247" w:type="dxa"/>
            <w:vAlign w:val="center"/>
          </w:tcPr>
          <w:p w14:paraId="5DEB10B5"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(0.6)</w:t>
            </w:r>
          </w:p>
        </w:tc>
        <w:tc>
          <w:tcPr>
            <w:tcW w:w="1247" w:type="dxa"/>
            <w:vAlign w:val="center"/>
          </w:tcPr>
          <w:p w14:paraId="1DECE312"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23CFF1EC"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(0.6)</w:t>
            </w:r>
          </w:p>
        </w:tc>
        <w:tc>
          <w:tcPr>
            <w:tcW w:w="1247" w:type="dxa"/>
            <w:vAlign w:val="center"/>
          </w:tcPr>
          <w:p w14:paraId="7B80B00A"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c>
          <w:tcPr>
            <w:tcW w:w="1247" w:type="dxa"/>
            <w:vAlign w:val="center"/>
          </w:tcPr>
          <w:p w14:paraId="12EE7083" w14:textId="77777777" w:rsidR="007109E7" w:rsidRPr="005771B0"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vAlign w:val="center"/>
          </w:tcPr>
          <w:p w14:paraId="605F1540"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r>
      <w:tr w:rsidR="007109E7" w:rsidRPr="00ED1935" w14:paraId="36756CAB" w14:textId="77777777" w:rsidTr="008559E5">
        <w:trPr>
          <w:trHeight w:val="227"/>
        </w:trPr>
        <w:tc>
          <w:tcPr>
            <w:tcW w:w="3855" w:type="dxa"/>
            <w:vAlign w:val="center"/>
          </w:tcPr>
          <w:p w14:paraId="4F456C9B"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Exceptional items</w:t>
            </w:r>
          </w:p>
        </w:tc>
        <w:tc>
          <w:tcPr>
            <w:tcW w:w="1247" w:type="dxa"/>
            <w:vAlign w:val="center"/>
          </w:tcPr>
          <w:p w14:paraId="356448B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22.8</w:t>
            </w:r>
          </w:p>
        </w:tc>
        <w:tc>
          <w:tcPr>
            <w:tcW w:w="1247" w:type="dxa"/>
            <w:vAlign w:val="center"/>
          </w:tcPr>
          <w:p w14:paraId="6347004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35E29589"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w:t>
            </w:r>
            <w:r>
              <w:rPr>
                <w:rFonts w:asciiTheme="minorHAnsi" w:eastAsiaTheme="minorHAnsi" w:hAnsiTheme="minorHAnsi" w:cstheme="minorBidi"/>
                <w:b/>
                <w:bCs/>
                <w:sz w:val="18"/>
                <w:szCs w:val="18"/>
                <w:lang w:eastAsia="en-US" w:bidi="ar-SA"/>
              </w:rPr>
              <w:t>2</w:t>
            </w:r>
            <w:r w:rsidRPr="002C2661">
              <w:rPr>
                <w:rFonts w:asciiTheme="minorHAnsi" w:eastAsiaTheme="minorHAnsi" w:hAnsiTheme="minorHAnsi" w:cstheme="minorBidi"/>
                <w:b/>
                <w:bCs/>
                <w:sz w:val="18"/>
                <w:szCs w:val="18"/>
                <w:lang w:eastAsia="en-US" w:bidi="ar-SA"/>
              </w:rPr>
              <w:t>.</w:t>
            </w:r>
            <w:r>
              <w:rPr>
                <w:rFonts w:asciiTheme="minorHAnsi" w:eastAsiaTheme="minorHAnsi" w:hAnsiTheme="minorHAnsi" w:cstheme="minorBidi"/>
                <w:b/>
                <w:bCs/>
                <w:sz w:val="18"/>
                <w:szCs w:val="18"/>
                <w:lang w:eastAsia="en-US" w:bidi="ar-SA"/>
              </w:rPr>
              <w:t>8</w:t>
            </w:r>
          </w:p>
        </w:tc>
        <w:tc>
          <w:tcPr>
            <w:tcW w:w="1247" w:type="dxa"/>
            <w:vAlign w:val="center"/>
          </w:tcPr>
          <w:p w14:paraId="508F7845"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30.2</w:t>
            </w:r>
          </w:p>
        </w:tc>
        <w:tc>
          <w:tcPr>
            <w:tcW w:w="1247" w:type="dxa"/>
            <w:vAlign w:val="center"/>
          </w:tcPr>
          <w:p w14:paraId="2B05BE31"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(55.9)</w:t>
            </w:r>
          </w:p>
        </w:tc>
        <w:tc>
          <w:tcPr>
            <w:tcW w:w="682" w:type="dxa"/>
            <w:vAlign w:val="center"/>
          </w:tcPr>
          <w:p w14:paraId="165E307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(25.7)</w:t>
            </w:r>
          </w:p>
        </w:tc>
      </w:tr>
      <w:tr w:rsidR="007109E7" w:rsidRPr="00ED1935" w14:paraId="4260D285" w14:textId="77777777" w:rsidTr="008559E5">
        <w:trPr>
          <w:trHeight w:val="227"/>
        </w:trPr>
        <w:tc>
          <w:tcPr>
            <w:tcW w:w="3855" w:type="dxa"/>
            <w:tcBorders>
              <w:bottom w:val="single" w:sz="4" w:space="0" w:color="auto"/>
            </w:tcBorders>
            <w:vAlign w:val="center"/>
          </w:tcPr>
          <w:p w14:paraId="51D69B23"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Amortisation of acquisition related intangibles</w:t>
            </w:r>
          </w:p>
        </w:tc>
        <w:tc>
          <w:tcPr>
            <w:tcW w:w="1247" w:type="dxa"/>
            <w:tcBorders>
              <w:bottom w:val="single" w:sz="4" w:space="0" w:color="auto"/>
            </w:tcBorders>
            <w:vAlign w:val="center"/>
          </w:tcPr>
          <w:p w14:paraId="310A5E5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3.9</w:t>
            </w:r>
          </w:p>
        </w:tc>
        <w:tc>
          <w:tcPr>
            <w:tcW w:w="1247" w:type="dxa"/>
            <w:tcBorders>
              <w:bottom w:val="single" w:sz="4" w:space="0" w:color="auto"/>
            </w:tcBorders>
            <w:vAlign w:val="center"/>
          </w:tcPr>
          <w:p w14:paraId="75D1F42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bottom w:val="single" w:sz="4" w:space="0" w:color="auto"/>
            </w:tcBorders>
            <w:vAlign w:val="center"/>
          </w:tcPr>
          <w:p w14:paraId="1290D0D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3.9</w:t>
            </w:r>
          </w:p>
        </w:tc>
        <w:tc>
          <w:tcPr>
            <w:tcW w:w="1247" w:type="dxa"/>
            <w:tcBorders>
              <w:bottom w:val="single" w:sz="4" w:space="0" w:color="auto"/>
            </w:tcBorders>
            <w:vAlign w:val="center"/>
          </w:tcPr>
          <w:p w14:paraId="58A7A895"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c>
          <w:tcPr>
            <w:tcW w:w="1247" w:type="dxa"/>
            <w:tcBorders>
              <w:bottom w:val="single" w:sz="4" w:space="0" w:color="auto"/>
            </w:tcBorders>
            <w:vAlign w:val="center"/>
          </w:tcPr>
          <w:p w14:paraId="32FB40FC"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tcBorders>
              <w:bottom w:val="single" w:sz="4" w:space="0" w:color="auto"/>
            </w:tcBorders>
            <w:vAlign w:val="center"/>
          </w:tcPr>
          <w:p w14:paraId="6BF8C9C1"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r>
      <w:tr w:rsidR="007109E7" w:rsidRPr="00ED1935" w14:paraId="0FA2F176" w14:textId="77777777" w:rsidTr="008559E5">
        <w:trPr>
          <w:trHeight w:val="227"/>
        </w:trPr>
        <w:tc>
          <w:tcPr>
            <w:tcW w:w="3855" w:type="dxa"/>
            <w:tcBorders>
              <w:top w:val="single" w:sz="4" w:space="0" w:color="auto"/>
            </w:tcBorders>
            <w:vAlign w:val="center"/>
          </w:tcPr>
          <w:p w14:paraId="17791741"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Operating Profit</w:t>
            </w:r>
          </w:p>
        </w:tc>
        <w:tc>
          <w:tcPr>
            <w:tcW w:w="1247" w:type="dxa"/>
            <w:tcBorders>
              <w:top w:val="single" w:sz="4" w:space="0" w:color="auto"/>
            </w:tcBorders>
            <w:vAlign w:val="center"/>
          </w:tcPr>
          <w:p w14:paraId="1B7DD169"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32.5</w:t>
            </w:r>
          </w:p>
        </w:tc>
        <w:tc>
          <w:tcPr>
            <w:tcW w:w="1247" w:type="dxa"/>
            <w:tcBorders>
              <w:top w:val="single" w:sz="4" w:space="0" w:color="auto"/>
            </w:tcBorders>
            <w:vAlign w:val="center"/>
          </w:tcPr>
          <w:p w14:paraId="44D776D8"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tcBorders>
            <w:vAlign w:val="center"/>
          </w:tcPr>
          <w:p w14:paraId="18F7242C"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32.5</w:t>
            </w:r>
          </w:p>
        </w:tc>
        <w:tc>
          <w:tcPr>
            <w:tcW w:w="1247" w:type="dxa"/>
            <w:tcBorders>
              <w:top w:val="single" w:sz="4" w:space="0" w:color="auto"/>
            </w:tcBorders>
            <w:vAlign w:val="center"/>
          </w:tcPr>
          <w:p w14:paraId="5C336E7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105.5</w:t>
            </w:r>
          </w:p>
        </w:tc>
        <w:tc>
          <w:tcPr>
            <w:tcW w:w="1247" w:type="dxa"/>
            <w:tcBorders>
              <w:top w:val="single" w:sz="4" w:space="0" w:color="auto"/>
            </w:tcBorders>
            <w:vAlign w:val="center"/>
          </w:tcPr>
          <w:p w14:paraId="3C20E9AD"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9.1</w:t>
            </w:r>
          </w:p>
        </w:tc>
        <w:tc>
          <w:tcPr>
            <w:tcW w:w="682" w:type="dxa"/>
            <w:tcBorders>
              <w:top w:val="single" w:sz="4" w:space="0" w:color="auto"/>
            </w:tcBorders>
            <w:vAlign w:val="center"/>
          </w:tcPr>
          <w:p w14:paraId="55B158A7"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114.6</w:t>
            </w:r>
          </w:p>
        </w:tc>
      </w:tr>
      <w:tr w:rsidR="007109E7" w:rsidRPr="00ED1935" w14:paraId="6EF80EAB" w14:textId="77777777" w:rsidTr="008559E5">
        <w:trPr>
          <w:trHeight w:val="227"/>
        </w:trPr>
        <w:tc>
          <w:tcPr>
            <w:tcW w:w="3855" w:type="dxa"/>
            <w:tcBorders>
              <w:bottom w:val="single" w:sz="4" w:space="0" w:color="auto"/>
            </w:tcBorders>
            <w:vAlign w:val="center"/>
          </w:tcPr>
          <w:p w14:paraId="7915F9D4"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 xml:space="preserve">Depreciation and amortisation </w:t>
            </w:r>
            <w:r w:rsidRPr="005771B0">
              <w:rPr>
                <w:rFonts w:asciiTheme="minorHAnsi" w:eastAsiaTheme="minorHAnsi" w:hAnsiTheme="minorHAnsi" w:cstheme="minorBidi"/>
                <w:sz w:val="18"/>
                <w:szCs w:val="18"/>
                <w:vertAlign w:val="superscript"/>
                <w:lang w:eastAsia="en-US" w:bidi="ar-SA"/>
              </w:rPr>
              <w:t>(C)</w:t>
            </w:r>
          </w:p>
        </w:tc>
        <w:tc>
          <w:tcPr>
            <w:tcW w:w="1247" w:type="dxa"/>
            <w:tcBorders>
              <w:bottom w:val="single" w:sz="4" w:space="0" w:color="auto"/>
            </w:tcBorders>
            <w:vAlign w:val="center"/>
          </w:tcPr>
          <w:p w14:paraId="5B1E428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52.5</w:t>
            </w:r>
          </w:p>
        </w:tc>
        <w:tc>
          <w:tcPr>
            <w:tcW w:w="1247" w:type="dxa"/>
            <w:tcBorders>
              <w:bottom w:val="single" w:sz="4" w:space="0" w:color="auto"/>
            </w:tcBorders>
            <w:vAlign w:val="center"/>
          </w:tcPr>
          <w:p w14:paraId="32EB59D0"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bottom w:val="single" w:sz="4" w:space="0" w:color="auto"/>
            </w:tcBorders>
            <w:vAlign w:val="center"/>
          </w:tcPr>
          <w:p w14:paraId="09E14473"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52.5</w:t>
            </w:r>
          </w:p>
        </w:tc>
        <w:tc>
          <w:tcPr>
            <w:tcW w:w="1247" w:type="dxa"/>
            <w:tcBorders>
              <w:bottom w:val="single" w:sz="4" w:space="0" w:color="auto"/>
            </w:tcBorders>
            <w:vAlign w:val="center"/>
          </w:tcPr>
          <w:p w14:paraId="220BB8FC"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36.5</w:t>
            </w:r>
          </w:p>
        </w:tc>
        <w:tc>
          <w:tcPr>
            <w:tcW w:w="1247" w:type="dxa"/>
            <w:tcBorders>
              <w:bottom w:val="single" w:sz="4" w:space="0" w:color="auto"/>
            </w:tcBorders>
            <w:vAlign w:val="center"/>
          </w:tcPr>
          <w:p w14:paraId="36C460C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tcBorders>
              <w:bottom w:val="single" w:sz="4" w:space="0" w:color="auto"/>
            </w:tcBorders>
            <w:vAlign w:val="center"/>
          </w:tcPr>
          <w:p w14:paraId="26C1AC34"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36.5</w:t>
            </w:r>
          </w:p>
        </w:tc>
      </w:tr>
      <w:tr w:rsidR="007109E7" w:rsidRPr="00ED1935" w14:paraId="28A4DD1D" w14:textId="77777777" w:rsidTr="008559E5">
        <w:trPr>
          <w:trHeight w:val="227"/>
        </w:trPr>
        <w:tc>
          <w:tcPr>
            <w:tcW w:w="3855" w:type="dxa"/>
            <w:tcBorders>
              <w:top w:val="single" w:sz="4" w:space="0" w:color="auto"/>
              <w:bottom w:val="single" w:sz="8" w:space="0" w:color="auto"/>
            </w:tcBorders>
            <w:vAlign w:val="center"/>
          </w:tcPr>
          <w:p w14:paraId="3D57B6C6"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EBITDA</w:t>
            </w:r>
          </w:p>
        </w:tc>
        <w:tc>
          <w:tcPr>
            <w:tcW w:w="1247" w:type="dxa"/>
            <w:tcBorders>
              <w:top w:val="single" w:sz="4" w:space="0" w:color="auto"/>
              <w:bottom w:val="single" w:sz="8" w:space="0" w:color="auto"/>
            </w:tcBorders>
            <w:vAlign w:val="center"/>
          </w:tcPr>
          <w:p w14:paraId="690B9F1F"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85.0</w:t>
            </w:r>
          </w:p>
        </w:tc>
        <w:tc>
          <w:tcPr>
            <w:tcW w:w="1247" w:type="dxa"/>
            <w:tcBorders>
              <w:top w:val="single" w:sz="4" w:space="0" w:color="auto"/>
              <w:bottom w:val="single" w:sz="8" w:space="0" w:color="auto"/>
            </w:tcBorders>
            <w:vAlign w:val="center"/>
          </w:tcPr>
          <w:p w14:paraId="7DE45641"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bottom w:val="single" w:sz="8" w:space="0" w:color="auto"/>
            </w:tcBorders>
            <w:vAlign w:val="center"/>
          </w:tcPr>
          <w:p w14:paraId="3BCDEE54"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85.0</w:t>
            </w:r>
          </w:p>
        </w:tc>
        <w:tc>
          <w:tcPr>
            <w:tcW w:w="1247" w:type="dxa"/>
            <w:tcBorders>
              <w:top w:val="single" w:sz="4" w:space="0" w:color="auto"/>
              <w:bottom w:val="single" w:sz="8" w:space="0" w:color="auto"/>
            </w:tcBorders>
            <w:vAlign w:val="center"/>
          </w:tcPr>
          <w:p w14:paraId="663CE9F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142.0</w:t>
            </w:r>
          </w:p>
        </w:tc>
        <w:tc>
          <w:tcPr>
            <w:tcW w:w="1247" w:type="dxa"/>
            <w:tcBorders>
              <w:top w:val="single" w:sz="4" w:space="0" w:color="auto"/>
              <w:bottom w:val="single" w:sz="8" w:space="0" w:color="auto"/>
            </w:tcBorders>
            <w:vAlign w:val="center"/>
          </w:tcPr>
          <w:p w14:paraId="49E7FC86"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9.1</w:t>
            </w:r>
          </w:p>
        </w:tc>
        <w:tc>
          <w:tcPr>
            <w:tcW w:w="682" w:type="dxa"/>
            <w:tcBorders>
              <w:top w:val="single" w:sz="4" w:space="0" w:color="auto"/>
              <w:bottom w:val="single" w:sz="8" w:space="0" w:color="auto"/>
            </w:tcBorders>
            <w:vAlign w:val="center"/>
          </w:tcPr>
          <w:p w14:paraId="63CF741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151.1</w:t>
            </w:r>
          </w:p>
        </w:tc>
      </w:tr>
      <w:tr w:rsidR="007109E7" w:rsidRPr="00ED1935" w14:paraId="5A6D461A" w14:textId="77777777" w:rsidTr="008559E5">
        <w:trPr>
          <w:trHeight w:val="227"/>
        </w:trPr>
        <w:tc>
          <w:tcPr>
            <w:tcW w:w="3855" w:type="dxa"/>
            <w:tcBorders>
              <w:top w:val="single" w:sz="8" w:space="0" w:color="auto"/>
              <w:bottom w:val="single" w:sz="8" w:space="0" w:color="auto"/>
            </w:tcBorders>
            <w:vAlign w:val="center"/>
          </w:tcPr>
          <w:p w14:paraId="57C35DB4"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Operating Margin (%)</w:t>
            </w:r>
          </w:p>
        </w:tc>
        <w:tc>
          <w:tcPr>
            <w:tcW w:w="1247" w:type="dxa"/>
            <w:tcBorders>
              <w:top w:val="single" w:sz="8" w:space="0" w:color="auto"/>
              <w:bottom w:val="single" w:sz="8" w:space="0" w:color="auto"/>
            </w:tcBorders>
            <w:vAlign w:val="center"/>
          </w:tcPr>
          <w:p w14:paraId="7CEE96C2"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2.6%</w:t>
            </w:r>
          </w:p>
        </w:tc>
        <w:tc>
          <w:tcPr>
            <w:tcW w:w="1247" w:type="dxa"/>
            <w:tcBorders>
              <w:top w:val="single" w:sz="8" w:space="0" w:color="auto"/>
              <w:bottom w:val="single" w:sz="8" w:space="0" w:color="auto"/>
            </w:tcBorders>
            <w:vAlign w:val="center"/>
          </w:tcPr>
          <w:p w14:paraId="681A7E8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8" w:space="0" w:color="auto"/>
              <w:bottom w:val="single" w:sz="8" w:space="0" w:color="auto"/>
            </w:tcBorders>
            <w:vAlign w:val="center"/>
          </w:tcPr>
          <w:p w14:paraId="5B75944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2.6%</w:t>
            </w:r>
          </w:p>
        </w:tc>
        <w:tc>
          <w:tcPr>
            <w:tcW w:w="1247" w:type="dxa"/>
            <w:tcBorders>
              <w:top w:val="single" w:sz="8" w:space="0" w:color="auto"/>
              <w:bottom w:val="single" w:sz="8" w:space="0" w:color="auto"/>
            </w:tcBorders>
            <w:vAlign w:val="center"/>
          </w:tcPr>
          <w:p w14:paraId="48C561D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7.3%</w:t>
            </w:r>
          </w:p>
        </w:tc>
        <w:tc>
          <w:tcPr>
            <w:tcW w:w="1247" w:type="dxa"/>
            <w:tcBorders>
              <w:top w:val="single" w:sz="8" w:space="0" w:color="auto"/>
              <w:bottom w:val="single" w:sz="8" w:space="0" w:color="auto"/>
            </w:tcBorders>
            <w:vAlign w:val="center"/>
          </w:tcPr>
          <w:p w14:paraId="574697D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5.3%</w:t>
            </w:r>
          </w:p>
        </w:tc>
        <w:tc>
          <w:tcPr>
            <w:tcW w:w="682" w:type="dxa"/>
            <w:tcBorders>
              <w:top w:val="single" w:sz="8" w:space="0" w:color="auto"/>
              <w:bottom w:val="single" w:sz="8" w:space="0" w:color="auto"/>
            </w:tcBorders>
            <w:vAlign w:val="center"/>
          </w:tcPr>
          <w:p w14:paraId="4A3B27A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7.1%</w:t>
            </w:r>
          </w:p>
        </w:tc>
      </w:tr>
      <w:tr w:rsidR="007109E7" w:rsidRPr="00ED1935" w14:paraId="738DE462" w14:textId="77777777" w:rsidTr="008559E5">
        <w:trPr>
          <w:trHeight w:val="227"/>
        </w:trPr>
        <w:tc>
          <w:tcPr>
            <w:tcW w:w="10206" w:type="dxa"/>
            <w:gridSpan w:val="7"/>
            <w:tcBorders>
              <w:top w:val="single" w:sz="8" w:space="0" w:color="auto"/>
            </w:tcBorders>
          </w:tcPr>
          <w:p w14:paraId="2D2726C4"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Includes tax credit on exceptional items for continuing operation of £2.3m (2019: £0.2m) and for discontinued operations £nil (2019: £nil)</w:t>
            </w:r>
            <w:r>
              <w:rPr>
                <w:rFonts w:asciiTheme="minorHAnsi" w:eastAsiaTheme="minorHAnsi" w:hAnsiTheme="minorHAnsi" w:cstheme="minorBidi"/>
                <w:sz w:val="16"/>
                <w:szCs w:val="16"/>
                <w:lang w:eastAsia="en-US" w:bidi="ar-SA"/>
              </w:rPr>
              <w:t>.</w:t>
            </w:r>
          </w:p>
          <w:p w14:paraId="52070671"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Finance costs less finance income.</w:t>
            </w:r>
          </w:p>
          <w:p w14:paraId="728F03B3"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6"/>
                <w:szCs w:val="16"/>
                <w:lang w:eastAsia="en-US" w:bidi="ar-SA"/>
              </w:rPr>
              <w:t>Excludes amortisation of acquisition related intangibles. The current period includes depreciation of right-of-use assets.</w:t>
            </w:r>
          </w:p>
        </w:tc>
      </w:tr>
    </w:tbl>
    <w:p w14:paraId="257F7545" w14:textId="77777777" w:rsidR="007109E7" w:rsidRPr="00802704" w:rsidRDefault="007109E7" w:rsidP="007109E7">
      <w:pPr>
        <w:pStyle w:val="BodyText"/>
      </w:pPr>
    </w:p>
    <w:p w14:paraId="25C2A0AD" w14:textId="77777777" w:rsidR="007109E7" w:rsidRDefault="007109E7" w:rsidP="007109E7">
      <w:pPr>
        <w:pStyle w:val="Heading2"/>
        <w:numPr>
          <w:ilvl w:val="0"/>
          <w:numId w:val="0"/>
        </w:numPr>
      </w:pPr>
      <w:r>
        <w:t xml:space="preserve">ADJUSTED PROFIT BEFORE TAX ('PBT') </w:t>
      </w:r>
    </w:p>
    <w:p w14:paraId="369AC0B3" w14:textId="77777777" w:rsidR="007109E7" w:rsidRPr="00802704" w:rsidRDefault="007109E7" w:rsidP="007109E7">
      <w:pPr>
        <w:pStyle w:val="BodyText"/>
      </w:pPr>
    </w:p>
    <w:p w14:paraId="69DF612D"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Adjusted PBT is used as a measure by the Group to measure overall performance before associated tax charge and exceptional items.</w:t>
      </w:r>
    </w:p>
    <w:p w14:paraId="399FE67F" w14:textId="77777777" w:rsidR="007109E7" w:rsidRPr="002A7FD2" w:rsidRDefault="007109E7" w:rsidP="007109E7">
      <w:pPr>
        <w:widowControl/>
        <w:adjustRightInd w:val="0"/>
        <w:jc w:val="both"/>
        <w:rPr>
          <w:rFonts w:asciiTheme="minorHAnsi" w:hAnsiTheme="minorHAnsi" w:cstheme="minorHAnsi"/>
          <w:sz w:val="18"/>
          <w:szCs w:val="18"/>
        </w:rPr>
      </w:pPr>
    </w:p>
    <w:p w14:paraId="465A663C"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PBT as profit before taxation, excluding tax on share of profit of associates and before exceptional items, pension finance items, amortisation of acquisition related intangibles, FX on inter-company and certain external balances and the movement </w:t>
      </w:r>
      <w:r>
        <w:rPr>
          <w:rFonts w:asciiTheme="minorHAnsi" w:hAnsiTheme="minorHAnsi" w:cstheme="minorHAnsi"/>
          <w:sz w:val="18"/>
          <w:szCs w:val="18"/>
        </w:rPr>
        <w:t>on</w:t>
      </w:r>
      <w:r w:rsidRPr="002A7FD2">
        <w:rPr>
          <w:rFonts w:asciiTheme="minorHAnsi" w:hAnsiTheme="minorHAnsi" w:cstheme="minorHAnsi"/>
          <w:sz w:val="18"/>
          <w:szCs w:val="18"/>
        </w:rPr>
        <w:t xml:space="preserve"> the fair value of all derivative financial instruments and related debt adjustments.</w:t>
      </w:r>
    </w:p>
    <w:p w14:paraId="1510EC4F" w14:textId="77777777" w:rsidR="007109E7" w:rsidRPr="00802704" w:rsidRDefault="007109E7" w:rsidP="007109E7">
      <w:pPr>
        <w:pStyle w:val="BodyText"/>
      </w:pPr>
    </w:p>
    <w:p w14:paraId="45464460" w14:textId="77777777" w:rsidR="007109E7" w:rsidRDefault="007109E7" w:rsidP="007109E7">
      <w:pPr>
        <w:pStyle w:val="BodyText"/>
      </w:pPr>
      <w:r w:rsidRPr="00802704">
        <w:lastRenderedPageBreak/>
        <w:t>The following table sets out the calculation of Adjusted PBT:</w:t>
      </w:r>
    </w:p>
    <w:tbl>
      <w:tblPr>
        <w:tblW w:w="10206" w:type="dxa"/>
        <w:tblLayout w:type="fixed"/>
        <w:tblLook w:val="01E0" w:firstRow="1" w:lastRow="1" w:firstColumn="1" w:lastColumn="1" w:noHBand="0" w:noVBand="0"/>
      </w:tblPr>
      <w:tblGrid>
        <w:gridCol w:w="8222"/>
        <w:gridCol w:w="992"/>
        <w:gridCol w:w="992"/>
      </w:tblGrid>
      <w:tr w:rsidR="007109E7" w14:paraId="69FB8395" w14:textId="77777777" w:rsidTr="008559E5">
        <w:trPr>
          <w:trHeight w:val="227"/>
        </w:trPr>
        <w:tc>
          <w:tcPr>
            <w:tcW w:w="8222" w:type="dxa"/>
            <w:tcBorders>
              <w:bottom w:val="single" w:sz="4" w:space="0" w:color="000000"/>
            </w:tcBorders>
            <w:vAlign w:val="bottom"/>
          </w:tcPr>
          <w:p w14:paraId="33BA0120" w14:textId="77777777" w:rsidR="007109E7" w:rsidRPr="00657DE0" w:rsidRDefault="007109E7" w:rsidP="008559E5">
            <w:pPr>
              <w:widowControl/>
              <w:autoSpaceDE/>
              <w:autoSpaceDN/>
            </w:pPr>
          </w:p>
        </w:tc>
        <w:tc>
          <w:tcPr>
            <w:tcW w:w="992" w:type="dxa"/>
            <w:tcBorders>
              <w:bottom w:val="single" w:sz="4" w:space="0" w:color="000000"/>
            </w:tcBorders>
            <w:vAlign w:val="bottom"/>
          </w:tcPr>
          <w:p w14:paraId="01C9F1D6"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2020</w:t>
            </w:r>
            <w:r w:rsidRPr="005771B0">
              <w:rPr>
                <w:rFonts w:asciiTheme="minorHAnsi" w:eastAsiaTheme="minorHAnsi" w:hAnsiTheme="minorHAnsi" w:cstheme="minorBidi"/>
                <w:b/>
                <w:bCs/>
                <w:sz w:val="18"/>
                <w:szCs w:val="18"/>
                <w:lang w:eastAsia="en-US" w:bidi="ar-SA"/>
              </w:rPr>
              <w:br/>
              <w:t>£m</w:t>
            </w:r>
          </w:p>
        </w:tc>
        <w:tc>
          <w:tcPr>
            <w:tcW w:w="992" w:type="dxa"/>
            <w:tcBorders>
              <w:bottom w:val="single" w:sz="4" w:space="0" w:color="000000"/>
            </w:tcBorders>
            <w:vAlign w:val="bottom"/>
          </w:tcPr>
          <w:p w14:paraId="3B4F3D9D" w14:textId="77777777" w:rsidR="007109E7" w:rsidRPr="00657DE0" w:rsidRDefault="007109E7" w:rsidP="008559E5">
            <w:pPr>
              <w:widowControl/>
              <w:autoSpaceDE/>
              <w:autoSpaceDN/>
              <w:jc w:val="right"/>
            </w:pPr>
            <w:r w:rsidRPr="00657DE0">
              <w:rPr>
                <w:rFonts w:asciiTheme="minorHAnsi" w:eastAsiaTheme="minorHAnsi" w:hAnsiTheme="minorHAnsi" w:cstheme="minorBidi"/>
                <w:sz w:val="18"/>
                <w:szCs w:val="18"/>
                <w:lang w:eastAsia="en-US" w:bidi="ar-SA"/>
              </w:rPr>
              <w:t>2019</w:t>
            </w:r>
            <w:r w:rsidRPr="00657DE0">
              <w:rPr>
                <w:rFonts w:asciiTheme="minorHAnsi" w:eastAsiaTheme="minorHAnsi" w:hAnsiTheme="minorHAnsi" w:cstheme="minorBidi"/>
                <w:sz w:val="18"/>
                <w:szCs w:val="18"/>
                <w:lang w:eastAsia="en-US" w:bidi="ar-SA"/>
              </w:rPr>
              <w:br/>
              <w:t>£m</w:t>
            </w:r>
          </w:p>
        </w:tc>
      </w:tr>
      <w:tr w:rsidR="007109E7" w:rsidRPr="00197988" w14:paraId="4EE681D3" w14:textId="77777777" w:rsidTr="008559E5">
        <w:trPr>
          <w:trHeight w:val="227"/>
        </w:trPr>
        <w:tc>
          <w:tcPr>
            <w:tcW w:w="8222" w:type="dxa"/>
            <w:tcBorders>
              <w:top w:val="single" w:sz="4" w:space="0" w:color="000000"/>
            </w:tcBorders>
            <w:vAlign w:val="center"/>
          </w:tcPr>
          <w:p w14:paraId="70F3C9E9" w14:textId="77777777" w:rsidR="007109E7" w:rsidRPr="0035290A" w:rsidRDefault="007109E7" w:rsidP="008559E5">
            <w:pPr>
              <w:widowControl/>
              <w:autoSpaceDE/>
              <w:autoSpaceDN/>
              <w:rPr>
                <w:b/>
                <w:bCs/>
              </w:rPr>
            </w:pPr>
            <w:r w:rsidRPr="005771B0">
              <w:rPr>
                <w:rFonts w:asciiTheme="minorHAnsi" w:eastAsiaTheme="minorHAnsi" w:hAnsiTheme="minorHAnsi" w:cstheme="minorBidi"/>
                <w:b/>
                <w:bCs/>
                <w:sz w:val="18"/>
                <w:szCs w:val="18"/>
                <w:lang w:eastAsia="en-US" w:bidi="ar-SA"/>
              </w:rPr>
              <w:t>Profit before taxation for continuing operations</w:t>
            </w:r>
          </w:p>
        </w:tc>
        <w:tc>
          <w:tcPr>
            <w:tcW w:w="992" w:type="dxa"/>
            <w:tcBorders>
              <w:top w:val="single" w:sz="4" w:space="0" w:color="000000"/>
            </w:tcBorders>
            <w:vAlign w:val="center"/>
          </w:tcPr>
          <w:p w14:paraId="5395E73B"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(10.8)</w:t>
            </w:r>
          </w:p>
        </w:tc>
        <w:tc>
          <w:tcPr>
            <w:tcW w:w="992" w:type="dxa"/>
            <w:tcBorders>
              <w:top w:val="single" w:sz="4" w:space="0" w:color="000000"/>
            </w:tcBorders>
            <w:vAlign w:val="center"/>
          </w:tcPr>
          <w:p w14:paraId="38D49861"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56.4</w:t>
            </w:r>
          </w:p>
        </w:tc>
      </w:tr>
      <w:tr w:rsidR="007109E7" w:rsidRPr="00197988" w14:paraId="65C272BF" w14:textId="77777777" w:rsidTr="008559E5">
        <w:trPr>
          <w:trHeight w:val="227"/>
        </w:trPr>
        <w:tc>
          <w:tcPr>
            <w:tcW w:w="8222" w:type="dxa"/>
            <w:vAlign w:val="center"/>
          </w:tcPr>
          <w:p w14:paraId="7C0F6B84"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Taxation on share of profit of associates</w:t>
            </w:r>
          </w:p>
        </w:tc>
        <w:tc>
          <w:tcPr>
            <w:tcW w:w="992" w:type="dxa"/>
            <w:vAlign w:val="center"/>
          </w:tcPr>
          <w:p w14:paraId="769CAE6C"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0.2</w:t>
            </w:r>
          </w:p>
        </w:tc>
        <w:tc>
          <w:tcPr>
            <w:tcW w:w="992" w:type="dxa"/>
            <w:vAlign w:val="center"/>
          </w:tcPr>
          <w:p w14:paraId="73DC4EA8"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0.2</w:t>
            </w:r>
          </w:p>
        </w:tc>
      </w:tr>
      <w:tr w:rsidR="007109E7" w:rsidRPr="00197988" w14:paraId="6D879172" w14:textId="77777777" w:rsidTr="008559E5">
        <w:trPr>
          <w:trHeight w:val="227"/>
        </w:trPr>
        <w:tc>
          <w:tcPr>
            <w:tcW w:w="8222" w:type="dxa"/>
            <w:vAlign w:val="center"/>
          </w:tcPr>
          <w:p w14:paraId="6FB902FE"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Exceptional items</w:t>
            </w:r>
          </w:p>
        </w:tc>
        <w:tc>
          <w:tcPr>
            <w:tcW w:w="992" w:type="dxa"/>
            <w:vAlign w:val="center"/>
          </w:tcPr>
          <w:p w14:paraId="27B4C2E9"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22.8</w:t>
            </w:r>
          </w:p>
        </w:tc>
        <w:tc>
          <w:tcPr>
            <w:tcW w:w="992" w:type="dxa"/>
            <w:vAlign w:val="center"/>
          </w:tcPr>
          <w:p w14:paraId="5CA62934"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30.2</w:t>
            </w:r>
          </w:p>
        </w:tc>
      </w:tr>
      <w:tr w:rsidR="007109E7" w:rsidRPr="00197988" w14:paraId="4A430E43" w14:textId="77777777" w:rsidTr="008559E5">
        <w:trPr>
          <w:trHeight w:val="227"/>
        </w:trPr>
        <w:tc>
          <w:tcPr>
            <w:tcW w:w="8222" w:type="dxa"/>
            <w:vAlign w:val="center"/>
          </w:tcPr>
          <w:p w14:paraId="04E3AF4A"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Pension finance items</w:t>
            </w:r>
          </w:p>
        </w:tc>
        <w:tc>
          <w:tcPr>
            <w:tcW w:w="992" w:type="dxa"/>
            <w:vAlign w:val="center"/>
          </w:tcPr>
          <w:p w14:paraId="2DC85A83"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1.9</w:t>
            </w:r>
          </w:p>
        </w:tc>
        <w:tc>
          <w:tcPr>
            <w:tcW w:w="992" w:type="dxa"/>
            <w:vAlign w:val="center"/>
          </w:tcPr>
          <w:p w14:paraId="7A452901"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2.5</w:t>
            </w:r>
          </w:p>
        </w:tc>
      </w:tr>
      <w:tr w:rsidR="007109E7" w:rsidRPr="00197988" w14:paraId="7F42B08F" w14:textId="77777777" w:rsidTr="008559E5">
        <w:trPr>
          <w:trHeight w:val="227"/>
        </w:trPr>
        <w:tc>
          <w:tcPr>
            <w:tcW w:w="8222" w:type="dxa"/>
            <w:vAlign w:val="center"/>
          </w:tcPr>
          <w:p w14:paraId="098706C5"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Amortisation of acquisition related intangibles</w:t>
            </w:r>
          </w:p>
        </w:tc>
        <w:tc>
          <w:tcPr>
            <w:tcW w:w="992" w:type="dxa"/>
            <w:vAlign w:val="center"/>
          </w:tcPr>
          <w:p w14:paraId="1C1B72A9"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3.9</w:t>
            </w:r>
          </w:p>
        </w:tc>
        <w:tc>
          <w:tcPr>
            <w:tcW w:w="992" w:type="dxa"/>
            <w:vAlign w:val="center"/>
          </w:tcPr>
          <w:p w14:paraId="640A6E9F"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0.9</w:t>
            </w:r>
          </w:p>
        </w:tc>
      </w:tr>
      <w:tr w:rsidR="007109E7" w:rsidRPr="00197988" w14:paraId="6EC6CA26" w14:textId="77777777" w:rsidTr="008559E5">
        <w:trPr>
          <w:trHeight w:val="227"/>
        </w:trPr>
        <w:tc>
          <w:tcPr>
            <w:tcW w:w="8222" w:type="dxa"/>
            <w:tcBorders>
              <w:bottom w:val="single" w:sz="4" w:space="0" w:color="auto"/>
            </w:tcBorders>
            <w:vAlign w:val="center"/>
          </w:tcPr>
          <w:p w14:paraId="3C7C663F" w14:textId="77777777" w:rsidR="007109E7" w:rsidRPr="005771B0" w:rsidRDefault="007109E7" w:rsidP="008559E5">
            <w:pPr>
              <w:widowControl/>
              <w:autoSpaceDE/>
              <w:autoSpaceDN/>
              <w:rPr>
                <w:sz w:val="18"/>
              </w:rPr>
            </w:pPr>
            <w:r w:rsidRPr="00657DE0">
              <w:rPr>
                <w:rFonts w:asciiTheme="minorHAnsi" w:eastAsiaTheme="minorHAnsi" w:hAnsiTheme="minorHAnsi" w:cstheme="minorBidi"/>
                <w:sz w:val="18"/>
                <w:szCs w:val="18"/>
                <w:lang w:eastAsia="en-US" w:bidi="ar-SA"/>
              </w:rPr>
              <w:t>FX and fair value movements</w:t>
            </w:r>
            <w:r w:rsidRPr="005771B0">
              <w:rPr>
                <w:rFonts w:asciiTheme="minorHAnsi" w:eastAsiaTheme="minorHAnsi" w:hAnsiTheme="minorHAnsi" w:cstheme="minorBidi"/>
                <w:sz w:val="18"/>
                <w:szCs w:val="18"/>
                <w:vertAlign w:val="superscript"/>
                <w:lang w:eastAsia="en-US" w:bidi="ar-SA"/>
              </w:rPr>
              <w:t>(A)</w:t>
            </w:r>
          </w:p>
        </w:tc>
        <w:tc>
          <w:tcPr>
            <w:tcW w:w="992" w:type="dxa"/>
            <w:tcBorders>
              <w:bottom w:val="single" w:sz="4" w:space="0" w:color="auto"/>
            </w:tcBorders>
            <w:vAlign w:val="center"/>
          </w:tcPr>
          <w:p w14:paraId="0B6B41F3"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(0.7)</w:t>
            </w:r>
          </w:p>
        </w:tc>
        <w:tc>
          <w:tcPr>
            <w:tcW w:w="992" w:type="dxa"/>
            <w:tcBorders>
              <w:bottom w:val="single" w:sz="4" w:space="0" w:color="auto"/>
            </w:tcBorders>
            <w:vAlign w:val="center"/>
          </w:tcPr>
          <w:p w14:paraId="2CCDD08F"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2.1</w:t>
            </w:r>
          </w:p>
        </w:tc>
      </w:tr>
      <w:tr w:rsidR="007109E7" w:rsidRPr="00197988" w14:paraId="2963A375" w14:textId="77777777" w:rsidTr="008559E5">
        <w:trPr>
          <w:trHeight w:val="227"/>
        </w:trPr>
        <w:tc>
          <w:tcPr>
            <w:tcW w:w="8222" w:type="dxa"/>
            <w:tcBorders>
              <w:top w:val="single" w:sz="4" w:space="0" w:color="auto"/>
              <w:bottom w:val="single" w:sz="8" w:space="0" w:color="auto"/>
            </w:tcBorders>
            <w:vAlign w:val="center"/>
          </w:tcPr>
          <w:p w14:paraId="5B460997" w14:textId="77777777" w:rsidR="007109E7" w:rsidRPr="0035290A" w:rsidRDefault="007109E7" w:rsidP="008559E5">
            <w:pPr>
              <w:widowControl/>
              <w:autoSpaceDE/>
              <w:autoSpaceDN/>
              <w:rPr>
                <w:b/>
                <w:bCs/>
              </w:rPr>
            </w:pPr>
            <w:r w:rsidRPr="005771B0">
              <w:rPr>
                <w:rFonts w:asciiTheme="minorHAnsi" w:eastAsiaTheme="minorHAnsi" w:hAnsiTheme="minorHAnsi" w:cstheme="minorBidi"/>
                <w:b/>
                <w:bCs/>
                <w:sz w:val="18"/>
                <w:szCs w:val="18"/>
                <w:lang w:eastAsia="en-US" w:bidi="ar-SA"/>
              </w:rPr>
              <w:t>Adjusted Profit Before Tax for continuing operations</w:t>
            </w:r>
          </w:p>
        </w:tc>
        <w:tc>
          <w:tcPr>
            <w:tcW w:w="992" w:type="dxa"/>
            <w:tcBorders>
              <w:top w:val="single" w:sz="4" w:space="0" w:color="auto"/>
              <w:bottom w:val="single" w:sz="8" w:space="0" w:color="auto"/>
            </w:tcBorders>
            <w:vAlign w:val="center"/>
          </w:tcPr>
          <w:p w14:paraId="28EAD460"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17.3</w:t>
            </w:r>
          </w:p>
        </w:tc>
        <w:tc>
          <w:tcPr>
            <w:tcW w:w="992" w:type="dxa"/>
            <w:tcBorders>
              <w:top w:val="single" w:sz="4" w:space="0" w:color="auto"/>
              <w:bottom w:val="single" w:sz="8" w:space="0" w:color="auto"/>
            </w:tcBorders>
            <w:vAlign w:val="center"/>
          </w:tcPr>
          <w:p w14:paraId="53E23DA4"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92.3</w:t>
            </w:r>
          </w:p>
        </w:tc>
      </w:tr>
      <w:tr w:rsidR="007109E7" w14:paraId="1FC39EDD" w14:textId="77777777" w:rsidTr="008559E5">
        <w:trPr>
          <w:trHeight w:val="227"/>
        </w:trPr>
        <w:tc>
          <w:tcPr>
            <w:tcW w:w="10206" w:type="dxa"/>
            <w:gridSpan w:val="3"/>
            <w:tcBorders>
              <w:top w:val="single" w:sz="8" w:space="0" w:color="auto"/>
            </w:tcBorders>
          </w:tcPr>
          <w:p w14:paraId="6E82820A" w14:textId="77777777" w:rsidR="007109E7" w:rsidRPr="005E7265" w:rsidRDefault="007109E7" w:rsidP="008559E5">
            <w:pPr>
              <w:pStyle w:val="TableComments"/>
              <w:numPr>
                <w:ilvl w:val="0"/>
                <w:numId w:val="2"/>
              </w:numPr>
              <w:ind w:left="321" w:hanging="321"/>
            </w:pPr>
            <w:r w:rsidRPr="005E7265">
              <w:t>FX on inter-company and certain external balances and the movement in the fair value of all derivative financial instruments and related debt adjustments.</w:t>
            </w:r>
          </w:p>
        </w:tc>
      </w:tr>
    </w:tbl>
    <w:p w14:paraId="2EB2470C" w14:textId="77777777" w:rsidR="007109E7" w:rsidRDefault="007109E7" w:rsidP="007109E7">
      <w:pPr>
        <w:pStyle w:val="BodyText"/>
      </w:pPr>
    </w:p>
    <w:p w14:paraId="5C86ADAC" w14:textId="77777777" w:rsidR="007109E7" w:rsidRDefault="007109E7" w:rsidP="007109E7">
      <w:pPr>
        <w:pStyle w:val="Heading2"/>
        <w:numPr>
          <w:ilvl w:val="0"/>
          <w:numId w:val="0"/>
        </w:numPr>
      </w:pPr>
      <w:r>
        <w:t>ADJUSTED EARNINGS PER SHARE ('EPS')</w:t>
      </w:r>
    </w:p>
    <w:p w14:paraId="35C193C6" w14:textId="77777777" w:rsidR="007109E7" w:rsidRDefault="007109E7" w:rsidP="007109E7">
      <w:pPr>
        <w:pStyle w:val="BodyText"/>
      </w:pPr>
    </w:p>
    <w:p w14:paraId="5E4EE92C"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Adjusted Earnings and Adjusted EPS as key measures of the overall underlying performance of the Group and returns generated for each share.</w:t>
      </w:r>
    </w:p>
    <w:p w14:paraId="14541973" w14:textId="77777777" w:rsidR="007109E7" w:rsidRPr="002A7FD2" w:rsidRDefault="007109E7" w:rsidP="007109E7">
      <w:pPr>
        <w:widowControl/>
        <w:adjustRightInd w:val="0"/>
        <w:jc w:val="both"/>
        <w:rPr>
          <w:rFonts w:asciiTheme="minorHAnsi" w:hAnsiTheme="minorHAnsi" w:cstheme="minorHAnsi"/>
          <w:sz w:val="18"/>
          <w:szCs w:val="18"/>
        </w:rPr>
      </w:pPr>
    </w:p>
    <w:p w14:paraId="796109CB"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Adjusted Earnings is calculated as Profit attributable to equity holders (as shown on the Group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1AC1B9B8" w14:textId="77777777" w:rsidR="007109E7" w:rsidRPr="002A7FD2" w:rsidRDefault="007109E7" w:rsidP="007109E7">
      <w:pPr>
        <w:widowControl/>
        <w:adjustRightInd w:val="0"/>
        <w:jc w:val="both"/>
        <w:rPr>
          <w:rFonts w:asciiTheme="minorHAnsi" w:hAnsiTheme="minorHAnsi" w:cstheme="minorHAnsi"/>
          <w:sz w:val="18"/>
          <w:szCs w:val="18"/>
        </w:rPr>
      </w:pPr>
    </w:p>
    <w:p w14:paraId="14FE7CD2"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following table sets forth a reconciliation of the Group’s Profit attributable to equity holders of the </w:t>
      </w:r>
      <w:r>
        <w:rPr>
          <w:rFonts w:asciiTheme="minorHAnsi" w:hAnsiTheme="minorHAnsi" w:cstheme="minorHAnsi"/>
          <w:sz w:val="18"/>
          <w:szCs w:val="18"/>
        </w:rPr>
        <w:t>Group</w:t>
      </w:r>
      <w:r w:rsidRPr="002A7FD2">
        <w:rPr>
          <w:rFonts w:asciiTheme="minorHAnsi" w:hAnsiTheme="minorHAnsi" w:cstheme="minorHAnsi"/>
          <w:sz w:val="18"/>
          <w:szCs w:val="18"/>
        </w:rPr>
        <w:t xml:space="preserve"> to its Adjusted Earnings for the financial years indicated.</w:t>
      </w:r>
    </w:p>
    <w:p w14:paraId="020747E1" w14:textId="77777777" w:rsidR="007109E7" w:rsidRDefault="007109E7" w:rsidP="007109E7">
      <w:pPr>
        <w:pStyle w:val="BodyText"/>
      </w:pPr>
    </w:p>
    <w:tbl>
      <w:tblPr>
        <w:tblW w:w="10205" w:type="dxa"/>
        <w:tblLayout w:type="fixed"/>
        <w:tblLook w:val="01E0" w:firstRow="1" w:lastRow="1" w:firstColumn="1" w:lastColumn="1" w:noHBand="0" w:noVBand="0"/>
      </w:tblPr>
      <w:tblGrid>
        <w:gridCol w:w="7937"/>
        <w:gridCol w:w="1134"/>
        <w:gridCol w:w="1134"/>
      </w:tblGrid>
      <w:tr w:rsidR="007109E7" w14:paraId="7EB2EA36" w14:textId="77777777" w:rsidTr="008559E5">
        <w:trPr>
          <w:trHeight w:val="227"/>
        </w:trPr>
        <w:tc>
          <w:tcPr>
            <w:tcW w:w="7937" w:type="dxa"/>
            <w:tcBorders>
              <w:bottom w:val="single" w:sz="4" w:space="0" w:color="000000"/>
            </w:tcBorders>
            <w:vAlign w:val="bottom"/>
          </w:tcPr>
          <w:p w14:paraId="6C5D3011" w14:textId="77777777" w:rsidR="007109E7" w:rsidRPr="00697FEE" w:rsidRDefault="007109E7" w:rsidP="008559E5">
            <w:pPr>
              <w:pStyle w:val="TableRowHead"/>
            </w:pPr>
          </w:p>
        </w:tc>
        <w:tc>
          <w:tcPr>
            <w:tcW w:w="1134" w:type="dxa"/>
            <w:tcBorders>
              <w:bottom w:val="single" w:sz="4" w:space="0" w:color="000000"/>
            </w:tcBorders>
            <w:vAlign w:val="bottom"/>
          </w:tcPr>
          <w:p w14:paraId="4E09F842" w14:textId="77777777" w:rsidR="007109E7" w:rsidRPr="00697FEE" w:rsidRDefault="007109E7" w:rsidP="008559E5">
            <w:pPr>
              <w:pStyle w:val="Subtitle"/>
            </w:pPr>
            <w:r>
              <w:t>2020</w:t>
            </w:r>
            <w:r w:rsidRPr="00697FEE">
              <w:br/>
              <w:t>£m</w:t>
            </w:r>
          </w:p>
        </w:tc>
        <w:tc>
          <w:tcPr>
            <w:tcW w:w="1134" w:type="dxa"/>
            <w:tcBorders>
              <w:bottom w:val="single" w:sz="4" w:space="0" w:color="000000"/>
            </w:tcBorders>
            <w:vAlign w:val="bottom"/>
          </w:tcPr>
          <w:p w14:paraId="6F85E519" w14:textId="77777777" w:rsidR="007109E7" w:rsidRPr="00697FEE" w:rsidRDefault="007109E7" w:rsidP="008559E5">
            <w:pPr>
              <w:pStyle w:val="Subtitle"/>
              <w:rPr>
                <w:b w:val="0"/>
              </w:rPr>
            </w:pPr>
            <w:r>
              <w:rPr>
                <w:b w:val="0"/>
              </w:rPr>
              <w:t>2019</w:t>
            </w:r>
            <w:r w:rsidRPr="00697FEE">
              <w:rPr>
                <w:b w:val="0"/>
              </w:rPr>
              <w:br/>
              <w:t>£m</w:t>
            </w:r>
          </w:p>
        </w:tc>
      </w:tr>
      <w:tr w:rsidR="007109E7" w14:paraId="70B2BEB3" w14:textId="77777777" w:rsidTr="008559E5">
        <w:trPr>
          <w:trHeight w:val="227"/>
        </w:trPr>
        <w:tc>
          <w:tcPr>
            <w:tcW w:w="7937" w:type="dxa"/>
            <w:tcBorders>
              <w:top w:val="single" w:sz="4" w:space="0" w:color="000000"/>
            </w:tcBorders>
            <w:vAlign w:val="bottom"/>
          </w:tcPr>
          <w:p w14:paraId="30D01CD1" w14:textId="77777777" w:rsidR="007109E7" w:rsidRPr="00037A48" w:rsidRDefault="007109E7" w:rsidP="008559E5">
            <w:pPr>
              <w:pStyle w:val="TableRowHead"/>
              <w:rPr>
                <w:b/>
              </w:rPr>
            </w:pPr>
            <w:r w:rsidRPr="00037A48">
              <w:rPr>
                <w:b/>
              </w:rPr>
              <w:t xml:space="preserve">Profit attributable to equity holders of the </w:t>
            </w:r>
            <w:r>
              <w:rPr>
                <w:b/>
              </w:rPr>
              <w:t>Group</w:t>
            </w:r>
          </w:p>
        </w:tc>
        <w:tc>
          <w:tcPr>
            <w:tcW w:w="1134" w:type="dxa"/>
            <w:tcBorders>
              <w:top w:val="single" w:sz="4" w:space="0" w:color="000000"/>
            </w:tcBorders>
            <w:vAlign w:val="bottom"/>
          </w:tcPr>
          <w:p w14:paraId="3AEE59DD" w14:textId="77777777" w:rsidR="007109E7" w:rsidRPr="00697FEE" w:rsidRDefault="007109E7" w:rsidP="008559E5">
            <w:pPr>
              <w:pStyle w:val="Subtitle"/>
            </w:pPr>
            <w:r>
              <w:t>(11.5)</w:t>
            </w:r>
          </w:p>
        </w:tc>
        <w:tc>
          <w:tcPr>
            <w:tcW w:w="1134" w:type="dxa"/>
            <w:tcBorders>
              <w:top w:val="single" w:sz="4" w:space="0" w:color="000000"/>
            </w:tcBorders>
            <w:vAlign w:val="bottom"/>
          </w:tcPr>
          <w:p w14:paraId="64FA4840" w14:textId="77777777" w:rsidR="007109E7" w:rsidRPr="005C6F46" w:rsidRDefault="007109E7" w:rsidP="008559E5">
            <w:pPr>
              <w:pStyle w:val="Subtitle"/>
              <w:rPr>
                <w:b w:val="0"/>
              </w:rPr>
            </w:pPr>
            <w:r w:rsidRPr="005C6F46">
              <w:rPr>
                <w:b w:val="0"/>
              </w:rPr>
              <w:t>106.0</w:t>
            </w:r>
          </w:p>
        </w:tc>
      </w:tr>
      <w:tr w:rsidR="007109E7" w14:paraId="5381DEB6" w14:textId="77777777" w:rsidTr="008559E5">
        <w:trPr>
          <w:trHeight w:val="227"/>
        </w:trPr>
        <w:tc>
          <w:tcPr>
            <w:tcW w:w="7937" w:type="dxa"/>
            <w:vAlign w:val="bottom"/>
          </w:tcPr>
          <w:p w14:paraId="144AD81C" w14:textId="77777777" w:rsidR="007109E7" w:rsidRPr="00697FEE" w:rsidRDefault="007109E7" w:rsidP="008559E5">
            <w:pPr>
              <w:pStyle w:val="TableRowHead"/>
            </w:pPr>
            <w:r w:rsidRPr="00697FEE">
              <w:t>Exceptional items (net of tax)</w:t>
            </w:r>
          </w:p>
        </w:tc>
        <w:tc>
          <w:tcPr>
            <w:tcW w:w="1134" w:type="dxa"/>
            <w:vAlign w:val="bottom"/>
          </w:tcPr>
          <w:p w14:paraId="1651600C" w14:textId="77777777" w:rsidR="007109E7" w:rsidRPr="00697FEE" w:rsidRDefault="007109E7" w:rsidP="008559E5">
            <w:pPr>
              <w:pStyle w:val="Subtitle"/>
            </w:pPr>
            <w:r>
              <w:t>20.5</w:t>
            </w:r>
          </w:p>
        </w:tc>
        <w:tc>
          <w:tcPr>
            <w:tcW w:w="1134" w:type="dxa"/>
            <w:vAlign w:val="bottom"/>
          </w:tcPr>
          <w:p w14:paraId="4ADE76D6" w14:textId="77777777" w:rsidR="007109E7" w:rsidRPr="005C6F46" w:rsidRDefault="007109E7" w:rsidP="008559E5">
            <w:pPr>
              <w:pStyle w:val="Subtitle"/>
              <w:rPr>
                <w:b w:val="0"/>
              </w:rPr>
            </w:pPr>
            <w:r w:rsidRPr="005C6F46">
              <w:rPr>
                <w:b w:val="0"/>
              </w:rPr>
              <w:t>(25.9)</w:t>
            </w:r>
          </w:p>
        </w:tc>
      </w:tr>
      <w:tr w:rsidR="007109E7" w14:paraId="47B21266" w14:textId="77777777" w:rsidTr="008559E5">
        <w:trPr>
          <w:trHeight w:val="227"/>
        </w:trPr>
        <w:tc>
          <w:tcPr>
            <w:tcW w:w="7937" w:type="dxa"/>
            <w:vAlign w:val="bottom"/>
          </w:tcPr>
          <w:p w14:paraId="3849C655" w14:textId="77777777" w:rsidR="007109E7" w:rsidRPr="00697FEE" w:rsidRDefault="007109E7" w:rsidP="008559E5">
            <w:pPr>
              <w:pStyle w:val="TableRowHead"/>
            </w:pPr>
            <w:r w:rsidRPr="00697FEE">
              <w:t>FX effect on inter-company and external balances where hedge accounting is not applied</w:t>
            </w:r>
          </w:p>
        </w:tc>
        <w:tc>
          <w:tcPr>
            <w:tcW w:w="1134" w:type="dxa"/>
            <w:vAlign w:val="bottom"/>
          </w:tcPr>
          <w:p w14:paraId="014A7909" w14:textId="77777777" w:rsidR="007109E7" w:rsidRPr="00697FEE" w:rsidRDefault="007109E7" w:rsidP="008559E5">
            <w:pPr>
              <w:pStyle w:val="Subtitle"/>
            </w:pPr>
            <w:r>
              <w:t>0.4</w:t>
            </w:r>
          </w:p>
        </w:tc>
        <w:tc>
          <w:tcPr>
            <w:tcW w:w="1134" w:type="dxa"/>
            <w:vAlign w:val="bottom"/>
          </w:tcPr>
          <w:p w14:paraId="2111ECB1" w14:textId="77777777" w:rsidR="007109E7" w:rsidRPr="005C6F46" w:rsidRDefault="007109E7" w:rsidP="008559E5">
            <w:pPr>
              <w:pStyle w:val="Subtitle"/>
              <w:rPr>
                <w:b w:val="0"/>
              </w:rPr>
            </w:pPr>
            <w:r w:rsidRPr="005C6F46">
              <w:rPr>
                <w:b w:val="0"/>
              </w:rPr>
              <w:t>1.2</w:t>
            </w:r>
          </w:p>
        </w:tc>
      </w:tr>
      <w:tr w:rsidR="007109E7" w14:paraId="6E01484C" w14:textId="77777777" w:rsidTr="008559E5">
        <w:trPr>
          <w:trHeight w:val="227"/>
        </w:trPr>
        <w:tc>
          <w:tcPr>
            <w:tcW w:w="7937" w:type="dxa"/>
            <w:vAlign w:val="bottom"/>
          </w:tcPr>
          <w:p w14:paraId="1578BF11" w14:textId="77777777" w:rsidR="007109E7" w:rsidRPr="00697FEE" w:rsidRDefault="007109E7" w:rsidP="008559E5">
            <w:pPr>
              <w:pStyle w:val="TableRowHead"/>
            </w:pPr>
            <w:r w:rsidRPr="00697FEE">
              <w:t>Movement in fair value of derivative financial instruments and related debt adjustments</w:t>
            </w:r>
          </w:p>
        </w:tc>
        <w:tc>
          <w:tcPr>
            <w:tcW w:w="1134" w:type="dxa"/>
            <w:vAlign w:val="bottom"/>
          </w:tcPr>
          <w:p w14:paraId="5446AF77" w14:textId="77777777" w:rsidR="007109E7" w:rsidRPr="00697FEE" w:rsidRDefault="007109E7" w:rsidP="008559E5">
            <w:pPr>
              <w:pStyle w:val="Subtitle"/>
            </w:pPr>
            <w:r>
              <w:t>(1.1)</w:t>
            </w:r>
          </w:p>
        </w:tc>
        <w:tc>
          <w:tcPr>
            <w:tcW w:w="1134" w:type="dxa"/>
            <w:vAlign w:val="bottom"/>
          </w:tcPr>
          <w:p w14:paraId="36C63C3A" w14:textId="77777777" w:rsidR="007109E7" w:rsidRPr="005C6F46" w:rsidRDefault="007109E7" w:rsidP="008559E5">
            <w:pPr>
              <w:pStyle w:val="Subtitle"/>
              <w:rPr>
                <w:b w:val="0"/>
              </w:rPr>
            </w:pPr>
            <w:r w:rsidRPr="005C6F46">
              <w:rPr>
                <w:b w:val="0"/>
              </w:rPr>
              <w:t>0.9</w:t>
            </w:r>
          </w:p>
        </w:tc>
      </w:tr>
      <w:tr w:rsidR="007109E7" w14:paraId="04C65EDC" w14:textId="77777777" w:rsidTr="008559E5">
        <w:trPr>
          <w:trHeight w:val="227"/>
        </w:trPr>
        <w:tc>
          <w:tcPr>
            <w:tcW w:w="7937" w:type="dxa"/>
            <w:vAlign w:val="bottom"/>
          </w:tcPr>
          <w:p w14:paraId="423F7389" w14:textId="77777777" w:rsidR="007109E7" w:rsidRPr="00697FEE" w:rsidRDefault="007109E7" w:rsidP="008559E5">
            <w:pPr>
              <w:pStyle w:val="TableRowHead"/>
            </w:pPr>
            <w:r w:rsidRPr="00697FEE">
              <w:t>Amortisation of acquisition related intangible assets (net of tax)</w:t>
            </w:r>
          </w:p>
        </w:tc>
        <w:tc>
          <w:tcPr>
            <w:tcW w:w="1134" w:type="dxa"/>
            <w:vAlign w:val="bottom"/>
          </w:tcPr>
          <w:p w14:paraId="17402637" w14:textId="77777777" w:rsidR="007109E7" w:rsidRPr="00697FEE" w:rsidRDefault="007109E7" w:rsidP="008559E5">
            <w:pPr>
              <w:pStyle w:val="Subtitle"/>
            </w:pPr>
            <w:r>
              <w:t>3.2</w:t>
            </w:r>
          </w:p>
        </w:tc>
        <w:tc>
          <w:tcPr>
            <w:tcW w:w="1134" w:type="dxa"/>
            <w:vAlign w:val="bottom"/>
          </w:tcPr>
          <w:p w14:paraId="1306BE7C" w14:textId="77777777" w:rsidR="007109E7" w:rsidRPr="005C6F46" w:rsidRDefault="007109E7" w:rsidP="008559E5">
            <w:pPr>
              <w:pStyle w:val="Subtitle"/>
              <w:rPr>
                <w:b w:val="0"/>
              </w:rPr>
            </w:pPr>
            <w:r w:rsidRPr="005C6F46">
              <w:rPr>
                <w:b w:val="0"/>
              </w:rPr>
              <w:t>0.7</w:t>
            </w:r>
          </w:p>
        </w:tc>
      </w:tr>
      <w:tr w:rsidR="007109E7" w14:paraId="1889BA8A" w14:textId="77777777" w:rsidTr="008559E5">
        <w:trPr>
          <w:trHeight w:val="227"/>
        </w:trPr>
        <w:tc>
          <w:tcPr>
            <w:tcW w:w="7937" w:type="dxa"/>
            <w:tcBorders>
              <w:bottom w:val="single" w:sz="4" w:space="0" w:color="000000"/>
            </w:tcBorders>
            <w:vAlign w:val="bottom"/>
          </w:tcPr>
          <w:p w14:paraId="4931E029" w14:textId="77777777" w:rsidR="007109E7" w:rsidRPr="00697FEE" w:rsidRDefault="007109E7" w:rsidP="008559E5">
            <w:pPr>
              <w:pStyle w:val="TableRowHead"/>
            </w:pPr>
            <w:r w:rsidRPr="00697FEE">
              <w:t>Pension financing (net of tax)</w:t>
            </w:r>
          </w:p>
        </w:tc>
        <w:tc>
          <w:tcPr>
            <w:tcW w:w="1134" w:type="dxa"/>
            <w:tcBorders>
              <w:bottom w:val="single" w:sz="4" w:space="0" w:color="000000"/>
            </w:tcBorders>
            <w:vAlign w:val="bottom"/>
          </w:tcPr>
          <w:p w14:paraId="19714E41" w14:textId="77777777" w:rsidR="007109E7" w:rsidRPr="00697FEE" w:rsidRDefault="007109E7" w:rsidP="008559E5">
            <w:pPr>
              <w:pStyle w:val="Subtitle"/>
            </w:pPr>
            <w:r>
              <w:t>1.5</w:t>
            </w:r>
          </w:p>
        </w:tc>
        <w:tc>
          <w:tcPr>
            <w:tcW w:w="1134" w:type="dxa"/>
            <w:tcBorders>
              <w:bottom w:val="single" w:sz="4" w:space="0" w:color="000000"/>
            </w:tcBorders>
            <w:vAlign w:val="bottom"/>
          </w:tcPr>
          <w:p w14:paraId="2AD3C06C" w14:textId="77777777" w:rsidR="007109E7" w:rsidRPr="005C6F46" w:rsidRDefault="007109E7" w:rsidP="008559E5">
            <w:pPr>
              <w:pStyle w:val="Subtitle"/>
              <w:rPr>
                <w:b w:val="0"/>
              </w:rPr>
            </w:pPr>
            <w:r w:rsidRPr="005C6F46">
              <w:rPr>
                <w:b w:val="0"/>
              </w:rPr>
              <w:t>2.0</w:t>
            </w:r>
          </w:p>
        </w:tc>
      </w:tr>
      <w:tr w:rsidR="007109E7" w14:paraId="06B7C680" w14:textId="77777777" w:rsidTr="008559E5">
        <w:trPr>
          <w:trHeight w:val="227"/>
        </w:trPr>
        <w:tc>
          <w:tcPr>
            <w:tcW w:w="7937" w:type="dxa"/>
            <w:tcBorders>
              <w:top w:val="single" w:sz="4" w:space="0" w:color="000000"/>
              <w:bottom w:val="single" w:sz="8" w:space="0" w:color="auto"/>
            </w:tcBorders>
            <w:vAlign w:val="bottom"/>
          </w:tcPr>
          <w:p w14:paraId="76C608A9" w14:textId="77777777" w:rsidR="007109E7" w:rsidRPr="00DC52F0" w:rsidRDefault="007109E7" w:rsidP="008559E5">
            <w:pPr>
              <w:pStyle w:val="TableRowHead"/>
              <w:rPr>
                <w:b/>
              </w:rPr>
            </w:pPr>
            <w:r w:rsidRPr="00DC52F0">
              <w:rPr>
                <w:b/>
              </w:rPr>
              <w:t>Adjusted Earnings</w:t>
            </w:r>
          </w:p>
        </w:tc>
        <w:tc>
          <w:tcPr>
            <w:tcW w:w="1134" w:type="dxa"/>
            <w:tcBorders>
              <w:top w:val="single" w:sz="4" w:space="0" w:color="000000"/>
              <w:bottom w:val="single" w:sz="8" w:space="0" w:color="auto"/>
            </w:tcBorders>
            <w:vAlign w:val="bottom"/>
          </w:tcPr>
          <w:p w14:paraId="26473501" w14:textId="77777777" w:rsidR="007109E7" w:rsidRPr="00697FEE" w:rsidRDefault="007109E7" w:rsidP="008559E5">
            <w:pPr>
              <w:pStyle w:val="Subtitle"/>
            </w:pPr>
            <w:r>
              <w:t>13.0</w:t>
            </w:r>
          </w:p>
        </w:tc>
        <w:tc>
          <w:tcPr>
            <w:tcW w:w="1134" w:type="dxa"/>
            <w:tcBorders>
              <w:top w:val="single" w:sz="4" w:space="0" w:color="000000"/>
              <w:bottom w:val="single" w:sz="8" w:space="0" w:color="auto"/>
            </w:tcBorders>
            <w:vAlign w:val="bottom"/>
          </w:tcPr>
          <w:p w14:paraId="14C939B6" w14:textId="77777777" w:rsidR="007109E7" w:rsidRPr="005C6F46" w:rsidRDefault="007109E7" w:rsidP="008559E5">
            <w:pPr>
              <w:pStyle w:val="Subtitle"/>
              <w:rPr>
                <w:b w:val="0"/>
              </w:rPr>
            </w:pPr>
            <w:r w:rsidRPr="005C6F46">
              <w:rPr>
                <w:b w:val="0"/>
              </w:rPr>
              <w:t>84.9</w:t>
            </w:r>
          </w:p>
        </w:tc>
      </w:tr>
      <w:tr w:rsidR="007109E7" w14:paraId="24F55F81" w14:textId="77777777" w:rsidTr="008559E5">
        <w:trPr>
          <w:trHeight w:val="227"/>
        </w:trPr>
        <w:tc>
          <w:tcPr>
            <w:tcW w:w="7937" w:type="dxa"/>
            <w:tcBorders>
              <w:top w:val="single" w:sz="8" w:space="0" w:color="auto"/>
            </w:tcBorders>
            <w:vAlign w:val="bottom"/>
          </w:tcPr>
          <w:p w14:paraId="5346C5A3" w14:textId="77777777" w:rsidR="007109E7" w:rsidRPr="00697FEE" w:rsidRDefault="007109E7" w:rsidP="008559E5">
            <w:pPr>
              <w:pStyle w:val="TableRowHead"/>
            </w:pPr>
          </w:p>
        </w:tc>
        <w:tc>
          <w:tcPr>
            <w:tcW w:w="1134" w:type="dxa"/>
            <w:tcBorders>
              <w:top w:val="single" w:sz="8" w:space="0" w:color="auto"/>
            </w:tcBorders>
            <w:vAlign w:val="bottom"/>
          </w:tcPr>
          <w:p w14:paraId="5D18CD56" w14:textId="77777777" w:rsidR="007109E7" w:rsidRPr="00697FEE" w:rsidRDefault="007109E7" w:rsidP="008559E5">
            <w:pPr>
              <w:pStyle w:val="Subtitle"/>
            </w:pPr>
          </w:p>
        </w:tc>
        <w:tc>
          <w:tcPr>
            <w:tcW w:w="1134" w:type="dxa"/>
            <w:tcBorders>
              <w:top w:val="single" w:sz="8" w:space="0" w:color="auto"/>
            </w:tcBorders>
            <w:vAlign w:val="bottom"/>
          </w:tcPr>
          <w:p w14:paraId="1B8A5541" w14:textId="77777777" w:rsidR="007109E7" w:rsidRPr="00697FEE" w:rsidRDefault="007109E7" w:rsidP="008559E5">
            <w:pPr>
              <w:pStyle w:val="Subtitle"/>
              <w:rPr>
                <w:b w:val="0"/>
              </w:rPr>
            </w:pPr>
          </w:p>
        </w:tc>
      </w:tr>
      <w:tr w:rsidR="007109E7" w14:paraId="7EE4A08C" w14:textId="77777777" w:rsidTr="008559E5">
        <w:trPr>
          <w:trHeight w:val="227"/>
        </w:trPr>
        <w:tc>
          <w:tcPr>
            <w:tcW w:w="7937" w:type="dxa"/>
            <w:tcBorders>
              <w:bottom w:val="single" w:sz="4" w:space="0" w:color="000000"/>
            </w:tcBorders>
            <w:vAlign w:val="bottom"/>
          </w:tcPr>
          <w:p w14:paraId="745D96E0" w14:textId="77777777" w:rsidR="007109E7" w:rsidRPr="00697FEE" w:rsidRDefault="007109E7" w:rsidP="008559E5">
            <w:pPr>
              <w:pStyle w:val="TableRowHead"/>
            </w:pPr>
          </w:p>
        </w:tc>
        <w:tc>
          <w:tcPr>
            <w:tcW w:w="1134" w:type="dxa"/>
            <w:tcBorders>
              <w:bottom w:val="single" w:sz="4" w:space="0" w:color="000000"/>
            </w:tcBorders>
            <w:vAlign w:val="bottom"/>
          </w:tcPr>
          <w:p w14:paraId="4572065C" w14:textId="77777777" w:rsidR="007109E7" w:rsidRPr="00697FEE" w:rsidRDefault="007109E7" w:rsidP="008559E5">
            <w:pPr>
              <w:pStyle w:val="Subtitle"/>
            </w:pPr>
            <w:r>
              <w:t>2020</w:t>
            </w:r>
          </w:p>
          <w:p w14:paraId="426AE258" w14:textId="77777777" w:rsidR="007109E7" w:rsidRPr="00697FEE" w:rsidRDefault="007109E7" w:rsidP="008559E5">
            <w:pPr>
              <w:pStyle w:val="Subtitle"/>
            </w:pPr>
            <w:r w:rsidRPr="00697FEE">
              <w:t>‘000</w:t>
            </w:r>
          </w:p>
        </w:tc>
        <w:tc>
          <w:tcPr>
            <w:tcW w:w="1134" w:type="dxa"/>
            <w:tcBorders>
              <w:bottom w:val="single" w:sz="4" w:space="0" w:color="000000"/>
            </w:tcBorders>
            <w:vAlign w:val="bottom"/>
          </w:tcPr>
          <w:p w14:paraId="197A2B87" w14:textId="77777777" w:rsidR="007109E7" w:rsidRPr="00697FEE" w:rsidRDefault="007109E7" w:rsidP="008559E5">
            <w:pPr>
              <w:pStyle w:val="Subtitle"/>
              <w:rPr>
                <w:b w:val="0"/>
              </w:rPr>
            </w:pPr>
            <w:r>
              <w:rPr>
                <w:b w:val="0"/>
              </w:rPr>
              <w:t>2019</w:t>
            </w:r>
            <w:r w:rsidRPr="00697FEE">
              <w:rPr>
                <w:b w:val="0"/>
              </w:rPr>
              <w:br/>
              <w:t>‘000</w:t>
            </w:r>
          </w:p>
        </w:tc>
      </w:tr>
      <w:tr w:rsidR="007109E7" w14:paraId="2C920B02" w14:textId="77777777" w:rsidTr="008559E5">
        <w:trPr>
          <w:trHeight w:val="227"/>
        </w:trPr>
        <w:tc>
          <w:tcPr>
            <w:tcW w:w="7937" w:type="dxa"/>
            <w:tcBorders>
              <w:top w:val="single" w:sz="4" w:space="0" w:color="000000"/>
              <w:bottom w:val="single" w:sz="8" w:space="0" w:color="auto"/>
            </w:tcBorders>
            <w:vAlign w:val="bottom"/>
          </w:tcPr>
          <w:p w14:paraId="23F01824" w14:textId="77777777" w:rsidR="007109E7" w:rsidRPr="00DC52F0" w:rsidRDefault="007109E7" w:rsidP="008559E5">
            <w:pPr>
              <w:pStyle w:val="TableRowHead"/>
              <w:rPr>
                <w:b/>
              </w:rPr>
            </w:pPr>
            <w:r w:rsidRPr="00DC52F0">
              <w:rPr>
                <w:b/>
              </w:rPr>
              <w:t>Weighted average number of ordinary shares in issue during the year</w:t>
            </w:r>
          </w:p>
        </w:tc>
        <w:tc>
          <w:tcPr>
            <w:tcW w:w="1134" w:type="dxa"/>
            <w:tcBorders>
              <w:top w:val="single" w:sz="4" w:space="0" w:color="000000"/>
              <w:bottom w:val="single" w:sz="8" w:space="0" w:color="auto"/>
            </w:tcBorders>
            <w:vAlign w:val="bottom"/>
          </w:tcPr>
          <w:p w14:paraId="4CDAEB87" w14:textId="77777777" w:rsidR="007109E7" w:rsidRPr="00697FEE" w:rsidRDefault="007109E7" w:rsidP="008559E5">
            <w:pPr>
              <w:pStyle w:val="Subtitle"/>
            </w:pPr>
            <w:r>
              <w:t>443,884</w:t>
            </w:r>
          </w:p>
        </w:tc>
        <w:tc>
          <w:tcPr>
            <w:tcW w:w="1134" w:type="dxa"/>
            <w:tcBorders>
              <w:top w:val="single" w:sz="4" w:space="0" w:color="000000"/>
              <w:bottom w:val="single" w:sz="8" w:space="0" w:color="auto"/>
            </w:tcBorders>
            <w:vAlign w:val="bottom"/>
          </w:tcPr>
          <w:p w14:paraId="058A7AB4" w14:textId="77777777" w:rsidR="007109E7" w:rsidRPr="00697FEE" w:rsidRDefault="007109E7" w:rsidP="008559E5">
            <w:pPr>
              <w:pStyle w:val="Subtitle"/>
              <w:rPr>
                <w:b w:val="0"/>
              </w:rPr>
            </w:pPr>
            <w:r>
              <w:t>531,971</w:t>
            </w:r>
          </w:p>
        </w:tc>
      </w:tr>
      <w:tr w:rsidR="007109E7" w14:paraId="0D9BDD97" w14:textId="77777777" w:rsidTr="008559E5">
        <w:trPr>
          <w:trHeight w:val="227"/>
        </w:trPr>
        <w:tc>
          <w:tcPr>
            <w:tcW w:w="7937" w:type="dxa"/>
            <w:tcBorders>
              <w:top w:val="single" w:sz="8" w:space="0" w:color="auto"/>
            </w:tcBorders>
            <w:vAlign w:val="bottom"/>
          </w:tcPr>
          <w:p w14:paraId="79BD075E" w14:textId="77777777" w:rsidR="007109E7" w:rsidRPr="00697FEE" w:rsidRDefault="007109E7" w:rsidP="008559E5">
            <w:pPr>
              <w:pStyle w:val="TableRowHead"/>
            </w:pPr>
          </w:p>
        </w:tc>
        <w:tc>
          <w:tcPr>
            <w:tcW w:w="1134" w:type="dxa"/>
            <w:tcBorders>
              <w:top w:val="single" w:sz="8" w:space="0" w:color="auto"/>
            </w:tcBorders>
            <w:vAlign w:val="bottom"/>
          </w:tcPr>
          <w:p w14:paraId="63D09177" w14:textId="77777777" w:rsidR="007109E7" w:rsidRPr="00697FEE" w:rsidRDefault="007109E7" w:rsidP="008559E5">
            <w:pPr>
              <w:pStyle w:val="Subtitle"/>
            </w:pPr>
          </w:p>
        </w:tc>
        <w:tc>
          <w:tcPr>
            <w:tcW w:w="1134" w:type="dxa"/>
            <w:tcBorders>
              <w:top w:val="single" w:sz="8" w:space="0" w:color="auto"/>
            </w:tcBorders>
            <w:vAlign w:val="bottom"/>
          </w:tcPr>
          <w:p w14:paraId="536966DC" w14:textId="77777777" w:rsidR="007109E7" w:rsidRPr="00697FEE" w:rsidRDefault="007109E7" w:rsidP="008559E5">
            <w:pPr>
              <w:pStyle w:val="Subtitle"/>
              <w:rPr>
                <w:b w:val="0"/>
              </w:rPr>
            </w:pPr>
          </w:p>
        </w:tc>
      </w:tr>
      <w:tr w:rsidR="007109E7" w14:paraId="55450C32" w14:textId="77777777" w:rsidTr="008559E5">
        <w:trPr>
          <w:trHeight w:val="227"/>
        </w:trPr>
        <w:tc>
          <w:tcPr>
            <w:tcW w:w="7937" w:type="dxa"/>
            <w:tcBorders>
              <w:bottom w:val="single" w:sz="4" w:space="0" w:color="000000"/>
            </w:tcBorders>
            <w:vAlign w:val="bottom"/>
          </w:tcPr>
          <w:p w14:paraId="2F90B143" w14:textId="77777777" w:rsidR="007109E7" w:rsidRPr="00697FEE" w:rsidRDefault="007109E7" w:rsidP="008559E5">
            <w:pPr>
              <w:pStyle w:val="TableRowHead"/>
            </w:pPr>
          </w:p>
        </w:tc>
        <w:tc>
          <w:tcPr>
            <w:tcW w:w="1134" w:type="dxa"/>
            <w:tcBorders>
              <w:bottom w:val="single" w:sz="4" w:space="0" w:color="000000"/>
            </w:tcBorders>
            <w:vAlign w:val="bottom"/>
          </w:tcPr>
          <w:p w14:paraId="5CED3526" w14:textId="77777777" w:rsidR="007109E7" w:rsidRPr="00697FEE" w:rsidRDefault="007109E7" w:rsidP="008559E5">
            <w:pPr>
              <w:pStyle w:val="Subtitle"/>
            </w:pPr>
            <w:r>
              <w:t>2020</w:t>
            </w:r>
            <w:r w:rsidRPr="00697FEE">
              <w:br/>
              <w:t>pence</w:t>
            </w:r>
          </w:p>
        </w:tc>
        <w:tc>
          <w:tcPr>
            <w:tcW w:w="1134" w:type="dxa"/>
            <w:tcBorders>
              <w:bottom w:val="single" w:sz="4" w:space="0" w:color="000000"/>
            </w:tcBorders>
            <w:vAlign w:val="bottom"/>
          </w:tcPr>
          <w:p w14:paraId="131CDC88" w14:textId="77777777" w:rsidR="007109E7" w:rsidRPr="00697FEE" w:rsidRDefault="007109E7" w:rsidP="008559E5">
            <w:pPr>
              <w:pStyle w:val="Subtitle"/>
              <w:rPr>
                <w:b w:val="0"/>
              </w:rPr>
            </w:pPr>
            <w:r>
              <w:rPr>
                <w:b w:val="0"/>
              </w:rPr>
              <w:t>2019</w:t>
            </w:r>
            <w:r w:rsidRPr="00697FEE">
              <w:rPr>
                <w:b w:val="0"/>
              </w:rPr>
              <w:br/>
              <w:t>pence</w:t>
            </w:r>
          </w:p>
        </w:tc>
      </w:tr>
      <w:tr w:rsidR="007109E7" w14:paraId="2723FDED" w14:textId="77777777" w:rsidTr="008559E5">
        <w:trPr>
          <w:trHeight w:val="227"/>
        </w:trPr>
        <w:tc>
          <w:tcPr>
            <w:tcW w:w="7937" w:type="dxa"/>
            <w:tcBorders>
              <w:top w:val="single" w:sz="4" w:space="0" w:color="000000"/>
              <w:bottom w:val="single" w:sz="8" w:space="0" w:color="auto"/>
            </w:tcBorders>
            <w:vAlign w:val="bottom"/>
          </w:tcPr>
          <w:p w14:paraId="54F1BC3F" w14:textId="77777777" w:rsidR="007109E7" w:rsidRPr="00DC52F0" w:rsidRDefault="007109E7" w:rsidP="008559E5">
            <w:pPr>
              <w:pStyle w:val="TableRowHead"/>
              <w:rPr>
                <w:b/>
              </w:rPr>
            </w:pPr>
            <w:r w:rsidRPr="00DC52F0">
              <w:rPr>
                <w:b/>
              </w:rPr>
              <w:t>Adjusted Earnings Per Share</w:t>
            </w:r>
          </w:p>
        </w:tc>
        <w:tc>
          <w:tcPr>
            <w:tcW w:w="1134" w:type="dxa"/>
            <w:tcBorders>
              <w:top w:val="single" w:sz="4" w:space="0" w:color="000000"/>
              <w:bottom w:val="single" w:sz="8" w:space="0" w:color="auto"/>
            </w:tcBorders>
            <w:vAlign w:val="bottom"/>
          </w:tcPr>
          <w:p w14:paraId="58CF8DCF" w14:textId="77777777" w:rsidR="007109E7" w:rsidRPr="00697FEE" w:rsidRDefault="007109E7" w:rsidP="008559E5">
            <w:pPr>
              <w:pStyle w:val="Subtitle"/>
            </w:pPr>
            <w:r>
              <w:t>2.9</w:t>
            </w:r>
          </w:p>
        </w:tc>
        <w:tc>
          <w:tcPr>
            <w:tcW w:w="1134" w:type="dxa"/>
            <w:tcBorders>
              <w:top w:val="single" w:sz="4" w:space="0" w:color="000000"/>
              <w:bottom w:val="single" w:sz="8" w:space="0" w:color="auto"/>
            </w:tcBorders>
            <w:vAlign w:val="bottom"/>
          </w:tcPr>
          <w:p w14:paraId="2D801EA2" w14:textId="77777777" w:rsidR="007109E7" w:rsidRPr="00697FEE" w:rsidRDefault="007109E7" w:rsidP="008559E5">
            <w:pPr>
              <w:pStyle w:val="Subtitle"/>
              <w:rPr>
                <w:b w:val="0"/>
              </w:rPr>
            </w:pPr>
            <w:r>
              <w:rPr>
                <w:b w:val="0"/>
              </w:rPr>
              <w:t>16.0</w:t>
            </w:r>
          </w:p>
        </w:tc>
      </w:tr>
    </w:tbl>
    <w:p w14:paraId="0D1DFD56" w14:textId="77777777" w:rsidR="007109E7" w:rsidRDefault="007109E7" w:rsidP="007109E7">
      <w:pPr>
        <w:pStyle w:val="Heading2"/>
        <w:numPr>
          <w:ilvl w:val="0"/>
          <w:numId w:val="0"/>
        </w:numPr>
      </w:pPr>
      <w:r>
        <w:t>CAPITAL EXPENDITURE</w:t>
      </w:r>
    </w:p>
    <w:p w14:paraId="528C8E07" w14:textId="77777777" w:rsidR="007109E7" w:rsidRDefault="007109E7" w:rsidP="007109E7">
      <w:pPr>
        <w:pStyle w:val="Heading2"/>
        <w:numPr>
          <w:ilvl w:val="0"/>
          <w:numId w:val="0"/>
        </w:numPr>
      </w:pPr>
    </w:p>
    <w:p w14:paraId="75318ED0" w14:textId="77777777" w:rsidR="007109E7" w:rsidRPr="00502ED3" w:rsidRDefault="007109E7" w:rsidP="007109E7">
      <w:pPr>
        <w:pStyle w:val="Heading2"/>
        <w:numPr>
          <w:ilvl w:val="0"/>
          <w:numId w:val="0"/>
        </w:numPr>
      </w:pPr>
      <w:r>
        <w:t>Maintenance Capital Expenditure</w:t>
      </w:r>
    </w:p>
    <w:p w14:paraId="0940AD77"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defines Maintenance Capital Expenditure as the expenditure required for the purpose of sustaining the operating capacity and asset base of the Group, and </w:t>
      </w:r>
      <w:r>
        <w:rPr>
          <w:rFonts w:asciiTheme="minorHAnsi" w:hAnsiTheme="minorHAnsi" w:cstheme="minorHAnsi"/>
          <w:sz w:val="18"/>
          <w:szCs w:val="18"/>
        </w:rPr>
        <w:t>to</w:t>
      </w:r>
      <w:r w:rsidRPr="002A7FD2">
        <w:rPr>
          <w:rFonts w:asciiTheme="minorHAnsi" w:hAnsiTheme="minorHAnsi" w:cstheme="minorHAnsi"/>
          <w:sz w:val="18"/>
          <w:szCs w:val="18"/>
        </w:rPr>
        <w:t xml:space="preserve"> comply with applicable laws and regulations. It includes continuous improvement projects of less than £1m that will generate additional returns for the Group.</w:t>
      </w:r>
    </w:p>
    <w:p w14:paraId="114B50ED" w14:textId="77777777" w:rsidR="007109E7" w:rsidRDefault="007109E7" w:rsidP="007109E7">
      <w:pPr>
        <w:widowControl/>
        <w:adjustRightInd w:val="0"/>
        <w:jc w:val="both"/>
        <w:rPr>
          <w:rFonts w:asciiTheme="minorHAnsi" w:hAnsiTheme="minorHAnsi" w:cstheme="minorHAnsi"/>
          <w:sz w:val="18"/>
          <w:szCs w:val="18"/>
        </w:rPr>
      </w:pPr>
    </w:p>
    <w:p w14:paraId="116C4B66" w14:textId="77777777" w:rsidR="007109E7" w:rsidRPr="00502ED3" w:rsidRDefault="007109E7" w:rsidP="007109E7">
      <w:pPr>
        <w:pStyle w:val="Heading2"/>
        <w:numPr>
          <w:ilvl w:val="0"/>
          <w:numId w:val="0"/>
        </w:numPr>
      </w:pPr>
      <w:r w:rsidRPr="00502ED3">
        <w:t>Strategic Capital Expenditure</w:t>
      </w:r>
    </w:p>
    <w:p w14:paraId="09D360F8" w14:textId="77777777" w:rsidR="00ED0EF2" w:rsidRDefault="007109E7" w:rsidP="007109E7">
      <w:pPr>
        <w:widowControl/>
        <w:adjustRightInd w:val="0"/>
        <w:jc w:val="both"/>
        <w:rPr>
          <w:rFonts w:asciiTheme="minorHAnsi" w:hAnsiTheme="minorHAnsi" w:cstheme="minorHAnsi"/>
          <w:sz w:val="18"/>
          <w:szCs w:val="18"/>
        </w:rPr>
      </w:pPr>
      <w:r w:rsidRPr="00502ED3">
        <w:rPr>
          <w:rFonts w:asciiTheme="minorHAnsi" w:hAnsiTheme="minorHAnsi" w:cstheme="minorHAnsi"/>
          <w:sz w:val="18"/>
          <w:szCs w:val="18"/>
        </w:rPr>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r w:rsidRPr="002A7FD2">
        <w:rPr>
          <w:rFonts w:asciiTheme="minorHAnsi" w:hAnsiTheme="minorHAnsi" w:cstheme="minorHAnsi"/>
          <w:sz w:val="18"/>
          <w:szCs w:val="18"/>
        </w:rPr>
        <w:t xml:space="preserve"> </w:t>
      </w:r>
    </w:p>
    <w:p w14:paraId="02953D7C" w14:textId="471E04A2" w:rsidR="007109E7" w:rsidRDefault="007109E7" w:rsidP="007109E7">
      <w:pPr>
        <w:widowControl/>
        <w:adjustRightInd w:val="0"/>
        <w:jc w:val="both"/>
        <w:rPr>
          <w:rFonts w:asciiTheme="minorHAnsi" w:hAnsiTheme="minorHAnsi" w:cstheme="minorHAnsi"/>
          <w:sz w:val="18"/>
          <w:szCs w:val="18"/>
        </w:rPr>
      </w:pPr>
    </w:p>
    <w:p w14:paraId="4071E18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the breakdown of the Group</w:t>
      </w:r>
      <w:r>
        <w:rPr>
          <w:rFonts w:asciiTheme="minorHAnsi" w:hAnsiTheme="minorHAnsi" w:cstheme="minorHAnsi"/>
          <w:sz w:val="18"/>
          <w:szCs w:val="18"/>
        </w:rPr>
        <w:t>’</w:t>
      </w:r>
      <w:r w:rsidRPr="002A7FD2">
        <w:rPr>
          <w:rFonts w:asciiTheme="minorHAnsi" w:hAnsiTheme="minorHAnsi" w:cstheme="minorHAnsi"/>
          <w:sz w:val="18"/>
          <w:szCs w:val="18"/>
        </w:rPr>
        <w:t>s purchase of property, plant and equipment and purchase of intangible assets between Strategic Capital Expenditure and Maintenance Capital Expenditure:</w:t>
      </w:r>
    </w:p>
    <w:p w14:paraId="6BE5F89E" w14:textId="77777777" w:rsidR="007109E7" w:rsidRDefault="007109E7" w:rsidP="007109E7">
      <w:pPr>
        <w:pStyle w:val="BodyText"/>
      </w:pPr>
    </w:p>
    <w:tbl>
      <w:tblPr>
        <w:tblW w:w="10348" w:type="dxa"/>
        <w:tblLayout w:type="fixed"/>
        <w:tblLook w:val="01E0" w:firstRow="1" w:lastRow="1" w:firstColumn="1" w:lastColumn="1" w:noHBand="0" w:noVBand="0"/>
      </w:tblPr>
      <w:tblGrid>
        <w:gridCol w:w="3855"/>
        <w:gridCol w:w="1247"/>
        <w:gridCol w:w="1247"/>
        <w:gridCol w:w="739"/>
        <w:gridCol w:w="1276"/>
        <w:gridCol w:w="1275"/>
        <w:gridCol w:w="709"/>
      </w:tblGrid>
      <w:tr w:rsidR="007109E7" w:rsidRPr="0075294B" w14:paraId="5CC2D1D0" w14:textId="77777777" w:rsidTr="008559E5">
        <w:trPr>
          <w:trHeight w:val="227"/>
        </w:trPr>
        <w:tc>
          <w:tcPr>
            <w:tcW w:w="3855" w:type="dxa"/>
          </w:tcPr>
          <w:p w14:paraId="707FB9E9" w14:textId="77777777" w:rsidR="007109E7" w:rsidRPr="0075294B" w:rsidRDefault="007109E7" w:rsidP="008559E5">
            <w:pPr>
              <w:rPr>
                <w:rFonts w:asciiTheme="minorHAnsi" w:eastAsiaTheme="minorHAnsi" w:hAnsiTheme="minorHAnsi" w:cstheme="minorBidi"/>
                <w:sz w:val="18"/>
                <w:szCs w:val="18"/>
                <w:lang w:eastAsia="en-US" w:bidi="ar-SA"/>
              </w:rPr>
            </w:pPr>
          </w:p>
        </w:tc>
        <w:tc>
          <w:tcPr>
            <w:tcW w:w="3233" w:type="dxa"/>
            <w:gridSpan w:val="3"/>
            <w:vAlign w:val="bottom"/>
          </w:tcPr>
          <w:p w14:paraId="6F0C0ADD" w14:textId="77777777" w:rsidR="007109E7" w:rsidRPr="002C2661" w:rsidRDefault="007109E7" w:rsidP="008559E5">
            <w:pPr>
              <w:jc w:val="center"/>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2020</w:t>
            </w:r>
          </w:p>
        </w:tc>
        <w:tc>
          <w:tcPr>
            <w:tcW w:w="3260" w:type="dxa"/>
            <w:gridSpan w:val="3"/>
            <w:vAlign w:val="bottom"/>
          </w:tcPr>
          <w:p w14:paraId="3C09BDCA" w14:textId="77777777" w:rsidR="007109E7" w:rsidRPr="0075294B" w:rsidRDefault="007109E7" w:rsidP="008559E5">
            <w:pPr>
              <w:jc w:val="cente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p>
        </w:tc>
      </w:tr>
      <w:tr w:rsidR="007109E7" w:rsidRPr="0075294B" w14:paraId="1D37DA45" w14:textId="77777777" w:rsidTr="008559E5">
        <w:trPr>
          <w:trHeight w:val="227"/>
        </w:trPr>
        <w:tc>
          <w:tcPr>
            <w:tcW w:w="3855" w:type="dxa"/>
            <w:tcBorders>
              <w:bottom w:val="single" w:sz="4" w:space="0" w:color="000000"/>
            </w:tcBorders>
          </w:tcPr>
          <w:p w14:paraId="38F7F3D3" w14:textId="77777777" w:rsidR="007109E7" w:rsidRPr="0075294B" w:rsidRDefault="007109E7" w:rsidP="008559E5">
            <w:pPr>
              <w:rPr>
                <w:rFonts w:asciiTheme="minorHAnsi" w:eastAsiaTheme="minorHAnsi" w:hAnsiTheme="minorHAnsi" w:cstheme="minorBidi"/>
                <w:sz w:val="18"/>
                <w:szCs w:val="18"/>
                <w:lang w:eastAsia="en-US" w:bidi="ar-SA"/>
              </w:rPr>
            </w:pPr>
          </w:p>
        </w:tc>
        <w:tc>
          <w:tcPr>
            <w:tcW w:w="1247" w:type="dxa"/>
            <w:tcBorders>
              <w:bottom w:val="single" w:sz="4" w:space="0" w:color="000000"/>
            </w:tcBorders>
            <w:vAlign w:val="bottom"/>
          </w:tcPr>
          <w:p w14:paraId="1B51C8A3"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2B8AC6AB" w14:textId="77777777" w:rsidR="007109E7" w:rsidRPr="00292A98" w:rsidRDefault="007109E7" w:rsidP="008559E5">
            <w:pPr>
              <w:jc w:val="right"/>
              <w:rPr>
                <w:rFonts w:asciiTheme="minorHAnsi" w:eastAsiaTheme="minorHAnsi" w:hAnsiTheme="minorHAnsi" w:cstheme="minorBidi"/>
                <w:b/>
                <w:bCs/>
                <w:sz w:val="18"/>
                <w:szCs w:val="18"/>
                <w:lang w:eastAsia="en-US" w:bidi="ar-SA"/>
              </w:rPr>
            </w:pPr>
            <w:r w:rsidRPr="00A46B58">
              <w:rPr>
                <w:rFonts w:asciiTheme="minorHAnsi" w:eastAsiaTheme="minorHAnsi" w:hAnsiTheme="minorHAnsi" w:cstheme="minorBidi"/>
                <w:b/>
                <w:bCs/>
                <w:sz w:val="18"/>
                <w:szCs w:val="18"/>
                <w:lang w:eastAsia="en-US" w:bidi="ar-SA"/>
              </w:rPr>
              <w:t>Foods</w:t>
            </w:r>
          </w:p>
          <w:p w14:paraId="05F46378" w14:textId="77777777" w:rsidR="007109E7" w:rsidRPr="00B47239" w:rsidRDefault="007109E7" w:rsidP="008559E5">
            <w:pPr>
              <w:jc w:val="right"/>
              <w:rPr>
                <w:rFonts w:asciiTheme="minorHAnsi" w:eastAsiaTheme="minorHAnsi" w:hAnsiTheme="minorHAnsi" w:cstheme="minorBidi"/>
                <w:b/>
                <w:bCs/>
                <w:sz w:val="18"/>
                <w:szCs w:val="18"/>
                <w:lang w:eastAsia="en-US" w:bidi="ar-SA"/>
              </w:rPr>
            </w:pPr>
            <w:r w:rsidRPr="00E44C56">
              <w:rPr>
                <w:rFonts w:asciiTheme="minorHAnsi" w:eastAsiaTheme="minorHAnsi" w:hAnsiTheme="minorHAnsi" w:cstheme="minorBidi"/>
                <w:b/>
                <w:bCs/>
                <w:sz w:val="18"/>
                <w:szCs w:val="18"/>
                <w:lang w:eastAsia="en-US" w:bidi="ar-SA"/>
              </w:rPr>
              <w:lastRenderedPageBreak/>
              <w:t>UK &amp; Ireland</w:t>
            </w:r>
            <w:r w:rsidRPr="00E44C56">
              <w:rPr>
                <w:rFonts w:asciiTheme="minorHAnsi" w:eastAsiaTheme="minorHAnsi" w:hAnsiTheme="minorHAnsi" w:cstheme="minorBidi"/>
                <w:b/>
                <w:bCs/>
                <w:sz w:val="18"/>
                <w:szCs w:val="18"/>
                <w:lang w:eastAsia="en-US" w:bidi="ar-SA"/>
              </w:rPr>
              <w:br/>
              <w:t>£m</w:t>
            </w:r>
          </w:p>
        </w:tc>
        <w:tc>
          <w:tcPr>
            <w:tcW w:w="1247" w:type="dxa"/>
            <w:tcBorders>
              <w:bottom w:val="single" w:sz="4" w:space="0" w:color="000000"/>
            </w:tcBorders>
            <w:vAlign w:val="bottom"/>
          </w:tcPr>
          <w:p w14:paraId="0B98A1CD" w14:textId="77777777" w:rsidR="007109E7" w:rsidRPr="00660EC8" w:rsidRDefault="007109E7" w:rsidP="008559E5">
            <w:pPr>
              <w:jc w:val="right"/>
              <w:rPr>
                <w:rFonts w:asciiTheme="minorHAnsi" w:eastAsiaTheme="minorHAnsi" w:hAnsiTheme="minorHAnsi" w:cstheme="minorBidi"/>
                <w:b/>
                <w:bCs/>
                <w:sz w:val="18"/>
                <w:szCs w:val="18"/>
                <w:lang w:eastAsia="en-US" w:bidi="ar-SA"/>
              </w:rPr>
            </w:pPr>
            <w:r w:rsidRPr="00660EC8">
              <w:rPr>
                <w:rFonts w:asciiTheme="minorHAnsi" w:eastAsiaTheme="minorHAnsi" w:hAnsiTheme="minorHAnsi" w:cstheme="minorBidi"/>
                <w:b/>
                <w:bCs/>
                <w:sz w:val="18"/>
                <w:szCs w:val="18"/>
                <w:lang w:eastAsia="en-US" w:bidi="ar-SA"/>
              </w:rPr>
              <w:lastRenderedPageBreak/>
              <w:t>Discontinued operations</w:t>
            </w:r>
            <w:r w:rsidRPr="00660EC8">
              <w:rPr>
                <w:rFonts w:asciiTheme="minorHAnsi" w:eastAsiaTheme="minorHAnsi" w:hAnsiTheme="minorHAnsi" w:cstheme="minorBidi"/>
                <w:b/>
                <w:bCs/>
                <w:sz w:val="18"/>
                <w:szCs w:val="18"/>
                <w:lang w:eastAsia="en-US" w:bidi="ar-SA"/>
              </w:rPr>
              <w:br/>
            </w:r>
            <w:r w:rsidRPr="00660EC8">
              <w:rPr>
                <w:rFonts w:asciiTheme="minorHAnsi" w:eastAsiaTheme="minorHAnsi" w:hAnsiTheme="minorHAnsi" w:cstheme="minorBidi"/>
                <w:b/>
                <w:bCs/>
                <w:sz w:val="18"/>
                <w:szCs w:val="18"/>
                <w:lang w:eastAsia="en-US" w:bidi="ar-SA"/>
              </w:rPr>
              <w:lastRenderedPageBreak/>
              <w:t>£m</w:t>
            </w:r>
          </w:p>
        </w:tc>
        <w:tc>
          <w:tcPr>
            <w:tcW w:w="739" w:type="dxa"/>
            <w:tcBorders>
              <w:bottom w:val="single" w:sz="4" w:space="0" w:color="000000"/>
            </w:tcBorders>
            <w:vAlign w:val="bottom"/>
          </w:tcPr>
          <w:p w14:paraId="7983F994" w14:textId="77777777" w:rsidR="007109E7" w:rsidRPr="001249D0" w:rsidRDefault="007109E7" w:rsidP="008559E5">
            <w:pPr>
              <w:jc w:val="right"/>
              <w:rPr>
                <w:rFonts w:asciiTheme="minorHAnsi" w:eastAsiaTheme="minorHAnsi" w:hAnsiTheme="minorHAnsi" w:cstheme="minorBidi"/>
                <w:b/>
                <w:bCs/>
                <w:sz w:val="18"/>
                <w:szCs w:val="18"/>
                <w:lang w:eastAsia="en-US" w:bidi="ar-SA"/>
              </w:rPr>
            </w:pPr>
            <w:r w:rsidRPr="00BC3F98">
              <w:rPr>
                <w:rFonts w:asciiTheme="minorHAnsi" w:eastAsiaTheme="minorHAnsi" w:hAnsiTheme="minorHAnsi" w:cstheme="minorBidi"/>
                <w:b/>
                <w:bCs/>
                <w:sz w:val="18"/>
                <w:szCs w:val="18"/>
                <w:lang w:eastAsia="en-US" w:bidi="ar-SA"/>
              </w:rPr>
              <w:lastRenderedPageBreak/>
              <w:t>Total</w:t>
            </w:r>
            <w:r w:rsidRPr="00BC3F98">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570AA73D"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Convenience</w:t>
            </w:r>
          </w:p>
          <w:p w14:paraId="4EBEAE65"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Foods</w:t>
            </w:r>
          </w:p>
          <w:p w14:paraId="04352D5D"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UK &amp; Ireland</w:t>
            </w:r>
            <w:r w:rsidRPr="0075294B">
              <w:rPr>
                <w:rFonts w:asciiTheme="minorHAnsi" w:eastAsiaTheme="minorHAnsi" w:hAnsiTheme="minorHAnsi" w:cstheme="minorBidi"/>
                <w:sz w:val="18"/>
                <w:szCs w:val="18"/>
                <w:lang w:eastAsia="en-US" w:bidi="ar-SA"/>
              </w:rPr>
              <w:br/>
              <w:t>£m</w:t>
            </w:r>
          </w:p>
        </w:tc>
        <w:tc>
          <w:tcPr>
            <w:tcW w:w="1275" w:type="dxa"/>
            <w:tcBorders>
              <w:bottom w:val="single" w:sz="4" w:space="0" w:color="000000"/>
            </w:tcBorders>
            <w:vAlign w:val="bottom"/>
          </w:tcPr>
          <w:p w14:paraId="071A0601"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Discontinued operations</w:t>
            </w:r>
            <w:r w:rsidRPr="0075294B">
              <w:rPr>
                <w:rFonts w:asciiTheme="minorHAnsi" w:eastAsiaTheme="minorHAnsi" w:hAnsiTheme="minorHAnsi" w:cstheme="minorBidi"/>
                <w:sz w:val="18"/>
                <w:szCs w:val="18"/>
                <w:lang w:eastAsia="en-US" w:bidi="ar-SA"/>
              </w:rPr>
              <w:br/>
            </w:r>
            <w:r w:rsidRPr="0075294B">
              <w:rPr>
                <w:rFonts w:asciiTheme="minorHAnsi" w:eastAsiaTheme="minorHAnsi" w:hAnsiTheme="minorHAnsi" w:cstheme="minorBidi"/>
                <w:sz w:val="18"/>
                <w:szCs w:val="18"/>
                <w:lang w:eastAsia="en-US" w:bidi="ar-SA"/>
              </w:rPr>
              <w:lastRenderedPageBreak/>
              <w:t>£m</w:t>
            </w:r>
          </w:p>
        </w:tc>
        <w:tc>
          <w:tcPr>
            <w:tcW w:w="709" w:type="dxa"/>
            <w:tcBorders>
              <w:bottom w:val="single" w:sz="4" w:space="0" w:color="000000"/>
            </w:tcBorders>
            <w:vAlign w:val="bottom"/>
          </w:tcPr>
          <w:p w14:paraId="0C651734"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Total</w:t>
            </w:r>
            <w:r w:rsidRPr="0075294B">
              <w:rPr>
                <w:rFonts w:asciiTheme="minorHAnsi" w:eastAsiaTheme="minorHAnsi" w:hAnsiTheme="minorHAnsi" w:cstheme="minorBidi"/>
                <w:sz w:val="18"/>
                <w:szCs w:val="18"/>
                <w:lang w:eastAsia="en-US" w:bidi="ar-SA"/>
              </w:rPr>
              <w:br/>
              <w:t>£m</w:t>
            </w:r>
          </w:p>
        </w:tc>
      </w:tr>
      <w:tr w:rsidR="007109E7" w:rsidRPr="0075294B" w14:paraId="66C61E28" w14:textId="77777777" w:rsidTr="008559E5">
        <w:trPr>
          <w:trHeight w:val="227"/>
        </w:trPr>
        <w:tc>
          <w:tcPr>
            <w:tcW w:w="3855" w:type="dxa"/>
            <w:tcBorders>
              <w:top w:val="single" w:sz="4" w:space="0" w:color="000000"/>
            </w:tcBorders>
          </w:tcPr>
          <w:p w14:paraId="02BD3B46" w14:textId="77777777" w:rsidR="007109E7" w:rsidRPr="0075294B"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property, plant, and equipment</w:t>
            </w:r>
          </w:p>
        </w:tc>
        <w:tc>
          <w:tcPr>
            <w:tcW w:w="1247" w:type="dxa"/>
            <w:tcBorders>
              <w:top w:val="single" w:sz="4" w:space="0" w:color="000000"/>
            </w:tcBorders>
            <w:vAlign w:val="bottom"/>
          </w:tcPr>
          <w:p w14:paraId="3097945E"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29.8</w:t>
            </w:r>
          </w:p>
        </w:tc>
        <w:tc>
          <w:tcPr>
            <w:tcW w:w="1247" w:type="dxa"/>
            <w:tcBorders>
              <w:top w:val="single" w:sz="4" w:space="0" w:color="000000"/>
            </w:tcBorders>
            <w:vAlign w:val="bottom"/>
          </w:tcPr>
          <w:p w14:paraId="4223ACDF"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tcBorders>
            <w:vAlign w:val="bottom"/>
          </w:tcPr>
          <w:p w14:paraId="6DABC5DE"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29.8</w:t>
            </w:r>
          </w:p>
        </w:tc>
        <w:tc>
          <w:tcPr>
            <w:tcW w:w="1276" w:type="dxa"/>
            <w:tcBorders>
              <w:top w:val="single" w:sz="4" w:space="0" w:color="000000"/>
            </w:tcBorders>
            <w:vAlign w:val="bottom"/>
          </w:tcPr>
          <w:p w14:paraId="71D2D433"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38.4</w:t>
            </w:r>
          </w:p>
        </w:tc>
        <w:tc>
          <w:tcPr>
            <w:tcW w:w="1275" w:type="dxa"/>
            <w:tcBorders>
              <w:top w:val="single" w:sz="4" w:space="0" w:color="000000"/>
            </w:tcBorders>
            <w:vAlign w:val="bottom"/>
          </w:tcPr>
          <w:p w14:paraId="4023A0C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tcBorders>
            <w:vAlign w:val="bottom"/>
          </w:tcPr>
          <w:p w14:paraId="31DC2D64"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39.6</w:t>
            </w:r>
          </w:p>
        </w:tc>
      </w:tr>
      <w:tr w:rsidR="007109E7" w:rsidRPr="0075294B" w14:paraId="490DF25C" w14:textId="77777777" w:rsidTr="008559E5">
        <w:trPr>
          <w:trHeight w:val="227"/>
        </w:trPr>
        <w:tc>
          <w:tcPr>
            <w:tcW w:w="3855" w:type="dxa"/>
            <w:tcBorders>
              <w:bottom w:val="single" w:sz="4" w:space="0" w:color="000000"/>
            </w:tcBorders>
          </w:tcPr>
          <w:p w14:paraId="597FD3A6" w14:textId="77777777" w:rsidR="007109E7" w:rsidRPr="005771B0"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intangible assets</w:t>
            </w:r>
          </w:p>
        </w:tc>
        <w:tc>
          <w:tcPr>
            <w:tcW w:w="1247" w:type="dxa"/>
            <w:tcBorders>
              <w:bottom w:val="single" w:sz="4" w:space="0" w:color="000000"/>
            </w:tcBorders>
            <w:vAlign w:val="bottom"/>
          </w:tcPr>
          <w:p w14:paraId="17E76F75"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2.1</w:t>
            </w:r>
          </w:p>
        </w:tc>
        <w:tc>
          <w:tcPr>
            <w:tcW w:w="1247" w:type="dxa"/>
            <w:tcBorders>
              <w:bottom w:val="single" w:sz="4" w:space="0" w:color="000000"/>
            </w:tcBorders>
            <w:vAlign w:val="bottom"/>
          </w:tcPr>
          <w:p w14:paraId="24ABA16A"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bottom w:val="single" w:sz="4" w:space="0" w:color="000000"/>
            </w:tcBorders>
            <w:vAlign w:val="bottom"/>
          </w:tcPr>
          <w:p w14:paraId="675C250A"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2.1</w:t>
            </w:r>
          </w:p>
        </w:tc>
        <w:tc>
          <w:tcPr>
            <w:tcW w:w="1276" w:type="dxa"/>
            <w:tcBorders>
              <w:bottom w:val="single" w:sz="4" w:space="0" w:color="000000"/>
            </w:tcBorders>
            <w:vAlign w:val="bottom"/>
          </w:tcPr>
          <w:p w14:paraId="5505E00D"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4.6</w:t>
            </w:r>
          </w:p>
        </w:tc>
        <w:tc>
          <w:tcPr>
            <w:tcW w:w="1275" w:type="dxa"/>
            <w:tcBorders>
              <w:bottom w:val="single" w:sz="4" w:space="0" w:color="000000"/>
            </w:tcBorders>
            <w:vAlign w:val="bottom"/>
          </w:tcPr>
          <w:p w14:paraId="5D713062" w14:textId="77777777" w:rsidR="007109E7" w:rsidRPr="00AC5FB2"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709" w:type="dxa"/>
            <w:tcBorders>
              <w:bottom w:val="single" w:sz="4" w:space="0" w:color="000000"/>
            </w:tcBorders>
            <w:vAlign w:val="bottom"/>
          </w:tcPr>
          <w:p w14:paraId="5A59FB63"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4.6</w:t>
            </w:r>
          </w:p>
        </w:tc>
      </w:tr>
      <w:tr w:rsidR="007109E7" w:rsidRPr="0075294B" w14:paraId="5215FD49" w14:textId="77777777" w:rsidTr="008559E5">
        <w:trPr>
          <w:trHeight w:val="227"/>
        </w:trPr>
        <w:tc>
          <w:tcPr>
            <w:tcW w:w="3855" w:type="dxa"/>
            <w:tcBorders>
              <w:top w:val="single" w:sz="4" w:space="0" w:color="000000"/>
              <w:bottom w:val="single" w:sz="8" w:space="0" w:color="auto"/>
            </w:tcBorders>
          </w:tcPr>
          <w:p w14:paraId="371794C1" w14:textId="77777777" w:rsidR="007109E7" w:rsidRPr="0035290A" w:rsidRDefault="007109E7" w:rsidP="008559E5">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8" w:space="0" w:color="auto"/>
            </w:tcBorders>
            <w:vAlign w:val="bottom"/>
          </w:tcPr>
          <w:p w14:paraId="1EB28815"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31.9</w:t>
            </w:r>
          </w:p>
        </w:tc>
        <w:tc>
          <w:tcPr>
            <w:tcW w:w="1247" w:type="dxa"/>
            <w:tcBorders>
              <w:top w:val="single" w:sz="4" w:space="0" w:color="000000"/>
              <w:bottom w:val="single" w:sz="8" w:space="0" w:color="auto"/>
            </w:tcBorders>
            <w:vAlign w:val="bottom"/>
          </w:tcPr>
          <w:p w14:paraId="421B4A8C"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bottom w:val="single" w:sz="8" w:space="0" w:color="auto"/>
            </w:tcBorders>
            <w:vAlign w:val="bottom"/>
          </w:tcPr>
          <w:p w14:paraId="2C07AA30"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31.9</w:t>
            </w:r>
          </w:p>
        </w:tc>
        <w:tc>
          <w:tcPr>
            <w:tcW w:w="1276" w:type="dxa"/>
            <w:tcBorders>
              <w:top w:val="single" w:sz="4" w:space="0" w:color="000000"/>
              <w:bottom w:val="single" w:sz="8" w:space="0" w:color="auto"/>
            </w:tcBorders>
            <w:vAlign w:val="bottom"/>
          </w:tcPr>
          <w:p w14:paraId="3D18B84C"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43.0</w:t>
            </w:r>
          </w:p>
        </w:tc>
        <w:tc>
          <w:tcPr>
            <w:tcW w:w="1275" w:type="dxa"/>
            <w:tcBorders>
              <w:top w:val="single" w:sz="4" w:space="0" w:color="000000"/>
              <w:bottom w:val="single" w:sz="8" w:space="0" w:color="auto"/>
            </w:tcBorders>
            <w:vAlign w:val="bottom"/>
          </w:tcPr>
          <w:p w14:paraId="786312AC"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bottom w:val="single" w:sz="8" w:space="0" w:color="auto"/>
            </w:tcBorders>
            <w:vAlign w:val="bottom"/>
          </w:tcPr>
          <w:p w14:paraId="0BD0533D"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44.2</w:t>
            </w:r>
          </w:p>
        </w:tc>
      </w:tr>
      <w:tr w:rsidR="007109E7" w:rsidRPr="0075294B" w14:paraId="13AACB3F" w14:textId="77777777" w:rsidTr="008559E5">
        <w:trPr>
          <w:trHeight w:val="227"/>
        </w:trPr>
        <w:tc>
          <w:tcPr>
            <w:tcW w:w="3855" w:type="dxa"/>
            <w:tcBorders>
              <w:top w:val="single" w:sz="8" w:space="0" w:color="auto"/>
              <w:bottom w:val="single" w:sz="4" w:space="0" w:color="000000"/>
            </w:tcBorders>
          </w:tcPr>
          <w:p w14:paraId="30A2C737" w14:textId="77777777" w:rsidR="007109E7" w:rsidRPr="005771B0" w:rsidRDefault="007109E7" w:rsidP="008559E5">
            <w:pPr>
              <w:rPr>
                <w:rFonts w:asciiTheme="minorHAnsi" w:eastAsiaTheme="minorHAnsi" w:hAnsiTheme="minorHAnsi" w:cstheme="minorBidi"/>
                <w:sz w:val="18"/>
                <w:szCs w:val="18"/>
                <w:lang w:eastAsia="en-US" w:bidi="ar-SA"/>
              </w:rPr>
            </w:pPr>
          </w:p>
        </w:tc>
        <w:tc>
          <w:tcPr>
            <w:tcW w:w="1247" w:type="dxa"/>
            <w:tcBorders>
              <w:top w:val="single" w:sz="8" w:space="0" w:color="auto"/>
              <w:bottom w:val="single" w:sz="4" w:space="0" w:color="000000"/>
            </w:tcBorders>
            <w:vAlign w:val="bottom"/>
          </w:tcPr>
          <w:p w14:paraId="6FC15FD2"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p>
        </w:tc>
        <w:tc>
          <w:tcPr>
            <w:tcW w:w="1247" w:type="dxa"/>
            <w:tcBorders>
              <w:top w:val="single" w:sz="8" w:space="0" w:color="auto"/>
              <w:bottom w:val="single" w:sz="4" w:space="0" w:color="000000"/>
            </w:tcBorders>
            <w:vAlign w:val="bottom"/>
          </w:tcPr>
          <w:p w14:paraId="6885E922"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p>
        </w:tc>
        <w:tc>
          <w:tcPr>
            <w:tcW w:w="739" w:type="dxa"/>
            <w:tcBorders>
              <w:top w:val="single" w:sz="8" w:space="0" w:color="auto"/>
              <w:bottom w:val="single" w:sz="4" w:space="0" w:color="000000"/>
            </w:tcBorders>
            <w:vAlign w:val="bottom"/>
          </w:tcPr>
          <w:p w14:paraId="744DA247"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p>
        </w:tc>
        <w:tc>
          <w:tcPr>
            <w:tcW w:w="1276" w:type="dxa"/>
            <w:tcBorders>
              <w:top w:val="single" w:sz="8" w:space="0" w:color="auto"/>
              <w:bottom w:val="single" w:sz="4" w:space="0" w:color="000000"/>
            </w:tcBorders>
            <w:vAlign w:val="bottom"/>
          </w:tcPr>
          <w:p w14:paraId="61577155"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c>
          <w:tcPr>
            <w:tcW w:w="1275" w:type="dxa"/>
            <w:tcBorders>
              <w:top w:val="single" w:sz="8" w:space="0" w:color="auto"/>
              <w:bottom w:val="single" w:sz="4" w:space="0" w:color="000000"/>
            </w:tcBorders>
            <w:vAlign w:val="bottom"/>
          </w:tcPr>
          <w:p w14:paraId="72A3A750"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c>
          <w:tcPr>
            <w:tcW w:w="709" w:type="dxa"/>
            <w:tcBorders>
              <w:top w:val="single" w:sz="8" w:space="0" w:color="auto"/>
              <w:bottom w:val="single" w:sz="4" w:space="0" w:color="000000"/>
            </w:tcBorders>
            <w:vAlign w:val="bottom"/>
          </w:tcPr>
          <w:p w14:paraId="0B569550"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r>
      <w:tr w:rsidR="007109E7" w:rsidRPr="0075294B" w14:paraId="7DC39531" w14:textId="77777777" w:rsidTr="008559E5">
        <w:trPr>
          <w:trHeight w:val="227"/>
        </w:trPr>
        <w:tc>
          <w:tcPr>
            <w:tcW w:w="3855" w:type="dxa"/>
            <w:tcBorders>
              <w:top w:val="single" w:sz="4" w:space="0" w:color="000000"/>
            </w:tcBorders>
          </w:tcPr>
          <w:p w14:paraId="1A43F7AC" w14:textId="77777777" w:rsidR="007109E7" w:rsidRPr="005771B0"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Strategic Capital Expenditure</w:t>
            </w:r>
          </w:p>
        </w:tc>
        <w:tc>
          <w:tcPr>
            <w:tcW w:w="1247" w:type="dxa"/>
            <w:tcBorders>
              <w:top w:val="single" w:sz="4" w:space="0" w:color="000000"/>
            </w:tcBorders>
            <w:vAlign w:val="bottom"/>
          </w:tcPr>
          <w:p w14:paraId="3C813569"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13.0</w:t>
            </w:r>
          </w:p>
        </w:tc>
        <w:tc>
          <w:tcPr>
            <w:tcW w:w="1247" w:type="dxa"/>
            <w:tcBorders>
              <w:top w:val="single" w:sz="4" w:space="0" w:color="000000"/>
            </w:tcBorders>
            <w:vAlign w:val="bottom"/>
          </w:tcPr>
          <w:p w14:paraId="43EAD243"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tcBorders>
            <w:vAlign w:val="bottom"/>
          </w:tcPr>
          <w:p w14:paraId="22913B5E"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13.0</w:t>
            </w:r>
          </w:p>
        </w:tc>
        <w:tc>
          <w:tcPr>
            <w:tcW w:w="1276" w:type="dxa"/>
            <w:tcBorders>
              <w:top w:val="single" w:sz="4" w:space="0" w:color="000000"/>
            </w:tcBorders>
            <w:vAlign w:val="bottom"/>
          </w:tcPr>
          <w:p w14:paraId="389F559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12.4</w:t>
            </w:r>
          </w:p>
        </w:tc>
        <w:tc>
          <w:tcPr>
            <w:tcW w:w="1275" w:type="dxa"/>
            <w:tcBorders>
              <w:top w:val="single" w:sz="4" w:space="0" w:color="000000"/>
            </w:tcBorders>
            <w:vAlign w:val="bottom"/>
          </w:tcPr>
          <w:p w14:paraId="53A491B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tcBorders>
            <w:vAlign w:val="bottom"/>
          </w:tcPr>
          <w:p w14:paraId="6B78362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13.6</w:t>
            </w:r>
          </w:p>
        </w:tc>
      </w:tr>
      <w:tr w:rsidR="007109E7" w:rsidRPr="0075294B" w14:paraId="4611B76E" w14:textId="77777777" w:rsidTr="008559E5">
        <w:trPr>
          <w:trHeight w:val="227"/>
        </w:trPr>
        <w:tc>
          <w:tcPr>
            <w:tcW w:w="3855" w:type="dxa"/>
            <w:tcBorders>
              <w:bottom w:val="single" w:sz="4" w:space="0" w:color="000000"/>
            </w:tcBorders>
          </w:tcPr>
          <w:p w14:paraId="533F7D33" w14:textId="77777777" w:rsidR="007109E7" w:rsidRPr="0075294B"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Maintenance Capital Expenditure</w:t>
            </w:r>
          </w:p>
        </w:tc>
        <w:tc>
          <w:tcPr>
            <w:tcW w:w="1247" w:type="dxa"/>
            <w:tcBorders>
              <w:bottom w:val="single" w:sz="4" w:space="0" w:color="000000"/>
            </w:tcBorders>
            <w:vAlign w:val="bottom"/>
          </w:tcPr>
          <w:p w14:paraId="45B2E5DE"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18.9</w:t>
            </w:r>
          </w:p>
        </w:tc>
        <w:tc>
          <w:tcPr>
            <w:tcW w:w="1247" w:type="dxa"/>
            <w:tcBorders>
              <w:bottom w:val="single" w:sz="4" w:space="0" w:color="000000"/>
            </w:tcBorders>
            <w:vAlign w:val="bottom"/>
          </w:tcPr>
          <w:p w14:paraId="7B295567"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bottom w:val="single" w:sz="4" w:space="0" w:color="000000"/>
            </w:tcBorders>
            <w:vAlign w:val="bottom"/>
          </w:tcPr>
          <w:p w14:paraId="7BBE55DD"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18.9</w:t>
            </w:r>
          </w:p>
        </w:tc>
        <w:tc>
          <w:tcPr>
            <w:tcW w:w="1276" w:type="dxa"/>
            <w:tcBorders>
              <w:bottom w:val="single" w:sz="4" w:space="0" w:color="000000"/>
            </w:tcBorders>
            <w:vAlign w:val="bottom"/>
          </w:tcPr>
          <w:p w14:paraId="4FF0EC74"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30.6</w:t>
            </w:r>
          </w:p>
        </w:tc>
        <w:tc>
          <w:tcPr>
            <w:tcW w:w="1275" w:type="dxa"/>
            <w:tcBorders>
              <w:bottom w:val="single" w:sz="4" w:space="0" w:color="000000"/>
            </w:tcBorders>
            <w:vAlign w:val="bottom"/>
          </w:tcPr>
          <w:p w14:paraId="68AC1101" w14:textId="77777777" w:rsidR="007109E7" w:rsidRPr="00AC5FB2"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709" w:type="dxa"/>
            <w:tcBorders>
              <w:bottom w:val="single" w:sz="4" w:space="0" w:color="000000"/>
            </w:tcBorders>
            <w:vAlign w:val="bottom"/>
          </w:tcPr>
          <w:p w14:paraId="2C153EA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30.6</w:t>
            </w:r>
          </w:p>
        </w:tc>
      </w:tr>
      <w:tr w:rsidR="007109E7" w:rsidRPr="0075294B" w14:paraId="569561D6" w14:textId="77777777" w:rsidTr="008559E5">
        <w:trPr>
          <w:trHeight w:val="227"/>
        </w:trPr>
        <w:tc>
          <w:tcPr>
            <w:tcW w:w="3855" w:type="dxa"/>
            <w:tcBorders>
              <w:top w:val="single" w:sz="4" w:space="0" w:color="000000"/>
              <w:bottom w:val="single" w:sz="4" w:space="0" w:color="000000"/>
            </w:tcBorders>
          </w:tcPr>
          <w:p w14:paraId="30B6CF3A" w14:textId="77777777" w:rsidR="007109E7" w:rsidRPr="005771B0" w:rsidRDefault="007109E7" w:rsidP="008559E5">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4" w:space="0" w:color="000000"/>
            </w:tcBorders>
            <w:vAlign w:val="bottom"/>
          </w:tcPr>
          <w:p w14:paraId="7038BCDC"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31.9</w:t>
            </w:r>
          </w:p>
        </w:tc>
        <w:tc>
          <w:tcPr>
            <w:tcW w:w="1247" w:type="dxa"/>
            <w:tcBorders>
              <w:top w:val="single" w:sz="4" w:space="0" w:color="000000"/>
              <w:bottom w:val="single" w:sz="4" w:space="0" w:color="000000"/>
            </w:tcBorders>
            <w:vAlign w:val="bottom"/>
          </w:tcPr>
          <w:p w14:paraId="4BB22720"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bottom w:val="single" w:sz="4" w:space="0" w:color="000000"/>
            </w:tcBorders>
            <w:vAlign w:val="bottom"/>
          </w:tcPr>
          <w:p w14:paraId="0C93E359"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31.9</w:t>
            </w:r>
          </w:p>
        </w:tc>
        <w:tc>
          <w:tcPr>
            <w:tcW w:w="1276" w:type="dxa"/>
            <w:tcBorders>
              <w:top w:val="single" w:sz="4" w:space="0" w:color="000000"/>
              <w:bottom w:val="single" w:sz="4" w:space="0" w:color="000000"/>
            </w:tcBorders>
            <w:vAlign w:val="bottom"/>
          </w:tcPr>
          <w:p w14:paraId="20859650"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43.0</w:t>
            </w:r>
          </w:p>
        </w:tc>
        <w:tc>
          <w:tcPr>
            <w:tcW w:w="1275" w:type="dxa"/>
            <w:tcBorders>
              <w:top w:val="single" w:sz="4" w:space="0" w:color="000000"/>
              <w:bottom w:val="single" w:sz="4" w:space="0" w:color="000000"/>
            </w:tcBorders>
            <w:vAlign w:val="bottom"/>
          </w:tcPr>
          <w:p w14:paraId="3FE451C1"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1.2</w:t>
            </w:r>
          </w:p>
        </w:tc>
        <w:tc>
          <w:tcPr>
            <w:tcW w:w="709" w:type="dxa"/>
            <w:tcBorders>
              <w:top w:val="single" w:sz="4" w:space="0" w:color="000000"/>
              <w:bottom w:val="single" w:sz="4" w:space="0" w:color="000000"/>
            </w:tcBorders>
            <w:vAlign w:val="bottom"/>
          </w:tcPr>
          <w:p w14:paraId="35213906"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44.2</w:t>
            </w:r>
          </w:p>
        </w:tc>
      </w:tr>
    </w:tbl>
    <w:p w14:paraId="3BD73399" w14:textId="77777777" w:rsidR="007109E7" w:rsidRDefault="007109E7" w:rsidP="007109E7">
      <w:pPr>
        <w:pStyle w:val="BodyText"/>
      </w:pPr>
    </w:p>
    <w:p w14:paraId="49E33ACA" w14:textId="77777777" w:rsidR="007109E7" w:rsidRPr="006F03C7" w:rsidRDefault="007109E7" w:rsidP="007109E7">
      <w:pPr>
        <w:pStyle w:val="Heading2"/>
        <w:numPr>
          <w:ilvl w:val="0"/>
          <w:numId w:val="0"/>
        </w:numPr>
      </w:pPr>
      <w:r>
        <w:t>FREE CASH FLOW AND FREE CASH FLOW CONVERSION</w:t>
      </w:r>
    </w:p>
    <w:p w14:paraId="2D5338CB" w14:textId="77777777" w:rsidR="007109E7" w:rsidRPr="003C79C5" w:rsidRDefault="007109E7" w:rsidP="007109E7">
      <w:pPr>
        <w:pStyle w:val="BodyText"/>
      </w:pPr>
    </w:p>
    <w:p w14:paraId="6CB67C51"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uses Free Cash Flow to measure the amount of </w:t>
      </w:r>
      <w:r>
        <w:rPr>
          <w:rFonts w:asciiTheme="minorHAnsi" w:hAnsiTheme="minorHAnsi" w:cstheme="minorHAnsi"/>
          <w:sz w:val="18"/>
          <w:szCs w:val="18"/>
        </w:rPr>
        <w:t xml:space="preserve">underlying cash generation and the </w:t>
      </w:r>
      <w:r w:rsidRPr="002A7FD2">
        <w:rPr>
          <w:rFonts w:asciiTheme="minorHAnsi" w:hAnsiTheme="minorHAnsi" w:cstheme="minorHAnsi"/>
          <w:sz w:val="18"/>
          <w:szCs w:val="18"/>
        </w:rPr>
        <w:t>cash available for distribution and allocation.</w:t>
      </w:r>
    </w:p>
    <w:p w14:paraId="2FCC0E96" w14:textId="77777777" w:rsidR="007109E7" w:rsidRPr="002A7FD2" w:rsidRDefault="007109E7" w:rsidP="007109E7">
      <w:pPr>
        <w:widowControl/>
        <w:adjustRightInd w:val="0"/>
        <w:jc w:val="both"/>
        <w:rPr>
          <w:rFonts w:asciiTheme="minorHAnsi" w:hAnsiTheme="minorHAnsi" w:cstheme="minorHAnsi"/>
          <w:sz w:val="18"/>
          <w:szCs w:val="18"/>
        </w:rPr>
      </w:pPr>
    </w:p>
    <w:p w14:paraId="42585E58"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calculates the Free Cash Flow as the net cash inflow/outflow from operating and investing activities before Strategic Capital Expenditure,</w:t>
      </w:r>
      <w:r>
        <w:rPr>
          <w:rFonts w:asciiTheme="minorHAnsi" w:hAnsiTheme="minorHAnsi" w:cstheme="minorHAnsi"/>
          <w:sz w:val="18"/>
          <w:szCs w:val="18"/>
        </w:rPr>
        <w:t xml:space="preserve"> repayment of lease liabilities,</w:t>
      </w:r>
      <w:r w:rsidRPr="002A7FD2">
        <w:rPr>
          <w:rFonts w:asciiTheme="minorHAnsi" w:hAnsiTheme="minorHAnsi" w:cstheme="minorHAnsi"/>
          <w:sz w:val="18"/>
          <w:szCs w:val="18"/>
        </w:rPr>
        <w:t xml:space="preserve"> acquisition and disposal of undertakings</w:t>
      </w:r>
      <w:r>
        <w:rPr>
          <w:rFonts w:asciiTheme="minorHAnsi" w:hAnsiTheme="minorHAnsi" w:cstheme="minorHAnsi"/>
          <w:sz w:val="18"/>
          <w:szCs w:val="18"/>
        </w:rPr>
        <w:t xml:space="preserve">, disposal of investment property </w:t>
      </w:r>
      <w:r w:rsidRPr="002A7FD2">
        <w:rPr>
          <w:rFonts w:asciiTheme="minorHAnsi" w:hAnsiTheme="minorHAnsi" w:cstheme="minorHAnsi"/>
          <w:sz w:val="18"/>
          <w:szCs w:val="18"/>
        </w:rPr>
        <w:t>and adjusting for dividends paid to non-controlling interests.</w:t>
      </w:r>
    </w:p>
    <w:p w14:paraId="5328253E" w14:textId="77777777" w:rsidR="007109E7" w:rsidRDefault="007109E7" w:rsidP="007109E7">
      <w:pPr>
        <w:widowControl/>
        <w:adjustRightInd w:val="0"/>
        <w:jc w:val="both"/>
        <w:rPr>
          <w:rFonts w:asciiTheme="minorHAnsi" w:hAnsiTheme="minorHAnsi" w:cstheme="minorHAnsi"/>
          <w:sz w:val="18"/>
          <w:szCs w:val="18"/>
        </w:rPr>
      </w:pPr>
    </w:p>
    <w:p w14:paraId="46299C1B" w14:textId="77777777" w:rsidR="007109E7" w:rsidRPr="002A7FD2" w:rsidRDefault="007109E7" w:rsidP="007109E7">
      <w:pPr>
        <w:widowControl/>
        <w:adjustRightInd w:val="0"/>
        <w:jc w:val="both"/>
        <w:rPr>
          <w:rFonts w:asciiTheme="minorHAnsi" w:hAnsiTheme="minorHAnsi" w:cstheme="minorHAnsi"/>
          <w:sz w:val="18"/>
          <w:szCs w:val="18"/>
        </w:rPr>
      </w:pPr>
      <w:r>
        <w:rPr>
          <w:rFonts w:asciiTheme="minorHAnsi" w:hAnsiTheme="minorHAnsi" w:cstheme="minorHAnsi"/>
          <w:sz w:val="18"/>
          <w:szCs w:val="18"/>
        </w:rPr>
        <w:t>The Group calculates Free Cash Flow Conversion as Free Cash Flow divided by Adjusted EBITDA.</w:t>
      </w:r>
    </w:p>
    <w:p w14:paraId="455696D1" w14:textId="77777777" w:rsidR="007109E7" w:rsidRPr="002A7FD2" w:rsidRDefault="007109E7" w:rsidP="007109E7">
      <w:pPr>
        <w:widowControl/>
        <w:adjustRightInd w:val="0"/>
        <w:jc w:val="both"/>
        <w:rPr>
          <w:rFonts w:asciiTheme="minorHAnsi" w:hAnsiTheme="minorHAnsi" w:cstheme="minorHAnsi"/>
          <w:sz w:val="18"/>
          <w:szCs w:val="18"/>
        </w:rPr>
      </w:pPr>
    </w:p>
    <w:p w14:paraId="25E4B60E"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a reconciliation from the Group’s net cash inflow from operating activities and net cash outflow from investing activities to Free Cash Flow:</w:t>
      </w:r>
    </w:p>
    <w:p w14:paraId="522900AA" w14:textId="77777777" w:rsidR="007109E7" w:rsidRDefault="007109E7" w:rsidP="007109E7">
      <w:pPr>
        <w:pStyle w:val="BodyText"/>
      </w:pPr>
    </w:p>
    <w:tbl>
      <w:tblPr>
        <w:tblW w:w="10348" w:type="dxa"/>
        <w:tblLayout w:type="fixed"/>
        <w:tblLook w:val="01E0" w:firstRow="1" w:lastRow="1" w:firstColumn="1" w:lastColumn="1" w:noHBand="0" w:noVBand="0"/>
      </w:tblPr>
      <w:tblGrid>
        <w:gridCol w:w="3544"/>
        <w:gridCol w:w="1276"/>
        <w:gridCol w:w="1276"/>
        <w:gridCol w:w="850"/>
        <w:gridCol w:w="1276"/>
        <w:gridCol w:w="1276"/>
        <w:gridCol w:w="850"/>
      </w:tblGrid>
      <w:tr w:rsidR="007109E7" w14:paraId="6773EC30" w14:textId="77777777" w:rsidTr="008559E5">
        <w:trPr>
          <w:trHeight w:val="228"/>
        </w:trPr>
        <w:tc>
          <w:tcPr>
            <w:tcW w:w="3544" w:type="dxa"/>
            <w:vAlign w:val="bottom"/>
          </w:tcPr>
          <w:p w14:paraId="0A0B61D6" w14:textId="77777777" w:rsidR="007109E7" w:rsidRPr="00E630A4" w:rsidRDefault="007109E7" w:rsidP="008559E5"/>
        </w:tc>
        <w:tc>
          <w:tcPr>
            <w:tcW w:w="3402" w:type="dxa"/>
            <w:gridSpan w:val="3"/>
            <w:vAlign w:val="bottom"/>
          </w:tcPr>
          <w:p w14:paraId="71B50DAE" w14:textId="77777777" w:rsidR="007109E7" w:rsidRPr="0035290A" w:rsidRDefault="007109E7" w:rsidP="008559E5">
            <w:pPr>
              <w:jc w:val="center"/>
              <w:rPr>
                <w:bCs/>
              </w:rPr>
            </w:pPr>
            <w:r w:rsidRPr="005771B0">
              <w:rPr>
                <w:rFonts w:asciiTheme="minorHAnsi" w:eastAsiaTheme="minorHAnsi" w:hAnsiTheme="minorHAnsi" w:cstheme="minorBidi"/>
                <w:b/>
                <w:bCs/>
                <w:sz w:val="18"/>
                <w:szCs w:val="18"/>
                <w:lang w:eastAsia="en-US" w:bidi="ar-SA"/>
              </w:rPr>
              <w:t>2020</w:t>
            </w:r>
          </w:p>
        </w:tc>
        <w:tc>
          <w:tcPr>
            <w:tcW w:w="3402" w:type="dxa"/>
            <w:gridSpan w:val="3"/>
            <w:vAlign w:val="bottom"/>
          </w:tcPr>
          <w:p w14:paraId="49DABC3A" w14:textId="7412D423" w:rsidR="007109E7" w:rsidRPr="00E630A4" w:rsidRDefault="007109E7" w:rsidP="00B14F8F">
            <w:pPr>
              <w:jc w:val="center"/>
            </w:pPr>
            <w:r w:rsidRPr="00E630A4">
              <w:rPr>
                <w:rFonts w:asciiTheme="minorHAnsi" w:eastAsiaTheme="minorHAnsi" w:hAnsiTheme="minorHAnsi" w:cstheme="minorBidi"/>
                <w:sz w:val="18"/>
                <w:szCs w:val="18"/>
                <w:lang w:eastAsia="en-US" w:bidi="ar-SA"/>
              </w:rPr>
              <w:t>2019</w:t>
            </w:r>
          </w:p>
        </w:tc>
      </w:tr>
      <w:tr w:rsidR="007109E7" w14:paraId="6DB2E135" w14:textId="77777777" w:rsidTr="008559E5">
        <w:trPr>
          <w:trHeight w:val="228"/>
        </w:trPr>
        <w:tc>
          <w:tcPr>
            <w:tcW w:w="3544" w:type="dxa"/>
            <w:tcBorders>
              <w:bottom w:val="single" w:sz="4" w:space="0" w:color="000000"/>
            </w:tcBorders>
            <w:vAlign w:val="bottom"/>
          </w:tcPr>
          <w:p w14:paraId="6538D596" w14:textId="77777777" w:rsidR="007109E7" w:rsidRPr="00E630A4" w:rsidRDefault="007109E7" w:rsidP="008559E5"/>
        </w:tc>
        <w:tc>
          <w:tcPr>
            <w:tcW w:w="1276" w:type="dxa"/>
            <w:tcBorders>
              <w:bottom w:val="single" w:sz="4" w:space="0" w:color="000000"/>
            </w:tcBorders>
            <w:vAlign w:val="bottom"/>
          </w:tcPr>
          <w:p w14:paraId="5066C7C3"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120A6FBD" w14:textId="77777777" w:rsidR="007109E7" w:rsidRPr="00292A98" w:rsidRDefault="007109E7" w:rsidP="008559E5">
            <w:pPr>
              <w:jc w:val="right"/>
              <w:rPr>
                <w:rFonts w:asciiTheme="minorHAnsi" w:eastAsiaTheme="minorHAnsi" w:hAnsiTheme="minorHAnsi" w:cstheme="minorBidi"/>
                <w:b/>
                <w:bCs/>
                <w:sz w:val="18"/>
                <w:szCs w:val="18"/>
                <w:lang w:eastAsia="en-US" w:bidi="ar-SA"/>
              </w:rPr>
            </w:pPr>
            <w:r w:rsidRPr="00A46B58">
              <w:rPr>
                <w:rFonts w:asciiTheme="minorHAnsi" w:eastAsiaTheme="minorHAnsi" w:hAnsiTheme="minorHAnsi" w:cstheme="minorBidi"/>
                <w:b/>
                <w:bCs/>
                <w:sz w:val="18"/>
                <w:szCs w:val="18"/>
                <w:lang w:eastAsia="en-US" w:bidi="ar-SA"/>
              </w:rPr>
              <w:t>Foods</w:t>
            </w:r>
          </w:p>
          <w:p w14:paraId="356D6EB7" w14:textId="77777777" w:rsidR="007109E7" w:rsidRPr="00B47239" w:rsidRDefault="007109E7" w:rsidP="008559E5">
            <w:pPr>
              <w:jc w:val="right"/>
              <w:rPr>
                <w:rFonts w:asciiTheme="minorHAnsi" w:eastAsiaTheme="minorHAnsi" w:hAnsiTheme="minorHAnsi" w:cstheme="minorBidi"/>
                <w:b/>
                <w:bCs/>
                <w:sz w:val="18"/>
                <w:szCs w:val="18"/>
                <w:lang w:eastAsia="en-US" w:bidi="ar-SA"/>
              </w:rPr>
            </w:pPr>
            <w:r w:rsidRPr="00E44C56">
              <w:rPr>
                <w:rFonts w:asciiTheme="minorHAnsi" w:eastAsiaTheme="minorHAnsi" w:hAnsiTheme="minorHAnsi" w:cstheme="minorBidi"/>
                <w:b/>
                <w:bCs/>
                <w:sz w:val="18"/>
                <w:szCs w:val="18"/>
                <w:lang w:eastAsia="en-US" w:bidi="ar-SA"/>
              </w:rPr>
              <w:t>UK &amp; Ireland</w:t>
            </w:r>
            <w:r w:rsidRPr="00E44C56">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423D4024" w14:textId="77777777" w:rsidR="007109E7" w:rsidRPr="00BC3F98" w:rsidRDefault="007109E7" w:rsidP="008559E5">
            <w:pPr>
              <w:jc w:val="right"/>
              <w:rPr>
                <w:rFonts w:asciiTheme="minorHAnsi" w:eastAsiaTheme="minorHAnsi" w:hAnsiTheme="minorHAnsi" w:cstheme="minorBidi"/>
                <w:b/>
                <w:bCs/>
                <w:sz w:val="18"/>
                <w:szCs w:val="18"/>
                <w:lang w:eastAsia="en-US" w:bidi="ar-SA"/>
              </w:rPr>
            </w:pPr>
            <w:r w:rsidRPr="00660EC8">
              <w:rPr>
                <w:rFonts w:asciiTheme="minorHAnsi" w:eastAsiaTheme="minorHAnsi" w:hAnsiTheme="minorHAnsi" w:cstheme="minorBidi"/>
                <w:b/>
                <w:bCs/>
                <w:sz w:val="18"/>
                <w:szCs w:val="18"/>
                <w:lang w:eastAsia="en-US" w:bidi="ar-SA"/>
              </w:rPr>
              <w:t>Discontinued operations</w:t>
            </w:r>
            <w:r w:rsidRPr="00660EC8">
              <w:rPr>
                <w:rFonts w:asciiTheme="minorHAnsi" w:eastAsiaTheme="minorHAnsi" w:hAnsiTheme="minorHAnsi" w:cstheme="minorBidi"/>
                <w:b/>
                <w:bCs/>
                <w:sz w:val="18"/>
                <w:szCs w:val="18"/>
                <w:lang w:eastAsia="en-US" w:bidi="ar-SA"/>
              </w:rPr>
              <w:br/>
              <w:t>£m</w:t>
            </w:r>
          </w:p>
        </w:tc>
        <w:tc>
          <w:tcPr>
            <w:tcW w:w="850" w:type="dxa"/>
            <w:tcBorders>
              <w:bottom w:val="single" w:sz="4" w:space="0" w:color="000000"/>
            </w:tcBorders>
            <w:vAlign w:val="bottom"/>
          </w:tcPr>
          <w:p w14:paraId="42D280DE" w14:textId="77777777" w:rsidR="007109E7" w:rsidRPr="00D85282" w:rsidRDefault="007109E7" w:rsidP="008559E5">
            <w:pPr>
              <w:jc w:val="right"/>
              <w:rPr>
                <w:rFonts w:asciiTheme="minorHAnsi" w:eastAsiaTheme="minorHAnsi" w:hAnsiTheme="minorHAnsi" w:cstheme="minorBidi"/>
                <w:b/>
                <w:bCs/>
                <w:sz w:val="18"/>
                <w:szCs w:val="18"/>
                <w:lang w:eastAsia="en-US" w:bidi="ar-SA"/>
              </w:rPr>
            </w:pPr>
            <w:r w:rsidRPr="001249D0">
              <w:rPr>
                <w:rFonts w:asciiTheme="minorHAnsi" w:eastAsiaTheme="minorHAnsi" w:hAnsiTheme="minorHAnsi" w:cstheme="minorBidi"/>
                <w:b/>
                <w:bCs/>
                <w:sz w:val="18"/>
                <w:szCs w:val="18"/>
                <w:lang w:eastAsia="en-US" w:bidi="ar-SA"/>
              </w:rPr>
              <w:t>Total</w:t>
            </w:r>
            <w:r w:rsidRPr="001249D0">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20A68BAF"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Convenience</w:t>
            </w:r>
          </w:p>
          <w:p w14:paraId="3049738B"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Foods</w:t>
            </w:r>
          </w:p>
          <w:p w14:paraId="0CE27377"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UK &amp; Ireland</w:t>
            </w:r>
            <w:r w:rsidRPr="0075294B">
              <w:rPr>
                <w:rFonts w:asciiTheme="minorHAnsi" w:eastAsiaTheme="minorHAnsi" w:hAnsiTheme="minorHAnsi" w:cstheme="minorBidi"/>
                <w:sz w:val="18"/>
                <w:szCs w:val="18"/>
                <w:lang w:eastAsia="en-US" w:bidi="ar-SA"/>
              </w:rPr>
              <w:br/>
              <w:t>£m</w:t>
            </w:r>
          </w:p>
        </w:tc>
        <w:tc>
          <w:tcPr>
            <w:tcW w:w="1276" w:type="dxa"/>
            <w:tcBorders>
              <w:bottom w:val="single" w:sz="4" w:space="0" w:color="000000"/>
            </w:tcBorders>
            <w:vAlign w:val="bottom"/>
          </w:tcPr>
          <w:p w14:paraId="66745925"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Discontinued operations</w:t>
            </w:r>
            <w:r w:rsidRPr="0075294B">
              <w:rPr>
                <w:rFonts w:asciiTheme="minorHAnsi" w:eastAsiaTheme="minorHAnsi" w:hAnsiTheme="minorHAnsi" w:cstheme="minorBidi"/>
                <w:sz w:val="18"/>
                <w:szCs w:val="18"/>
                <w:lang w:eastAsia="en-US" w:bidi="ar-SA"/>
              </w:rPr>
              <w:br/>
              <w:t>£m</w:t>
            </w:r>
          </w:p>
        </w:tc>
        <w:tc>
          <w:tcPr>
            <w:tcW w:w="850" w:type="dxa"/>
            <w:tcBorders>
              <w:bottom w:val="single" w:sz="4" w:space="0" w:color="000000"/>
            </w:tcBorders>
            <w:vAlign w:val="bottom"/>
          </w:tcPr>
          <w:p w14:paraId="188CD422"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Total</w:t>
            </w:r>
            <w:r w:rsidRPr="0075294B">
              <w:rPr>
                <w:rFonts w:asciiTheme="minorHAnsi" w:eastAsiaTheme="minorHAnsi" w:hAnsiTheme="minorHAnsi" w:cstheme="minorBidi"/>
                <w:sz w:val="18"/>
                <w:szCs w:val="18"/>
                <w:lang w:eastAsia="en-US" w:bidi="ar-SA"/>
              </w:rPr>
              <w:br/>
              <w:t>£m</w:t>
            </w:r>
          </w:p>
        </w:tc>
      </w:tr>
      <w:tr w:rsidR="007109E7" w14:paraId="34D02042" w14:textId="77777777" w:rsidTr="008559E5">
        <w:trPr>
          <w:trHeight w:val="228"/>
        </w:trPr>
        <w:tc>
          <w:tcPr>
            <w:tcW w:w="3544" w:type="dxa"/>
            <w:vAlign w:val="bottom"/>
          </w:tcPr>
          <w:p w14:paraId="0276ABB0" w14:textId="77777777" w:rsidR="007109E7" w:rsidRPr="00E630A4" w:rsidRDefault="007109E7" w:rsidP="008559E5">
            <w:r w:rsidRPr="00E630A4">
              <w:rPr>
                <w:rFonts w:asciiTheme="minorHAnsi" w:eastAsiaTheme="minorHAnsi" w:hAnsiTheme="minorHAnsi" w:cstheme="minorBidi"/>
                <w:sz w:val="18"/>
                <w:szCs w:val="18"/>
                <w:lang w:eastAsia="en-US" w:bidi="ar-SA"/>
              </w:rPr>
              <w:t>Net cash inflow/(outflow) from operating activities</w:t>
            </w:r>
          </w:p>
        </w:tc>
        <w:tc>
          <w:tcPr>
            <w:tcW w:w="1276" w:type="dxa"/>
            <w:vAlign w:val="bottom"/>
          </w:tcPr>
          <w:p w14:paraId="1DA5351D"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2.5</w:t>
            </w:r>
          </w:p>
        </w:tc>
        <w:tc>
          <w:tcPr>
            <w:tcW w:w="1276" w:type="dxa"/>
            <w:vAlign w:val="bottom"/>
          </w:tcPr>
          <w:p w14:paraId="65F3598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43BE5F2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2.5</w:t>
            </w:r>
          </w:p>
        </w:tc>
        <w:tc>
          <w:tcPr>
            <w:tcW w:w="1276" w:type="dxa"/>
            <w:vAlign w:val="bottom"/>
          </w:tcPr>
          <w:p w14:paraId="7955C74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98.9</w:t>
            </w:r>
          </w:p>
        </w:tc>
        <w:tc>
          <w:tcPr>
            <w:tcW w:w="1276" w:type="dxa"/>
            <w:vAlign w:val="bottom"/>
          </w:tcPr>
          <w:p w14:paraId="6ACA62F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(12.2)</w:t>
            </w:r>
          </w:p>
        </w:tc>
        <w:tc>
          <w:tcPr>
            <w:tcW w:w="850" w:type="dxa"/>
            <w:vAlign w:val="bottom"/>
          </w:tcPr>
          <w:p w14:paraId="7143102A"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86.7</w:t>
            </w:r>
          </w:p>
        </w:tc>
      </w:tr>
      <w:tr w:rsidR="007109E7" w14:paraId="7466B99E" w14:textId="77777777" w:rsidTr="008559E5">
        <w:trPr>
          <w:trHeight w:val="228"/>
        </w:trPr>
        <w:tc>
          <w:tcPr>
            <w:tcW w:w="3544" w:type="dxa"/>
            <w:tcBorders>
              <w:bottom w:val="single" w:sz="4" w:space="0" w:color="auto"/>
            </w:tcBorders>
            <w:vAlign w:val="bottom"/>
          </w:tcPr>
          <w:p w14:paraId="2F724757" w14:textId="77777777" w:rsidR="007109E7" w:rsidRPr="00E630A4" w:rsidRDefault="007109E7" w:rsidP="008559E5">
            <w:r w:rsidRPr="00E630A4">
              <w:rPr>
                <w:rFonts w:asciiTheme="minorHAnsi" w:eastAsiaTheme="minorHAnsi" w:hAnsiTheme="minorHAnsi" w:cstheme="minorBidi"/>
                <w:sz w:val="18"/>
                <w:szCs w:val="18"/>
                <w:lang w:eastAsia="en-US" w:bidi="ar-SA"/>
              </w:rPr>
              <w:t>Net cash (outflow)/inflow from investing activities</w:t>
            </w:r>
          </w:p>
        </w:tc>
        <w:tc>
          <w:tcPr>
            <w:tcW w:w="1276" w:type="dxa"/>
            <w:tcBorders>
              <w:bottom w:val="single" w:sz="4" w:space="0" w:color="auto"/>
            </w:tcBorders>
            <w:vAlign w:val="bottom"/>
          </w:tcPr>
          <w:p w14:paraId="4E27936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(31.6)</w:t>
            </w:r>
          </w:p>
        </w:tc>
        <w:tc>
          <w:tcPr>
            <w:tcW w:w="1276" w:type="dxa"/>
            <w:tcBorders>
              <w:bottom w:val="single" w:sz="4" w:space="0" w:color="auto"/>
            </w:tcBorders>
            <w:vAlign w:val="bottom"/>
          </w:tcPr>
          <w:p w14:paraId="5F4E6BC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bottom w:val="single" w:sz="4" w:space="0" w:color="auto"/>
            </w:tcBorders>
            <w:vAlign w:val="bottom"/>
          </w:tcPr>
          <w:p w14:paraId="5E895BD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(31.6)</w:t>
            </w:r>
          </w:p>
        </w:tc>
        <w:tc>
          <w:tcPr>
            <w:tcW w:w="1276" w:type="dxa"/>
            <w:tcBorders>
              <w:bottom w:val="single" w:sz="4" w:space="0" w:color="auto"/>
            </w:tcBorders>
            <w:vAlign w:val="bottom"/>
          </w:tcPr>
          <w:p w14:paraId="56959AA1"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714.2</w:t>
            </w:r>
          </w:p>
        </w:tc>
        <w:tc>
          <w:tcPr>
            <w:tcW w:w="1276" w:type="dxa"/>
            <w:tcBorders>
              <w:bottom w:val="single" w:sz="4" w:space="0" w:color="auto"/>
            </w:tcBorders>
            <w:vAlign w:val="bottom"/>
          </w:tcPr>
          <w:p w14:paraId="4459E390"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w:t>
            </w:r>
          </w:p>
        </w:tc>
        <w:tc>
          <w:tcPr>
            <w:tcW w:w="850" w:type="dxa"/>
            <w:tcBorders>
              <w:bottom w:val="single" w:sz="4" w:space="0" w:color="auto"/>
            </w:tcBorders>
            <w:vAlign w:val="bottom"/>
          </w:tcPr>
          <w:p w14:paraId="477BD352"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713.0</w:t>
            </w:r>
          </w:p>
        </w:tc>
      </w:tr>
      <w:tr w:rsidR="007109E7" w14:paraId="2F5607BA" w14:textId="77777777" w:rsidTr="008559E5">
        <w:trPr>
          <w:trHeight w:val="228"/>
        </w:trPr>
        <w:tc>
          <w:tcPr>
            <w:tcW w:w="3544" w:type="dxa"/>
            <w:tcBorders>
              <w:top w:val="single" w:sz="4" w:space="0" w:color="auto"/>
            </w:tcBorders>
            <w:vAlign w:val="bottom"/>
          </w:tcPr>
          <w:p w14:paraId="23EBD185"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Net cash (outflow)/inflow from operating and investing activities</w:t>
            </w:r>
          </w:p>
        </w:tc>
        <w:tc>
          <w:tcPr>
            <w:tcW w:w="1276" w:type="dxa"/>
            <w:tcBorders>
              <w:top w:val="single" w:sz="4" w:space="0" w:color="auto"/>
            </w:tcBorders>
            <w:vAlign w:val="bottom"/>
          </w:tcPr>
          <w:p w14:paraId="28D19D2E"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(29.1)</w:t>
            </w:r>
          </w:p>
        </w:tc>
        <w:tc>
          <w:tcPr>
            <w:tcW w:w="1276" w:type="dxa"/>
            <w:tcBorders>
              <w:top w:val="single" w:sz="4" w:space="0" w:color="auto"/>
            </w:tcBorders>
            <w:vAlign w:val="bottom"/>
          </w:tcPr>
          <w:p w14:paraId="0C87BA9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auto"/>
            </w:tcBorders>
            <w:vAlign w:val="bottom"/>
          </w:tcPr>
          <w:p w14:paraId="4E0DF44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(29.1)</w:t>
            </w:r>
          </w:p>
        </w:tc>
        <w:tc>
          <w:tcPr>
            <w:tcW w:w="1276" w:type="dxa"/>
            <w:tcBorders>
              <w:top w:val="single" w:sz="4" w:space="0" w:color="auto"/>
            </w:tcBorders>
            <w:vAlign w:val="bottom"/>
          </w:tcPr>
          <w:p w14:paraId="0860C480"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813.1</w:t>
            </w:r>
          </w:p>
        </w:tc>
        <w:tc>
          <w:tcPr>
            <w:tcW w:w="1276" w:type="dxa"/>
            <w:tcBorders>
              <w:top w:val="single" w:sz="4" w:space="0" w:color="auto"/>
            </w:tcBorders>
            <w:vAlign w:val="bottom"/>
          </w:tcPr>
          <w:p w14:paraId="035F164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(13.4)</w:t>
            </w:r>
          </w:p>
        </w:tc>
        <w:tc>
          <w:tcPr>
            <w:tcW w:w="850" w:type="dxa"/>
            <w:tcBorders>
              <w:top w:val="single" w:sz="4" w:space="0" w:color="auto"/>
            </w:tcBorders>
            <w:vAlign w:val="bottom"/>
          </w:tcPr>
          <w:p w14:paraId="71E668F9"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799.7</w:t>
            </w:r>
          </w:p>
        </w:tc>
      </w:tr>
      <w:tr w:rsidR="007109E7" w14:paraId="2ACCAD53" w14:textId="77777777" w:rsidTr="008559E5">
        <w:trPr>
          <w:trHeight w:val="228"/>
        </w:trPr>
        <w:tc>
          <w:tcPr>
            <w:tcW w:w="3544" w:type="dxa"/>
            <w:vAlign w:val="bottom"/>
          </w:tcPr>
          <w:p w14:paraId="12733A5F" w14:textId="77777777" w:rsidR="007109E7" w:rsidRPr="00E630A4" w:rsidRDefault="007109E7" w:rsidP="008559E5">
            <w:r w:rsidRPr="00E630A4">
              <w:rPr>
                <w:rFonts w:asciiTheme="minorHAnsi" w:eastAsiaTheme="minorHAnsi" w:hAnsiTheme="minorHAnsi" w:cstheme="minorBidi"/>
                <w:sz w:val="18"/>
                <w:szCs w:val="18"/>
                <w:lang w:eastAsia="en-US" w:bidi="ar-SA"/>
              </w:rPr>
              <w:t>Strategic Capital Expenditure</w:t>
            </w:r>
          </w:p>
        </w:tc>
        <w:tc>
          <w:tcPr>
            <w:tcW w:w="1276" w:type="dxa"/>
            <w:vAlign w:val="bottom"/>
          </w:tcPr>
          <w:p w14:paraId="69931325"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13.0</w:t>
            </w:r>
          </w:p>
        </w:tc>
        <w:tc>
          <w:tcPr>
            <w:tcW w:w="1276" w:type="dxa"/>
            <w:vAlign w:val="bottom"/>
          </w:tcPr>
          <w:p w14:paraId="4A525AF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54789E7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13.0</w:t>
            </w:r>
          </w:p>
        </w:tc>
        <w:tc>
          <w:tcPr>
            <w:tcW w:w="1276" w:type="dxa"/>
            <w:vAlign w:val="bottom"/>
          </w:tcPr>
          <w:p w14:paraId="3264ABF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12.4</w:t>
            </w:r>
          </w:p>
        </w:tc>
        <w:tc>
          <w:tcPr>
            <w:tcW w:w="1276" w:type="dxa"/>
            <w:vAlign w:val="bottom"/>
          </w:tcPr>
          <w:p w14:paraId="5B2660BF"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w:t>
            </w:r>
          </w:p>
        </w:tc>
        <w:tc>
          <w:tcPr>
            <w:tcW w:w="850" w:type="dxa"/>
            <w:vAlign w:val="bottom"/>
          </w:tcPr>
          <w:p w14:paraId="6A5A71CD"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13.6</w:t>
            </w:r>
          </w:p>
        </w:tc>
      </w:tr>
      <w:tr w:rsidR="007109E7" w14:paraId="1942944F" w14:textId="77777777" w:rsidTr="008559E5">
        <w:trPr>
          <w:trHeight w:val="228"/>
        </w:trPr>
        <w:tc>
          <w:tcPr>
            <w:tcW w:w="3544" w:type="dxa"/>
            <w:vAlign w:val="bottom"/>
          </w:tcPr>
          <w:p w14:paraId="0922198E" w14:textId="77777777" w:rsidR="007109E7" w:rsidRPr="00E630A4" w:rsidRDefault="007109E7" w:rsidP="008559E5">
            <w:r w:rsidRPr="00E630A4">
              <w:rPr>
                <w:rFonts w:asciiTheme="minorHAnsi" w:eastAsiaTheme="minorHAnsi" w:hAnsiTheme="minorHAnsi" w:cstheme="minorBidi"/>
                <w:sz w:val="18"/>
                <w:szCs w:val="18"/>
                <w:lang w:eastAsia="en-US" w:bidi="ar-SA"/>
              </w:rPr>
              <w:t>Repayment of lease liabilities</w:t>
            </w:r>
          </w:p>
        </w:tc>
        <w:tc>
          <w:tcPr>
            <w:tcW w:w="1276" w:type="dxa"/>
            <w:vAlign w:val="bottom"/>
          </w:tcPr>
          <w:p w14:paraId="7C3B0C3D"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(11.2)</w:t>
            </w:r>
          </w:p>
        </w:tc>
        <w:tc>
          <w:tcPr>
            <w:tcW w:w="1276" w:type="dxa"/>
            <w:vAlign w:val="bottom"/>
          </w:tcPr>
          <w:p w14:paraId="00516E1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4EF8E11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(11.2)</w:t>
            </w:r>
          </w:p>
        </w:tc>
        <w:tc>
          <w:tcPr>
            <w:tcW w:w="1276" w:type="dxa"/>
            <w:vAlign w:val="bottom"/>
          </w:tcPr>
          <w:p w14:paraId="3CDFF172" w14:textId="77777777" w:rsidR="007109E7" w:rsidRPr="00883953"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1276" w:type="dxa"/>
            <w:vAlign w:val="bottom"/>
          </w:tcPr>
          <w:p w14:paraId="763E6C37"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53CA76F6"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r>
      <w:tr w:rsidR="007109E7" w14:paraId="016E60F8" w14:textId="77777777" w:rsidTr="008559E5">
        <w:trPr>
          <w:trHeight w:val="228"/>
        </w:trPr>
        <w:tc>
          <w:tcPr>
            <w:tcW w:w="3544" w:type="dxa"/>
            <w:vAlign w:val="bottom"/>
          </w:tcPr>
          <w:p w14:paraId="2A40657B" w14:textId="77777777" w:rsidR="007109E7" w:rsidRPr="00E630A4" w:rsidRDefault="007109E7" w:rsidP="008559E5">
            <w:r w:rsidRPr="00E630A4">
              <w:rPr>
                <w:rFonts w:asciiTheme="minorHAnsi" w:eastAsiaTheme="minorHAnsi" w:hAnsiTheme="minorHAnsi" w:cstheme="minorBidi"/>
                <w:sz w:val="18"/>
                <w:szCs w:val="18"/>
                <w:lang w:eastAsia="en-US" w:bidi="ar-SA"/>
              </w:rPr>
              <w:t>Acquisition of undertakings, net of cash acquired</w:t>
            </w:r>
          </w:p>
        </w:tc>
        <w:tc>
          <w:tcPr>
            <w:tcW w:w="1276" w:type="dxa"/>
            <w:vAlign w:val="bottom"/>
          </w:tcPr>
          <w:p w14:paraId="0381DDCE"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2826CB3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734E5989"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1FCDE032"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56.2</w:t>
            </w:r>
          </w:p>
        </w:tc>
        <w:tc>
          <w:tcPr>
            <w:tcW w:w="1276" w:type="dxa"/>
            <w:vAlign w:val="bottom"/>
          </w:tcPr>
          <w:p w14:paraId="381EA8B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0B3B6A6C"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56.2</w:t>
            </w:r>
          </w:p>
        </w:tc>
      </w:tr>
      <w:tr w:rsidR="007109E7" w14:paraId="5A3A1F11" w14:textId="77777777" w:rsidTr="008559E5">
        <w:trPr>
          <w:trHeight w:val="228"/>
        </w:trPr>
        <w:tc>
          <w:tcPr>
            <w:tcW w:w="3544" w:type="dxa"/>
            <w:vAlign w:val="bottom"/>
          </w:tcPr>
          <w:p w14:paraId="028AB242" w14:textId="77777777" w:rsidR="007109E7" w:rsidRPr="00E630A4" w:rsidRDefault="007109E7" w:rsidP="008559E5">
            <w:r w:rsidRPr="00E630A4">
              <w:rPr>
                <w:rFonts w:asciiTheme="minorHAnsi" w:eastAsiaTheme="minorHAnsi" w:hAnsiTheme="minorHAnsi" w:cstheme="minorBidi"/>
                <w:sz w:val="18"/>
                <w:szCs w:val="18"/>
                <w:lang w:eastAsia="en-US" w:bidi="ar-SA"/>
              </w:rPr>
              <w:t>Disposal of undertakings</w:t>
            </w:r>
          </w:p>
        </w:tc>
        <w:tc>
          <w:tcPr>
            <w:tcW w:w="1276" w:type="dxa"/>
            <w:vAlign w:val="bottom"/>
          </w:tcPr>
          <w:p w14:paraId="1DE54F3E"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011DC48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6E08D5F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6405CE18"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(811.9)</w:t>
            </w:r>
          </w:p>
        </w:tc>
        <w:tc>
          <w:tcPr>
            <w:tcW w:w="1276" w:type="dxa"/>
            <w:vAlign w:val="bottom"/>
          </w:tcPr>
          <w:p w14:paraId="4DC05C7D"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67A9053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(811.9)</w:t>
            </w:r>
          </w:p>
        </w:tc>
      </w:tr>
      <w:tr w:rsidR="007109E7" w14:paraId="41858C68" w14:textId="77777777" w:rsidTr="008559E5">
        <w:trPr>
          <w:trHeight w:val="228"/>
        </w:trPr>
        <w:tc>
          <w:tcPr>
            <w:tcW w:w="3544" w:type="dxa"/>
            <w:vAlign w:val="bottom"/>
          </w:tcPr>
          <w:p w14:paraId="02C6B455" w14:textId="77777777" w:rsidR="007109E7" w:rsidRPr="00E630A4" w:rsidRDefault="007109E7" w:rsidP="008559E5">
            <w:r w:rsidRPr="00E630A4">
              <w:rPr>
                <w:rFonts w:asciiTheme="minorHAnsi" w:eastAsiaTheme="minorHAnsi" w:hAnsiTheme="minorHAnsi" w:cstheme="minorBidi"/>
                <w:sz w:val="18"/>
                <w:szCs w:val="18"/>
                <w:lang w:eastAsia="en-US" w:bidi="ar-SA"/>
              </w:rPr>
              <w:t>Disposal of investment property</w:t>
            </w:r>
          </w:p>
        </w:tc>
        <w:tc>
          <w:tcPr>
            <w:tcW w:w="1276" w:type="dxa"/>
            <w:vAlign w:val="bottom"/>
          </w:tcPr>
          <w:p w14:paraId="1C00DC99"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681BAA81"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08690E4D"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415667FB"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(0.5)</w:t>
            </w:r>
          </w:p>
        </w:tc>
        <w:tc>
          <w:tcPr>
            <w:tcW w:w="1276" w:type="dxa"/>
            <w:vAlign w:val="bottom"/>
          </w:tcPr>
          <w:p w14:paraId="2ADFD10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67624F35"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(0.5)</w:t>
            </w:r>
          </w:p>
        </w:tc>
      </w:tr>
      <w:tr w:rsidR="007109E7" w14:paraId="37A36562" w14:textId="77777777" w:rsidTr="008559E5">
        <w:trPr>
          <w:trHeight w:val="228"/>
        </w:trPr>
        <w:tc>
          <w:tcPr>
            <w:tcW w:w="3544" w:type="dxa"/>
            <w:tcBorders>
              <w:bottom w:val="single" w:sz="4" w:space="0" w:color="000000"/>
            </w:tcBorders>
            <w:vAlign w:val="bottom"/>
          </w:tcPr>
          <w:p w14:paraId="3B6837B1" w14:textId="77777777" w:rsidR="007109E7" w:rsidRPr="00E630A4" w:rsidRDefault="007109E7" w:rsidP="008559E5">
            <w:r w:rsidRPr="00E630A4">
              <w:rPr>
                <w:rFonts w:asciiTheme="minorHAnsi" w:eastAsiaTheme="minorHAnsi" w:hAnsiTheme="minorHAnsi" w:cstheme="minorBidi"/>
                <w:sz w:val="18"/>
                <w:szCs w:val="18"/>
                <w:lang w:eastAsia="en-US" w:bidi="ar-SA"/>
              </w:rPr>
              <w:t>Dividends paid to non-controlling interest</w:t>
            </w:r>
          </w:p>
        </w:tc>
        <w:tc>
          <w:tcPr>
            <w:tcW w:w="1276" w:type="dxa"/>
            <w:tcBorders>
              <w:bottom w:val="single" w:sz="4" w:space="0" w:color="000000"/>
            </w:tcBorders>
            <w:vAlign w:val="bottom"/>
          </w:tcPr>
          <w:p w14:paraId="282D46D6"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(2.4)</w:t>
            </w:r>
          </w:p>
        </w:tc>
        <w:tc>
          <w:tcPr>
            <w:tcW w:w="1276" w:type="dxa"/>
            <w:tcBorders>
              <w:bottom w:val="single" w:sz="4" w:space="0" w:color="000000"/>
            </w:tcBorders>
            <w:vAlign w:val="bottom"/>
          </w:tcPr>
          <w:p w14:paraId="6C0348C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bottom w:val="single" w:sz="4" w:space="0" w:color="000000"/>
            </w:tcBorders>
            <w:vAlign w:val="bottom"/>
          </w:tcPr>
          <w:p w14:paraId="550C97C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(2.4)</w:t>
            </w:r>
          </w:p>
        </w:tc>
        <w:tc>
          <w:tcPr>
            <w:tcW w:w="1276" w:type="dxa"/>
            <w:tcBorders>
              <w:bottom w:val="single" w:sz="4" w:space="0" w:color="000000"/>
            </w:tcBorders>
            <w:vAlign w:val="bottom"/>
          </w:tcPr>
          <w:p w14:paraId="5F273C80"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(2.2)</w:t>
            </w:r>
          </w:p>
        </w:tc>
        <w:tc>
          <w:tcPr>
            <w:tcW w:w="1276" w:type="dxa"/>
            <w:tcBorders>
              <w:bottom w:val="single" w:sz="4" w:space="0" w:color="000000"/>
            </w:tcBorders>
            <w:vAlign w:val="bottom"/>
          </w:tcPr>
          <w:p w14:paraId="7F48F5D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tcBorders>
              <w:bottom w:val="single" w:sz="4" w:space="0" w:color="000000"/>
            </w:tcBorders>
            <w:vAlign w:val="bottom"/>
          </w:tcPr>
          <w:p w14:paraId="2D0BC57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(2.2)</w:t>
            </w:r>
          </w:p>
        </w:tc>
      </w:tr>
      <w:tr w:rsidR="007109E7" w14:paraId="02BE4711" w14:textId="77777777" w:rsidTr="008559E5">
        <w:trPr>
          <w:trHeight w:val="228"/>
        </w:trPr>
        <w:tc>
          <w:tcPr>
            <w:tcW w:w="3544" w:type="dxa"/>
            <w:tcBorders>
              <w:top w:val="single" w:sz="4" w:space="0" w:color="000000"/>
              <w:bottom w:val="single" w:sz="4" w:space="0" w:color="000000"/>
            </w:tcBorders>
            <w:vAlign w:val="bottom"/>
          </w:tcPr>
          <w:p w14:paraId="127543CF"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Free Cash Flow</w:t>
            </w:r>
          </w:p>
        </w:tc>
        <w:tc>
          <w:tcPr>
            <w:tcW w:w="1276" w:type="dxa"/>
            <w:tcBorders>
              <w:top w:val="single" w:sz="4" w:space="0" w:color="000000"/>
              <w:bottom w:val="single" w:sz="4" w:space="0" w:color="000000"/>
            </w:tcBorders>
            <w:vAlign w:val="bottom"/>
          </w:tcPr>
          <w:p w14:paraId="37B7228F"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(29.7)</w:t>
            </w:r>
          </w:p>
        </w:tc>
        <w:tc>
          <w:tcPr>
            <w:tcW w:w="1276" w:type="dxa"/>
            <w:tcBorders>
              <w:top w:val="single" w:sz="4" w:space="0" w:color="000000"/>
              <w:bottom w:val="single" w:sz="4" w:space="0" w:color="000000"/>
            </w:tcBorders>
            <w:vAlign w:val="bottom"/>
          </w:tcPr>
          <w:p w14:paraId="07B590EF"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4" w:space="0" w:color="000000"/>
            </w:tcBorders>
          </w:tcPr>
          <w:p w14:paraId="5B85D12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(29.7)</w:t>
            </w:r>
          </w:p>
        </w:tc>
        <w:tc>
          <w:tcPr>
            <w:tcW w:w="1276" w:type="dxa"/>
            <w:tcBorders>
              <w:top w:val="single" w:sz="4" w:space="0" w:color="000000"/>
              <w:bottom w:val="single" w:sz="4" w:space="0" w:color="000000"/>
            </w:tcBorders>
            <w:vAlign w:val="bottom"/>
          </w:tcPr>
          <w:p w14:paraId="37B5A51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67.1</w:t>
            </w:r>
          </w:p>
        </w:tc>
        <w:tc>
          <w:tcPr>
            <w:tcW w:w="1276" w:type="dxa"/>
            <w:tcBorders>
              <w:top w:val="single" w:sz="4" w:space="0" w:color="000000"/>
              <w:bottom w:val="single" w:sz="4" w:space="0" w:color="000000"/>
            </w:tcBorders>
            <w:vAlign w:val="bottom"/>
          </w:tcPr>
          <w:p w14:paraId="4E8AB6EC"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(12.2)</w:t>
            </w:r>
          </w:p>
        </w:tc>
        <w:tc>
          <w:tcPr>
            <w:tcW w:w="850" w:type="dxa"/>
            <w:tcBorders>
              <w:top w:val="single" w:sz="4" w:space="0" w:color="000000"/>
              <w:bottom w:val="single" w:sz="4" w:space="0" w:color="000000"/>
            </w:tcBorders>
          </w:tcPr>
          <w:p w14:paraId="3A986097"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54.9</w:t>
            </w:r>
          </w:p>
        </w:tc>
      </w:tr>
      <w:tr w:rsidR="007109E7" w14:paraId="3DB90B9E" w14:textId="77777777" w:rsidTr="008559E5">
        <w:trPr>
          <w:trHeight w:val="228"/>
        </w:trPr>
        <w:tc>
          <w:tcPr>
            <w:tcW w:w="3544" w:type="dxa"/>
            <w:tcBorders>
              <w:top w:val="single" w:sz="4" w:space="0" w:color="000000"/>
              <w:bottom w:val="single" w:sz="4" w:space="0" w:color="000000"/>
            </w:tcBorders>
            <w:vAlign w:val="bottom"/>
          </w:tcPr>
          <w:p w14:paraId="58B91238"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Adjusted EBITDA</w:t>
            </w:r>
          </w:p>
        </w:tc>
        <w:tc>
          <w:tcPr>
            <w:tcW w:w="1276" w:type="dxa"/>
            <w:tcBorders>
              <w:top w:val="single" w:sz="4" w:space="0" w:color="000000"/>
              <w:bottom w:val="single" w:sz="4" w:space="0" w:color="000000"/>
            </w:tcBorders>
            <w:vAlign w:val="bottom"/>
          </w:tcPr>
          <w:p w14:paraId="4EFCCD48"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85.0</w:t>
            </w:r>
          </w:p>
        </w:tc>
        <w:tc>
          <w:tcPr>
            <w:tcW w:w="1276" w:type="dxa"/>
            <w:tcBorders>
              <w:top w:val="single" w:sz="4" w:space="0" w:color="000000"/>
              <w:bottom w:val="single" w:sz="4" w:space="0" w:color="000000"/>
            </w:tcBorders>
            <w:vAlign w:val="bottom"/>
          </w:tcPr>
          <w:p w14:paraId="535C12F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4" w:space="0" w:color="000000"/>
            </w:tcBorders>
          </w:tcPr>
          <w:p w14:paraId="0E5005A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85.0</w:t>
            </w:r>
          </w:p>
        </w:tc>
        <w:tc>
          <w:tcPr>
            <w:tcW w:w="1276" w:type="dxa"/>
            <w:tcBorders>
              <w:top w:val="single" w:sz="4" w:space="0" w:color="000000"/>
              <w:bottom w:val="single" w:sz="4" w:space="0" w:color="000000"/>
            </w:tcBorders>
            <w:vAlign w:val="bottom"/>
          </w:tcPr>
          <w:p w14:paraId="2EF526BE"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142.0</w:t>
            </w:r>
          </w:p>
        </w:tc>
        <w:tc>
          <w:tcPr>
            <w:tcW w:w="1276" w:type="dxa"/>
            <w:tcBorders>
              <w:top w:val="single" w:sz="4" w:space="0" w:color="000000"/>
              <w:bottom w:val="single" w:sz="4" w:space="0" w:color="000000"/>
            </w:tcBorders>
            <w:vAlign w:val="bottom"/>
          </w:tcPr>
          <w:p w14:paraId="0DDC096A"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9.1</w:t>
            </w:r>
          </w:p>
        </w:tc>
        <w:tc>
          <w:tcPr>
            <w:tcW w:w="850" w:type="dxa"/>
            <w:tcBorders>
              <w:top w:val="single" w:sz="4" w:space="0" w:color="000000"/>
              <w:bottom w:val="single" w:sz="4" w:space="0" w:color="000000"/>
            </w:tcBorders>
          </w:tcPr>
          <w:p w14:paraId="4D61D86F"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151.1</w:t>
            </w:r>
          </w:p>
        </w:tc>
      </w:tr>
      <w:tr w:rsidR="007109E7" w14:paraId="205B3F60" w14:textId="77777777" w:rsidTr="008559E5">
        <w:trPr>
          <w:trHeight w:val="228"/>
        </w:trPr>
        <w:tc>
          <w:tcPr>
            <w:tcW w:w="3544" w:type="dxa"/>
            <w:tcBorders>
              <w:top w:val="single" w:sz="4" w:space="0" w:color="000000"/>
              <w:bottom w:val="single" w:sz="8" w:space="0" w:color="auto"/>
            </w:tcBorders>
            <w:vAlign w:val="bottom"/>
          </w:tcPr>
          <w:p w14:paraId="7EFF7872"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Free Cash Flow Conversion (%)</w:t>
            </w:r>
          </w:p>
        </w:tc>
        <w:tc>
          <w:tcPr>
            <w:tcW w:w="1276" w:type="dxa"/>
            <w:tcBorders>
              <w:top w:val="single" w:sz="4" w:space="0" w:color="000000"/>
              <w:bottom w:val="single" w:sz="8" w:space="0" w:color="auto"/>
            </w:tcBorders>
            <w:vAlign w:val="bottom"/>
          </w:tcPr>
          <w:p w14:paraId="29BCBBA1"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(34.9%)</w:t>
            </w:r>
          </w:p>
        </w:tc>
        <w:tc>
          <w:tcPr>
            <w:tcW w:w="1276" w:type="dxa"/>
            <w:tcBorders>
              <w:top w:val="single" w:sz="4" w:space="0" w:color="000000"/>
              <w:bottom w:val="single" w:sz="8" w:space="0" w:color="auto"/>
            </w:tcBorders>
            <w:vAlign w:val="bottom"/>
          </w:tcPr>
          <w:p w14:paraId="4876E009"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8" w:space="0" w:color="auto"/>
            </w:tcBorders>
          </w:tcPr>
          <w:p w14:paraId="137D9D3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(34.9%)</w:t>
            </w:r>
          </w:p>
        </w:tc>
        <w:tc>
          <w:tcPr>
            <w:tcW w:w="1276" w:type="dxa"/>
            <w:tcBorders>
              <w:top w:val="single" w:sz="4" w:space="0" w:color="000000"/>
              <w:bottom w:val="single" w:sz="8" w:space="0" w:color="auto"/>
            </w:tcBorders>
            <w:vAlign w:val="bottom"/>
          </w:tcPr>
          <w:p w14:paraId="55057962"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47.3%</w:t>
            </w:r>
          </w:p>
        </w:tc>
        <w:tc>
          <w:tcPr>
            <w:tcW w:w="1276" w:type="dxa"/>
            <w:tcBorders>
              <w:top w:val="single" w:sz="4" w:space="0" w:color="000000"/>
              <w:bottom w:val="single" w:sz="8" w:space="0" w:color="auto"/>
            </w:tcBorders>
            <w:vAlign w:val="bottom"/>
          </w:tcPr>
          <w:p w14:paraId="4E0E9119"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(134.1%)</w:t>
            </w:r>
          </w:p>
        </w:tc>
        <w:tc>
          <w:tcPr>
            <w:tcW w:w="850" w:type="dxa"/>
            <w:tcBorders>
              <w:top w:val="single" w:sz="4" w:space="0" w:color="000000"/>
              <w:bottom w:val="single" w:sz="8" w:space="0" w:color="auto"/>
            </w:tcBorders>
          </w:tcPr>
          <w:p w14:paraId="1FE14686"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36.3%</w:t>
            </w:r>
          </w:p>
        </w:tc>
      </w:tr>
    </w:tbl>
    <w:p w14:paraId="679AFE4B" w14:textId="77777777" w:rsidR="007109E7" w:rsidRDefault="007109E7" w:rsidP="007109E7">
      <w:pPr>
        <w:pStyle w:val="BodyText"/>
      </w:pPr>
    </w:p>
    <w:p w14:paraId="52E71352" w14:textId="2BAA0079" w:rsidR="007109E7" w:rsidRPr="00ED0EF2" w:rsidRDefault="007109E7" w:rsidP="00ED0EF2">
      <w:pPr>
        <w:rPr>
          <w:b/>
          <w:bCs/>
          <w:sz w:val="18"/>
          <w:szCs w:val="18"/>
        </w:rPr>
      </w:pPr>
      <w:r w:rsidRPr="00ED0EF2">
        <w:rPr>
          <w:b/>
          <w:bCs/>
          <w:sz w:val="18"/>
          <w:szCs w:val="18"/>
        </w:rPr>
        <w:t>NET DEBT AND NET DEBT EXCLUDING LEASE LIABILITIES</w:t>
      </w:r>
    </w:p>
    <w:p w14:paraId="05DD17BF" w14:textId="77777777" w:rsidR="007109E7" w:rsidRDefault="007109E7" w:rsidP="007109E7">
      <w:pPr>
        <w:pStyle w:val="BodyText"/>
      </w:pPr>
    </w:p>
    <w:p w14:paraId="0DE49D88"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Net Debt is used by the Group to measure overall cash generation of the Group and to identify cash available to reduce borrowings. Net Debt comprises current and non-current borrowings </w:t>
      </w:r>
      <w:proofErr w:type="gramStart"/>
      <w:r w:rsidRPr="002A7FD2">
        <w:rPr>
          <w:rFonts w:asciiTheme="minorHAnsi" w:hAnsiTheme="minorHAnsi" w:cstheme="minorHAnsi"/>
          <w:sz w:val="18"/>
          <w:szCs w:val="18"/>
        </w:rPr>
        <w:t>less</w:t>
      </w:r>
      <w:proofErr w:type="gramEnd"/>
      <w:r w:rsidRPr="002A7FD2">
        <w:rPr>
          <w:rFonts w:asciiTheme="minorHAnsi" w:hAnsiTheme="minorHAnsi" w:cstheme="minorHAnsi"/>
          <w:sz w:val="18"/>
          <w:szCs w:val="18"/>
        </w:rPr>
        <w:t xml:space="preserve"> net cash and cash equivalents.</w:t>
      </w:r>
    </w:p>
    <w:p w14:paraId="167C2527" w14:textId="77777777" w:rsidR="007109E7" w:rsidRDefault="007109E7" w:rsidP="007109E7">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Net Debt excluding debt modification and lease liabilities is used for the purpose of calculating leverage under the Group’s financing agreements.</w:t>
      </w:r>
    </w:p>
    <w:p w14:paraId="33AA0C3B" w14:textId="77777777" w:rsidR="007109E7" w:rsidRPr="00A63385" w:rsidRDefault="007109E7" w:rsidP="007109E7">
      <w:pPr>
        <w:pStyle w:val="BodyText"/>
      </w:pPr>
    </w:p>
    <w:p w14:paraId="1DA3FCB7" w14:textId="77777777" w:rsidR="007109E7" w:rsidRDefault="007109E7" w:rsidP="007109E7">
      <w:pPr>
        <w:pStyle w:val="BodyText"/>
      </w:pPr>
      <w:r>
        <w:t>The reconciliation of opening to closing net debt for the year ended 25 September 2020 is as follows:</w:t>
      </w:r>
    </w:p>
    <w:p w14:paraId="3722C4AF" w14:textId="77777777" w:rsidR="007109E7" w:rsidRDefault="007109E7" w:rsidP="007109E7">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5"/>
        <w:gridCol w:w="1134"/>
        <w:gridCol w:w="851"/>
        <w:gridCol w:w="1276"/>
        <w:gridCol w:w="1090"/>
        <w:gridCol w:w="1298"/>
      </w:tblGrid>
      <w:tr w:rsidR="007109E7" w14:paraId="5664C5AC" w14:textId="77777777" w:rsidTr="008559E5">
        <w:tc>
          <w:tcPr>
            <w:tcW w:w="3261" w:type="dxa"/>
          </w:tcPr>
          <w:p w14:paraId="4BE03CFF" w14:textId="77777777" w:rsidR="007109E7" w:rsidRPr="00883953" w:rsidRDefault="007109E7" w:rsidP="008559E5">
            <w:pPr>
              <w:pStyle w:val="BodyText"/>
              <w:rPr>
                <w:b/>
              </w:rPr>
            </w:pPr>
          </w:p>
        </w:tc>
        <w:tc>
          <w:tcPr>
            <w:tcW w:w="1275" w:type="dxa"/>
            <w:vAlign w:val="bottom"/>
          </w:tcPr>
          <w:p w14:paraId="7490F127" w14:textId="77777777" w:rsidR="007109E7" w:rsidRPr="00883953" w:rsidRDefault="007109E7" w:rsidP="008559E5">
            <w:pPr>
              <w:pStyle w:val="BodyText"/>
              <w:jc w:val="right"/>
              <w:rPr>
                <w:b/>
              </w:rPr>
            </w:pPr>
            <w:r w:rsidRPr="00883953">
              <w:rPr>
                <w:b/>
              </w:rPr>
              <w:t xml:space="preserve">At </w:t>
            </w:r>
          </w:p>
          <w:p w14:paraId="7780624C" w14:textId="77777777" w:rsidR="007109E7" w:rsidRPr="00883953" w:rsidRDefault="007109E7" w:rsidP="008559E5">
            <w:pPr>
              <w:pStyle w:val="BodyText"/>
              <w:jc w:val="right"/>
              <w:rPr>
                <w:b/>
              </w:rPr>
            </w:pPr>
            <w:r w:rsidRPr="00883953">
              <w:rPr>
                <w:b/>
              </w:rPr>
              <w:t>27 September 2019</w:t>
            </w:r>
          </w:p>
        </w:tc>
        <w:tc>
          <w:tcPr>
            <w:tcW w:w="1134" w:type="dxa"/>
            <w:vAlign w:val="bottom"/>
          </w:tcPr>
          <w:p w14:paraId="1347E4A4" w14:textId="77777777" w:rsidR="007109E7" w:rsidRPr="00883953" w:rsidRDefault="007109E7" w:rsidP="008559E5">
            <w:pPr>
              <w:pStyle w:val="BodyText"/>
              <w:jc w:val="right"/>
              <w:rPr>
                <w:b/>
              </w:rPr>
            </w:pPr>
            <w:r w:rsidRPr="00883953">
              <w:rPr>
                <w:b/>
              </w:rPr>
              <w:t>IFRS 16 transition adjustment</w:t>
            </w:r>
          </w:p>
        </w:tc>
        <w:tc>
          <w:tcPr>
            <w:tcW w:w="851" w:type="dxa"/>
            <w:vAlign w:val="bottom"/>
          </w:tcPr>
          <w:p w14:paraId="481B11C3" w14:textId="77777777" w:rsidR="007109E7" w:rsidRPr="00883953" w:rsidRDefault="007109E7" w:rsidP="008559E5">
            <w:pPr>
              <w:pStyle w:val="BodyText"/>
              <w:jc w:val="right"/>
              <w:rPr>
                <w:b/>
              </w:rPr>
            </w:pPr>
            <w:r w:rsidRPr="00883953">
              <w:rPr>
                <w:b/>
              </w:rPr>
              <w:t xml:space="preserve">Cash </w:t>
            </w:r>
          </w:p>
          <w:p w14:paraId="518549CB" w14:textId="77777777" w:rsidR="007109E7" w:rsidRPr="00883953" w:rsidRDefault="007109E7" w:rsidP="008559E5">
            <w:pPr>
              <w:pStyle w:val="BodyText"/>
              <w:jc w:val="right"/>
              <w:rPr>
                <w:b/>
              </w:rPr>
            </w:pPr>
            <w:r w:rsidRPr="00883953">
              <w:rPr>
                <w:b/>
              </w:rPr>
              <w:t>flow</w:t>
            </w:r>
          </w:p>
        </w:tc>
        <w:tc>
          <w:tcPr>
            <w:tcW w:w="1276" w:type="dxa"/>
            <w:vAlign w:val="bottom"/>
          </w:tcPr>
          <w:p w14:paraId="016CD66E" w14:textId="77777777" w:rsidR="007109E7" w:rsidRPr="00883953" w:rsidRDefault="007109E7" w:rsidP="008559E5">
            <w:pPr>
              <w:pStyle w:val="BodyText"/>
              <w:jc w:val="right"/>
              <w:rPr>
                <w:b/>
              </w:rPr>
            </w:pPr>
            <w:r w:rsidRPr="00883953">
              <w:rPr>
                <w:b/>
              </w:rPr>
              <w:t>Translation and non-cash adjustments</w:t>
            </w:r>
          </w:p>
        </w:tc>
        <w:tc>
          <w:tcPr>
            <w:tcW w:w="1090" w:type="dxa"/>
            <w:vAlign w:val="bottom"/>
          </w:tcPr>
          <w:p w14:paraId="476AD9BB" w14:textId="77777777" w:rsidR="007109E7" w:rsidRPr="00883953" w:rsidRDefault="007109E7" w:rsidP="008559E5">
            <w:pPr>
              <w:pStyle w:val="BodyText"/>
              <w:jc w:val="right"/>
              <w:rPr>
                <w:b/>
              </w:rPr>
            </w:pPr>
            <w:r w:rsidRPr="00883953">
              <w:rPr>
                <w:b/>
              </w:rPr>
              <w:t>Transferred to held for sale</w:t>
            </w:r>
          </w:p>
        </w:tc>
        <w:tc>
          <w:tcPr>
            <w:tcW w:w="1298" w:type="dxa"/>
            <w:vAlign w:val="bottom"/>
          </w:tcPr>
          <w:p w14:paraId="692FB55F" w14:textId="77777777" w:rsidR="007109E7" w:rsidRPr="00883953" w:rsidRDefault="007109E7" w:rsidP="008559E5">
            <w:pPr>
              <w:pStyle w:val="BodyText"/>
              <w:jc w:val="right"/>
              <w:rPr>
                <w:b/>
              </w:rPr>
            </w:pPr>
            <w:r w:rsidRPr="00883953">
              <w:rPr>
                <w:b/>
              </w:rPr>
              <w:t xml:space="preserve">At </w:t>
            </w:r>
          </w:p>
          <w:p w14:paraId="664DEC07" w14:textId="77777777" w:rsidR="007109E7" w:rsidRPr="00883953" w:rsidRDefault="007109E7" w:rsidP="008559E5">
            <w:pPr>
              <w:pStyle w:val="BodyText"/>
              <w:jc w:val="right"/>
              <w:rPr>
                <w:b/>
              </w:rPr>
            </w:pPr>
            <w:r w:rsidRPr="00883953">
              <w:rPr>
                <w:b/>
              </w:rPr>
              <w:t>25 September 2020</w:t>
            </w:r>
          </w:p>
        </w:tc>
      </w:tr>
      <w:tr w:rsidR="007109E7" w14:paraId="57F53634" w14:textId="77777777" w:rsidTr="008559E5">
        <w:tc>
          <w:tcPr>
            <w:tcW w:w="3261" w:type="dxa"/>
            <w:tcBorders>
              <w:bottom w:val="single" w:sz="4" w:space="0" w:color="auto"/>
            </w:tcBorders>
          </w:tcPr>
          <w:p w14:paraId="73003E5C" w14:textId="77777777" w:rsidR="007109E7" w:rsidRPr="00883953" w:rsidRDefault="007109E7" w:rsidP="008559E5">
            <w:pPr>
              <w:pStyle w:val="BodyText"/>
              <w:rPr>
                <w:b/>
              </w:rPr>
            </w:pPr>
          </w:p>
        </w:tc>
        <w:tc>
          <w:tcPr>
            <w:tcW w:w="1275" w:type="dxa"/>
            <w:tcBorders>
              <w:bottom w:val="single" w:sz="4" w:space="0" w:color="auto"/>
            </w:tcBorders>
          </w:tcPr>
          <w:p w14:paraId="6B653852" w14:textId="77777777" w:rsidR="007109E7" w:rsidRPr="00883953" w:rsidRDefault="007109E7" w:rsidP="008559E5">
            <w:pPr>
              <w:pStyle w:val="BodyText"/>
              <w:jc w:val="right"/>
              <w:rPr>
                <w:b/>
              </w:rPr>
            </w:pPr>
            <w:r w:rsidRPr="00883953">
              <w:rPr>
                <w:b/>
              </w:rPr>
              <w:t>£m</w:t>
            </w:r>
          </w:p>
        </w:tc>
        <w:tc>
          <w:tcPr>
            <w:tcW w:w="1134" w:type="dxa"/>
            <w:tcBorders>
              <w:bottom w:val="single" w:sz="4" w:space="0" w:color="auto"/>
            </w:tcBorders>
          </w:tcPr>
          <w:p w14:paraId="252E8705" w14:textId="77777777" w:rsidR="007109E7" w:rsidRPr="00883953" w:rsidRDefault="007109E7" w:rsidP="008559E5">
            <w:pPr>
              <w:pStyle w:val="BodyText"/>
              <w:jc w:val="right"/>
              <w:rPr>
                <w:b/>
              </w:rPr>
            </w:pPr>
            <w:r w:rsidRPr="00883953">
              <w:rPr>
                <w:b/>
              </w:rPr>
              <w:t>£m</w:t>
            </w:r>
          </w:p>
        </w:tc>
        <w:tc>
          <w:tcPr>
            <w:tcW w:w="851" w:type="dxa"/>
            <w:tcBorders>
              <w:bottom w:val="single" w:sz="4" w:space="0" w:color="auto"/>
            </w:tcBorders>
          </w:tcPr>
          <w:p w14:paraId="04FE8D95" w14:textId="77777777" w:rsidR="007109E7" w:rsidRPr="00883953" w:rsidRDefault="007109E7" w:rsidP="008559E5">
            <w:pPr>
              <w:pStyle w:val="BodyText"/>
              <w:jc w:val="right"/>
              <w:rPr>
                <w:b/>
              </w:rPr>
            </w:pPr>
            <w:r w:rsidRPr="00883953">
              <w:rPr>
                <w:b/>
              </w:rPr>
              <w:t>£m</w:t>
            </w:r>
          </w:p>
        </w:tc>
        <w:tc>
          <w:tcPr>
            <w:tcW w:w="1276" w:type="dxa"/>
            <w:tcBorders>
              <w:bottom w:val="single" w:sz="4" w:space="0" w:color="auto"/>
            </w:tcBorders>
          </w:tcPr>
          <w:p w14:paraId="348A3A89" w14:textId="77777777" w:rsidR="007109E7" w:rsidRPr="00883953" w:rsidRDefault="007109E7" w:rsidP="008559E5">
            <w:pPr>
              <w:pStyle w:val="BodyText"/>
              <w:jc w:val="right"/>
              <w:rPr>
                <w:b/>
              </w:rPr>
            </w:pPr>
            <w:r w:rsidRPr="00883953">
              <w:rPr>
                <w:b/>
              </w:rPr>
              <w:t>£m</w:t>
            </w:r>
          </w:p>
        </w:tc>
        <w:tc>
          <w:tcPr>
            <w:tcW w:w="1090" w:type="dxa"/>
            <w:tcBorders>
              <w:bottom w:val="single" w:sz="4" w:space="0" w:color="auto"/>
            </w:tcBorders>
          </w:tcPr>
          <w:p w14:paraId="35F47675" w14:textId="77777777" w:rsidR="007109E7" w:rsidRPr="00883953" w:rsidRDefault="007109E7" w:rsidP="008559E5">
            <w:pPr>
              <w:pStyle w:val="BodyText"/>
              <w:jc w:val="right"/>
              <w:rPr>
                <w:b/>
              </w:rPr>
            </w:pPr>
            <w:r w:rsidRPr="00883953">
              <w:rPr>
                <w:b/>
              </w:rPr>
              <w:t>£m</w:t>
            </w:r>
          </w:p>
        </w:tc>
        <w:tc>
          <w:tcPr>
            <w:tcW w:w="1298" w:type="dxa"/>
            <w:tcBorders>
              <w:bottom w:val="single" w:sz="4" w:space="0" w:color="auto"/>
            </w:tcBorders>
          </w:tcPr>
          <w:p w14:paraId="7E71346D" w14:textId="77777777" w:rsidR="007109E7" w:rsidRPr="00883953" w:rsidRDefault="007109E7" w:rsidP="008559E5">
            <w:pPr>
              <w:pStyle w:val="BodyText"/>
              <w:jc w:val="right"/>
              <w:rPr>
                <w:b/>
              </w:rPr>
            </w:pPr>
            <w:r w:rsidRPr="00883953">
              <w:rPr>
                <w:b/>
              </w:rPr>
              <w:t>£m</w:t>
            </w:r>
          </w:p>
        </w:tc>
      </w:tr>
      <w:tr w:rsidR="007109E7" w14:paraId="5DBF32CA" w14:textId="77777777" w:rsidTr="008559E5">
        <w:tc>
          <w:tcPr>
            <w:tcW w:w="3261" w:type="dxa"/>
            <w:tcBorders>
              <w:top w:val="single" w:sz="4" w:space="0" w:color="auto"/>
            </w:tcBorders>
          </w:tcPr>
          <w:p w14:paraId="752D456D" w14:textId="77777777" w:rsidR="007109E7" w:rsidRDefault="007109E7" w:rsidP="008559E5">
            <w:pPr>
              <w:pStyle w:val="BodyText"/>
            </w:pPr>
            <w:r>
              <w:t>Cash and cash equivalents and bank overdrafts</w:t>
            </w:r>
          </w:p>
        </w:tc>
        <w:tc>
          <w:tcPr>
            <w:tcW w:w="1275" w:type="dxa"/>
            <w:tcBorders>
              <w:top w:val="single" w:sz="4" w:space="0" w:color="auto"/>
            </w:tcBorders>
            <w:vAlign w:val="bottom"/>
          </w:tcPr>
          <w:p w14:paraId="64CD4CF3" w14:textId="77777777" w:rsidR="007109E7" w:rsidRPr="004B097D" w:rsidRDefault="007109E7" w:rsidP="008559E5">
            <w:pPr>
              <w:pStyle w:val="BodyText"/>
              <w:jc w:val="right"/>
              <w:rPr>
                <w:b/>
              </w:rPr>
            </w:pPr>
            <w:r w:rsidRPr="004B097D">
              <w:rPr>
                <w:b/>
              </w:rPr>
              <w:t>41.6</w:t>
            </w:r>
          </w:p>
        </w:tc>
        <w:tc>
          <w:tcPr>
            <w:tcW w:w="1134" w:type="dxa"/>
            <w:tcBorders>
              <w:top w:val="single" w:sz="4" w:space="0" w:color="auto"/>
            </w:tcBorders>
            <w:vAlign w:val="bottom"/>
          </w:tcPr>
          <w:p w14:paraId="330DE4EA"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tcBorders>
            <w:vAlign w:val="bottom"/>
          </w:tcPr>
          <w:p w14:paraId="3713A84B" w14:textId="77777777" w:rsidR="007109E7" w:rsidRPr="004B097D" w:rsidRDefault="007109E7" w:rsidP="008559E5">
            <w:pPr>
              <w:pStyle w:val="BodyText"/>
              <w:jc w:val="right"/>
              <w:rPr>
                <w:b/>
              </w:rPr>
            </w:pPr>
            <w:r w:rsidRPr="004B097D">
              <w:rPr>
                <w:b/>
              </w:rPr>
              <w:t>5.5</w:t>
            </w:r>
          </w:p>
        </w:tc>
        <w:tc>
          <w:tcPr>
            <w:tcW w:w="1276" w:type="dxa"/>
            <w:tcBorders>
              <w:top w:val="single" w:sz="4" w:space="0" w:color="auto"/>
            </w:tcBorders>
            <w:vAlign w:val="bottom"/>
          </w:tcPr>
          <w:p w14:paraId="082C236F" w14:textId="77777777" w:rsidR="007109E7" w:rsidRPr="004B097D" w:rsidRDefault="007109E7" w:rsidP="008559E5">
            <w:pPr>
              <w:pStyle w:val="BodyText"/>
              <w:jc w:val="right"/>
              <w:rPr>
                <w:b/>
              </w:rPr>
            </w:pPr>
            <w:r w:rsidRPr="004B097D">
              <w:rPr>
                <w:b/>
              </w:rPr>
              <w:t>(0.1)</w:t>
            </w:r>
          </w:p>
        </w:tc>
        <w:tc>
          <w:tcPr>
            <w:tcW w:w="1090" w:type="dxa"/>
            <w:tcBorders>
              <w:top w:val="single" w:sz="4" w:space="0" w:color="auto"/>
            </w:tcBorders>
            <w:vAlign w:val="bottom"/>
          </w:tcPr>
          <w:p w14:paraId="2058192A"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tcBorders>
            <w:vAlign w:val="bottom"/>
          </w:tcPr>
          <w:p w14:paraId="6ECA30CE" w14:textId="77777777" w:rsidR="007109E7" w:rsidRPr="004B097D" w:rsidRDefault="007109E7" w:rsidP="008559E5">
            <w:pPr>
              <w:pStyle w:val="BodyText"/>
              <w:jc w:val="right"/>
              <w:rPr>
                <w:b/>
              </w:rPr>
            </w:pPr>
            <w:r w:rsidRPr="004B097D">
              <w:rPr>
                <w:b/>
              </w:rPr>
              <w:t>47.0</w:t>
            </w:r>
          </w:p>
        </w:tc>
      </w:tr>
      <w:tr w:rsidR="007109E7" w14:paraId="3A77B126" w14:textId="77777777" w:rsidTr="008559E5">
        <w:tc>
          <w:tcPr>
            <w:tcW w:w="3261" w:type="dxa"/>
          </w:tcPr>
          <w:p w14:paraId="0B0C5537" w14:textId="77777777" w:rsidR="007109E7" w:rsidRDefault="007109E7" w:rsidP="008559E5">
            <w:pPr>
              <w:pStyle w:val="BodyText"/>
            </w:pPr>
            <w:r>
              <w:t>Bank borrowings</w:t>
            </w:r>
          </w:p>
        </w:tc>
        <w:tc>
          <w:tcPr>
            <w:tcW w:w="1275" w:type="dxa"/>
          </w:tcPr>
          <w:p w14:paraId="732DCCAF" w14:textId="77777777" w:rsidR="007109E7" w:rsidRPr="004B097D" w:rsidRDefault="007109E7" w:rsidP="008559E5">
            <w:pPr>
              <w:pStyle w:val="BodyText"/>
              <w:jc w:val="right"/>
              <w:rPr>
                <w:b/>
              </w:rPr>
            </w:pPr>
            <w:r w:rsidRPr="004B097D">
              <w:rPr>
                <w:b/>
              </w:rPr>
              <w:t>(213.9)</w:t>
            </w:r>
          </w:p>
        </w:tc>
        <w:tc>
          <w:tcPr>
            <w:tcW w:w="1134" w:type="dxa"/>
          </w:tcPr>
          <w:p w14:paraId="3F124E22" w14:textId="77777777" w:rsidR="007109E7" w:rsidRPr="004B097D" w:rsidRDefault="007109E7" w:rsidP="008559E5">
            <w:pPr>
              <w:pStyle w:val="BodyText"/>
              <w:jc w:val="right"/>
              <w:rPr>
                <w:b/>
              </w:rPr>
            </w:pPr>
            <w:r w:rsidRPr="004B097D">
              <w:rPr>
                <w:b/>
                <w:bCs/>
              </w:rPr>
              <w:t>–</w:t>
            </w:r>
          </w:p>
        </w:tc>
        <w:tc>
          <w:tcPr>
            <w:tcW w:w="851" w:type="dxa"/>
          </w:tcPr>
          <w:p w14:paraId="3C4C523B" w14:textId="77777777" w:rsidR="007109E7" w:rsidRPr="004B097D" w:rsidRDefault="007109E7" w:rsidP="008559E5">
            <w:pPr>
              <w:pStyle w:val="BodyText"/>
              <w:jc w:val="right"/>
              <w:rPr>
                <w:b/>
              </w:rPr>
            </w:pPr>
            <w:r w:rsidRPr="004B097D">
              <w:rPr>
                <w:b/>
              </w:rPr>
              <w:t>(64.6)</w:t>
            </w:r>
          </w:p>
        </w:tc>
        <w:tc>
          <w:tcPr>
            <w:tcW w:w="1276" w:type="dxa"/>
          </w:tcPr>
          <w:p w14:paraId="56FB8024" w14:textId="77777777" w:rsidR="007109E7" w:rsidRPr="004B097D" w:rsidRDefault="007109E7" w:rsidP="008559E5">
            <w:pPr>
              <w:pStyle w:val="BodyText"/>
              <w:jc w:val="right"/>
              <w:rPr>
                <w:b/>
              </w:rPr>
            </w:pPr>
            <w:r w:rsidRPr="004B097D">
              <w:rPr>
                <w:b/>
              </w:rPr>
              <w:t>(</w:t>
            </w:r>
            <w:r>
              <w:rPr>
                <w:b/>
              </w:rPr>
              <w:t>0.4</w:t>
            </w:r>
            <w:r w:rsidRPr="004B097D">
              <w:rPr>
                <w:b/>
              </w:rPr>
              <w:t>)</w:t>
            </w:r>
          </w:p>
        </w:tc>
        <w:tc>
          <w:tcPr>
            <w:tcW w:w="1090" w:type="dxa"/>
          </w:tcPr>
          <w:p w14:paraId="096FD5B3" w14:textId="77777777" w:rsidR="007109E7" w:rsidRPr="004B097D" w:rsidRDefault="007109E7" w:rsidP="008559E5">
            <w:pPr>
              <w:pStyle w:val="BodyText"/>
              <w:jc w:val="right"/>
              <w:rPr>
                <w:b/>
              </w:rPr>
            </w:pPr>
            <w:r w:rsidRPr="004B097D">
              <w:rPr>
                <w:b/>
                <w:bCs/>
              </w:rPr>
              <w:t>–</w:t>
            </w:r>
          </w:p>
        </w:tc>
        <w:tc>
          <w:tcPr>
            <w:tcW w:w="1298" w:type="dxa"/>
          </w:tcPr>
          <w:p w14:paraId="2265E7BB" w14:textId="77777777" w:rsidR="007109E7" w:rsidRPr="004B097D" w:rsidRDefault="007109E7" w:rsidP="008559E5">
            <w:pPr>
              <w:pStyle w:val="BodyText"/>
              <w:jc w:val="right"/>
              <w:rPr>
                <w:b/>
              </w:rPr>
            </w:pPr>
            <w:r w:rsidRPr="004B097D">
              <w:rPr>
                <w:b/>
              </w:rPr>
              <w:t>(</w:t>
            </w:r>
            <w:r>
              <w:rPr>
                <w:b/>
              </w:rPr>
              <w:t>278.9</w:t>
            </w:r>
            <w:r w:rsidRPr="004B097D">
              <w:rPr>
                <w:b/>
              </w:rPr>
              <w:t>)</w:t>
            </w:r>
          </w:p>
        </w:tc>
      </w:tr>
      <w:tr w:rsidR="007109E7" w14:paraId="33335C17" w14:textId="77777777" w:rsidTr="008559E5">
        <w:tc>
          <w:tcPr>
            <w:tcW w:w="3261" w:type="dxa"/>
          </w:tcPr>
          <w:p w14:paraId="1CD3CBD5" w14:textId="77777777" w:rsidR="007109E7" w:rsidRDefault="007109E7" w:rsidP="008559E5">
            <w:pPr>
              <w:pStyle w:val="BodyText"/>
            </w:pPr>
            <w:r>
              <w:t>Private Placement Notes</w:t>
            </w:r>
          </w:p>
        </w:tc>
        <w:tc>
          <w:tcPr>
            <w:tcW w:w="1275" w:type="dxa"/>
          </w:tcPr>
          <w:p w14:paraId="043F79BB" w14:textId="77777777" w:rsidR="007109E7" w:rsidRPr="004B097D" w:rsidRDefault="007109E7" w:rsidP="008559E5">
            <w:pPr>
              <w:pStyle w:val="BodyText"/>
              <w:jc w:val="right"/>
              <w:rPr>
                <w:b/>
              </w:rPr>
            </w:pPr>
            <w:r w:rsidRPr="004B097D">
              <w:rPr>
                <w:b/>
              </w:rPr>
              <w:t>(116.2)</w:t>
            </w:r>
          </w:p>
        </w:tc>
        <w:tc>
          <w:tcPr>
            <w:tcW w:w="1134" w:type="dxa"/>
          </w:tcPr>
          <w:p w14:paraId="122DBC20" w14:textId="77777777" w:rsidR="007109E7" w:rsidRPr="004B097D" w:rsidRDefault="007109E7" w:rsidP="008559E5">
            <w:pPr>
              <w:pStyle w:val="BodyText"/>
              <w:jc w:val="right"/>
              <w:rPr>
                <w:b/>
              </w:rPr>
            </w:pPr>
            <w:r w:rsidRPr="004B097D">
              <w:rPr>
                <w:b/>
                <w:bCs/>
              </w:rPr>
              <w:t>–</w:t>
            </w:r>
          </w:p>
        </w:tc>
        <w:tc>
          <w:tcPr>
            <w:tcW w:w="851" w:type="dxa"/>
          </w:tcPr>
          <w:p w14:paraId="7F96CC25" w14:textId="77777777" w:rsidR="007109E7" w:rsidRPr="004B097D" w:rsidRDefault="007109E7" w:rsidP="008559E5">
            <w:pPr>
              <w:pStyle w:val="BodyText"/>
              <w:jc w:val="right"/>
              <w:rPr>
                <w:b/>
              </w:rPr>
            </w:pPr>
            <w:r w:rsidRPr="004B097D">
              <w:rPr>
                <w:b/>
                <w:bCs/>
              </w:rPr>
              <w:t>–</w:t>
            </w:r>
          </w:p>
        </w:tc>
        <w:tc>
          <w:tcPr>
            <w:tcW w:w="1276" w:type="dxa"/>
          </w:tcPr>
          <w:p w14:paraId="5722B44E" w14:textId="77777777" w:rsidR="007109E7" w:rsidRPr="004B097D" w:rsidRDefault="007109E7" w:rsidP="008559E5">
            <w:pPr>
              <w:pStyle w:val="BodyText"/>
              <w:jc w:val="right"/>
              <w:rPr>
                <w:b/>
              </w:rPr>
            </w:pPr>
            <w:r>
              <w:rPr>
                <w:b/>
              </w:rPr>
              <w:t>3.5</w:t>
            </w:r>
          </w:p>
        </w:tc>
        <w:tc>
          <w:tcPr>
            <w:tcW w:w="1090" w:type="dxa"/>
          </w:tcPr>
          <w:p w14:paraId="696C00C1" w14:textId="77777777" w:rsidR="007109E7" w:rsidRPr="004B097D" w:rsidRDefault="007109E7" w:rsidP="008559E5">
            <w:pPr>
              <w:pStyle w:val="BodyText"/>
              <w:jc w:val="right"/>
              <w:rPr>
                <w:b/>
              </w:rPr>
            </w:pPr>
            <w:r w:rsidRPr="004B097D">
              <w:rPr>
                <w:b/>
                <w:bCs/>
              </w:rPr>
              <w:t>–</w:t>
            </w:r>
          </w:p>
        </w:tc>
        <w:tc>
          <w:tcPr>
            <w:tcW w:w="1298" w:type="dxa"/>
          </w:tcPr>
          <w:p w14:paraId="6F65E5F2" w14:textId="77777777" w:rsidR="007109E7" w:rsidRPr="004B097D" w:rsidRDefault="007109E7" w:rsidP="008559E5">
            <w:pPr>
              <w:pStyle w:val="BodyText"/>
              <w:jc w:val="right"/>
              <w:rPr>
                <w:b/>
              </w:rPr>
            </w:pPr>
            <w:r w:rsidRPr="004B097D">
              <w:rPr>
                <w:b/>
              </w:rPr>
              <w:t>(11</w:t>
            </w:r>
            <w:r>
              <w:rPr>
                <w:b/>
              </w:rPr>
              <w:t>2</w:t>
            </w:r>
            <w:r w:rsidRPr="004B097D">
              <w:rPr>
                <w:b/>
              </w:rPr>
              <w:t>.</w:t>
            </w:r>
            <w:r>
              <w:rPr>
                <w:b/>
              </w:rPr>
              <w:t>7</w:t>
            </w:r>
            <w:r w:rsidRPr="004B097D">
              <w:rPr>
                <w:b/>
              </w:rPr>
              <w:t>)</w:t>
            </w:r>
          </w:p>
        </w:tc>
      </w:tr>
      <w:tr w:rsidR="007109E7" w14:paraId="693A64F3" w14:textId="77777777" w:rsidTr="008559E5">
        <w:tc>
          <w:tcPr>
            <w:tcW w:w="3261" w:type="dxa"/>
            <w:tcBorders>
              <w:top w:val="single" w:sz="4" w:space="0" w:color="auto"/>
              <w:bottom w:val="single" w:sz="4" w:space="0" w:color="auto"/>
            </w:tcBorders>
          </w:tcPr>
          <w:p w14:paraId="5460BCD7" w14:textId="77777777" w:rsidR="007109E7" w:rsidRPr="005771B0" w:rsidRDefault="007109E7" w:rsidP="008559E5">
            <w:pPr>
              <w:pStyle w:val="BodyText"/>
            </w:pPr>
            <w:r w:rsidRPr="005771B0">
              <w:t>Net debt excluding debt modification and lease liabilities</w:t>
            </w:r>
          </w:p>
        </w:tc>
        <w:tc>
          <w:tcPr>
            <w:tcW w:w="1275" w:type="dxa"/>
            <w:tcBorders>
              <w:top w:val="single" w:sz="4" w:space="0" w:color="auto"/>
              <w:bottom w:val="single" w:sz="4" w:space="0" w:color="auto"/>
            </w:tcBorders>
            <w:vAlign w:val="bottom"/>
          </w:tcPr>
          <w:p w14:paraId="1E395FD2" w14:textId="77777777" w:rsidR="007109E7" w:rsidRPr="004B097D" w:rsidRDefault="007109E7" w:rsidP="008559E5">
            <w:pPr>
              <w:pStyle w:val="BodyText"/>
              <w:jc w:val="right"/>
              <w:rPr>
                <w:b/>
              </w:rPr>
            </w:pPr>
            <w:r w:rsidRPr="004B097D">
              <w:rPr>
                <w:b/>
              </w:rPr>
              <w:t>(288.5)</w:t>
            </w:r>
          </w:p>
        </w:tc>
        <w:tc>
          <w:tcPr>
            <w:tcW w:w="1134" w:type="dxa"/>
            <w:tcBorders>
              <w:top w:val="single" w:sz="4" w:space="0" w:color="auto"/>
              <w:bottom w:val="single" w:sz="4" w:space="0" w:color="auto"/>
            </w:tcBorders>
            <w:vAlign w:val="bottom"/>
          </w:tcPr>
          <w:p w14:paraId="1A1DBB5B"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vAlign w:val="bottom"/>
          </w:tcPr>
          <w:p w14:paraId="01A95127" w14:textId="77777777" w:rsidR="007109E7" w:rsidRPr="004B097D" w:rsidRDefault="007109E7" w:rsidP="008559E5">
            <w:pPr>
              <w:pStyle w:val="BodyText"/>
              <w:jc w:val="right"/>
              <w:rPr>
                <w:b/>
              </w:rPr>
            </w:pPr>
            <w:r w:rsidRPr="004B097D">
              <w:rPr>
                <w:b/>
              </w:rPr>
              <w:t>(59.1)</w:t>
            </w:r>
          </w:p>
        </w:tc>
        <w:tc>
          <w:tcPr>
            <w:tcW w:w="1276" w:type="dxa"/>
            <w:tcBorders>
              <w:top w:val="single" w:sz="4" w:space="0" w:color="auto"/>
              <w:bottom w:val="single" w:sz="4" w:space="0" w:color="auto"/>
            </w:tcBorders>
            <w:vAlign w:val="bottom"/>
          </w:tcPr>
          <w:p w14:paraId="579AF665" w14:textId="77777777" w:rsidR="007109E7" w:rsidRPr="004B097D" w:rsidRDefault="007109E7" w:rsidP="008559E5">
            <w:pPr>
              <w:pStyle w:val="BodyText"/>
              <w:jc w:val="right"/>
              <w:rPr>
                <w:b/>
              </w:rPr>
            </w:pPr>
            <w:r>
              <w:rPr>
                <w:b/>
              </w:rPr>
              <w:t>3.0</w:t>
            </w:r>
          </w:p>
        </w:tc>
        <w:tc>
          <w:tcPr>
            <w:tcW w:w="1090" w:type="dxa"/>
            <w:tcBorders>
              <w:top w:val="single" w:sz="4" w:space="0" w:color="auto"/>
              <w:bottom w:val="single" w:sz="4" w:space="0" w:color="auto"/>
            </w:tcBorders>
            <w:vAlign w:val="bottom"/>
          </w:tcPr>
          <w:p w14:paraId="6EEB677E"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vAlign w:val="bottom"/>
          </w:tcPr>
          <w:p w14:paraId="57EE3A2B" w14:textId="77777777" w:rsidR="007109E7" w:rsidRPr="004B097D" w:rsidRDefault="007109E7" w:rsidP="008559E5">
            <w:pPr>
              <w:pStyle w:val="BodyText"/>
              <w:jc w:val="right"/>
              <w:rPr>
                <w:b/>
              </w:rPr>
            </w:pPr>
            <w:r w:rsidRPr="004B097D">
              <w:rPr>
                <w:b/>
              </w:rPr>
              <w:t>(3</w:t>
            </w:r>
            <w:r>
              <w:rPr>
                <w:b/>
              </w:rPr>
              <w:t>44.6</w:t>
            </w:r>
            <w:r w:rsidRPr="004B097D">
              <w:rPr>
                <w:b/>
              </w:rPr>
              <w:t>)</w:t>
            </w:r>
          </w:p>
        </w:tc>
      </w:tr>
      <w:tr w:rsidR="007109E7" w14:paraId="1F8F4623" w14:textId="77777777" w:rsidTr="008559E5">
        <w:tc>
          <w:tcPr>
            <w:tcW w:w="3261" w:type="dxa"/>
            <w:tcBorders>
              <w:top w:val="single" w:sz="4" w:space="0" w:color="auto"/>
              <w:bottom w:val="single" w:sz="4" w:space="0" w:color="auto"/>
            </w:tcBorders>
          </w:tcPr>
          <w:p w14:paraId="003FBC9C" w14:textId="77777777" w:rsidR="007109E7" w:rsidRDefault="007109E7" w:rsidP="008559E5">
            <w:pPr>
              <w:pStyle w:val="BodyText"/>
            </w:pPr>
            <w:r>
              <w:t>Debt modification</w:t>
            </w:r>
          </w:p>
        </w:tc>
        <w:tc>
          <w:tcPr>
            <w:tcW w:w="1275" w:type="dxa"/>
            <w:tcBorders>
              <w:top w:val="single" w:sz="4" w:space="0" w:color="auto"/>
              <w:bottom w:val="single" w:sz="4" w:space="0" w:color="auto"/>
            </w:tcBorders>
          </w:tcPr>
          <w:p w14:paraId="28336997" w14:textId="77777777" w:rsidR="007109E7" w:rsidRPr="004B097D" w:rsidRDefault="007109E7" w:rsidP="008559E5">
            <w:pPr>
              <w:pStyle w:val="BodyText"/>
              <w:jc w:val="right"/>
              <w:rPr>
                <w:b/>
                <w:bCs/>
              </w:rPr>
            </w:pPr>
            <w:r w:rsidRPr="004B097D">
              <w:rPr>
                <w:b/>
                <w:bCs/>
              </w:rPr>
              <w:t>–</w:t>
            </w:r>
          </w:p>
        </w:tc>
        <w:tc>
          <w:tcPr>
            <w:tcW w:w="1134" w:type="dxa"/>
            <w:tcBorders>
              <w:top w:val="single" w:sz="4" w:space="0" w:color="auto"/>
              <w:bottom w:val="single" w:sz="4" w:space="0" w:color="auto"/>
            </w:tcBorders>
          </w:tcPr>
          <w:p w14:paraId="5766932F"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tcPr>
          <w:p w14:paraId="15294553" w14:textId="77777777" w:rsidR="007109E7" w:rsidRPr="004B097D" w:rsidRDefault="007109E7" w:rsidP="008559E5">
            <w:pPr>
              <w:pStyle w:val="BodyText"/>
              <w:jc w:val="right"/>
              <w:rPr>
                <w:b/>
              </w:rPr>
            </w:pPr>
            <w:r w:rsidRPr="004B097D">
              <w:rPr>
                <w:b/>
                <w:bCs/>
              </w:rPr>
              <w:t>–</w:t>
            </w:r>
          </w:p>
        </w:tc>
        <w:tc>
          <w:tcPr>
            <w:tcW w:w="1276" w:type="dxa"/>
            <w:tcBorders>
              <w:top w:val="single" w:sz="4" w:space="0" w:color="auto"/>
              <w:bottom w:val="single" w:sz="4" w:space="0" w:color="auto"/>
            </w:tcBorders>
          </w:tcPr>
          <w:p w14:paraId="6B552D0F" w14:textId="77777777" w:rsidR="007109E7" w:rsidRPr="004B097D" w:rsidRDefault="007109E7" w:rsidP="008559E5">
            <w:pPr>
              <w:pStyle w:val="BodyText"/>
              <w:jc w:val="right"/>
              <w:rPr>
                <w:b/>
              </w:rPr>
            </w:pPr>
            <w:r>
              <w:rPr>
                <w:b/>
              </w:rPr>
              <w:t>(5.9)</w:t>
            </w:r>
          </w:p>
        </w:tc>
        <w:tc>
          <w:tcPr>
            <w:tcW w:w="1090" w:type="dxa"/>
            <w:tcBorders>
              <w:top w:val="single" w:sz="4" w:space="0" w:color="auto"/>
              <w:bottom w:val="single" w:sz="4" w:space="0" w:color="auto"/>
            </w:tcBorders>
          </w:tcPr>
          <w:p w14:paraId="3DAE8339"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tcPr>
          <w:p w14:paraId="6AECF566" w14:textId="77777777" w:rsidR="007109E7" w:rsidRPr="004B097D" w:rsidRDefault="007109E7" w:rsidP="008559E5">
            <w:pPr>
              <w:pStyle w:val="BodyText"/>
              <w:jc w:val="right"/>
              <w:rPr>
                <w:b/>
              </w:rPr>
            </w:pPr>
            <w:r>
              <w:rPr>
                <w:b/>
              </w:rPr>
              <w:t>(5.9)</w:t>
            </w:r>
          </w:p>
        </w:tc>
      </w:tr>
      <w:tr w:rsidR="007109E7" w14:paraId="40D288CB" w14:textId="77777777" w:rsidTr="008559E5">
        <w:tc>
          <w:tcPr>
            <w:tcW w:w="3261" w:type="dxa"/>
            <w:tcBorders>
              <w:top w:val="single" w:sz="4" w:space="0" w:color="auto"/>
              <w:bottom w:val="single" w:sz="4" w:space="0" w:color="auto"/>
            </w:tcBorders>
          </w:tcPr>
          <w:p w14:paraId="56827EC3" w14:textId="77777777" w:rsidR="007109E7" w:rsidRPr="005771B0" w:rsidRDefault="007109E7" w:rsidP="008559E5">
            <w:pPr>
              <w:pStyle w:val="BodyText"/>
              <w:rPr>
                <w:b/>
              </w:rPr>
            </w:pPr>
            <w:r w:rsidRPr="005771B0">
              <w:rPr>
                <w:b/>
              </w:rPr>
              <w:t>Net debt excluding lease liabilities</w:t>
            </w:r>
          </w:p>
        </w:tc>
        <w:tc>
          <w:tcPr>
            <w:tcW w:w="1275" w:type="dxa"/>
            <w:tcBorders>
              <w:top w:val="single" w:sz="4" w:space="0" w:color="auto"/>
              <w:bottom w:val="single" w:sz="4" w:space="0" w:color="auto"/>
            </w:tcBorders>
          </w:tcPr>
          <w:p w14:paraId="6745D4B5" w14:textId="77777777" w:rsidR="007109E7" w:rsidRPr="004B097D" w:rsidRDefault="007109E7" w:rsidP="008559E5">
            <w:pPr>
              <w:pStyle w:val="BodyText"/>
              <w:jc w:val="right"/>
              <w:rPr>
                <w:b/>
                <w:bCs/>
              </w:rPr>
            </w:pPr>
            <w:r>
              <w:rPr>
                <w:b/>
                <w:bCs/>
              </w:rPr>
              <w:t>(288.5)</w:t>
            </w:r>
          </w:p>
        </w:tc>
        <w:tc>
          <w:tcPr>
            <w:tcW w:w="1134" w:type="dxa"/>
            <w:tcBorders>
              <w:top w:val="single" w:sz="4" w:space="0" w:color="auto"/>
              <w:bottom w:val="single" w:sz="4" w:space="0" w:color="auto"/>
            </w:tcBorders>
          </w:tcPr>
          <w:p w14:paraId="7CFE03BC"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tcPr>
          <w:p w14:paraId="37E23749" w14:textId="77777777" w:rsidR="007109E7" w:rsidRPr="004B097D" w:rsidRDefault="007109E7" w:rsidP="008559E5">
            <w:pPr>
              <w:pStyle w:val="BodyText"/>
              <w:jc w:val="right"/>
              <w:rPr>
                <w:b/>
              </w:rPr>
            </w:pPr>
            <w:r>
              <w:rPr>
                <w:b/>
              </w:rPr>
              <w:t>(59.1)</w:t>
            </w:r>
          </w:p>
        </w:tc>
        <w:tc>
          <w:tcPr>
            <w:tcW w:w="1276" w:type="dxa"/>
            <w:tcBorders>
              <w:top w:val="single" w:sz="4" w:space="0" w:color="auto"/>
              <w:bottom w:val="single" w:sz="4" w:space="0" w:color="auto"/>
            </w:tcBorders>
          </w:tcPr>
          <w:p w14:paraId="7C6FCC40" w14:textId="77777777" w:rsidR="007109E7" w:rsidRPr="004B097D" w:rsidRDefault="007109E7" w:rsidP="008559E5">
            <w:pPr>
              <w:pStyle w:val="BodyText"/>
              <w:jc w:val="right"/>
              <w:rPr>
                <w:b/>
              </w:rPr>
            </w:pPr>
            <w:r>
              <w:rPr>
                <w:b/>
              </w:rPr>
              <w:t>(2.9)</w:t>
            </w:r>
          </w:p>
        </w:tc>
        <w:tc>
          <w:tcPr>
            <w:tcW w:w="1090" w:type="dxa"/>
            <w:tcBorders>
              <w:top w:val="single" w:sz="4" w:space="0" w:color="auto"/>
              <w:bottom w:val="single" w:sz="4" w:space="0" w:color="auto"/>
            </w:tcBorders>
          </w:tcPr>
          <w:p w14:paraId="67FBA032"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tcPr>
          <w:p w14:paraId="3B3D7C33" w14:textId="77777777" w:rsidR="007109E7" w:rsidRPr="004B097D" w:rsidRDefault="007109E7" w:rsidP="008559E5">
            <w:pPr>
              <w:pStyle w:val="BodyText"/>
              <w:jc w:val="right"/>
              <w:rPr>
                <w:b/>
              </w:rPr>
            </w:pPr>
            <w:r>
              <w:rPr>
                <w:b/>
              </w:rPr>
              <w:t>(350.5)</w:t>
            </w:r>
          </w:p>
        </w:tc>
      </w:tr>
      <w:tr w:rsidR="007109E7" w14:paraId="55FCEBDF" w14:textId="77777777" w:rsidTr="008559E5">
        <w:tc>
          <w:tcPr>
            <w:tcW w:w="3261" w:type="dxa"/>
            <w:tcBorders>
              <w:bottom w:val="single" w:sz="4" w:space="0" w:color="auto"/>
            </w:tcBorders>
          </w:tcPr>
          <w:p w14:paraId="67D6AC89" w14:textId="77777777" w:rsidR="007109E7" w:rsidRDefault="007109E7" w:rsidP="008559E5">
            <w:pPr>
              <w:pStyle w:val="BodyText"/>
            </w:pPr>
            <w:r>
              <w:lastRenderedPageBreak/>
              <w:t>Lease liabilities</w:t>
            </w:r>
          </w:p>
        </w:tc>
        <w:tc>
          <w:tcPr>
            <w:tcW w:w="1275" w:type="dxa"/>
            <w:tcBorders>
              <w:bottom w:val="single" w:sz="4" w:space="0" w:color="auto"/>
            </w:tcBorders>
          </w:tcPr>
          <w:p w14:paraId="31A5E6FA" w14:textId="77777777" w:rsidR="007109E7" w:rsidRPr="004B097D" w:rsidRDefault="007109E7" w:rsidP="008559E5">
            <w:pPr>
              <w:pStyle w:val="BodyText"/>
              <w:jc w:val="right"/>
              <w:rPr>
                <w:b/>
              </w:rPr>
            </w:pPr>
            <w:r w:rsidRPr="004B097D">
              <w:rPr>
                <w:b/>
                <w:bCs/>
              </w:rPr>
              <w:t>–</w:t>
            </w:r>
          </w:p>
        </w:tc>
        <w:tc>
          <w:tcPr>
            <w:tcW w:w="1134" w:type="dxa"/>
            <w:tcBorders>
              <w:bottom w:val="single" w:sz="4" w:space="0" w:color="auto"/>
            </w:tcBorders>
          </w:tcPr>
          <w:p w14:paraId="449ACB2E" w14:textId="77777777" w:rsidR="007109E7" w:rsidRPr="004B097D" w:rsidRDefault="007109E7" w:rsidP="008559E5">
            <w:pPr>
              <w:pStyle w:val="BodyText"/>
              <w:jc w:val="right"/>
              <w:rPr>
                <w:b/>
              </w:rPr>
            </w:pPr>
            <w:r w:rsidRPr="004B097D">
              <w:rPr>
                <w:b/>
              </w:rPr>
              <w:t>(54.1)</w:t>
            </w:r>
          </w:p>
        </w:tc>
        <w:tc>
          <w:tcPr>
            <w:tcW w:w="851" w:type="dxa"/>
            <w:tcBorders>
              <w:bottom w:val="single" w:sz="4" w:space="0" w:color="auto"/>
            </w:tcBorders>
          </w:tcPr>
          <w:p w14:paraId="01716CB2" w14:textId="77777777" w:rsidR="007109E7" w:rsidRPr="004B097D" w:rsidRDefault="007109E7" w:rsidP="008559E5">
            <w:pPr>
              <w:pStyle w:val="BodyText"/>
              <w:jc w:val="right"/>
              <w:rPr>
                <w:b/>
              </w:rPr>
            </w:pPr>
            <w:r w:rsidRPr="004B097D">
              <w:rPr>
                <w:b/>
              </w:rPr>
              <w:t>12.4</w:t>
            </w:r>
          </w:p>
        </w:tc>
        <w:tc>
          <w:tcPr>
            <w:tcW w:w="1276" w:type="dxa"/>
            <w:tcBorders>
              <w:bottom w:val="single" w:sz="4" w:space="0" w:color="auto"/>
            </w:tcBorders>
          </w:tcPr>
          <w:p w14:paraId="776398FD" w14:textId="77777777" w:rsidR="007109E7" w:rsidRPr="004B097D" w:rsidRDefault="007109E7" w:rsidP="008559E5">
            <w:pPr>
              <w:pStyle w:val="BodyText"/>
              <w:jc w:val="right"/>
              <w:rPr>
                <w:b/>
              </w:rPr>
            </w:pPr>
            <w:r w:rsidRPr="004B097D">
              <w:rPr>
                <w:b/>
              </w:rPr>
              <w:t>(19.</w:t>
            </w:r>
            <w:r>
              <w:rPr>
                <w:b/>
              </w:rPr>
              <w:t>7</w:t>
            </w:r>
            <w:r w:rsidRPr="004B097D">
              <w:rPr>
                <w:b/>
              </w:rPr>
              <w:t>)</w:t>
            </w:r>
          </w:p>
        </w:tc>
        <w:tc>
          <w:tcPr>
            <w:tcW w:w="1090" w:type="dxa"/>
            <w:tcBorders>
              <w:bottom w:val="single" w:sz="4" w:space="0" w:color="auto"/>
            </w:tcBorders>
          </w:tcPr>
          <w:p w14:paraId="42F1282F" w14:textId="77777777" w:rsidR="007109E7" w:rsidRPr="004B097D" w:rsidRDefault="007109E7" w:rsidP="008559E5">
            <w:pPr>
              <w:pStyle w:val="BodyText"/>
              <w:jc w:val="right"/>
              <w:rPr>
                <w:b/>
              </w:rPr>
            </w:pPr>
            <w:r w:rsidRPr="004B097D">
              <w:rPr>
                <w:b/>
              </w:rPr>
              <w:t>0.7</w:t>
            </w:r>
          </w:p>
        </w:tc>
        <w:tc>
          <w:tcPr>
            <w:tcW w:w="1298" w:type="dxa"/>
            <w:tcBorders>
              <w:bottom w:val="single" w:sz="4" w:space="0" w:color="auto"/>
            </w:tcBorders>
          </w:tcPr>
          <w:p w14:paraId="389F6545" w14:textId="77777777" w:rsidR="007109E7" w:rsidRPr="004B097D" w:rsidRDefault="007109E7" w:rsidP="008559E5">
            <w:pPr>
              <w:pStyle w:val="BodyText"/>
              <w:jc w:val="right"/>
              <w:rPr>
                <w:b/>
              </w:rPr>
            </w:pPr>
            <w:r w:rsidRPr="004B097D">
              <w:rPr>
                <w:b/>
              </w:rPr>
              <w:t>(60.</w:t>
            </w:r>
            <w:r>
              <w:rPr>
                <w:b/>
              </w:rPr>
              <w:t>7</w:t>
            </w:r>
            <w:r w:rsidRPr="004B097D">
              <w:rPr>
                <w:b/>
              </w:rPr>
              <w:t>)</w:t>
            </w:r>
          </w:p>
        </w:tc>
      </w:tr>
      <w:tr w:rsidR="007109E7" w14:paraId="313CD1D0" w14:textId="77777777" w:rsidTr="008559E5">
        <w:tc>
          <w:tcPr>
            <w:tcW w:w="3261" w:type="dxa"/>
            <w:tcBorders>
              <w:top w:val="single" w:sz="4" w:space="0" w:color="auto"/>
              <w:bottom w:val="single" w:sz="4" w:space="0" w:color="auto"/>
            </w:tcBorders>
          </w:tcPr>
          <w:p w14:paraId="62F1A1C0" w14:textId="77777777" w:rsidR="007109E7" w:rsidRPr="00883953" w:rsidRDefault="007109E7" w:rsidP="008559E5">
            <w:pPr>
              <w:pStyle w:val="BodyText"/>
              <w:rPr>
                <w:b/>
              </w:rPr>
            </w:pPr>
            <w:r w:rsidRPr="00883953">
              <w:rPr>
                <w:b/>
              </w:rPr>
              <w:t>Net Debt</w:t>
            </w:r>
          </w:p>
        </w:tc>
        <w:tc>
          <w:tcPr>
            <w:tcW w:w="1275" w:type="dxa"/>
            <w:tcBorders>
              <w:top w:val="single" w:sz="4" w:space="0" w:color="auto"/>
              <w:bottom w:val="single" w:sz="4" w:space="0" w:color="auto"/>
            </w:tcBorders>
          </w:tcPr>
          <w:p w14:paraId="6AD7377C" w14:textId="77777777" w:rsidR="007109E7" w:rsidRPr="004B097D" w:rsidRDefault="007109E7" w:rsidP="008559E5">
            <w:pPr>
              <w:pStyle w:val="BodyText"/>
              <w:jc w:val="right"/>
              <w:rPr>
                <w:b/>
              </w:rPr>
            </w:pPr>
            <w:r w:rsidRPr="004B097D">
              <w:rPr>
                <w:b/>
              </w:rPr>
              <w:t>(288.5)</w:t>
            </w:r>
          </w:p>
        </w:tc>
        <w:tc>
          <w:tcPr>
            <w:tcW w:w="1134" w:type="dxa"/>
            <w:tcBorders>
              <w:top w:val="single" w:sz="4" w:space="0" w:color="auto"/>
              <w:bottom w:val="single" w:sz="4" w:space="0" w:color="auto"/>
            </w:tcBorders>
          </w:tcPr>
          <w:p w14:paraId="5D789019" w14:textId="77777777" w:rsidR="007109E7" w:rsidRPr="004B097D" w:rsidRDefault="007109E7" w:rsidP="008559E5">
            <w:pPr>
              <w:pStyle w:val="BodyText"/>
              <w:jc w:val="right"/>
              <w:rPr>
                <w:b/>
              </w:rPr>
            </w:pPr>
            <w:r w:rsidRPr="004B097D">
              <w:rPr>
                <w:b/>
              </w:rPr>
              <w:t>(54.1)</w:t>
            </w:r>
          </w:p>
        </w:tc>
        <w:tc>
          <w:tcPr>
            <w:tcW w:w="851" w:type="dxa"/>
            <w:tcBorders>
              <w:top w:val="single" w:sz="4" w:space="0" w:color="auto"/>
              <w:bottom w:val="single" w:sz="4" w:space="0" w:color="auto"/>
            </w:tcBorders>
          </w:tcPr>
          <w:p w14:paraId="753CF941" w14:textId="77777777" w:rsidR="007109E7" w:rsidRPr="004B097D" w:rsidRDefault="007109E7" w:rsidP="008559E5">
            <w:pPr>
              <w:pStyle w:val="BodyText"/>
              <w:jc w:val="right"/>
              <w:rPr>
                <w:b/>
              </w:rPr>
            </w:pPr>
            <w:r w:rsidRPr="004B097D">
              <w:rPr>
                <w:b/>
              </w:rPr>
              <w:t>(46.7)</w:t>
            </w:r>
          </w:p>
        </w:tc>
        <w:tc>
          <w:tcPr>
            <w:tcW w:w="1276" w:type="dxa"/>
            <w:tcBorders>
              <w:top w:val="single" w:sz="4" w:space="0" w:color="auto"/>
              <w:bottom w:val="single" w:sz="4" w:space="0" w:color="auto"/>
            </w:tcBorders>
          </w:tcPr>
          <w:p w14:paraId="3F331B37" w14:textId="77777777" w:rsidR="007109E7" w:rsidRPr="004B097D" w:rsidRDefault="007109E7" w:rsidP="008559E5">
            <w:pPr>
              <w:pStyle w:val="BodyText"/>
              <w:jc w:val="right"/>
              <w:rPr>
                <w:b/>
              </w:rPr>
            </w:pPr>
            <w:r w:rsidRPr="004B097D">
              <w:rPr>
                <w:b/>
              </w:rPr>
              <w:t>(22.</w:t>
            </w:r>
            <w:r>
              <w:rPr>
                <w:b/>
              </w:rPr>
              <w:t>6</w:t>
            </w:r>
            <w:r w:rsidRPr="004B097D">
              <w:rPr>
                <w:b/>
              </w:rPr>
              <w:t>)</w:t>
            </w:r>
          </w:p>
        </w:tc>
        <w:tc>
          <w:tcPr>
            <w:tcW w:w="1090" w:type="dxa"/>
            <w:tcBorders>
              <w:top w:val="single" w:sz="4" w:space="0" w:color="auto"/>
              <w:bottom w:val="single" w:sz="4" w:space="0" w:color="auto"/>
            </w:tcBorders>
          </w:tcPr>
          <w:p w14:paraId="26A7D656" w14:textId="77777777" w:rsidR="007109E7" w:rsidRPr="004B097D" w:rsidRDefault="007109E7" w:rsidP="008559E5">
            <w:pPr>
              <w:pStyle w:val="BodyText"/>
              <w:jc w:val="right"/>
              <w:rPr>
                <w:b/>
              </w:rPr>
            </w:pPr>
            <w:r w:rsidRPr="004B097D">
              <w:rPr>
                <w:b/>
              </w:rPr>
              <w:t>0.7</w:t>
            </w:r>
          </w:p>
        </w:tc>
        <w:tc>
          <w:tcPr>
            <w:tcW w:w="1298" w:type="dxa"/>
            <w:tcBorders>
              <w:top w:val="single" w:sz="4" w:space="0" w:color="auto"/>
              <w:bottom w:val="single" w:sz="4" w:space="0" w:color="auto"/>
            </w:tcBorders>
          </w:tcPr>
          <w:p w14:paraId="0FD6746A" w14:textId="77777777" w:rsidR="007109E7" w:rsidRPr="004B097D" w:rsidRDefault="007109E7" w:rsidP="008559E5">
            <w:pPr>
              <w:pStyle w:val="BodyText"/>
              <w:jc w:val="right"/>
              <w:rPr>
                <w:b/>
              </w:rPr>
            </w:pPr>
            <w:r w:rsidRPr="004B097D">
              <w:rPr>
                <w:b/>
              </w:rPr>
              <w:t>(41</w:t>
            </w:r>
            <w:r>
              <w:rPr>
                <w:b/>
              </w:rPr>
              <w:t>1.2</w:t>
            </w:r>
            <w:r w:rsidRPr="004B097D">
              <w:rPr>
                <w:b/>
              </w:rPr>
              <w:t>)</w:t>
            </w:r>
          </w:p>
        </w:tc>
      </w:tr>
      <w:tr w:rsidR="007109E7" w14:paraId="22B7CE90" w14:textId="77777777" w:rsidTr="008559E5">
        <w:tc>
          <w:tcPr>
            <w:tcW w:w="3261" w:type="dxa"/>
            <w:tcBorders>
              <w:top w:val="single" w:sz="4" w:space="0" w:color="auto"/>
            </w:tcBorders>
          </w:tcPr>
          <w:p w14:paraId="0549E119" w14:textId="77777777" w:rsidR="007109E7" w:rsidRDefault="007109E7" w:rsidP="008559E5">
            <w:pPr>
              <w:pStyle w:val="BodyText"/>
            </w:pPr>
          </w:p>
        </w:tc>
        <w:tc>
          <w:tcPr>
            <w:tcW w:w="1275" w:type="dxa"/>
            <w:tcBorders>
              <w:top w:val="single" w:sz="4" w:space="0" w:color="auto"/>
            </w:tcBorders>
          </w:tcPr>
          <w:p w14:paraId="7E4D28F6" w14:textId="77777777" w:rsidR="007109E7" w:rsidRDefault="007109E7" w:rsidP="008559E5">
            <w:pPr>
              <w:pStyle w:val="BodyText"/>
              <w:jc w:val="right"/>
            </w:pPr>
          </w:p>
        </w:tc>
        <w:tc>
          <w:tcPr>
            <w:tcW w:w="1134" w:type="dxa"/>
            <w:tcBorders>
              <w:top w:val="single" w:sz="4" w:space="0" w:color="auto"/>
            </w:tcBorders>
          </w:tcPr>
          <w:p w14:paraId="71295E00" w14:textId="77777777" w:rsidR="007109E7" w:rsidRDefault="007109E7" w:rsidP="008559E5">
            <w:pPr>
              <w:pStyle w:val="BodyText"/>
              <w:jc w:val="right"/>
            </w:pPr>
          </w:p>
        </w:tc>
        <w:tc>
          <w:tcPr>
            <w:tcW w:w="851" w:type="dxa"/>
            <w:tcBorders>
              <w:top w:val="single" w:sz="4" w:space="0" w:color="auto"/>
            </w:tcBorders>
          </w:tcPr>
          <w:p w14:paraId="5B0810EC" w14:textId="77777777" w:rsidR="007109E7" w:rsidRDefault="007109E7" w:rsidP="008559E5">
            <w:pPr>
              <w:pStyle w:val="BodyText"/>
              <w:jc w:val="right"/>
            </w:pPr>
          </w:p>
        </w:tc>
        <w:tc>
          <w:tcPr>
            <w:tcW w:w="1276" w:type="dxa"/>
            <w:tcBorders>
              <w:top w:val="single" w:sz="4" w:space="0" w:color="auto"/>
            </w:tcBorders>
          </w:tcPr>
          <w:p w14:paraId="5F7E0F5D" w14:textId="77777777" w:rsidR="007109E7" w:rsidRDefault="007109E7" w:rsidP="008559E5">
            <w:pPr>
              <w:pStyle w:val="BodyText"/>
              <w:jc w:val="right"/>
            </w:pPr>
          </w:p>
        </w:tc>
        <w:tc>
          <w:tcPr>
            <w:tcW w:w="1090" w:type="dxa"/>
            <w:tcBorders>
              <w:top w:val="single" w:sz="4" w:space="0" w:color="auto"/>
            </w:tcBorders>
          </w:tcPr>
          <w:p w14:paraId="022056A1" w14:textId="77777777" w:rsidR="007109E7" w:rsidRDefault="007109E7" w:rsidP="008559E5">
            <w:pPr>
              <w:pStyle w:val="BodyText"/>
              <w:jc w:val="right"/>
            </w:pPr>
          </w:p>
        </w:tc>
        <w:tc>
          <w:tcPr>
            <w:tcW w:w="1298" w:type="dxa"/>
            <w:tcBorders>
              <w:top w:val="single" w:sz="4" w:space="0" w:color="auto"/>
            </w:tcBorders>
          </w:tcPr>
          <w:p w14:paraId="2DA80AEC" w14:textId="77777777" w:rsidR="007109E7" w:rsidRDefault="007109E7" w:rsidP="008559E5">
            <w:pPr>
              <w:pStyle w:val="BodyText"/>
              <w:jc w:val="right"/>
            </w:pPr>
          </w:p>
        </w:tc>
      </w:tr>
    </w:tbl>
    <w:p w14:paraId="007C3818" w14:textId="77777777" w:rsidR="007109E7" w:rsidRDefault="007109E7" w:rsidP="007109E7">
      <w:pPr>
        <w:pStyle w:val="BodyText"/>
      </w:pP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384"/>
        <w:gridCol w:w="1384"/>
        <w:gridCol w:w="1385"/>
        <w:gridCol w:w="1384"/>
        <w:gridCol w:w="1385"/>
      </w:tblGrid>
      <w:tr w:rsidR="007109E7" w:rsidRPr="00883953" w14:paraId="1187A33B" w14:textId="77777777" w:rsidTr="008559E5">
        <w:tc>
          <w:tcPr>
            <w:tcW w:w="3256" w:type="dxa"/>
          </w:tcPr>
          <w:p w14:paraId="388092A9" w14:textId="77777777" w:rsidR="007109E7" w:rsidRPr="00883953" w:rsidRDefault="007109E7" w:rsidP="008559E5">
            <w:pPr>
              <w:pStyle w:val="BodyText"/>
              <w:rPr>
                <w:b/>
              </w:rPr>
            </w:pPr>
          </w:p>
        </w:tc>
        <w:tc>
          <w:tcPr>
            <w:tcW w:w="1384" w:type="dxa"/>
            <w:vAlign w:val="bottom"/>
          </w:tcPr>
          <w:p w14:paraId="3787421A" w14:textId="77777777" w:rsidR="007109E7" w:rsidRPr="00722D2C" w:rsidRDefault="007109E7" w:rsidP="008559E5">
            <w:pPr>
              <w:pStyle w:val="BodyText"/>
              <w:jc w:val="right"/>
            </w:pPr>
            <w:r w:rsidRPr="00722D2C">
              <w:t xml:space="preserve">At </w:t>
            </w:r>
          </w:p>
          <w:p w14:paraId="5AFFA32E" w14:textId="77777777" w:rsidR="007109E7" w:rsidRPr="00722D2C" w:rsidRDefault="007109E7" w:rsidP="008559E5">
            <w:pPr>
              <w:pStyle w:val="BodyText"/>
              <w:jc w:val="right"/>
            </w:pPr>
            <w:r w:rsidRPr="00722D2C">
              <w:t>28 September 2018</w:t>
            </w:r>
          </w:p>
        </w:tc>
        <w:tc>
          <w:tcPr>
            <w:tcW w:w="1384" w:type="dxa"/>
            <w:vAlign w:val="bottom"/>
          </w:tcPr>
          <w:p w14:paraId="1C23FD58" w14:textId="77777777" w:rsidR="007109E7" w:rsidRPr="00722D2C" w:rsidRDefault="007109E7" w:rsidP="008559E5">
            <w:pPr>
              <w:pStyle w:val="BodyText"/>
              <w:jc w:val="right"/>
            </w:pPr>
            <w:r w:rsidRPr="00722D2C">
              <w:t xml:space="preserve">Cash </w:t>
            </w:r>
          </w:p>
          <w:p w14:paraId="2BBAE672" w14:textId="77777777" w:rsidR="007109E7" w:rsidRPr="00722D2C" w:rsidRDefault="007109E7" w:rsidP="008559E5">
            <w:pPr>
              <w:pStyle w:val="BodyText"/>
              <w:jc w:val="right"/>
            </w:pPr>
            <w:r w:rsidRPr="00722D2C">
              <w:t>flow</w:t>
            </w:r>
          </w:p>
        </w:tc>
        <w:tc>
          <w:tcPr>
            <w:tcW w:w="1385" w:type="dxa"/>
            <w:vAlign w:val="bottom"/>
          </w:tcPr>
          <w:p w14:paraId="3C277636" w14:textId="77777777" w:rsidR="007109E7" w:rsidRPr="00722D2C" w:rsidRDefault="007109E7" w:rsidP="008559E5">
            <w:pPr>
              <w:pStyle w:val="BodyText"/>
              <w:jc w:val="right"/>
            </w:pPr>
            <w:r w:rsidRPr="00722D2C">
              <w:t>Translation and non-cash adjustments</w:t>
            </w:r>
          </w:p>
        </w:tc>
        <w:tc>
          <w:tcPr>
            <w:tcW w:w="1384" w:type="dxa"/>
            <w:vAlign w:val="bottom"/>
          </w:tcPr>
          <w:p w14:paraId="50EEC471" w14:textId="77777777" w:rsidR="007109E7" w:rsidRPr="00722D2C" w:rsidRDefault="007109E7" w:rsidP="008559E5">
            <w:pPr>
              <w:pStyle w:val="BodyText"/>
              <w:jc w:val="right"/>
            </w:pPr>
            <w:r w:rsidRPr="00722D2C">
              <w:t>Acquisitions</w:t>
            </w:r>
          </w:p>
        </w:tc>
        <w:tc>
          <w:tcPr>
            <w:tcW w:w="1385" w:type="dxa"/>
            <w:vAlign w:val="bottom"/>
          </w:tcPr>
          <w:p w14:paraId="72F3002F" w14:textId="77777777" w:rsidR="007109E7" w:rsidRPr="00722D2C" w:rsidRDefault="007109E7" w:rsidP="008559E5">
            <w:pPr>
              <w:pStyle w:val="BodyText"/>
              <w:jc w:val="right"/>
            </w:pPr>
            <w:r w:rsidRPr="00722D2C">
              <w:t xml:space="preserve">At </w:t>
            </w:r>
          </w:p>
          <w:p w14:paraId="6F5B02CF" w14:textId="77777777" w:rsidR="007109E7" w:rsidRPr="00722D2C" w:rsidRDefault="007109E7" w:rsidP="008559E5">
            <w:pPr>
              <w:pStyle w:val="BodyText"/>
              <w:jc w:val="right"/>
            </w:pPr>
            <w:r w:rsidRPr="00722D2C">
              <w:t>27 September 2019</w:t>
            </w:r>
          </w:p>
        </w:tc>
      </w:tr>
      <w:tr w:rsidR="007109E7" w:rsidRPr="00883953" w14:paraId="1CB26EED" w14:textId="77777777" w:rsidTr="008559E5">
        <w:tc>
          <w:tcPr>
            <w:tcW w:w="3256" w:type="dxa"/>
            <w:tcBorders>
              <w:bottom w:val="single" w:sz="4" w:space="0" w:color="auto"/>
            </w:tcBorders>
          </w:tcPr>
          <w:p w14:paraId="1B8DD4CB" w14:textId="77777777" w:rsidR="007109E7" w:rsidRPr="00883953" w:rsidRDefault="007109E7" w:rsidP="008559E5">
            <w:pPr>
              <w:pStyle w:val="BodyText"/>
              <w:rPr>
                <w:b/>
              </w:rPr>
            </w:pPr>
          </w:p>
        </w:tc>
        <w:tc>
          <w:tcPr>
            <w:tcW w:w="1384" w:type="dxa"/>
            <w:tcBorders>
              <w:bottom w:val="single" w:sz="4" w:space="0" w:color="auto"/>
            </w:tcBorders>
          </w:tcPr>
          <w:p w14:paraId="2B2938BA" w14:textId="77777777" w:rsidR="007109E7" w:rsidRPr="00722D2C" w:rsidRDefault="007109E7" w:rsidP="008559E5">
            <w:pPr>
              <w:pStyle w:val="BodyText"/>
              <w:jc w:val="right"/>
            </w:pPr>
            <w:r w:rsidRPr="00722D2C">
              <w:t>£m</w:t>
            </w:r>
          </w:p>
        </w:tc>
        <w:tc>
          <w:tcPr>
            <w:tcW w:w="1384" w:type="dxa"/>
            <w:tcBorders>
              <w:bottom w:val="single" w:sz="4" w:space="0" w:color="auto"/>
            </w:tcBorders>
          </w:tcPr>
          <w:p w14:paraId="67720E43" w14:textId="77777777" w:rsidR="007109E7" w:rsidRPr="00722D2C" w:rsidRDefault="007109E7" w:rsidP="008559E5">
            <w:pPr>
              <w:pStyle w:val="BodyText"/>
              <w:jc w:val="right"/>
            </w:pPr>
            <w:r w:rsidRPr="00722D2C">
              <w:t>£m</w:t>
            </w:r>
          </w:p>
        </w:tc>
        <w:tc>
          <w:tcPr>
            <w:tcW w:w="1385" w:type="dxa"/>
            <w:tcBorders>
              <w:bottom w:val="single" w:sz="4" w:space="0" w:color="auto"/>
            </w:tcBorders>
          </w:tcPr>
          <w:p w14:paraId="1D9A0040" w14:textId="77777777" w:rsidR="007109E7" w:rsidRPr="00722D2C" w:rsidRDefault="007109E7" w:rsidP="008559E5">
            <w:pPr>
              <w:pStyle w:val="BodyText"/>
              <w:jc w:val="right"/>
            </w:pPr>
            <w:r w:rsidRPr="00722D2C">
              <w:t>£m</w:t>
            </w:r>
          </w:p>
        </w:tc>
        <w:tc>
          <w:tcPr>
            <w:tcW w:w="1384" w:type="dxa"/>
            <w:tcBorders>
              <w:bottom w:val="single" w:sz="4" w:space="0" w:color="auto"/>
            </w:tcBorders>
          </w:tcPr>
          <w:p w14:paraId="38085DE8" w14:textId="77777777" w:rsidR="007109E7" w:rsidRPr="00722D2C" w:rsidRDefault="007109E7" w:rsidP="008559E5">
            <w:pPr>
              <w:pStyle w:val="BodyText"/>
              <w:jc w:val="right"/>
            </w:pPr>
            <w:r w:rsidRPr="00722D2C">
              <w:t>£m</w:t>
            </w:r>
          </w:p>
        </w:tc>
        <w:tc>
          <w:tcPr>
            <w:tcW w:w="1385" w:type="dxa"/>
            <w:tcBorders>
              <w:bottom w:val="single" w:sz="4" w:space="0" w:color="auto"/>
            </w:tcBorders>
          </w:tcPr>
          <w:p w14:paraId="34077223" w14:textId="77777777" w:rsidR="007109E7" w:rsidRPr="00722D2C" w:rsidRDefault="007109E7" w:rsidP="008559E5">
            <w:pPr>
              <w:pStyle w:val="BodyText"/>
              <w:jc w:val="right"/>
            </w:pPr>
            <w:r w:rsidRPr="00722D2C">
              <w:t>£m</w:t>
            </w:r>
          </w:p>
        </w:tc>
      </w:tr>
      <w:tr w:rsidR="007109E7" w:rsidRPr="004B097D" w14:paraId="046C6713" w14:textId="77777777" w:rsidTr="008559E5">
        <w:tc>
          <w:tcPr>
            <w:tcW w:w="3256" w:type="dxa"/>
            <w:tcBorders>
              <w:top w:val="single" w:sz="4" w:space="0" w:color="auto"/>
            </w:tcBorders>
          </w:tcPr>
          <w:p w14:paraId="04563525" w14:textId="77777777" w:rsidR="007109E7" w:rsidRDefault="007109E7" w:rsidP="008559E5">
            <w:pPr>
              <w:pStyle w:val="BodyText"/>
            </w:pPr>
            <w:r>
              <w:t>Cash and cash equivalents and bank overdrafts</w:t>
            </w:r>
          </w:p>
        </w:tc>
        <w:tc>
          <w:tcPr>
            <w:tcW w:w="1384" w:type="dxa"/>
            <w:tcBorders>
              <w:top w:val="single" w:sz="4" w:space="0" w:color="auto"/>
            </w:tcBorders>
            <w:vAlign w:val="bottom"/>
          </w:tcPr>
          <w:p w14:paraId="7A418502" w14:textId="77777777" w:rsidR="007109E7" w:rsidRPr="004B097D" w:rsidRDefault="007109E7" w:rsidP="008559E5">
            <w:pPr>
              <w:pStyle w:val="BodyText"/>
              <w:jc w:val="right"/>
            </w:pPr>
            <w:r>
              <w:t>37.0</w:t>
            </w:r>
          </w:p>
        </w:tc>
        <w:tc>
          <w:tcPr>
            <w:tcW w:w="1384" w:type="dxa"/>
            <w:tcBorders>
              <w:top w:val="single" w:sz="4" w:space="0" w:color="auto"/>
            </w:tcBorders>
            <w:vAlign w:val="bottom"/>
          </w:tcPr>
          <w:p w14:paraId="3E98A340" w14:textId="77777777" w:rsidR="007109E7" w:rsidRPr="004B097D" w:rsidRDefault="007109E7" w:rsidP="008559E5">
            <w:pPr>
              <w:pStyle w:val="BodyText"/>
              <w:jc w:val="right"/>
            </w:pPr>
            <w:r>
              <w:t>(5.2)</w:t>
            </w:r>
          </w:p>
        </w:tc>
        <w:tc>
          <w:tcPr>
            <w:tcW w:w="1385" w:type="dxa"/>
            <w:tcBorders>
              <w:top w:val="single" w:sz="4" w:space="0" w:color="auto"/>
            </w:tcBorders>
            <w:vAlign w:val="bottom"/>
          </w:tcPr>
          <w:p w14:paraId="00BB9C1B" w14:textId="77777777" w:rsidR="007109E7" w:rsidRPr="004B097D" w:rsidRDefault="007109E7" w:rsidP="008559E5">
            <w:pPr>
              <w:pStyle w:val="BodyText"/>
              <w:jc w:val="right"/>
            </w:pPr>
            <w:r>
              <w:t>0.6</w:t>
            </w:r>
          </w:p>
        </w:tc>
        <w:tc>
          <w:tcPr>
            <w:tcW w:w="1384" w:type="dxa"/>
            <w:tcBorders>
              <w:top w:val="single" w:sz="4" w:space="0" w:color="auto"/>
            </w:tcBorders>
            <w:vAlign w:val="bottom"/>
          </w:tcPr>
          <w:p w14:paraId="386060B8" w14:textId="77777777" w:rsidR="007109E7" w:rsidRPr="004B097D" w:rsidRDefault="007109E7" w:rsidP="008559E5">
            <w:pPr>
              <w:pStyle w:val="BodyText"/>
              <w:jc w:val="right"/>
            </w:pPr>
            <w:r>
              <w:t>9.2</w:t>
            </w:r>
          </w:p>
        </w:tc>
        <w:tc>
          <w:tcPr>
            <w:tcW w:w="1385" w:type="dxa"/>
            <w:tcBorders>
              <w:top w:val="single" w:sz="4" w:space="0" w:color="auto"/>
            </w:tcBorders>
            <w:vAlign w:val="bottom"/>
          </w:tcPr>
          <w:p w14:paraId="646B536D" w14:textId="77777777" w:rsidR="007109E7" w:rsidRPr="004B097D" w:rsidRDefault="007109E7" w:rsidP="008559E5">
            <w:pPr>
              <w:pStyle w:val="BodyText"/>
              <w:jc w:val="right"/>
            </w:pPr>
            <w:r w:rsidRPr="004B097D">
              <w:t>41.6</w:t>
            </w:r>
          </w:p>
        </w:tc>
      </w:tr>
      <w:tr w:rsidR="007109E7" w:rsidRPr="004B097D" w14:paraId="6517C998" w14:textId="77777777" w:rsidTr="008559E5">
        <w:tc>
          <w:tcPr>
            <w:tcW w:w="3256" w:type="dxa"/>
          </w:tcPr>
          <w:p w14:paraId="4DBAFBA6" w14:textId="77777777" w:rsidR="007109E7" w:rsidRDefault="007109E7" w:rsidP="008559E5">
            <w:pPr>
              <w:pStyle w:val="BodyText"/>
            </w:pPr>
            <w:r>
              <w:t>Bank borrowings</w:t>
            </w:r>
          </w:p>
        </w:tc>
        <w:tc>
          <w:tcPr>
            <w:tcW w:w="1384" w:type="dxa"/>
          </w:tcPr>
          <w:p w14:paraId="1954EE8B" w14:textId="77777777" w:rsidR="007109E7" w:rsidRPr="004B097D" w:rsidRDefault="007109E7" w:rsidP="008559E5">
            <w:pPr>
              <w:pStyle w:val="BodyText"/>
              <w:jc w:val="right"/>
            </w:pPr>
            <w:r>
              <w:t>(350.5)</w:t>
            </w:r>
          </w:p>
        </w:tc>
        <w:tc>
          <w:tcPr>
            <w:tcW w:w="1384" w:type="dxa"/>
          </w:tcPr>
          <w:p w14:paraId="6A4FF8CD" w14:textId="77777777" w:rsidR="007109E7" w:rsidRPr="004B097D" w:rsidRDefault="007109E7" w:rsidP="008559E5">
            <w:pPr>
              <w:pStyle w:val="BodyText"/>
              <w:jc w:val="right"/>
            </w:pPr>
            <w:r>
              <w:t>143.0</w:t>
            </w:r>
          </w:p>
        </w:tc>
        <w:tc>
          <w:tcPr>
            <w:tcW w:w="1385" w:type="dxa"/>
          </w:tcPr>
          <w:p w14:paraId="1908B40E" w14:textId="77777777" w:rsidR="007109E7" w:rsidRPr="004B097D" w:rsidRDefault="007109E7" w:rsidP="008559E5">
            <w:pPr>
              <w:pStyle w:val="BodyText"/>
              <w:jc w:val="right"/>
            </w:pPr>
            <w:r>
              <w:t>(6.4)</w:t>
            </w:r>
          </w:p>
        </w:tc>
        <w:tc>
          <w:tcPr>
            <w:tcW w:w="1384" w:type="dxa"/>
          </w:tcPr>
          <w:p w14:paraId="7DF03FEB" w14:textId="77777777" w:rsidR="007109E7" w:rsidRPr="004B097D" w:rsidRDefault="007109E7" w:rsidP="008559E5">
            <w:pPr>
              <w:pStyle w:val="BodyText"/>
              <w:jc w:val="right"/>
            </w:pPr>
            <w:r w:rsidRPr="004B097D">
              <w:rPr>
                <w:bCs/>
              </w:rPr>
              <w:t>–</w:t>
            </w:r>
          </w:p>
        </w:tc>
        <w:tc>
          <w:tcPr>
            <w:tcW w:w="1385" w:type="dxa"/>
          </w:tcPr>
          <w:p w14:paraId="04D11B7A" w14:textId="77777777" w:rsidR="007109E7" w:rsidRPr="004B097D" w:rsidRDefault="007109E7" w:rsidP="008559E5">
            <w:pPr>
              <w:pStyle w:val="BodyText"/>
              <w:jc w:val="right"/>
            </w:pPr>
            <w:r w:rsidRPr="004B097D">
              <w:t>(213.9)</w:t>
            </w:r>
          </w:p>
        </w:tc>
      </w:tr>
      <w:tr w:rsidR="007109E7" w:rsidRPr="004B097D" w14:paraId="5D7DF55E" w14:textId="77777777" w:rsidTr="008559E5">
        <w:tc>
          <w:tcPr>
            <w:tcW w:w="3256" w:type="dxa"/>
          </w:tcPr>
          <w:p w14:paraId="5C9DC7D9" w14:textId="77777777" w:rsidR="007109E7" w:rsidRDefault="007109E7" w:rsidP="008559E5">
            <w:pPr>
              <w:pStyle w:val="BodyText"/>
            </w:pPr>
            <w:r>
              <w:t>Private Placement Notes</w:t>
            </w:r>
          </w:p>
        </w:tc>
        <w:tc>
          <w:tcPr>
            <w:tcW w:w="1384" w:type="dxa"/>
          </w:tcPr>
          <w:p w14:paraId="2C08C4CC" w14:textId="77777777" w:rsidR="007109E7" w:rsidRPr="004B097D" w:rsidRDefault="007109E7" w:rsidP="008559E5">
            <w:pPr>
              <w:pStyle w:val="BodyText"/>
              <w:jc w:val="right"/>
            </w:pPr>
            <w:r>
              <w:t>(124.8)</w:t>
            </w:r>
          </w:p>
        </w:tc>
        <w:tc>
          <w:tcPr>
            <w:tcW w:w="1384" w:type="dxa"/>
          </w:tcPr>
          <w:p w14:paraId="67728E57" w14:textId="77777777" w:rsidR="007109E7" w:rsidRPr="004B097D" w:rsidRDefault="007109E7" w:rsidP="008559E5">
            <w:pPr>
              <w:pStyle w:val="BodyText"/>
              <w:jc w:val="right"/>
            </w:pPr>
            <w:r>
              <w:t>14.6</w:t>
            </w:r>
          </w:p>
        </w:tc>
        <w:tc>
          <w:tcPr>
            <w:tcW w:w="1385" w:type="dxa"/>
          </w:tcPr>
          <w:p w14:paraId="30CB7D58" w14:textId="77777777" w:rsidR="007109E7" w:rsidRPr="004B097D" w:rsidRDefault="007109E7" w:rsidP="008559E5">
            <w:pPr>
              <w:pStyle w:val="BodyText"/>
              <w:jc w:val="right"/>
            </w:pPr>
            <w:r>
              <w:t>(6.0)</w:t>
            </w:r>
          </w:p>
        </w:tc>
        <w:tc>
          <w:tcPr>
            <w:tcW w:w="1384" w:type="dxa"/>
          </w:tcPr>
          <w:p w14:paraId="0994555D" w14:textId="77777777" w:rsidR="007109E7" w:rsidRPr="004B097D" w:rsidRDefault="007109E7" w:rsidP="008559E5">
            <w:pPr>
              <w:pStyle w:val="BodyText"/>
              <w:jc w:val="right"/>
            </w:pPr>
            <w:r w:rsidRPr="004B097D">
              <w:rPr>
                <w:bCs/>
              </w:rPr>
              <w:t>–</w:t>
            </w:r>
          </w:p>
        </w:tc>
        <w:tc>
          <w:tcPr>
            <w:tcW w:w="1385" w:type="dxa"/>
          </w:tcPr>
          <w:p w14:paraId="1A9B93B3" w14:textId="77777777" w:rsidR="007109E7" w:rsidRPr="004B097D" w:rsidRDefault="007109E7" w:rsidP="008559E5">
            <w:pPr>
              <w:pStyle w:val="BodyText"/>
              <w:jc w:val="right"/>
            </w:pPr>
            <w:r w:rsidRPr="004B097D">
              <w:t>(116.2)</w:t>
            </w:r>
          </w:p>
        </w:tc>
      </w:tr>
      <w:tr w:rsidR="007109E7" w:rsidRPr="004B097D" w14:paraId="147D64EB" w14:textId="77777777" w:rsidTr="008559E5">
        <w:tc>
          <w:tcPr>
            <w:tcW w:w="3256" w:type="dxa"/>
            <w:tcBorders>
              <w:bottom w:val="single" w:sz="4" w:space="0" w:color="auto"/>
            </w:tcBorders>
          </w:tcPr>
          <w:p w14:paraId="443B11F5" w14:textId="77777777" w:rsidR="007109E7" w:rsidRPr="004B097D" w:rsidRDefault="007109E7" w:rsidP="008559E5">
            <w:pPr>
              <w:pStyle w:val="BodyText"/>
            </w:pPr>
            <w:r w:rsidRPr="004B097D">
              <w:t>Non-bank borrowings</w:t>
            </w:r>
          </w:p>
        </w:tc>
        <w:tc>
          <w:tcPr>
            <w:tcW w:w="1384" w:type="dxa"/>
            <w:tcBorders>
              <w:bottom w:val="single" w:sz="4" w:space="0" w:color="auto"/>
            </w:tcBorders>
          </w:tcPr>
          <w:p w14:paraId="292CB2AE" w14:textId="77777777" w:rsidR="007109E7" w:rsidRPr="004B097D" w:rsidRDefault="007109E7" w:rsidP="008559E5">
            <w:pPr>
              <w:pStyle w:val="BodyText"/>
              <w:jc w:val="right"/>
            </w:pPr>
            <w:r>
              <w:t>(62.3)</w:t>
            </w:r>
          </w:p>
        </w:tc>
        <w:tc>
          <w:tcPr>
            <w:tcW w:w="1384" w:type="dxa"/>
            <w:tcBorders>
              <w:bottom w:val="single" w:sz="4" w:space="0" w:color="auto"/>
            </w:tcBorders>
          </w:tcPr>
          <w:p w14:paraId="32CF8C69" w14:textId="77777777" w:rsidR="007109E7" w:rsidRPr="004B097D" w:rsidRDefault="007109E7" w:rsidP="008559E5">
            <w:pPr>
              <w:pStyle w:val="BodyText"/>
              <w:jc w:val="right"/>
            </w:pPr>
            <w:r>
              <w:t>63.1</w:t>
            </w:r>
          </w:p>
        </w:tc>
        <w:tc>
          <w:tcPr>
            <w:tcW w:w="1385" w:type="dxa"/>
            <w:tcBorders>
              <w:bottom w:val="single" w:sz="4" w:space="0" w:color="auto"/>
            </w:tcBorders>
          </w:tcPr>
          <w:p w14:paraId="5F4A71C2" w14:textId="77777777" w:rsidR="007109E7" w:rsidRPr="004B097D" w:rsidRDefault="007109E7" w:rsidP="008559E5">
            <w:pPr>
              <w:pStyle w:val="BodyText"/>
              <w:jc w:val="right"/>
            </w:pPr>
            <w:r>
              <w:t>(0.8)</w:t>
            </w:r>
          </w:p>
        </w:tc>
        <w:tc>
          <w:tcPr>
            <w:tcW w:w="1384" w:type="dxa"/>
            <w:tcBorders>
              <w:bottom w:val="single" w:sz="4" w:space="0" w:color="auto"/>
            </w:tcBorders>
          </w:tcPr>
          <w:p w14:paraId="45FB029B" w14:textId="77777777" w:rsidR="007109E7" w:rsidRPr="004B097D" w:rsidRDefault="007109E7" w:rsidP="008559E5">
            <w:pPr>
              <w:pStyle w:val="BodyText"/>
              <w:jc w:val="right"/>
            </w:pPr>
          </w:p>
        </w:tc>
        <w:tc>
          <w:tcPr>
            <w:tcW w:w="1385" w:type="dxa"/>
            <w:tcBorders>
              <w:bottom w:val="single" w:sz="4" w:space="0" w:color="auto"/>
            </w:tcBorders>
          </w:tcPr>
          <w:p w14:paraId="499FDA10" w14:textId="77777777" w:rsidR="007109E7" w:rsidRPr="004B097D" w:rsidRDefault="007109E7" w:rsidP="008559E5">
            <w:pPr>
              <w:pStyle w:val="BodyText"/>
              <w:jc w:val="right"/>
            </w:pPr>
            <w:r w:rsidRPr="004B097D">
              <w:rPr>
                <w:bCs/>
              </w:rPr>
              <w:t>–</w:t>
            </w:r>
          </w:p>
        </w:tc>
      </w:tr>
      <w:tr w:rsidR="007109E7" w:rsidRPr="004B097D" w14:paraId="7864342D" w14:textId="77777777" w:rsidTr="008559E5">
        <w:tc>
          <w:tcPr>
            <w:tcW w:w="3256" w:type="dxa"/>
            <w:tcBorders>
              <w:top w:val="single" w:sz="4" w:space="0" w:color="auto"/>
              <w:bottom w:val="single" w:sz="4" w:space="0" w:color="auto"/>
            </w:tcBorders>
          </w:tcPr>
          <w:p w14:paraId="29953B54" w14:textId="77777777" w:rsidR="007109E7" w:rsidRPr="00722D2C" w:rsidRDefault="007109E7" w:rsidP="008559E5">
            <w:pPr>
              <w:pStyle w:val="BodyText"/>
            </w:pPr>
            <w:r w:rsidRPr="00722D2C">
              <w:t xml:space="preserve">Net debt excluding lease liabilities </w:t>
            </w:r>
          </w:p>
        </w:tc>
        <w:tc>
          <w:tcPr>
            <w:tcW w:w="1384" w:type="dxa"/>
            <w:tcBorders>
              <w:top w:val="single" w:sz="4" w:space="0" w:color="auto"/>
              <w:bottom w:val="single" w:sz="4" w:space="0" w:color="auto"/>
            </w:tcBorders>
          </w:tcPr>
          <w:p w14:paraId="5D11C295" w14:textId="77777777" w:rsidR="007109E7" w:rsidRPr="004B097D" w:rsidRDefault="007109E7" w:rsidP="008559E5">
            <w:pPr>
              <w:pStyle w:val="BodyText"/>
              <w:jc w:val="right"/>
            </w:pPr>
            <w:r>
              <w:t>(500.6)</w:t>
            </w:r>
          </w:p>
        </w:tc>
        <w:tc>
          <w:tcPr>
            <w:tcW w:w="1384" w:type="dxa"/>
            <w:tcBorders>
              <w:top w:val="single" w:sz="4" w:space="0" w:color="auto"/>
              <w:bottom w:val="single" w:sz="4" w:space="0" w:color="auto"/>
            </w:tcBorders>
          </w:tcPr>
          <w:p w14:paraId="0D62A965" w14:textId="77777777" w:rsidR="007109E7" w:rsidRPr="004B097D" w:rsidRDefault="007109E7" w:rsidP="008559E5">
            <w:pPr>
              <w:pStyle w:val="BodyText"/>
              <w:jc w:val="right"/>
            </w:pPr>
            <w:r>
              <w:t>215.5</w:t>
            </w:r>
          </w:p>
        </w:tc>
        <w:tc>
          <w:tcPr>
            <w:tcW w:w="1385" w:type="dxa"/>
            <w:tcBorders>
              <w:top w:val="single" w:sz="4" w:space="0" w:color="auto"/>
              <w:bottom w:val="single" w:sz="4" w:space="0" w:color="auto"/>
            </w:tcBorders>
          </w:tcPr>
          <w:p w14:paraId="1D094450" w14:textId="77777777" w:rsidR="007109E7" w:rsidRPr="004B097D" w:rsidRDefault="007109E7" w:rsidP="008559E5">
            <w:pPr>
              <w:pStyle w:val="BodyText"/>
              <w:jc w:val="right"/>
            </w:pPr>
            <w:r>
              <w:t>(12.6)</w:t>
            </w:r>
          </w:p>
        </w:tc>
        <w:tc>
          <w:tcPr>
            <w:tcW w:w="1384" w:type="dxa"/>
            <w:tcBorders>
              <w:top w:val="single" w:sz="4" w:space="0" w:color="auto"/>
              <w:bottom w:val="single" w:sz="4" w:space="0" w:color="auto"/>
            </w:tcBorders>
          </w:tcPr>
          <w:p w14:paraId="078E6285" w14:textId="77777777" w:rsidR="007109E7" w:rsidRPr="004B097D" w:rsidRDefault="007109E7" w:rsidP="008559E5">
            <w:pPr>
              <w:pStyle w:val="BodyText"/>
              <w:jc w:val="right"/>
            </w:pPr>
            <w:r>
              <w:t>9.2</w:t>
            </w:r>
          </w:p>
        </w:tc>
        <w:tc>
          <w:tcPr>
            <w:tcW w:w="1385" w:type="dxa"/>
            <w:tcBorders>
              <w:top w:val="single" w:sz="4" w:space="0" w:color="auto"/>
              <w:bottom w:val="single" w:sz="4" w:space="0" w:color="auto"/>
            </w:tcBorders>
          </w:tcPr>
          <w:p w14:paraId="7C66374B" w14:textId="77777777" w:rsidR="007109E7" w:rsidRPr="004B097D" w:rsidRDefault="007109E7" w:rsidP="008559E5">
            <w:pPr>
              <w:pStyle w:val="BodyText"/>
              <w:jc w:val="right"/>
            </w:pPr>
            <w:r w:rsidRPr="004B097D">
              <w:t>(288.5)</w:t>
            </w:r>
          </w:p>
        </w:tc>
      </w:tr>
      <w:tr w:rsidR="007109E7" w:rsidRPr="004B097D" w14:paraId="54268E83" w14:textId="77777777" w:rsidTr="008559E5">
        <w:tc>
          <w:tcPr>
            <w:tcW w:w="3256" w:type="dxa"/>
            <w:tcBorders>
              <w:top w:val="single" w:sz="4" w:space="0" w:color="auto"/>
            </w:tcBorders>
          </w:tcPr>
          <w:p w14:paraId="37328CF9" w14:textId="77777777" w:rsidR="007109E7" w:rsidRPr="00722D2C" w:rsidRDefault="007109E7" w:rsidP="008559E5">
            <w:pPr>
              <w:pStyle w:val="BodyText"/>
            </w:pPr>
            <w:r w:rsidRPr="00722D2C">
              <w:t>Lease liabilities</w:t>
            </w:r>
          </w:p>
        </w:tc>
        <w:tc>
          <w:tcPr>
            <w:tcW w:w="1384" w:type="dxa"/>
            <w:tcBorders>
              <w:top w:val="single" w:sz="4" w:space="0" w:color="auto"/>
            </w:tcBorders>
          </w:tcPr>
          <w:p w14:paraId="2956F238" w14:textId="77777777" w:rsidR="007109E7" w:rsidRPr="004B097D" w:rsidRDefault="007109E7" w:rsidP="008559E5">
            <w:pPr>
              <w:pStyle w:val="BodyText"/>
              <w:jc w:val="right"/>
            </w:pPr>
            <w:r>
              <w:rPr>
                <w:bCs/>
              </w:rPr>
              <w:t>(0.5)</w:t>
            </w:r>
          </w:p>
        </w:tc>
        <w:tc>
          <w:tcPr>
            <w:tcW w:w="1384" w:type="dxa"/>
            <w:tcBorders>
              <w:top w:val="single" w:sz="4" w:space="0" w:color="auto"/>
            </w:tcBorders>
          </w:tcPr>
          <w:p w14:paraId="079705F2" w14:textId="77777777" w:rsidR="007109E7" w:rsidRPr="004B097D" w:rsidRDefault="007109E7" w:rsidP="008559E5">
            <w:pPr>
              <w:pStyle w:val="BodyText"/>
              <w:jc w:val="right"/>
            </w:pPr>
            <w:r>
              <w:t>0.4</w:t>
            </w:r>
          </w:p>
        </w:tc>
        <w:tc>
          <w:tcPr>
            <w:tcW w:w="1385" w:type="dxa"/>
            <w:tcBorders>
              <w:top w:val="single" w:sz="4" w:space="0" w:color="auto"/>
            </w:tcBorders>
          </w:tcPr>
          <w:p w14:paraId="47CBBFD9" w14:textId="77777777" w:rsidR="007109E7" w:rsidRPr="004B097D" w:rsidRDefault="007109E7" w:rsidP="008559E5">
            <w:pPr>
              <w:pStyle w:val="BodyText"/>
              <w:jc w:val="right"/>
            </w:pPr>
            <w:r>
              <w:t>0.1</w:t>
            </w:r>
          </w:p>
        </w:tc>
        <w:tc>
          <w:tcPr>
            <w:tcW w:w="1384" w:type="dxa"/>
            <w:tcBorders>
              <w:top w:val="single" w:sz="4" w:space="0" w:color="auto"/>
            </w:tcBorders>
          </w:tcPr>
          <w:p w14:paraId="6E8BC4BE" w14:textId="77777777" w:rsidR="007109E7" w:rsidRPr="004B097D" w:rsidRDefault="007109E7" w:rsidP="008559E5">
            <w:pPr>
              <w:pStyle w:val="BodyText"/>
              <w:jc w:val="right"/>
              <w:rPr>
                <w:bCs/>
              </w:rPr>
            </w:pPr>
            <w:r w:rsidRPr="004B097D">
              <w:rPr>
                <w:bCs/>
              </w:rPr>
              <w:t>–</w:t>
            </w:r>
          </w:p>
        </w:tc>
        <w:tc>
          <w:tcPr>
            <w:tcW w:w="1385" w:type="dxa"/>
            <w:tcBorders>
              <w:top w:val="single" w:sz="4" w:space="0" w:color="auto"/>
            </w:tcBorders>
          </w:tcPr>
          <w:p w14:paraId="03078FDC" w14:textId="77777777" w:rsidR="007109E7" w:rsidRPr="004B097D" w:rsidRDefault="007109E7" w:rsidP="008559E5">
            <w:pPr>
              <w:pStyle w:val="BodyText"/>
              <w:jc w:val="right"/>
            </w:pPr>
            <w:r w:rsidRPr="004B097D">
              <w:rPr>
                <w:bCs/>
              </w:rPr>
              <w:t>–</w:t>
            </w:r>
          </w:p>
        </w:tc>
      </w:tr>
      <w:tr w:rsidR="007109E7" w:rsidRPr="004B097D" w14:paraId="5EA3AE5A" w14:textId="77777777" w:rsidTr="008559E5">
        <w:tc>
          <w:tcPr>
            <w:tcW w:w="3256" w:type="dxa"/>
            <w:tcBorders>
              <w:top w:val="single" w:sz="4" w:space="0" w:color="auto"/>
              <w:bottom w:val="single" w:sz="4" w:space="0" w:color="auto"/>
            </w:tcBorders>
          </w:tcPr>
          <w:p w14:paraId="66361C25" w14:textId="77777777" w:rsidR="007109E7" w:rsidRPr="00722D2C" w:rsidRDefault="007109E7" w:rsidP="008559E5">
            <w:pPr>
              <w:pStyle w:val="BodyText"/>
            </w:pPr>
            <w:r w:rsidRPr="00722D2C">
              <w:t>Net Debt</w:t>
            </w:r>
          </w:p>
        </w:tc>
        <w:tc>
          <w:tcPr>
            <w:tcW w:w="1384" w:type="dxa"/>
            <w:tcBorders>
              <w:top w:val="single" w:sz="4" w:space="0" w:color="auto"/>
              <w:bottom w:val="single" w:sz="4" w:space="0" w:color="auto"/>
            </w:tcBorders>
          </w:tcPr>
          <w:p w14:paraId="44E29F24" w14:textId="77777777" w:rsidR="007109E7" w:rsidRPr="004B097D" w:rsidRDefault="007109E7" w:rsidP="008559E5">
            <w:pPr>
              <w:pStyle w:val="BodyText"/>
              <w:jc w:val="right"/>
            </w:pPr>
            <w:r>
              <w:t>(501.1)</w:t>
            </w:r>
          </w:p>
        </w:tc>
        <w:tc>
          <w:tcPr>
            <w:tcW w:w="1384" w:type="dxa"/>
            <w:tcBorders>
              <w:top w:val="single" w:sz="4" w:space="0" w:color="auto"/>
              <w:bottom w:val="single" w:sz="4" w:space="0" w:color="auto"/>
            </w:tcBorders>
          </w:tcPr>
          <w:p w14:paraId="450010E7" w14:textId="77777777" w:rsidR="007109E7" w:rsidRPr="004B097D" w:rsidRDefault="007109E7" w:rsidP="008559E5">
            <w:pPr>
              <w:pStyle w:val="BodyText"/>
              <w:jc w:val="right"/>
            </w:pPr>
            <w:r>
              <w:t>215.9</w:t>
            </w:r>
          </w:p>
        </w:tc>
        <w:tc>
          <w:tcPr>
            <w:tcW w:w="1385" w:type="dxa"/>
            <w:tcBorders>
              <w:top w:val="single" w:sz="4" w:space="0" w:color="auto"/>
              <w:bottom w:val="single" w:sz="4" w:space="0" w:color="auto"/>
            </w:tcBorders>
          </w:tcPr>
          <w:p w14:paraId="2E954C2E" w14:textId="77777777" w:rsidR="007109E7" w:rsidRPr="004B097D" w:rsidRDefault="007109E7" w:rsidP="008559E5">
            <w:pPr>
              <w:pStyle w:val="BodyText"/>
              <w:jc w:val="right"/>
            </w:pPr>
            <w:r>
              <w:t>(12.5)</w:t>
            </w:r>
          </w:p>
        </w:tc>
        <w:tc>
          <w:tcPr>
            <w:tcW w:w="1384" w:type="dxa"/>
            <w:tcBorders>
              <w:top w:val="single" w:sz="4" w:space="0" w:color="auto"/>
              <w:bottom w:val="single" w:sz="4" w:space="0" w:color="auto"/>
            </w:tcBorders>
          </w:tcPr>
          <w:p w14:paraId="30984785" w14:textId="77777777" w:rsidR="007109E7" w:rsidRPr="004B097D" w:rsidRDefault="007109E7" w:rsidP="008559E5">
            <w:pPr>
              <w:pStyle w:val="BodyText"/>
              <w:jc w:val="right"/>
            </w:pPr>
            <w:r>
              <w:t>9.2</w:t>
            </w:r>
          </w:p>
        </w:tc>
        <w:tc>
          <w:tcPr>
            <w:tcW w:w="1385" w:type="dxa"/>
            <w:tcBorders>
              <w:top w:val="single" w:sz="4" w:space="0" w:color="auto"/>
              <w:bottom w:val="single" w:sz="4" w:space="0" w:color="auto"/>
            </w:tcBorders>
          </w:tcPr>
          <w:p w14:paraId="5CFC85BE" w14:textId="77777777" w:rsidR="007109E7" w:rsidRPr="004B097D" w:rsidRDefault="007109E7" w:rsidP="008559E5">
            <w:pPr>
              <w:pStyle w:val="BodyText"/>
              <w:jc w:val="right"/>
            </w:pPr>
            <w:r w:rsidRPr="004B097D">
              <w:t>(</w:t>
            </w:r>
            <w:r>
              <w:t>288.5</w:t>
            </w:r>
            <w:r w:rsidRPr="004B097D">
              <w:t>)</w:t>
            </w:r>
          </w:p>
        </w:tc>
      </w:tr>
      <w:tr w:rsidR="007109E7" w14:paraId="7D062282" w14:textId="77777777" w:rsidTr="008559E5">
        <w:tc>
          <w:tcPr>
            <w:tcW w:w="3256" w:type="dxa"/>
            <w:tcBorders>
              <w:top w:val="single" w:sz="4" w:space="0" w:color="auto"/>
            </w:tcBorders>
          </w:tcPr>
          <w:p w14:paraId="486494DA" w14:textId="77777777" w:rsidR="007109E7" w:rsidRDefault="007109E7" w:rsidP="008559E5">
            <w:pPr>
              <w:pStyle w:val="BodyText"/>
            </w:pPr>
          </w:p>
        </w:tc>
        <w:tc>
          <w:tcPr>
            <w:tcW w:w="1384" w:type="dxa"/>
            <w:tcBorders>
              <w:top w:val="single" w:sz="4" w:space="0" w:color="auto"/>
            </w:tcBorders>
          </w:tcPr>
          <w:p w14:paraId="55AF4716" w14:textId="77777777" w:rsidR="007109E7" w:rsidRDefault="007109E7" w:rsidP="008559E5">
            <w:pPr>
              <w:pStyle w:val="BodyText"/>
              <w:jc w:val="right"/>
            </w:pPr>
          </w:p>
        </w:tc>
        <w:tc>
          <w:tcPr>
            <w:tcW w:w="1384" w:type="dxa"/>
            <w:tcBorders>
              <w:top w:val="single" w:sz="4" w:space="0" w:color="auto"/>
            </w:tcBorders>
          </w:tcPr>
          <w:p w14:paraId="4046F34E" w14:textId="77777777" w:rsidR="007109E7" w:rsidRDefault="007109E7" w:rsidP="008559E5">
            <w:pPr>
              <w:pStyle w:val="BodyText"/>
              <w:jc w:val="right"/>
            </w:pPr>
          </w:p>
        </w:tc>
        <w:tc>
          <w:tcPr>
            <w:tcW w:w="1385" w:type="dxa"/>
            <w:tcBorders>
              <w:top w:val="single" w:sz="4" w:space="0" w:color="auto"/>
            </w:tcBorders>
          </w:tcPr>
          <w:p w14:paraId="7CF0C8C8" w14:textId="77777777" w:rsidR="007109E7" w:rsidRDefault="007109E7" w:rsidP="008559E5">
            <w:pPr>
              <w:pStyle w:val="BodyText"/>
              <w:jc w:val="right"/>
            </w:pPr>
          </w:p>
        </w:tc>
        <w:tc>
          <w:tcPr>
            <w:tcW w:w="1384" w:type="dxa"/>
            <w:tcBorders>
              <w:top w:val="single" w:sz="4" w:space="0" w:color="auto"/>
            </w:tcBorders>
          </w:tcPr>
          <w:p w14:paraId="3C538B81" w14:textId="77777777" w:rsidR="007109E7" w:rsidRDefault="007109E7" w:rsidP="008559E5">
            <w:pPr>
              <w:pStyle w:val="BodyText"/>
              <w:jc w:val="right"/>
            </w:pPr>
          </w:p>
        </w:tc>
        <w:tc>
          <w:tcPr>
            <w:tcW w:w="1385" w:type="dxa"/>
            <w:tcBorders>
              <w:top w:val="single" w:sz="4" w:space="0" w:color="auto"/>
            </w:tcBorders>
          </w:tcPr>
          <w:p w14:paraId="6C1BAE99" w14:textId="77777777" w:rsidR="007109E7" w:rsidRDefault="007109E7" w:rsidP="008559E5">
            <w:pPr>
              <w:pStyle w:val="BodyText"/>
              <w:jc w:val="right"/>
            </w:pPr>
          </w:p>
        </w:tc>
      </w:tr>
    </w:tbl>
    <w:p w14:paraId="6F66CA0A" w14:textId="77777777" w:rsidR="007109E7" w:rsidRDefault="007109E7" w:rsidP="007109E7">
      <w:pPr>
        <w:pStyle w:val="BodyText"/>
      </w:pPr>
    </w:p>
    <w:p w14:paraId="5561C25D" w14:textId="77777777" w:rsidR="007109E7" w:rsidRDefault="007109E7" w:rsidP="007109E7">
      <w:pPr>
        <w:pStyle w:val="Heading2"/>
        <w:numPr>
          <w:ilvl w:val="0"/>
          <w:numId w:val="0"/>
        </w:numPr>
      </w:pPr>
      <w:r>
        <w:t>RETURN ON INVESTED CAPITAL (‘ROIC’)</w:t>
      </w:r>
    </w:p>
    <w:p w14:paraId="226A56CF" w14:textId="77777777" w:rsidR="007109E7" w:rsidRPr="004E7E2D" w:rsidRDefault="007109E7" w:rsidP="007109E7">
      <w:pPr>
        <w:pStyle w:val="BodyText"/>
      </w:pPr>
    </w:p>
    <w:p w14:paraId="649101B0" w14:textId="77777777" w:rsidR="007109E7" w:rsidRDefault="007109E7" w:rsidP="007109E7">
      <w:pPr>
        <w:widowControl/>
        <w:adjustRightInd w:val="0"/>
        <w:jc w:val="both"/>
        <w:rPr>
          <w:sz w:val="18"/>
          <w:szCs w:val="18"/>
        </w:rPr>
      </w:pPr>
      <w:r>
        <w:rPr>
          <w:sz w:val="18"/>
          <w:szCs w:val="18"/>
        </w:rPr>
        <w:t xml:space="preserve">The Group uses ROIC as a key measure to determine returns from each business unit, along with the measurements of potential new investments. </w:t>
      </w:r>
    </w:p>
    <w:p w14:paraId="29FAA983" w14:textId="77777777" w:rsidR="007109E7" w:rsidRPr="002A7FD2" w:rsidRDefault="007109E7" w:rsidP="007109E7">
      <w:pPr>
        <w:widowControl/>
        <w:adjustRightInd w:val="0"/>
        <w:jc w:val="both"/>
        <w:rPr>
          <w:rFonts w:asciiTheme="minorHAnsi" w:hAnsiTheme="minorHAnsi" w:cstheme="minorHAnsi"/>
          <w:sz w:val="18"/>
          <w:szCs w:val="18"/>
        </w:rPr>
      </w:pPr>
    </w:p>
    <w:p w14:paraId="1045C1A3"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invested capital as a basis for this calculation as it reflects the tangible and intangible assets</w:t>
      </w:r>
      <w:r>
        <w:rPr>
          <w:rFonts w:asciiTheme="minorHAnsi" w:hAnsiTheme="minorHAnsi" w:cstheme="minorHAnsi"/>
          <w:sz w:val="18"/>
          <w:szCs w:val="18"/>
        </w:rPr>
        <w:t xml:space="preserve"> </w:t>
      </w:r>
      <w:r w:rsidRPr="002A7FD2">
        <w:rPr>
          <w:rFonts w:asciiTheme="minorHAnsi" w:hAnsiTheme="minorHAnsi" w:cstheme="minorHAnsi"/>
          <w:sz w:val="18"/>
          <w:szCs w:val="18"/>
        </w:rPr>
        <w:t xml:space="preserve">the Group has added through its capital investment programme, the intangible assets the Group has added through acquisition, as well as the working capital requirements of the business. Invested Capital is calculated as net assets (total assets </w:t>
      </w:r>
      <w:proofErr w:type="gramStart"/>
      <w:r w:rsidRPr="002A7FD2">
        <w:rPr>
          <w:rFonts w:asciiTheme="minorHAnsi" w:hAnsiTheme="minorHAnsi" w:cstheme="minorHAnsi"/>
          <w:sz w:val="18"/>
          <w:szCs w:val="18"/>
        </w:rPr>
        <w:t>less</w:t>
      </w:r>
      <w:proofErr w:type="gramEnd"/>
      <w:r w:rsidRPr="002A7FD2">
        <w:rPr>
          <w:rFonts w:asciiTheme="minorHAnsi" w:hAnsiTheme="minorHAnsi" w:cstheme="minorHAnsi"/>
          <w:sz w:val="18"/>
          <w:szCs w:val="18"/>
        </w:rPr>
        <w:t xml:space="preserve"> total liabilities) excluding Net Debt</w:t>
      </w:r>
      <w:r>
        <w:rPr>
          <w:rFonts w:asciiTheme="minorHAnsi" w:hAnsiTheme="minorHAnsi" w:cstheme="minorHAnsi"/>
          <w:sz w:val="18"/>
          <w:szCs w:val="18"/>
        </w:rPr>
        <w:t xml:space="preserve">, </w:t>
      </w:r>
      <w:r w:rsidRPr="002A7FD2">
        <w:rPr>
          <w:rFonts w:asciiTheme="minorHAnsi" w:hAnsiTheme="minorHAnsi" w:cstheme="minorHAnsi"/>
          <w:sz w:val="18"/>
          <w:szCs w:val="18"/>
        </w:rPr>
        <w:t>the carrying value of derivatives not designated as fair value hedges</w:t>
      </w:r>
      <w:r>
        <w:rPr>
          <w:rFonts w:asciiTheme="minorHAnsi" w:hAnsiTheme="minorHAnsi" w:cstheme="minorHAnsi"/>
          <w:sz w:val="18"/>
          <w:szCs w:val="18"/>
        </w:rPr>
        <w:t xml:space="preserve"> and</w:t>
      </w:r>
      <w:r w:rsidRPr="002A7FD2">
        <w:rPr>
          <w:rFonts w:asciiTheme="minorHAnsi" w:hAnsiTheme="minorHAnsi" w:cstheme="minorHAnsi"/>
          <w:sz w:val="18"/>
          <w:szCs w:val="18"/>
        </w:rPr>
        <w:t xml:space="preserve"> retirement benefit obligations (net of deferred tax assets). Average Invested Capital is calculated by adding together the invested capital from the opening and closing </w:t>
      </w:r>
      <w:r>
        <w:rPr>
          <w:rFonts w:asciiTheme="minorHAnsi" w:hAnsiTheme="minorHAnsi" w:cstheme="minorHAnsi"/>
          <w:sz w:val="18"/>
          <w:szCs w:val="18"/>
        </w:rPr>
        <w:t>Statement of Financial Position</w:t>
      </w:r>
      <w:r w:rsidRPr="002A7FD2">
        <w:rPr>
          <w:rFonts w:asciiTheme="minorHAnsi" w:hAnsiTheme="minorHAnsi" w:cstheme="minorHAnsi"/>
          <w:sz w:val="18"/>
          <w:szCs w:val="18"/>
        </w:rPr>
        <w:t xml:space="preserve"> and dividing by two.</w:t>
      </w:r>
    </w:p>
    <w:p w14:paraId="5F2242C9" w14:textId="77777777" w:rsidR="007109E7" w:rsidRPr="002A7FD2" w:rsidRDefault="007109E7" w:rsidP="007109E7">
      <w:pPr>
        <w:widowControl/>
        <w:adjustRightInd w:val="0"/>
        <w:jc w:val="both"/>
        <w:rPr>
          <w:rFonts w:asciiTheme="minorHAnsi" w:hAnsiTheme="minorHAnsi" w:cstheme="minorHAnsi"/>
          <w:sz w:val="18"/>
          <w:szCs w:val="18"/>
        </w:rPr>
      </w:pPr>
    </w:p>
    <w:p w14:paraId="4068F82E"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ROIC as Net Adjusted Operating Profit After Tax (‘NOPAT’) divided by average </w:t>
      </w:r>
      <w:r>
        <w:rPr>
          <w:rFonts w:asciiTheme="minorHAnsi" w:hAnsiTheme="minorHAnsi" w:cstheme="minorHAnsi"/>
          <w:sz w:val="18"/>
          <w:szCs w:val="18"/>
        </w:rPr>
        <w:t>I</w:t>
      </w:r>
      <w:r w:rsidRPr="002A7FD2">
        <w:rPr>
          <w:rFonts w:asciiTheme="minorHAnsi" w:hAnsiTheme="minorHAnsi" w:cstheme="minorHAnsi"/>
          <w:sz w:val="18"/>
          <w:szCs w:val="18"/>
        </w:rPr>
        <w:t xml:space="preserve">nvested </w:t>
      </w:r>
      <w:r>
        <w:rPr>
          <w:rFonts w:asciiTheme="minorHAnsi" w:hAnsiTheme="minorHAnsi" w:cstheme="minorHAnsi"/>
          <w:sz w:val="18"/>
          <w:szCs w:val="18"/>
        </w:rPr>
        <w:t>C</w:t>
      </w:r>
      <w:r w:rsidRPr="002A7FD2">
        <w:rPr>
          <w:rFonts w:asciiTheme="minorHAnsi" w:hAnsiTheme="minorHAnsi" w:cstheme="minorHAnsi"/>
          <w:sz w:val="18"/>
          <w:szCs w:val="18"/>
        </w:rPr>
        <w:t>apital for continuing operations. NOPAT is calculated as Adjusted Operating Profit plus share of profit of associates before tax, less tax at the effective rate in the Income Statement.</w:t>
      </w:r>
    </w:p>
    <w:p w14:paraId="7F8E6D90" w14:textId="77777777" w:rsidR="007109E7" w:rsidRDefault="007109E7" w:rsidP="007109E7">
      <w:pPr>
        <w:widowControl/>
        <w:adjustRightInd w:val="0"/>
        <w:jc w:val="both"/>
        <w:rPr>
          <w:rFonts w:asciiTheme="minorHAnsi" w:hAnsiTheme="minorHAnsi" w:cstheme="minorHAnsi"/>
          <w:sz w:val="18"/>
          <w:szCs w:val="18"/>
        </w:rPr>
      </w:pPr>
    </w:p>
    <w:p w14:paraId="160E3BC1" w14:textId="77777777" w:rsidR="007109E7" w:rsidRDefault="007109E7" w:rsidP="007109E7">
      <w:pPr>
        <w:widowControl/>
        <w:adjustRightInd w:val="0"/>
        <w:jc w:val="both"/>
      </w:pPr>
      <w:r w:rsidRPr="002A7FD2">
        <w:rPr>
          <w:rFonts w:asciiTheme="minorHAnsi" w:hAnsiTheme="minorHAnsi" w:cstheme="minorHAnsi"/>
          <w:sz w:val="18"/>
          <w:szCs w:val="18"/>
        </w:rPr>
        <w:t>The following table sets forth the calculation of Net Operating Profit After Tax (‘NOPAT’) and invested capital used in the calculation of ROIC for the financial years.</w:t>
      </w:r>
    </w:p>
    <w:tbl>
      <w:tblPr>
        <w:tblW w:w="10205" w:type="dxa"/>
        <w:tblLayout w:type="fixed"/>
        <w:tblLook w:val="01E0" w:firstRow="1" w:lastRow="1" w:firstColumn="1" w:lastColumn="1" w:noHBand="0" w:noVBand="0"/>
      </w:tblPr>
      <w:tblGrid>
        <w:gridCol w:w="7937"/>
        <w:gridCol w:w="1134"/>
        <w:gridCol w:w="1134"/>
      </w:tblGrid>
      <w:tr w:rsidR="007109E7" w14:paraId="6827962F" w14:textId="77777777" w:rsidTr="008559E5">
        <w:trPr>
          <w:trHeight w:val="227"/>
        </w:trPr>
        <w:tc>
          <w:tcPr>
            <w:tcW w:w="7937" w:type="dxa"/>
            <w:tcBorders>
              <w:bottom w:val="single" w:sz="4" w:space="0" w:color="000000"/>
            </w:tcBorders>
            <w:vAlign w:val="bottom"/>
          </w:tcPr>
          <w:p w14:paraId="3B171A21" w14:textId="77777777" w:rsidR="007109E7" w:rsidRPr="00792292" w:rsidRDefault="007109E7" w:rsidP="008559E5">
            <w:pPr>
              <w:pStyle w:val="TableRowHead"/>
            </w:pPr>
          </w:p>
        </w:tc>
        <w:tc>
          <w:tcPr>
            <w:tcW w:w="1134" w:type="dxa"/>
            <w:tcBorders>
              <w:bottom w:val="single" w:sz="4" w:space="0" w:color="000000"/>
            </w:tcBorders>
            <w:vAlign w:val="bottom"/>
          </w:tcPr>
          <w:p w14:paraId="0052349E" w14:textId="77777777" w:rsidR="007109E7" w:rsidRPr="00792292" w:rsidRDefault="007109E7" w:rsidP="008559E5">
            <w:pPr>
              <w:pStyle w:val="Subtitle"/>
            </w:pPr>
            <w:r>
              <w:t>2020</w:t>
            </w:r>
            <w:r w:rsidRPr="00792292">
              <w:br/>
              <w:t>£m</w:t>
            </w:r>
          </w:p>
        </w:tc>
        <w:tc>
          <w:tcPr>
            <w:tcW w:w="1134" w:type="dxa"/>
            <w:tcBorders>
              <w:bottom w:val="single" w:sz="4" w:space="0" w:color="000000"/>
            </w:tcBorders>
            <w:vAlign w:val="bottom"/>
          </w:tcPr>
          <w:p w14:paraId="6CB92F98" w14:textId="77777777" w:rsidR="007109E7" w:rsidRPr="00E65542" w:rsidRDefault="007109E7" w:rsidP="008559E5">
            <w:pPr>
              <w:pStyle w:val="Subtitle"/>
              <w:rPr>
                <w:b w:val="0"/>
              </w:rPr>
            </w:pPr>
            <w:r w:rsidRPr="00E65542">
              <w:rPr>
                <w:b w:val="0"/>
              </w:rPr>
              <w:t xml:space="preserve">  </w:t>
            </w:r>
            <w:r>
              <w:rPr>
                <w:b w:val="0"/>
              </w:rPr>
              <w:t xml:space="preserve">                            2019</w:t>
            </w:r>
          </w:p>
          <w:p w14:paraId="1763BBC8" w14:textId="77777777" w:rsidR="007109E7" w:rsidRPr="00E65542" w:rsidRDefault="007109E7" w:rsidP="008559E5">
            <w:pPr>
              <w:pStyle w:val="Subtitle"/>
              <w:rPr>
                <w:b w:val="0"/>
              </w:rPr>
            </w:pPr>
            <w:r w:rsidRPr="00E65542">
              <w:rPr>
                <w:b w:val="0"/>
              </w:rPr>
              <w:t>£m</w:t>
            </w:r>
          </w:p>
        </w:tc>
      </w:tr>
      <w:tr w:rsidR="007109E7" w14:paraId="07DD1D1B" w14:textId="77777777" w:rsidTr="008559E5">
        <w:trPr>
          <w:trHeight w:val="227"/>
        </w:trPr>
        <w:tc>
          <w:tcPr>
            <w:tcW w:w="7937" w:type="dxa"/>
            <w:tcBorders>
              <w:top w:val="single" w:sz="4" w:space="0" w:color="000000"/>
            </w:tcBorders>
            <w:vAlign w:val="bottom"/>
          </w:tcPr>
          <w:p w14:paraId="51B9818F" w14:textId="77777777" w:rsidR="007109E7" w:rsidRPr="00F6562F" w:rsidRDefault="007109E7" w:rsidP="008559E5">
            <w:pPr>
              <w:pStyle w:val="TableRowHead"/>
              <w:rPr>
                <w:b/>
              </w:rPr>
            </w:pPr>
            <w:r w:rsidRPr="00F6562F">
              <w:rPr>
                <w:b/>
              </w:rPr>
              <w:t>Adjusted Operating Profit</w:t>
            </w:r>
          </w:p>
        </w:tc>
        <w:tc>
          <w:tcPr>
            <w:tcW w:w="1134" w:type="dxa"/>
            <w:tcBorders>
              <w:top w:val="single" w:sz="4" w:space="0" w:color="000000"/>
            </w:tcBorders>
            <w:vAlign w:val="bottom"/>
          </w:tcPr>
          <w:p w14:paraId="54AC27C9" w14:textId="77777777" w:rsidR="007109E7" w:rsidRPr="00792292" w:rsidRDefault="007109E7" w:rsidP="008559E5">
            <w:pPr>
              <w:pStyle w:val="Subtitle"/>
            </w:pPr>
            <w:r>
              <w:t>32.5</w:t>
            </w:r>
          </w:p>
        </w:tc>
        <w:tc>
          <w:tcPr>
            <w:tcW w:w="1134" w:type="dxa"/>
            <w:tcBorders>
              <w:top w:val="single" w:sz="4" w:space="0" w:color="000000"/>
            </w:tcBorders>
            <w:vAlign w:val="bottom"/>
          </w:tcPr>
          <w:p w14:paraId="6B7F25E1" w14:textId="77777777" w:rsidR="007109E7" w:rsidRPr="00471E3C" w:rsidRDefault="007109E7" w:rsidP="008559E5">
            <w:pPr>
              <w:pStyle w:val="Subtitle"/>
              <w:rPr>
                <w:b w:val="0"/>
              </w:rPr>
            </w:pPr>
            <w:r w:rsidRPr="00471E3C">
              <w:rPr>
                <w:b w:val="0"/>
              </w:rPr>
              <w:t>105.5</w:t>
            </w:r>
          </w:p>
        </w:tc>
      </w:tr>
      <w:tr w:rsidR="007109E7" w14:paraId="2203166E" w14:textId="77777777" w:rsidTr="008559E5">
        <w:trPr>
          <w:trHeight w:val="227"/>
        </w:trPr>
        <w:tc>
          <w:tcPr>
            <w:tcW w:w="7937" w:type="dxa"/>
            <w:vAlign w:val="bottom"/>
          </w:tcPr>
          <w:p w14:paraId="48B24BBB" w14:textId="77777777" w:rsidR="007109E7" w:rsidRPr="00792292" w:rsidRDefault="007109E7" w:rsidP="008559E5">
            <w:pPr>
              <w:pStyle w:val="TableRowHead"/>
            </w:pPr>
            <w:r w:rsidRPr="00792292">
              <w:t>Share of profit of associates before tax</w:t>
            </w:r>
          </w:p>
        </w:tc>
        <w:tc>
          <w:tcPr>
            <w:tcW w:w="1134" w:type="dxa"/>
            <w:vAlign w:val="bottom"/>
          </w:tcPr>
          <w:p w14:paraId="7B10243D" w14:textId="77777777" w:rsidR="007109E7" w:rsidRPr="00792292" w:rsidRDefault="007109E7" w:rsidP="008559E5">
            <w:pPr>
              <w:pStyle w:val="Subtitle"/>
            </w:pPr>
            <w:r>
              <w:t>0.8</w:t>
            </w:r>
          </w:p>
        </w:tc>
        <w:tc>
          <w:tcPr>
            <w:tcW w:w="1134" w:type="dxa"/>
            <w:vAlign w:val="bottom"/>
          </w:tcPr>
          <w:p w14:paraId="354B3A29" w14:textId="77777777" w:rsidR="007109E7" w:rsidRPr="00471E3C" w:rsidRDefault="007109E7" w:rsidP="008559E5">
            <w:pPr>
              <w:pStyle w:val="Subtitle"/>
              <w:rPr>
                <w:b w:val="0"/>
              </w:rPr>
            </w:pPr>
            <w:r w:rsidRPr="00471E3C">
              <w:rPr>
                <w:b w:val="0"/>
              </w:rPr>
              <w:t>1.1</w:t>
            </w:r>
          </w:p>
        </w:tc>
      </w:tr>
      <w:tr w:rsidR="007109E7" w14:paraId="2DD36C19" w14:textId="77777777" w:rsidTr="008559E5">
        <w:trPr>
          <w:trHeight w:val="227"/>
        </w:trPr>
        <w:tc>
          <w:tcPr>
            <w:tcW w:w="7937" w:type="dxa"/>
            <w:tcBorders>
              <w:bottom w:val="single" w:sz="4" w:space="0" w:color="000000"/>
            </w:tcBorders>
            <w:vAlign w:val="bottom"/>
          </w:tcPr>
          <w:p w14:paraId="6B804423" w14:textId="77777777" w:rsidR="007109E7" w:rsidRPr="00792292" w:rsidRDefault="007109E7" w:rsidP="008559E5">
            <w:pPr>
              <w:pStyle w:val="TableRowHead"/>
            </w:pPr>
            <w:r w:rsidRPr="00792292">
              <w:t>Taxat</w:t>
            </w:r>
            <w:r>
              <w:t xml:space="preserve">ion at the effective tax rate </w:t>
            </w:r>
            <w:r w:rsidRPr="004D0630">
              <w:rPr>
                <w:vertAlign w:val="superscript"/>
              </w:rPr>
              <w:t>(A)</w:t>
            </w:r>
          </w:p>
        </w:tc>
        <w:tc>
          <w:tcPr>
            <w:tcW w:w="1134" w:type="dxa"/>
            <w:tcBorders>
              <w:bottom w:val="single" w:sz="4" w:space="0" w:color="000000"/>
            </w:tcBorders>
            <w:vAlign w:val="bottom"/>
          </w:tcPr>
          <w:p w14:paraId="32C2EC2D" w14:textId="77777777" w:rsidR="007109E7" w:rsidRPr="00792292" w:rsidRDefault="007109E7" w:rsidP="008559E5">
            <w:pPr>
              <w:pStyle w:val="Subtitle"/>
            </w:pPr>
            <w:r>
              <w:t>(4.3)</w:t>
            </w:r>
          </w:p>
        </w:tc>
        <w:tc>
          <w:tcPr>
            <w:tcW w:w="1134" w:type="dxa"/>
            <w:tcBorders>
              <w:bottom w:val="single" w:sz="4" w:space="0" w:color="000000"/>
            </w:tcBorders>
            <w:vAlign w:val="bottom"/>
          </w:tcPr>
          <w:p w14:paraId="7AEB3EC1" w14:textId="77777777" w:rsidR="007109E7" w:rsidRPr="00471E3C" w:rsidRDefault="007109E7" w:rsidP="008559E5">
            <w:pPr>
              <w:pStyle w:val="Subtitle"/>
              <w:rPr>
                <w:b w:val="0"/>
              </w:rPr>
            </w:pPr>
            <w:r w:rsidRPr="00471E3C">
              <w:rPr>
                <w:b w:val="0"/>
              </w:rPr>
              <w:t>(16.0)</w:t>
            </w:r>
          </w:p>
        </w:tc>
      </w:tr>
      <w:tr w:rsidR="007109E7" w14:paraId="016D6634" w14:textId="77777777" w:rsidTr="008559E5">
        <w:trPr>
          <w:trHeight w:val="227"/>
        </w:trPr>
        <w:tc>
          <w:tcPr>
            <w:tcW w:w="7937" w:type="dxa"/>
            <w:tcBorders>
              <w:top w:val="single" w:sz="4" w:space="0" w:color="000000"/>
              <w:bottom w:val="single" w:sz="8" w:space="0" w:color="auto"/>
            </w:tcBorders>
            <w:vAlign w:val="bottom"/>
          </w:tcPr>
          <w:p w14:paraId="22E6C9D5" w14:textId="77777777" w:rsidR="007109E7" w:rsidRPr="00F6562F" w:rsidRDefault="007109E7" w:rsidP="008559E5">
            <w:pPr>
              <w:pStyle w:val="TableRowHead"/>
              <w:rPr>
                <w:b/>
              </w:rPr>
            </w:pPr>
            <w:r>
              <w:rPr>
                <w:b/>
              </w:rPr>
              <w:t xml:space="preserve">Group </w:t>
            </w:r>
            <w:r w:rsidRPr="00F6562F">
              <w:rPr>
                <w:b/>
              </w:rPr>
              <w:t>NOPAT</w:t>
            </w:r>
          </w:p>
        </w:tc>
        <w:tc>
          <w:tcPr>
            <w:tcW w:w="1134" w:type="dxa"/>
            <w:tcBorders>
              <w:top w:val="single" w:sz="4" w:space="0" w:color="000000"/>
              <w:bottom w:val="single" w:sz="8" w:space="0" w:color="auto"/>
            </w:tcBorders>
            <w:vAlign w:val="bottom"/>
          </w:tcPr>
          <w:p w14:paraId="0AD9C68D" w14:textId="77777777" w:rsidR="007109E7" w:rsidRPr="00792292" w:rsidRDefault="007109E7" w:rsidP="008559E5">
            <w:pPr>
              <w:pStyle w:val="Subtitle"/>
            </w:pPr>
            <w:r>
              <w:t>29.0</w:t>
            </w:r>
          </w:p>
        </w:tc>
        <w:tc>
          <w:tcPr>
            <w:tcW w:w="1134" w:type="dxa"/>
            <w:tcBorders>
              <w:top w:val="single" w:sz="4" w:space="0" w:color="000000"/>
              <w:bottom w:val="single" w:sz="8" w:space="0" w:color="auto"/>
            </w:tcBorders>
            <w:vAlign w:val="bottom"/>
          </w:tcPr>
          <w:p w14:paraId="5FA2BE5A" w14:textId="77777777" w:rsidR="007109E7" w:rsidRPr="00471E3C" w:rsidRDefault="007109E7" w:rsidP="008559E5">
            <w:pPr>
              <w:pStyle w:val="Subtitle"/>
              <w:rPr>
                <w:b w:val="0"/>
              </w:rPr>
            </w:pPr>
            <w:r w:rsidRPr="00471E3C">
              <w:rPr>
                <w:b w:val="0"/>
              </w:rPr>
              <w:t>90.6</w:t>
            </w:r>
          </w:p>
        </w:tc>
      </w:tr>
    </w:tbl>
    <w:p w14:paraId="5CF694C2" w14:textId="77777777" w:rsidR="007109E7" w:rsidRPr="00EE20AB" w:rsidRDefault="007109E7" w:rsidP="007109E7">
      <w:pPr>
        <w:pStyle w:val="BodyText"/>
      </w:pPr>
    </w:p>
    <w:tbl>
      <w:tblPr>
        <w:tblW w:w="10205" w:type="dxa"/>
        <w:tblLayout w:type="fixed"/>
        <w:tblLook w:val="01E0" w:firstRow="1" w:lastRow="1" w:firstColumn="1" w:lastColumn="1" w:noHBand="0" w:noVBand="0"/>
      </w:tblPr>
      <w:tblGrid>
        <w:gridCol w:w="7937"/>
        <w:gridCol w:w="1134"/>
        <w:gridCol w:w="1134"/>
      </w:tblGrid>
      <w:tr w:rsidR="007109E7" w14:paraId="447AF85B" w14:textId="77777777" w:rsidTr="008559E5">
        <w:trPr>
          <w:trHeight w:val="227"/>
        </w:trPr>
        <w:tc>
          <w:tcPr>
            <w:tcW w:w="7937" w:type="dxa"/>
            <w:tcBorders>
              <w:bottom w:val="single" w:sz="4" w:space="0" w:color="auto"/>
            </w:tcBorders>
            <w:vAlign w:val="bottom"/>
          </w:tcPr>
          <w:p w14:paraId="7AB5B555" w14:textId="77777777" w:rsidR="007109E7" w:rsidRPr="00E61ECB" w:rsidRDefault="007109E7" w:rsidP="008559E5">
            <w:pPr>
              <w:pStyle w:val="TableRowHead"/>
            </w:pPr>
          </w:p>
        </w:tc>
        <w:tc>
          <w:tcPr>
            <w:tcW w:w="1134" w:type="dxa"/>
            <w:tcBorders>
              <w:bottom w:val="single" w:sz="4" w:space="0" w:color="auto"/>
            </w:tcBorders>
            <w:vAlign w:val="bottom"/>
          </w:tcPr>
          <w:p w14:paraId="27FA87E6" w14:textId="77777777" w:rsidR="007109E7" w:rsidRPr="00E61ECB" w:rsidRDefault="007109E7" w:rsidP="008559E5">
            <w:pPr>
              <w:pStyle w:val="Subtitle"/>
            </w:pPr>
            <w:r>
              <w:t>2020</w:t>
            </w:r>
            <w:r w:rsidRPr="00E61ECB">
              <w:br/>
              <w:t>£m</w:t>
            </w:r>
          </w:p>
        </w:tc>
        <w:tc>
          <w:tcPr>
            <w:tcW w:w="1134" w:type="dxa"/>
            <w:tcBorders>
              <w:bottom w:val="single" w:sz="4" w:space="0" w:color="auto"/>
            </w:tcBorders>
            <w:vAlign w:val="bottom"/>
          </w:tcPr>
          <w:p w14:paraId="513C4C82" w14:textId="77777777" w:rsidR="007109E7" w:rsidRPr="00E61ECB" w:rsidRDefault="007109E7" w:rsidP="008559E5">
            <w:pPr>
              <w:pStyle w:val="Subtitle"/>
              <w:rPr>
                <w:b w:val="0"/>
              </w:rPr>
            </w:pPr>
            <w:r>
              <w:rPr>
                <w:b w:val="0"/>
              </w:rPr>
              <w:t>2019</w:t>
            </w:r>
            <w:r w:rsidRPr="00E61ECB">
              <w:rPr>
                <w:b w:val="0"/>
              </w:rPr>
              <w:t xml:space="preserve"> </w:t>
            </w:r>
          </w:p>
          <w:p w14:paraId="114FFBC9" w14:textId="77777777" w:rsidR="007109E7" w:rsidRPr="00E61ECB" w:rsidRDefault="007109E7" w:rsidP="008559E5">
            <w:pPr>
              <w:pStyle w:val="Subtitle"/>
              <w:rPr>
                <w:b w:val="0"/>
              </w:rPr>
            </w:pPr>
            <w:r w:rsidRPr="00E61ECB">
              <w:rPr>
                <w:b w:val="0"/>
              </w:rPr>
              <w:t>£m</w:t>
            </w:r>
          </w:p>
        </w:tc>
      </w:tr>
      <w:tr w:rsidR="007109E7" w14:paraId="3513FD84" w14:textId="77777777" w:rsidTr="008559E5">
        <w:trPr>
          <w:trHeight w:val="227"/>
        </w:trPr>
        <w:tc>
          <w:tcPr>
            <w:tcW w:w="7937" w:type="dxa"/>
            <w:tcBorders>
              <w:top w:val="single" w:sz="4" w:space="0" w:color="auto"/>
            </w:tcBorders>
            <w:vAlign w:val="bottom"/>
          </w:tcPr>
          <w:p w14:paraId="3C968696" w14:textId="77777777" w:rsidR="007109E7" w:rsidRPr="004D0630" w:rsidRDefault="007109E7" w:rsidP="008559E5">
            <w:pPr>
              <w:pStyle w:val="TableRowHead"/>
              <w:rPr>
                <w:b/>
              </w:rPr>
            </w:pPr>
            <w:r w:rsidRPr="004D0630">
              <w:rPr>
                <w:b/>
              </w:rPr>
              <w:t>Invested Capital</w:t>
            </w:r>
          </w:p>
        </w:tc>
        <w:tc>
          <w:tcPr>
            <w:tcW w:w="1134" w:type="dxa"/>
            <w:tcBorders>
              <w:top w:val="single" w:sz="4" w:space="0" w:color="auto"/>
            </w:tcBorders>
            <w:vAlign w:val="bottom"/>
          </w:tcPr>
          <w:p w14:paraId="75B605ED" w14:textId="77777777" w:rsidR="007109E7" w:rsidRPr="00E61ECB" w:rsidRDefault="007109E7" w:rsidP="008559E5">
            <w:pPr>
              <w:pStyle w:val="Subtitle"/>
            </w:pPr>
          </w:p>
        </w:tc>
        <w:tc>
          <w:tcPr>
            <w:tcW w:w="1134" w:type="dxa"/>
            <w:tcBorders>
              <w:top w:val="single" w:sz="4" w:space="0" w:color="auto"/>
            </w:tcBorders>
            <w:vAlign w:val="bottom"/>
          </w:tcPr>
          <w:p w14:paraId="630E4257" w14:textId="77777777" w:rsidR="007109E7" w:rsidRPr="00E61ECB" w:rsidRDefault="007109E7" w:rsidP="008559E5">
            <w:pPr>
              <w:pStyle w:val="Subtitle"/>
              <w:rPr>
                <w:b w:val="0"/>
              </w:rPr>
            </w:pPr>
          </w:p>
        </w:tc>
      </w:tr>
      <w:tr w:rsidR="007109E7" w14:paraId="1FCD08B3" w14:textId="77777777" w:rsidTr="008559E5">
        <w:trPr>
          <w:trHeight w:val="227"/>
        </w:trPr>
        <w:tc>
          <w:tcPr>
            <w:tcW w:w="7937" w:type="dxa"/>
            <w:vAlign w:val="bottom"/>
          </w:tcPr>
          <w:p w14:paraId="5AF178BC" w14:textId="77777777" w:rsidR="007109E7" w:rsidRPr="00E61ECB" w:rsidRDefault="007109E7" w:rsidP="008559E5">
            <w:pPr>
              <w:pStyle w:val="TableRowHead"/>
            </w:pPr>
            <w:r w:rsidRPr="00E61ECB">
              <w:t>Total assets</w:t>
            </w:r>
          </w:p>
        </w:tc>
        <w:tc>
          <w:tcPr>
            <w:tcW w:w="1134" w:type="dxa"/>
            <w:vAlign w:val="bottom"/>
          </w:tcPr>
          <w:p w14:paraId="7CB19E95" w14:textId="77777777" w:rsidR="007109E7" w:rsidRPr="00E61ECB" w:rsidRDefault="007109E7" w:rsidP="008559E5">
            <w:pPr>
              <w:pStyle w:val="Subtitle"/>
            </w:pPr>
            <w:r>
              <w:t>1,427.1</w:t>
            </w:r>
          </w:p>
        </w:tc>
        <w:tc>
          <w:tcPr>
            <w:tcW w:w="1134" w:type="dxa"/>
            <w:vAlign w:val="bottom"/>
          </w:tcPr>
          <w:p w14:paraId="451DB59C" w14:textId="77777777" w:rsidR="007109E7" w:rsidRPr="00471E3C" w:rsidRDefault="007109E7" w:rsidP="008559E5">
            <w:pPr>
              <w:pStyle w:val="Subtitle"/>
              <w:rPr>
                <w:b w:val="0"/>
              </w:rPr>
            </w:pPr>
            <w:r>
              <w:rPr>
                <w:b w:val="0"/>
              </w:rPr>
              <w:t>1,387.2</w:t>
            </w:r>
          </w:p>
        </w:tc>
      </w:tr>
      <w:tr w:rsidR="007109E7" w14:paraId="18536A98" w14:textId="77777777" w:rsidTr="008559E5">
        <w:trPr>
          <w:trHeight w:val="227"/>
        </w:trPr>
        <w:tc>
          <w:tcPr>
            <w:tcW w:w="7937" w:type="dxa"/>
            <w:vAlign w:val="bottom"/>
          </w:tcPr>
          <w:p w14:paraId="17D38B81" w14:textId="77777777" w:rsidR="007109E7" w:rsidRPr="00E61ECB" w:rsidRDefault="007109E7" w:rsidP="008559E5">
            <w:pPr>
              <w:pStyle w:val="TableRowHead"/>
            </w:pPr>
            <w:r w:rsidRPr="00E61ECB">
              <w:t>Total liabilities</w:t>
            </w:r>
          </w:p>
        </w:tc>
        <w:tc>
          <w:tcPr>
            <w:tcW w:w="1134" w:type="dxa"/>
            <w:vAlign w:val="bottom"/>
          </w:tcPr>
          <w:p w14:paraId="299B8A7D" w14:textId="77777777" w:rsidR="007109E7" w:rsidRPr="00E61ECB" w:rsidRDefault="007109E7" w:rsidP="008559E5">
            <w:pPr>
              <w:pStyle w:val="Subtitle"/>
            </w:pPr>
            <w:r>
              <w:t>(1,144.9)</w:t>
            </w:r>
          </w:p>
        </w:tc>
        <w:tc>
          <w:tcPr>
            <w:tcW w:w="1134" w:type="dxa"/>
            <w:vAlign w:val="bottom"/>
          </w:tcPr>
          <w:p w14:paraId="4F1CA0D8" w14:textId="77777777" w:rsidR="007109E7" w:rsidRPr="00471E3C" w:rsidRDefault="007109E7" w:rsidP="008559E5">
            <w:pPr>
              <w:pStyle w:val="Subtitle"/>
              <w:rPr>
                <w:b w:val="0"/>
              </w:rPr>
            </w:pPr>
            <w:r w:rsidRPr="00471E3C">
              <w:rPr>
                <w:b w:val="0"/>
              </w:rPr>
              <w:t>(</w:t>
            </w:r>
            <w:r>
              <w:rPr>
                <w:b w:val="0"/>
              </w:rPr>
              <w:t>1,081.1</w:t>
            </w:r>
            <w:r w:rsidRPr="00471E3C">
              <w:rPr>
                <w:b w:val="0"/>
              </w:rPr>
              <w:t>)</w:t>
            </w:r>
          </w:p>
        </w:tc>
      </w:tr>
      <w:tr w:rsidR="007109E7" w14:paraId="6F94763A" w14:textId="77777777" w:rsidTr="008559E5">
        <w:trPr>
          <w:trHeight w:val="227"/>
        </w:trPr>
        <w:tc>
          <w:tcPr>
            <w:tcW w:w="7937" w:type="dxa"/>
            <w:vAlign w:val="bottom"/>
          </w:tcPr>
          <w:p w14:paraId="532D00D1" w14:textId="77777777" w:rsidR="007109E7" w:rsidRPr="00E61ECB" w:rsidRDefault="007109E7" w:rsidP="008559E5">
            <w:pPr>
              <w:pStyle w:val="TableRowHead"/>
            </w:pPr>
            <w:r w:rsidRPr="00E61ECB">
              <w:t>Net Debt</w:t>
            </w:r>
            <w:r>
              <w:t xml:space="preserve"> </w:t>
            </w:r>
          </w:p>
        </w:tc>
        <w:tc>
          <w:tcPr>
            <w:tcW w:w="1134" w:type="dxa"/>
            <w:vAlign w:val="bottom"/>
          </w:tcPr>
          <w:p w14:paraId="0085233A" w14:textId="77777777" w:rsidR="007109E7" w:rsidRPr="00E61ECB" w:rsidRDefault="007109E7" w:rsidP="008559E5">
            <w:pPr>
              <w:pStyle w:val="Subtitle"/>
            </w:pPr>
            <w:r>
              <w:t>411.2</w:t>
            </w:r>
          </w:p>
        </w:tc>
        <w:tc>
          <w:tcPr>
            <w:tcW w:w="1134" w:type="dxa"/>
            <w:vAlign w:val="bottom"/>
          </w:tcPr>
          <w:p w14:paraId="0EA51E9F" w14:textId="77777777" w:rsidR="007109E7" w:rsidRPr="00471E3C" w:rsidRDefault="007109E7" w:rsidP="008559E5">
            <w:pPr>
              <w:pStyle w:val="Subtitle"/>
              <w:rPr>
                <w:b w:val="0"/>
              </w:rPr>
            </w:pPr>
            <w:r w:rsidRPr="00471E3C">
              <w:rPr>
                <w:b w:val="0"/>
              </w:rPr>
              <w:t>288.5</w:t>
            </w:r>
          </w:p>
        </w:tc>
      </w:tr>
      <w:tr w:rsidR="007109E7" w14:paraId="7B5F48D8" w14:textId="77777777" w:rsidTr="008559E5">
        <w:trPr>
          <w:trHeight w:val="227"/>
        </w:trPr>
        <w:tc>
          <w:tcPr>
            <w:tcW w:w="7937" w:type="dxa"/>
            <w:vAlign w:val="bottom"/>
          </w:tcPr>
          <w:p w14:paraId="2D888AD1" w14:textId="77777777" w:rsidR="007109E7" w:rsidRPr="00E61ECB" w:rsidRDefault="007109E7" w:rsidP="008559E5">
            <w:pPr>
              <w:pStyle w:val="TableRowHead"/>
            </w:pPr>
            <w:r>
              <w:t>Lease liability transferred to held for sale</w:t>
            </w:r>
          </w:p>
        </w:tc>
        <w:tc>
          <w:tcPr>
            <w:tcW w:w="1134" w:type="dxa"/>
            <w:vAlign w:val="bottom"/>
          </w:tcPr>
          <w:p w14:paraId="6A4239D5" w14:textId="77777777" w:rsidR="007109E7" w:rsidRDefault="007109E7" w:rsidP="008559E5">
            <w:pPr>
              <w:pStyle w:val="Subtitle"/>
            </w:pPr>
            <w:r>
              <w:t>0.7</w:t>
            </w:r>
          </w:p>
        </w:tc>
        <w:tc>
          <w:tcPr>
            <w:tcW w:w="1134" w:type="dxa"/>
            <w:vAlign w:val="bottom"/>
          </w:tcPr>
          <w:p w14:paraId="09B18C47" w14:textId="77777777" w:rsidR="007109E7" w:rsidRPr="00C94771" w:rsidRDefault="007109E7" w:rsidP="008559E5">
            <w:pPr>
              <w:pStyle w:val="Subtitle"/>
              <w:rPr>
                <w:b w:val="0"/>
              </w:rPr>
            </w:pPr>
            <w:r w:rsidRPr="005771B0">
              <w:rPr>
                <w:b w:val="0"/>
                <w:bCs/>
              </w:rPr>
              <w:t>–</w:t>
            </w:r>
          </w:p>
        </w:tc>
      </w:tr>
      <w:tr w:rsidR="007109E7" w14:paraId="7B4D0B14" w14:textId="77777777" w:rsidTr="008559E5">
        <w:trPr>
          <w:trHeight w:val="227"/>
        </w:trPr>
        <w:tc>
          <w:tcPr>
            <w:tcW w:w="7937" w:type="dxa"/>
            <w:vAlign w:val="bottom"/>
          </w:tcPr>
          <w:p w14:paraId="117A8A7F" w14:textId="77777777" w:rsidR="007109E7" w:rsidRPr="00E61ECB" w:rsidRDefault="007109E7" w:rsidP="008559E5">
            <w:pPr>
              <w:pStyle w:val="TableRowHead"/>
            </w:pPr>
            <w:r w:rsidRPr="00E61ECB">
              <w:t>Derivatives not designated as fair value hedges</w:t>
            </w:r>
          </w:p>
        </w:tc>
        <w:tc>
          <w:tcPr>
            <w:tcW w:w="1134" w:type="dxa"/>
            <w:vAlign w:val="bottom"/>
          </w:tcPr>
          <w:p w14:paraId="251FDFB6" w14:textId="77777777" w:rsidR="007109E7" w:rsidRPr="00E61ECB" w:rsidRDefault="007109E7" w:rsidP="008559E5">
            <w:pPr>
              <w:pStyle w:val="Subtitle"/>
            </w:pPr>
            <w:r>
              <w:t>(1.1)</w:t>
            </w:r>
          </w:p>
        </w:tc>
        <w:tc>
          <w:tcPr>
            <w:tcW w:w="1134" w:type="dxa"/>
            <w:vAlign w:val="bottom"/>
          </w:tcPr>
          <w:p w14:paraId="52D61E16" w14:textId="77777777" w:rsidR="007109E7" w:rsidRPr="00471E3C" w:rsidRDefault="007109E7" w:rsidP="008559E5">
            <w:pPr>
              <w:pStyle w:val="Subtitle"/>
              <w:rPr>
                <w:b w:val="0"/>
              </w:rPr>
            </w:pPr>
            <w:r w:rsidRPr="00471E3C">
              <w:rPr>
                <w:b w:val="0"/>
              </w:rPr>
              <w:t>(1.9)</w:t>
            </w:r>
          </w:p>
        </w:tc>
      </w:tr>
      <w:tr w:rsidR="007109E7" w14:paraId="64D540E7" w14:textId="77777777" w:rsidTr="008559E5">
        <w:trPr>
          <w:trHeight w:val="227"/>
        </w:trPr>
        <w:tc>
          <w:tcPr>
            <w:tcW w:w="7937" w:type="dxa"/>
            <w:vAlign w:val="bottom"/>
          </w:tcPr>
          <w:p w14:paraId="55AEFD58" w14:textId="77777777" w:rsidR="007109E7" w:rsidRPr="00E61ECB" w:rsidRDefault="007109E7" w:rsidP="008559E5">
            <w:pPr>
              <w:pStyle w:val="TableRowHead"/>
            </w:pPr>
            <w:r w:rsidRPr="00E61ECB">
              <w:t>Retirement benefit obligation (net of deferred tax asset)</w:t>
            </w:r>
          </w:p>
        </w:tc>
        <w:tc>
          <w:tcPr>
            <w:tcW w:w="1134" w:type="dxa"/>
            <w:vAlign w:val="bottom"/>
          </w:tcPr>
          <w:p w14:paraId="3539F535" w14:textId="77777777" w:rsidR="007109E7" w:rsidRPr="00E61ECB" w:rsidRDefault="007109E7" w:rsidP="008559E5">
            <w:pPr>
              <w:pStyle w:val="Subtitle"/>
            </w:pPr>
            <w:r>
              <w:t>63.8</w:t>
            </w:r>
          </w:p>
        </w:tc>
        <w:tc>
          <w:tcPr>
            <w:tcW w:w="1134" w:type="dxa"/>
            <w:vAlign w:val="bottom"/>
          </w:tcPr>
          <w:p w14:paraId="0B80BCBC" w14:textId="77777777" w:rsidR="007109E7" w:rsidRPr="00471E3C" w:rsidRDefault="007109E7" w:rsidP="008559E5">
            <w:pPr>
              <w:pStyle w:val="Subtitle"/>
              <w:rPr>
                <w:b w:val="0"/>
              </w:rPr>
            </w:pPr>
            <w:r w:rsidRPr="00471E3C">
              <w:rPr>
                <w:b w:val="0"/>
              </w:rPr>
              <w:t>74.8</w:t>
            </w:r>
          </w:p>
        </w:tc>
      </w:tr>
      <w:tr w:rsidR="007109E7" w14:paraId="6FE6F367" w14:textId="77777777" w:rsidTr="008559E5">
        <w:trPr>
          <w:trHeight w:val="227"/>
        </w:trPr>
        <w:tc>
          <w:tcPr>
            <w:tcW w:w="7937" w:type="dxa"/>
            <w:tcBorders>
              <w:top w:val="single" w:sz="4" w:space="0" w:color="auto"/>
              <w:bottom w:val="single" w:sz="8" w:space="0" w:color="auto"/>
            </w:tcBorders>
            <w:vAlign w:val="bottom"/>
          </w:tcPr>
          <w:p w14:paraId="6427B821" w14:textId="77777777" w:rsidR="007109E7" w:rsidRPr="004D0630" w:rsidRDefault="007109E7" w:rsidP="008559E5">
            <w:pPr>
              <w:pStyle w:val="TableRowHead"/>
              <w:rPr>
                <w:b/>
                <w:sz w:val="12"/>
              </w:rPr>
            </w:pPr>
            <w:r w:rsidRPr="004D0630">
              <w:rPr>
                <w:b/>
              </w:rPr>
              <w:t>Invested Capital</w:t>
            </w:r>
            <w:r>
              <w:rPr>
                <w:b/>
              </w:rPr>
              <w:t xml:space="preserve"> for the Group</w:t>
            </w:r>
            <w:r w:rsidRPr="002F04E0">
              <w:rPr>
                <w:b/>
                <w:vertAlign w:val="superscript"/>
              </w:rPr>
              <w:t>(</w:t>
            </w:r>
            <w:r>
              <w:rPr>
                <w:b/>
                <w:vertAlign w:val="superscript"/>
              </w:rPr>
              <w:t>B</w:t>
            </w:r>
            <w:r w:rsidRPr="002F04E0">
              <w:rPr>
                <w:b/>
                <w:vertAlign w:val="superscript"/>
              </w:rPr>
              <w:t>)</w:t>
            </w:r>
          </w:p>
        </w:tc>
        <w:tc>
          <w:tcPr>
            <w:tcW w:w="1134" w:type="dxa"/>
            <w:tcBorders>
              <w:top w:val="single" w:sz="4" w:space="0" w:color="auto"/>
              <w:bottom w:val="single" w:sz="8" w:space="0" w:color="auto"/>
            </w:tcBorders>
            <w:vAlign w:val="bottom"/>
          </w:tcPr>
          <w:p w14:paraId="62CFBE80" w14:textId="77777777" w:rsidR="007109E7" w:rsidRPr="00E61ECB" w:rsidRDefault="007109E7" w:rsidP="008559E5">
            <w:pPr>
              <w:pStyle w:val="Subtitle"/>
            </w:pPr>
            <w:r>
              <w:t>756.8</w:t>
            </w:r>
          </w:p>
        </w:tc>
        <w:tc>
          <w:tcPr>
            <w:tcW w:w="1134" w:type="dxa"/>
            <w:tcBorders>
              <w:top w:val="single" w:sz="4" w:space="0" w:color="auto"/>
              <w:bottom w:val="single" w:sz="8" w:space="0" w:color="auto"/>
            </w:tcBorders>
            <w:vAlign w:val="bottom"/>
          </w:tcPr>
          <w:p w14:paraId="56CC1FA5" w14:textId="77777777" w:rsidR="007109E7" w:rsidRPr="00471E3C" w:rsidRDefault="007109E7" w:rsidP="008559E5">
            <w:pPr>
              <w:pStyle w:val="Subtitle"/>
              <w:rPr>
                <w:b w:val="0"/>
              </w:rPr>
            </w:pPr>
            <w:r w:rsidRPr="00471E3C">
              <w:rPr>
                <w:b w:val="0"/>
              </w:rPr>
              <w:t>667.2</w:t>
            </w:r>
          </w:p>
        </w:tc>
      </w:tr>
      <w:tr w:rsidR="007109E7" w14:paraId="3D357EF0" w14:textId="77777777" w:rsidTr="008559E5">
        <w:trPr>
          <w:trHeight w:val="227"/>
        </w:trPr>
        <w:tc>
          <w:tcPr>
            <w:tcW w:w="7937" w:type="dxa"/>
            <w:tcBorders>
              <w:top w:val="single" w:sz="8" w:space="0" w:color="auto"/>
              <w:bottom w:val="single" w:sz="8" w:space="0" w:color="auto"/>
            </w:tcBorders>
            <w:vAlign w:val="bottom"/>
          </w:tcPr>
          <w:p w14:paraId="0A1496EE" w14:textId="77777777" w:rsidR="007109E7" w:rsidRPr="004D0630" w:rsidRDefault="007109E7" w:rsidP="008559E5">
            <w:pPr>
              <w:pStyle w:val="TableRowHead"/>
              <w:rPr>
                <w:b/>
              </w:rPr>
            </w:pPr>
          </w:p>
        </w:tc>
        <w:tc>
          <w:tcPr>
            <w:tcW w:w="1134" w:type="dxa"/>
            <w:tcBorders>
              <w:top w:val="single" w:sz="8" w:space="0" w:color="auto"/>
              <w:bottom w:val="single" w:sz="8" w:space="0" w:color="auto"/>
            </w:tcBorders>
            <w:vAlign w:val="bottom"/>
          </w:tcPr>
          <w:p w14:paraId="52EEDA23" w14:textId="77777777" w:rsidR="007109E7" w:rsidRPr="00E61ECB" w:rsidRDefault="007109E7" w:rsidP="008559E5">
            <w:pPr>
              <w:pStyle w:val="Subtitle"/>
            </w:pPr>
          </w:p>
        </w:tc>
        <w:tc>
          <w:tcPr>
            <w:tcW w:w="1134" w:type="dxa"/>
            <w:tcBorders>
              <w:top w:val="single" w:sz="8" w:space="0" w:color="auto"/>
              <w:bottom w:val="single" w:sz="8" w:space="0" w:color="auto"/>
            </w:tcBorders>
            <w:vAlign w:val="bottom"/>
          </w:tcPr>
          <w:p w14:paraId="30335AF7" w14:textId="77777777" w:rsidR="007109E7" w:rsidRPr="00471E3C" w:rsidRDefault="007109E7" w:rsidP="008559E5">
            <w:pPr>
              <w:pStyle w:val="Subtitle"/>
              <w:rPr>
                <w:b w:val="0"/>
              </w:rPr>
            </w:pPr>
          </w:p>
        </w:tc>
      </w:tr>
      <w:tr w:rsidR="007109E7" w14:paraId="51977EFA" w14:textId="77777777" w:rsidTr="008559E5">
        <w:trPr>
          <w:trHeight w:val="227"/>
        </w:trPr>
        <w:tc>
          <w:tcPr>
            <w:tcW w:w="7937" w:type="dxa"/>
            <w:tcBorders>
              <w:top w:val="single" w:sz="8" w:space="0" w:color="auto"/>
              <w:bottom w:val="single" w:sz="8" w:space="0" w:color="auto"/>
            </w:tcBorders>
            <w:vAlign w:val="bottom"/>
          </w:tcPr>
          <w:p w14:paraId="4853826C" w14:textId="77777777" w:rsidR="007109E7" w:rsidRPr="004D0630" w:rsidRDefault="007109E7" w:rsidP="008559E5">
            <w:pPr>
              <w:pStyle w:val="TableRowHead"/>
              <w:rPr>
                <w:b/>
              </w:rPr>
            </w:pPr>
            <w:r w:rsidRPr="004D0630">
              <w:rPr>
                <w:b/>
              </w:rPr>
              <w:t>Average Invested Capital for ROIC calculation</w:t>
            </w:r>
            <w:r>
              <w:rPr>
                <w:b/>
              </w:rPr>
              <w:t xml:space="preserve"> for the Group</w:t>
            </w:r>
          </w:p>
        </w:tc>
        <w:tc>
          <w:tcPr>
            <w:tcW w:w="1134" w:type="dxa"/>
            <w:tcBorders>
              <w:top w:val="single" w:sz="8" w:space="0" w:color="auto"/>
              <w:bottom w:val="single" w:sz="8" w:space="0" w:color="auto"/>
            </w:tcBorders>
            <w:vAlign w:val="bottom"/>
          </w:tcPr>
          <w:p w14:paraId="46BF3CC8" w14:textId="77777777" w:rsidR="007109E7" w:rsidRPr="00E61ECB" w:rsidRDefault="007109E7" w:rsidP="008559E5">
            <w:pPr>
              <w:pStyle w:val="Subtitle"/>
            </w:pPr>
            <w:r>
              <w:t>712.0</w:t>
            </w:r>
          </w:p>
        </w:tc>
        <w:tc>
          <w:tcPr>
            <w:tcW w:w="1134" w:type="dxa"/>
            <w:tcBorders>
              <w:top w:val="single" w:sz="8" w:space="0" w:color="auto"/>
              <w:bottom w:val="single" w:sz="8" w:space="0" w:color="auto"/>
            </w:tcBorders>
            <w:vAlign w:val="bottom"/>
          </w:tcPr>
          <w:p w14:paraId="318B8C70" w14:textId="77777777" w:rsidR="007109E7" w:rsidRPr="00471E3C" w:rsidRDefault="007109E7" w:rsidP="008559E5">
            <w:pPr>
              <w:pStyle w:val="Subtitle"/>
              <w:rPr>
                <w:b w:val="0"/>
              </w:rPr>
            </w:pPr>
            <w:r w:rsidRPr="00471E3C">
              <w:rPr>
                <w:b w:val="0"/>
              </w:rPr>
              <w:t>628.3</w:t>
            </w:r>
          </w:p>
        </w:tc>
      </w:tr>
      <w:tr w:rsidR="007109E7" w14:paraId="150FF821" w14:textId="77777777" w:rsidTr="008559E5">
        <w:trPr>
          <w:trHeight w:val="227"/>
        </w:trPr>
        <w:tc>
          <w:tcPr>
            <w:tcW w:w="7937" w:type="dxa"/>
            <w:tcBorders>
              <w:top w:val="single" w:sz="8" w:space="0" w:color="auto"/>
              <w:bottom w:val="single" w:sz="8" w:space="0" w:color="auto"/>
            </w:tcBorders>
            <w:vAlign w:val="bottom"/>
          </w:tcPr>
          <w:p w14:paraId="3BEF11F0" w14:textId="77777777" w:rsidR="007109E7" w:rsidRPr="004D0630" w:rsidRDefault="007109E7" w:rsidP="008559E5">
            <w:pPr>
              <w:pStyle w:val="TableRowHead"/>
              <w:rPr>
                <w:b/>
              </w:rPr>
            </w:pPr>
          </w:p>
        </w:tc>
        <w:tc>
          <w:tcPr>
            <w:tcW w:w="1134" w:type="dxa"/>
            <w:tcBorders>
              <w:top w:val="single" w:sz="8" w:space="0" w:color="auto"/>
              <w:bottom w:val="single" w:sz="8" w:space="0" w:color="auto"/>
            </w:tcBorders>
            <w:vAlign w:val="bottom"/>
          </w:tcPr>
          <w:p w14:paraId="5D900B36" w14:textId="77777777" w:rsidR="007109E7" w:rsidRPr="00E61ECB" w:rsidRDefault="007109E7" w:rsidP="008559E5">
            <w:pPr>
              <w:pStyle w:val="Subtitle"/>
            </w:pPr>
          </w:p>
        </w:tc>
        <w:tc>
          <w:tcPr>
            <w:tcW w:w="1134" w:type="dxa"/>
            <w:tcBorders>
              <w:top w:val="single" w:sz="8" w:space="0" w:color="auto"/>
              <w:bottom w:val="single" w:sz="8" w:space="0" w:color="auto"/>
            </w:tcBorders>
            <w:vAlign w:val="bottom"/>
          </w:tcPr>
          <w:p w14:paraId="7A0B0D73" w14:textId="77777777" w:rsidR="007109E7" w:rsidRPr="00471E3C" w:rsidRDefault="007109E7" w:rsidP="008559E5">
            <w:pPr>
              <w:pStyle w:val="Subtitle"/>
              <w:rPr>
                <w:b w:val="0"/>
              </w:rPr>
            </w:pPr>
          </w:p>
        </w:tc>
      </w:tr>
      <w:tr w:rsidR="007109E7" w14:paraId="7C7BF263" w14:textId="77777777" w:rsidTr="008559E5">
        <w:trPr>
          <w:trHeight w:val="227"/>
        </w:trPr>
        <w:tc>
          <w:tcPr>
            <w:tcW w:w="7937" w:type="dxa"/>
            <w:tcBorders>
              <w:top w:val="single" w:sz="8" w:space="0" w:color="auto"/>
              <w:bottom w:val="single" w:sz="8" w:space="0" w:color="auto"/>
            </w:tcBorders>
            <w:vAlign w:val="bottom"/>
          </w:tcPr>
          <w:p w14:paraId="20AECD80" w14:textId="77777777" w:rsidR="007109E7" w:rsidRPr="004D0630" w:rsidRDefault="007109E7" w:rsidP="008559E5">
            <w:pPr>
              <w:pStyle w:val="TableRowHead"/>
              <w:rPr>
                <w:b/>
              </w:rPr>
            </w:pPr>
            <w:r w:rsidRPr="004D0630">
              <w:rPr>
                <w:b/>
              </w:rPr>
              <w:t>ROIC</w:t>
            </w:r>
            <w:r>
              <w:rPr>
                <w:b/>
              </w:rPr>
              <w:t xml:space="preserve"> </w:t>
            </w:r>
            <w:r w:rsidRPr="004D0630">
              <w:rPr>
                <w:b/>
              </w:rPr>
              <w:t>(%)</w:t>
            </w:r>
            <w:r>
              <w:rPr>
                <w:b/>
              </w:rPr>
              <w:t xml:space="preserve"> for the Group</w:t>
            </w:r>
            <w:r w:rsidRPr="004D0630">
              <w:rPr>
                <w:b/>
              </w:rPr>
              <w:t xml:space="preserve"> </w:t>
            </w:r>
          </w:p>
        </w:tc>
        <w:tc>
          <w:tcPr>
            <w:tcW w:w="1134" w:type="dxa"/>
            <w:tcBorders>
              <w:top w:val="single" w:sz="8" w:space="0" w:color="auto"/>
              <w:bottom w:val="single" w:sz="8" w:space="0" w:color="auto"/>
            </w:tcBorders>
            <w:vAlign w:val="bottom"/>
          </w:tcPr>
          <w:p w14:paraId="6D0E7439" w14:textId="77777777" w:rsidR="007109E7" w:rsidRPr="00E61ECB" w:rsidRDefault="007109E7" w:rsidP="008559E5">
            <w:pPr>
              <w:pStyle w:val="Subtitle"/>
            </w:pPr>
            <w:r>
              <w:t>4.1%</w:t>
            </w:r>
          </w:p>
        </w:tc>
        <w:tc>
          <w:tcPr>
            <w:tcW w:w="1134" w:type="dxa"/>
            <w:tcBorders>
              <w:top w:val="single" w:sz="8" w:space="0" w:color="auto"/>
              <w:bottom w:val="single" w:sz="8" w:space="0" w:color="auto"/>
            </w:tcBorders>
            <w:vAlign w:val="bottom"/>
          </w:tcPr>
          <w:p w14:paraId="5E8DAEE8" w14:textId="77777777" w:rsidR="007109E7" w:rsidRPr="00471E3C" w:rsidRDefault="007109E7" w:rsidP="008559E5">
            <w:pPr>
              <w:pStyle w:val="Subtitle"/>
              <w:rPr>
                <w:b w:val="0"/>
              </w:rPr>
            </w:pPr>
            <w:r w:rsidRPr="00471E3C">
              <w:rPr>
                <w:b w:val="0"/>
              </w:rPr>
              <w:t>14.4</w:t>
            </w:r>
            <w:r>
              <w:rPr>
                <w:b w:val="0"/>
              </w:rPr>
              <w:t>%</w:t>
            </w:r>
          </w:p>
        </w:tc>
      </w:tr>
    </w:tbl>
    <w:p w14:paraId="3A0EC6B0" w14:textId="77777777" w:rsidR="007109E7" w:rsidRDefault="007109E7" w:rsidP="007109E7">
      <w:pPr>
        <w:pStyle w:val="ListParagraph"/>
        <w:numPr>
          <w:ilvl w:val="0"/>
          <w:numId w:val="8"/>
        </w:numPr>
        <w:rPr>
          <w:sz w:val="16"/>
          <w:szCs w:val="16"/>
        </w:rPr>
      </w:pPr>
      <w:r w:rsidRPr="00A8497B">
        <w:rPr>
          <w:sz w:val="16"/>
          <w:szCs w:val="16"/>
        </w:rPr>
        <w:t xml:space="preserve">The effective tax rates </w:t>
      </w:r>
      <w:r>
        <w:rPr>
          <w:sz w:val="16"/>
          <w:szCs w:val="16"/>
        </w:rPr>
        <w:t>for the Group for the financial year ended 25 September 2020 and 27 September 2019 were 13% and 15</w:t>
      </w:r>
      <w:r w:rsidRPr="00A8497B">
        <w:rPr>
          <w:sz w:val="16"/>
          <w:szCs w:val="16"/>
        </w:rPr>
        <w:t>%</w:t>
      </w:r>
      <w:r>
        <w:rPr>
          <w:sz w:val="16"/>
          <w:szCs w:val="16"/>
        </w:rPr>
        <w:t xml:space="preserve"> </w:t>
      </w:r>
      <w:r w:rsidRPr="00A8497B">
        <w:rPr>
          <w:sz w:val="16"/>
          <w:szCs w:val="16"/>
        </w:rPr>
        <w:t>respectively</w:t>
      </w:r>
      <w:r>
        <w:rPr>
          <w:sz w:val="16"/>
          <w:szCs w:val="16"/>
        </w:rPr>
        <w:t>.</w:t>
      </w:r>
    </w:p>
    <w:p w14:paraId="63E91831" w14:textId="77777777" w:rsidR="007109E7" w:rsidRPr="00CE79EE" w:rsidRDefault="007109E7" w:rsidP="007109E7">
      <w:pPr>
        <w:pStyle w:val="ListParagraph"/>
        <w:widowControl/>
        <w:numPr>
          <w:ilvl w:val="0"/>
          <w:numId w:val="8"/>
        </w:numPr>
        <w:autoSpaceDE/>
        <w:autoSpaceDN/>
        <w:spacing w:before="160"/>
        <w:contextualSpacing/>
        <w:rPr>
          <w:sz w:val="16"/>
          <w:szCs w:val="16"/>
        </w:rPr>
      </w:pPr>
      <w:r w:rsidRPr="005771B0">
        <w:rPr>
          <w:sz w:val="16"/>
          <w:szCs w:val="16"/>
        </w:rPr>
        <w:t>The invested capital for the Group in 2018 was £589.3m which excludes £741.7m of invested capital in the disposal group held for sale</w:t>
      </w:r>
      <w:r>
        <w:rPr>
          <w:sz w:val="16"/>
          <w:szCs w:val="16"/>
        </w:rPr>
        <w:t>.</w:t>
      </w:r>
    </w:p>
    <w:p w14:paraId="0051E9DE" w14:textId="77777777" w:rsidR="007109E7" w:rsidRDefault="007109E7" w:rsidP="007109E7">
      <w:pPr>
        <w:rPr>
          <w:sz w:val="16"/>
          <w:szCs w:val="16"/>
        </w:rPr>
      </w:pPr>
    </w:p>
    <w:p w14:paraId="66DB8646" w14:textId="77777777" w:rsidR="003A5BD2" w:rsidRPr="00403EFB" w:rsidRDefault="003A5BD2" w:rsidP="005B36AA">
      <w:pPr>
        <w:widowControl/>
        <w:adjustRightInd w:val="0"/>
        <w:jc w:val="both"/>
        <w:rPr>
          <w:rFonts w:asciiTheme="minorHAnsi" w:hAnsiTheme="minorHAnsi" w:cstheme="minorHAnsi"/>
          <w:sz w:val="18"/>
          <w:szCs w:val="18"/>
        </w:rPr>
      </w:pPr>
    </w:p>
    <w:p w14:paraId="52E73B8E" w14:textId="6185A9DC" w:rsidR="005B36AA" w:rsidRPr="00CE79EE" w:rsidRDefault="005B36AA" w:rsidP="007109E7">
      <w:pPr>
        <w:widowControl/>
        <w:adjustRightInd w:val="0"/>
        <w:jc w:val="both"/>
        <w:rPr>
          <w:sz w:val="16"/>
          <w:szCs w:val="16"/>
        </w:rPr>
      </w:pPr>
    </w:p>
    <w:p w14:paraId="0BE48E7B" w14:textId="77777777" w:rsidR="005B36AA" w:rsidRDefault="005B36AA" w:rsidP="006B1CD2">
      <w:pPr>
        <w:rPr>
          <w:sz w:val="16"/>
          <w:szCs w:val="16"/>
        </w:rPr>
      </w:pPr>
    </w:p>
    <w:sectPr w:rsidR="005B36AA" w:rsidSect="005B36AA">
      <w:headerReference w:type="even" r:id="rId13"/>
      <w:headerReference w:type="default" r:id="rId14"/>
      <w:headerReference w:type="first" r:id="rId15"/>
      <w:pgSz w:w="11910" w:h="16840"/>
      <w:pgMar w:top="1400" w:right="700" w:bottom="280" w:left="880" w:header="76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78A83" w14:textId="77777777" w:rsidR="00C13769" w:rsidRDefault="00C13769">
      <w:r>
        <w:separator/>
      </w:r>
    </w:p>
  </w:endnote>
  <w:endnote w:type="continuationSeparator" w:id="0">
    <w:p w14:paraId="19A7A12F" w14:textId="77777777" w:rsidR="00C13769" w:rsidRDefault="00C1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43318" w14:textId="77777777" w:rsidR="00C13769" w:rsidRDefault="00C13769">
      <w:r>
        <w:separator/>
      </w:r>
    </w:p>
  </w:footnote>
  <w:footnote w:type="continuationSeparator" w:id="0">
    <w:p w14:paraId="6F060EBE" w14:textId="77777777" w:rsidR="00C13769" w:rsidRDefault="00C1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1D28" w14:textId="5272FBE8" w:rsidR="00C13769" w:rsidRDefault="00C13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BB10" w14:textId="77777777" w:rsidR="00C13769" w:rsidRPr="005B36AA" w:rsidRDefault="00C13769" w:rsidP="008042F1">
    <w:pPr>
      <w:spacing w:before="27"/>
      <w:ind w:left="20"/>
      <w:rPr>
        <w:b/>
        <w:color w:val="001F5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03218" w14:textId="4132BC6A" w:rsidR="00C13769" w:rsidRDefault="00C13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F8E8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800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7244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2631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ED4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86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2C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BCBC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A5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2803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B4754"/>
    <w:multiLevelType w:val="hybridMultilevel"/>
    <w:tmpl w:val="699A8F0A"/>
    <w:lvl w:ilvl="0" w:tplc="3E7A4B6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DB4388"/>
    <w:multiLevelType w:val="hybridMultilevel"/>
    <w:tmpl w:val="518019AE"/>
    <w:lvl w:ilvl="0" w:tplc="2CCE57EC">
      <w:start w:val="2"/>
      <w:numFmt w:val="decimal"/>
      <w:pStyle w:val="Heading2"/>
      <w:lvlText w:val="%1."/>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8CE6F16">
      <w:numFmt w:val="bullet"/>
      <w:lvlText w:val="•"/>
      <w:lvlJc w:val="left"/>
      <w:pPr>
        <w:ind w:left="-20" w:hanging="720"/>
      </w:pPr>
      <w:rPr>
        <w:rFonts w:hint="default"/>
        <w:lang w:val="en-GB" w:eastAsia="en-GB" w:bidi="en-GB"/>
      </w:rPr>
    </w:lvl>
    <w:lvl w:ilvl="2" w:tplc="1D64D89E">
      <w:numFmt w:val="bullet"/>
      <w:lvlText w:val="•"/>
      <w:lvlJc w:val="left"/>
      <w:pPr>
        <w:ind w:left="885" w:hanging="720"/>
      </w:pPr>
      <w:rPr>
        <w:rFonts w:hint="default"/>
        <w:lang w:val="en-GB" w:eastAsia="en-GB" w:bidi="en-GB"/>
      </w:rPr>
    </w:lvl>
    <w:lvl w:ilvl="3" w:tplc="A5F40DA0">
      <w:numFmt w:val="bullet"/>
      <w:lvlText w:val="•"/>
      <w:lvlJc w:val="left"/>
      <w:pPr>
        <w:ind w:left="1789" w:hanging="720"/>
      </w:pPr>
      <w:rPr>
        <w:rFonts w:hint="default"/>
        <w:lang w:val="en-GB" w:eastAsia="en-GB" w:bidi="en-GB"/>
      </w:rPr>
    </w:lvl>
    <w:lvl w:ilvl="4" w:tplc="EEACEF26">
      <w:numFmt w:val="bullet"/>
      <w:lvlText w:val="•"/>
      <w:lvlJc w:val="left"/>
      <w:pPr>
        <w:ind w:left="2694" w:hanging="720"/>
      </w:pPr>
      <w:rPr>
        <w:rFonts w:hint="default"/>
        <w:lang w:val="en-GB" w:eastAsia="en-GB" w:bidi="en-GB"/>
      </w:rPr>
    </w:lvl>
    <w:lvl w:ilvl="5" w:tplc="279CF384">
      <w:numFmt w:val="bullet"/>
      <w:lvlText w:val="•"/>
      <w:lvlJc w:val="left"/>
      <w:pPr>
        <w:ind w:left="3599" w:hanging="720"/>
      </w:pPr>
      <w:rPr>
        <w:rFonts w:hint="default"/>
        <w:lang w:val="en-GB" w:eastAsia="en-GB" w:bidi="en-GB"/>
      </w:rPr>
    </w:lvl>
    <w:lvl w:ilvl="6" w:tplc="A4968216">
      <w:numFmt w:val="bullet"/>
      <w:lvlText w:val="•"/>
      <w:lvlJc w:val="left"/>
      <w:pPr>
        <w:ind w:left="4503" w:hanging="720"/>
      </w:pPr>
      <w:rPr>
        <w:rFonts w:hint="default"/>
        <w:lang w:val="en-GB" w:eastAsia="en-GB" w:bidi="en-GB"/>
      </w:rPr>
    </w:lvl>
    <w:lvl w:ilvl="7" w:tplc="131210A0">
      <w:numFmt w:val="bullet"/>
      <w:lvlText w:val="•"/>
      <w:lvlJc w:val="left"/>
      <w:pPr>
        <w:ind w:left="5408" w:hanging="720"/>
      </w:pPr>
      <w:rPr>
        <w:rFonts w:hint="default"/>
        <w:lang w:val="en-GB" w:eastAsia="en-GB" w:bidi="en-GB"/>
      </w:rPr>
    </w:lvl>
    <w:lvl w:ilvl="8" w:tplc="3B4E8B80">
      <w:numFmt w:val="bullet"/>
      <w:lvlText w:val="•"/>
      <w:lvlJc w:val="left"/>
      <w:pPr>
        <w:ind w:left="6313" w:hanging="720"/>
      </w:pPr>
      <w:rPr>
        <w:rFonts w:hint="default"/>
        <w:lang w:val="en-GB" w:eastAsia="en-GB" w:bidi="en-GB"/>
      </w:rPr>
    </w:lvl>
  </w:abstractNum>
  <w:abstractNum w:abstractNumId="12" w15:restartNumberingAfterBreak="0">
    <w:nsid w:val="1097229B"/>
    <w:multiLevelType w:val="hybridMultilevel"/>
    <w:tmpl w:val="B0FE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EB076B"/>
    <w:multiLevelType w:val="hybridMultilevel"/>
    <w:tmpl w:val="4CA6E29A"/>
    <w:lvl w:ilvl="0" w:tplc="DE6EBD4C">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4" w15:restartNumberingAfterBreak="0">
    <w:nsid w:val="15687988"/>
    <w:multiLevelType w:val="hybridMultilevel"/>
    <w:tmpl w:val="A8B24460"/>
    <w:lvl w:ilvl="0" w:tplc="74D812B0">
      <w:start w:val="1"/>
      <w:numFmt w:val="upperLetter"/>
      <w:lvlText w:val="(%1)"/>
      <w:lvlJc w:val="left"/>
      <w:pPr>
        <w:ind w:left="727" w:hanging="690"/>
      </w:pPr>
      <w:rPr>
        <w:rFonts w:hint="default"/>
        <w:vertAlign w:val="superscrip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5" w15:restartNumberingAfterBreak="0">
    <w:nsid w:val="16F853B8"/>
    <w:multiLevelType w:val="hybridMultilevel"/>
    <w:tmpl w:val="2E70D966"/>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24CE1"/>
    <w:multiLevelType w:val="hybridMultilevel"/>
    <w:tmpl w:val="513CF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1237F4"/>
    <w:multiLevelType w:val="hybridMultilevel"/>
    <w:tmpl w:val="A98850B4"/>
    <w:lvl w:ilvl="0" w:tplc="08090001">
      <w:start w:val="1"/>
      <w:numFmt w:val="bullet"/>
      <w:lvlText w:val=""/>
      <w:lvlJc w:val="left"/>
      <w:pPr>
        <w:ind w:left="720" w:hanging="360"/>
      </w:pPr>
      <w:rPr>
        <w:rFonts w:ascii="Symbol" w:hAnsi="Symbol" w:hint="default"/>
      </w:rPr>
    </w:lvl>
    <w:lvl w:ilvl="1" w:tplc="7440513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DA2290"/>
    <w:multiLevelType w:val="hybridMultilevel"/>
    <w:tmpl w:val="6CD8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06B0E"/>
    <w:multiLevelType w:val="hybridMultilevel"/>
    <w:tmpl w:val="E90E4928"/>
    <w:lvl w:ilvl="0" w:tplc="B74087AA">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D409CA"/>
    <w:multiLevelType w:val="hybridMultilevel"/>
    <w:tmpl w:val="F2EABCF6"/>
    <w:lvl w:ilvl="0" w:tplc="42F06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261D3"/>
    <w:multiLevelType w:val="hybridMultilevel"/>
    <w:tmpl w:val="5DBEDD28"/>
    <w:lvl w:ilvl="0" w:tplc="176E2D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641EEB"/>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521A7D"/>
    <w:multiLevelType w:val="hybridMultilevel"/>
    <w:tmpl w:val="8F58B278"/>
    <w:lvl w:ilvl="0" w:tplc="2644779E">
      <w:start w:val="1"/>
      <w:numFmt w:val="upp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8E787A"/>
    <w:multiLevelType w:val="hybridMultilevel"/>
    <w:tmpl w:val="601811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90ADE"/>
    <w:multiLevelType w:val="hybridMultilevel"/>
    <w:tmpl w:val="21E2251E"/>
    <w:lvl w:ilvl="0" w:tplc="6F58115C">
      <w:start w:val="1"/>
      <w:numFmt w:val="bullet"/>
      <w:lvlText w:val="•"/>
      <w:lvlJc w:val="left"/>
      <w:pPr>
        <w:tabs>
          <w:tab w:val="num" w:pos="720"/>
        </w:tabs>
        <w:ind w:left="720" w:hanging="360"/>
      </w:pPr>
      <w:rPr>
        <w:rFonts w:ascii="Arial" w:hAnsi="Arial" w:hint="default"/>
      </w:rPr>
    </w:lvl>
    <w:lvl w:ilvl="1" w:tplc="47F62CEA" w:tentative="1">
      <w:start w:val="1"/>
      <w:numFmt w:val="bullet"/>
      <w:lvlText w:val="•"/>
      <w:lvlJc w:val="left"/>
      <w:pPr>
        <w:tabs>
          <w:tab w:val="num" w:pos="1440"/>
        </w:tabs>
        <w:ind w:left="1440" w:hanging="360"/>
      </w:pPr>
      <w:rPr>
        <w:rFonts w:ascii="Arial" w:hAnsi="Arial" w:hint="default"/>
      </w:rPr>
    </w:lvl>
    <w:lvl w:ilvl="2" w:tplc="5868F6E0" w:tentative="1">
      <w:start w:val="1"/>
      <w:numFmt w:val="bullet"/>
      <w:lvlText w:val="•"/>
      <w:lvlJc w:val="left"/>
      <w:pPr>
        <w:tabs>
          <w:tab w:val="num" w:pos="2160"/>
        </w:tabs>
        <w:ind w:left="2160" w:hanging="360"/>
      </w:pPr>
      <w:rPr>
        <w:rFonts w:ascii="Arial" w:hAnsi="Arial" w:hint="default"/>
      </w:rPr>
    </w:lvl>
    <w:lvl w:ilvl="3" w:tplc="877AC99E" w:tentative="1">
      <w:start w:val="1"/>
      <w:numFmt w:val="bullet"/>
      <w:lvlText w:val="•"/>
      <w:lvlJc w:val="left"/>
      <w:pPr>
        <w:tabs>
          <w:tab w:val="num" w:pos="2880"/>
        </w:tabs>
        <w:ind w:left="2880" w:hanging="360"/>
      </w:pPr>
      <w:rPr>
        <w:rFonts w:ascii="Arial" w:hAnsi="Arial" w:hint="default"/>
      </w:rPr>
    </w:lvl>
    <w:lvl w:ilvl="4" w:tplc="2E3C39BA" w:tentative="1">
      <w:start w:val="1"/>
      <w:numFmt w:val="bullet"/>
      <w:lvlText w:val="•"/>
      <w:lvlJc w:val="left"/>
      <w:pPr>
        <w:tabs>
          <w:tab w:val="num" w:pos="3600"/>
        </w:tabs>
        <w:ind w:left="3600" w:hanging="360"/>
      </w:pPr>
      <w:rPr>
        <w:rFonts w:ascii="Arial" w:hAnsi="Arial" w:hint="default"/>
      </w:rPr>
    </w:lvl>
    <w:lvl w:ilvl="5" w:tplc="00FACD38" w:tentative="1">
      <w:start w:val="1"/>
      <w:numFmt w:val="bullet"/>
      <w:lvlText w:val="•"/>
      <w:lvlJc w:val="left"/>
      <w:pPr>
        <w:tabs>
          <w:tab w:val="num" w:pos="4320"/>
        </w:tabs>
        <w:ind w:left="4320" w:hanging="360"/>
      </w:pPr>
      <w:rPr>
        <w:rFonts w:ascii="Arial" w:hAnsi="Arial" w:hint="default"/>
      </w:rPr>
    </w:lvl>
    <w:lvl w:ilvl="6" w:tplc="7C60F0BE" w:tentative="1">
      <w:start w:val="1"/>
      <w:numFmt w:val="bullet"/>
      <w:lvlText w:val="•"/>
      <w:lvlJc w:val="left"/>
      <w:pPr>
        <w:tabs>
          <w:tab w:val="num" w:pos="5040"/>
        </w:tabs>
        <w:ind w:left="5040" w:hanging="360"/>
      </w:pPr>
      <w:rPr>
        <w:rFonts w:ascii="Arial" w:hAnsi="Arial" w:hint="default"/>
      </w:rPr>
    </w:lvl>
    <w:lvl w:ilvl="7" w:tplc="643CB164" w:tentative="1">
      <w:start w:val="1"/>
      <w:numFmt w:val="bullet"/>
      <w:lvlText w:val="•"/>
      <w:lvlJc w:val="left"/>
      <w:pPr>
        <w:tabs>
          <w:tab w:val="num" w:pos="5760"/>
        </w:tabs>
        <w:ind w:left="5760" w:hanging="360"/>
      </w:pPr>
      <w:rPr>
        <w:rFonts w:ascii="Arial" w:hAnsi="Arial" w:hint="default"/>
      </w:rPr>
    </w:lvl>
    <w:lvl w:ilvl="8" w:tplc="C61E16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94427C"/>
    <w:multiLevelType w:val="hybridMultilevel"/>
    <w:tmpl w:val="EA903B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147322"/>
    <w:multiLevelType w:val="hybridMultilevel"/>
    <w:tmpl w:val="576E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62751"/>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DB2EE6"/>
    <w:multiLevelType w:val="hybridMultilevel"/>
    <w:tmpl w:val="F1A4E05A"/>
    <w:lvl w:ilvl="0" w:tplc="798A1790">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0A347C"/>
    <w:multiLevelType w:val="hybridMultilevel"/>
    <w:tmpl w:val="5A2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C1839"/>
    <w:multiLevelType w:val="hybridMultilevel"/>
    <w:tmpl w:val="FB70A13E"/>
    <w:lvl w:ilvl="0" w:tplc="13086A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336A2"/>
    <w:multiLevelType w:val="hybridMultilevel"/>
    <w:tmpl w:val="89EE0EFA"/>
    <w:lvl w:ilvl="0" w:tplc="024ED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8F588E"/>
    <w:multiLevelType w:val="hybridMultilevel"/>
    <w:tmpl w:val="8448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72D29"/>
    <w:multiLevelType w:val="hybridMultilevel"/>
    <w:tmpl w:val="98546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3F152B"/>
    <w:multiLevelType w:val="hybridMultilevel"/>
    <w:tmpl w:val="8A30D158"/>
    <w:lvl w:ilvl="0" w:tplc="D310A894">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61510"/>
    <w:multiLevelType w:val="hybridMultilevel"/>
    <w:tmpl w:val="3B187B8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5A492A"/>
    <w:multiLevelType w:val="hybridMultilevel"/>
    <w:tmpl w:val="2928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632A32"/>
    <w:multiLevelType w:val="hybridMultilevel"/>
    <w:tmpl w:val="03BCC484"/>
    <w:lvl w:ilvl="0" w:tplc="5B82E85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D50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ED0EB8"/>
    <w:multiLevelType w:val="hybridMultilevel"/>
    <w:tmpl w:val="A93614CA"/>
    <w:lvl w:ilvl="0" w:tplc="654C816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DD4E63"/>
    <w:multiLevelType w:val="hybridMultilevel"/>
    <w:tmpl w:val="C012F09E"/>
    <w:lvl w:ilvl="0" w:tplc="C44C2EA6">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3"/>
  </w:num>
  <w:num w:numId="3">
    <w:abstractNumId w:val="39"/>
  </w:num>
  <w:num w:numId="4">
    <w:abstractNumId w:val="40"/>
  </w:num>
  <w:num w:numId="5">
    <w:abstractNumId w:val="30"/>
  </w:num>
  <w:num w:numId="6">
    <w:abstractNumId w:val="11"/>
  </w:num>
  <w:num w:numId="7">
    <w:abstractNumId w:val="11"/>
  </w:num>
  <w:num w:numId="8">
    <w:abstractNumId w:val="13"/>
  </w:num>
  <w:num w:numId="9">
    <w:abstractNumId w:val="28"/>
  </w:num>
  <w:num w:numId="10">
    <w:abstractNumId w:val="11"/>
  </w:num>
  <w:num w:numId="11">
    <w:abstractNumId w:val="11"/>
  </w:num>
  <w:num w:numId="12">
    <w:abstractNumId w:val="16"/>
  </w:num>
  <w:num w:numId="13">
    <w:abstractNumId w:val="17"/>
  </w:num>
  <w:num w:numId="14">
    <w:abstractNumId w:val="15"/>
  </w:num>
  <w:num w:numId="15">
    <w:abstractNumId w:val="42"/>
  </w:num>
  <w:num w:numId="16">
    <w:abstractNumId w:val="11"/>
    <w:lvlOverride w:ilvl="0">
      <w:startOverride w:val="7"/>
    </w:lvlOverride>
  </w:num>
  <w:num w:numId="17">
    <w:abstractNumId w:val="11"/>
  </w:num>
  <w:num w:numId="18">
    <w:abstractNumId w:val="11"/>
    <w:lvlOverride w:ilvl="0">
      <w:startOverride w:val="7"/>
    </w:lvlOverride>
  </w:num>
  <w:num w:numId="19">
    <w:abstractNumId w:val="11"/>
    <w:lvlOverride w:ilvl="0">
      <w:startOverride w:val="9"/>
    </w:lvlOverride>
  </w:num>
  <w:num w:numId="20">
    <w:abstractNumId w:val="11"/>
    <w:lvlOverride w:ilvl="0">
      <w:startOverride w:val="7"/>
    </w:lvlOverride>
  </w:num>
  <w:num w:numId="21">
    <w:abstractNumId w:val="11"/>
    <w:lvlOverride w:ilvl="0">
      <w:startOverride w:val="6"/>
    </w:lvlOverride>
  </w:num>
  <w:num w:numId="22">
    <w:abstractNumId w:val="33"/>
  </w:num>
  <w:num w:numId="23">
    <w:abstractNumId w:val="12"/>
  </w:num>
  <w:num w:numId="24">
    <w:abstractNumId w:val="24"/>
  </w:num>
  <w:num w:numId="25">
    <w:abstractNumId w:val="19"/>
  </w:num>
  <w:num w:numId="26">
    <w:abstractNumId w:val="37"/>
  </w:num>
  <w:num w:numId="27">
    <w:abstractNumId w:val="41"/>
  </w:num>
  <w:num w:numId="28">
    <w:abstractNumId w:val="28"/>
    <w:lvlOverride w:ilvl="0">
      <w:lvl w:ilvl="0" w:tplc="0809000F">
        <w:start w:val="1"/>
        <w:numFmt w:val="none"/>
        <w:lvlText w:val="5."/>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29">
    <w:abstractNumId w:val="26"/>
  </w:num>
  <w:num w:numId="30">
    <w:abstractNumId w:val="36"/>
  </w:num>
  <w:num w:numId="31">
    <w:abstractNumId w:val="28"/>
    <w:lvlOverride w:ilvl="0">
      <w:lvl w:ilvl="0" w:tplc="0809000F">
        <w:start w:val="1"/>
        <w:numFmt w:val="none"/>
        <w:lvlText w:val="6."/>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2">
    <w:abstractNumId w:val="28"/>
    <w:lvlOverride w:ilvl="0">
      <w:lvl w:ilvl="0" w:tplc="0809000F">
        <w:start w:val="1"/>
        <w:numFmt w:val="none"/>
        <w:lvlText w:val="7."/>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3">
    <w:abstractNumId w:val="11"/>
    <w:lvlOverride w:ilvl="0">
      <w:startOverride w:val="8"/>
    </w:lvlOverride>
  </w:num>
  <w:num w:numId="34">
    <w:abstractNumId w:val="43"/>
  </w:num>
  <w:num w:numId="35">
    <w:abstractNumId w:val="20"/>
  </w:num>
  <w:num w:numId="36">
    <w:abstractNumId w:val="1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25"/>
  </w:num>
  <w:num w:numId="48">
    <w:abstractNumId w:val="35"/>
  </w:num>
  <w:num w:numId="49">
    <w:abstractNumId w:val="11"/>
    <w:lvlOverride w:ilvl="0">
      <w:startOverride w:val="8"/>
    </w:lvlOverride>
  </w:num>
  <w:num w:numId="50">
    <w:abstractNumId w:val="21"/>
  </w:num>
  <w:num w:numId="51">
    <w:abstractNumId w:val="27"/>
  </w:num>
  <w:num w:numId="52">
    <w:abstractNumId w:val="11"/>
  </w:num>
  <w:num w:numId="53">
    <w:abstractNumId w:val="11"/>
    <w:lvlOverride w:ilvl="0">
      <w:startOverride w:val="2"/>
    </w:lvlOverride>
  </w:num>
  <w:num w:numId="54">
    <w:abstractNumId w:val="22"/>
  </w:num>
  <w:num w:numId="55">
    <w:abstractNumId w:val="11"/>
    <w:lvlOverride w:ilvl="0">
      <w:startOverride w:val="1"/>
    </w:lvlOverride>
  </w:num>
  <w:num w:numId="56">
    <w:abstractNumId w:val="11"/>
    <w:lvlOverride w:ilvl="0">
      <w:startOverride w:val="3"/>
    </w:lvlOverride>
  </w:num>
  <w:num w:numId="57">
    <w:abstractNumId w:val="38"/>
  </w:num>
  <w:num w:numId="58">
    <w:abstractNumId w:val="18"/>
  </w:num>
  <w:num w:numId="59">
    <w:abstractNumId w:val="34"/>
  </w:num>
  <w:num w:numId="60">
    <w:abstractNumId w:val="18"/>
  </w:num>
  <w:num w:numId="61">
    <w:abstractNumId w:val="32"/>
  </w:num>
  <w:num w:numId="62">
    <w:abstractNumId w:val="29"/>
  </w:num>
  <w:num w:numId="63">
    <w:abstractNumId w:val="31"/>
  </w:num>
  <w:num w:numId="64">
    <w:abstractNumId w:val="11"/>
    <w:lvlOverride w:ilvl="0">
      <w:startOverride w:val="9"/>
    </w:lvlOverride>
  </w:num>
  <w:num w:numId="65">
    <w:abstractNumId w:val="18"/>
  </w:num>
  <w:num w:numId="66">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2289">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A2D2D"/>
    <w:rsid w:val="00000097"/>
    <w:rsid w:val="00002662"/>
    <w:rsid w:val="00002C50"/>
    <w:rsid w:val="00003FE3"/>
    <w:rsid w:val="00004B37"/>
    <w:rsid w:val="00004C92"/>
    <w:rsid w:val="00006096"/>
    <w:rsid w:val="0000690C"/>
    <w:rsid w:val="00010620"/>
    <w:rsid w:val="00010E54"/>
    <w:rsid w:val="00012AAD"/>
    <w:rsid w:val="00012DA6"/>
    <w:rsid w:val="000133E8"/>
    <w:rsid w:val="00013FA2"/>
    <w:rsid w:val="000145AB"/>
    <w:rsid w:val="00015207"/>
    <w:rsid w:val="00015FA4"/>
    <w:rsid w:val="00017031"/>
    <w:rsid w:val="00020AEC"/>
    <w:rsid w:val="00022752"/>
    <w:rsid w:val="00022C7E"/>
    <w:rsid w:val="00024396"/>
    <w:rsid w:val="000273F8"/>
    <w:rsid w:val="0003193B"/>
    <w:rsid w:val="00033495"/>
    <w:rsid w:val="00033E36"/>
    <w:rsid w:val="00034D4A"/>
    <w:rsid w:val="00036B90"/>
    <w:rsid w:val="0003760E"/>
    <w:rsid w:val="00037A48"/>
    <w:rsid w:val="00037FCB"/>
    <w:rsid w:val="00040221"/>
    <w:rsid w:val="000454DA"/>
    <w:rsid w:val="0004698A"/>
    <w:rsid w:val="0005010D"/>
    <w:rsid w:val="00052FC6"/>
    <w:rsid w:val="00053FC3"/>
    <w:rsid w:val="0005515F"/>
    <w:rsid w:val="00060356"/>
    <w:rsid w:val="00060567"/>
    <w:rsid w:val="00063B5F"/>
    <w:rsid w:val="000641AF"/>
    <w:rsid w:val="0006467B"/>
    <w:rsid w:val="00064D78"/>
    <w:rsid w:val="0006640A"/>
    <w:rsid w:val="000709F3"/>
    <w:rsid w:val="00073B9B"/>
    <w:rsid w:val="00074515"/>
    <w:rsid w:val="00074798"/>
    <w:rsid w:val="00076AC5"/>
    <w:rsid w:val="0008074B"/>
    <w:rsid w:val="00081EB2"/>
    <w:rsid w:val="00084134"/>
    <w:rsid w:val="00085736"/>
    <w:rsid w:val="00087D66"/>
    <w:rsid w:val="00092DE0"/>
    <w:rsid w:val="0009339D"/>
    <w:rsid w:val="00093965"/>
    <w:rsid w:val="000940FB"/>
    <w:rsid w:val="00094927"/>
    <w:rsid w:val="0009529F"/>
    <w:rsid w:val="000967DB"/>
    <w:rsid w:val="00096F67"/>
    <w:rsid w:val="000A0230"/>
    <w:rsid w:val="000A0B0F"/>
    <w:rsid w:val="000A0BF3"/>
    <w:rsid w:val="000A4B0B"/>
    <w:rsid w:val="000A59A5"/>
    <w:rsid w:val="000A6537"/>
    <w:rsid w:val="000A6ECF"/>
    <w:rsid w:val="000B09C8"/>
    <w:rsid w:val="000B0E2C"/>
    <w:rsid w:val="000B6036"/>
    <w:rsid w:val="000C0FEF"/>
    <w:rsid w:val="000C59A2"/>
    <w:rsid w:val="000C59F5"/>
    <w:rsid w:val="000C5F9E"/>
    <w:rsid w:val="000C7137"/>
    <w:rsid w:val="000C7BE5"/>
    <w:rsid w:val="000D41E0"/>
    <w:rsid w:val="000D446F"/>
    <w:rsid w:val="000D4B42"/>
    <w:rsid w:val="000D5448"/>
    <w:rsid w:val="000D7423"/>
    <w:rsid w:val="000E0D8F"/>
    <w:rsid w:val="000E4906"/>
    <w:rsid w:val="000E5744"/>
    <w:rsid w:val="000E6978"/>
    <w:rsid w:val="000E77E9"/>
    <w:rsid w:val="000F0AF4"/>
    <w:rsid w:val="000F1A43"/>
    <w:rsid w:val="000F2B83"/>
    <w:rsid w:val="000F2C66"/>
    <w:rsid w:val="000F4DE9"/>
    <w:rsid w:val="000F5483"/>
    <w:rsid w:val="000F6DB0"/>
    <w:rsid w:val="000F75C5"/>
    <w:rsid w:val="0010129C"/>
    <w:rsid w:val="00103AF6"/>
    <w:rsid w:val="00103B0F"/>
    <w:rsid w:val="001050D4"/>
    <w:rsid w:val="001066B6"/>
    <w:rsid w:val="00106B45"/>
    <w:rsid w:val="00106B51"/>
    <w:rsid w:val="0011178B"/>
    <w:rsid w:val="00112096"/>
    <w:rsid w:val="00112C3B"/>
    <w:rsid w:val="001150DA"/>
    <w:rsid w:val="00115113"/>
    <w:rsid w:val="001151BA"/>
    <w:rsid w:val="0011562F"/>
    <w:rsid w:val="00115CF4"/>
    <w:rsid w:val="00115D1C"/>
    <w:rsid w:val="0011619D"/>
    <w:rsid w:val="00116555"/>
    <w:rsid w:val="00117283"/>
    <w:rsid w:val="0011737A"/>
    <w:rsid w:val="00117F55"/>
    <w:rsid w:val="00120105"/>
    <w:rsid w:val="001249D0"/>
    <w:rsid w:val="0012570C"/>
    <w:rsid w:val="00132AA6"/>
    <w:rsid w:val="00133A24"/>
    <w:rsid w:val="00133D19"/>
    <w:rsid w:val="00134A1D"/>
    <w:rsid w:val="00137F3E"/>
    <w:rsid w:val="00141978"/>
    <w:rsid w:val="001429BD"/>
    <w:rsid w:val="00143496"/>
    <w:rsid w:val="001446D7"/>
    <w:rsid w:val="00145030"/>
    <w:rsid w:val="00147780"/>
    <w:rsid w:val="00152693"/>
    <w:rsid w:val="0015304C"/>
    <w:rsid w:val="0015380B"/>
    <w:rsid w:val="00154E32"/>
    <w:rsid w:val="00157D39"/>
    <w:rsid w:val="00162126"/>
    <w:rsid w:val="0016600C"/>
    <w:rsid w:val="00166397"/>
    <w:rsid w:val="00166B4C"/>
    <w:rsid w:val="00166BAE"/>
    <w:rsid w:val="00166FB3"/>
    <w:rsid w:val="001710DD"/>
    <w:rsid w:val="0017223C"/>
    <w:rsid w:val="00173073"/>
    <w:rsid w:val="001731F3"/>
    <w:rsid w:val="00174BC9"/>
    <w:rsid w:val="00176597"/>
    <w:rsid w:val="00177AB0"/>
    <w:rsid w:val="00180AA4"/>
    <w:rsid w:val="00181298"/>
    <w:rsid w:val="001815B7"/>
    <w:rsid w:val="00182AA9"/>
    <w:rsid w:val="00182CEF"/>
    <w:rsid w:val="00182DB7"/>
    <w:rsid w:val="00185CBC"/>
    <w:rsid w:val="001912F8"/>
    <w:rsid w:val="001921D3"/>
    <w:rsid w:val="00193E09"/>
    <w:rsid w:val="0019463F"/>
    <w:rsid w:val="00197988"/>
    <w:rsid w:val="001A0A92"/>
    <w:rsid w:val="001A2CF5"/>
    <w:rsid w:val="001A6A40"/>
    <w:rsid w:val="001A76DE"/>
    <w:rsid w:val="001B0738"/>
    <w:rsid w:val="001B0CEB"/>
    <w:rsid w:val="001B21B4"/>
    <w:rsid w:val="001B2FC6"/>
    <w:rsid w:val="001B358D"/>
    <w:rsid w:val="001B5ABE"/>
    <w:rsid w:val="001B61DD"/>
    <w:rsid w:val="001B6E82"/>
    <w:rsid w:val="001C1324"/>
    <w:rsid w:val="001C2BE0"/>
    <w:rsid w:val="001C457E"/>
    <w:rsid w:val="001D2A45"/>
    <w:rsid w:val="001D39A7"/>
    <w:rsid w:val="001D676A"/>
    <w:rsid w:val="001D743F"/>
    <w:rsid w:val="001E0537"/>
    <w:rsid w:val="001E1337"/>
    <w:rsid w:val="001E4330"/>
    <w:rsid w:val="001E5CE1"/>
    <w:rsid w:val="001E5E61"/>
    <w:rsid w:val="001E7380"/>
    <w:rsid w:val="001E7AA5"/>
    <w:rsid w:val="001E7CFC"/>
    <w:rsid w:val="001F03E5"/>
    <w:rsid w:val="001F0AA1"/>
    <w:rsid w:val="001F1B3E"/>
    <w:rsid w:val="001F38AB"/>
    <w:rsid w:val="001F6BCC"/>
    <w:rsid w:val="00201B48"/>
    <w:rsid w:val="0020270C"/>
    <w:rsid w:val="002036EE"/>
    <w:rsid w:val="00203BA6"/>
    <w:rsid w:val="0020662E"/>
    <w:rsid w:val="00206E61"/>
    <w:rsid w:val="0021053C"/>
    <w:rsid w:val="00212025"/>
    <w:rsid w:val="00215053"/>
    <w:rsid w:val="002179C5"/>
    <w:rsid w:val="0022036F"/>
    <w:rsid w:val="002214C4"/>
    <w:rsid w:val="00221DE9"/>
    <w:rsid w:val="002227B3"/>
    <w:rsid w:val="00223DC3"/>
    <w:rsid w:val="00226D1A"/>
    <w:rsid w:val="00231ADA"/>
    <w:rsid w:val="0023283F"/>
    <w:rsid w:val="00234324"/>
    <w:rsid w:val="00234397"/>
    <w:rsid w:val="002416B1"/>
    <w:rsid w:val="002416DF"/>
    <w:rsid w:val="002427CF"/>
    <w:rsid w:val="002427DE"/>
    <w:rsid w:val="00245270"/>
    <w:rsid w:val="00245B62"/>
    <w:rsid w:val="00245DB2"/>
    <w:rsid w:val="0024640B"/>
    <w:rsid w:val="002466BB"/>
    <w:rsid w:val="00247E28"/>
    <w:rsid w:val="002514C5"/>
    <w:rsid w:val="002517E6"/>
    <w:rsid w:val="00253269"/>
    <w:rsid w:val="0026245F"/>
    <w:rsid w:val="00262DA1"/>
    <w:rsid w:val="002652D0"/>
    <w:rsid w:val="00267536"/>
    <w:rsid w:val="00271DC6"/>
    <w:rsid w:val="00273681"/>
    <w:rsid w:val="00273B2F"/>
    <w:rsid w:val="00276348"/>
    <w:rsid w:val="00276DFE"/>
    <w:rsid w:val="002776CF"/>
    <w:rsid w:val="0028091E"/>
    <w:rsid w:val="00281853"/>
    <w:rsid w:val="002860AE"/>
    <w:rsid w:val="00287192"/>
    <w:rsid w:val="00290F4C"/>
    <w:rsid w:val="002927E0"/>
    <w:rsid w:val="00292A98"/>
    <w:rsid w:val="002947D2"/>
    <w:rsid w:val="002A02CD"/>
    <w:rsid w:val="002A42B8"/>
    <w:rsid w:val="002A605E"/>
    <w:rsid w:val="002A6258"/>
    <w:rsid w:val="002A7948"/>
    <w:rsid w:val="002A7C61"/>
    <w:rsid w:val="002A7FD2"/>
    <w:rsid w:val="002B0C9C"/>
    <w:rsid w:val="002B248C"/>
    <w:rsid w:val="002B34F3"/>
    <w:rsid w:val="002B3CC7"/>
    <w:rsid w:val="002B4347"/>
    <w:rsid w:val="002C2661"/>
    <w:rsid w:val="002C3B46"/>
    <w:rsid w:val="002C474B"/>
    <w:rsid w:val="002C67E8"/>
    <w:rsid w:val="002D1D4B"/>
    <w:rsid w:val="002D410C"/>
    <w:rsid w:val="002E201D"/>
    <w:rsid w:val="002E4BEF"/>
    <w:rsid w:val="002E7D6A"/>
    <w:rsid w:val="002F0A0E"/>
    <w:rsid w:val="002F24E8"/>
    <w:rsid w:val="002F43E5"/>
    <w:rsid w:val="002F61D9"/>
    <w:rsid w:val="002F6D38"/>
    <w:rsid w:val="0030364C"/>
    <w:rsid w:val="00303831"/>
    <w:rsid w:val="003050D6"/>
    <w:rsid w:val="003051BE"/>
    <w:rsid w:val="00306111"/>
    <w:rsid w:val="0031156A"/>
    <w:rsid w:val="0031311A"/>
    <w:rsid w:val="0031413E"/>
    <w:rsid w:val="00315FFC"/>
    <w:rsid w:val="003175D6"/>
    <w:rsid w:val="00320885"/>
    <w:rsid w:val="00320980"/>
    <w:rsid w:val="00321447"/>
    <w:rsid w:val="00322ED6"/>
    <w:rsid w:val="00323B67"/>
    <w:rsid w:val="0032430D"/>
    <w:rsid w:val="003258B7"/>
    <w:rsid w:val="00325D10"/>
    <w:rsid w:val="00325ED1"/>
    <w:rsid w:val="00327081"/>
    <w:rsid w:val="00330817"/>
    <w:rsid w:val="00330ADF"/>
    <w:rsid w:val="00332952"/>
    <w:rsid w:val="00337BE4"/>
    <w:rsid w:val="00341E47"/>
    <w:rsid w:val="00343A9D"/>
    <w:rsid w:val="00343BE2"/>
    <w:rsid w:val="00344DA9"/>
    <w:rsid w:val="00346765"/>
    <w:rsid w:val="0035290A"/>
    <w:rsid w:val="003545F1"/>
    <w:rsid w:val="003554F1"/>
    <w:rsid w:val="00355A8F"/>
    <w:rsid w:val="003572C5"/>
    <w:rsid w:val="003631CE"/>
    <w:rsid w:val="003637A8"/>
    <w:rsid w:val="003641D5"/>
    <w:rsid w:val="00365140"/>
    <w:rsid w:val="003661DF"/>
    <w:rsid w:val="0036799B"/>
    <w:rsid w:val="00371BE0"/>
    <w:rsid w:val="00373807"/>
    <w:rsid w:val="0038116F"/>
    <w:rsid w:val="00382147"/>
    <w:rsid w:val="00382C8C"/>
    <w:rsid w:val="00382FAC"/>
    <w:rsid w:val="00385541"/>
    <w:rsid w:val="00391117"/>
    <w:rsid w:val="00393E89"/>
    <w:rsid w:val="00395808"/>
    <w:rsid w:val="003959A5"/>
    <w:rsid w:val="00396921"/>
    <w:rsid w:val="003979A0"/>
    <w:rsid w:val="00397C2F"/>
    <w:rsid w:val="00397E7B"/>
    <w:rsid w:val="003A106A"/>
    <w:rsid w:val="003A5BD2"/>
    <w:rsid w:val="003B2FB2"/>
    <w:rsid w:val="003B6238"/>
    <w:rsid w:val="003B72E1"/>
    <w:rsid w:val="003B7495"/>
    <w:rsid w:val="003C06AD"/>
    <w:rsid w:val="003C08AD"/>
    <w:rsid w:val="003C32CB"/>
    <w:rsid w:val="003C79C5"/>
    <w:rsid w:val="003C7B5C"/>
    <w:rsid w:val="003D134A"/>
    <w:rsid w:val="003D34BB"/>
    <w:rsid w:val="003D473F"/>
    <w:rsid w:val="003D5549"/>
    <w:rsid w:val="003D5BF3"/>
    <w:rsid w:val="003D7E04"/>
    <w:rsid w:val="003E2376"/>
    <w:rsid w:val="003E23E5"/>
    <w:rsid w:val="003E3CCF"/>
    <w:rsid w:val="003E41A9"/>
    <w:rsid w:val="003E4E6B"/>
    <w:rsid w:val="003E5308"/>
    <w:rsid w:val="003E5493"/>
    <w:rsid w:val="003E7EA3"/>
    <w:rsid w:val="003F1DB2"/>
    <w:rsid w:val="003F23CF"/>
    <w:rsid w:val="00402C11"/>
    <w:rsid w:val="00403EFB"/>
    <w:rsid w:val="0040402F"/>
    <w:rsid w:val="0040421D"/>
    <w:rsid w:val="00406DEC"/>
    <w:rsid w:val="0041190C"/>
    <w:rsid w:val="0041354F"/>
    <w:rsid w:val="004217C0"/>
    <w:rsid w:val="004232D9"/>
    <w:rsid w:val="00430CFB"/>
    <w:rsid w:val="0043340E"/>
    <w:rsid w:val="0044385D"/>
    <w:rsid w:val="00443EE6"/>
    <w:rsid w:val="00446715"/>
    <w:rsid w:val="0044685B"/>
    <w:rsid w:val="00451201"/>
    <w:rsid w:val="00451C23"/>
    <w:rsid w:val="00452454"/>
    <w:rsid w:val="00452C44"/>
    <w:rsid w:val="0045357C"/>
    <w:rsid w:val="00454F9C"/>
    <w:rsid w:val="00455686"/>
    <w:rsid w:val="00460143"/>
    <w:rsid w:val="00461D92"/>
    <w:rsid w:val="00462001"/>
    <w:rsid w:val="00462B62"/>
    <w:rsid w:val="00462EF0"/>
    <w:rsid w:val="00464D3F"/>
    <w:rsid w:val="00465F3F"/>
    <w:rsid w:val="004706E5"/>
    <w:rsid w:val="00471E3C"/>
    <w:rsid w:val="004735F2"/>
    <w:rsid w:val="00473627"/>
    <w:rsid w:val="00473630"/>
    <w:rsid w:val="004752B0"/>
    <w:rsid w:val="0047550D"/>
    <w:rsid w:val="00475E44"/>
    <w:rsid w:val="00476BD1"/>
    <w:rsid w:val="00477680"/>
    <w:rsid w:val="0047774A"/>
    <w:rsid w:val="00480A98"/>
    <w:rsid w:val="00482D08"/>
    <w:rsid w:val="0048309B"/>
    <w:rsid w:val="0048352B"/>
    <w:rsid w:val="00485B6B"/>
    <w:rsid w:val="00486D78"/>
    <w:rsid w:val="004871D5"/>
    <w:rsid w:val="0049342E"/>
    <w:rsid w:val="004A1A54"/>
    <w:rsid w:val="004A2552"/>
    <w:rsid w:val="004A4E4E"/>
    <w:rsid w:val="004A5265"/>
    <w:rsid w:val="004B014C"/>
    <w:rsid w:val="004B0EF3"/>
    <w:rsid w:val="004B1380"/>
    <w:rsid w:val="004B145F"/>
    <w:rsid w:val="004C3DBE"/>
    <w:rsid w:val="004C5B54"/>
    <w:rsid w:val="004C5F54"/>
    <w:rsid w:val="004C6F57"/>
    <w:rsid w:val="004D0630"/>
    <w:rsid w:val="004D243C"/>
    <w:rsid w:val="004D30DE"/>
    <w:rsid w:val="004D62D8"/>
    <w:rsid w:val="004E3108"/>
    <w:rsid w:val="004E37EF"/>
    <w:rsid w:val="004E6BD3"/>
    <w:rsid w:val="004E7E2D"/>
    <w:rsid w:val="004F0499"/>
    <w:rsid w:val="004F0680"/>
    <w:rsid w:val="004F36F7"/>
    <w:rsid w:val="004F4AE2"/>
    <w:rsid w:val="004F71BE"/>
    <w:rsid w:val="00501E35"/>
    <w:rsid w:val="00502ED3"/>
    <w:rsid w:val="005033EC"/>
    <w:rsid w:val="00504172"/>
    <w:rsid w:val="0050581E"/>
    <w:rsid w:val="005060E6"/>
    <w:rsid w:val="0050671B"/>
    <w:rsid w:val="005069B6"/>
    <w:rsid w:val="00507A59"/>
    <w:rsid w:val="00510C0C"/>
    <w:rsid w:val="0051328C"/>
    <w:rsid w:val="00513E26"/>
    <w:rsid w:val="0051424B"/>
    <w:rsid w:val="0051440C"/>
    <w:rsid w:val="0051615F"/>
    <w:rsid w:val="0051642E"/>
    <w:rsid w:val="005164F4"/>
    <w:rsid w:val="0051787E"/>
    <w:rsid w:val="00522A99"/>
    <w:rsid w:val="005255CB"/>
    <w:rsid w:val="00525AC4"/>
    <w:rsid w:val="005306C9"/>
    <w:rsid w:val="005379C8"/>
    <w:rsid w:val="005424F5"/>
    <w:rsid w:val="00547B95"/>
    <w:rsid w:val="00551E6B"/>
    <w:rsid w:val="005548F8"/>
    <w:rsid w:val="005550D3"/>
    <w:rsid w:val="00557141"/>
    <w:rsid w:val="00557436"/>
    <w:rsid w:val="00557FDA"/>
    <w:rsid w:val="00560856"/>
    <w:rsid w:val="005609D2"/>
    <w:rsid w:val="005625D9"/>
    <w:rsid w:val="00562C39"/>
    <w:rsid w:val="0056367E"/>
    <w:rsid w:val="0056589E"/>
    <w:rsid w:val="00567D5B"/>
    <w:rsid w:val="00571FB8"/>
    <w:rsid w:val="00572549"/>
    <w:rsid w:val="00573325"/>
    <w:rsid w:val="005751C0"/>
    <w:rsid w:val="005762F2"/>
    <w:rsid w:val="005771B0"/>
    <w:rsid w:val="00577A95"/>
    <w:rsid w:val="005812E5"/>
    <w:rsid w:val="00581632"/>
    <w:rsid w:val="00585BB6"/>
    <w:rsid w:val="00586F05"/>
    <w:rsid w:val="00587274"/>
    <w:rsid w:val="00594CDA"/>
    <w:rsid w:val="00596788"/>
    <w:rsid w:val="00597EEC"/>
    <w:rsid w:val="005B1460"/>
    <w:rsid w:val="005B1743"/>
    <w:rsid w:val="005B2AC8"/>
    <w:rsid w:val="005B2BD3"/>
    <w:rsid w:val="005B36AA"/>
    <w:rsid w:val="005B504D"/>
    <w:rsid w:val="005B72EE"/>
    <w:rsid w:val="005C00CE"/>
    <w:rsid w:val="005C08AD"/>
    <w:rsid w:val="005C10D3"/>
    <w:rsid w:val="005C3A15"/>
    <w:rsid w:val="005C6F46"/>
    <w:rsid w:val="005C7817"/>
    <w:rsid w:val="005D05CC"/>
    <w:rsid w:val="005D0ED8"/>
    <w:rsid w:val="005D3FA9"/>
    <w:rsid w:val="005E2A4B"/>
    <w:rsid w:val="005E44FE"/>
    <w:rsid w:val="005E7265"/>
    <w:rsid w:val="005F44BA"/>
    <w:rsid w:val="005F4CF0"/>
    <w:rsid w:val="005F603F"/>
    <w:rsid w:val="006012E0"/>
    <w:rsid w:val="00602360"/>
    <w:rsid w:val="006030A4"/>
    <w:rsid w:val="00604124"/>
    <w:rsid w:val="00607C32"/>
    <w:rsid w:val="00610B77"/>
    <w:rsid w:val="00610EE2"/>
    <w:rsid w:val="00614B04"/>
    <w:rsid w:val="0061735F"/>
    <w:rsid w:val="00622105"/>
    <w:rsid w:val="00622B3B"/>
    <w:rsid w:val="00623A20"/>
    <w:rsid w:val="00624105"/>
    <w:rsid w:val="006245F4"/>
    <w:rsid w:val="0062464A"/>
    <w:rsid w:val="0062583B"/>
    <w:rsid w:val="006271DA"/>
    <w:rsid w:val="00627525"/>
    <w:rsid w:val="00627E5E"/>
    <w:rsid w:val="006319A8"/>
    <w:rsid w:val="0063532E"/>
    <w:rsid w:val="00637920"/>
    <w:rsid w:val="00637F6B"/>
    <w:rsid w:val="00641683"/>
    <w:rsid w:val="00641BA3"/>
    <w:rsid w:val="006446C7"/>
    <w:rsid w:val="00646695"/>
    <w:rsid w:val="006468C2"/>
    <w:rsid w:val="00650F00"/>
    <w:rsid w:val="006549B2"/>
    <w:rsid w:val="00657DE0"/>
    <w:rsid w:val="00660AB2"/>
    <w:rsid w:val="00660EC8"/>
    <w:rsid w:val="006665A3"/>
    <w:rsid w:val="00670E24"/>
    <w:rsid w:val="00676488"/>
    <w:rsid w:val="006772C3"/>
    <w:rsid w:val="00677330"/>
    <w:rsid w:val="00677B52"/>
    <w:rsid w:val="00677CF9"/>
    <w:rsid w:val="006801ED"/>
    <w:rsid w:val="0068024B"/>
    <w:rsid w:val="00680C92"/>
    <w:rsid w:val="00684331"/>
    <w:rsid w:val="0068475C"/>
    <w:rsid w:val="006849E9"/>
    <w:rsid w:val="00685EA7"/>
    <w:rsid w:val="00692E97"/>
    <w:rsid w:val="006945DE"/>
    <w:rsid w:val="00695C0F"/>
    <w:rsid w:val="00696807"/>
    <w:rsid w:val="00697FEE"/>
    <w:rsid w:val="006A08DA"/>
    <w:rsid w:val="006A1049"/>
    <w:rsid w:val="006A1480"/>
    <w:rsid w:val="006A2CE8"/>
    <w:rsid w:val="006A648B"/>
    <w:rsid w:val="006A6F96"/>
    <w:rsid w:val="006B0A2B"/>
    <w:rsid w:val="006B19A3"/>
    <w:rsid w:val="006B1CD2"/>
    <w:rsid w:val="006B20D0"/>
    <w:rsid w:val="006B27F1"/>
    <w:rsid w:val="006B4ED6"/>
    <w:rsid w:val="006B57B9"/>
    <w:rsid w:val="006B7FA2"/>
    <w:rsid w:val="006C19A7"/>
    <w:rsid w:val="006C38D8"/>
    <w:rsid w:val="006C4AE5"/>
    <w:rsid w:val="006C4E75"/>
    <w:rsid w:val="006C5087"/>
    <w:rsid w:val="006C5F9A"/>
    <w:rsid w:val="006C757C"/>
    <w:rsid w:val="006C7B97"/>
    <w:rsid w:val="006D0CFA"/>
    <w:rsid w:val="006D1BD0"/>
    <w:rsid w:val="006D3E92"/>
    <w:rsid w:val="006D576A"/>
    <w:rsid w:val="006E1EA2"/>
    <w:rsid w:val="006E401D"/>
    <w:rsid w:val="006E53F5"/>
    <w:rsid w:val="006E7165"/>
    <w:rsid w:val="006F03C7"/>
    <w:rsid w:val="006F119F"/>
    <w:rsid w:val="006F225B"/>
    <w:rsid w:val="006F4273"/>
    <w:rsid w:val="006F46A3"/>
    <w:rsid w:val="006F5BBF"/>
    <w:rsid w:val="006F5DEA"/>
    <w:rsid w:val="006F671F"/>
    <w:rsid w:val="00700D9F"/>
    <w:rsid w:val="00703E96"/>
    <w:rsid w:val="0070742E"/>
    <w:rsid w:val="0071010D"/>
    <w:rsid w:val="007109E7"/>
    <w:rsid w:val="00713EF7"/>
    <w:rsid w:val="00715ED1"/>
    <w:rsid w:val="00720FE5"/>
    <w:rsid w:val="00721899"/>
    <w:rsid w:val="00723C31"/>
    <w:rsid w:val="00725BAE"/>
    <w:rsid w:val="00726F0F"/>
    <w:rsid w:val="00727926"/>
    <w:rsid w:val="00731B0D"/>
    <w:rsid w:val="0073377B"/>
    <w:rsid w:val="0073627A"/>
    <w:rsid w:val="007376CA"/>
    <w:rsid w:val="00741F8A"/>
    <w:rsid w:val="007502FD"/>
    <w:rsid w:val="00752857"/>
    <w:rsid w:val="0075294B"/>
    <w:rsid w:val="007542D1"/>
    <w:rsid w:val="00754A00"/>
    <w:rsid w:val="00755BC0"/>
    <w:rsid w:val="00756CC3"/>
    <w:rsid w:val="007600CD"/>
    <w:rsid w:val="00761957"/>
    <w:rsid w:val="00761C20"/>
    <w:rsid w:val="007620C5"/>
    <w:rsid w:val="007641E7"/>
    <w:rsid w:val="007648E0"/>
    <w:rsid w:val="00764FAB"/>
    <w:rsid w:val="007706C0"/>
    <w:rsid w:val="0077144D"/>
    <w:rsid w:val="00771F34"/>
    <w:rsid w:val="007733F8"/>
    <w:rsid w:val="007744D1"/>
    <w:rsid w:val="00776540"/>
    <w:rsid w:val="0077667C"/>
    <w:rsid w:val="007823AD"/>
    <w:rsid w:val="007859E3"/>
    <w:rsid w:val="007870E8"/>
    <w:rsid w:val="00787662"/>
    <w:rsid w:val="007903A4"/>
    <w:rsid w:val="007905D5"/>
    <w:rsid w:val="00792292"/>
    <w:rsid w:val="007929C3"/>
    <w:rsid w:val="0079446F"/>
    <w:rsid w:val="00794535"/>
    <w:rsid w:val="007A1897"/>
    <w:rsid w:val="007A2C19"/>
    <w:rsid w:val="007A2D2D"/>
    <w:rsid w:val="007A2FB6"/>
    <w:rsid w:val="007A35AF"/>
    <w:rsid w:val="007A7155"/>
    <w:rsid w:val="007B0324"/>
    <w:rsid w:val="007B039C"/>
    <w:rsid w:val="007B1130"/>
    <w:rsid w:val="007B2ABD"/>
    <w:rsid w:val="007C2BD6"/>
    <w:rsid w:val="007C35BF"/>
    <w:rsid w:val="007C64D2"/>
    <w:rsid w:val="007C74D1"/>
    <w:rsid w:val="007D28AB"/>
    <w:rsid w:val="007D335C"/>
    <w:rsid w:val="007D5837"/>
    <w:rsid w:val="007D60C4"/>
    <w:rsid w:val="007D6865"/>
    <w:rsid w:val="007D7816"/>
    <w:rsid w:val="007E0222"/>
    <w:rsid w:val="007E04B7"/>
    <w:rsid w:val="007E2451"/>
    <w:rsid w:val="007E2CE8"/>
    <w:rsid w:val="007E3FD9"/>
    <w:rsid w:val="007F006E"/>
    <w:rsid w:val="007F11AD"/>
    <w:rsid w:val="007F3A0E"/>
    <w:rsid w:val="007F444A"/>
    <w:rsid w:val="007F590D"/>
    <w:rsid w:val="007F67E8"/>
    <w:rsid w:val="007F7665"/>
    <w:rsid w:val="0080039E"/>
    <w:rsid w:val="0080132E"/>
    <w:rsid w:val="00801935"/>
    <w:rsid w:val="00802704"/>
    <w:rsid w:val="00802BFD"/>
    <w:rsid w:val="00803367"/>
    <w:rsid w:val="0080372B"/>
    <w:rsid w:val="00803BA2"/>
    <w:rsid w:val="008042F1"/>
    <w:rsid w:val="00806816"/>
    <w:rsid w:val="008069E6"/>
    <w:rsid w:val="00806D5A"/>
    <w:rsid w:val="0081071F"/>
    <w:rsid w:val="008123B5"/>
    <w:rsid w:val="00820B6A"/>
    <w:rsid w:val="00820F34"/>
    <w:rsid w:val="0082275C"/>
    <w:rsid w:val="00823B7A"/>
    <w:rsid w:val="00824CEC"/>
    <w:rsid w:val="00827348"/>
    <w:rsid w:val="00832182"/>
    <w:rsid w:val="00832B4D"/>
    <w:rsid w:val="00833D08"/>
    <w:rsid w:val="0083424C"/>
    <w:rsid w:val="008351B9"/>
    <w:rsid w:val="008352EB"/>
    <w:rsid w:val="0084048C"/>
    <w:rsid w:val="00851289"/>
    <w:rsid w:val="0085523E"/>
    <w:rsid w:val="00855845"/>
    <w:rsid w:val="008559E5"/>
    <w:rsid w:val="008602FA"/>
    <w:rsid w:val="00860662"/>
    <w:rsid w:val="00860FE9"/>
    <w:rsid w:val="00863CD7"/>
    <w:rsid w:val="00863FE6"/>
    <w:rsid w:val="0086533E"/>
    <w:rsid w:val="00865915"/>
    <w:rsid w:val="008666BA"/>
    <w:rsid w:val="00870A7E"/>
    <w:rsid w:val="00871457"/>
    <w:rsid w:val="0087212B"/>
    <w:rsid w:val="0087242E"/>
    <w:rsid w:val="00873EA2"/>
    <w:rsid w:val="008757B0"/>
    <w:rsid w:val="00875F1D"/>
    <w:rsid w:val="008764C3"/>
    <w:rsid w:val="00880F61"/>
    <w:rsid w:val="008824B8"/>
    <w:rsid w:val="00882984"/>
    <w:rsid w:val="008832FB"/>
    <w:rsid w:val="00884F29"/>
    <w:rsid w:val="00885512"/>
    <w:rsid w:val="00885AEF"/>
    <w:rsid w:val="00887C2B"/>
    <w:rsid w:val="00887EFD"/>
    <w:rsid w:val="008906E7"/>
    <w:rsid w:val="008914A9"/>
    <w:rsid w:val="0089269C"/>
    <w:rsid w:val="00895C24"/>
    <w:rsid w:val="008967BE"/>
    <w:rsid w:val="00897BCB"/>
    <w:rsid w:val="008A0EF5"/>
    <w:rsid w:val="008A4B06"/>
    <w:rsid w:val="008A505A"/>
    <w:rsid w:val="008B1C9B"/>
    <w:rsid w:val="008B3B38"/>
    <w:rsid w:val="008B4863"/>
    <w:rsid w:val="008B4EF2"/>
    <w:rsid w:val="008B64E6"/>
    <w:rsid w:val="008C0A7B"/>
    <w:rsid w:val="008C1627"/>
    <w:rsid w:val="008C3165"/>
    <w:rsid w:val="008C4B4E"/>
    <w:rsid w:val="008C4F08"/>
    <w:rsid w:val="008C5696"/>
    <w:rsid w:val="008C5A2B"/>
    <w:rsid w:val="008C5BAF"/>
    <w:rsid w:val="008D03D1"/>
    <w:rsid w:val="008D10E8"/>
    <w:rsid w:val="008D18F0"/>
    <w:rsid w:val="008D1BA0"/>
    <w:rsid w:val="008D2C41"/>
    <w:rsid w:val="008D2FAF"/>
    <w:rsid w:val="008D33F1"/>
    <w:rsid w:val="008D4C77"/>
    <w:rsid w:val="008D4EB2"/>
    <w:rsid w:val="008D5647"/>
    <w:rsid w:val="008D60DC"/>
    <w:rsid w:val="008D7319"/>
    <w:rsid w:val="008D74B8"/>
    <w:rsid w:val="008D75F0"/>
    <w:rsid w:val="008E04DC"/>
    <w:rsid w:val="008E06F6"/>
    <w:rsid w:val="008E3249"/>
    <w:rsid w:val="008E4671"/>
    <w:rsid w:val="008E690E"/>
    <w:rsid w:val="008E6B2B"/>
    <w:rsid w:val="008F0FE1"/>
    <w:rsid w:val="008F1CCC"/>
    <w:rsid w:val="008F2433"/>
    <w:rsid w:val="008F35B4"/>
    <w:rsid w:val="008F742E"/>
    <w:rsid w:val="008F7E8C"/>
    <w:rsid w:val="00901CDB"/>
    <w:rsid w:val="00904D20"/>
    <w:rsid w:val="009102E4"/>
    <w:rsid w:val="009121DC"/>
    <w:rsid w:val="0091222C"/>
    <w:rsid w:val="00915451"/>
    <w:rsid w:val="00915ABE"/>
    <w:rsid w:val="009168FB"/>
    <w:rsid w:val="00920C53"/>
    <w:rsid w:val="00921456"/>
    <w:rsid w:val="0092279E"/>
    <w:rsid w:val="00922BB0"/>
    <w:rsid w:val="00922F13"/>
    <w:rsid w:val="00923064"/>
    <w:rsid w:val="009236DF"/>
    <w:rsid w:val="00925030"/>
    <w:rsid w:val="0092528E"/>
    <w:rsid w:val="00926E11"/>
    <w:rsid w:val="009275E3"/>
    <w:rsid w:val="00932581"/>
    <w:rsid w:val="00934163"/>
    <w:rsid w:val="009365B3"/>
    <w:rsid w:val="009367C1"/>
    <w:rsid w:val="00942659"/>
    <w:rsid w:val="009429A6"/>
    <w:rsid w:val="0094550B"/>
    <w:rsid w:val="00946B3A"/>
    <w:rsid w:val="00947A36"/>
    <w:rsid w:val="00947E6A"/>
    <w:rsid w:val="0095053D"/>
    <w:rsid w:val="00951EE2"/>
    <w:rsid w:val="0096224A"/>
    <w:rsid w:val="00962696"/>
    <w:rsid w:val="009633D6"/>
    <w:rsid w:val="00963C89"/>
    <w:rsid w:val="00967E01"/>
    <w:rsid w:val="00970BE4"/>
    <w:rsid w:val="00970BF4"/>
    <w:rsid w:val="00971BC3"/>
    <w:rsid w:val="00973FBD"/>
    <w:rsid w:val="00974842"/>
    <w:rsid w:val="00976F20"/>
    <w:rsid w:val="009779AF"/>
    <w:rsid w:val="00982504"/>
    <w:rsid w:val="00982A28"/>
    <w:rsid w:val="00982A34"/>
    <w:rsid w:val="009832F9"/>
    <w:rsid w:val="00985F72"/>
    <w:rsid w:val="00986627"/>
    <w:rsid w:val="009878BC"/>
    <w:rsid w:val="009901AE"/>
    <w:rsid w:val="00990348"/>
    <w:rsid w:val="0099221E"/>
    <w:rsid w:val="00994019"/>
    <w:rsid w:val="009959CB"/>
    <w:rsid w:val="00995AA8"/>
    <w:rsid w:val="009974B2"/>
    <w:rsid w:val="009974BC"/>
    <w:rsid w:val="00997DA0"/>
    <w:rsid w:val="00997F95"/>
    <w:rsid w:val="009A6C23"/>
    <w:rsid w:val="009B0F63"/>
    <w:rsid w:val="009B159C"/>
    <w:rsid w:val="009B33AE"/>
    <w:rsid w:val="009C0F78"/>
    <w:rsid w:val="009C1E33"/>
    <w:rsid w:val="009C28C0"/>
    <w:rsid w:val="009C3C3D"/>
    <w:rsid w:val="009C3D70"/>
    <w:rsid w:val="009C6C6D"/>
    <w:rsid w:val="009C6E5A"/>
    <w:rsid w:val="009C70AE"/>
    <w:rsid w:val="009D1C07"/>
    <w:rsid w:val="009D1F5B"/>
    <w:rsid w:val="009D2699"/>
    <w:rsid w:val="009D3BF8"/>
    <w:rsid w:val="009D3E24"/>
    <w:rsid w:val="009D5655"/>
    <w:rsid w:val="009D5FD6"/>
    <w:rsid w:val="009D6CD5"/>
    <w:rsid w:val="009D73F2"/>
    <w:rsid w:val="009E0026"/>
    <w:rsid w:val="009E0B7C"/>
    <w:rsid w:val="009E47C6"/>
    <w:rsid w:val="009E5BB4"/>
    <w:rsid w:val="009F0755"/>
    <w:rsid w:val="009F3E8B"/>
    <w:rsid w:val="009F5ACD"/>
    <w:rsid w:val="009F6BF8"/>
    <w:rsid w:val="00A0412F"/>
    <w:rsid w:val="00A069CD"/>
    <w:rsid w:val="00A06C95"/>
    <w:rsid w:val="00A1004F"/>
    <w:rsid w:val="00A1080F"/>
    <w:rsid w:val="00A109F2"/>
    <w:rsid w:val="00A122A9"/>
    <w:rsid w:val="00A13BFA"/>
    <w:rsid w:val="00A13EB5"/>
    <w:rsid w:val="00A148CE"/>
    <w:rsid w:val="00A16FFE"/>
    <w:rsid w:val="00A20BB5"/>
    <w:rsid w:val="00A21B64"/>
    <w:rsid w:val="00A246ED"/>
    <w:rsid w:val="00A26502"/>
    <w:rsid w:val="00A27FFB"/>
    <w:rsid w:val="00A31496"/>
    <w:rsid w:val="00A3190F"/>
    <w:rsid w:val="00A3339B"/>
    <w:rsid w:val="00A33D49"/>
    <w:rsid w:val="00A34085"/>
    <w:rsid w:val="00A34174"/>
    <w:rsid w:val="00A35825"/>
    <w:rsid w:val="00A35DB2"/>
    <w:rsid w:val="00A4124E"/>
    <w:rsid w:val="00A417E9"/>
    <w:rsid w:val="00A41B54"/>
    <w:rsid w:val="00A42025"/>
    <w:rsid w:val="00A42495"/>
    <w:rsid w:val="00A42824"/>
    <w:rsid w:val="00A428AA"/>
    <w:rsid w:val="00A4402D"/>
    <w:rsid w:val="00A46B58"/>
    <w:rsid w:val="00A46C53"/>
    <w:rsid w:val="00A47927"/>
    <w:rsid w:val="00A52797"/>
    <w:rsid w:val="00A542D0"/>
    <w:rsid w:val="00A55C9C"/>
    <w:rsid w:val="00A560CC"/>
    <w:rsid w:val="00A57535"/>
    <w:rsid w:val="00A62A0E"/>
    <w:rsid w:val="00A63385"/>
    <w:rsid w:val="00A63F49"/>
    <w:rsid w:val="00A67D91"/>
    <w:rsid w:val="00A75DA2"/>
    <w:rsid w:val="00A75ED9"/>
    <w:rsid w:val="00A7695B"/>
    <w:rsid w:val="00A81ABF"/>
    <w:rsid w:val="00A82011"/>
    <w:rsid w:val="00A82966"/>
    <w:rsid w:val="00A8301E"/>
    <w:rsid w:val="00A83868"/>
    <w:rsid w:val="00A83C1D"/>
    <w:rsid w:val="00A8497B"/>
    <w:rsid w:val="00A84BAC"/>
    <w:rsid w:val="00A86793"/>
    <w:rsid w:val="00A913F3"/>
    <w:rsid w:val="00A920CD"/>
    <w:rsid w:val="00A94F5A"/>
    <w:rsid w:val="00AA3E63"/>
    <w:rsid w:val="00AA41A1"/>
    <w:rsid w:val="00AA41C8"/>
    <w:rsid w:val="00AA45FD"/>
    <w:rsid w:val="00AA4A87"/>
    <w:rsid w:val="00AA7B19"/>
    <w:rsid w:val="00AB2E12"/>
    <w:rsid w:val="00AB48C0"/>
    <w:rsid w:val="00AB7268"/>
    <w:rsid w:val="00AB7614"/>
    <w:rsid w:val="00AC08AD"/>
    <w:rsid w:val="00AC1912"/>
    <w:rsid w:val="00AC1CC5"/>
    <w:rsid w:val="00AC1D49"/>
    <w:rsid w:val="00AC225D"/>
    <w:rsid w:val="00AC455B"/>
    <w:rsid w:val="00AC47CB"/>
    <w:rsid w:val="00AC6DCD"/>
    <w:rsid w:val="00AC6E76"/>
    <w:rsid w:val="00AC7714"/>
    <w:rsid w:val="00AD1084"/>
    <w:rsid w:val="00AD16CC"/>
    <w:rsid w:val="00AD2186"/>
    <w:rsid w:val="00AD2803"/>
    <w:rsid w:val="00AD3CC2"/>
    <w:rsid w:val="00AD42B3"/>
    <w:rsid w:val="00AD4694"/>
    <w:rsid w:val="00AD6971"/>
    <w:rsid w:val="00AD7821"/>
    <w:rsid w:val="00AE03E8"/>
    <w:rsid w:val="00AF3407"/>
    <w:rsid w:val="00AF3BAE"/>
    <w:rsid w:val="00AF4386"/>
    <w:rsid w:val="00AF5D3B"/>
    <w:rsid w:val="00B015C5"/>
    <w:rsid w:val="00B03AC5"/>
    <w:rsid w:val="00B0614E"/>
    <w:rsid w:val="00B075C8"/>
    <w:rsid w:val="00B10676"/>
    <w:rsid w:val="00B12AD1"/>
    <w:rsid w:val="00B14F8F"/>
    <w:rsid w:val="00B165D9"/>
    <w:rsid w:val="00B166B1"/>
    <w:rsid w:val="00B17564"/>
    <w:rsid w:val="00B201ED"/>
    <w:rsid w:val="00B204CB"/>
    <w:rsid w:val="00B22141"/>
    <w:rsid w:val="00B23078"/>
    <w:rsid w:val="00B24490"/>
    <w:rsid w:val="00B2452B"/>
    <w:rsid w:val="00B25AEB"/>
    <w:rsid w:val="00B26860"/>
    <w:rsid w:val="00B271F9"/>
    <w:rsid w:val="00B2757D"/>
    <w:rsid w:val="00B31151"/>
    <w:rsid w:val="00B31BDE"/>
    <w:rsid w:val="00B332BA"/>
    <w:rsid w:val="00B36BB5"/>
    <w:rsid w:val="00B36C8C"/>
    <w:rsid w:val="00B371B2"/>
    <w:rsid w:val="00B47239"/>
    <w:rsid w:val="00B5043C"/>
    <w:rsid w:val="00B50793"/>
    <w:rsid w:val="00B52755"/>
    <w:rsid w:val="00B52EDA"/>
    <w:rsid w:val="00B5516F"/>
    <w:rsid w:val="00B55F0F"/>
    <w:rsid w:val="00B623B4"/>
    <w:rsid w:val="00B64308"/>
    <w:rsid w:val="00B64BF8"/>
    <w:rsid w:val="00B66044"/>
    <w:rsid w:val="00B6765B"/>
    <w:rsid w:val="00B71950"/>
    <w:rsid w:val="00B72CE7"/>
    <w:rsid w:val="00B74563"/>
    <w:rsid w:val="00B75E68"/>
    <w:rsid w:val="00B814E5"/>
    <w:rsid w:val="00B83186"/>
    <w:rsid w:val="00B84467"/>
    <w:rsid w:val="00B8455E"/>
    <w:rsid w:val="00B854FF"/>
    <w:rsid w:val="00B8643D"/>
    <w:rsid w:val="00B87154"/>
    <w:rsid w:val="00B874FE"/>
    <w:rsid w:val="00B87AEF"/>
    <w:rsid w:val="00B87BAD"/>
    <w:rsid w:val="00B95B66"/>
    <w:rsid w:val="00B960E1"/>
    <w:rsid w:val="00B97561"/>
    <w:rsid w:val="00BA1C6B"/>
    <w:rsid w:val="00BA27DD"/>
    <w:rsid w:val="00BA2D48"/>
    <w:rsid w:val="00BA2D4A"/>
    <w:rsid w:val="00BA3EBA"/>
    <w:rsid w:val="00BA483E"/>
    <w:rsid w:val="00BA511E"/>
    <w:rsid w:val="00BB14D1"/>
    <w:rsid w:val="00BB1827"/>
    <w:rsid w:val="00BB34AB"/>
    <w:rsid w:val="00BB3EFA"/>
    <w:rsid w:val="00BB7F05"/>
    <w:rsid w:val="00BC129B"/>
    <w:rsid w:val="00BC2100"/>
    <w:rsid w:val="00BC2155"/>
    <w:rsid w:val="00BC26DE"/>
    <w:rsid w:val="00BC352A"/>
    <w:rsid w:val="00BC3F98"/>
    <w:rsid w:val="00BC4B1A"/>
    <w:rsid w:val="00BC6F1A"/>
    <w:rsid w:val="00BC79E1"/>
    <w:rsid w:val="00BD1370"/>
    <w:rsid w:val="00BD1CE7"/>
    <w:rsid w:val="00BD24CB"/>
    <w:rsid w:val="00BD2E2C"/>
    <w:rsid w:val="00BD4559"/>
    <w:rsid w:val="00BD46C9"/>
    <w:rsid w:val="00BD6BE2"/>
    <w:rsid w:val="00BE1C0F"/>
    <w:rsid w:val="00BE6758"/>
    <w:rsid w:val="00BE6DAC"/>
    <w:rsid w:val="00BE787A"/>
    <w:rsid w:val="00BF1A1D"/>
    <w:rsid w:val="00BF1F21"/>
    <w:rsid w:val="00BF20B3"/>
    <w:rsid w:val="00BF2432"/>
    <w:rsid w:val="00BF3AE6"/>
    <w:rsid w:val="00BF49F1"/>
    <w:rsid w:val="00BF66D8"/>
    <w:rsid w:val="00BF7002"/>
    <w:rsid w:val="00C00770"/>
    <w:rsid w:val="00C060CA"/>
    <w:rsid w:val="00C06DC1"/>
    <w:rsid w:val="00C13769"/>
    <w:rsid w:val="00C138CC"/>
    <w:rsid w:val="00C14266"/>
    <w:rsid w:val="00C144A3"/>
    <w:rsid w:val="00C1593D"/>
    <w:rsid w:val="00C20E17"/>
    <w:rsid w:val="00C21F69"/>
    <w:rsid w:val="00C22211"/>
    <w:rsid w:val="00C22F76"/>
    <w:rsid w:val="00C260BB"/>
    <w:rsid w:val="00C2701B"/>
    <w:rsid w:val="00C34931"/>
    <w:rsid w:val="00C35376"/>
    <w:rsid w:val="00C374BF"/>
    <w:rsid w:val="00C4080F"/>
    <w:rsid w:val="00C40B1B"/>
    <w:rsid w:val="00C42554"/>
    <w:rsid w:val="00C4327D"/>
    <w:rsid w:val="00C4637F"/>
    <w:rsid w:val="00C46818"/>
    <w:rsid w:val="00C50494"/>
    <w:rsid w:val="00C50AFC"/>
    <w:rsid w:val="00C51BDB"/>
    <w:rsid w:val="00C520E8"/>
    <w:rsid w:val="00C52271"/>
    <w:rsid w:val="00C52C9B"/>
    <w:rsid w:val="00C53E6B"/>
    <w:rsid w:val="00C53FFF"/>
    <w:rsid w:val="00C540D6"/>
    <w:rsid w:val="00C63691"/>
    <w:rsid w:val="00C63AD2"/>
    <w:rsid w:val="00C641C9"/>
    <w:rsid w:val="00C66B31"/>
    <w:rsid w:val="00C70366"/>
    <w:rsid w:val="00C714CF"/>
    <w:rsid w:val="00C71782"/>
    <w:rsid w:val="00C71866"/>
    <w:rsid w:val="00C73630"/>
    <w:rsid w:val="00C73CC3"/>
    <w:rsid w:val="00C74017"/>
    <w:rsid w:val="00C7679B"/>
    <w:rsid w:val="00C80406"/>
    <w:rsid w:val="00C80B9B"/>
    <w:rsid w:val="00C81C23"/>
    <w:rsid w:val="00C81FB8"/>
    <w:rsid w:val="00C8364C"/>
    <w:rsid w:val="00C8532F"/>
    <w:rsid w:val="00C860C1"/>
    <w:rsid w:val="00C860C2"/>
    <w:rsid w:val="00C9017F"/>
    <w:rsid w:val="00C90979"/>
    <w:rsid w:val="00C94771"/>
    <w:rsid w:val="00CA214F"/>
    <w:rsid w:val="00CA28EC"/>
    <w:rsid w:val="00CA28F7"/>
    <w:rsid w:val="00CA2DA2"/>
    <w:rsid w:val="00CA31DC"/>
    <w:rsid w:val="00CA402A"/>
    <w:rsid w:val="00CA6D7C"/>
    <w:rsid w:val="00CB0EA3"/>
    <w:rsid w:val="00CB1865"/>
    <w:rsid w:val="00CB3BB5"/>
    <w:rsid w:val="00CB42AB"/>
    <w:rsid w:val="00CB699B"/>
    <w:rsid w:val="00CB7CCC"/>
    <w:rsid w:val="00CB7F1B"/>
    <w:rsid w:val="00CC3A5F"/>
    <w:rsid w:val="00CC6DE0"/>
    <w:rsid w:val="00CC71DF"/>
    <w:rsid w:val="00CD0090"/>
    <w:rsid w:val="00CD630A"/>
    <w:rsid w:val="00CD6747"/>
    <w:rsid w:val="00CD7A4A"/>
    <w:rsid w:val="00CD7F10"/>
    <w:rsid w:val="00CE33CA"/>
    <w:rsid w:val="00CE382D"/>
    <w:rsid w:val="00CE48FE"/>
    <w:rsid w:val="00CE5B57"/>
    <w:rsid w:val="00CE79EE"/>
    <w:rsid w:val="00CF055B"/>
    <w:rsid w:val="00CF0951"/>
    <w:rsid w:val="00CF7925"/>
    <w:rsid w:val="00CF7F90"/>
    <w:rsid w:val="00D03E8C"/>
    <w:rsid w:val="00D06D17"/>
    <w:rsid w:val="00D06D52"/>
    <w:rsid w:val="00D0719A"/>
    <w:rsid w:val="00D076A6"/>
    <w:rsid w:val="00D10704"/>
    <w:rsid w:val="00D12D5F"/>
    <w:rsid w:val="00D1393D"/>
    <w:rsid w:val="00D13B73"/>
    <w:rsid w:val="00D174D7"/>
    <w:rsid w:val="00D17874"/>
    <w:rsid w:val="00D17C59"/>
    <w:rsid w:val="00D203D7"/>
    <w:rsid w:val="00D20600"/>
    <w:rsid w:val="00D21F46"/>
    <w:rsid w:val="00D21FF5"/>
    <w:rsid w:val="00D246B7"/>
    <w:rsid w:val="00D27999"/>
    <w:rsid w:val="00D332C6"/>
    <w:rsid w:val="00D34EF6"/>
    <w:rsid w:val="00D35388"/>
    <w:rsid w:val="00D35B2B"/>
    <w:rsid w:val="00D364A5"/>
    <w:rsid w:val="00D364D9"/>
    <w:rsid w:val="00D37A8D"/>
    <w:rsid w:val="00D404FA"/>
    <w:rsid w:val="00D40CF8"/>
    <w:rsid w:val="00D44717"/>
    <w:rsid w:val="00D4491F"/>
    <w:rsid w:val="00D44EA4"/>
    <w:rsid w:val="00D4719E"/>
    <w:rsid w:val="00D47B65"/>
    <w:rsid w:val="00D47DB8"/>
    <w:rsid w:val="00D50D61"/>
    <w:rsid w:val="00D51607"/>
    <w:rsid w:val="00D57337"/>
    <w:rsid w:val="00D60F3E"/>
    <w:rsid w:val="00D62449"/>
    <w:rsid w:val="00D633C8"/>
    <w:rsid w:val="00D65529"/>
    <w:rsid w:val="00D6587E"/>
    <w:rsid w:val="00D679CD"/>
    <w:rsid w:val="00D72351"/>
    <w:rsid w:val="00D750D5"/>
    <w:rsid w:val="00D76A88"/>
    <w:rsid w:val="00D778D9"/>
    <w:rsid w:val="00D77CC5"/>
    <w:rsid w:val="00D80872"/>
    <w:rsid w:val="00D82DDD"/>
    <w:rsid w:val="00D85282"/>
    <w:rsid w:val="00D90904"/>
    <w:rsid w:val="00D927D3"/>
    <w:rsid w:val="00D92F01"/>
    <w:rsid w:val="00D937AB"/>
    <w:rsid w:val="00D95838"/>
    <w:rsid w:val="00D96688"/>
    <w:rsid w:val="00DA31F7"/>
    <w:rsid w:val="00DA33FB"/>
    <w:rsid w:val="00DA3F6C"/>
    <w:rsid w:val="00DA4157"/>
    <w:rsid w:val="00DA5A7E"/>
    <w:rsid w:val="00DA5C62"/>
    <w:rsid w:val="00DB040F"/>
    <w:rsid w:val="00DB22FE"/>
    <w:rsid w:val="00DB32B7"/>
    <w:rsid w:val="00DB3BCB"/>
    <w:rsid w:val="00DB5932"/>
    <w:rsid w:val="00DB67F2"/>
    <w:rsid w:val="00DB7EA6"/>
    <w:rsid w:val="00DC199E"/>
    <w:rsid w:val="00DC2C71"/>
    <w:rsid w:val="00DC2DEF"/>
    <w:rsid w:val="00DC3527"/>
    <w:rsid w:val="00DC52F0"/>
    <w:rsid w:val="00DD6455"/>
    <w:rsid w:val="00DE0E3C"/>
    <w:rsid w:val="00DE1738"/>
    <w:rsid w:val="00DE30F3"/>
    <w:rsid w:val="00DE475B"/>
    <w:rsid w:val="00DE5BAB"/>
    <w:rsid w:val="00DF0128"/>
    <w:rsid w:val="00DF0925"/>
    <w:rsid w:val="00DF1598"/>
    <w:rsid w:val="00DF23E5"/>
    <w:rsid w:val="00DF24E6"/>
    <w:rsid w:val="00DF3387"/>
    <w:rsid w:val="00DF6949"/>
    <w:rsid w:val="00DF69B2"/>
    <w:rsid w:val="00E01927"/>
    <w:rsid w:val="00E026C4"/>
    <w:rsid w:val="00E037F4"/>
    <w:rsid w:val="00E03B32"/>
    <w:rsid w:val="00E06B2C"/>
    <w:rsid w:val="00E079EC"/>
    <w:rsid w:val="00E101E1"/>
    <w:rsid w:val="00E111F7"/>
    <w:rsid w:val="00E14CF5"/>
    <w:rsid w:val="00E14F7B"/>
    <w:rsid w:val="00E15E5E"/>
    <w:rsid w:val="00E1742A"/>
    <w:rsid w:val="00E202FB"/>
    <w:rsid w:val="00E2376F"/>
    <w:rsid w:val="00E242E2"/>
    <w:rsid w:val="00E243D0"/>
    <w:rsid w:val="00E310CE"/>
    <w:rsid w:val="00E3264A"/>
    <w:rsid w:val="00E358D9"/>
    <w:rsid w:val="00E35C83"/>
    <w:rsid w:val="00E36D87"/>
    <w:rsid w:val="00E379FF"/>
    <w:rsid w:val="00E40D3F"/>
    <w:rsid w:val="00E4294E"/>
    <w:rsid w:val="00E436E5"/>
    <w:rsid w:val="00E445C1"/>
    <w:rsid w:val="00E44C56"/>
    <w:rsid w:val="00E44F28"/>
    <w:rsid w:val="00E4774F"/>
    <w:rsid w:val="00E47E2A"/>
    <w:rsid w:val="00E509A4"/>
    <w:rsid w:val="00E50CEF"/>
    <w:rsid w:val="00E51940"/>
    <w:rsid w:val="00E51C37"/>
    <w:rsid w:val="00E54DC2"/>
    <w:rsid w:val="00E564ED"/>
    <w:rsid w:val="00E61ECB"/>
    <w:rsid w:val="00E630A4"/>
    <w:rsid w:val="00E64C02"/>
    <w:rsid w:val="00E65542"/>
    <w:rsid w:val="00E6555F"/>
    <w:rsid w:val="00E66816"/>
    <w:rsid w:val="00E704E8"/>
    <w:rsid w:val="00E71831"/>
    <w:rsid w:val="00E73ED7"/>
    <w:rsid w:val="00E746D4"/>
    <w:rsid w:val="00E756FD"/>
    <w:rsid w:val="00E7732C"/>
    <w:rsid w:val="00E779F2"/>
    <w:rsid w:val="00E85A5D"/>
    <w:rsid w:val="00E85EE5"/>
    <w:rsid w:val="00E913F6"/>
    <w:rsid w:val="00E94332"/>
    <w:rsid w:val="00E96AC0"/>
    <w:rsid w:val="00E9724C"/>
    <w:rsid w:val="00E975B5"/>
    <w:rsid w:val="00EA0894"/>
    <w:rsid w:val="00EA09D8"/>
    <w:rsid w:val="00EA272C"/>
    <w:rsid w:val="00EA3883"/>
    <w:rsid w:val="00EA4E04"/>
    <w:rsid w:val="00EA6C33"/>
    <w:rsid w:val="00EA7851"/>
    <w:rsid w:val="00EB03D6"/>
    <w:rsid w:val="00EB1D52"/>
    <w:rsid w:val="00EB272D"/>
    <w:rsid w:val="00EB2AA8"/>
    <w:rsid w:val="00EB489F"/>
    <w:rsid w:val="00EB54C3"/>
    <w:rsid w:val="00EB55CC"/>
    <w:rsid w:val="00EB7162"/>
    <w:rsid w:val="00EC2B40"/>
    <w:rsid w:val="00EC522C"/>
    <w:rsid w:val="00EC5423"/>
    <w:rsid w:val="00EC559B"/>
    <w:rsid w:val="00ED0EF2"/>
    <w:rsid w:val="00ED1935"/>
    <w:rsid w:val="00ED2873"/>
    <w:rsid w:val="00ED297A"/>
    <w:rsid w:val="00ED3A22"/>
    <w:rsid w:val="00ED3F65"/>
    <w:rsid w:val="00ED42C6"/>
    <w:rsid w:val="00ED645A"/>
    <w:rsid w:val="00ED6A19"/>
    <w:rsid w:val="00EE031D"/>
    <w:rsid w:val="00EE05E3"/>
    <w:rsid w:val="00EE12B3"/>
    <w:rsid w:val="00EE20AB"/>
    <w:rsid w:val="00EE2708"/>
    <w:rsid w:val="00EE2E80"/>
    <w:rsid w:val="00EE38FD"/>
    <w:rsid w:val="00EE3BAB"/>
    <w:rsid w:val="00EE6730"/>
    <w:rsid w:val="00EE7929"/>
    <w:rsid w:val="00EE7FB7"/>
    <w:rsid w:val="00EF0607"/>
    <w:rsid w:val="00EF104A"/>
    <w:rsid w:val="00EF1C44"/>
    <w:rsid w:val="00EF2603"/>
    <w:rsid w:val="00EF4C08"/>
    <w:rsid w:val="00EF4E25"/>
    <w:rsid w:val="00EF573F"/>
    <w:rsid w:val="00EF674B"/>
    <w:rsid w:val="00EF6CC4"/>
    <w:rsid w:val="00F013EE"/>
    <w:rsid w:val="00F053A8"/>
    <w:rsid w:val="00F05D58"/>
    <w:rsid w:val="00F07DCB"/>
    <w:rsid w:val="00F1217E"/>
    <w:rsid w:val="00F13741"/>
    <w:rsid w:val="00F1379A"/>
    <w:rsid w:val="00F14E9E"/>
    <w:rsid w:val="00F16887"/>
    <w:rsid w:val="00F20196"/>
    <w:rsid w:val="00F20582"/>
    <w:rsid w:val="00F20942"/>
    <w:rsid w:val="00F219F6"/>
    <w:rsid w:val="00F22A70"/>
    <w:rsid w:val="00F237B6"/>
    <w:rsid w:val="00F30B81"/>
    <w:rsid w:val="00F3458F"/>
    <w:rsid w:val="00F3573D"/>
    <w:rsid w:val="00F36CCE"/>
    <w:rsid w:val="00F3735C"/>
    <w:rsid w:val="00F44A1D"/>
    <w:rsid w:val="00F4505D"/>
    <w:rsid w:val="00F45CD1"/>
    <w:rsid w:val="00F4623D"/>
    <w:rsid w:val="00F51F44"/>
    <w:rsid w:val="00F52754"/>
    <w:rsid w:val="00F567E7"/>
    <w:rsid w:val="00F60C16"/>
    <w:rsid w:val="00F62604"/>
    <w:rsid w:val="00F6562F"/>
    <w:rsid w:val="00F66B3A"/>
    <w:rsid w:val="00F729E2"/>
    <w:rsid w:val="00F7391A"/>
    <w:rsid w:val="00F739EB"/>
    <w:rsid w:val="00F8207C"/>
    <w:rsid w:val="00F839BE"/>
    <w:rsid w:val="00F85B33"/>
    <w:rsid w:val="00F87C74"/>
    <w:rsid w:val="00F9301C"/>
    <w:rsid w:val="00F9442F"/>
    <w:rsid w:val="00F9624A"/>
    <w:rsid w:val="00F97664"/>
    <w:rsid w:val="00F97F7B"/>
    <w:rsid w:val="00FA0088"/>
    <w:rsid w:val="00FA4C7A"/>
    <w:rsid w:val="00FA4FD3"/>
    <w:rsid w:val="00FB1B22"/>
    <w:rsid w:val="00FB6F7D"/>
    <w:rsid w:val="00FC0728"/>
    <w:rsid w:val="00FC44E2"/>
    <w:rsid w:val="00FC492D"/>
    <w:rsid w:val="00FC4C4A"/>
    <w:rsid w:val="00FD0B2E"/>
    <w:rsid w:val="00FD1FEA"/>
    <w:rsid w:val="00FD2715"/>
    <w:rsid w:val="00FD7A57"/>
    <w:rsid w:val="00FE293E"/>
    <w:rsid w:val="00FE2A60"/>
    <w:rsid w:val="00FE4924"/>
    <w:rsid w:val="00FE6030"/>
    <w:rsid w:val="00FE756D"/>
    <w:rsid w:val="00FF24CA"/>
    <w:rsid w:val="00FF30EB"/>
    <w:rsid w:val="00FF33A5"/>
    <w:rsid w:val="00FF4390"/>
    <w:rsid w:val="00FF4FBA"/>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enu v:ext="edit" fillcolor="none"/>
    </o:shapedefaults>
    <o:shapelayout v:ext="edit">
      <o:idmap v:ext="edit" data="1"/>
    </o:shapelayout>
  </w:shapeDefaults>
  <w:decimalSymbol w:val="."/>
  <w:listSeparator w:val=","/>
  <w14:docId w14:val="1ECD1A45"/>
  <w15:docId w15:val="{9E52CFEB-C5B1-4A0F-9B3C-BE844E2B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F6C"/>
    <w:rPr>
      <w:rFonts w:ascii="Calibri" w:eastAsia="Calibri" w:hAnsi="Calibri" w:cs="Calibri"/>
      <w:lang w:val="en-GB" w:eastAsia="en-GB" w:bidi="en-GB"/>
    </w:rPr>
  </w:style>
  <w:style w:type="paragraph" w:styleId="Heading1">
    <w:name w:val="heading 1"/>
    <w:basedOn w:val="Normal"/>
    <w:link w:val="Heading1Char"/>
    <w:uiPriority w:val="9"/>
    <w:qFormat/>
    <w:pPr>
      <w:ind w:left="20"/>
      <w:outlineLvl w:val="0"/>
    </w:pPr>
    <w:rPr>
      <w:b/>
      <w:bCs/>
      <w:sz w:val="20"/>
      <w:szCs w:val="20"/>
    </w:rPr>
  </w:style>
  <w:style w:type="paragraph" w:styleId="Heading2">
    <w:name w:val="heading 2"/>
    <w:basedOn w:val="Normal"/>
    <w:link w:val="Heading2Char"/>
    <w:uiPriority w:val="9"/>
    <w:unhideWhenUsed/>
    <w:qFormat/>
    <w:rsid w:val="00915451"/>
    <w:pPr>
      <w:numPr>
        <w:numId w:val="52"/>
      </w:numPr>
      <w:tabs>
        <w:tab w:val="left" w:pos="567"/>
      </w:tabs>
      <w:spacing w:before="64"/>
      <w:outlineLvl w:val="1"/>
    </w:pPr>
    <w:rPr>
      <w:b/>
      <w:bCs/>
      <w:sz w:val="18"/>
      <w:szCs w:val="18"/>
    </w:rPr>
  </w:style>
  <w:style w:type="paragraph" w:styleId="Heading3">
    <w:name w:val="heading 3"/>
    <w:basedOn w:val="Normal"/>
    <w:uiPriority w:val="9"/>
    <w:unhideWhenUsed/>
    <w:qFormat/>
    <w:pPr>
      <w:spacing w:before="18"/>
      <w:ind w:left="560"/>
      <w:outlineLvl w:val="2"/>
    </w:pPr>
    <w:rPr>
      <w:b/>
      <w:bCs/>
      <w:i/>
      <w:sz w:val="18"/>
      <w:szCs w:val="18"/>
    </w:rPr>
  </w:style>
  <w:style w:type="paragraph" w:styleId="Heading4">
    <w:name w:val="heading 4"/>
    <w:basedOn w:val="Normal"/>
    <w:next w:val="Normal"/>
    <w:link w:val="Heading4Char"/>
    <w:uiPriority w:val="9"/>
    <w:semiHidden/>
    <w:unhideWhenUsed/>
    <w:qFormat/>
    <w:rsid w:val="00B845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455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45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45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45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5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1C"/>
    <w:rPr>
      <w:rFonts w:ascii="Calibri" w:eastAsia="Calibri" w:hAnsi="Calibri" w:cs="Calibri"/>
      <w:b/>
      <w:bCs/>
      <w:sz w:val="20"/>
      <w:szCs w:val="20"/>
      <w:lang w:val="en-GB" w:eastAsia="en-GB" w:bidi="en-GB"/>
    </w:rPr>
  </w:style>
  <w:style w:type="character" w:customStyle="1" w:styleId="Heading2Char">
    <w:name w:val="Heading 2 Char"/>
    <w:basedOn w:val="DefaultParagraphFont"/>
    <w:link w:val="Heading2"/>
    <w:uiPriority w:val="9"/>
    <w:rsid w:val="00915451"/>
    <w:rPr>
      <w:rFonts w:ascii="Calibri" w:eastAsia="Calibri" w:hAnsi="Calibri" w:cs="Calibri"/>
      <w:b/>
      <w:bCs/>
      <w:sz w:val="18"/>
      <w:szCs w:val="18"/>
      <w:lang w:val="en-GB" w:eastAsia="en-GB" w:bidi="en-GB"/>
    </w:rPr>
  </w:style>
  <w:style w:type="paragraph" w:styleId="BodyText">
    <w:name w:val="Body Text"/>
    <w:basedOn w:val="Normal"/>
    <w:link w:val="BodyTextChar"/>
    <w:uiPriority w:val="1"/>
    <w:qFormat/>
    <w:rsid w:val="00B204CB"/>
    <w:pPr>
      <w:spacing w:before="4"/>
    </w:pPr>
    <w:rPr>
      <w:rFonts w:asciiTheme="minorHAnsi" w:hAnsiTheme="minorHAnsi" w:cstheme="minorHAnsi"/>
      <w:sz w:val="18"/>
      <w:szCs w:val="18"/>
    </w:rPr>
  </w:style>
  <w:style w:type="character" w:customStyle="1" w:styleId="BodyTextChar">
    <w:name w:val="Body Text Char"/>
    <w:basedOn w:val="DefaultParagraphFont"/>
    <w:link w:val="BodyText"/>
    <w:uiPriority w:val="1"/>
    <w:rsid w:val="00B204CB"/>
    <w:rPr>
      <w:rFonts w:eastAsia="Calibri" w:cstheme="minorHAnsi"/>
      <w:sz w:val="18"/>
      <w:szCs w:val="18"/>
      <w:lang w:val="en-GB" w:eastAsia="en-GB" w:bidi="en-GB"/>
    </w:rPr>
  </w:style>
  <w:style w:type="paragraph" w:styleId="ListParagraph">
    <w:name w:val="List Paragraph"/>
    <w:basedOn w:val="Normal"/>
    <w:link w:val="ListParagraphChar"/>
    <w:uiPriority w:val="34"/>
    <w:qFormat/>
    <w:pPr>
      <w:ind w:left="920" w:hanging="720"/>
    </w:pPr>
  </w:style>
  <w:style w:type="character" w:customStyle="1" w:styleId="ListParagraphChar">
    <w:name w:val="List Paragraph Char"/>
    <w:basedOn w:val="DefaultParagraphFont"/>
    <w:link w:val="ListParagraph"/>
    <w:uiPriority w:val="34"/>
    <w:rsid w:val="00081EB2"/>
    <w:rPr>
      <w:rFonts w:ascii="Calibri" w:eastAsia="Calibri" w:hAnsi="Calibri" w:cs="Calibri"/>
      <w:lang w:val="en-GB" w:eastAsia="en-GB" w:bidi="en-GB"/>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C4E75"/>
    <w:pPr>
      <w:tabs>
        <w:tab w:val="center" w:pos="4513"/>
        <w:tab w:val="right" w:pos="9026"/>
      </w:tabs>
    </w:pPr>
  </w:style>
  <w:style w:type="character" w:customStyle="1" w:styleId="FooterChar">
    <w:name w:val="Footer Char"/>
    <w:basedOn w:val="DefaultParagraphFont"/>
    <w:link w:val="Footer"/>
    <w:uiPriority w:val="99"/>
    <w:rsid w:val="006C4E75"/>
    <w:rPr>
      <w:rFonts w:ascii="Calibri" w:eastAsia="Calibri" w:hAnsi="Calibri" w:cs="Calibri"/>
      <w:lang w:val="en-GB" w:eastAsia="en-GB" w:bidi="en-GB"/>
    </w:rPr>
  </w:style>
  <w:style w:type="paragraph" w:styleId="Header">
    <w:name w:val="header"/>
    <w:basedOn w:val="Normal"/>
    <w:link w:val="HeaderChar"/>
    <w:unhideWhenUsed/>
    <w:rsid w:val="006C4E75"/>
    <w:pPr>
      <w:tabs>
        <w:tab w:val="center" w:pos="4513"/>
        <w:tab w:val="right" w:pos="9026"/>
      </w:tabs>
    </w:pPr>
  </w:style>
  <w:style w:type="character" w:customStyle="1" w:styleId="HeaderChar">
    <w:name w:val="Header Char"/>
    <w:basedOn w:val="DefaultParagraphFont"/>
    <w:link w:val="Header"/>
    <w:rsid w:val="006C4E75"/>
    <w:rPr>
      <w:rFonts w:ascii="Calibri" w:eastAsia="Calibri" w:hAnsi="Calibri" w:cs="Calibri"/>
      <w:lang w:val="en-GB" w:eastAsia="en-GB" w:bidi="en-GB"/>
    </w:rPr>
  </w:style>
  <w:style w:type="table" w:styleId="TableGrid">
    <w:name w:val="Table Grid"/>
    <w:basedOn w:val="TableNormal"/>
    <w:uiPriority w:val="99"/>
    <w:rsid w:val="00DF338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able Col Head,T1"/>
    <w:basedOn w:val="Normal"/>
    <w:next w:val="Normal"/>
    <w:link w:val="SubtitleChar"/>
    <w:uiPriority w:val="11"/>
    <w:qFormat/>
    <w:rsid w:val="007A1897"/>
    <w:pPr>
      <w:widowControl/>
      <w:autoSpaceDE/>
      <w:autoSpaceDN/>
      <w:jc w:val="right"/>
    </w:pPr>
    <w:rPr>
      <w:rFonts w:asciiTheme="minorHAnsi" w:eastAsiaTheme="minorHAnsi" w:hAnsiTheme="minorHAnsi" w:cstheme="minorBidi"/>
      <w:b/>
      <w:sz w:val="18"/>
      <w:szCs w:val="18"/>
      <w:lang w:eastAsia="en-US" w:bidi="ar-SA"/>
    </w:rPr>
  </w:style>
  <w:style w:type="character" w:customStyle="1" w:styleId="SubtitleChar">
    <w:name w:val="Subtitle Char"/>
    <w:aliases w:val="Table Col Head Char,T1 Char"/>
    <w:basedOn w:val="DefaultParagraphFont"/>
    <w:link w:val="Subtitle"/>
    <w:uiPriority w:val="11"/>
    <w:rsid w:val="007A1897"/>
    <w:rPr>
      <w:b/>
      <w:sz w:val="18"/>
      <w:szCs w:val="18"/>
      <w:lang w:val="en-GB"/>
    </w:rPr>
  </w:style>
  <w:style w:type="paragraph" w:customStyle="1" w:styleId="T2">
    <w:name w:val="T2"/>
    <w:basedOn w:val="Subtitle"/>
    <w:link w:val="T2Char"/>
    <w:qFormat/>
    <w:rsid w:val="00D90904"/>
    <w:rPr>
      <w:b w:val="0"/>
    </w:rPr>
  </w:style>
  <w:style w:type="character" w:customStyle="1" w:styleId="T2Char">
    <w:name w:val="T2 Char"/>
    <w:basedOn w:val="SubtitleChar"/>
    <w:link w:val="T2"/>
    <w:rsid w:val="00D90904"/>
    <w:rPr>
      <w:b w:val="0"/>
      <w:sz w:val="18"/>
      <w:szCs w:val="18"/>
      <w:lang w:val="en-GB"/>
    </w:rPr>
  </w:style>
  <w:style w:type="table" w:customStyle="1" w:styleId="TableGrid1">
    <w:name w:val="Table Grid1"/>
    <w:basedOn w:val="TableNormal"/>
    <w:next w:val="TableGrid"/>
    <w:uiPriority w:val="39"/>
    <w:rsid w:val="003E4E6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006096"/>
    <w:pPr>
      <w:jc w:val="left"/>
    </w:pPr>
  </w:style>
  <w:style w:type="character" w:customStyle="1" w:styleId="TableRowHeadChar">
    <w:name w:val="Table Row Head Char"/>
    <w:basedOn w:val="T2Char"/>
    <w:link w:val="TableRowHead"/>
    <w:rsid w:val="00006096"/>
    <w:rPr>
      <w:b w:val="0"/>
      <w:sz w:val="18"/>
      <w:szCs w:val="18"/>
      <w:lang w:val="en-GB"/>
    </w:rPr>
  </w:style>
  <w:style w:type="paragraph" w:customStyle="1" w:styleId="TableComments">
    <w:name w:val="Table Comments"/>
    <w:basedOn w:val="Normal"/>
    <w:link w:val="TableCommentsChar"/>
    <w:qFormat/>
    <w:rsid w:val="00E310CE"/>
    <w:pPr>
      <w:ind w:left="307" w:right="738"/>
    </w:pPr>
    <w:rPr>
      <w:sz w:val="16"/>
    </w:rPr>
  </w:style>
  <w:style w:type="character" w:customStyle="1" w:styleId="TableCommentsChar">
    <w:name w:val="Table Comments Char"/>
    <w:basedOn w:val="T2Char"/>
    <w:link w:val="TableComments"/>
    <w:rsid w:val="00E310CE"/>
    <w:rPr>
      <w:rFonts w:ascii="Calibri" w:eastAsia="Calibri" w:hAnsi="Calibri" w:cs="Calibri"/>
      <w:b w:val="0"/>
      <w:sz w:val="16"/>
      <w:szCs w:val="18"/>
      <w:lang w:val="en-GB" w:eastAsia="en-GB" w:bidi="en-GB"/>
    </w:rPr>
  </w:style>
  <w:style w:type="character" w:styleId="CommentReference">
    <w:name w:val="annotation reference"/>
    <w:basedOn w:val="DefaultParagraphFont"/>
    <w:uiPriority w:val="99"/>
    <w:semiHidden/>
    <w:unhideWhenUsed/>
    <w:rsid w:val="006849E9"/>
    <w:rPr>
      <w:sz w:val="16"/>
      <w:szCs w:val="16"/>
    </w:rPr>
  </w:style>
  <w:style w:type="paragraph" w:styleId="CommentText">
    <w:name w:val="annotation text"/>
    <w:basedOn w:val="Normal"/>
    <w:link w:val="CommentTextChar"/>
    <w:uiPriority w:val="99"/>
    <w:semiHidden/>
    <w:unhideWhenUsed/>
    <w:rsid w:val="006849E9"/>
    <w:rPr>
      <w:sz w:val="20"/>
      <w:szCs w:val="20"/>
    </w:rPr>
  </w:style>
  <w:style w:type="character" w:customStyle="1" w:styleId="CommentTextChar">
    <w:name w:val="Comment Text Char"/>
    <w:basedOn w:val="DefaultParagraphFont"/>
    <w:link w:val="CommentText"/>
    <w:uiPriority w:val="99"/>
    <w:semiHidden/>
    <w:rsid w:val="006849E9"/>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849E9"/>
    <w:rPr>
      <w:b/>
      <w:bCs/>
    </w:rPr>
  </w:style>
  <w:style w:type="character" w:customStyle="1" w:styleId="CommentSubjectChar">
    <w:name w:val="Comment Subject Char"/>
    <w:basedOn w:val="CommentTextChar"/>
    <w:link w:val="CommentSubject"/>
    <w:uiPriority w:val="99"/>
    <w:semiHidden/>
    <w:rsid w:val="006849E9"/>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68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9E9"/>
    <w:rPr>
      <w:rFonts w:ascii="Segoe UI" w:eastAsia="Calibri" w:hAnsi="Segoe UI" w:cs="Segoe UI"/>
      <w:sz w:val="18"/>
      <w:szCs w:val="18"/>
      <w:lang w:val="en-GB" w:eastAsia="en-GB" w:bidi="en-GB"/>
    </w:rPr>
  </w:style>
  <w:style w:type="paragraph" w:customStyle="1" w:styleId="Style1">
    <w:name w:val="Style1"/>
    <w:basedOn w:val="Heading2"/>
    <w:link w:val="Style1Char"/>
    <w:qFormat/>
    <w:rsid w:val="00915451"/>
    <w:pPr>
      <w:numPr>
        <w:numId w:val="0"/>
      </w:numPr>
    </w:pPr>
  </w:style>
  <w:style w:type="character" w:customStyle="1" w:styleId="Style1Char">
    <w:name w:val="Style1 Char"/>
    <w:basedOn w:val="Heading2Char"/>
    <w:link w:val="Style1"/>
    <w:rsid w:val="00915451"/>
    <w:rPr>
      <w:rFonts w:ascii="Calibri" w:eastAsia="Calibri" w:hAnsi="Calibri" w:cs="Calibri"/>
      <w:b/>
      <w:bCs/>
      <w:sz w:val="18"/>
      <w:szCs w:val="18"/>
      <w:lang w:val="en-GB" w:eastAsia="en-GB" w:bidi="en-GB"/>
    </w:rPr>
  </w:style>
  <w:style w:type="character" w:styleId="Strong">
    <w:name w:val="Strong"/>
    <w:basedOn w:val="DefaultParagraphFont"/>
    <w:uiPriority w:val="22"/>
    <w:qFormat/>
    <w:rsid w:val="00315FFC"/>
    <w:rPr>
      <w:b/>
      <w:bCs/>
    </w:rPr>
  </w:style>
  <w:style w:type="character" w:styleId="SubtleEmphasis">
    <w:name w:val="Subtle Emphasis"/>
    <w:aliases w:val="Table 2"/>
    <w:uiPriority w:val="19"/>
    <w:rsid w:val="00081EB2"/>
  </w:style>
  <w:style w:type="paragraph" w:customStyle="1" w:styleId="Paragraph">
    <w:name w:val="Paragraph"/>
    <w:basedOn w:val="Normal"/>
    <w:link w:val="ParagraphChar"/>
    <w:qFormat/>
    <w:rsid w:val="00081EB2"/>
    <w:pPr>
      <w:widowControl/>
      <w:autoSpaceDE/>
      <w:autoSpaceDN/>
      <w:spacing w:before="160"/>
    </w:pPr>
    <w:rPr>
      <w:rFonts w:asciiTheme="minorHAnsi" w:eastAsiaTheme="minorHAnsi" w:hAnsiTheme="minorHAnsi" w:cstheme="minorBidi"/>
      <w:sz w:val="18"/>
      <w:szCs w:val="18"/>
      <w:lang w:eastAsia="en-US" w:bidi="ar-SA"/>
    </w:rPr>
  </w:style>
  <w:style w:type="character" w:customStyle="1" w:styleId="ParagraphChar">
    <w:name w:val="Paragraph Char"/>
    <w:basedOn w:val="DefaultParagraphFont"/>
    <w:link w:val="Paragraph"/>
    <w:rsid w:val="00081EB2"/>
    <w:rPr>
      <w:sz w:val="18"/>
      <w:szCs w:val="18"/>
      <w:lang w:val="en-GB"/>
    </w:rPr>
  </w:style>
  <w:style w:type="paragraph" w:customStyle="1" w:styleId="ParaBulletStyle">
    <w:name w:val="Para Bullet Style"/>
    <w:basedOn w:val="Paragraph"/>
    <w:link w:val="ParaBulletStyleChar"/>
    <w:qFormat/>
    <w:rsid w:val="00081EB2"/>
    <w:pPr>
      <w:numPr>
        <w:numId w:val="3"/>
      </w:numPr>
      <w:spacing w:before="80"/>
      <w:ind w:left="714" w:hanging="357"/>
    </w:pPr>
  </w:style>
  <w:style w:type="character" w:customStyle="1" w:styleId="ParaBulletStyleChar">
    <w:name w:val="Para Bullet Style Char"/>
    <w:basedOn w:val="ParagraphChar"/>
    <w:link w:val="ParaBulletStyle"/>
    <w:rsid w:val="00081EB2"/>
    <w:rPr>
      <w:sz w:val="18"/>
      <w:szCs w:val="18"/>
      <w:lang w:val="en-GB"/>
    </w:rPr>
  </w:style>
  <w:style w:type="paragraph" w:customStyle="1" w:styleId="Default">
    <w:name w:val="Default"/>
    <w:rsid w:val="00081EB2"/>
    <w:pPr>
      <w:widowControl/>
      <w:adjustRightInd w:val="0"/>
    </w:pPr>
    <w:rPr>
      <w:rFonts w:ascii="Verdana" w:eastAsia="Times New Roman" w:hAnsi="Verdana" w:cs="Times New Roman"/>
      <w:sz w:val="20"/>
      <w:szCs w:val="20"/>
    </w:rPr>
  </w:style>
  <w:style w:type="character" w:styleId="Hyperlink">
    <w:name w:val="Hyperlink"/>
    <w:basedOn w:val="DefaultParagraphFont"/>
    <w:rsid w:val="00081EB2"/>
    <w:rPr>
      <w:rFonts w:cs="Times New Roman"/>
      <w:color w:val="0000FF"/>
      <w:u w:val="single"/>
    </w:rPr>
  </w:style>
  <w:style w:type="paragraph" w:styleId="Revision">
    <w:name w:val="Revision"/>
    <w:hidden/>
    <w:uiPriority w:val="99"/>
    <w:semiHidden/>
    <w:rsid w:val="00CB42AB"/>
    <w:pPr>
      <w:widowControl/>
      <w:autoSpaceDE/>
      <w:autoSpaceDN/>
    </w:pPr>
    <w:rPr>
      <w:rFonts w:ascii="Calibri" w:eastAsia="Calibri" w:hAnsi="Calibri" w:cs="Calibri"/>
      <w:lang w:val="en-GB" w:eastAsia="en-GB" w:bidi="en-GB"/>
    </w:rPr>
  </w:style>
  <w:style w:type="paragraph" w:customStyle="1" w:styleId="SectionH3">
    <w:name w:val="Section H3"/>
    <w:basedOn w:val="Normal"/>
    <w:link w:val="SectionH3Char"/>
    <w:qFormat/>
    <w:rsid w:val="008E06F6"/>
    <w:pPr>
      <w:spacing w:after="120"/>
      <w:jc w:val="both"/>
    </w:pPr>
    <w:rPr>
      <w:rFonts w:cs="Arial"/>
      <w:b/>
      <w:bCs/>
      <w:sz w:val="18"/>
      <w:szCs w:val="18"/>
      <w:lang w:val="en-US"/>
    </w:rPr>
  </w:style>
  <w:style w:type="character" w:customStyle="1" w:styleId="SectionH3Char">
    <w:name w:val="Section H3 Char"/>
    <w:basedOn w:val="DefaultParagraphFont"/>
    <w:link w:val="SectionH3"/>
    <w:rsid w:val="008E06F6"/>
    <w:rPr>
      <w:rFonts w:ascii="Calibri" w:eastAsia="Calibri" w:hAnsi="Calibri" w:cs="Arial"/>
      <w:b/>
      <w:bCs/>
      <w:sz w:val="18"/>
      <w:szCs w:val="18"/>
      <w:lang w:eastAsia="en-GB" w:bidi="en-GB"/>
    </w:rPr>
  </w:style>
  <w:style w:type="paragraph" w:customStyle="1" w:styleId="Body">
    <w:name w:val="Body"/>
    <w:rsid w:val="00E509A4"/>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pt-PT" w:eastAsia="en-GB"/>
      <w14:textOutline w14:w="0" w14:cap="flat" w14:cmpd="sng" w14:algn="ctr">
        <w14:noFill/>
        <w14:prstDash w14:val="solid"/>
        <w14:bevel/>
      </w14:textOutline>
    </w:rPr>
  </w:style>
  <w:style w:type="paragraph" w:styleId="Bibliography">
    <w:name w:val="Bibliography"/>
    <w:basedOn w:val="Normal"/>
    <w:next w:val="Normal"/>
    <w:uiPriority w:val="37"/>
    <w:semiHidden/>
    <w:unhideWhenUsed/>
    <w:rsid w:val="00B8455E"/>
  </w:style>
  <w:style w:type="paragraph" w:styleId="BlockText">
    <w:name w:val="Block Text"/>
    <w:basedOn w:val="Normal"/>
    <w:uiPriority w:val="99"/>
    <w:semiHidden/>
    <w:unhideWhenUsed/>
    <w:rsid w:val="00B845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8455E"/>
    <w:pPr>
      <w:spacing w:after="120" w:line="480" w:lineRule="auto"/>
    </w:pPr>
  </w:style>
  <w:style w:type="character" w:customStyle="1" w:styleId="BodyText2Char">
    <w:name w:val="Body Text 2 Char"/>
    <w:basedOn w:val="DefaultParagraphFont"/>
    <w:link w:val="BodyText2"/>
    <w:uiPriority w:val="99"/>
    <w:semiHidden/>
    <w:rsid w:val="00B8455E"/>
    <w:rPr>
      <w:rFonts w:ascii="Calibri" w:eastAsia="Calibri" w:hAnsi="Calibri" w:cs="Calibri"/>
      <w:lang w:val="en-GB" w:eastAsia="en-GB" w:bidi="en-GB"/>
    </w:rPr>
  </w:style>
  <w:style w:type="paragraph" w:styleId="BodyText3">
    <w:name w:val="Body Text 3"/>
    <w:basedOn w:val="Normal"/>
    <w:link w:val="BodyText3Char"/>
    <w:uiPriority w:val="99"/>
    <w:semiHidden/>
    <w:unhideWhenUsed/>
    <w:rsid w:val="00B8455E"/>
    <w:pPr>
      <w:spacing w:after="120"/>
    </w:pPr>
    <w:rPr>
      <w:sz w:val="16"/>
      <w:szCs w:val="16"/>
    </w:rPr>
  </w:style>
  <w:style w:type="character" w:customStyle="1" w:styleId="BodyText3Char">
    <w:name w:val="Body Text 3 Char"/>
    <w:basedOn w:val="DefaultParagraphFont"/>
    <w:link w:val="BodyText3"/>
    <w:uiPriority w:val="99"/>
    <w:semiHidden/>
    <w:rsid w:val="00B8455E"/>
    <w:rPr>
      <w:rFonts w:ascii="Calibri" w:eastAsia="Calibri" w:hAnsi="Calibri" w:cs="Calibri"/>
      <w:sz w:val="16"/>
      <w:szCs w:val="16"/>
      <w:lang w:val="en-GB" w:eastAsia="en-GB" w:bidi="en-GB"/>
    </w:rPr>
  </w:style>
  <w:style w:type="paragraph" w:styleId="BodyTextFirstIndent">
    <w:name w:val="Body Text First Indent"/>
    <w:basedOn w:val="BodyText"/>
    <w:link w:val="BodyTextFirstIndentChar"/>
    <w:uiPriority w:val="99"/>
    <w:semiHidden/>
    <w:unhideWhenUsed/>
    <w:rsid w:val="00B8455E"/>
    <w:pPr>
      <w:spacing w:before="0"/>
      <w:ind w:firstLine="360"/>
    </w:pPr>
    <w:rPr>
      <w:rFonts w:ascii="Calibri" w:hAnsi="Calibri" w:cs="Calibri"/>
      <w:sz w:val="22"/>
      <w:szCs w:val="22"/>
    </w:rPr>
  </w:style>
  <w:style w:type="character" w:customStyle="1" w:styleId="BodyTextFirstIndentChar">
    <w:name w:val="Body Text First Indent Char"/>
    <w:basedOn w:val="BodyTextChar"/>
    <w:link w:val="BodyTextFirstIndent"/>
    <w:uiPriority w:val="99"/>
    <w:semiHidden/>
    <w:rsid w:val="00B8455E"/>
    <w:rPr>
      <w:rFonts w:ascii="Calibri" w:eastAsia="Calibri" w:hAnsi="Calibri" w:cs="Calibri"/>
      <w:sz w:val="18"/>
      <w:szCs w:val="18"/>
      <w:lang w:val="en-GB" w:eastAsia="en-GB" w:bidi="en-GB"/>
    </w:rPr>
  </w:style>
  <w:style w:type="paragraph" w:styleId="BodyTextIndent">
    <w:name w:val="Body Text Indent"/>
    <w:basedOn w:val="Normal"/>
    <w:link w:val="BodyTextIndentChar"/>
    <w:uiPriority w:val="99"/>
    <w:semiHidden/>
    <w:unhideWhenUsed/>
    <w:rsid w:val="00B8455E"/>
    <w:pPr>
      <w:spacing w:after="120"/>
      <w:ind w:left="283"/>
    </w:pPr>
  </w:style>
  <w:style w:type="character" w:customStyle="1" w:styleId="BodyTextIndentChar">
    <w:name w:val="Body Text Indent Char"/>
    <w:basedOn w:val="DefaultParagraphFont"/>
    <w:link w:val="BodyTextIndent"/>
    <w:uiPriority w:val="99"/>
    <w:semiHidden/>
    <w:rsid w:val="00B8455E"/>
    <w:rPr>
      <w:rFonts w:ascii="Calibri" w:eastAsia="Calibri" w:hAnsi="Calibri" w:cs="Calibri"/>
      <w:lang w:val="en-GB" w:eastAsia="en-GB" w:bidi="en-GB"/>
    </w:rPr>
  </w:style>
  <w:style w:type="paragraph" w:styleId="BodyTextFirstIndent2">
    <w:name w:val="Body Text First Indent 2"/>
    <w:basedOn w:val="BodyTextIndent"/>
    <w:link w:val="BodyTextFirstIndent2Char"/>
    <w:uiPriority w:val="99"/>
    <w:semiHidden/>
    <w:unhideWhenUsed/>
    <w:rsid w:val="00B8455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8455E"/>
    <w:rPr>
      <w:rFonts w:ascii="Calibri" w:eastAsia="Calibri" w:hAnsi="Calibri" w:cs="Calibri"/>
      <w:lang w:val="en-GB" w:eastAsia="en-GB" w:bidi="en-GB"/>
    </w:rPr>
  </w:style>
  <w:style w:type="paragraph" w:styleId="BodyTextIndent2">
    <w:name w:val="Body Text Indent 2"/>
    <w:basedOn w:val="Normal"/>
    <w:link w:val="BodyTextIndent2Char"/>
    <w:uiPriority w:val="99"/>
    <w:semiHidden/>
    <w:unhideWhenUsed/>
    <w:rsid w:val="00B8455E"/>
    <w:pPr>
      <w:spacing w:after="120" w:line="480" w:lineRule="auto"/>
      <w:ind w:left="283"/>
    </w:pPr>
  </w:style>
  <w:style w:type="character" w:customStyle="1" w:styleId="BodyTextIndent2Char">
    <w:name w:val="Body Text Indent 2 Char"/>
    <w:basedOn w:val="DefaultParagraphFont"/>
    <w:link w:val="BodyTextIndent2"/>
    <w:uiPriority w:val="99"/>
    <w:semiHidden/>
    <w:rsid w:val="00B8455E"/>
    <w:rPr>
      <w:rFonts w:ascii="Calibri" w:eastAsia="Calibri" w:hAnsi="Calibri" w:cs="Calibri"/>
      <w:lang w:val="en-GB" w:eastAsia="en-GB" w:bidi="en-GB"/>
    </w:rPr>
  </w:style>
  <w:style w:type="paragraph" w:styleId="BodyTextIndent3">
    <w:name w:val="Body Text Indent 3"/>
    <w:basedOn w:val="Normal"/>
    <w:link w:val="BodyTextIndent3Char"/>
    <w:uiPriority w:val="99"/>
    <w:semiHidden/>
    <w:unhideWhenUsed/>
    <w:rsid w:val="00B845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455E"/>
    <w:rPr>
      <w:rFonts w:ascii="Calibri" w:eastAsia="Calibri" w:hAnsi="Calibri" w:cs="Calibri"/>
      <w:sz w:val="16"/>
      <w:szCs w:val="16"/>
      <w:lang w:val="en-GB" w:eastAsia="en-GB" w:bidi="en-GB"/>
    </w:rPr>
  </w:style>
  <w:style w:type="paragraph" w:styleId="Caption">
    <w:name w:val="caption"/>
    <w:basedOn w:val="Normal"/>
    <w:next w:val="Normal"/>
    <w:uiPriority w:val="35"/>
    <w:semiHidden/>
    <w:unhideWhenUsed/>
    <w:qFormat/>
    <w:rsid w:val="00B8455E"/>
    <w:pPr>
      <w:spacing w:after="200"/>
    </w:pPr>
    <w:rPr>
      <w:i/>
      <w:iCs/>
      <w:color w:val="1F497D" w:themeColor="text2"/>
      <w:sz w:val="18"/>
      <w:szCs w:val="18"/>
    </w:rPr>
  </w:style>
  <w:style w:type="paragraph" w:styleId="Closing">
    <w:name w:val="Closing"/>
    <w:basedOn w:val="Normal"/>
    <w:link w:val="ClosingChar"/>
    <w:uiPriority w:val="99"/>
    <w:semiHidden/>
    <w:unhideWhenUsed/>
    <w:rsid w:val="00B8455E"/>
    <w:pPr>
      <w:ind w:left="4252"/>
    </w:pPr>
  </w:style>
  <w:style w:type="character" w:customStyle="1" w:styleId="ClosingChar">
    <w:name w:val="Closing Char"/>
    <w:basedOn w:val="DefaultParagraphFont"/>
    <w:link w:val="Closing"/>
    <w:uiPriority w:val="99"/>
    <w:semiHidden/>
    <w:rsid w:val="00B8455E"/>
    <w:rPr>
      <w:rFonts w:ascii="Calibri" w:eastAsia="Calibri" w:hAnsi="Calibri" w:cs="Calibri"/>
      <w:lang w:val="en-GB" w:eastAsia="en-GB" w:bidi="en-GB"/>
    </w:rPr>
  </w:style>
  <w:style w:type="paragraph" w:styleId="Date">
    <w:name w:val="Date"/>
    <w:basedOn w:val="Normal"/>
    <w:next w:val="Normal"/>
    <w:link w:val="DateChar"/>
    <w:uiPriority w:val="99"/>
    <w:semiHidden/>
    <w:unhideWhenUsed/>
    <w:rsid w:val="00B8455E"/>
  </w:style>
  <w:style w:type="character" w:customStyle="1" w:styleId="DateChar">
    <w:name w:val="Date Char"/>
    <w:basedOn w:val="DefaultParagraphFont"/>
    <w:link w:val="Date"/>
    <w:uiPriority w:val="99"/>
    <w:semiHidden/>
    <w:rsid w:val="00B8455E"/>
    <w:rPr>
      <w:rFonts w:ascii="Calibri" w:eastAsia="Calibri" w:hAnsi="Calibri" w:cs="Calibri"/>
      <w:lang w:val="en-GB" w:eastAsia="en-GB" w:bidi="en-GB"/>
    </w:rPr>
  </w:style>
  <w:style w:type="paragraph" w:styleId="DocumentMap">
    <w:name w:val="Document Map"/>
    <w:basedOn w:val="Normal"/>
    <w:link w:val="DocumentMapChar"/>
    <w:uiPriority w:val="99"/>
    <w:semiHidden/>
    <w:unhideWhenUsed/>
    <w:rsid w:val="00B845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455E"/>
    <w:rPr>
      <w:rFonts w:ascii="Segoe UI" w:eastAsia="Calibri" w:hAnsi="Segoe UI" w:cs="Segoe UI"/>
      <w:sz w:val="16"/>
      <w:szCs w:val="16"/>
      <w:lang w:val="en-GB" w:eastAsia="en-GB" w:bidi="en-GB"/>
    </w:rPr>
  </w:style>
  <w:style w:type="paragraph" w:styleId="E-mailSignature">
    <w:name w:val="E-mail Signature"/>
    <w:basedOn w:val="Normal"/>
    <w:link w:val="E-mailSignatureChar"/>
    <w:uiPriority w:val="99"/>
    <w:semiHidden/>
    <w:unhideWhenUsed/>
    <w:rsid w:val="00B8455E"/>
  </w:style>
  <w:style w:type="character" w:customStyle="1" w:styleId="E-mailSignatureChar">
    <w:name w:val="E-mail Signature Char"/>
    <w:basedOn w:val="DefaultParagraphFont"/>
    <w:link w:val="E-mailSignature"/>
    <w:uiPriority w:val="99"/>
    <w:semiHidden/>
    <w:rsid w:val="00B8455E"/>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B8455E"/>
    <w:rPr>
      <w:sz w:val="20"/>
      <w:szCs w:val="20"/>
    </w:rPr>
  </w:style>
  <w:style w:type="character" w:customStyle="1" w:styleId="EndnoteTextChar">
    <w:name w:val="Endnote Text Char"/>
    <w:basedOn w:val="DefaultParagraphFont"/>
    <w:link w:val="EndnoteText"/>
    <w:uiPriority w:val="99"/>
    <w:semiHidden/>
    <w:rsid w:val="00B8455E"/>
    <w:rPr>
      <w:rFonts w:ascii="Calibri" w:eastAsia="Calibri" w:hAnsi="Calibri" w:cs="Calibri"/>
      <w:sz w:val="20"/>
      <w:szCs w:val="20"/>
      <w:lang w:val="en-GB" w:eastAsia="en-GB" w:bidi="en-GB"/>
    </w:rPr>
  </w:style>
  <w:style w:type="paragraph" w:styleId="EnvelopeAddress">
    <w:name w:val="envelope address"/>
    <w:basedOn w:val="Normal"/>
    <w:uiPriority w:val="99"/>
    <w:semiHidden/>
    <w:unhideWhenUsed/>
    <w:rsid w:val="00B845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455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455E"/>
    <w:rPr>
      <w:sz w:val="20"/>
      <w:szCs w:val="20"/>
    </w:rPr>
  </w:style>
  <w:style w:type="character" w:customStyle="1" w:styleId="FootnoteTextChar">
    <w:name w:val="Footnote Text Char"/>
    <w:basedOn w:val="DefaultParagraphFont"/>
    <w:link w:val="FootnoteText"/>
    <w:uiPriority w:val="99"/>
    <w:semiHidden/>
    <w:rsid w:val="00B8455E"/>
    <w:rPr>
      <w:rFonts w:ascii="Calibri" w:eastAsia="Calibri" w:hAnsi="Calibri" w:cs="Calibri"/>
      <w:sz w:val="20"/>
      <w:szCs w:val="20"/>
      <w:lang w:val="en-GB" w:eastAsia="en-GB" w:bidi="en-GB"/>
    </w:rPr>
  </w:style>
  <w:style w:type="character" w:customStyle="1" w:styleId="Heading4Char">
    <w:name w:val="Heading 4 Char"/>
    <w:basedOn w:val="DefaultParagraphFont"/>
    <w:link w:val="Heading4"/>
    <w:uiPriority w:val="9"/>
    <w:semiHidden/>
    <w:rsid w:val="00B8455E"/>
    <w:rPr>
      <w:rFonts w:asciiTheme="majorHAnsi" w:eastAsiaTheme="majorEastAsia" w:hAnsiTheme="majorHAnsi" w:cstheme="majorBidi"/>
      <w:i/>
      <w:iCs/>
      <w:color w:val="365F91" w:themeColor="accent1" w:themeShade="BF"/>
      <w:lang w:val="en-GB" w:eastAsia="en-GB" w:bidi="en-GB"/>
    </w:rPr>
  </w:style>
  <w:style w:type="character" w:customStyle="1" w:styleId="Heading5Char">
    <w:name w:val="Heading 5 Char"/>
    <w:basedOn w:val="DefaultParagraphFont"/>
    <w:link w:val="Heading5"/>
    <w:uiPriority w:val="9"/>
    <w:semiHidden/>
    <w:rsid w:val="00B8455E"/>
    <w:rPr>
      <w:rFonts w:asciiTheme="majorHAnsi" w:eastAsiaTheme="majorEastAsia" w:hAnsiTheme="majorHAnsi" w:cstheme="majorBidi"/>
      <w:color w:val="365F91" w:themeColor="accent1" w:themeShade="BF"/>
      <w:lang w:val="en-GB" w:eastAsia="en-GB" w:bidi="en-GB"/>
    </w:rPr>
  </w:style>
  <w:style w:type="character" w:customStyle="1" w:styleId="Heading6Char">
    <w:name w:val="Heading 6 Char"/>
    <w:basedOn w:val="DefaultParagraphFont"/>
    <w:link w:val="Heading6"/>
    <w:uiPriority w:val="9"/>
    <w:semiHidden/>
    <w:rsid w:val="00B8455E"/>
    <w:rPr>
      <w:rFonts w:asciiTheme="majorHAnsi" w:eastAsiaTheme="majorEastAsia" w:hAnsiTheme="majorHAnsi" w:cstheme="majorBidi"/>
      <w:color w:val="243F60" w:themeColor="accent1" w:themeShade="7F"/>
      <w:lang w:val="en-GB" w:eastAsia="en-GB" w:bidi="en-GB"/>
    </w:rPr>
  </w:style>
  <w:style w:type="character" w:customStyle="1" w:styleId="Heading7Char">
    <w:name w:val="Heading 7 Char"/>
    <w:basedOn w:val="DefaultParagraphFont"/>
    <w:link w:val="Heading7"/>
    <w:uiPriority w:val="9"/>
    <w:semiHidden/>
    <w:rsid w:val="00B8455E"/>
    <w:rPr>
      <w:rFonts w:asciiTheme="majorHAnsi" w:eastAsiaTheme="majorEastAsia" w:hAnsiTheme="majorHAnsi" w:cstheme="majorBidi"/>
      <w:i/>
      <w:iCs/>
      <w:color w:val="243F60" w:themeColor="accent1" w:themeShade="7F"/>
      <w:lang w:val="en-GB" w:eastAsia="en-GB" w:bidi="en-GB"/>
    </w:rPr>
  </w:style>
  <w:style w:type="character" w:customStyle="1" w:styleId="Heading8Char">
    <w:name w:val="Heading 8 Char"/>
    <w:basedOn w:val="DefaultParagraphFont"/>
    <w:link w:val="Heading8"/>
    <w:uiPriority w:val="9"/>
    <w:semiHidden/>
    <w:rsid w:val="00B8455E"/>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B8455E"/>
    <w:rPr>
      <w:rFonts w:asciiTheme="majorHAnsi" w:eastAsiaTheme="majorEastAsia" w:hAnsiTheme="majorHAnsi" w:cstheme="majorBidi"/>
      <w:i/>
      <w:iCs/>
      <w:color w:val="272727" w:themeColor="text1" w:themeTint="D8"/>
      <w:sz w:val="21"/>
      <w:szCs w:val="21"/>
      <w:lang w:val="en-GB" w:eastAsia="en-GB" w:bidi="en-GB"/>
    </w:rPr>
  </w:style>
  <w:style w:type="paragraph" w:styleId="HTMLAddress">
    <w:name w:val="HTML Address"/>
    <w:basedOn w:val="Normal"/>
    <w:link w:val="HTMLAddressChar"/>
    <w:uiPriority w:val="99"/>
    <w:semiHidden/>
    <w:unhideWhenUsed/>
    <w:rsid w:val="00B8455E"/>
    <w:rPr>
      <w:i/>
      <w:iCs/>
    </w:rPr>
  </w:style>
  <w:style w:type="character" w:customStyle="1" w:styleId="HTMLAddressChar">
    <w:name w:val="HTML Address Char"/>
    <w:basedOn w:val="DefaultParagraphFont"/>
    <w:link w:val="HTMLAddress"/>
    <w:uiPriority w:val="99"/>
    <w:semiHidden/>
    <w:rsid w:val="00B8455E"/>
    <w:rPr>
      <w:rFonts w:ascii="Calibri" w:eastAsia="Calibri" w:hAnsi="Calibri" w:cs="Calibri"/>
      <w:i/>
      <w:iCs/>
      <w:lang w:val="en-GB" w:eastAsia="en-GB" w:bidi="en-GB"/>
    </w:rPr>
  </w:style>
  <w:style w:type="paragraph" w:styleId="HTMLPreformatted">
    <w:name w:val="HTML Preformatted"/>
    <w:basedOn w:val="Normal"/>
    <w:link w:val="HTMLPreformattedChar"/>
    <w:uiPriority w:val="99"/>
    <w:semiHidden/>
    <w:unhideWhenUsed/>
    <w:rsid w:val="00B8455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455E"/>
    <w:rPr>
      <w:rFonts w:ascii="Consolas" w:eastAsia="Calibri" w:hAnsi="Consolas" w:cs="Calibri"/>
      <w:sz w:val="20"/>
      <w:szCs w:val="20"/>
      <w:lang w:val="en-GB" w:eastAsia="en-GB" w:bidi="en-GB"/>
    </w:rPr>
  </w:style>
  <w:style w:type="paragraph" w:styleId="Index1">
    <w:name w:val="index 1"/>
    <w:basedOn w:val="Normal"/>
    <w:next w:val="Normal"/>
    <w:autoRedefine/>
    <w:uiPriority w:val="99"/>
    <w:semiHidden/>
    <w:unhideWhenUsed/>
    <w:rsid w:val="00B8455E"/>
    <w:pPr>
      <w:ind w:left="220" w:hanging="220"/>
    </w:pPr>
  </w:style>
  <w:style w:type="paragraph" w:styleId="Index2">
    <w:name w:val="index 2"/>
    <w:basedOn w:val="Normal"/>
    <w:next w:val="Normal"/>
    <w:autoRedefine/>
    <w:uiPriority w:val="99"/>
    <w:semiHidden/>
    <w:unhideWhenUsed/>
    <w:rsid w:val="00B8455E"/>
    <w:pPr>
      <w:ind w:left="440" w:hanging="220"/>
    </w:pPr>
  </w:style>
  <w:style w:type="paragraph" w:styleId="Index3">
    <w:name w:val="index 3"/>
    <w:basedOn w:val="Normal"/>
    <w:next w:val="Normal"/>
    <w:autoRedefine/>
    <w:uiPriority w:val="99"/>
    <w:semiHidden/>
    <w:unhideWhenUsed/>
    <w:rsid w:val="00B8455E"/>
    <w:pPr>
      <w:ind w:left="660" w:hanging="220"/>
    </w:pPr>
  </w:style>
  <w:style w:type="paragraph" w:styleId="Index4">
    <w:name w:val="index 4"/>
    <w:basedOn w:val="Normal"/>
    <w:next w:val="Normal"/>
    <w:autoRedefine/>
    <w:uiPriority w:val="99"/>
    <w:semiHidden/>
    <w:unhideWhenUsed/>
    <w:rsid w:val="00B8455E"/>
    <w:pPr>
      <w:ind w:left="880" w:hanging="220"/>
    </w:pPr>
  </w:style>
  <w:style w:type="paragraph" w:styleId="Index5">
    <w:name w:val="index 5"/>
    <w:basedOn w:val="Normal"/>
    <w:next w:val="Normal"/>
    <w:autoRedefine/>
    <w:uiPriority w:val="99"/>
    <w:semiHidden/>
    <w:unhideWhenUsed/>
    <w:rsid w:val="00B8455E"/>
    <w:pPr>
      <w:ind w:left="1100" w:hanging="220"/>
    </w:pPr>
  </w:style>
  <w:style w:type="paragraph" w:styleId="Index6">
    <w:name w:val="index 6"/>
    <w:basedOn w:val="Normal"/>
    <w:next w:val="Normal"/>
    <w:autoRedefine/>
    <w:uiPriority w:val="99"/>
    <w:semiHidden/>
    <w:unhideWhenUsed/>
    <w:rsid w:val="00B8455E"/>
    <w:pPr>
      <w:ind w:left="1320" w:hanging="220"/>
    </w:pPr>
  </w:style>
  <w:style w:type="paragraph" w:styleId="Index7">
    <w:name w:val="index 7"/>
    <w:basedOn w:val="Normal"/>
    <w:next w:val="Normal"/>
    <w:autoRedefine/>
    <w:uiPriority w:val="99"/>
    <w:semiHidden/>
    <w:unhideWhenUsed/>
    <w:rsid w:val="00B8455E"/>
    <w:pPr>
      <w:ind w:left="1540" w:hanging="220"/>
    </w:pPr>
  </w:style>
  <w:style w:type="paragraph" w:styleId="Index8">
    <w:name w:val="index 8"/>
    <w:basedOn w:val="Normal"/>
    <w:next w:val="Normal"/>
    <w:autoRedefine/>
    <w:uiPriority w:val="99"/>
    <w:semiHidden/>
    <w:unhideWhenUsed/>
    <w:rsid w:val="00B8455E"/>
    <w:pPr>
      <w:ind w:left="1760" w:hanging="220"/>
    </w:pPr>
  </w:style>
  <w:style w:type="paragraph" w:styleId="Index9">
    <w:name w:val="index 9"/>
    <w:basedOn w:val="Normal"/>
    <w:next w:val="Normal"/>
    <w:autoRedefine/>
    <w:uiPriority w:val="99"/>
    <w:semiHidden/>
    <w:unhideWhenUsed/>
    <w:rsid w:val="00B8455E"/>
    <w:pPr>
      <w:ind w:left="1980" w:hanging="220"/>
    </w:pPr>
  </w:style>
  <w:style w:type="paragraph" w:styleId="IndexHeading">
    <w:name w:val="index heading"/>
    <w:basedOn w:val="Normal"/>
    <w:next w:val="Index1"/>
    <w:uiPriority w:val="99"/>
    <w:semiHidden/>
    <w:unhideWhenUsed/>
    <w:rsid w:val="00B845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45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455E"/>
    <w:rPr>
      <w:rFonts w:ascii="Calibri" w:eastAsia="Calibri" w:hAnsi="Calibri" w:cs="Calibri"/>
      <w:i/>
      <w:iCs/>
      <w:color w:val="4F81BD" w:themeColor="accent1"/>
      <w:lang w:val="en-GB" w:eastAsia="en-GB" w:bidi="en-GB"/>
    </w:rPr>
  </w:style>
  <w:style w:type="paragraph" w:styleId="List">
    <w:name w:val="List"/>
    <w:basedOn w:val="Normal"/>
    <w:uiPriority w:val="99"/>
    <w:semiHidden/>
    <w:unhideWhenUsed/>
    <w:rsid w:val="00B8455E"/>
    <w:pPr>
      <w:ind w:left="283" w:hanging="283"/>
      <w:contextualSpacing/>
    </w:pPr>
  </w:style>
  <w:style w:type="paragraph" w:styleId="List2">
    <w:name w:val="List 2"/>
    <w:basedOn w:val="Normal"/>
    <w:uiPriority w:val="99"/>
    <w:semiHidden/>
    <w:unhideWhenUsed/>
    <w:rsid w:val="00B8455E"/>
    <w:pPr>
      <w:ind w:left="566" w:hanging="283"/>
      <w:contextualSpacing/>
    </w:pPr>
  </w:style>
  <w:style w:type="paragraph" w:styleId="List3">
    <w:name w:val="List 3"/>
    <w:basedOn w:val="Normal"/>
    <w:uiPriority w:val="99"/>
    <w:semiHidden/>
    <w:unhideWhenUsed/>
    <w:rsid w:val="00B8455E"/>
    <w:pPr>
      <w:ind w:left="849" w:hanging="283"/>
      <w:contextualSpacing/>
    </w:pPr>
  </w:style>
  <w:style w:type="paragraph" w:styleId="List4">
    <w:name w:val="List 4"/>
    <w:basedOn w:val="Normal"/>
    <w:uiPriority w:val="99"/>
    <w:semiHidden/>
    <w:unhideWhenUsed/>
    <w:rsid w:val="00B8455E"/>
    <w:pPr>
      <w:ind w:left="1132" w:hanging="283"/>
      <w:contextualSpacing/>
    </w:pPr>
  </w:style>
  <w:style w:type="paragraph" w:styleId="List5">
    <w:name w:val="List 5"/>
    <w:basedOn w:val="Normal"/>
    <w:uiPriority w:val="99"/>
    <w:semiHidden/>
    <w:unhideWhenUsed/>
    <w:rsid w:val="00B8455E"/>
    <w:pPr>
      <w:ind w:left="1415" w:hanging="283"/>
      <w:contextualSpacing/>
    </w:pPr>
  </w:style>
  <w:style w:type="paragraph" w:styleId="ListBullet">
    <w:name w:val="List Bullet"/>
    <w:basedOn w:val="Normal"/>
    <w:uiPriority w:val="99"/>
    <w:semiHidden/>
    <w:unhideWhenUsed/>
    <w:rsid w:val="00B8455E"/>
    <w:pPr>
      <w:numPr>
        <w:numId w:val="37"/>
      </w:numPr>
      <w:contextualSpacing/>
    </w:pPr>
  </w:style>
  <w:style w:type="paragraph" w:styleId="ListBullet2">
    <w:name w:val="List Bullet 2"/>
    <w:basedOn w:val="Normal"/>
    <w:uiPriority w:val="99"/>
    <w:semiHidden/>
    <w:unhideWhenUsed/>
    <w:rsid w:val="00B8455E"/>
    <w:pPr>
      <w:numPr>
        <w:numId w:val="38"/>
      </w:numPr>
      <w:contextualSpacing/>
    </w:pPr>
  </w:style>
  <w:style w:type="paragraph" w:styleId="ListBullet3">
    <w:name w:val="List Bullet 3"/>
    <w:basedOn w:val="Normal"/>
    <w:uiPriority w:val="99"/>
    <w:semiHidden/>
    <w:unhideWhenUsed/>
    <w:rsid w:val="00B8455E"/>
    <w:pPr>
      <w:numPr>
        <w:numId w:val="39"/>
      </w:numPr>
      <w:contextualSpacing/>
    </w:pPr>
  </w:style>
  <w:style w:type="paragraph" w:styleId="ListBullet4">
    <w:name w:val="List Bullet 4"/>
    <w:basedOn w:val="Normal"/>
    <w:uiPriority w:val="99"/>
    <w:semiHidden/>
    <w:unhideWhenUsed/>
    <w:rsid w:val="00B8455E"/>
    <w:pPr>
      <w:numPr>
        <w:numId w:val="40"/>
      </w:numPr>
      <w:contextualSpacing/>
    </w:pPr>
  </w:style>
  <w:style w:type="paragraph" w:styleId="ListBullet5">
    <w:name w:val="List Bullet 5"/>
    <w:basedOn w:val="Normal"/>
    <w:uiPriority w:val="99"/>
    <w:semiHidden/>
    <w:unhideWhenUsed/>
    <w:rsid w:val="00B8455E"/>
    <w:pPr>
      <w:numPr>
        <w:numId w:val="41"/>
      </w:numPr>
      <w:contextualSpacing/>
    </w:pPr>
  </w:style>
  <w:style w:type="paragraph" w:styleId="ListContinue">
    <w:name w:val="List Continue"/>
    <w:basedOn w:val="Normal"/>
    <w:uiPriority w:val="99"/>
    <w:semiHidden/>
    <w:unhideWhenUsed/>
    <w:rsid w:val="00B8455E"/>
    <w:pPr>
      <w:spacing w:after="120"/>
      <w:ind w:left="283"/>
      <w:contextualSpacing/>
    </w:pPr>
  </w:style>
  <w:style w:type="paragraph" w:styleId="ListContinue2">
    <w:name w:val="List Continue 2"/>
    <w:basedOn w:val="Normal"/>
    <w:uiPriority w:val="99"/>
    <w:semiHidden/>
    <w:unhideWhenUsed/>
    <w:rsid w:val="00B8455E"/>
    <w:pPr>
      <w:spacing w:after="120"/>
      <w:ind w:left="566"/>
      <w:contextualSpacing/>
    </w:pPr>
  </w:style>
  <w:style w:type="paragraph" w:styleId="ListContinue3">
    <w:name w:val="List Continue 3"/>
    <w:basedOn w:val="Normal"/>
    <w:uiPriority w:val="99"/>
    <w:semiHidden/>
    <w:unhideWhenUsed/>
    <w:rsid w:val="00B8455E"/>
    <w:pPr>
      <w:spacing w:after="120"/>
      <w:ind w:left="849"/>
      <w:contextualSpacing/>
    </w:pPr>
  </w:style>
  <w:style w:type="paragraph" w:styleId="ListContinue4">
    <w:name w:val="List Continue 4"/>
    <w:basedOn w:val="Normal"/>
    <w:uiPriority w:val="99"/>
    <w:semiHidden/>
    <w:unhideWhenUsed/>
    <w:rsid w:val="00B8455E"/>
    <w:pPr>
      <w:spacing w:after="120"/>
      <w:ind w:left="1132"/>
      <w:contextualSpacing/>
    </w:pPr>
  </w:style>
  <w:style w:type="paragraph" w:styleId="ListContinue5">
    <w:name w:val="List Continue 5"/>
    <w:basedOn w:val="Normal"/>
    <w:uiPriority w:val="99"/>
    <w:semiHidden/>
    <w:unhideWhenUsed/>
    <w:rsid w:val="00B8455E"/>
    <w:pPr>
      <w:spacing w:after="120"/>
      <w:ind w:left="1415"/>
      <w:contextualSpacing/>
    </w:pPr>
  </w:style>
  <w:style w:type="paragraph" w:styleId="ListNumber">
    <w:name w:val="List Number"/>
    <w:basedOn w:val="Normal"/>
    <w:uiPriority w:val="99"/>
    <w:semiHidden/>
    <w:unhideWhenUsed/>
    <w:rsid w:val="00B8455E"/>
    <w:pPr>
      <w:numPr>
        <w:numId w:val="42"/>
      </w:numPr>
      <w:contextualSpacing/>
    </w:pPr>
  </w:style>
  <w:style w:type="paragraph" w:styleId="ListNumber2">
    <w:name w:val="List Number 2"/>
    <w:basedOn w:val="Normal"/>
    <w:uiPriority w:val="99"/>
    <w:semiHidden/>
    <w:unhideWhenUsed/>
    <w:rsid w:val="00B8455E"/>
    <w:pPr>
      <w:numPr>
        <w:numId w:val="43"/>
      </w:numPr>
      <w:contextualSpacing/>
    </w:pPr>
  </w:style>
  <w:style w:type="paragraph" w:styleId="ListNumber3">
    <w:name w:val="List Number 3"/>
    <w:basedOn w:val="Normal"/>
    <w:uiPriority w:val="99"/>
    <w:semiHidden/>
    <w:unhideWhenUsed/>
    <w:rsid w:val="00B8455E"/>
    <w:pPr>
      <w:numPr>
        <w:numId w:val="44"/>
      </w:numPr>
      <w:contextualSpacing/>
    </w:pPr>
  </w:style>
  <w:style w:type="paragraph" w:styleId="ListNumber4">
    <w:name w:val="List Number 4"/>
    <w:basedOn w:val="Normal"/>
    <w:uiPriority w:val="99"/>
    <w:semiHidden/>
    <w:unhideWhenUsed/>
    <w:rsid w:val="00B8455E"/>
    <w:pPr>
      <w:numPr>
        <w:numId w:val="45"/>
      </w:numPr>
      <w:contextualSpacing/>
    </w:pPr>
  </w:style>
  <w:style w:type="paragraph" w:styleId="ListNumber5">
    <w:name w:val="List Number 5"/>
    <w:basedOn w:val="Normal"/>
    <w:uiPriority w:val="99"/>
    <w:semiHidden/>
    <w:unhideWhenUsed/>
    <w:rsid w:val="00B8455E"/>
    <w:pPr>
      <w:numPr>
        <w:numId w:val="46"/>
      </w:numPr>
      <w:contextualSpacing/>
    </w:pPr>
  </w:style>
  <w:style w:type="paragraph" w:styleId="MacroText">
    <w:name w:val="macro"/>
    <w:link w:val="MacroTextChar"/>
    <w:uiPriority w:val="99"/>
    <w:semiHidden/>
    <w:unhideWhenUsed/>
    <w:rsid w:val="00B8455E"/>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lang w:val="en-GB" w:eastAsia="en-GB" w:bidi="en-GB"/>
    </w:rPr>
  </w:style>
  <w:style w:type="character" w:customStyle="1" w:styleId="MacroTextChar">
    <w:name w:val="Macro Text Char"/>
    <w:basedOn w:val="DefaultParagraphFont"/>
    <w:link w:val="MacroText"/>
    <w:uiPriority w:val="99"/>
    <w:semiHidden/>
    <w:rsid w:val="00B8455E"/>
    <w:rPr>
      <w:rFonts w:ascii="Consolas" w:eastAsia="Calibri" w:hAnsi="Consolas" w:cs="Calibri"/>
      <w:sz w:val="20"/>
      <w:szCs w:val="20"/>
      <w:lang w:val="en-GB" w:eastAsia="en-GB" w:bidi="en-GB"/>
    </w:rPr>
  </w:style>
  <w:style w:type="paragraph" w:styleId="MessageHeader">
    <w:name w:val="Message Header"/>
    <w:basedOn w:val="Normal"/>
    <w:link w:val="MessageHeaderChar"/>
    <w:uiPriority w:val="99"/>
    <w:semiHidden/>
    <w:unhideWhenUsed/>
    <w:rsid w:val="00B845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455E"/>
    <w:rPr>
      <w:rFonts w:asciiTheme="majorHAnsi" w:eastAsiaTheme="majorEastAsia" w:hAnsiTheme="majorHAnsi" w:cstheme="majorBidi"/>
      <w:sz w:val="24"/>
      <w:szCs w:val="24"/>
      <w:shd w:val="pct20" w:color="auto" w:fill="auto"/>
      <w:lang w:val="en-GB" w:eastAsia="en-GB" w:bidi="en-GB"/>
    </w:rPr>
  </w:style>
  <w:style w:type="paragraph" w:styleId="NoSpacing">
    <w:name w:val="No Spacing"/>
    <w:uiPriority w:val="1"/>
    <w:qFormat/>
    <w:rsid w:val="00B8455E"/>
    <w:rPr>
      <w:rFonts w:ascii="Calibri" w:eastAsia="Calibri" w:hAnsi="Calibri" w:cs="Calibri"/>
      <w:lang w:val="en-GB" w:eastAsia="en-GB" w:bidi="en-GB"/>
    </w:rPr>
  </w:style>
  <w:style w:type="paragraph" w:styleId="NormalWeb">
    <w:name w:val="Normal (Web)"/>
    <w:basedOn w:val="Normal"/>
    <w:uiPriority w:val="99"/>
    <w:semiHidden/>
    <w:unhideWhenUsed/>
    <w:rsid w:val="00B8455E"/>
    <w:rPr>
      <w:rFonts w:ascii="Times New Roman" w:hAnsi="Times New Roman" w:cs="Times New Roman"/>
      <w:sz w:val="24"/>
      <w:szCs w:val="24"/>
    </w:rPr>
  </w:style>
  <w:style w:type="paragraph" w:styleId="NormalIndent">
    <w:name w:val="Normal Indent"/>
    <w:basedOn w:val="Normal"/>
    <w:uiPriority w:val="99"/>
    <w:semiHidden/>
    <w:unhideWhenUsed/>
    <w:rsid w:val="00B8455E"/>
    <w:pPr>
      <w:ind w:left="720"/>
    </w:pPr>
  </w:style>
  <w:style w:type="paragraph" w:styleId="NoteHeading">
    <w:name w:val="Note Heading"/>
    <w:basedOn w:val="Normal"/>
    <w:next w:val="Normal"/>
    <w:link w:val="NoteHeadingChar"/>
    <w:uiPriority w:val="99"/>
    <w:semiHidden/>
    <w:unhideWhenUsed/>
    <w:rsid w:val="00B8455E"/>
  </w:style>
  <w:style w:type="character" w:customStyle="1" w:styleId="NoteHeadingChar">
    <w:name w:val="Note Heading Char"/>
    <w:basedOn w:val="DefaultParagraphFont"/>
    <w:link w:val="NoteHeading"/>
    <w:uiPriority w:val="99"/>
    <w:semiHidden/>
    <w:rsid w:val="00B8455E"/>
    <w:rPr>
      <w:rFonts w:ascii="Calibri" w:eastAsia="Calibri" w:hAnsi="Calibri" w:cs="Calibri"/>
      <w:lang w:val="en-GB" w:eastAsia="en-GB" w:bidi="en-GB"/>
    </w:rPr>
  </w:style>
  <w:style w:type="paragraph" w:styleId="PlainText">
    <w:name w:val="Plain Text"/>
    <w:basedOn w:val="Normal"/>
    <w:link w:val="PlainTextChar"/>
    <w:uiPriority w:val="99"/>
    <w:semiHidden/>
    <w:unhideWhenUsed/>
    <w:rsid w:val="00B8455E"/>
    <w:rPr>
      <w:rFonts w:ascii="Consolas" w:hAnsi="Consolas"/>
      <w:sz w:val="21"/>
      <w:szCs w:val="21"/>
    </w:rPr>
  </w:style>
  <w:style w:type="character" w:customStyle="1" w:styleId="PlainTextChar">
    <w:name w:val="Plain Text Char"/>
    <w:basedOn w:val="DefaultParagraphFont"/>
    <w:link w:val="PlainText"/>
    <w:uiPriority w:val="99"/>
    <w:semiHidden/>
    <w:rsid w:val="00B8455E"/>
    <w:rPr>
      <w:rFonts w:ascii="Consolas" w:eastAsia="Calibri" w:hAnsi="Consolas" w:cs="Calibri"/>
      <w:sz w:val="21"/>
      <w:szCs w:val="21"/>
      <w:lang w:val="en-GB" w:eastAsia="en-GB" w:bidi="en-GB"/>
    </w:rPr>
  </w:style>
  <w:style w:type="paragraph" w:styleId="Quote">
    <w:name w:val="Quote"/>
    <w:basedOn w:val="Normal"/>
    <w:next w:val="Normal"/>
    <w:link w:val="QuoteChar"/>
    <w:uiPriority w:val="29"/>
    <w:qFormat/>
    <w:rsid w:val="00B84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455E"/>
    <w:rPr>
      <w:rFonts w:ascii="Calibri" w:eastAsia="Calibri" w:hAnsi="Calibri" w:cs="Calibri"/>
      <w:i/>
      <w:iCs/>
      <w:color w:val="404040" w:themeColor="text1" w:themeTint="BF"/>
      <w:lang w:val="en-GB" w:eastAsia="en-GB" w:bidi="en-GB"/>
    </w:rPr>
  </w:style>
  <w:style w:type="paragraph" w:styleId="Salutation">
    <w:name w:val="Salutation"/>
    <w:basedOn w:val="Normal"/>
    <w:next w:val="Normal"/>
    <w:link w:val="SalutationChar"/>
    <w:uiPriority w:val="99"/>
    <w:semiHidden/>
    <w:unhideWhenUsed/>
    <w:rsid w:val="00B8455E"/>
  </w:style>
  <w:style w:type="character" w:customStyle="1" w:styleId="SalutationChar">
    <w:name w:val="Salutation Char"/>
    <w:basedOn w:val="DefaultParagraphFont"/>
    <w:link w:val="Salutation"/>
    <w:uiPriority w:val="99"/>
    <w:semiHidden/>
    <w:rsid w:val="00B8455E"/>
    <w:rPr>
      <w:rFonts w:ascii="Calibri" w:eastAsia="Calibri" w:hAnsi="Calibri" w:cs="Calibri"/>
      <w:lang w:val="en-GB" w:eastAsia="en-GB" w:bidi="en-GB"/>
    </w:rPr>
  </w:style>
  <w:style w:type="paragraph" w:styleId="Signature">
    <w:name w:val="Signature"/>
    <w:basedOn w:val="Normal"/>
    <w:link w:val="SignatureChar"/>
    <w:uiPriority w:val="99"/>
    <w:semiHidden/>
    <w:unhideWhenUsed/>
    <w:rsid w:val="00B8455E"/>
    <w:pPr>
      <w:ind w:left="4252"/>
    </w:pPr>
  </w:style>
  <w:style w:type="character" w:customStyle="1" w:styleId="SignatureChar">
    <w:name w:val="Signature Char"/>
    <w:basedOn w:val="DefaultParagraphFont"/>
    <w:link w:val="Signature"/>
    <w:uiPriority w:val="99"/>
    <w:semiHidden/>
    <w:rsid w:val="00B8455E"/>
    <w:rPr>
      <w:rFonts w:ascii="Calibri" w:eastAsia="Calibri" w:hAnsi="Calibri" w:cs="Calibri"/>
      <w:lang w:val="en-GB" w:eastAsia="en-GB" w:bidi="en-GB"/>
    </w:rPr>
  </w:style>
  <w:style w:type="paragraph" w:styleId="TableofAuthorities">
    <w:name w:val="table of authorities"/>
    <w:basedOn w:val="Normal"/>
    <w:next w:val="Normal"/>
    <w:uiPriority w:val="99"/>
    <w:semiHidden/>
    <w:unhideWhenUsed/>
    <w:rsid w:val="00B8455E"/>
    <w:pPr>
      <w:ind w:left="220" w:hanging="220"/>
    </w:pPr>
  </w:style>
  <w:style w:type="paragraph" w:styleId="TableofFigures">
    <w:name w:val="table of figures"/>
    <w:basedOn w:val="Normal"/>
    <w:next w:val="Normal"/>
    <w:uiPriority w:val="99"/>
    <w:semiHidden/>
    <w:unhideWhenUsed/>
    <w:rsid w:val="00B8455E"/>
  </w:style>
  <w:style w:type="paragraph" w:styleId="Title">
    <w:name w:val="Title"/>
    <w:basedOn w:val="Normal"/>
    <w:next w:val="Normal"/>
    <w:link w:val="TitleChar"/>
    <w:uiPriority w:val="10"/>
    <w:rsid w:val="00B845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55E"/>
    <w:rPr>
      <w:rFonts w:asciiTheme="majorHAnsi" w:eastAsiaTheme="majorEastAsia" w:hAnsiTheme="majorHAnsi" w:cstheme="majorBidi"/>
      <w:spacing w:val="-10"/>
      <w:kern w:val="28"/>
      <w:sz w:val="56"/>
      <w:szCs w:val="56"/>
      <w:lang w:val="en-GB" w:eastAsia="en-GB" w:bidi="en-GB"/>
    </w:rPr>
  </w:style>
  <w:style w:type="paragraph" w:styleId="TOAHeading">
    <w:name w:val="toa heading"/>
    <w:basedOn w:val="Normal"/>
    <w:next w:val="Normal"/>
    <w:uiPriority w:val="99"/>
    <w:semiHidden/>
    <w:unhideWhenUsed/>
    <w:rsid w:val="00B845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455E"/>
    <w:pPr>
      <w:spacing w:after="100"/>
    </w:pPr>
  </w:style>
  <w:style w:type="paragraph" w:styleId="TOC2">
    <w:name w:val="toc 2"/>
    <w:basedOn w:val="Normal"/>
    <w:next w:val="Normal"/>
    <w:autoRedefine/>
    <w:uiPriority w:val="39"/>
    <w:semiHidden/>
    <w:unhideWhenUsed/>
    <w:rsid w:val="00B8455E"/>
    <w:pPr>
      <w:spacing w:after="100"/>
      <w:ind w:left="220"/>
    </w:pPr>
  </w:style>
  <w:style w:type="paragraph" w:styleId="TOC3">
    <w:name w:val="toc 3"/>
    <w:basedOn w:val="Normal"/>
    <w:next w:val="Normal"/>
    <w:autoRedefine/>
    <w:uiPriority w:val="39"/>
    <w:semiHidden/>
    <w:unhideWhenUsed/>
    <w:rsid w:val="00B8455E"/>
    <w:pPr>
      <w:spacing w:after="100"/>
      <w:ind w:left="440"/>
    </w:pPr>
  </w:style>
  <w:style w:type="paragraph" w:styleId="TOC4">
    <w:name w:val="toc 4"/>
    <w:basedOn w:val="Normal"/>
    <w:next w:val="Normal"/>
    <w:autoRedefine/>
    <w:uiPriority w:val="39"/>
    <w:semiHidden/>
    <w:unhideWhenUsed/>
    <w:rsid w:val="00B8455E"/>
    <w:pPr>
      <w:spacing w:after="100"/>
      <w:ind w:left="660"/>
    </w:pPr>
  </w:style>
  <w:style w:type="paragraph" w:styleId="TOC5">
    <w:name w:val="toc 5"/>
    <w:basedOn w:val="Normal"/>
    <w:next w:val="Normal"/>
    <w:autoRedefine/>
    <w:uiPriority w:val="39"/>
    <w:semiHidden/>
    <w:unhideWhenUsed/>
    <w:rsid w:val="00B8455E"/>
    <w:pPr>
      <w:spacing w:after="100"/>
      <w:ind w:left="880"/>
    </w:pPr>
  </w:style>
  <w:style w:type="paragraph" w:styleId="TOC6">
    <w:name w:val="toc 6"/>
    <w:basedOn w:val="Normal"/>
    <w:next w:val="Normal"/>
    <w:autoRedefine/>
    <w:uiPriority w:val="39"/>
    <w:semiHidden/>
    <w:unhideWhenUsed/>
    <w:rsid w:val="00B8455E"/>
    <w:pPr>
      <w:spacing w:after="100"/>
      <w:ind w:left="1100"/>
    </w:pPr>
  </w:style>
  <w:style w:type="paragraph" w:styleId="TOC7">
    <w:name w:val="toc 7"/>
    <w:basedOn w:val="Normal"/>
    <w:next w:val="Normal"/>
    <w:autoRedefine/>
    <w:uiPriority w:val="39"/>
    <w:semiHidden/>
    <w:unhideWhenUsed/>
    <w:rsid w:val="00B8455E"/>
    <w:pPr>
      <w:spacing w:after="100"/>
      <w:ind w:left="1320"/>
    </w:pPr>
  </w:style>
  <w:style w:type="paragraph" w:styleId="TOC8">
    <w:name w:val="toc 8"/>
    <w:basedOn w:val="Normal"/>
    <w:next w:val="Normal"/>
    <w:autoRedefine/>
    <w:uiPriority w:val="39"/>
    <w:semiHidden/>
    <w:unhideWhenUsed/>
    <w:rsid w:val="00B8455E"/>
    <w:pPr>
      <w:spacing w:after="100"/>
      <w:ind w:left="1540"/>
    </w:pPr>
  </w:style>
  <w:style w:type="paragraph" w:styleId="TOC9">
    <w:name w:val="toc 9"/>
    <w:basedOn w:val="Normal"/>
    <w:next w:val="Normal"/>
    <w:autoRedefine/>
    <w:uiPriority w:val="39"/>
    <w:semiHidden/>
    <w:unhideWhenUsed/>
    <w:rsid w:val="00B8455E"/>
    <w:pPr>
      <w:spacing w:after="100"/>
      <w:ind w:left="1760"/>
    </w:pPr>
  </w:style>
  <w:style w:type="paragraph" w:styleId="TOCHeading">
    <w:name w:val="TOC Heading"/>
    <w:basedOn w:val="Heading1"/>
    <w:next w:val="Normal"/>
    <w:uiPriority w:val="39"/>
    <w:semiHidden/>
    <w:unhideWhenUsed/>
    <w:qFormat/>
    <w:rsid w:val="00B8455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xxmsonormal">
    <w:name w:val="x_xmsonormal"/>
    <w:basedOn w:val="Normal"/>
    <w:rsid w:val="00CE48FE"/>
    <w:pPr>
      <w:widowControl/>
      <w:autoSpaceDE/>
      <w:autoSpaceDN/>
    </w:pPr>
    <w:rPr>
      <w:rFonts w:eastAsiaTheme="minorHAnsi"/>
      <w:lang w:bidi="ar-SA"/>
    </w:rPr>
  </w:style>
  <w:style w:type="paragraph" w:customStyle="1" w:styleId="xmsonormal">
    <w:name w:val="x_msonormal"/>
    <w:basedOn w:val="Normal"/>
    <w:rsid w:val="007F11AD"/>
    <w:pPr>
      <w:widowControl/>
      <w:autoSpaceDE/>
      <w:autoSpaceDN/>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9655">
      <w:bodyDiv w:val="1"/>
      <w:marLeft w:val="0"/>
      <w:marRight w:val="0"/>
      <w:marTop w:val="0"/>
      <w:marBottom w:val="0"/>
      <w:divBdr>
        <w:top w:val="none" w:sz="0" w:space="0" w:color="auto"/>
        <w:left w:val="none" w:sz="0" w:space="0" w:color="auto"/>
        <w:bottom w:val="none" w:sz="0" w:space="0" w:color="auto"/>
        <w:right w:val="none" w:sz="0" w:space="0" w:color="auto"/>
      </w:divBdr>
      <w:divsChild>
        <w:div w:id="881209868">
          <w:marLeft w:val="446"/>
          <w:marRight w:val="0"/>
          <w:marTop w:val="0"/>
          <w:marBottom w:val="0"/>
          <w:divBdr>
            <w:top w:val="none" w:sz="0" w:space="0" w:color="auto"/>
            <w:left w:val="none" w:sz="0" w:space="0" w:color="auto"/>
            <w:bottom w:val="none" w:sz="0" w:space="0" w:color="auto"/>
            <w:right w:val="none" w:sz="0" w:space="0" w:color="auto"/>
          </w:divBdr>
        </w:div>
      </w:divsChild>
    </w:div>
    <w:div w:id="104664660">
      <w:bodyDiv w:val="1"/>
      <w:marLeft w:val="0"/>
      <w:marRight w:val="0"/>
      <w:marTop w:val="0"/>
      <w:marBottom w:val="0"/>
      <w:divBdr>
        <w:top w:val="none" w:sz="0" w:space="0" w:color="auto"/>
        <w:left w:val="none" w:sz="0" w:space="0" w:color="auto"/>
        <w:bottom w:val="none" w:sz="0" w:space="0" w:color="auto"/>
        <w:right w:val="none" w:sz="0" w:space="0" w:color="auto"/>
      </w:divBdr>
    </w:div>
    <w:div w:id="572161101">
      <w:bodyDiv w:val="1"/>
      <w:marLeft w:val="0"/>
      <w:marRight w:val="0"/>
      <w:marTop w:val="0"/>
      <w:marBottom w:val="0"/>
      <w:divBdr>
        <w:top w:val="none" w:sz="0" w:space="0" w:color="auto"/>
        <w:left w:val="none" w:sz="0" w:space="0" w:color="auto"/>
        <w:bottom w:val="none" w:sz="0" w:space="0" w:color="auto"/>
        <w:right w:val="none" w:sz="0" w:space="0" w:color="auto"/>
      </w:divBdr>
    </w:div>
    <w:div w:id="601186579">
      <w:bodyDiv w:val="1"/>
      <w:marLeft w:val="0"/>
      <w:marRight w:val="0"/>
      <w:marTop w:val="0"/>
      <w:marBottom w:val="0"/>
      <w:divBdr>
        <w:top w:val="none" w:sz="0" w:space="0" w:color="auto"/>
        <w:left w:val="none" w:sz="0" w:space="0" w:color="auto"/>
        <w:bottom w:val="none" w:sz="0" w:space="0" w:color="auto"/>
        <w:right w:val="none" w:sz="0" w:space="0" w:color="auto"/>
      </w:divBdr>
    </w:div>
    <w:div w:id="754088550">
      <w:bodyDiv w:val="1"/>
      <w:marLeft w:val="0"/>
      <w:marRight w:val="0"/>
      <w:marTop w:val="0"/>
      <w:marBottom w:val="0"/>
      <w:divBdr>
        <w:top w:val="none" w:sz="0" w:space="0" w:color="auto"/>
        <w:left w:val="none" w:sz="0" w:space="0" w:color="auto"/>
        <w:bottom w:val="none" w:sz="0" w:space="0" w:color="auto"/>
        <w:right w:val="none" w:sz="0" w:space="0" w:color="auto"/>
      </w:divBdr>
    </w:div>
    <w:div w:id="761529366">
      <w:bodyDiv w:val="1"/>
      <w:marLeft w:val="0"/>
      <w:marRight w:val="0"/>
      <w:marTop w:val="0"/>
      <w:marBottom w:val="0"/>
      <w:divBdr>
        <w:top w:val="none" w:sz="0" w:space="0" w:color="auto"/>
        <w:left w:val="none" w:sz="0" w:space="0" w:color="auto"/>
        <w:bottom w:val="none" w:sz="0" w:space="0" w:color="auto"/>
        <w:right w:val="none" w:sz="0" w:space="0" w:color="auto"/>
      </w:divBdr>
    </w:div>
    <w:div w:id="824664376">
      <w:bodyDiv w:val="1"/>
      <w:marLeft w:val="0"/>
      <w:marRight w:val="0"/>
      <w:marTop w:val="0"/>
      <w:marBottom w:val="0"/>
      <w:divBdr>
        <w:top w:val="none" w:sz="0" w:space="0" w:color="auto"/>
        <w:left w:val="none" w:sz="0" w:space="0" w:color="auto"/>
        <w:bottom w:val="none" w:sz="0" w:space="0" w:color="auto"/>
        <w:right w:val="none" w:sz="0" w:space="0" w:color="auto"/>
      </w:divBdr>
    </w:div>
    <w:div w:id="905653303">
      <w:bodyDiv w:val="1"/>
      <w:marLeft w:val="0"/>
      <w:marRight w:val="0"/>
      <w:marTop w:val="0"/>
      <w:marBottom w:val="0"/>
      <w:divBdr>
        <w:top w:val="none" w:sz="0" w:space="0" w:color="auto"/>
        <w:left w:val="none" w:sz="0" w:space="0" w:color="auto"/>
        <w:bottom w:val="none" w:sz="0" w:space="0" w:color="auto"/>
        <w:right w:val="none" w:sz="0" w:space="0" w:color="auto"/>
      </w:divBdr>
    </w:div>
    <w:div w:id="1025599799">
      <w:bodyDiv w:val="1"/>
      <w:marLeft w:val="0"/>
      <w:marRight w:val="0"/>
      <w:marTop w:val="0"/>
      <w:marBottom w:val="0"/>
      <w:divBdr>
        <w:top w:val="none" w:sz="0" w:space="0" w:color="auto"/>
        <w:left w:val="none" w:sz="0" w:space="0" w:color="auto"/>
        <w:bottom w:val="none" w:sz="0" w:space="0" w:color="auto"/>
        <w:right w:val="none" w:sz="0" w:space="0" w:color="auto"/>
      </w:divBdr>
    </w:div>
    <w:div w:id="1286500925">
      <w:bodyDiv w:val="1"/>
      <w:marLeft w:val="0"/>
      <w:marRight w:val="0"/>
      <w:marTop w:val="0"/>
      <w:marBottom w:val="0"/>
      <w:divBdr>
        <w:top w:val="none" w:sz="0" w:space="0" w:color="auto"/>
        <w:left w:val="none" w:sz="0" w:space="0" w:color="auto"/>
        <w:bottom w:val="none" w:sz="0" w:space="0" w:color="auto"/>
        <w:right w:val="none" w:sz="0" w:space="0" w:color="auto"/>
      </w:divBdr>
    </w:div>
    <w:div w:id="1305936964">
      <w:bodyDiv w:val="1"/>
      <w:marLeft w:val="0"/>
      <w:marRight w:val="0"/>
      <w:marTop w:val="0"/>
      <w:marBottom w:val="0"/>
      <w:divBdr>
        <w:top w:val="none" w:sz="0" w:space="0" w:color="auto"/>
        <w:left w:val="none" w:sz="0" w:space="0" w:color="auto"/>
        <w:bottom w:val="none" w:sz="0" w:space="0" w:color="auto"/>
        <w:right w:val="none" w:sz="0" w:space="0" w:color="auto"/>
      </w:divBdr>
    </w:div>
    <w:div w:id="1426269249">
      <w:bodyDiv w:val="1"/>
      <w:marLeft w:val="0"/>
      <w:marRight w:val="0"/>
      <w:marTop w:val="0"/>
      <w:marBottom w:val="0"/>
      <w:divBdr>
        <w:top w:val="none" w:sz="0" w:space="0" w:color="auto"/>
        <w:left w:val="none" w:sz="0" w:space="0" w:color="auto"/>
        <w:bottom w:val="none" w:sz="0" w:space="0" w:color="auto"/>
        <w:right w:val="none" w:sz="0" w:space="0" w:color="auto"/>
      </w:divBdr>
    </w:div>
    <w:div w:id="1462574272">
      <w:bodyDiv w:val="1"/>
      <w:marLeft w:val="0"/>
      <w:marRight w:val="0"/>
      <w:marTop w:val="0"/>
      <w:marBottom w:val="0"/>
      <w:divBdr>
        <w:top w:val="none" w:sz="0" w:space="0" w:color="auto"/>
        <w:left w:val="none" w:sz="0" w:space="0" w:color="auto"/>
        <w:bottom w:val="none" w:sz="0" w:space="0" w:color="auto"/>
        <w:right w:val="none" w:sz="0" w:space="0" w:color="auto"/>
      </w:divBdr>
    </w:div>
    <w:div w:id="1598630923">
      <w:bodyDiv w:val="1"/>
      <w:marLeft w:val="0"/>
      <w:marRight w:val="0"/>
      <w:marTop w:val="0"/>
      <w:marBottom w:val="0"/>
      <w:divBdr>
        <w:top w:val="none" w:sz="0" w:space="0" w:color="auto"/>
        <w:left w:val="none" w:sz="0" w:space="0" w:color="auto"/>
        <w:bottom w:val="none" w:sz="0" w:space="0" w:color="auto"/>
        <w:right w:val="none" w:sz="0" w:space="0" w:color="auto"/>
      </w:divBdr>
      <w:divsChild>
        <w:div w:id="1277559998">
          <w:marLeft w:val="446"/>
          <w:marRight w:val="0"/>
          <w:marTop w:val="0"/>
          <w:marBottom w:val="0"/>
          <w:divBdr>
            <w:top w:val="none" w:sz="0" w:space="0" w:color="auto"/>
            <w:left w:val="none" w:sz="0" w:space="0" w:color="auto"/>
            <w:bottom w:val="none" w:sz="0" w:space="0" w:color="auto"/>
            <w:right w:val="none" w:sz="0" w:space="0" w:color="auto"/>
          </w:divBdr>
        </w:div>
        <w:div w:id="2085295475">
          <w:marLeft w:val="446"/>
          <w:marRight w:val="0"/>
          <w:marTop w:val="0"/>
          <w:marBottom w:val="0"/>
          <w:divBdr>
            <w:top w:val="none" w:sz="0" w:space="0" w:color="auto"/>
            <w:left w:val="none" w:sz="0" w:space="0" w:color="auto"/>
            <w:bottom w:val="none" w:sz="0" w:space="0" w:color="auto"/>
            <w:right w:val="none" w:sz="0" w:space="0" w:color="auto"/>
          </w:divBdr>
        </w:div>
      </w:divsChild>
    </w:div>
    <w:div w:id="1830173209">
      <w:bodyDiv w:val="1"/>
      <w:marLeft w:val="0"/>
      <w:marRight w:val="0"/>
      <w:marTop w:val="0"/>
      <w:marBottom w:val="0"/>
      <w:divBdr>
        <w:top w:val="none" w:sz="0" w:space="0" w:color="auto"/>
        <w:left w:val="none" w:sz="0" w:space="0" w:color="auto"/>
        <w:bottom w:val="none" w:sz="0" w:space="0" w:color="auto"/>
        <w:right w:val="none" w:sz="0" w:space="0" w:color="auto"/>
      </w:divBdr>
    </w:div>
    <w:div w:id="1891841340">
      <w:bodyDiv w:val="1"/>
      <w:marLeft w:val="0"/>
      <w:marRight w:val="0"/>
      <w:marTop w:val="0"/>
      <w:marBottom w:val="0"/>
      <w:divBdr>
        <w:top w:val="none" w:sz="0" w:space="0" w:color="auto"/>
        <w:left w:val="none" w:sz="0" w:space="0" w:color="auto"/>
        <w:bottom w:val="none" w:sz="0" w:space="0" w:color="auto"/>
        <w:right w:val="none" w:sz="0" w:space="0" w:color="auto"/>
      </w:divBdr>
    </w:div>
    <w:div w:id="1967739962">
      <w:bodyDiv w:val="1"/>
      <w:marLeft w:val="0"/>
      <w:marRight w:val="0"/>
      <w:marTop w:val="0"/>
      <w:marBottom w:val="0"/>
      <w:divBdr>
        <w:top w:val="none" w:sz="0" w:space="0" w:color="auto"/>
        <w:left w:val="none" w:sz="0" w:space="0" w:color="auto"/>
        <w:bottom w:val="none" w:sz="0" w:space="0" w:color="auto"/>
        <w:right w:val="none" w:sz="0" w:space="0" w:color="auto"/>
      </w:divBdr>
    </w:div>
    <w:div w:id="203988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co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greencore.com%2F&amp;data=04%7C01%7CJack.Gorman%40greencore.com%7Cd31c21bcbab843d2c3bd08d87fdbf5c5%7C3d4de73ce9884fe691860de21962280c%7C0%7C0%7C637399929983318143%7CUnknown%7CTWFpbGZsb3d8eyJWIjoiMC4wLjAwMDAiLCJQIjoiV2luMzIiLCJBTiI6Ik1haWwiLCJXVCI6Mn0%3D%7C1000&amp;sdata=ZkSnV9wyBmAOrOgwJpK7m0VxdDpWJbfpghwAfYg%2FD3A%3D&amp;reserved=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2020-11-23T16:54:28+00:00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10D16-2805-4FFC-8777-1938F8019449}"/>
</file>

<file path=customXml/itemProps2.xml><?xml version="1.0" encoding="utf-8"?>
<ds:datastoreItem xmlns:ds="http://schemas.openxmlformats.org/officeDocument/2006/customXml" ds:itemID="{0FF67B9E-32BA-45D9-A471-2C14FDCADC2E}"/>
</file>

<file path=customXml/itemProps3.xml><?xml version="1.0" encoding="utf-8"?>
<ds:datastoreItem xmlns:ds="http://schemas.openxmlformats.org/officeDocument/2006/customXml" ds:itemID="{7B09BFCF-25E9-463A-B5DB-6B28B8C5453C}"/>
</file>

<file path=customXml/itemProps4.xml><?xml version="1.0" encoding="utf-8"?>
<ds:datastoreItem xmlns:ds="http://schemas.openxmlformats.org/officeDocument/2006/customXml" ds:itemID="{6CDBDB8B-1017-4F26-A66E-1B1C6DA0DD96}"/>
</file>

<file path=docProps/app.xml><?xml version="1.0" encoding="utf-8"?>
<Properties xmlns="http://schemas.openxmlformats.org/officeDocument/2006/extended-properties" xmlns:vt="http://schemas.openxmlformats.org/officeDocument/2006/docPropsVTypes">
  <Template>Normal</Template>
  <TotalTime>3</TotalTime>
  <Pages>26</Pages>
  <Words>16786</Words>
  <Characters>93375</Characters>
  <Application>Microsoft Office Word</Application>
  <DocSecurity>4</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Bhangoo</dc:creator>
  <cp:lastModifiedBy>Natasha Short</cp:lastModifiedBy>
  <cp:revision>2</cp:revision>
  <cp:lastPrinted>2020-11-23T00:33:00Z</cp:lastPrinted>
  <dcterms:created xsi:type="dcterms:W3CDTF">2020-11-23T15:48:00Z</dcterms:created>
  <dcterms:modified xsi:type="dcterms:W3CDTF">2020-11-23T15:48:00Z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Acrobat PDFMaker 19 for Word</vt:lpwstr>
  </property>
  <property fmtid="{D5CDD505-2E9C-101B-9397-08002B2CF9AE}" pid="4" name="LastSaved">
    <vt:filetime>2019-10-07T00:00:00Z</vt:filetime>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169297200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