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D1C3E" w14:textId="77777777" w:rsidR="00D54BB3" w:rsidRPr="00ED63DD" w:rsidRDefault="00917F3A" w:rsidP="00ED63DD">
      <w:pPr>
        <w:tabs>
          <w:tab w:val="left" w:pos="870"/>
          <w:tab w:val="center" w:pos="3063"/>
        </w:tabs>
        <w:rPr>
          <w:b/>
          <w:bCs/>
          <w:sz w:val="22"/>
          <w:szCs w:val="22"/>
        </w:rPr>
      </w:pPr>
      <w:r w:rsidRPr="00ED63DD">
        <w:rPr>
          <w:noProof/>
          <w:sz w:val="2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 wp14:anchorId="03265777" wp14:editId="70F61505">
            <wp:simplePos x="0" y="0"/>
            <wp:positionH relativeFrom="margin">
              <wp:posOffset>4004310</wp:posOffset>
            </wp:positionH>
            <wp:positionV relativeFrom="margin">
              <wp:posOffset>-438785</wp:posOffset>
            </wp:positionV>
            <wp:extent cx="2484755" cy="7219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13457" w14:textId="77777777" w:rsidR="001722B6" w:rsidRPr="00C33ECC" w:rsidRDefault="001722B6" w:rsidP="001722B6">
      <w:pPr>
        <w:jc w:val="both"/>
        <w:rPr>
          <w:rFonts w:asciiTheme="majorHAnsi" w:hAnsiTheme="majorHAnsi"/>
        </w:rPr>
      </w:pPr>
    </w:p>
    <w:p w14:paraId="4A559BC9" w14:textId="77777777" w:rsidR="001722B6" w:rsidRPr="00C33ECC" w:rsidRDefault="001722B6" w:rsidP="00D54BB3">
      <w:pPr>
        <w:jc w:val="center"/>
        <w:rPr>
          <w:rFonts w:asciiTheme="majorHAnsi" w:hAnsiTheme="majorHAnsi"/>
          <w:b/>
          <w:bCs/>
        </w:rPr>
      </w:pPr>
    </w:p>
    <w:p w14:paraId="51464995" w14:textId="4CBFC53E" w:rsidR="00D54BB3" w:rsidRPr="002F2A27" w:rsidRDefault="006514CD" w:rsidP="002F2A27">
      <w:pPr>
        <w:spacing w:line="276" w:lineRule="auto"/>
        <w:jc w:val="center"/>
        <w:rPr>
          <w:b/>
          <w:bCs/>
        </w:rPr>
      </w:pPr>
      <w:r w:rsidRPr="002F2A27">
        <w:rPr>
          <w:b/>
          <w:bCs/>
        </w:rPr>
        <w:t xml:space="preserve">Change of </w:t>
      </w:r>
      <w:r w:rsidR="002F2A27" w:rsidRPr="002F2A27">
        <w:rPr>
          <w:b/>
          <w:bCs/>
        </w:rPr>
        <w:t xml:space="preserve">Name of </w:t>
      </w:r>
      <w:r w:rsidRPr="002F2A27">
        <w:rPr>
          <w:b/>
          <w:bCs/>
        </w:rPr>
        <w:t>Company Secretary</w:t>
      </w:r>
    </w:p>
    <w:p w14:paraId="1081B19F" w14:textId="77777777" w:rsidR="00D54BB3" w:rsidRPr="002F2A27" w:rsidRDefault="00D54BB3" w:rsidP="002F2A27">
      <w:pPr>
        <w:spacing w:line="276" w:lineRule="auto"/>
        <w:jc w:val="center"/>
        <w:rPr>
          <w:b/>
          <w:bCs/>
        </w:rPr>
      </w:pPr>
    </w:p>
    <w:p w14:paraId="5A87E818" w14:textId="77777777" w:rsidR="00A7341D" w:rsidRPr="002F2A27" w:rsidRDefault="00A7341D" w:rsidP="002F2A27">
      <w:pPr>
        <w:spacing w:line="276" w:lineRule="auto"/>
        <w:jc w:val="both"/>
      </w:pPr>
      <w:r w:rsidRPr="002F2A27">
        <w:t> </w:t>
      </w:r>
    </w:p>
    <w:p w14:paraId="372D8027" w14:textId="679A2DCF" w:rsidR="002F2A27" w:rsidRPr="002F2A27" w:rsidRDefault="001D321B" w:rsidP="002F2A27">
      <w:pPr>
        <w:spacing w:line="276" w:lineRule="auto"/>
        <w:jc w:val="both"/>
      </w:pPr>
      <w:r w:rsidRPr="002F2A27">
        <w:rPr>
          <w:b/>
        </w:rPr>
        <w:t xml:space="preserve">Dublin, London, </w:t>
      </w:r>
      <w:r w:rsidR="002F2A27" w:rsidRPr="002F2A27">
        <w:rPr>
          <w:b/>
        </w:rPr>
        <w:t>1 April 2020</w:t>
      </w:r>
      <w:r w:rsidR="00C33ECC" w:rsidRPr="002F2A27">
        <w:t xml:space="preserve">: </w:t>
      </w:r>
      <w:r w:rsidR="002F2A27" w:rsidRPr="002F2A27">
        <w:t>Greencoat Renewables PLC, ("Greencoat Renewables" or the "Company"), the renewable infrastructure company invested in euro-dominated assets</w:t>
      </w:r>
      <w:r w:rsidR="002F2A27" w:rsidRPr="002F2A27">
        <w:t xml:space="preserve"> announces</w:t>
      </w:r>
      <w:r w:rsidR="006514CD" w:rsidRPr="002F2A27">
        <w:t xml:space="preserve"> </w:t>
      </w:r>
      <w:r w:rsidR="002F2A27" w:rsidRPr="002F2A27">
        <w:t>that, following the merger of the Ocorian and Estera Groups on 10 February 2020, the name of the Company’s Company Secretary will be changed to Ocorian Administration (UK) Limited on 6 April 2020.</w:t>
      </w:r>
    </w:p>
    <w:p w14:paraId="11E9522E" w14:textId="7ED11C09" w:rsidR="00917F3A" w:rsidRPr="002F2A27" w:rsidRDefault="00917F3A" w:rsidP="002F2A27">
      <w:pPr>
        <w:pStyle w:val="BodyText"/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2F2A27">
        <w:rPr>
          <w:rFonts w:asciiTheme="minorHAnsi" w:hAnsiTheme="minorHAnsi"/>
          <w:sz w:val="24"/>
          <w:szCs w:val="24"/>
        </w:rPr>
        <w:tab/>
      </w:r>
    </w:p>
    <w:p w14:paraId="3F027A3D" w14:textId="77777777" w:rsidR="004F2ECC" w:rsidRPr="002F2A27" w:rsidRDefault="004F2ECC" w:rsidP="002F2A27">
      <w:pPr>
        <w:spacing w:line="276" w:lineRule="auto"/>
        <w:jc w:val="both"/>
      </w:pPr>
    </w:p>
    <w:p w14:paraId="5D185398" w14:textId="77777777" w:rsidR="004F2ECC" w:rsidRPr="002F2A27" w:rsidRDefault="004F2ECC" w:rsidP="002F2A27">
      <w:pPr>
        <w:spacing w:line="276" w:lineRule="auto"/>
        <w:jc w:val="center"/>
      </w:pPr>
      <w:r w:rsidRPr="002F2A27">
        <w:t>--- ENDS ---</w:t>
      </w:r>
    </w:p>
    <w:p w14:paraId="094BDB78" w14:textId="77777777" w:rsidR="004F2ECC" w:rsidRPr="002F2A27" w:rsidRDefault="004F2ECC" w:rsidP="002F2A27">
      <w:pPr>
        <w:spacing w:line="276" w:lineRule="auto"/>
        <w:jc w:val="both"/>
      </w:pPr>
    </w:p>
    <w:p w14:paraId="51E19498" w14:textId="77777777" w:rsidR="002F2A27" w:rsidRPr="002F2A27" w:rsidRDefault="002F2A27" w:rsidP="002F2A27">
      <w:pPr>
        <w:spacing w:line="276" w:lineRule="auto"/>
        <w:jc w:val="both"/>
      </w:pPr>
      <w:r w:rsidRPr="002F2A27">
        <w:rPr>
          <w:b/>
          <w:bCs/>
        </w:rPr>
        <w:t>For further details contact: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3"/>
        <w:gridCol w:w="85"/>
        <w:gridCol w:w="85"/>
        <w:gridCol w:w="85"/>
        <w:gridCol w:w="85"/>
        <w:gridCol w:w="2908"/>
      </w:tblGrid>
      <w:tr w:rsidR="002F2A27" w:rsidRPr="002F2A27" w14:paraId="7F919907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560E61AF" w14:textId="77777777" w:rsidR="002F2A27" w:rsidRPr="002F2A27" w:rsidRDefault="002F2A27" w:rsidP="002F2A27">
            <w:pPr>
              <w:jc w:val="both"/>
            </w:pPr>
            <w:r w:rsidRPr="002F2A27">
              <w:rPr>
                <w:b/>
                <w:bCs/>
              </w:rPr>
              <w:t>Greencoat Capital LLP (Investment</w:t>
            </w:r>
            <w:r w:rsidRPr="002F2A27">
              <w:t xml:space="preserve"> </w:t>
            </w:r>
            <w:r w:rsidRPr="002F2A27">
              <w:rPr>
                <w:b/>
                <w:bCs/>
              </w:rPr>
              <w:t>Manager)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C667F2" w14:textId="77777777" w:rsidR="002F2A27" w:rsidRPr="002F2A27" w:rsidRDefault="002F2A27" w:rsidP="002F2A27">
            <w:pPr>
              <w:jc w:val="both"/>
            </w:pPr>
            <w:r w:rsidRPr="002F2A27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8E5B92" w14:textId="77777777" w:rsidR="002F2A27" w:rsidRPr="002F2A27" w:rsidRDefault="002F2A27" w:rsidP="002F2A27">
            <w:pPr>
              <w:jc w:val="both"/>
            </w:pPr>
            <w:r w:rsidRPr="002F2A27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5BD3C5" w14:textId="77777777" w:rsidR="002F2A27" w:rsidRPr="002F2A27" w:rsidRDefault="002F2A27" w:rsidP="002F2A27">
            <w:pPr>
              <w:jc w:val="both"/>
            </w:pPr>
            <w:r w:rsidRPr="002F2A27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D808CE" w14:textId="77777777" w:rsidR="002F2A27" w:rsidRPr="002F2A27" w:rsidRDefault="002F2A27" w:rsidP="002F2A27">
            <w:pPr>
              <w:jc w:val="both"/>
            </w:pPr>
            <w:r w:rsidRPr="002F2A27"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69150" w14:textId="77777777" w:rsidR="002F2A27" w:rsidRPr="002F2A27" w:rsidRDefault="002F2A27" w:rsidP="002F2A27">
            <w:pPr>
              <w:jc w:val="both"/>
            </w:pPr>
          </w:p>
        </w:tc>
      </w:tr>
      <w:tr w:rsidR="002F2A27" w:rsidRPr="002F2A27" w14:paraId="65C92288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0FA8A220" w14:textId="77777777" w:rsidR="002F2A27" w:rsidRPr="002F2A27" w:rsidRDefault="002F2A27" w:rsidP="002F2A27">
            <w:pPr>
              <w:jc w:val="both"/>
              <w:rPr>
                <w:lang w:val="fr-FR"/>
              </w:rPr>
            </w:pPr>
            <w:r w:rsidRPr="002F2A27">
              <w:rPr>
                <w:lang w:val="fr-FR"/>
              </w:rPr>
              <w:t>Bertrand Gautier</w:t>
            </w:r>
          </w:p>
          <w:p w14:paraId="53604D69" w14:textId="77777777" w:rsidR="002F2A27" w:rsidRPr="002F2A27" w:rsidRDefault="002F2A27" w:rsidP="002F2A27">
            <w:pPr>
              <w:jc w:val="both"/>
              <w:rPr>
                <w:lang w:val="fr-FR"/>
              </w:rPr>
            </w:pPr>
            <w:r w:rsidRPr="002F2A27">
              <w:rPr>
                <w:lang w:val="fr-FR"/>
              </w:rPr>
              <w:t>Paul O’ Donnell</w:t>
            </w:r>
          </w:p>
          <w:p w14:paraId="3086A04B" w14:textId="77777777" w:rsidR="002F2A27" w:rsidRPr="002F2A27" w:rsidRDefault="002F2A27" w:rsidP="002F2A27">
            <w:pPr>
              <w:jc w:val="both"/>
              <w:rPr>
                <w:lang w:val="fr-FR"/>
              </w:rPr>
            </w:pPr>
            <w:r w:rsidRPr="002F2A27">
              <w:rPr>
                <w:lang w:val="fr-FR"/>
              </w:rPr>
              <w:t>Tom Rayner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C02D58" w14:textId="77777777" w:rsidR="002F2A27" w:rsidRPr="002F2A27" w:rsidRDefault="002F2A27" w:rsidP="002F2A27">
            <w:pPr>
              <w:jc w:val="both"/>
              <w:rPr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986979" w14:textId="77777777" w:rsidR="002F2A27" w:rsidRPr="002F2A27" w:rsidRDefault="002F2A27" w:rsidP="002F2A27">
            <w:pPr>
              <w:jc w:val="both"/>
              <w:rPr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13455D" w14:textId="77777777" w:rsidR="002F2A27" w:rsidRPr="002F2A27" w:rsidRDefault="002F2A27" w:rsidP="002F2A27">
            <w:pPr>
              <w:jc w:val="both"/>
              <w:rPr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58C4AB" w14:textId="77777777" w:rsidR="002F2A27" w:rsidRPr="002F2A27" w:rsidRDefault="002F2A27" w:rsidP="002F2A27">
            <w:pPr>
              <w:jc w:val="both"/>
              <w:rPr>
                <w:lang w:val="fr-FR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1A7DC3B1" w14:textId="77777777" w:rsidR="002F2A27" w:rsidRPr="002F2A27" w:rsidRDefault="002F2A27" w:rsidP="002F2A27">
            <w:pPr>
              <w:jc w:val="both"/>
            </w:pPr>
            <w:r w:rsidRPr="002F2A27">
              <w:t>+44 20 7832 9400</w:t>
            </w:r>
          </w:p>
        </w:tc>
      </w:tr>
      <w:tr w:rsidR="002F2A27" w:rsidRPr="002F2A27" w14:paraId="0CE0BC3F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703EB550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BEAC35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E147B2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88345B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D65D9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48E0B1" w14:textId="77777777" w:rsidR="002F2A27" w:rsidRPr="002F2A27" w:rsidRDefault="002F2A27" w:rsidP="002F2A27">
            <w:pPr>
              <w:jc w:val="both"/>
            </w:pPr>
          </w:p>
        </w:tc>
      </w:tr>
      <w:tr w:rsidR="002F2A27" w:rsidRPr="002F2A27" w14:paraId="5A7BEC5B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24A27D7A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B47AD4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8D1C3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F3E8E7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3AAF32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6003BC" w14:textId="77777777" w:rsidR="002F2A27" w:rsidRPr="002F2A27" w:rsidRDefault="002F2A27" w:rsidP="002F2A27">
            <w:pPr>
              <w:jc w:val="both"/>
            </w:pPr>
          </w:p>
        </w:tc>
      </w:tr>
      <w:tr w:rsidR="002F2A27" w:rsidRPr="002F2A27" w14:paraId="1D309DC6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vAlign w:val="bottom"/>
            <w:hideMark/>
          </w:tcPr>
          <w:p w14:paraId="5F274D94" w14:textId="77777777" w:rsidR="002F2A27" w:rsidRPr="002F2A27" w:rsidRDefault="002F2A27" w:rsidP="002F2A27">
            <w:pPr>
              <w:jc w:val="both"/>
            </w:pPr>
            <w:r w:rsidRPr="002F2A27">
              <w:rPr>
                <w:b/>
                <w:bCs/>
              </w:rPr>
              <w:t>FTI Consulting (Investor Relations &amp; Media)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D7FD89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63148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3D8010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669551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B2468" w14:textId="77777777" w:rsidR="002F2A27" w:rsidRPr="002F2A27" w:rsidRDefault="002F2A27" w:rsidP="002F2A27">
            <w:pPr>
              <w:jc w:val="both"/>
            </w:pPr>
            <w:r w:rsidRPr="002F2A27">
              <w:t> </w:t>
            </w:r>
          </w:p>
        </w:tc>
      </w:tr>
      <w:tr w:rsidR="002F2A27" w:rsidRPr="002F2A27" w14:paraId="5FA97759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6D216F4C" w14:textId="77777777" w:rsidR="002F2A27" w:rsidRPr="002F2A27" w:rsidRDefault="002F2A27" w:rsidP="002F2A27">
            <w:pPr>
              <w:jc w:val="both"/>
            </w:pPr>
            <w:r w:rsidRPr="002F2A27">
              <w:t>Jonathan Neilan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B7A38E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0A5C9F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901807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69D55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EA915" w14:textId="77777777" w:rsidR="002F2A27" w:rsidRPr="002F2A27" w:rsidRDefault="002F2A27" w:rsidP="002F2A27">
            <w:pPr>
              <w:jc w:val="both"/>
            </w:pPr>
            <w:r w:rsidRPr="002F2A27">
              <w:t>+353 1 765 0886</w:t>
            </w:r>
          </w:p>
        </w:tc>
      </w:tr>
      <w:tr w:rsidR="002F2A27" w:rsidRPr="002F2A27" w14:paraId="44CBB9FE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035480AE" w14:textId="77777777" w:rsidR="002F2A27" w:rsidRPr="002F2A27" w:rsidRDefault="002F2A27" w:rsidP="002F2A27">
            <w:pPr>
              <w:jc w:val="both"/>
            </w:pPr>
            <w:r w:rsidRPr="002F2A27">
              <w:t>Melanie Farrell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9438A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00E50B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FB4A7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A26CD1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5E357B65" w14:textId="77777777" w:rsidR="002F2A27" w:rsidRPr="002F2A27" w:rsidRDefault="002F2A27" w:rsidP="002F2A27">
            <w:pPr>
              <w:jc w:val="both"/>
            </w:pPr>
            <w:hyperlink r:id="rId8" w:history="1">
              <w:r w:rsidRPr="002F2A27">
                <w:rPr>
                  <w:rStyle w:val="Hyperlink"/>
                </w:rPr>
                <w:t>greencoat@fticonsulting.com</w:t>
              </w:r>
            </w:hyperlink>
          </w:p>
        </w:tc>
      </w:tr>
      <w:tr w:rsidR="002F2A27" w:rsidRPr="002F2A27" w14:paraId="4E297629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7CEF778D" w14:textId="47793AC1" w:rsidR="002F2A27" w:rsidRPr="002F2A27" w:rsidRDefault="002F2A27" w:rsidP="002F2A27">
            <w:pPr>
              <w:jc w:val="both"/>
              <w:rPr>
                <w:b/>
                <w:bCs/>
              </w:rPr>
            </w:pPr>
          </w:p>
          <w:p w14:paraId="09CA4C65" w14:textId="77777777" w:rsidR="002F2A27" w:rsidRPr="002F2A27" w:rsidRDefault="002F2A27" w:rsidP="002F2A27">
            <w:pPr>
              <w:jc w:val="both"/>
            </w:pPr>
            <w:r w:rsidRPr="002F2A27">
              <w:rPr>
                <w:b/>
                <w:bCs/>
              </w:rPr>
              <w:t>Davy (Broker, NOMAD and Euronext Growth Adviser)</w:t>
            </w:r>
          </w:p>
          <w:p w14:paraId="30E16F05" w14:textId="77777777" w:rsidR="002F2A27" w:rsidRPr="002F2A27" w:rsidRDefault="002F2A27" w:rsidP="002F2A27">
            <w:pPr>
              <w:jc w:val="both"/>
            </w:pPr>
            <w:r w:rsidRPr="002F2A27">
              <w:t>Fergal Meegan</w:t>
            </w:r>
          </w:p>
          <w:p w14:paraId="536CF2B9" w14:textId="77777777" w:rsidR="002F2A27" w:rsidRPr="002F2A27" w:rsidRDefault="002F2A27" w:rsidP="002F2A27">
            <w:pPr>
              <w:jc w:val="both"/>
            </w:pPr>
            <w:r w:rsidRPr="002F2A27">
              <w:t>Barry Murphy</w:t>
            </w:r>
          </w:p>
          <w:p w14:paraId="15A8903B" w14:textId="77777777" w:rsidR="002F2A27" w:rsidRPr="002F2A27" w:rsidRDefault="002F2A27" w:rsidP="002F2A27">
            <w:pPr>
              <w:jc w:val="both"/>
            </w:pPr>
            <w:r w:rsidRPr="002F2A27">
              <w:t>Ronan Veale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B1E5EC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E7B4F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5D40D1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8C77D5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4DDDB0F" w14:textId="77777777" w:rsidR="002F2A27" w:rsidRPr="002F2A27" w:rsidRDefault="002F2A27" w:rsidP="002F2A27">
            <w:pPr>
              <w:jc w:val="both"/>
            </w:pPr>
            <w:r w:rsidRPr="002F2A27">
              <w:t>+353 1 679 6363</w:t>
            </w:r>
          </w:p>
        </w:tc>
      </w:tr>
      <w:tr w:rsidR="002F2A27" w:rsidRPr="002F2A27" w14:paraId="1810073D" w14:textId="77777777" w:rsidTr="00A242FB">
        <w:trPr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27A6F293" w14:textId="77777777" w:rsidR="002F2A27" w:rsidRPr="002F2A27" w:rsidRDefault="002F2A27" w:rsidP="002F2A27">
            <w:pPr>
              <w:jc w:val="both"/>
              <w:rPr>
                <w:b/>
                <w:bCs/>
              </w:rPr>
            </w:pPr>
          </w:p>
          <w:p w14:paraId="4AB4A64D" w14:textId="77777777" w:rsidR="002F2A27" w:rsidRPr="002F2A27" w:rsidRDefault="002F2A27" w:rsidP="002F2A27">
            <w:pPr>
              <w:jc w:val="both"/>
            </w:pPr>
            <w:r w:rsidRPr="002F2A27">
              <w:rPr>
                <w:b/>
                <w:bCs/>
              </w:rPr>
              <w:t>RBC Capital Markets (Joint Broker)</w:t>
            </w:r>
          </w:p>
          <w:p w14:paraId="0F5CBAF5" w14:textId="77777777" w:rsidR="002F2A27" w:rsidRPr="002F2A27" w:rsidRDefault="002F2A27" w:rsidP="002F2A27">
            <w:pPr>
              <w:jc w:val="both"/>
            </w:pPr>
            <w:r w:rsidRPr="002F2A27">
              <w:t>Matthew Coakes</w:t>
            </w:r>
          </w:p>
          <w:p w14:paraId="487B6A97" w14:textId="77777777" w:rsidR="002F2A27" w:rsidRPr="002F2A27" w:rsidRDefault="002F2A27" w:rsidP="002F2A27">
            <w:pPr>
              <w:jc w:val="both"/>
            </w:pPr>
            <w:r w:rsidRPr="002F2A27">
              <w:t>Jonathan Hardy</w:t>
            </w:r>
          </w:p>
          <w:p w14:paraId="737CFA74" w14:textId="6AFB5859" w:rsidR="002F2A27" w:rsidRPr="002F2A27" w:rsidRDefault="002F2A27" w:rsidP="002F2A27">
            <w:pPr>
              <w:jc w:val="both"/>
            </w:pPr>
            <w:r w:rsidRPr="002F2A27">
              <w:t>Elizabeth Evans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A12FDA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B56D79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35AC66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239F32" w14:textId="77777777" w:rsidR="002F2A27" w:rsidRPr="002F2A27" w:rsidRDefault="002F2A27" w:rsidP="002F2A27">
            <w:pPr>
              <w:jc w:val="both"/>
            </w:pPr>
          </w:p>
        </w:tc>
        <w:tc>
          <w:tcPr>
            <w:tcW w:w="0" w:type="auto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489F0859" w14:textId="77777777" w:rsidR="002F2A27" w:rsidRPr="002F2A27" w:rsidRDefault="002F2A27" w:rsidP="002F2A27">
            <w:pPr>
              <w:jc w:val="both"/>
            </w:pPr>
            <w:r w:rsidRPr="002F2A27">
              <w:t>+44 20 7653 4000</w:t>
            </w:r>
          </w:p>
        </w:tc>
      </w:tr>
    </w:tbl>
    <w:p w14:paraId="4FCEFAB2" w14:textId="77777777" w:rsidR="000873D0" w:rsidRPr="002F2A27" w:rsidRDefault="000873D0" w:rsidP="002F2A27">
      <w:pPr>
        <w:spacing w:line="276" w:lineRule="auto"/>
        <w:rPr>
          <w:rFonts w:cstheme="minorHAnsi"/>
          <w:b/>
          <w:bCs/>
        </w:rPr>
      </w:pPr>
    </w:p>
    <w:p w14:paraId="4B8B81FA" w14:textId="27BCE298" w:rsidR="003A7A98" w:rsidRPr="002F2A27" w:rsidRDefault="003A7A98" w:rsidP="002F2A27">
      <w:pPr>
        <w:pStyle w:val="NormalWeb"/>
        <w:spacing w:line="276" w:lineRule="auto"/>
        <w:rPr>
          <w:rFonts w:asciiTheme="minorHAnsi" w:eastAsiaTheme="minorHAnsi" w:hAnsiTheme="minorHAnsi" w:cstheme="minorBidi"/>
          <w:lang w:val="en-GB" w:eastAsia="en-US"/>
        </w:rPr>
      </w:pPr>
      <w:bookmarkStart w:id="0" w:name="_GoBack"/>
      <w:bookmarkEnd w:id="0"/>
    </w:p>
    <w:sectPr w:rsidR="003A7A98" w:rsidRPr="002F2A27" w:rsidSect="00FF3457">
      <w:pgSz w:w="11900" w:h="16840"/>
      <w:pgMar w:top="90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646C0" w14:textId="77777777" w:rsidR="008E6E81" w:rsidRDefault="008E6E81" w:rsidP="00ED62DE">
      <w:r>
        <w:separator/>
      </w:r>
    </w:p>
  </w:endnote>
  <w:endnote w:type="continuationSeparator" w:id="0">
    <w:p w14:paraId="27A8C1C6" w14:textId="77777777" w:rsidR="008E6E81" w:rsidRDefault="008E6E81" w:rsidP="00ED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A2D0D" w14:textId="77777777" w:rsidR="008E6E81" w:rsidRDefault="008E6E81" w:rsidP="00ED62DE">
      <w:r>
        <w:separator/>
      </w:r>
    </w:p>
  </w:footnote>
  <w:footnote w:type="continuationSeparator" w:id="0">
    <w:p w14:paraId="531EF606" w14:textId="77777777" w:rsidR="008E6E81" w:rsidRDefault="008E6E81" w:rsidP="00ED6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7AF"/>
    <w:multiLevelType w:val="hybridMultilevel"/>
    <w:tmpl w:val="21007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8262B"/>
    <w:multiLevelType w:val="hybridMultilevel"/>
    <w:tmpl w:val="CF8CD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D79A9"/>
    <w:multiLevelType w:val="hybridMultilevel"/>
    <w:tmpl w:val="1AA20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1D"/>
    <w:rsid w:val="000873D0"/>
    <w:rsid w:val="00097565"/>
    <w:rsid w:val="000A1C0F"/>
    <w:rsid w:val="000F0E56"/>
    <w:rsid w:val="0010201D"/>
    <w:rsid w:val="001377B0"/>
    <w:rsid w:val="00152329"/>
    <w:rsid w:val="00154A1F"/>
    <w:rsid w:val="001722B6"/>
    <w:rsid w:val="0017401F"/>
    <w:rsid w:val="001D321B"/>
    <w:rsid w:val="00231EF3"/>
    <w:rsid w:val="00247DE0"/>
    <w:rsid w:val="002765E9"/>
    <w:rsid w:val="002B2E78"/>
    <w:rsid w:val="002F2A27"/>
    <w:rsid w:val="00357659"/>
    <w:rsid w:val="00362772"/>
    <w:rsid w:val="003A7A98"/>
    <w:rsid w:val="003C70D6"/>
    <w:rsid w:val="003E0231"/>
    <w:rsid w:val="00412B3B"/>
    <w:rsid w:val="004476C3"/>
    <w:rsid w:val="00496A23"/>
    <w:rsid w:val="004D212E"/>
    <w:rsid w:val="004E6063"/>
    <w:rsid w:val="004F2ECC"/>
    <w:rsid w:val="0054248F"/>
    <w:rsid w:val="00544922"/>
    <w:rsid w:val="0058413D"/>
    <w:rsid w:val="00586FBF"/>
    <w:rsid w:val="005A1AEB"/>
    <w:rsid w:val="005A7AB8"/>
    <w:rsid w:val="005C46D3"/>
    <w:rsid w:val="005E0CC1"/>
    <w:rsid w:val="005E3668"/>
    <w:rsid w:val="005E7E1A"/>
    <w:rsid w:val="006514CD"/>
    <w:rsid w:val="00665346"/>
    <w:rsid w:val="00686B6A"/>
    <w:rsid w:val="006A42F5"/>
    <w:rsid w:val="006B1E1C"/>
    <w:rsid w:val="006B2C87"/>
    <w:rsid w:val="0071149B"/>
    <w:rsid w:val="00717999"/>
    <w:rsid w:val="00732D2E"/>
    <w:rsid w:val="007457E0"/>
    <w:rsid w:val="00752CB3"/>
    <w:rsid w:val="007861A1"/>
    <w:rsid w:val="007E5B69"/>
    <w:rsid w:val="007F6B81"/>
    <w:rsid w:val="0080202D"/>
    <w:rsid w:val="0083577D"/>
    <w:rsid w:val="008504AF"/>
    <w:rsid w:val="00882DAA"/>
    <w:rsid w:val="008A652B"/>
    <w:rsid w:val="008E6E81"/>
    <w:rsid w:val="00917F3A"/>
    <w:rsid w:val="009275D5"/>
    <w:rsid w:val="00927857"/>
    <w:rsid w:val="009469B3"/>
    <w:rsid w:val="00960F00"/>
    <w:rsid w:val="009F179A"/>
    <w:rsid w:val="00A30EB6"/>
    <w:rsid w:val="00A35325"/>
    <w:rsid w:val="00A7341D"/>
    <w:rsid w:val="00AA152D"/>
    <w:rsid w:val="00AB0616"/>
    <w:rsid w:val="00AC4E1C"/>
    <w:rsid w:val="00AF2B23"/>
    <w:rsid w:val="00AF353B"/>
    <w:rsid w:val="00BA3FC8"/>
    <w:rsid w:val="00BB0B24"/>
    <w:rsid w:val="00BD1A38"/>
    <w:rsid w:val="00C10C4A"/>
    <w:rsid w:val="00C33ECC"/>
    <w:rsid w:val="00C80C26"/>
    <w:rsid w:val="00D027A7"/>
    <w:rsid w:val="00D32C3A"/>
    <w:rsid w:val="00D52CDC"/>
    <w:rsid w:val="00D54BB3"/>
    <w:rsid w:val="00DB150D"/>
    <w:rsid w:val="00DC7D23"/>
    <w:rsid w:val="00DF17A1"/>
    <w:rsid w:val="00DF38D7"/>
    <w:rsid w:val="00E26777"/>
    <w:rsid w:val="00E72602"/>
    <w:rsid w:val="00E94D5B"/>
    <w:rsid w:val="00EB39A6"/>
    <w:rsid w:val="00EB7AC8"/>
    <w:rsid w:val="00EC323B"/>
    <w:rsid w:val="00ED62DE"/>
    <w:rsid w:val="00ED63DD"/>
    <w:rsid w:val="00EE25BB"/>
    <w:rsid w:val="00EE2980"/>
    <w:rsid w:val="00EE5B8B"/>
    <w:rsid w:val="00EE78C5"/>
    <w:rsid w:val="00F02D83"/>
    <w:rsid w:val="00F22F04"/>
    <w:rsid w:val="00F51BB7"/>
    <w:rsid w:val="00F76EA7"/>
    <w:rsid w:val="00F837F2"/>
    <w:rsid w:val="00FA574A"/>
    <w:rsid w:val="00FB5A9B"/>
    <w:rsid w:val="00FC329F"/>
    <w:rsid w:val="00FF25D7"/>
    <w:rsid w:val="00FF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5B09A43"/>
  <w15:docId w15:val="{3EC5CCBB-9E2A-4407-AD6B-4D33B43F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41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E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6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6C3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E5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B8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B8B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A7A9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ED62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2D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D62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2DE"/>
    <w:rPr>
      <w:lang w:val="en-GB"/>
    </w:rPr>
  </w:style>
  <w:style w:type="paragraph" w:styleId="BodyText">
    <w:name w:val="Body Text"/>
    <w:basedOn w:val="Normal"/>
    <w:link w:val="BodyTextChar"/>
    <w:uiPriority w:val="1"/>
    <w:qFormat/>
    <w:rsid w:val="00C33ECC"/>
    <w:pPr>
      <w:spacing w:line="280" w:lineRule="exact"/>
    </w:pPr>
    <w:rPr>
      <w:rFonts w:ascii="Arial" w:eastAsia="Arial" w:hAnsi="Arial" w:cs="Times New Roman"/>
      <w:color w:val="707270"/>
      <w:spacing w:val="-4"/>
      <w:sz w:val="19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33ECC"/>
    <w:rPr>
      <w:rFonts w:ascii="Arial" w:eastAsia="Arial" w:hAnsi="Arial" w:cs="Times New Roman"/>
      <w:color w:val="707270"/>
      <w:spacing w:val="-4"/>
      <w:sz w:val="19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5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987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coat@fticonsulting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2020-04-01T15:04:46+00:00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D55A354-740C-43B8-A286-108AFE18FA25}"/>
</file>

<file path=customXml/itemProps2.xml><?xml version="1.0" encoding="utf-8"?>
<ds:datastoreItem xmlns:ds="http://schemas.openxmlformats.org/officeDocument/2006/customXml" ds:itemID="{433BD2FD-30CE-4D87-9375-D1678F76F89A}"/>
</file>

<file path=customXml/itemProps3.xml><?xml version="1.0" encoding="utf-8"?>
<ds:datastoreItem xmlns:ds="http://schemas.openxmlformats.org/officeDocument/2006/customXml" ds:itemID="{70F56FCC-708B-4E71-9F7E-53B353BFF9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Heritage Group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Mc Daniel</dc:creator>
  <cp:lastModifiedBy>Amy McMullan</cp:lastModifiedBy>
  <cp:revision>4</cp:revision>
  <dcterms:created xsi:type="dcterms:W3CDTF">2019-08-23T14:23:00Z</dcterms:created>
  <dcterms:modified xsi:type="dcterms:W3CDTF">2020-03-31T10:36:00Z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