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7C5E5E7" w14:textId="78EBC703" w:rsidR="00C444C4" w:rsidRPr="00FD013E" w:rsidRDefault="00C444C4" w:rsidP="006063F7">
      <w:pPr>
        <w:jc w:val="center"/>
        <w:rPr>
          <w:rFonts w:cstheme="minorHAnsi"/>
          <w:b/>
          <w:bCs/>
          <w:sz w:val="26"/>
          <w:szCs w:val="26"/>
        </w:rPr>
      </w:pPr>
      <w:r w:rsidRPr="00FD013E">
        <w:rPr>
          <w:rFonts w:cstheme="minorHAnsi"/>
          <w:b/>
          <w:bCs/>
          <w:sz w:val="26"/>
          <w:szCs w:val="26"/>
        </w:rPr>
        <w:t xml:space="preserve">Greencoat Renewables </w:t>
      </w:r>
      <w:r w:rsidR="00F6742A" w:rsidRPr="00FD013E">
        <w:rPr>
          <w:rFonts w:cstheme="minorHAnsi"/>
          <w:b/>
          <w:bCs/>
          <w:sz w:val="26"/>
          <w:szCs w:val="26"/>
        </w:rPr>
        <w:t>20</w:t>
      </w:r>
      <w:r w:rsidR="00FD013E" w:rsidRPr="00FD013E">
        <w:rPr>
          <w:rFonts w:cstheme="minorHAnsi"/>
          <w:b/>
          <w:bCs/>
          <w:sz w:val="26"/>
          <w:szCs w:val="26"/>
        </w:rPr>
        <w:t>20</w:t>
      </w:r>
      <w:r w:rsidR="00F6742A" w:rsidRPr="00FD013E">
        <w:rPr>
          <w:rFonts w:cstheme="minorHAnsi"/>
          <w:b/>
          <w:bCs/>
          <w:sz w:val="26"/>
          <w:szCs w:val="26"/>
        </w:rPr>
        <w:t xml:space="preserve"> Full Year Results </w:t>
      </w:r>
    </w:p>
    <w:p w14:paraId="72327B6B" w14:textId="77777777" w:rsidR="008E4292" w:rsidRPr="00FD013E" w:rsidRDefault="008E4292" w:rsidP="00C444C4">
      <w:pPr>
        <w:jc w:val="both"/>
        <w:rPr>
          <w:rFonts w:cstheme="minorHAnsi"/>
          <w:b/>
          <w:sz w:val="22"/>
          <w:szCs w:val="22"/>
        </w:rPr>
      </w:pPr>
    </w:p>
    <w:p w14:paraId="12D0D1AD" w14:textId="08598142" w:rsidR="00C444C4" w:rsidRPr="00FD013E" w:rsidRDefault="00B93023" w:rsidP="00191E20">
      <w:pPr>
        <w:jc w:val="both"/>
        <w:rPr>
          <w:rFonts w:cstheme="minorHAnsi"/>
          <w:sz w:val="22"/>
          <w:szCs w:val="22"/>
        </w:rPr>
      </w:pPr>
      <w:r w:rsidRPr="00FD013E">
        <w:rPr>
          <w:rFonts w:cstheme="minorHAnsi"/>
          <w:b/>
          <w:sz w:val="22"/>
          <w:szCs w:val="22"/>
        </w:rPr>
        <w:t xml:space="preserve">Dublin, London | </w:t>
      </w:r>
      <w:r w:rsidR="00FD013E" w:rsidRPr="00FD013E">
        <w:rPr>
          <w:rFonts w:cstheme="minorHAnsi"/>
          <w:b/>
          <w:sz w:val="22"/>
          <w:szCs w:val="22"/>
        </w:rPr>
        <w:t>1</w:t>
      </w:r>
      <w:r w:rsidRPr="00FD013E">
        <w:rPr>
          <w:rFonts w:cstheme="minorHAnsi"/>
          <w:b/>
          <w:sz w:val="22"/>
          <w:szCs w:val="22"/>
        </w:rPr>
        <w:t xml:space="preserve"> March 202</w:t>
      </w:r>
      <w:r w:rsidR="00FD013E" w:rsidRPr="00FD013E">
        <w:rPr>
          <w:rFonts w:cstheme="minorHAnsi"/>
          <w:b/>
          <w:sz w:val="22"/>
          <w:szCs w:val="22"/>
        </w:rPr>
        <w:t>1</w:t>
      </w:r>
      <w:r w:rsidR="00C444C4" w:rsidRPr="00FD013E">
        <w:rPr>
          <w:rFonts w:cstheme="minorHAnsi"/>
          <w:b/>
          <w:sz w:val="22"/>
          <w:szCs w:val="22"/>
        </w:rPr>
        <w:t xml:space="preserve">: </w:t>
      </w:r>
      <w:r w:rsidR="00C444C4" w:rsidRPr="00FD013E">
        <w:rPr>
          <w:rFonts w:cstheme="minorHAnsi"/>
          <w:sz w:val="22"/>
          <w:szCs w:val="22"/>
        </w:rPr>
        <w:t>Greencoat Renewables PLC (“Greencoat Renewables” or the “Company”), the renewable infrastructure company invested in euro-denominated assets, today announces its results for the year ended 31 December 20</w:t>
      </w:r>
      <w:r w:rsidR="00FD013E" w:rsidRPr="00FD013E">
        <w:rPr>
          <w:rFonts w:cstheme="minorHAnsi"/>
          <w:sz w:val="22"/>
          <w:szCs w:val="22"/>
        </w:rPr>
        <w:t>20</w:t>
      </w:r>
      <w:r w:rsidR="00C444C4" w:rsidRPr="00FD013E">
        <w:rPr>
          <w:rFonts w:cstheme="minorHAnsi"/>
          <w:sz w:val="22"/>
          <w:szCs w:val="22"/>
        </w:rPr>
        <w:t>.</w:t>
      </w:r>
    </w:p>
    <w:p w14:paraId="7008A872" w14:textId="77777777" w:rsidR="00C444C4" w:rsidRPr="00FD013E" w:rsidRDefault="00C444C4" w:rsidP="00191E20">
      <w:pPr>
        <w:jc w:val="both"/>
        <w:rPr>
          <w:rFonts w:cstheme="minorHAnsi"/>
          <w:sz w:val="22"/>
          <w:szCs w:val="22"/>
        </w:rPr>
      </w:pPr>
    </w:p>
    <w:p w14:paraId="17330C03" w14:textId="3C8BE19C" w:rsidR="00C444C4" w:rsidRPr="00FD013E" w:rsidRDefault="00B93023" w:rsidP="00191E20">
      <w:pPr>
        <w:jc w:val="both"/>
        <w:rPr>
          <w:rFonts w:cstheme="minorHAnsi"/>
          <w:b/>
          <w:sz w:val="22"/>
          <w:szCs w:val="22"/>
        </w:rPr>
      </w:pPr>
      <w:r w:rsidRPr="00FD013E">
        <w:rPr>
          <w:rFonts w:cstheme="minorHAnsi"/>
          <w:b/>
          <w:sz w:val="22"/>
          <w:szCs w:val="22"/>
        </w:rPr>
        <w:t>20</w:t>
      </w:r>
      <w:r w:rsidR="00FD013E" w:rsidRPr="00FD013E">
        <w:rPr>
          <w:rFonts w:cstheme="minorHAnsi"/>
          <w:b/>
          <w:sz w:val="22"/>
          <w:szCs w:val="22"/>
        </w:rPr>
        <w:t>20</w:t>
      </w:r>
      <w:r w:rsidR="00C444C4" w:rsidRPr="00FD013E">
        <w:rPr>
          <w:rFonts w:cstheme="minorHAnsi"/>
          <w:b/>
          <w:sz w:val="22"/>
          <w:szCs w:val="22"/>
        </w:rPr>
        <w:t xml:space="preserve"> Highlights</w:t>
      </w:r>
    </w:p>
    <w:p w14:paraId="1C608677" w14:textId="2DEC23A3" w:rsidR="00C444C4" w:rsidRDefault="00C444C4" w:rsidP="00191E20">
      <w:pPr>
        <w:jc w:val="both"/>
        <w:rPr>
          <w:rFonts w:cstheme="minorHAnsi"/>
          <w:b/>
          <w:sz w:val="22"/>
          <w:szCs w:val="22"/>
        </w:rPr>
      </w:pPr>
    </w:p>
    <w:p w14:paraId="6E5195B2" w14:textId="10CEF09F" w:rsidR="00597137" w:rsidRDefault="00B36DF1" w:rsidP="0021298F">
      <w:pPr>
        <w:pStyle w:val="ListParagraph"/>
        <w:numPr>
          <w:ilvl w:val="0"/>
          <w:numId w:val="16"/>
        </w:numPr>
        <w:autoSpaceDE w:val="0"/>
        <w:autoSpaceDN w:val="0"/>
        <w:adjustRightInd w:val="0"/>
        <w:jc w:val="both"/>
        <w:rPr>
          <w:rFonts w:eastAsiaTheme="minorEastAsia" w:cstheme="minorHAnsi"/>
          <w:color w:val="000000"/>
          <w:sz w:val="22"/>
          <w:szCs w:val="22"/>
          <w:lang w:eastAsia="zh-CN"/>
        </w:rPr>
      </w:pPr>
      <w:r>
        <w:rPr>
          <w:rFonts w:eastAsiaTheme="minorEastAsia" w:cstheme="minorHAnsi"/>
          <w:color w:val="000000"/>
          <w:sz w:val="22"/>
          <w:szCs w:val="22"/>
          <w:lang w:eastAsia="zh-CN"/>
        </w:rPr>
        <w:t xml:space="preserve">2020 Generation increased by 22% to </w:t>
      </w:r>
      <w:r w:rsidRPr="00597137">
        <w:rPr>
          <w:rFonts w:eastAsiaTheme="minorEastAsia" w:cstheme="minorHAnsi"/>
          <w:color w:val="000000"/>
          <w:sz w:val="22"/>
          <w:szCs w:val="22"/>
          <w:lang w:eastAsia="zh-CN"/>
        </w:rPr>
        <w:t>1,404GWh</w:t>
      </w:r>
      <w:r>
        <w:rPr>
          <w:rFonts w:eastAsiaTheme="minorEastAsia" w:cstheme="minorHAnsi"/>
          <w:color w:val="000000"/>
          <w:sz w:val="22"/>
          <w:szCs w:val="22"/>
          <w:lang w:eastAsia="zh-CN"/>
        </w:rPr>
        <w:t xml:space="preserve">, </w:t>
      </w:r>
      <w:r w:rsidRPr="00597137">
        <w:rPr>
          <w:rFonts w:eastAsiaTheme="minorEastAsia" w:cstheme="minorHAnsi"/>
          <w:color w:val="000000"/>
          <w:sz w:val="22"/>
          <w:szCs w:val="22"/>
          <w:lang w:eastAsia="zh-CN"/>
        </w:rPr>
        <w:t>3</w:t>
      </w:r>
      <w:r w:rsidR="00597137" w:rsidRPr="00597137">
        <w:rPr>
          <w:rFonts w:eastAsiaTheme="minorEastAsia" w:cstheme="minorHAnsi"/>
          <w:color w:val="000000"/>
          <w:sz w:val="22"/>
          <w:szCs w:val="22"/>
          <w:lang w:eastAsia="zh-CN"/>
        </w:rPr>
        <w:t xml:space="preserve"> per cent below budget. </w:t>
      </w:r>
      <w:r w:rsidRPr="00597137">
        <w:rPr>
          <w:rFonts w:eastAsiaTheme="minorEastAsia" w:cstheme="minorHAnsi"/>
          <w:color w:val="000000"/>
          <w:sz w:val="22"/>
          <w:szCs w:val="22"/>
          <w:lang w:eastAsia="zh-CN"/>
        </w:rPr>
        <w:t xml:space="preserve">(2019: </w:t>
      </w:r>
      <w:r w:rsidRPr="00597137">
        <w:rPr>
          <w:rFonts w:cstheme="minorHAnsi"/>
          <w:sz w:val="22"/>
          <w:szCs w:val="22"/>
        </w:rPr>
        <w:t>1,154</w:t>
      </w:r>
      <w:r w:rsidRPr="00597137">
        <w:rPr>
          <w:rFonts w:eastAsiaTheme="minorEastAsia" w:cstheme="minorHAnsi"/>
          <w:color w:val="000000"/>
          <w:sz w:val="22"/>
          <w:szCs w:val="22"/>
          <w:lang w:eastAsia="zh-CN"/>
        </w:rPr>
        <w:t>GWh)</w:t>
      </w:r>
    </w:p>
    <w:p w14:paraId="6255DDF9" w14:textId="77777777" w:rsidR="003316EB" w:rsidRDefault="003316EB" w:rsidP="00191E20">
      <w:pPr>
        <w:pStyle w:val="ListParagraph"/>
        <w:autoSpaceDE w:val="0"/>
        <w:autoSpaceDN w:val="0"/>
        <w:adjustRightInd w:val="0"/>
        <w:jc w:val="both"/>
        <w:rPr>
          <w:rFonts w:eastAsiaTheme="minorEastAsia" w:cstheme="minorHAnsi"/>
          <w:color w:val="000000"/>
          <w:sz w:val="22"/>
          <w:szCs w:val="22"/>
          <w:lang w:eastAsia="zh-CN"/>
        </w:rPr>
      </w:pPr>
    </w:p>
    <w:p w14:paraId="2E88E789" w14:textId="3FD32F24" w:rsidR="00597137" w:rsidRPr="00191E20" w:rsidRDefault="00B36DF1" w:rsidP="0021298F">
      <w:pPr>
        <w:pStyle w:val="ListParagraph"/>
        <w:numPr>
          <w:ilvl w:val="0"/>
          <w:numId w:val="16"/>
        </w:numPr>
        <w:autoSpaceDE w:val="0"/>
        <w:autoSpaceDN w:val="0"/>
        <w:adjustRightInd w:val="0"/>
        <w:jc w:val="both"/>
        <w:rPr>
          <w:rFonts w:cstheme="minorHAnsi"/>
          <w:color w:val="000000" w:themeColor="text1"/>
          <w:sz w:val="22"/>
          <w:szCs w:val="22"/>
        </w:rPr>
      </w:pPr>
      <w:r>
        <w:rPr>
          <w:rFonts w:eastAsiaTheme="minorEastAsia" w:cstheme="minorHAnsi"/>
          <w:color w:val="000000"/>
          <w:sz w:val="22"/>
          <w:szCs w:val="22"/>
          <w:lang w:eastAsia="zh-CN"/>
        </w:rPr>
        <w:t xml:space="preserve">2020 </w:t>
      </w:r>
      <w:r w:rsidR="00597137" w:rsidRPr="008E7690">
        <w:rPr>
          <w:rFonts w:eastAsiaTheme="minorEastAsia" w:cstheme="minorHAnsi"/>
          <w:color w:val="000000"/>
          <w:sz w:val="22"/>
          <w:szCs w:val="22"/>
          <w:lang w:eastAsia="zh-CN"/>
        </w:rPr>
        <w:t xml:space="preserve">Net cash generation </w:t>
      </w:r>
      <w:r w:rsidR="003C534D">
        <w:rPr>
          <w:rFonts w:eastAsiaTheme="minorEastAsia" w:cstheme="minorHAnsi"/>
          <w:color w:val="000000"/>
          <w:sz w:val="22"/>
          <w:szCs w:val="22"/>
          <w:lang w:eastAsia="zh-CN"/>
        </w:rPr>
        <w:t xml:space="preserve">increased by 36% </w:t>
      </w:r>
      <w:r w:rsidR="00723006">
        <w:rPr>
          <w:rFonts w:eastAsiaTheme="minorEastAsia" w:cstheme="minorHAnsi"/>
          <w:color w:val="000000"/>
          <w:sz w:val="22"/>
          <w:szCs w:val="22"/>
          <w:lang w:eastAsia="zh-CN"/>
        </w:rPr>
        <w:t xml:space="preserve">to </w:t>
      </w:r>
      <w:r w:rsidR="00723006" w:rsidRPr="008E7690">
        <w:rPr>
          <w:rFonts w:eastAsiaTheme="minorEastAsia" w:cstheme="minorHAnsi"/>
          <w:color w:val="000000"/>
          <w:sz w:val="22"/>
          <w:szCs w:val="22"/>
          <w:lang w:eastAsia="zh-CN"/>
        </w:rPr>
        <w:t>€</w:t>
      </w:r>
      <w:r w:rsidR="00597137" w:rsidRPr="008E7690">
        <w:rPr>
          <w:rFonts w:eastAsiaTheme="minorEastAsia" w:cstheme="minorHAnsi"/>
          <w:color w:val="000000"/>
          <w:sz w:val="22"/>
          <w:szCs w:val="22"/>
          <w:lang w:eastAsia="zh-CN"/>
        </w:rPr>
        <w:t>66.4</w:t>
      </w:r>
      <w:r w:rsidR="00E2527A">
        <w:rPr>
          <w:rStyle w:val="FootnoteReference"/>
          <w:rFonts w:eastAsiaTheme="minorEastAsia" w:cstheme="minorHAnsi"/>
          <w:color w:val="000000"/>
          <w:sz w:val="22"/>
          <w:szCs w:val="22"/>
          <w:lang w:eastAsia="zh-CN"/>
        </w:rPr>
        <w:footnoteReference w:id="2"/>
      </w:r>
      <w:r w:rsidR="00597137" w:rsidRPr="008E7690">
        <w:rPr>
          <w:rFonts w:eastAsiaTheme="minorEastAsia" w:cstheme="minorHAnsi"/>
          <w:color w:val="000000"/>
          <w:sz w:val="22"/>
          <w:szCs w:val="22"/>
          <w:lang w:eastAsia="zh-CN"/>
        </w:rPr>
        <w:t xml:space="preserve"> million</w:t>
      </w:r>
      <w:r w:rsidR="003C534D">
        <w:rPr>
          <w:rFonts w:eastAsiaTheme="minorEastAsia" w:cstheme="minorHAnsi"/>
          <w:color w:val="000000"/>
          <w:sz w:val="22"/>
          <w:szCs w:val="22"/>
          <w:lang w:eastAsia="zh-CN"/>
        </w:rPr>
        <w:t xml:space="preserve"> </w:t>
      </w:r>
      <w:r w:rsidR="00597137" w:rsidRPr="008E7690">
        <w:rPr>
          <w:rFonts w:eastAsiaTheme="minorEastAsia" w:cstheme="minorHAnsi"/>
          <w:color w:val="000000"/>
          <w:sz w:val="22"/>
          <w:szCs w:val="22"/>
          <w:lang w:eastAsia="zh-CN"/>
        </w:rPr>
        <w:t>(2019</w:t>
      </w:r>
      <w:r w:rsidR="00597137">
        <w:rPr>
          <w:rFonts w:eastAsiaTheme="minorEastAsia" w:cstheme="minorHAnsi"/>
          <w:color w:val="000000"/>
          <w:sz w:val="22"/>
          <w:szCs w:val="22"/>
          <w:lang w:eastAsia="zh-CN"/>
        </w:rPr>
        <w:t>:</w:t>
      </w:r>
      <w:r w:rsidR="00597137" w:rsidRPr="008E7690">
        <w:rPr>
          <w:rFonts w:eastAsiaTheme="minorEastAsia" w:cstheme="minorHAnsi"/>
          <w:color w:val="000000"/>
          <w:sz w:val="22"/>
          <w:szCs w:val="22"/>
          <w:lang w:eastAsia="zh-CN"/>
        </w:rPr>
        <w:t xml:space="preserve"> €</w:t>
      </w:r>
      <w:r w:rsidR="00597137" w:rsidRPr="008E7690">
        <w:rPr>
          <w:rFonts w:cstheme="minorHAnsi"/>
          <w:sz w:val="22"/>
          <w:szCs w:val="22"/>
        </w:rPr>
        <w:t>48.7m</w:t>
      </w:r>
      <w:r w:rsidR="00597137">
        <w:rPr>
          <w:rFonts w:cstheme="minorHAnsi"/>
          <w:sz w:val="22"/>
          <w:szCs w:val="22"/>
        </w:rPr>
        <w:t>illion</w:t>
      </w:r>
      <w:r w:rsidR="00597137" w:rsidRPr="008E7690">
        <w:rPr>
          <w:rFonts w:eastAsiaTheme="minorEastAsia" w:cstheme="minorHAnsi"/>
          <w:color w:val="000000"/>
          <w:sz w:val="22"/>
          <w:szCs w:val="22"/>
          <w:lang w:eastAsia="zh-CN"/>
        </w:rPr>
        <w:t>)</w:t>
      </w:r>
    </w:p>
    <w:p w14:paraId="49BF7CC3" w14:textId="77777777" w:rsidR="003316EB" w:rsidRPr="00191E20" w:rsidRDefault="003316EB" w:rsidP="00191E20">
      <w:pPr>
        <w:pStyle w:val="ListParagraph"/>
        <w:jc w:val="both"/>
        <w:rPr>
          <w:rFonts w:cstheme="minorHAnsi"/>
          <w:color w:val="000000" w:themeColor="text1"/>
          <w:sz w:val="22"/>
          <w:szCs w:val="22"/>
        </w:rPr>
      </w:pPr>
    </w:p>
    <w:p w14:paraId="5527493C" w14:textId="23C453B8" w:rsidR="00597137" w:rsidRPr="008E7690" w:rsidRDefault="00597137" w:rsidP="0021298F">
      <w:pPr>
        <w:pStyle w:val="ListParagraph"/>
        <w:numPr>
          <w:ilvl w:val="0"/>
          <w:numId w:val="16"/>
        </w:numPr>
        <w:autoSpaceDE w:val="0"/>
        <w:autoSpaceDN w:val="0"/>
        <w:adjustRightInd w:val="0"/>
        <w:jc w:val="both"/>
        <w:rPr>
          <w:rFonts w:cstheme="minorHAnsi"/>
          <w:color w:val="000000" w:themeColor="text1"/>
          <w:sz w:val="22"/>
          <w:szCs w:val="22"/>
        </w:rPr>
      </w:pPr>
      <w:r w:rsidRPr="008E7690">
        <w:rPr>
          <w:rFonts w:cstheme="minorHAnsi"/>
          <w:color w:val="000000" w:themeColor="text1"/>
          <w:sz w:val="22"/>
          <w:szCs w:val="22"/>
        </w:rPr>
        <w:t>Dividend cover for 2020 of 1.7x</w:t>
      </w:r>
      <w:r w:rsidR="00E2527A">
        <w:rPr>
          <w:rStyle w:val="FootnoteReference"/>
          <w:rFonts w:cstheme="minorHAnsi"/>
          <w:color w:val="000000" w:themeColor="text1"/>
          <w:sz w:val="22"/>
          <w:szCs w:val="22"/>
        </w:rPr>
        <w:footnoteReference w:id="3"/>
      </w:r>
    </w:p>
    <w:p w14:paraId="643BC4AF" w14:textId="6DC6078A" w:rsidR="0009537C" w:rsidRPr="008E7690" w:rsidRDefault="00597137" w:rsidP="00191E20">
      <w:pPr>
        <w:pStyle w:val="ListParagraph"/>
        <w:autoSpaceDE w:val="0"/>
        <w:autoSpaceDN w:val="0"/>
        <w:adjustRightInd w:val="0"/>
        <w:jc w:val="both"/>
        <w:rPr>
          <w:rFonts w:eastAsiaTheme="minorEastAsia" w:cstheme="minorHAnsi"/>
          <w:color w:val="000000"/>
          <w:sz w:val="22"/>
          <w:szCs w:val="22"/>
          <w:lang w:eastAsia="zh-CN"/>
        </w:rPr>
      </w:pPr>
      <w:r w:rsidRPr="00597137">
        <w:rPr>
          <w:rFonts w:eastAsiaTheme="minorEastAsia" w:cstheme="minorHAnsi"/>
          <w:color w:val="000000"/>
          <w:sz w:val="22"/>
          <w:szCs w:val="22"/>
          <w:lang w:eastAsia="zh-CN"/>
        </w:rPr>
        <w:t xml:space="preserve"> </w:t>
      </w:r>
    </w:p>
    <w:p w14:paraId="616113C4" w14:textId="139400E1" w:rsidR="00597137" w:rsidRDefault="003C534D" w:rsidP="00191E20">
      <w:pPr>
        <w:autoSpaceDE w:val="0"/>
        <w:autoSpaceDN w:val="0"/>
        <w:adjustRightInd w:val="0"/>
        <w:jc w:val="both"/>
        <w:rPr>
          <w:rFonts w:eastAsiaTheme="minorEastAsia" w:cstheme="minorHAnsi"/>
          <w:b/>
          <w:bCs/>
          <w:color w:val="000000"/>
          <w:sz w:val="22"/>
          <w:szCs w:val="22"/>
          <w:lang w:eastAsia="zh-CN"/>
        </w:rPr>
      </w:pPr>
      <w:r>
        <w:rPr>
          <w:rFonts w:eastAsiaTheme="minorEastAsia" w:cstheme="minorHAnsi"/>
          <w:b/>
          <w:bCs/>
          <w:color w:val="000000"/>
          <w:sz w:val="22"/>
          <w:szCs w:val="22"/>
          <w:lang w:eastAsia="zh-CN"/>
        </w:rPr>
        <w:t xml:space="preserve">Delivering on expansion strategy </w:t>
      </w:r>
    </w:p>
    <w:p w14:paraId="7E0F36AA" w14:textId="05048C41" w:rsidR="00597137" w:rsidRDefault="00287129" w:rsidP="0021298F">
      <w:pPr>
        <w:pStyle w:val="ListParagraph"/>
        <w:numPr>
          <w:ilvl w:val="0"/>
          <w:numId w:val="16"/>
        </w:numPr>
        <w:autoSpaceDE w:val="0"/>
        <w:autoSpaceDN w:val="0"/>
        <w:adjustRightInd w:val="0"/>
        <w:jc w:val="both"/>
        <w:rPr>
          <w:rFonts w:eastAsiaTheme="minorEastAsia" w:cstheme="minorHAnsi"/>
          <w:color w:val="000000"/>
          <w:sz w:val="22"/>
          <w:szCs w:val="22"/>
          <w:lang w:eastAsia="zh-CN"/>
        </w:rPr>
      </w:pPr>
      <w:r>
        <w:rPr>
          <w:rFonts w:eastAsiaTheme="minorEastAsia" w:cstheme="minorHAnsi"/>
          <w:color w:val="000000"/>
          <w:sz w:val="22"/>
          <w:szCs w:val="22"/>
          <w:lang w:eastAsia="zh-CN"/>
        </w:rPr>
        <w:t>I</w:t>
      </w:r>
      <w:r w:rsidR="00597137" w:rsidRPr="008E7690">
        <w:rPr>
          <w:rFonts w:eastAsiaTheme="minorEastAsia" w:cstheme="minorHAnsi"/>
          <w:color w:val="000000"/>
          <w:sz w:val="22"/>
          <w:szCs w:val="22"/>
          <w:lang w:eastAsia="zh-CN"/>
        </w:rPr>
        <w:t xml:space="preserve">ncreased the portfolio to 21 wind farm investments, net generating capacity to 557MW and GAV to €1,177 million as at 31 December 2020. </w:t>
      </w:r>
    </w:p>
    <w:p w14:paraId="6A040F08" w14:textId="77777777" w:rsidR="00287129" w:rsidRDefault="00287129" w:rsidP="00A805F8">
      <w:pPr>
        <w:pStyle w:val="ListParagraph"/>
        <w:autoSpaceDE w:val="0"/>
        <w:autoSpaceDN w:val="0"/>
        <w:adjustRightInd w:val="0"/>
        <w:jc w:val="both"/>
        <w:rPr>
          <w:rFonts w:eastAsiaTheme="minorEastAsia" w:cstheme="minorHAnsi"/>
          <w:color w:val="000000"/>
          <w:sz w:val="22"/>
          <w:szCs w:val="22"/>
          <w:lang w:eastAsia="zh-CN"/>
        </w:rPr>
      </w:pPr>
    </w:p>
    <w:p w14:paraId="5FC30FCF" w14:textId="59424F7D" w:rsidR="00A44A36" w:rsidRDefault="00A44A36" w:rsidP="0021298F">
      <w:pPr>
        <w:pStyle w:val="ListParagraph"/>
        <w:numPr>
          <w:ilvl w:val="0"/>
          <w:numId w:val="16"/>
        </w:numPr>
        <w:autoSpaceDE w:val="0"/>
        <w:autoSpaceDN w:val="0"/>
        <w:adjustRightInd w:val="0"/>
        <w:jc w:val="both"/>
        <w:rPr>
          <w:rFonts w:eastAsiaTheme="minorEastAsia" w:cstheme="minorHAnsi"/>
          <w:color w:val="000000"/>
          <w:sz w:val="22"/>
          <w:szCs w:val="22"/>
          <w:lang w:eastAsia="zh-CN"/>
        </w:rPr>
      </w:pPr>
      <w:r>
        <w:rPr>
          <w:rFonts w:eastAsiaTheme="minorEastAsia" w:cstheme="minorHAnsi"/>
          <w:color w:val="000000"/>
          <w:sz w:val="22"/>
          <w:szCs w:val="22"/>
          <w:lang w:eastAsia="zh-CN"/>
        </w:rPr>
        <w:t xml:space="preserve">Acquisition of 4 wind farms in Ireland in the period. </w:t>
      </w:r>
    </w:p>
    <w:p w14:paraId="5FF05FB3" w14:textId="77777777" w:rsidR="00A44A36" w:rsidRPr="00A44A36" w:rsidRDefault="00A44A36" w:rsidP="00A44A36">
      <w:pPr>
        <w:autoSpaceDE w:val="0"/>
        <w:autoSpaceDN w:val="0"/>
        <w:adjustRightInd w:val="0"/>
        <w:jc w:val="both"/>
        <w:rPr>
          <w:rFonts w:eastAsiaTheme="minorEastAsia" w:cstheme="minorHAnsi"/>
          <w:color w:val="000000"/>
          <w:sz w:val="22"/>
          <w:szCs w:val="22"/>
          <w:lang w:eastAsia="zh-CN"/>
        </w:rPr>
      </w:pPr>
    </w:p>
    <w:p w14:paraId="12F15DB8" w14:textId="444859C0" w:rsidR="00287129" w:rsidRPr="00A44A36" w:rsidRDefault="00287129" w:rsidP="0021298F">
      <w:pPr>
        <w:pStyle w:val="ListParagraph"/>
        <w:numPr>
          <w:ilvl w:val="0"/>
          <w:numId w:val="16"/>
        </w:numPr>
        <w:autoSpaceDE w:val="0"/>
        <w:autoSpaceDN w:val="0"/>
        <w:adjustRightInd w:val="0"/>
        <w:jc w:val="both"/>
        <w:rPr>
          <w:rFonts w:eastAsiaTheme="minorEastAsia" w:cstheme="minorHAnsi"/>
          <w:color w:val="000000"/>
          <w:sz w:val="22"/>
          <w:szCs w:val="22"/>
          <w:lang w:eastAsia="zh-CN"/>
        </w:rPr>
      </w:pPr>
      <w:r>
        <w:rPr>
          <w:rFonts w:eastAsiaTheme="minorEastAsia" w:cstheme="minorHAnsi"/>
          <w:color w:val="000000"/>
          <w:sz w:val="22"/>
          <w:szCs w:val="22"/>
          <w:lang w:eastAsia="zh-CN"/>
        </w:rPr>
        <w:t>Completed the Group’s first transaction in Continental Europe with the acquisition of 3 wind farms in France.</w:t>
      </w:r>
    </w:p>
    <w:p w14:paraId="5673C079" w14:textId="77777777" w:rsidR="00597137" w:rsidRDefault="00597137" w:rsidP="00191E20">
      <w:pPr>
        <w:pStyle w:val="ListParagraph"/>
        <w:jc w:val="both"/>
        <w:rPr>
          <w:rFonts w:eastAsiaTheme="minorEastAsia" w:cstheme="minorHAnsi"/>
          <w:color w:val="000000"/>
          <w:sz w:val="22"/>
          <w:szCs w:val="22"/>
          <w:lang w:eastAsia="zh-CN"/>
        </w:rPr>
      </w:pPr>
    </w:p>
    <w:p w14:paraId="53676DDC" w14:textId="12634ED0" w:rsidR="00597137" w:rsidRDefault="00597137" w:rsidP="0021298F">
      <w:pPr>
        <w:pStyle w:val="ListParagraph"/>
        <w:numPr>
          <w:ilvl w:val="0"/>
          <w:numId w:val="16"/>
        </w:numPr>
        <w:jc w:val="both"/>
        <w:rPr>
          <w:rFonts w:eastAsiaTheme="minorEastAsia" w:cstheme="minorHAnsi"/>
          <w:color w:val="000000"/>
          <w:sz w:val="22"/>
          <w:szCs w:val="22"/>
          <w:lang w:eastAsia="zh-CN"/>
        </w:rPr>
      </w:pPr>
      <w:r w:rsidRPr="00597137">
        <w:rPr>
          <w:rFonts w:eastAsiaTheme="minorEastAsia" w:cstheme="minorHAnsi"/>
          <w:color w:val="000000"/>
          <w:sz w:val="22"/>
          <w:szCs w:val="22"/>
          <w:lang w:eastAsia="zh-CN"/>
        </w:rPr>
        <w:t>Agreement to acquire the Cloghan and Taghart wind farms, the Group’s first RESS investments once they become operational in 2022.</w:t>
      </w:r>
    </w:p>
    <w:p w14:paraId="72D9CD72" w14:textId="77777777" w:rsidR="008A7831" w:rsidRPr="008A7831" w:rsidRDefault="008A7831" w:rsidP="008A7831">
      <w:pPr>
        <w:pStyle w:val="ListParagraph"/>
        <w:rPr>
          <w:rFonts w:eastAsiaTheme="minorEastAsia" w:cstheme="minorHAnsi"/>
          <w:color w:val="000000"/>
          <w:sz w:val="22"/>
          <w:szCs w:val="22"/>
          <w:lang w:eastAsia="zh-CN"/>
        </w:rPr>
      </w:pPr>
    </w:p>
    <w:p w14:paraId="6572208A" w14:textId="40DAF20F" w:rsidR="008A7831" w:rsidRPr="008A7831" w:rsidRDefault="008A7831" w:rsidP="0021298F">
      <w:pPr>
        <w:pStyle w:val="ListParagraph"/>
        <w:numPr>
          <w:ilvl w:val="0"/>
          <w:numId w:val="20"/>
        </w:numPr>
        <w:jc w:val="both"/>
        <w:rPr>
          <w:rFonts w:eastAsiaTheme="minorEastAsia" w:cstheme="minorHAnsi"/>
          <w:color w:val="000000"/>
          <w:sz w:val="22"/>
          <w:szCs w:val="22"/>
          <w:lang w:eastAsia="zh-CN"/>
        </w:rPr>
      </w:pPr>
      <w:r w:rsidRPr="008A7831">
        <w:rPr>
          <w:rFonts w:eastAsiaTheme="minorEastAsia" w:cstheme="minorHAnsi"/>
          <w:color w:val="000000"/>
          <w:sz w:val="22"/>
          <w:szCs w:val="22"/>
          <w:lang w:eastAsia="zh-CN"/>
        </w:rPr>
        <w:t>Post year end, the Company announced its agreement to acquire the Kokkoneva wind farm in Finland once</w:t>
      </w:r>
      <w:r>
        <w:rPr>
          <w:rFonts w:eastAsiaTheme="minorEastAsia" w:cstheme="minorHAnsi"/>
          <w:color w:val="000000"/>
          <w:sz w:val="22"/>
          <w:szCs w:val="22"/>
          <w:lang w:eastAsia="zh-CN"/>
        </w:rPr>
        <w:t xml:space="preserve"> it becomes</w:t>
      </w:r>
      <w:r w:rsidRPr="008A7831">
        <w:rPr>
          <w:rFonts w:eastAsiaTheme="minorEastAsia" w:cstheme="minorHAnsi"/>
          <w:color w:val="000000"/>
          <w:sz w:val="22"/>
          <w:szCs w:val="22"/>
          <w:lang w:eastAsia="zh-CN"/>
        </w:rPr>
        <w:t xml:space="preserve"> operational in 2022 </w:t>
      </w:r>
      <w:r w:rsidRPr="00CB6761">
        <w:rPr>
          <w:rFonts w:eastAsiaTheme="minorEastAsia" w:cstheme="minorHAnsi"/>
          <w:color w:val="000000"/>
          <w:sz w:val="22"/>
          <w:szCs w:val="22"/>
          <w:lang w:eastAsia="zh-CN"/>
        </w:rPr>
        <w:t>and its agreement to acquire the Cordal wind farm in Ireland</w:t>
      </w:r>
      <w:r w:rsidR="00A44A36" w:rsidRPr="00CB6761">
        <w:rPr>
          <w:rFonts w:eastAsiaTheme="minorEastAsia" w:cstheme="minorHAnsi"/>
          <w:color w:val="000000"/>
          <w:sz w:val="22"/>
          <w:szCs w:val="22"/>
          <w:lang w:eastAsia="zh-CN"/>
        </w:rPr>
        <w:t xml:space="preserve"> which is expected to close in </w:t>
      </w:r>
      <w:r w:rsidR="00E2527A">
        <w:rPr>
          <w:rFonts w:eastAsiaTheme="minorEastAsia" w:cstheme="minorHAnsi"/>
          <w:color w:val="000000"/>
          <w:sz w:val="22"/>
          <w:szCs w:val="22"/>
          <w:lang w:eastAsia="zh-CN"/>
        </w:rPr>
        <w:t>April</w:t>
      </w:r>
      <w:r w:rsidR="00E2527A" w:rsidRPr="00CB6761">
        <w:rPr>
          <w:rFonts w:eastAsiaTheme="minorEastAsia" w:cstheme="minorHAnsi"/>
          <w:color w:val="000000"/>
          <w:sz w:val="22"/>
          <w:szCs w:val="22"/>
          <w:lang w:eastAsia="zh-CN"/>
        </w:rPr>
        <w:t xml:space="preserve"> </w:t>
      </w:r>
      <w:r w:rsidR="00A44A36" w:rsidRPr="00CB6761">
        <w:rPr>
          <w:rFonts w:eastAsiaTheme="minorEastAsia" w:cstheme="minorHAnsi"/>
          <w:color w:val="000000"/>
          <w:sz w:val="22"/>
          <w:szCs w:val="22"/>
          <w:lang w:eastAsia="zh-CN"/>
        </w:rPr>
        <w:t>2021.</w:t>
      </w:r>
    </w:p>
    <w:p w14:paraId="06D34A66" w14:textId="66572832" w:rsidR="008A7831" w:rsidRDefault="008A7831" w:rsidP="00912979">
      <w:pPr>
        <w:pStyle w:val="ListParagraph"/>
        <w:jc w:val="both"/>
        <w:rPr>
          <w:rFonts w:eastAsiaTheme="minorEastAsia" w:cstheme="minorHAnsi"/>
          <w:color w:val="000000"/>
          <w:sz w:val="22"/>
          <w:szCs w:val="22"/>
          <w:lang w:eastAsia="zh-CN"/>
        </w:rPr>
      </w:pPr>
    </w:p>
    <w:p w14:paraId="4543DC6E" w14:textId="77777777" w:rsidR="00FD013E" w:rsidRPr="008E7690" w:rsidRDefault="00FD013E" w:rsidP="00191E20">
      <w:pPr>
        <w:autoSpaceDE w:val="0"/>
        <w:autoSpaceDN w:val="0"/>
        <w:adjustRightInd w:val="0"/>
        <w:jc w:val="both"/>
        <w:rPr>
          <w:rFonts w:eastAsiaTheme="minorEastAsia" w:cstheme="minorHAnsi"/>
          <w:color w:val="000000"/>
          <w:sz w:val="22"/>
          <w:szCs w:val="22"/>
          <w:lang w:eastAsia="zh-CN"/>
        </w:rPr>
      </w:pPr>
    </w:p>
    <w:p w14:paraId="0D0E78C6" w14:textId="03D2F863" w:rsidR="00597137" w:rsidRPr="008E7690" w:rsidRDefault="00597137" w:rsidP="00191E20">
      <w:pPr>
        <w:pStyle w:val="Heading3"/>
        <w:jc w:val="both"/>
        <w:rPr>
          <w:rFonts w:asciiTheme="minorHAnsi" w:hAnsiTheme="minorHAnsi" w:cstheme="minorHAnsi"/>
          <w:b/>
          <w:bCs/>
          <w:color w:val="000000" w:themeColor="text1"/>
          <w:sz w:val="22"/>
          <w:szCs w:val="22"/>
        </w:rPr>
      </w:pPr>
      <w:r>
        <w:rPr>
          <w:rFonts w:asciiTheme="minorHAnsi" w:hAnsiTheme="minorHAnsi" w:cstheme="minorHAnsi"/>
          <w:b/>
          <w:bCs/>
          <w:color w:val="000000" w:themeColor="text1"/>
          <w:sz w:val="22"/>
          <w:szCs w:val="22"/>
        </w:rPr>
        <w:t>Dividends and a r</w:t>
      </w:r>
      <w:r w:rsidRPr="008E7690">
        <w:rPr>
          <w:rFonts w:asciiTheme="minorHAnsi" w:hAnsiTheme="minorHAnsi" w:cstheme="minorHAnsi"/>
          <w:b/>
          <w:bCs/>
          <w:color w:val="000000" w:themeColor="text1"/>
          <w:sz w:val="22"/>
          <w:szCs w:val="22"/>
        </w:rPr>
        <w:t xml:space="preserve">obust </w:t>
      </w:r>
      <w:r>
        <w:rPr>
          <w:rFonts w:asciiTheme="minorHAnsi" w:hAnsiTheme="minorHAnsi" w:cstheme="minorHAnsi"/>
          <w:b/>
          <w:bCs/>
          <w:color w:val="000000" w:themeColor="text1"/>
          <w:sz w:val="22"/>
          <w:szCs w:val="22"/>
        </w:rPr>
        <w:t>c</w:t>
      </w:r>
      <w:r w:rsidRPr="008E7690">
        <w:rPr>
          <w:rFonts w:asciiTheme="minorHAnsi" w:hAnsiTheme="minorHAnsi" w:cstheme="minorHAnsi"/>
          <w:b/>
          <w:bCs/>
          <w:color w:val="000000" w:themeColor="text1"/>
          <w:sz w:val="22"/>
          <w:szCs w:val="22"/>
        </w:rPr>
        <w:t xml:space="preserve">apital </w:t>
      </w:r>
      <w:r>
        <w:rPr>
          <w:rFonts w:asciiTheme="minorHAnsi" w:hAnsiTheme="minorHAnsi" w:cstheme="minorHAnsi"/>
          <w:b/>
          <w:bCs/>
          <w:color w:val="000000" w:themeColor="text1"/>
          <w:sz w:val="22"/>
          <w:szCs w:val="22"/>
        </w:rPr>
        <w:t>s</w:t>
      </w:r>
      <w:r w:rsidRPr="008E7690">
        <w:rPr>
          <w:rFonts w:asciiTheme="minorHAnsi" w:hAnsiTheme="minorHAnsi" w:cstheme="minorHAnsi"/>
          <w:b/>
          <w:bCs/>
          <w:color w:val="000000" w:themeColor="text1"/>
          <w:sz w:val="22"/>
          <w:szCs w:val="22"/>
        </w:rPr>
        <w:t xml:space="preserve">tructure to </w:t>
      </w:r>
      <w:r>
        <w:rPr>
          <w:rFonts w:asciiTheme="minorHAnsi" w:hAnsiTheme="minorHAnsi" w:cstheme="minorHAnsi"/>
          <w:b/>
          <w:bCs/>
          <w:color w:val="000000" w:themeColor="text1"/>
          <w:sz w:val="22"/>
          <w:szCs w:val="22"/>
        </w:rPr>
        <w:t>d</w:t>
      </w:r>
      <w:r w:rsidRPr="008E7690">
        <w:rPr>
          <w:rFonts w:asciiTheme="minorHAnsi" w:hAnsiTheme="minorHAnsi" w:cstheme="minorHAnsi"/>
          <w:b/>
          <w:bCs/>
          <w:color w:val="000000" w:themeColor="text1"/>
          <w:sz w:val="22"/>
          <w:szCs w:val="22"/>
        </w:rPr>
        <w:t xml:space="preserve">rive </w:t>
      </w:r>
      <w:r>
        <w:rPr>
          <w:rFonts w:asciiTheme="minorHAnsi" w:hAnsiTheme="minorHAnsi" w:cstheme="minorHAnsi"/>
          <w:b/>
          <w:bCs/>
          <w:color w:val="000000" w:themeColor="text1"/>
          <w:sz w:val="22"/>
          <w:szCs w:val="22"/>
        </w:rPr>
        <w:t>g</w:t>
      </w:r>
      <w:r w:rsidRPr="008E7690">
        <w:rPr>
          <w:rFonts w:asciiTheme="minorHAnsi" w:hAnsiTheme="minorHAnsi" w:cstheme="minorHAnsi"/>
          <w:b/>
          <w:bCs/>
          <w:color w:val="000000" w:themeColor="text1"/>
          <w:sz w:val="22"/>
          <w:szCs w:val="22"/>
        </w:rPr>
        <w:t xml:space="preserve">rowth </w:t>
      </w:r>
    </w:p>
    <w:p w14:paraId="2EA7D734" w14:textId="7F3C0770" w:rsidR="008E7690" w:rsidRPr="008E7690" w:rsidRDefault="008E7690" w:rsidP="00191E20">
      <w:pPr>
        <w:pStyle w:val="Heading3"/>
        <w:jc w:val="both"/>
        <w:rPr>
          <w:rFonts w:asciiTheme="minorHAnsi" w:hAnsiTheme="minorHAnsi" w:cstheme="minorHAnsi"/>
          <w:b/>
          <w:bCs/>
          <w:color w:val="000000" w:themeColor="text1"/>
          <w:sz w:val="22"/>
          <w:szCs w:val="22"/>
        </w:rPr>
      </w:pPr>
    </w:p>
    <w:p w14:paraId="54389BE8" w14:textId="12055D15" w:rsidR="00962078" w:rsidRDefault="00962078" w:rsidP="0021298F">
      <w:pPr>
        <w:pStyle w:val="ListParagraph"/>
        <w:numPr>
          <w:ilvl w:val="0"/>
          <w:numId w:val="19"/>
        </w:numPr>
        <w:jc w:val="both"/>
        <w:rPr>
          <w:rFonts w:cstheme="minorHAnsi"/>
          <w:sz w:val="22"/>
          <w:szCs w:val="22"/>
        </w:rPr>
      </w:pPr>
      <w:r w:rsidRPr="00191E20">
        <w:rPr>
          <w:rFonts w:cstheme="minorHAnsi"/>
          <w:sz w:val="22"/>
          <w:szCs w:val="22"/>
        </w:rPr>
        <w:t xml:space="preserve">The Company has declared total dividends of 6.06 cent per share with respect to the year. </w:t>
      </w:r>
    </w:p>
    <w:p w14:paraId="72D0B4FC" w14:textId="579EA28B" w:rsidR="00962078" w:rsidRDefault="00962078" w:rsidP="00191E20">
      <w:pPr>
        <w:jc w:val="both"/>
        <w:rPr>
          <w:rFonts w:cstheme="minorHAnsi"/>
          <w:sz w:val="22"/>
          <w:szCs w:val="22"/>
        </w:rPr>
      </w:pPr>
    </w:p>
    <w:p w14:paraId="4DC5E55C" w14:textId="4FA50A41" w:rsidR="00962078" w:rsidRDefault="00962078" w:rsidP="0021298F">
      <w:pPr>
        <w:pStyle w:val="ListParagraph"/>
        <w:numPr>
          <w:ilvl w:val="0"/>
          <w:numId w:val="19"/>
        </w:numPr>
        <w:autoSpaceDE w:val="0"/>
        <w:autoSpaceDN w:val="0"/>
        <w:adjustRightInd w:val="0"/>
        <w:jc w:val="both"/>
        <w:rPr>
          <w:rFonts w:eastAsiaTheme="minorEastAsia" w:cstheme="minorHAnsi"/>
          <w:color w:val="000000"/>
          <w:sz w:val="22"/>
          <w:szCs w:val="22"/>
          <w:lang w:eastAsia="zh-CN"/>
        </w:rPr>
      </w:pPr>
      <w:r w:rsidRPr="008E7690">
        <w:rPr>
          <w:rFonts w:eastAsiaTheme="minorEastAsia" w:cstheme="minorHAnsi"/>
          <w:color w:val="000000"/>
          <w:sz w:val="22"/>
          <w:szCs w:val="22"/>
          <w:lang w:eastAsia="zh-CN"/>
        </w:rPr>
        <w:t>Placement of a new 3 year €300</w:t>
      </w:r>
      <w:r w:rsidR="003C534D">
        <w:rPr>
          <w:rFonts w:eastAsiaTheme="minorEastAsia" w:cstheme="minorHAnsi"/>
          <w:color w:val="000000"/>
          <w:sz w:val="22"/>
          <w:szCs w:val="22"/>
          <w:lang w:eastAsia="zh-CN"/>
        </w:rPr>
        <w:t xml:space="preserve"> </w:t>
      </w:r>
      <w:r w:rsidRPr="008E7690">
        <w:rPr>
          <w:rFonts w:eastAsiaTheme="minorEastAsia" w:cstheme="minorHAnsi"/>
          <w:color w:val="000000"/>
          <w:sz w:val="22"/>
          <w:szCs w:val="22"/>
          <w:lang w:eastAsia="zh-CN"/>
        </w:rPr>
        <w:t>m</w:t>
      </w:r>
      <w:r w:rsidR="003C534D">
        <w:rPr>
          <w:rFonts w:eastAsiaTheme="minorEastAsia" w:cstheme="minorHAnsi"/>
          <w:color w:val="000000"/>
          <w:sz w:val="22"/>
          <w:szCs w:val="22"/>
          <w:lang w:eastAsia="zh-CN"/>
        </w:rPr>
        <w:t>illion</w:t>
      </w:r>
      <w:r w:rsidRPr="008E7690">
        <w:rPr>
          <w:rFonts w:eastAsiaTheme="minorEastAsia" w:cstheme="minorHAnsi"/>
          <w:color w:val="000000"/>
          <w:sz w:val="22"/>
          <w:szCs w:val="22"/>
          <w:lang w:eastAsia="zh-CN"/>
        </w:rPr>
        <w:t xml:space="preserve"> revolving credit facility and €200 million of 5 year term loans during the year adding more stability to the capital structure.</w:t>
      </w:r>
    </w:p>
    <w:p w14:paraId="67E7168D" w14:textId="77777777" w:rsidR="00962078" w:rsidRPr="00191E20" w:rsidRDefault="00962078" w:rsidP="00191E20">
      <w:pPr>
        <w:pStyle w:val="ListParagraph"/>
        <w:jc w:val="both"/>
        <w:rPr>
          <w:rFonts w:eastAsiaTheme="minorEastAsia" w:cstheme="minorHAnsi"/>
          <w:color w:val="000000"/>
          <w:sz w:val="22"/>
          <w:szCs w:val="22"/>
          <w:lang w:eastAsia="zh-CN"/>
        </w:rPr>
      </w:pPr>
    </w:p>
    <w:p w14:paraId="33DB8D68" w14:textId="77777777" w:rsidR="00962078" w:rsidRPr="008E7690" w:rsidRDefault="00962078" w:rsidP="0021298F">
      <w:pPr>
        <w:pStyle w:val="ListParagraph"/>
        <w:numPr>
          <w:ilvl w:val="0"/>
          <w:numId w:val="19"/>
        </w:numPr>
        <w:autoSpaceDE w:val="0"/>
        <w:autoSpaceDN w:val="0"/>
        <w:adjustRightInd w:val="0"/>
        <w:jc w:val="both"/>
        <w:rPr>
          <w:rFonts w:eastAsiaTheme="minorEastAsia" w:cstheme="minorHAnsi"/>
          <w:color w:val="000000"/>
          <w:sz w:val="22"/>
          <w:szCs w:val="22"/>
          <w:lang w:eastAsia="zh-CN"/>
        </w:rPr>
      </w:pPr>
      <w:r w:rsidRPr="008E7690">
        <w:rPr>
          <w:rFonts w:eastAsiaTheme="minorEastAsia" w:cstheme="minorHAnsi"/>
          <w:color w:val="000000"/>
          <w:sz w:val="22"/>
          <w:szCs w:val="22"/>
          <w:lang w:eastAsia="zh-CN"/>
        </w:rPr>
        <w:t xml:space="preserve">Issuance of 111 million new shares raising €125 million. </w:t>
      </w:r>
    </w:p>
    <w:p w14:paraId="1C25AB2E" w14:textId="3E3190D9" w:rsidR="00962078" w:rsidRPr="00191E20" w:rsidRDefault="00962078" w:rsidP="00191E20">
      <w:pPr>
        <w:pStyle w:val="ListParagraph"/>
        <w:jc w:val="both"/>
        <w:rPr>
          <w:rFonts w:eastAsiaTheme="minorEastAsia" w:cstheme="minorHAnsi"/>
          <w:color w:val="000000"/>
          <w:sz w:val="22"/>
          <w:szCs w:val="22"/>
          <w:lang w:eastAsia="zh-CN"/>
        </w:rPr>
      </w:pPr>
    </w:p>
    <w:p w14:paraId="54BACA16" w14:textId="77777777" w:rsidR="00962078" w:rsidRPr="008E7690" w:rsidRDefault="00962078" w:rsidP="0021298F">
      <w:pPr>
        <w:pStyle w:val="ListParagraph"/>
        <w:numPr>
          <w:ilvl w:val="0"/>
          <w:numId w:val="18"/>
        </w:numPr>
        <w:autoSpaceDE w:val="0"/>
        <w:autoSpaceDN w:val="0"/>
        <w:adjustRightInd w:val="0"/>
        <w:jc w:val="both"/>
        <w:rPr>
          <w:rFonts w:eastAsiaTheme="minorEastAsia" w:cstheme="minorHAnsi"/>
          <w:color w:val="000000"/>
          <w:sz w:val="22"/>
          <w:szCs w:val="22"/>
          <w:lang w:eastAsia="zh-CN"/>
        </w:rPr>
      </w:pPr>
      <w:r w:rsidRPr="008E7690">
        <w:rPr>
          <w:rFonts w:eastAsiaTheme="minorEastAsia" w:cstheme="minorHAnsi"/>
          <w:color w:val="000000"/>
          <w:sz w:val="22"/>
          <w:szCs w:val="22"/>
          <w:lang w:eastAsia="zh-CN"/>
        </w:rPr>
        <w:t xml:space="preserve">€427.9 million Aggregate Group Debt as at 31 December 2020, equivalent to 36 per cent of GAV. </w:t>
      </w:r>
    </w:p>
    <w:p w14:paraId="5C8CA821" w14:textId="479BD33A" w:rsidR="00E25FBF" w:rsidRPr="008E7690" w:rsidRDefault="00E25FBF" w:rsidP="00191E20">
      <w:pPr>
        <w:jc w:val="both"/>
        <w:rPr>
          <w:rFonts w:cstheme="minorHAnsi"/>
          <w:sz w:val="22"/>
          <w:szCs w:val="22"/>
        </w:rPr>
      </w:pPr>
    </w:p>
    <w:p w14:paraId="7C18B344" w14:textId="3B38DFF1" w:rsidR="0009537C" w:rsidRDefault="0083531C" w:rsidP="00191E20">
      <w:pPr>
        <w:pStyle w:val="Heading3"/>
        <w:jc w:val="both"/>
        <w:rPr>
          <w:rFonts w:asciiTheme="minorHAnsi" w:hAnsiTheme="minorHAnsi" w:cstheme="minorHAnsi"/>
          <w:b/>
          <w:bCs/>
          <w:color w:val="000000" w:themeColor="text1"/>
          <w:sz w:val="22"/>
          <w:szCs w:val="22"/>
        </w:rPr>
      </w:pPr>
      <w:r>
        <w:rPr>
          <w:rFonts w:asciiTheme="minorHAnsi" w:hAnsiTheme="minorHAnsi" w:cstheme="minorHAnsi"/>
          <w:b/>
          <w:bCs/>
          <w:color w:val="000000" w:themeColor="text1"/>
          <w:sz w:val="22"/>
          <w:szCs w:val="22"/>
        </w:rPr>
        <w:t>A focussed ESG approach</w:t>
      </w:r>
    </w:p>
    <w:p w14:paraId="671C70CA" w14:textId="491FE1CE" w:rsidR="0083531C" w:rsidRDefault="0083531C" w:rsidP="00191E20">
      <w:pPr>
        <w:jc w:val="both"/>
      </w:pPr>
    </w:p>
    <w:p w14:paraId="64429364" w14:textId="797145E9" w:rsidR="0083531C" w:rsidRDefault="00AB1E1E" w:rsidP="0021298F">
      <w:pPr>
        <w:pStyle w:val="ListParagraph"/>
        <w:numPr>
          <w:ilvl w:val="0"/>
          <w:numId w:val="18"/>
        </w:numPr>
        <w:autoSpaceDE w:val="0"/>
        <w:autoSpaceDN w:val="0"/>
        <w:adjustRightInd w:val="0"/>
        <w:jc w:val="both"/>
        <w:rPr>
          <w:rFonts w:eastAsiaTheme="minorEastAsia" w:cstheme="minorHAnsi"/>
          <w:color w:val="000000"/>
          <w:sz w:val="22"/>
          <w:szCs w:val="22"/>
          <w:lang w:eastAsia="zh-CN"/>
        </w:rPr>
      </w:pPr>
      <w:r>
        <w:rPr>
          <w:rFonts w:eastAsiaTheme="minorEastAsia" w:cstheme="minorHAnsi"/>
          <w:color w:val="000000"/>
          <w:sz w:val="22"/>
          <w:szCs w:val="22"/>
          <w:lang w:eastAsia="zh-CN"/>
        </w:rPr>
        <w:t>The portfolio’s generation in 2020 was sufficient to d</w:t>
      </w:r>
      <w:r w:rsidR="0083531C" w:rsidRPr="008E7690">
        <w:rPr>
          <w:rFonts w:eastAsiaTheme="minorEastAsia" w:cstheme="minorHAnsi"/>
          <w:color w:val="000000"/>
          <w:sz w:val="22"/>
          <w:szCs w:val="22"/>
          <w:lang w:eastAsia="zh-CN"/>
        </w:rPr>
        <w:t xml:space="preserve">isplace thermal generation equivalent to </w:t>
      </w:r>
      <w:r>
        <w:rPr>
          <w:rFonts w:eastAsiaTheme="minorEastAsia" w:cstheme="minorHAnsi"/>
          <w:color w:val="000000"/>
          <w:sz w:val="22"/>
          <w:szCs w:val="22"/>
          <w:lang w:eastAsia="zh-CN"/>
        </w:rPr>
        <w:t>561,432</w:t>
      </w:r>
      <w:r w:rsidR="0083531C" w:rsidRPr="008E7690">
        <w:rPr>
          <w:rFonts w:eastAsiaTheme="minorEastAsia" w:cstheme="minorHAnsi"/>
          <w:color w:val="000000"/>
          <w:sz w:val="22"/>
          <w:szCs w:val="22"/>
          <w:lang w:eastAsia="zh-CN"/>
        </w:rPr>
        <w:t xml:space="preserve"> tonnes </w:t>
      </w:r>
      <w:r>
        <w:rPr>
          <w:rFonts w:eastAsiaTheme="minorEastAsia" w:cstheme="minorHAnsi"/>
          <w:color w:val="000000"/>
          <w:sz w:val="22"/>
          <w:szCs w:val="22"/>
          <w:lang w:eastAsia="zh-CN"/>
        </w:rPr>
        <w:t>of CO</w:t>
      </w:r>
      <w:r w:rsidRPr="00191E20">
        <w:rPr>
          <w:rFonts w:eastAsiaTheme="minorEastAsia" w:cstheme="minorHAnsi"/>
          <w:color w:val="000000"/>
          <w:sz w:val="22"/>
          <w:szCs w:val="22"/>
          <w:vertAlign w:val="subscript"/>
          <w:lang w:eastAsia="zh-CN"/>
        </w:rPr>
        <w:t>2</w:t>
      </w:r>
      <w:r>
        <w:rPr>
          <w:rFonts w:eastAsiaTheme="minorEastAsia" w:cstheme="minorHAnsi"/>
          <w:color w:val="000000"/>
          <w:sz w:val="22"/>
          <w:szCs w:val="22"/>
          <w:lang w:eastAsia="zh-CN"/>
        </w:rPr>
        <w:t xml:space="preserve"> and power 330,355 homes. </w:t>
      </w:r>
    </w:p>
    <w:p w14:paraId="692BB242" w14:textId="77777777" w:rsidR="00AB1E1E" w:rsidRDefault="00AB1E1E" w:rsidP="00191E20">
      <w:pPr>
        <w:pStyle w:val="ListParagraph"/>
        <w:autoSpaceDE w:val="0"/>
        <w:autoSpaceDN w:val="0"/>
        <w:adjustRightInd w:val="0"/>
        <w:jc w:val="both"/>
        <w:rPr>
          <w:rFonts w:eastAsiaTheme="minorEastAsia" w:cstheme="minorHAnsi"/>
          <w:color w:val="000000"/>
          <w:sz w:val="22"/>
          <w:szCs w:val="22"/>
          <w:lang w:eastAsia="zh-CN"/>
        </w:rPr>
      </w:pPr>
    </w:p>
    <w:p w14:paraId="53C9931C" w14:textId="3CBED9B4" w:rsidR="00AB1E1E" w:rsidRPr="00A805F8" w:rsidRDefault="00AB1E1E" w:rsidP="0021298F">
      <w:pPr>
        <w:pStyle w:val="ListParagraph"/>
        <w:numPr>
          <w:ilvl w:val="0"/>
          <w:numId w:val="18"/>
        </w:numPr>
        <w:autoSpaceDE w:val="0"/>
        <w:autoSpaceDN w:val="0"/>
        <w:adjustRightInd w:val="0"/>
        <w:jc w:val="both"/>
        <w:rPr>
          <w:rFonts w:eastAsiaTheme="minorEastAsia" w:cstheme="minorHAnsi"/>
          <w:color w:val="000000"/>
          <w:sz w:val="20"/>
          <w:szCs w:val="20"/>
          <w:lang w:eastAsia="zh-CN"/>
        </w:rPr>
      </w:pPr>
      <w:r w:rsidRPr="00191E20">
        <w:rPr>
          <w:sz w:val="22"/>
          <w:szCs w:val="22"/>
          <w:lang w:eastAsia="zh-CN"/>
        </w:rPr>
        <w:lastRenderedPageBreak/>
        <w:t>€0.8 million of funds committed to local communities across 114 community projects</w:t>
      </w:r>
      <w:r>
        <w:rPr>
          <w:sz w:val="22"/>
          <w:szCs w:val="22"/>
          <w:lang w:eastAsia="zh-CN"/>
        </w:rPr>
        <w:t>.</w:t>
      </w:r>
    </w:p>
    <w:p w14:paraId="5F9C603C" w14:textId="77777777" w:rsidR="00A805F8" w:rsidRPr="00A805F8" w:rsidRDefault="00A805F8" w:rsidP="00A805F8">
      <w:pPr>
        <w:pStyle w:val="ListParagraph"/>
        <w:rPr>
          <w:rFonts w:eastAsiaTheme="minorEastAsia" w:cstheme="minorHAnsi"/>
          <w:color w:val="000000"/>
          <w:sz w:val="20"/>
          <w:szCs w:val="20"/>
          <w:lang w:eastAsia="zh-CN"/>
        </w:rPr>
      </w:pPr>
    </w:p>
    <w:p w14:paraId="16095A7C" w14:textId="13EAD4E3" w:rsidR="00A0262A" w:rsidRPr="004A15CB" w:rsidRDefault="00A805F8" w:rsidP="0021298F">
      <w:pPr>
        <w:pStyle w:val="ListParagraph"/>
        <w:numPr>
          <w:ilvl w:val="0"/>
          <w:numId w:val="20"/>
        </w:numPr>
        <w:jc w:val="both"/>
        <w:rPr>
          <w:sz w:val="22"/>
          <w:szCs w:val="22"/>
          <w:lang w:eastAsia="zh-CN"/>
        </w:rPr>
      </w:pPr>
      <w:r w:rsidRPr="004A15CB">
        <w:rPr>
          <w:sz w:val="22"/>
          <w:szCs w:val="22"/>
          <w:lang w:eastAsia="zh-CN"/>
        </w:rPr>
        <w:t>Made our first submission to CDP as well developing our carbon strategy</w:t>
      </w:r>
    </w:p>
    <w:p w14:paraId="753F951E" w14:textId="77777777" w:rsidR="00A0262A" w:rsidRPr="008E7690" w:rsidRDefault="00A0262A" w:rsidP="00191E20">
      <w:pPr>
        <w:jc w:val="both"/>
        <w:rPr>
          <w:rFonts w:eastAsia="Times New Roman" w:cstheme="minorHAnsi"/>
          <w:b/>
          <w:sz w:val="22"/>
          <w:szCs w:val="22"/>
        </w:rPr>
      </w:pPr>
    </w:p>
    <w:p w14:paraId="366E4125" w14:textId="71FEC0AB" w:rsidR="00C444C4" w:rsidRPr="008E7690" w:rsidRDefault="00C444C4" w:rsidP="00191E20">
      <w:pPr>
        <w:jc w:val="both"/>
        <w:rPr>
          <w:rFonts w:eastAsia="Times New Roman" w:cstheme="minorHAnsi"/>
          <w:b/>
          <w:sz w:val="22"/>
          <w:szCs w:val="22"/>
        </w:rPr>
      </w:pPr>
      <w:r w:rsidRPr="008E7690">
        <w:rPr>
          <w:rFonts w:eastAsia="Times New Roman" w:cstheme="minorHAnsi"/>
          <w:b/>
          <w:sz w:val="22"/>
          <w:szCs w:val="22"/>
        </w:rPr>
        <w:t>Ronan Murphy, Non-Executive Chairman of Greencoat Renewables, said:</w:t>
      </w:r>
    </w:p>
    <w:p w14:paraId="55326292" w14:textId="77777777" w:rsidR="009D3248" w:rsidRPr="008E7690" w:rsidRDefault="009D3248" w:rsidP="00191E20">
      <w:pPr>
        <w:jc w:val="both"/>
        <w:rPr>
          <w:rFonts w:eastAsia="Times New Roman" w:cstheme="minorHAnsi"/>
          <w:b/>
          <w:sz w:val="22"/>
          <w:szCs w:val="22"/>
        </w:rPr>
      </w:pPr>
    </w:p>
    <w:p w14:paraId="3C9FF368" w14:textId="4894A551" w:rsidR="00191E20" w:rsidRPr="00A805F8" w:rsidRDefault="00191E20" w:rsidP="00191E20">
      <w:pPr>
        <w:autoSpaceDE w:val="0"/>
        <w:autoSpaceDN w:val="0"/>
        <w:adjustRightInd w:val="0"/>
        <w:jc w:val="both"/>
        <w:rPr>
          <w:rFonts w:eastAsiaTheme="minorEastAsia" w:cstheme="minorHAnsi"/>
          <w:i/>
          <w:iCs/>
          <w:color w:val="000000"/>
          <w:sz w:val="22"/>
          <w:szCs w:val="22"/>
          <w:lang w:eastAsia="zh-CN"/>
        </w:rPr>
      </w:pPr>
      <w:r w:rsidRPr="00A805F8">
        <w:rPr>
          <w:rFonts w:eastAsiaTheme="minorEastAsia" w:cstheme="minorHAnsi"/>
          <w:i/>
          <w:iCs/>
          <w:color w:val="000000"/>
          <w:sz w:val="22"/>
          <w:szCs w:val="22"/>
          <w:lang w:eastAsia="zh-CN"/>
        </w:rPr>
        <w:t xml:space="preserve">“I am very pleased to announce another strong set of results for the Company, both in terms of operational performance and continued implementation of our growth strategy. </w:t>
      </w:r>
      <w:r w:rsidR="0032526B">
        <w:rPr>
          <w:rFonts w:eastAsiaTheme="minorEastAsia" w:cstheme="minorHAnsi"/>
          <w:i/>
          <w:iCs/>
          <w:color w:val="000000"/>
          <w:sz w:val="22"/>
          <w:szCs w:val="22"/>
          <w:lang w:eastAsia="zh-CN"/>
        </w:rPr>
        <w:t>W</w:t>
      </w:r>
      <w:r w:rsidRPr="00A805F8">
        <w:rPr>
          <w:rFonts w:eastAsiaTheme="minorEastAsia" w:cstheme="minorHAnsi"/>
          <w:i/>
          <w:iCs/>
          <w:color w:val="000000"/>
          <w:sz w:val="22"/>
          <w:szCs w:val="22"/>
          <w:lang w:eastAsia="zh-CN"/>
        </w:rPr>
        <w:t>hile real challenges remain in the wider economy</w:t>
      </w:r>
      <w:r w:rsidR="0032526B">
        <w:rPr>
          <w:rFonts w:eastAsiaTheme="minorEastAsia" w:cstheme="minorHAnsi"/>
          <w:i/>
          <w:iCs/>
          <w:color w:val="000000"/>
          <w:sz w:val="22"/>
          <w:szCs w:val="22"/>
          <w:lang w:eastAsia="zh-CN"/>
        </w:rPr>
        <w:t xml:space="preserve"> as a consequence of </w:t>
      </w:r>
      <w:r w:rsidR="00E2527A">
        <w:rPr>
          <w:rFonts w:eastAsiaTheme="minorEastAsia" w:cstheme="minorHAnsi"/>
          <w:i/>
          <w:iCs/>
          <w:color w:val="000000"/>
          <w:sz w:val="22"/>
          <w:szCs w:val="22"/>
          <w:lang w:eastAsia="zh-CN"/>
        </w:rPr>
        <w:t>COVID-</w:t>
      </w:r>
      <w:r w:rsidR="0032526B">
        <w:rPr>
          <w:rFonts w:eastAsiaTheme="minorEastAsia" w:cstheme="minorHAnsi"/>
          <w:i/>
          <w:iCs/>
          <w:color w:val="000000"/>
          <w:sz w:val="22"/>
          <w:szCs w:val="22"/>
          <w:lang w:eastAsia="zh-CN"/>
        </w:rPr>
        <w:t>19</w:t>
      </w:r>
      <w:r w:rsidRPr="00A805F8">
        <w:rPr>
          <w:rFonts w:eastAsiaTheme="minorEastAsia" w:cstheme="minorHAnsi"/>
          <w:i/>
          <w:iCs/>
          <w:color w:val="000000"/>
          <w:sz w:val="22"/>
          <w:szCs w:val="22"/>
          <w:lang w:eastAsia="zh-CN"/>
        </w:rPr>
        <w:t xml:space="preserve">, </w:t>
      </w:r>
      <w:r w:rsidR="0032526B">
        <w:rPr>
          <w:rFonts w:eastAsiaTheme="minorEastAsia" w:cstheme="minorHAnsi"/>
          <w:i/>
          <w:iCs/>
          <w:color w:val="000000"/>
          <w:sz w:val="22"/>
          <w:szCs w:val="22"/>
          <w:lang w:eastAsia="zh-CN"/>
        </w:rPr>
        <w:t xml:space="preserve">fortunately </w:t>
      </w:r>
      <w:r w:rsidRPr="00A805F8">
        <w:rPr>
          <w:rFonts w:eastAsiaTheme="minorEastAsia" w:cstheme="minorHAnsi"/>
          <w:i/>
          <w:iCs/>
          <w:color w:val="000000"/>
          <w:sz w:val="22"/>
          <w:szCs w:val="22"/>
          <w:lang w:eastAsia="zh-CN"/>
        </w:rPr>
        <w:t xml:space="preserve">the Company continues to perform extremely well, demonstrating the stability of our business model. </w:t>
      </w:r>
    </w:p>
    <w:p w14:paraId="5F49B8DE" w14:textId="77777777" w:rsidR="00191E20" w:rsidRPr="00A805F8" w:rsidRDefault="00191E20" w:rsidP="00191E20">
      <w:pPr>
        <w:autoSpaceDE w:val="0"/>
        <w:autoSpaceDN w:val="0"/>
        <w:adjustRightInd w:val="0"/>
        <w:jc w:val="both"/>
        <w:rPr>
          <w:rFonts w:eastAsiaTheme="minorEastAsia" w:cstheme="minorHAnsi"/>
          <w:i/>
          <w:iCs/>
          <w:color w:val="000000"/>
          <w:sz w:val="22"/>
          <w:szCs w:val="22"/>
          <w:lang w:eastAsia="zh-CN"/>
        </w:rPr>
      </w:pPr>
    </w:p>
    <w:p w14:paraId="2A45FF8E" w14:textId="77777777" w:rsidR="00191E20" w:rsidRPr="00A805F8" w:rsidRDefault="00191E20" w:rsidP="00191E20">
      <w:pPr>
        <w:autoSpaceDE w:val="0"/>
        <w:autoSpaceDN w:val="0"/>
        <w:adjustRightInd w:val="0"/>
        <w:jc w:val="both"/>
        <w:rPr>
          <w:rFonts w:eastAsiaTheme="minorEastAsia" w:cstheme="minorHAnsi"/>
          <w:i/>
          <w:iCs/>
          <w:color w:val="000000"/>
          <w:sz w:val="22"/>
          <w:szCs w:val="22"/>
          <w:lang w:eastAsia="zh-CN"/>
        </w:rPr>
      </w:pPr>
      <w:r w:rsidRPr="00A805F8">
        <w:rPr>
          <w:rFonts w:eastAsiaTheme="minorEastAsia" w:cstheme="minorHAnsi"/>
          <w:i/>
          <w:iCs/>
          <w:color w:val="000000"/>
          <w:sz w:val="22"/>
          <w:szCs w:val="22"/>
          <w:lang w:eastAsia="zh-CN"/>
        </w:rPr>
        <w:t>The Company has matured significantly in the 3 plus years since listing. We are much larger and more diversified and are benefiting from increasing economies of scale. We also have a considerable opportunity ahead of us as we bring our expertise and experience to the deep pool of renewable assets in Europe</w:t>
      </w:r>
    </w:p>
    <w:p w14:paraId="5A69BB6F" w14:textId="77777777" w:rsidR="00191E20" w:rsidRPr="00A805F8" w:rsidRDefault="00191E20" w:rsidP="00191E20">
      <w:pPr>
        <w:autoSpaceDE w:val="0"/>
        <w:autoSpaceDN w:val="0"/>
        <w:adjustRightInd w:val="0"/>
        <w:jc w:val="both"/>
        <w:rPr>
          <w:rFonts w:eastAsiaTheme="minorEastAsia" w:cstheme="minorHAnsi"/>
          <w:i/>
          <w:iCs/>
          <w:color w:val="000000"/>
          <w:sz w:val="22"/>
          <w:szCs w:val="22"/>
          <w:lang w:eastAsia="zh-CN"/>
        </w:rPr>
      </w:pPr>
    </w:p>
    <w:p w14:paraId="25486ACA" w14:textId="77777777" w:rsidR="00191E20" w:rsidRPr="00A805F8" w:rsidRDefault="00191E20" w:rsidP="00191E20">
      <w:pPr>
        <w:autoSpaceDE w:val="0"/>
        <w:autoSpaceDN w:val="0"/>
        <w:adjustRightInd w:val="0"/>
        <w:jc w:val="both"/>
        <w:rPr>
          <w:rFonts w:eastAsiaTheme="minorEastAsia" w:cstheme="minorHAnsi"/>
          <w:i/>
          <w:iCs/>
          <w:color w:val="000000"/>
          <w:sz w:val="22"/>
          <w:szCs w:val="22"/>
          <w:lang w:eastAsia="zh-CN"/>
        </w:rPr>
      </w:pPr>
      <w:r w:rsidRPr="00A805F8">
        <w:rPr>
          <w:rFonts w:eastAsiaTheme="minorEastAsia" w:cstheme="minorHAnsi"/>
          <w:i/>
          <w:iCs/>
          <w:color w:val="000000"/>
          <w:sz w:val="22"/>
          <w:szCs w:val="22"/>
          <w:lang w:eastAsia="zh-CN"/>
        </w:rPr>
        <w:t>Despite negative inflation in the short term, I am pleased to confirm our target 2021 dividend will remain at 6.06 cent, consistent with our strategy of having a progressive dividend policy.</w:t>
      </w:r>
    </w:p>
    <w:p w14:paraId="66359C93" w14:textId="77777777" w:rsidR="00191E20" w:rsidRPr="00A805F8" w:rsidRDefault="00191E20" w:rsidP="00191E20">
      <w:pPr>
        <w:autoSpaceDE w:val="0"/>
        <w:autoSpaceDN w:val="0"/>
        <w:adjustRightInd w:val="0"/>
        <w:jc w:val="both"/>
        <w:rPr>
          <w:rFonts w:eastAsiaTheme="minorEastAsia" w:cstheme="minorHAnsi"/>
          <w:i/>
          <w:iCs/>
          <w:color w:val="000000"/>
          <w:sz w:val="22"/>
          <w:szCs w:val="22"/>
          <w:lang w:eastAsia="zh-CN"/>
        </w:rPr>
      </w:pPr>
    </w:p>
    <w:p w14:paraId="31C4A166" w14:textId="0996FBE8" w:rsidR="00191E20" w:rsidRPr="00A805F8" w:rsidRDefault="00191E20" w:rsidP="00191E20">
      <w:pPr>
        <w:autoSpaceDE w:val="0"/>
        <w:autoSpaceDN w:val="0"/>
        <w:adjustRightInd w:val="0"/>
        <w:jc w:val="both"/>
        <w:rPr>
          <w:rFonts w:eastAsiaTheme="minorEastAsia" w:cstheme="minorHAnsi"/>
          <w:i/>
          <w:iCs/>
          <w:color w:val="000000"/>
          <w:sz w:val="22"/>
          <w:szCs w:val="22"/>
          <w:lang w:eastAsia="zh-CN"/>
        </w:rPr>
      </w:pPr>
      <w:r w:rsidRPr="00A805F8">
        <w:rPr>
          <w:rFonts w:eastAsiaTheme="minorEastAsia" w:cstheme="minorHAnsi"/>
          <w:i/>
          <w:iCs/>
          <w:color w:val="000000"/>
          <w:sz w:val="22"/>
          <w:szCs w:val="22"/>
          <w:lang w:eastAsia="zh-CN"/>
        </w:rPr>
        <w:t xml:space="preserve">In addition to announcing our full year results today, we also publish our third annual ESG report, detailing our activity throughout 2020. The report demonstrates our commitment to effective management of environmental, social and governance matters and our </w:t>
      </w:r>
      <w:r w:rsidR="00E2527A">
        <w:rPr>
          <w:rFonts w:eastAsiaTheme="minorEastAsia" w:cstheme="minorHAnsi"/>
          <w:i/>
          <w:iCs/>
          <w:color w:val="000000"/>
          <w:sz w:val="22"/>
          <w:szCs w:val="22"/>
          <w:lang w:eastAsia="zh-CN"/>
        </w:rPr>
        <w:t>recognition</w:t>
      </w:r>
      <w:r w:rsidR="00E2527A" w:rsidRPr="00A805F8">
        <w:rPr>
          <w:rFonts w:eastAsiaTheme="minorEastAsia" w:cstheme="minorHAnsi"/>
          <w:i/>
          <w:iCs/>
          <w:color w:val="000000"/>
          <w:sz w:val="22"/>
          <w:szCs w:val="22"/>
          <w:lang w:eastAsia="zh-CN"/>
        </w:rPr>
        <w:t xml:space="preserve"> </w:t>
      </w:r>
      <w:r w:rsidRPr="00A805F8">
        <w:rPr>
          <w:rFonts w:eastAsiaTheme="minorEastAsia" w:cstheme="minorHAnsi"/>
          <w:i/>
          <w:iCs/>
          <w:color w:val="000000"/>
          <w:sz w:val="22"/>
          <w:szCs w:val="22"/>
          <w:lang w:eastAsia="zh-CN"/>
        </w:rPr>
        <w:t>that these are of fundamental importance to the long-term success of the business”.</w:t>
      </w:r>
    </w:p>
    <w:p w14:paraId="129BA58B" w14:textId="77777777" w:rsidR="00C444C4" w:rsidRPr="008E7690" w:rsidRDefault="00C444C4" w:rsidP="00C444C4">
      <w:pPr>
        <w:jc w:val="both"/>
        <w:rPr>
          <w:rFonts w:cstheme="minorHAnsi"/>
          <w:i/>
          <w:sz w:val="22"/>
          <w:szCs w:val="22"/>
        </w:rPr>
      </w:pPr>
    </w:p>
    <w:p w14:paraId="782A8542" w14:textId="46F577C0" w:rsidR="00C444C4" w:rsidRPr="00287129" w:rsidRDefault="00376435" w:rsidP="00C444C4">
      <w:pPr>
        <w:jc w:val="both"/>
        <w:rPr>
          <w:rFonts w:cstheme="minorHAnsi"/>
          <w:b/>
          <w:sz w:val="22"/>
          <w:szCs w:val="22"/>
        </w:rPr>
      </w:pPr>
      <w:r w:rsidRPr="00287129">
        <w:rPr>
          <w:rFonts w:cstheme="minorHAnsi"/>
          <w:b/>
          <w:sz w:val="22"/>
          <w:szCs w:val="22"/>
        </w:rPr>
        <w:t>Key Metrics</w:t>
      </w:r>
    </w:p>
    <w:tbl>
      <w:tblPr>
        <w:tblW w:w="5000" w:type="pct"/>
        <w:tblLayout w:type="fixed"/>
        <w:tblLook w:val="04A0" w:firstRow="1" w:lastRow="0" w:firstColumn="1" w:lastColumn="0" w:noHBand="0" w:noVBand="1"/>
      </w:tblPr>
      <w:tblGrid>
        <w:gridCol w:w="6360"/>
        <w:gridCol w:w="2666"/>
      </w:tblGrid>
      <w:tr w:rsidR="003316EB" w:rsidRPr="00287129" w14:paraId="74CC6184" w14:textId="77777777" w:rsidTr="00191E20">
        <w:trPr>
          <w:trHeight w:val="266"/>
        </w:trPr>
        <w:tc>
          <w:tcPr>
            <w:tcW w:w="3523" w:type="pct"/>
            <w:tcBorders>
              <w:top w:val="nil"/>
              <w:left w:val="nil"/>
              <w:bottom w:val="single" w:sz="4" w:space="0" w:color="auto"/>
              <w:right w:val="nil"/>
            </w:tcBorders>
            <w:shd w:val="clear" w:color="000000" w:fill="FFFFFF"/>
            <w:noWrap/>
            <w:vAlign w:val="center"/>
          </w:tcPr>
          <w:p w14:paraId="7D2F7B9F" w14:textId="77777777" w:rsidR="003316EB" w:rsidRPr="00A805F8" w:rsidRDefault="003316EB" w:rsidP="00644C6A">
            <w:pPr>
              <w:jc w:val="both"/>
              <w:rPr>
                <w:rFonts w:eastAsia="Times New Roman" w:cstheme="minorHAnsi"/>
                <w:color w:val="000000"/>
                <w:lang w:eastAsia="en-GB"/>
              </w:rPr>
            </w:pPr>
          </w:p>
        </w:tc>
        <w:tc>
          <w:tcPr>
            <w:tcW w:w="1477" w:type="pct"/>
            <w:tcBorders>
              <w:top w:val="nil"/>
              <w:left w:val="nil"/>
              <w:bottom w:val="single" w:sz="4" w:space="0" w:color="auto"/>
              <w:right w:val="nil"/>
            </w:tcBorders>
            <w:shd w:val="clear" w:color="000000" w:fill="FFFFFF" w:themeFill="background1"/>
          </w:tcPr>
          <w:p w14:paraId="21A67C39" w14:textId="77777777" w:rsidR="003316EB" w:rsidRPr="00A805F8" w:rsidRDefault="003316EB" w:rsidP="00644C6A">
            <w:pPr>
              <w:jc w:val="right"/>
              <w:rPr>
                <w:rFonts w:eastAsia="Times New Roman" w:cstheme="minorHAnsi"/>
                <w:b/>
                <w:color w:val="000000"/>
                <w:lang w:eastAsia="en-GB"/>
              </w:rPr>
            </w:pPr>
            <w:r w:rsidRPr="00A805F8">
              <w:rPr>
                <w:rFonts w:eastAsia="Times New Roman" w:cstheme="minorHAnsi"/>
                <w:b/>
                <w:color w:val="000000"/>
                <w:lang w:eastAsia="en-GB"/>
              </w:rPr>
              <w:t>As at 31 December 2020</w:t>
            </w:r>
          </w:p>
        </w:tc>
      </w:tr>
      <w:tr w:rsidR="003316EB" w:rsidRPr="00287129" w14:paraId="0F32A144" w14:textId="77777777" w:rsidTr="00191E20">
        <w:trPr>
          <w:trHeight w:val="266"/>
        </w:trPr>
        <w:tc>
          <w:tcPr>
            <w:tcW w:w="3523" w:type="pct"/>
            <w:tcBorders>
              <w:top w:val="single" w:sz="4" w:space="0" w:color="auto"/>
              <w:left w:val="nil"/>
              <w:bottom w:val="nil"/>
              <w:right w:val="nil"/>
            </w:tcBorders>
            <w:shd w:val="clear" w:color="000000" w:fill="FFFFFF"/>
            <w:noWrap/>
            <w:vAlign w:val="center"/>
            <w:hideMark/>
          </w:tcPr>
          <w:p w14:paraId="5FC5FA10" w14:textId="77777777" w:rsidR="003316EB" w:rsidRPr="00A805F8" w:rsidRDefault="003316EB" w:rsidP="00644C6A">
            <w:pPr>
              <w:jc w:val="both"/>
              <w:rPr>
                <w:rFonts w:eastAsia="Times New Roman" w:cstheme="minorHAnsi"/>
                <w:color w:val="000000"/>
                <w:lang w:eastAsia="en-GB"/>
              </w:rPr>
            </w:pPr>
            <w:r w:rsidRPr="00A805F8">
              <w:rPr>
                <w:rFonts w:eastAsia="Times New Roman" w:cstheme="minorHAnsi"/>
                <w:color w:val="000000"/>
                <w:lang w:eastAsia="en-GB"/>
              </w:rPr>
              <w:t> </w:t>
            </w:r>
          </w:p>
        </w:tc>
        <w:tc>
          <w:tcPr>
            <w:tcW w:w="1477" w:type="pct"/>
            <w:tcBorders>
              <w:top w:val="single" w:sz="4" w:space="0" w:color="auto"/>
              <w:left w:val="nil"/>
              <w:bottom w:val="nil"/>
              <w:right w:val="nil"/>
            </w:tcBorders>
            <w:shd w:val="clear" w:color="auto" w:fill="auto"/>
          </w:tcPr>
          <w:p w14:paraId="4917346B" w14:textId="77777777" w:rsidR="003316EB" w:rsidRPr="00A805F8" w:rsidRDefault="003316EB" w:rsidP="00644C6A">
            <w:pPr>
              <w:jc w:val="right"/>
              <w:rPr>
                <w:rFonts w:eastAsia="Times New Roman" w:cstheme="minorHAnsi"/>
                <w:color w:val="000000"/>
                <w:lang w:eastAsia="en-GB"/>
              </w:rPr>
            </w:pPr>
          </w:p>
        </w:tc>
      </w:tr>
      <w:tr w:rsidR="003316EB" w:rsidRPr="00287129" w14:paraId="62CAB938" w14:textId="77777777" w:rsidTr="00191E20">
        <w:trPr>
          <w:trHeight w:val="266"/>
        </w:trPr>
        <w:tc>
          <w:tcPr>
            <w:tcW w:w="3523" w:type="pct"/>
            <w:tcBorders>
              <w:top w:val="nil"/>
              <w:left w:val="nil"/>
              <w:bottom w:val="nil"/>
              <w:right w:val="nil"/>
            </w:tcBorders>
            <w:shd w:val="clear" w:color="000000" w:fill="FFFFFF"/>
            <w:noWrap/>
            <w:vAlign w:val="center"/>
            <w:hideMark/>
          </w:tcPr>
          <w:p w14:paraId="246169F3" w14:textId="77777777" w:rsidR="003316EB" w:rsidRPr="00A805F8" w:rsidRDefault="003316EB" w:rsidP="00644C6A">
            <w:pPr>
              <w:jc w:val="both"/>
              <w:rPr>
                <w:rFonts w:eastAsia="Times New Roman" w:cstheme="minorHAnsi"/>
                <w:color w:val="000000"/>
                <w:lang w:eastAsia="en-GB"/>
              </w:rPr>
            </w:pPr>
            <w:r w:rsidRPr="00A805F8">
              <w:rPr>
                <w:rFonts w:eastAsia="Times New Roman" w:cstheme="minorHAnsi"/>
                <w:color w:val="000000"/>
                <w:lang w:eastAsia="en-GB"/>
              </w:rPr>
              <w:t>Market capitalisation</w:t>
            </w:r>
          </w:p>
        </w:tc>
        <w:tc>
          <w:tcPr>
            <w:tcW w:w="1477" w:type="pct"/>
            <w:tcBorders>
              <w:top w:val="nil"/>
              <w:left w:val="nil"/>
              <w:bottom w:val="nil"/>
              <w:right w:val="nil"/>
            </w:tcBorders>
            <w:shd w:val="clear" w:color="auto" w:fill="EDFFB7"/>
          </w:tcPr>
          <w:p w14:paraId="482A4440" w14:textId="77777777" w:rsidR="003316EB" w:rsidRPr="00A805F8" w:rsidRDefault="003316EB" w:rsidP="00644C6A">
            <w:pPr>
              <w:jc w:val="right"/>
              <w:rPr>
                <w:rFonts w:eastAsia="Times New Roman" w:cstheme="minorHAnsi"/>
                <w:color w:val="000000"/>
                <w:lang w:eastAsia="en-GB"/>
              </w:rPr>
            </w:pPr>
            <w:r w:rsidRPr="00A805F8">
              <w:rPr>
                <w:rFonts w:eastAsia="Times New Roman" w:cstheme="minorHAnsi"/>
                <w:color w:val="000000"/>
                <w:lang w:eastAsia="en-GB"/>
              </w:rPr>
              <w:t>€863.5 million</w:t>
            </w:r>
          </w:p>
        </w:tc>
      </w:tr>
      <w:tr w:rsidR="003316EB" w:rsidRPr="00287129" w14:paraId="2614602F" w14:textId="77777777" w:rsidTr="00191E20">
        <w:trPr>
          <w:trHeight w:val="266"/>
        </w:trPr>
        <w:tc>
          <w:tcPr>
            <w:tcW w:w="3523" w:type="pct"/>
            <w:tcBorders>
              <w:top w:val="nil"/>
              <w:left w:val="nil"/>
              <w:bottom w:val="nil"/>
              <w:right w:val="nil"/>
            </w:tcBorders>
            <w:shd w:val="clear" w:color="000000" w:fill="FFFFFF"/>
            <w:noWrap/>
            <w:vAlign w:val="center"/>
            <w:hideMark/>
          </w:tcPr>
          <w:p w14:paraId="1630956E" w14:textId="77777777" w:rsidR="003316EB" w:rsidRPr="00A805F8" w:rsidRDefault="003316EB" w:rsidP="00644C6A">
            <w:pPr>
              <w:jc w:val="both"/>
              <w:rPr>
                <w:rFonts w:eastAsia="Times New Roman" w:cstheme="minorHAnsi"/>
                <w:color w:val="000000"/>
                <w:lang w:eastAsia="en-GB"/>
              </w:rPr>
            </w:pPr>
            <w:r w:rsidRPr="00A805F8">
              <w:rPr>
                <w:rFonts w:eastAsia="Times New Roman" w:cstheme="minorHAnsi"/>
                <w:color w:val="000000"/>
                <w:lang w:eastAsia="en-GB"/>
              </w:rPr>
              <w:t>Share price</w:t>
            </w:r>
          </w:p>
        </w:tc>
        <w:tc>
          <w:tcPr>
            <w:tcW w:w="1477" w:type="pct"/>
            <w:tcBorders>
              <w:top w:val="nil"/>
              <w:left w:val="nil"/>
              <w:bottom w:val="nil"/>
              <w:right w:val="nil"/>
            </w:tcBorders>
            <w:shd w:val="clear" w:color="auto" w:fill="EDFFB7"/>
          </w:tcPr>
          <w:p w14:paraId="60E148A4" w14:textId="77777777" w:rsidR="003316EB" w:rsidRPr="00A805F8" w:rsidRDefault="003316EB" w:rsidP="00644C6A">
            <w:pPr>
              <w:jc w:val="right"/>
              <w:rPr>
                <w:rFonts w:eastAsia="Times New Roman" w:cstheme="minorHAnsi"/>
                <w:color w:val="000000"/>
                <w:lang w:eastAsia="en-GB"/>
              </w:rPr>
            </w:pPr>
            <w:r w:rsidRPr="00A805F8">
              <w:rPr>
                <w:rFonts w:eastAsia="Times New Roman" w:cstheme="minorHAnsi"/>
                <w:color w:val="000000"/>
                <w:lang w:eastAsia="en-GB"/>
              </w:rPr>
              <w:t>116.5 cent</w:t>
            </w:r>
          </w:p>
        </w:tc>
      </w:tr>
      <w:tr w:rsidR="003316EB" w:rsidRPr="00287129" w14:paraId="3CF3B311" w14:textId="77777777" w:rsidTr="00191E20">
        <w:trPr>
          <w:trHeight w:val="266"/>
        </w:trPr>
        <w:tc>
          <w:tcPr>
            <w:tcW w:w="3523" w:type="pct"/>
            <w:tcBorders>
              <w:top w:val="nil"/>
              <w:left w:val="nil"/>
              <w:bottom w:val="nil"/>
              <w:right w:val="nil"/>
            </w:tcBorders>
            <w:shd w:val="clear" w:color="000000" w:fill="FFFFFF"/>
            <w:noWrap/>
            <w:vAlign w:val="center"/>
            <w:hideMark/>
          </w:tcPr>
          <w:p w14:paraId="76BAB8B2" w14:textId="77777777" w:rsidR="003316EB" w:rsidRPr="00A805F8" w:rsidRDefault="003316EB" w:rsidP="00644C6A">
            <w:pPr>
              <w:jc w:val="both"/>
              <w:rPr>
                <w:rFonts w:eastAsia="Times New Roman" w:cstheme="minorHAnsi"/>
                <w:color w:val="000000"/>
                <w:lang w:eastAsia="en-GB"/>
              </w:rPr>
            </w:pPr>
            <w:r w:rsidRPr="00A805F8">
              <w:rPr>
                <w:rFonts w:eastAsia="Times New Roman" w:cstheme="minorHAnsi"/>
                <w:color w:val="000000"/>
                <w:lang w:eastAsia="en-GB"/>
              </w:rPr>
              <w:t>Dividends with respect to the year</w:t>
            </w:r>
          </w:p>
        </w:tc>
        <w:tc>
          <w:tcPr>
            <w:tcW w:w="1477" w:type="pct"/>
            <w:tcBorders>
              <w:top w:val="nil"/>
              <w:left w:val="nil"/>
              <w:bottom w:val="nil"/>
              <w:right w:val="nil"/>
            </w:tcBorders>
            <w:shd w:val="clear" w:color="auto" w:fill="EDFFB7"/>
          </w:tcPr>
          <w:p w14:paraId="744C8BC2" w14:textId="77777777" w:rsidR="003316EB" w:rsidRPr="00A805F8" w:rsidRDefault="003316EB" w:rsidP="00644C6A">
            <w:pPr>
              <w:jc w:val="right"/>
              <w:rPr>
                <w:rFonts w:eastAsia="Times New Roman" w:cstheme="minorHAnsi"/>
                <w:color w:val="000000"/>
                <w:lang w:eastAsia="en-GB"/>
              </w:rPr>
            </w:pPr>
            <w:r w:rsidRPr="00A805F8">
              <w:rPr>
                <w:rFonts w:eastAsia="Times New Roman" w:cstheme="minorHAnsi"/>
                <w:color w:val="000000"/>
                <w:lang w:eastAsia="en-GB"/>
              </w:rPr>
              <w:t>€39.9 million</w:t>
            </w:r>
          </w:p>
        </w:tc>
      </w:tr>
      <w:tr w:rsidR="003316EB" w:rsidRPr="00287129" w14:paraId="2D156A48" w14:textId="77777777" w:rsidTr="00191E20">
        <w:trPr>
          <w:trHeight w:val="266"/>
        </w:trPr>
        <w:tc>
          <w:tcPr>
            <w:tcW w:w="3523" w:type="pct"/>
            <w:tcBorders>
              <w:top w:val="nil"/>
              <w:left w:val="nil"/>
              <w:bottom w:val="nil"/>
              <w:right w:val="nil"/>
            </w:tcBorders>
            <w:shd w:val="clear" w:color="000000" w:fill="FFFFFF"/>
            <w:noWrap/>
            <w:vAlign w:val="center"/>
            <w:hideMark/>
          </w:tcPr>
          <w:p w14:paraId="6C296059" w14:textId="77777777" w:rsidR="003316EB" w:rsidRPr="00A805F8" w:rsidRDefault="003316EB" w:rsidP="00644C6A">
            <w:pPr>
              <w:jc w:val="both"/>
              <w:rPr>
                <w:rFonts w:eastAsia="Times New Roman" w:cstheme="minorHAnsi"/>
                <w:color w:val="000000"/>
                <w:lang w:eastAsia="en-GB"/>
              </w:rPr>
            </w:pPr>
            <w:r w:rsidRPr="00A805F8">
              <w:rPr>
                <w:rFonts w:eastAsia="Times New Roman" w:cstheme="minorHAnsi"/>
                <w:color w:val="000000"/>
                <w:lang w:eastAsia="en-GB"/>
              </w:rPr>
              <w:t>Dividends with respect to the year per share</w:t>
            </w:r>
          </w:p>
        </w:tc>
        <w:tc>
          <w:tcPr>
            <w:tcW w:w="1477" w:type="pct"/>
            <w:tcBorders>
              <w:top w:val="nil"/>
              <w:left w:val="nil"/>
              <w:bottom w:val="nil"/>
              <w:right w:val="nil"/>
            </w:tcBorders>
            <w:shd w:val="clear" w:color="auto" w:fill="EDFFB7"/>
          </w:tcPr>
          <w:p w14:paraId="0A6239FC" w14:textId="77777777" w:rsidR="003316EB" w:rsidRPr="00A805F8" w:rsidRDefault="003316EB" w:rsidP="00644C6A">
            <w:pPr>
              <w:jc w:val="right"/>
              <w:rPr>
                <w:rFonts w:eastAsia="Times New Roman" w:cstheme="minorHAnsi"/>
                <w:color w:val="000000"/>
                <w:lang w:eastAsia="en-GB"/>
              </w:rPr>
            </w:pPr>
            <w:r w:rsidRPr="00A805F8">
              <w:rPr>
                <w:rFonts w:eastAsia="Times New Roman" w:cstheme="minorHAnsi"/>
                <w:color w:val="000000"/>
                <w:lang w:eastAsia="en-GB"/>
              </w:rPr>
              <w:t>6.06 cent</w:t>
            </w:r>
          </w:p>
        </w:tc>
      </w:tr>
      <w:tr w:rsidR="003316EB" w:rsidRPr="00287129" w14:paraId="630775A2" w14:textId="77777777" w:rsidTr="00191E20">
        <w:trPr>
          <w:trHeight w:val="266"/>
        </w:trPr>
        <w:tc>
          <w:tcPr>
            <w:tcW w:w="3523" w:type="pct"/>
            <w:tcBorders>
              <w:top w:val="nil"/>
              <w:left w:val="nil"/>
              <w:bottom w:val="nil"/>
              <w:right w:val="nil"/>
            </w:tcBorders>
            <w:shd w:val="clear" w:color="000000" w:fill="FFFFFF"/>
            <w:noWrap/>
            <w:vAlign w:val="center"/>
            <w:hideMark/>
          </w:tcPr>
          <w:p w14:paraId="299B277F" w14:textId="77777777" w:rsidR="003316EB" w:rsidRPr="00A805F8" w:rsidRDefault="003316EB" w:rsidP="00644C6A">
            <w:pPr>
              <w:jc w:val="both"/>
              <w:rPr>
                <w:rFonts w:eastAsia="Times New Roman" w:cstheme="minorHAnsi"/>
                <w:color w:val="000000"/>
                <w:lang w:eastAsia="en-GB"/>
              </w:rPr>
            </w:pPr>
            <w:r w:rsidRPr="00A805F8">
              <w:rPr>
                <w:rFonts w:eastAsia="Times New Roman" w:cstheme="minorHAnsi"/>
                <w:color w:val="000000"/>
                <w:lang w:eastAsia="en-GB"/>
              </w:rPr>
              <w:t>GAV</w:t>
            </w:r>
          </w:p>
        </w:tc>
        <w:tc>
          <w:tcPr>
            <w:tcW w:w="1477" w:type="pct"/>
            <w:tcBorders>
              <w:top w:val="nil"/>
              <w:left w:val="nil"/>
              <w:bottom w:val="nil"/>
              <w:right w:val="nil"/>
            </w:tcBorders>
            <w:shd w:val="clear" w:color="auto" w:fill="EDFFB7"/>
          </w:tcPr>
          <w:p w14:paraId="4046F6B9" w14:textId="77777777" w:rsidR="003316EB" w:rsidRPr="00A805F8" w:rsidRDefault="003316EB" w:rsidP="00644C6A">
            <w:pPr>
              <w:jc w:val="right"/>
              <w:rPr>
                <w:rFonts w:eastAsia="Times New Roman" w:cstheme="minorHAnsi"/>
                <w:color w:val="000000"/>
                <w:lang w:eastAsia="en-GB"/>
              </w:rPr>
            </w:pPr>
            <w:r w:rsidRPr="00A805F8">
              <w:rPr>
                <w:rFonts w:eastAsia="Times New Roman" w:cstheme="minorHAnsi"/>
                <w:color w:val="000000"/>
                <w:lang w:eastAsia="en-GB"/>
              </w:rPr>
              <w:t>€1,177 million</w:t>
            </w:r>
          </w:p>
        </w:tc>
      </w:tr>
      <w:tr w:rsidR="003316EB" w:rsidRPr="00287129" w14:paraId="581D7EC9" w14:textId="77777777" w:rsidTr="00191E20">
        <w:trPr>
          <w:trHeight w:val="91"/>
        </w:trPr>
        <w:tc>
          <w:tcPr>
            <w:tcW w:w="3523" w:type="pct"/>
            <w:tcBorders>
              <w:top w:val="nil"/>
              <w:left w:val="nil"/>
              <w:right w:val="nil"/>
            </w:tcBorders>
            <w:shd w:val="clear" w:color="000000" w:fill="FFFFFF"/>
            <w:noWrap/>
            <w:vAlign w:val="center"/>
            <w:hideMark/>
          </w:tcPr>
          <w:p w14:paraId="3038C043" w14:textId="77777777" w:rsidR="003316EB" w:rsidRPr="00A805F8" w:rsidRDefault="003316EB" w:rsidP="00644C6A">
            <w:pPr>
              <w:jc w:val="both"/>
              <w:rPr>
                <w:rFonts w:eastAsia="Times New Roman" w:cstheme="minorHAnsi"/>
                <w:color w:val="000000"/>
                <w:lang w:eastAsia="en-GB"/>
              </w:rPr>
            </w:pPr>
            <w:r w:rsidRPr="00A805F8">
              <w:rPr>
                <w:rFonts w:eastAsia="Times New Roman" w:cstheme="minorHAnsi"/>
                <w:color w:val="000000"/>
                <w:lang w:eastAsia="en-GB"/>
              </w:rPr>
              <w:t>NAV</w:t>
            </w:r>
          </w:p>
        </w:tc>
        <w:tc>
          <w:tcPr>
            <w:tcW w:w="1477" w:type="pct"/>
            <w:tcBorders>
              <w:top w:val="nil"/>
              <w:left w:val="nil"/>
              <w:right w:val="nil"/>
            </w:tcBorders>
            <w:shd w:val="clear" w:color="auto" w:fill="EDFFB7"/>
          </w:tcPr>
          <w:p w14:paraId="0C34A036" w14:textId="77777777" w:rsidR="003316EB" w:rsidRPr="00A805F8" w:rsidRDefault="003316EB" w:rsidP="00644C6A">
            <w:pPr>
              <w:jc w:val="right"/>
              <w:rPr>
                <w:rFonts w:eastAsia="Times New Roman" w:cstheme="minorHAnsi"/>
                <w:color w:val="000000"/>
                <w:lang w:eastAsia="en-GB"/>
              </w:rPr>
            </w:pPr>
            <w:r w:rsidRPr="00A805F8">
              <w:rPr>
                <w:rFonts w:eastAsia="Times New Roman" w:cstheme="minorHAnsi"/>
                <w:color w:val="000000"/>
                <w:lang w:eastAsia="en-GB"/>
              </w:rPr>
              <w:t>€748.8 million</w:t>
            </w:r>
          </w:p>
        </w:tc>
      </w:tr>
      <w:tr w:rsidR="003316EB" w:rsidRPr="00287129" w14:paraId="1AFC684C" w14:textId="77777777" w:rsidTr="00191E20">
        <w:trPr>
          <w:trHeight w:val="266"/>
        </w:trPr>
        <w:tc>
          <w:tcPr>
            <w:tcW w:w="3523" w:type="pct"/>
            <w:tcBorders>
              <w:top w:val="nil"/>
              <w:left w:val="nil"/>
              <w:bottom w:val="nil"/>
              <w:right w:val="nil"/>
            </w:tcBorders>
            <w:shd w:val="clear" w:color="000000" w:fill="FFFFFF"/>
            <w:noWrap/>
            <w:vAlign w:val="center"/>
            <w:hideMark/>
          </w:tcPr>
          <w:p w14:paraId="7E95C5C0" w14:textId="77777777" w:rsidR="003316EB" w:rsidRPr="00A805F8" w:rsidRDefault="003316EB" w:rsidP="00644C6A">
            <w:pPr>
              <w:jc w:val="both"/>
              <w:rPr>
                <w:rFonts w:eastAsia="Times New Roman" w:cstheme="minorHAnsi"/>
                <w:color w:val="000000"/>
                <w:lang w:eastAsia="en-GB"/>
              </w:rPr>
            </w:pPr>
            <w:r w:rsidRPr="00A805F8">
              <w:rPr>
                <w:rFonts w:eastAsia="Times New Roman" w:cstheme="minorHAnsi"/>
                <w:color w:val="000000"/>
                <w:lang w:eastAsia="en-GB"/>
              </w:rPr>
              <w:t>NAV per share</w:t>
            </w:r>
          </w:p>
        </w:tc>
        <w:tc>
          <w:tcPr>
            <w:tcW w:w="1477" w:type="pct"/>
            <w:tcBorders>
              <w:top w:val="nil"/>
              <w:left w:val="nil"/>
              <w:bottom w:val="nil"/>
              <w:right w:val="nil"/>
            </w:tcBorders>
            <w:shd w:val="clear" w:color="auto" w:fill="EDFFB7"/>
          </w:tcPr>
          <w:p w14:paraId="52D043B2" w14:textId="77777777" w:rsidR="003316EB" w:rsidRPr="00A805F8" w:rsidRDefault="003316EB" w:rsidP="00644C6A">
            <w:pPr>
              <w:jc w:val="right"/>
              <w:rPr>
                <w:rFonts w:eastAsia="Times New Roman" w:cstheme="minorHAnsi"/>
                <w:color w:val="000000"/>
                <w:lang w:eastAsia="en-GB"/>
              </w:rPr>
            </w:pPr>
            <w:r w:rsidRPr="00A805F8">
              <w:rPr>
                <w:rFonts w:eastAsia="Times New Roman" w:cstheme="minorHAnsi"/>
                <w:color w:val="000000"/>
                <w:lang w:eastAsia="en-GB"/>
              </w:rPr>
              <w:t>101.0 cent</w:t>
            </w:r>
          </w:p>
        </w:tc>
      </w:tr>
      <w:tr w:rsidR="003316EB" w:rsidRPr="00287129" w14:paraId="268D6431" w14:textId="77777777" w:rsidTr="00191E20">
        <w:trPr>
          <w:trHeight w:val="266"/>
        </w:trPr>
        <w:tc>
          <w:tcPr>
            <w:tcW w:w="3523" w:type="pct"/>
            <w:tcBorders>
              <w:top w:val="nil"/>
              <w:left w:val="nil"/>
              <w:right w:val="nil"/>
            </w:tcBorders>
            <w:shd w:val="clear" w:color="000000" w:fill="FFFFFF"/>
            <w:noWrap/>
            <w:vAlign w:val="center"/>
          </w:tcPr>
          <w:p w14:paraId="6039DE09" w14:textId="77777777" w:rsidR="003316EB" w:rsidRPr="00A805F8" w:rsidRDefault="003316EB" w:rsidP="00644C6A">
            <w:pPr>
              <w:jc w:val="both"/>
              <w:rPr>
                <w:rFonts w:eastAsia="Times New Roman" w:cstheme="minorHAnsi"/>
                <w:color w:val="000000"/>
                <w:lang w:eastAsia="en-GB"/>
              </w:rPr>
            </w:pPr>
            <w:r w:rsidRPr="00A805F8">
              <w:rPr>
                <w:rFonts w:eastAsia="Times New Roman" w:cstheme="minorHAnsi"/>
                <w:color w:val="000000"/>
                <w:lang w:eastAsia="en-GB"/>
              </w:rPr>
              <w:t>TSR</w:t>
            </w:r>
          </w:p>
        </w:tc>
        <w:tc>
          <w:tcPr>
            <w:tcW w:w="1477" w:type="pct"/>
            <w:tcBorders>
              <w:top w:val="nil"/>
              <w:left w:val="nil"/>
              <w:right w:val="nil"/>
            </w:tcBorders>
            <w:shd w:val="clear" w:color="auto" w:fill="EDFFB7"/>
          </w:tcPr>
          <w:p w14:paraId="2707E27A" w14:textId="77777777" w:rsidR="003316EB" w:rsidRPr="00A805F8" w:rsidRDefault="003316EB" w:rsidP="00644C6A">
            <w:pPr>
              <w:jc w:val="right"/>
              <w:rPr>
                <w:rFonts w:eastAsia="Times New Roman" w:cstheme="minorHAnsi"/>
                <w:color w:val="000000"/>
                <w:highlight w:val="yellow"/>
                <w:lang w:eastAsia="en-GB"/>
              </w:rPr>
            </w:pPr>
            <w:r w:rsidRPr="00A805F8">
              <w:rPr>
                <w:rFonts w:eastAsia="Times New Roman" w:cstheme="minorHAnsi"/>
                <w:color w:val="000000"/>
                <w:lang w:eastAsia="en-GB"/>
              </w:rPr>
              <w:t>33.3 per cent</w:t>
            </w:r>
          </w:p>
        </w:tc>
      </w:tr>
      <w:tr w:rsidR="003316EB" w:rsidRPr="00287129" w14:paraId="17446FB2" w14:textId="77777777" w:rsidTr="00191E20">
        <w:trPr>
          <w:trHeight w:val="266"/>
        </w:trPr>
        <w:tc>
          <w:tcPr>
            <w:tcW w:w="3523" w:type="pct"/>
            <w:tcBorders>
              <w:top w:val="nil"/>
              <w:left w:val="nil"/>
              <w:right w:val="nil"/>
            </w:tcBorders>
            <w:shd w:val="clear" w:color="000000" w:fill="FFFFFF"/>
            <w:noWrap/>
            <w:vAlign w:val="center"/>
          </w:tcPr>
          <w:p w14:paraId="194982A5" w14:textId="77777777" w:rsidR="003316EB" w:rsidRPr="00A805F8" w:rsidRDefault="003316EB" w:rsidP="00644C6A">
            <w:pPr>
              <w:jc w:val="both"/>
              <w:rPr>
                <w:rFonts w:eastAsia="Times New Roman" w:cstheme="minorHAnsi"/>
                <w:color w:val="000000"/>
                <w:lang w:eastAsia="en-GB"/>
              </w:rPr>
            </w:pPr>
            <w:r w:rsidRPr="00A805F8">
              <w:rPr>
                <w:rFonts w:eastAsia="Times New Roman" w:cstheme="minorHAnsi"/>
                <w:color w:val="000000"/>
                <w:lang w:eastAsia="en-GB"/>
              </w:rPr>
              <w:t>Premium to NAV</w:t>
            </w:r>
          </w:p>
        </w:tc>
        <w:tc>
          <w:tcPr>
            <w:tcW w:w="1477" w:type="pct"/>
            <w:tcBorders>
              <w:top w:val="nil"/>
              <w:left w:val="nil"/>
              <w:right w:val="nil"/>
            </w:tcBorders>
            <w:shd w:val="clear" w:color="auto" w:fill="EDFFB7"/>
          </w:tcPr>
          <w:p w14:paraId="3425BB6D" w14:textId="77777777" w:rsidR="003316EB" w:rsidRPr="00A805F8" w:rsidRDefault="003316EB" w:rsidP="00644C6A">
            <w:pPr>
              <w:jc w:val="right"/>
              <w:rPr>
                <w:rFonts w:eastAsia="Times New Roman" w:cstheme="minorHAnsi"/>
                <w:color w:val="000000"/>
                <w:highlight w:val="yellow"/>
                <w:lang w:eastAsia="en-GB"/>
              </w:rPr>
            </w:pPr>
            <w:r w:rsidRPr="00A805F8">
              <w:rPr>
                <w:rFonts w:eastAsia="Times New Roman" w:cstheme="minorHAnsi"/>
                <w:color w:val="000000"/>
                <w:lang w:eastAsia="en-GB"/>
              </w:rPr>
              <w:t>15.3 per cent</w:t>
            </w:r>
          </w:p>
        </w:tc>
      </w:tr>
      <w:tr w:rsidR="003316EB" w:rsidRPr="00287129" w14:paraId="78C2BB02" w14:textId="77777777" w:rsidTr="00191E20">
        <w:trPr>
          <w:trHeight w:val="266"/>
        </w:trPr>
        <w:tc>
          <w:tcPr>
            <w:tcW w:w="3523" w:type="pct"/>
            <w:tcBorders>
              <w:top w:val="nil"/>
              <w:left w:val="nil"/>
              <w:right w:val="nil"/>
            </w:tcBorders>
            <w:shd w:val="clear" w:color="000000" w:fill="FFFFFF"/>
            <w:noWrap/>
            <w:vAlign w:val="center"/>
          </w:tcPr>
          <w:p w14:paraId="377DBED4" w14:textId="77777777" w:rsidR="003316EB" w:rsidRPr="00A805F8" w:rsidRDefault="003316EB" w:rsidP="00644C6A">
            <w:pPr>
              <w:jc w:val="both"/>
              <w:rPr>
                <w:rFonts w:eastAsia="Times New Roman" w:cstheme="minorHAnsi"/>
                <w:color w:val="000000"/>
                <w:lang w:eastAsia="en-GB"/>
              </w:rPr>
            </w:pPr>
            <w:r w:rsidRPr="00A805F8">
              <w:rPr>
                <w:rFonts w:eastAsia="Times New Roman" w:cstheme="minorHAnsi"/>
                <w:color w:val="000000"/>
                <w:lang w:eastAsia="en-GB"/>
              </w:rPr>
              <w:t>CO</w:t>
            </w:r>
            <w:r w:rsidRPr="00A805F8">
              <w:rPr>
                <w:rFonts w:eastAsia="Times New Roman" w:cstheme="minorHAnsi"/>
                <w:color w:val="000000"/>
                <w:vertAlign w:val="subscript"/>
                <w:lang w:eastAsia="en-GB"/>
              </w:rPr>
              <w:t xml:space="preserve">2 </w:t>
            </w:r>
            <w:r w:rsidRPr="00A805F8">
              <w:rPr>
                <w:rFonts w:eastAsia="Times New Roman" w:cstheme="minorHAnsi"/>
                <w:color w:val="000000"/>
                <w:lang w:eastAsia="en-GB"/>
              </w:rPr>
              <w:t>emissions reduced per annum</w:t>
            </w:r>
          </w:p>
        </w:tc>
        <w:tc>
          <w:tcPr>
            <w:tcW w:w="1477" w:type="pct"/>
            <w:tcBorders>
              <w:top w:val="nil"/>
              <w:left w:val="nil"/>
              <w:right w:val="nil"/>
            </w:tcBorders>
            <w:shd w:val="clear" w:color="auto" w:fill="EDFFB7"/>
          </w:tcPr>
          <w:p w14:paraId="6E0EA993" w14:textId="77777777" w:rsidR="003316EB" w:rsidRPr="00A805F8" w:rsidRDefault="003316EB" w:rsidP="00644C6A">
            <w:pPr>
              <w:jc w:val="right"/>
              <w:rPr>
                <w:rFonts w:eastAsia="Times New Roman" w:cstheme="minorHAnsi"/>
                <w:color w:val="000000"/>
                <w:lang w:eastAsia="en-GB"/>
              </w:rPr>
            </w:pPr>
            <w:r w:rsidRPr="00A805F8">
              <w:rPr>
                <w:rFonts w:eastAsia="Times New Roman" w:cstheme="minorHAnsi"/>
                <w:color w:val="000000"/>
                <w:lang w:eastAsia="en-GB"/>
              </w:rPr>
              <w:t>0.6 million tonnes</w:t>
            </w:r>
          </w:p>
        </w:tc>
      </w:tr>
      <w:tr w:rsidR="003316EB" w:rsidRPr="00287129" w14:paraId="4BB632E2" w14:textId="77777777" w:rsidTr="00191E20">
        <w:trPr>
          <w:trHeight w:val="266"/>
        </w:trPr>
        <w:tc>
          <w:tcPr>
            <w:tcW w:w="3523" w:type="pct"/>
            <w:tcBorders>
              <w:left w:val="nil"/>
              <w:bottom w:val="single" w:sz="4" w:space="0" w:color="auto"/>
              <w:right w:val="nil"/>
            </w:tcBorders>
            <w:shd w:val="clear" w:color="000000" w:fill="FFFFFF"/>
            <w:noWrap/>
            <w:vAlign w:val="center"/>
          </w:tcPr>
          <w:p w14:paraId="618D2885" w14:textId="77777777" w:rsidR="003316EB" w:rsidRPr="00A805F8" w:rsidRDefault="003316EB" w:rsidP="00644C6A">
            <w:pPr>
              <w:jc w:val="both"/>
              <w:rPr>
                <w:rFonts w:eastAsia="Times New Roman" w:cstheme="minorHAnsi"/>
                <w:color w:val="000000"/>
                <w:lang w:eastAsia="en-GB"/>
              </w:rPr>
            </w:pPr>
            <w:r w:rsidRPr="00A805F8">
              <w:rPr>
                <w:rFonts w:eastAsia="Times New Roman" w:cstheme="minorHAnsi"/>
                <w:color w:val="000000"/>
                <w:lang w:eastAsia="en-GB"/>
              </w:rPr>
              <w:t>Homes powered per annum</w:t>
            </w:r>
          </w:p>
        </w:tc>
        <w:tc>
          <w:tcPr>
            <w:tcW w:w="1477" w:type="pct"/>
            <w:tcBorders>
              <w:left w:val="nil"/>
              <w:bottom w:val="single" w:sz="4" w:space="0" w:color="auto"/>
              <w:right w:val="nil"/>
            </w:tcBorders>
            <w:shd w:val="clear" w:color="auto" w:fill="EDFFB7"/>
          </w:tcPr>
          <w:p w14:paraId="7F586CA0" w14:textId="77777777" w:rsidR="003316EB" w:rsidRPr="00A805F8" w:rsidRDefault="003316EB" w:rsidP="00644C6A">
            <w:pPr>
              <w:jc w:val="right"/>
              <w:rPr>
                <w:rFonts w:eastAsia="Times New Roman" w:cstheme="minorHAnsi"/>
                <w:color w:val="000000"/>
                <w:lang w:eastAsia="en-GB"/>
              </w:rPr>
            </w:pPr>
            <w:r w:rsidRPr="00A805F8">
              <w:rPr>
                <w:rFonts w:eastAsia="Times New Roman" w:cstheme="minorHAnsi"/>
                <w:color w:val="000000"/>
                <w:lang w:eastAsia="en-GB"/>
              </w:rPr>
              <w:t>0.4 million homes</w:t>
            </w:r>
          </w:p>
        </w:tc>
      </w:tr>
    </w:tbl>
    <w:p w14:paraId="4EA59519" w14:textId="77777777" w:rsidR="00287129" w:rsidRDefault="00287129" w:rsidP="00324032">
      <w:pPr>
        <w:pStyle w:val="aku"/>
        <w:shd w:val="clear" w:color="auto" w:fill="FFFFFF"/>
        <w:spacing w:before="0" w:beforeAutospacing="0" w:after="0" w:afterAutospacing="0"/>
        <w:jc w:val="both"/>
        <w:rPr>
          <w:rStyle w:val="akb"/>
          <w:rFonts w:asciiTheme="minorHAnsi" w:hAnsiTheme="minorHAnsi" w:cstheme="minorHAnsi"/>
          <w:b/>
          <w:bCs/>
          <w:color w:val="000000"/>
          <w:sz w:val="22"/>
          <w:szCs w:val="22"/>
        </w:rPr>
      </w:pPr>
    </w:p>
    <w:p w14:paraId="7502769F" w14:textId="4AB64C9A" w:rsidR="00C444C4" w:rsidRPr="00FD013E" w:rsidRDefault="00C444C4" w:rsidP="00C444C4">
      <w:pPr>
        <w:pStyle w:val="aku"/>
        <w:shd w:val="clear" w:color="auto" w:fill="FFFFFF"/>
        <w:spacing w:before="0" w:beforeAutospacing="0" w:after="0" w:afterAutospacing="0"/>
        <w:ind w:left="480" w:hanging="480"/>
        <w:jc w:val="both"/>
        <w:rPr>
          <w:rStyle w:val="akb"/>
          <w:rFonts w:asciiTheme="minorHAnsi" w:hAnsiTheme="minorHAnsi" w:cstheme="minorHAnsi"/>
          <w:b/>
          <w:bCs/>
          <w:color w:val="000000"/>
          <w:sz w:val="22"/>
          <w:szCs w:val="22"/>
        </w:rPr>
      </w:pPr>
      <w:r w:rsidRPr="00FD013E">
        <w:rPr>
          <w:rStyle w:val="akb"/>
          <w:rFonts w:asciiTheme="minorHAnsi" w:hAnsiTheme="minorHAnsi" w:cstheme="minorHAnsi"/>
          <w:b/>
          <w:bCs/>
          <w:color w:val="000000"/>
          <w:sz w:val="22"/>
          <w:szCs w:val="22"/>
        </w:rPr>
        <w:t>Details of the conference call for analysts and investors:</w:t>
      </w:r>
    </w:p>
    <w:p w14:paraId="7A8D993C" w14:textId="77777777" w:rsidR="00C444C4" w:rsidRPr="00FD013E" w:rsidRDefault="00C444C4" w:rsidP="00C444C4">
      <w:pPr>
        <w:pStyle w:val="aku"/>
        <w:shd w:val="clear" w:color="auto" w:fill="FFFFFF"/>
        <w:spacing w:before="0" w:beforeAutospacing="0" w:after="0" w:afterAutospacing="0"/>
        <w:ind w:left="480" w:hanging="480"/>
        <w:jc w:val="both"/>
        <w:rPr>
          <w:rFonts w:asciiTheme="minorHAnsi" w:hAnsiTheme="minorHAnsi" w:cstheme="minorHAnsi"/>
          <w:b/>
          <w:bCs/>
          <w:color w:val="000000"/>
          <w:sz w:val="22"/>
          <w:szCs w:val="22"/>
        </w:rPr>
      </w:pPr>
    </w:p>
    <w:p w14:paraId="253C8D28" w14:textId="7EF1B6C4" w:rsidR="00C444C4" w:rsidRPr="00FD013E" w:rsidRDefault="00C444C4" w:rsidP="00C444C4">
      <w:pPr>
        <w:pStyle w:val="akv"/>
        <w:shd w:val="clear" w:color="auto" w:fill="FFFFFF"/>
        <w:spacing w:before="0" w:beforeAutospacing="0" w:after="0" w:afterAutospacing="0"/>
        <w:jc w:val="both"/>
        <w:rPr>
          <w:rFonts w:asciiTheme="minorHAnsi" w:hAnsiTheme="minorHAnsi" w:cstheme="minorHAnsi"/>
          <w:color w:val="000000"/>
          <w:sz w:val="22"/>
          <w:szCs w:val="22"/>
        </w:rPr>
      </w:pPr>
      <w:r w:rsidRPr="00FD013E">
        <w:rPr>
          <w:rStyle w:val="akb"/>
          <w:rFonts w:asciiTheme="minorHAnsi" w:hAnsiTheme="minorHAnsi" w:cstheme="minorHAnsi"/>
          <w:color w:val="000000"/>
          <w:sz w:val="22"/>
          <w:szCs w:val="22"/>
        </w:rPr>
        <w:t>A conference call for analysts and investors will be held at 10.00 am GMT</w:t>
      </w:r>
      <w:r w:rsidR="00B93023" w:rsidRPr="00FD013E">
        <w:rPr>
          <w:rStyle w:val="akb"/>
          <w:rFonts w:asciiTheme="minorHAnsi" w:hAnsiTheme="minorHAnsi" w:cstheme="minorHAnsi"/>
          <w:color w:val="000000"/>
          <w:sz w:val="22"/>
          <w:szCs w:val="22"/>
        </w:rPr>
        <w:t xml:space="preserve"> today, </w:t>
      </w:r>
      <w:r w:rsidR="00FD013E" w:rsidRPr="00FD013E">
        <w:rPr>
          <w:rStyle w:val="akb"/>
          <w:rFonts w:asciiTheme="minorHAnsi" w:hAnsiTheme="minorHAnsi" w:cstheme="minorHAnsi"/>
          <w:color w:val="000000"/>
          <w:sz w:val="22"/>
          <w:szCs w:val="22"/>
        </w:rPr>
        <w:t>1</w:t>
      </w:r>
      <w:r w:rsidR="00B93023" w:rsidRPr="00FD013E">
        <w:rPr>
          <w:rStyle w:val="akb"/>
          <w:rFonts w:asciiTheme="minorHAnsi" w:hAnsiTheme="minorHAnsi" w:cstheme="minorHAnsi"/>
          <w:color w:val="000000"/>
          <w:sz w:val="22"/>
          <w:szCs w:val="22"/>
        </w:rPr>
        <w:t xml:space="preserve"> March 202</w:t>
      </w:r>
      <w:r w:rsidR="00FD013E" w:rsidRPr="00FD013E">
        <w:rPr>
          <w:rStyle w:val="akb"/>
          <w:rFonts w:asciiTheme="minorHAnsi" w:hAnsiTheme="minorHAnsi" w:cstheme="minorHAnsi"/>
          <w:color w:val="000000"/>
          <w:sz w:val="22"/>
          <w:szCs w:val="22"/>
        </w:rPr>
        <w:t>1</w:t>
      </w:r>
      <w:r w:rsidRPr="00FD013E">
        <w:rPr>
          <w:rStyle w:val="akb"/>
          <w:rFonts w:asciiTheme="minorHAnsi" w:hAnsiTheme="minorHAnsi" w:cstheme="minorHAnsi"/>
          <w:color w:val="000000"/>
          <w:sz w:val="22"/>
          <w:szCs w:val="22"/>
        </w:rPr>
        <w:t>. To register for the call please contact </w:t>
      </w:r>
      <w:r w:rsidRPr="00FD013E">
        <w:rPr>
          <w:rStyle w:val="ajz"/>
          <w:rFonts w:asciiTheme="minorHAnsi" w:hAnsiTheme="minorHAnsi" w:cstheme="minorHAnsi"/>
          <w:color w:val="000000"/>
          <w:sz w:val="22"/>
          <w:szCs w:val="22"/>
        </w:rPr>
        <w:t>FTI Consulting by email </w:t>
      </w:r>
      <w:r w:rsidRPr="00FD013E">
        <w:rPr>
          <w:rStyle w:val="ajc"/>
          <w:rFonts w:asciiTheme="minorHAnsi" w:hAnsiTheme="minorHAnsi" w:cstheme="minorHAnsi"/>
          <w:color w:val="0000FF"/>
          <w:sz w:val="22"/>
          <w:szCs w:val="22"/>
          <w:u w:val="single"/>
        </w:rPr>
        <w:t>Greencoat@fticonsulting.com</w:t>
      </w:r>
      <w:r w:rsidRPr="00FD013E">
        <w:rPr>
          <w:rStyle w:val="ajz"/>
          <w:rFonts w:asciiTheme="minorHAnsi" w:hAnsiTheme="minorHAnsi" w:cstheme="minorHAnsi"/>
          <w:color w:val="000000"/>
          <w:sz w:val="22"/>
          <w:szCs w:val="22"/>
        </w:rPr>
        <w:t>.</w:t>
      </w:r>
    </w:p>
    <w:p w14:paraId="1F0002D6" w14:textId="77777777" w:rsidR="00C444C4" w:rsidRPr="00FD013E" w:rsidRDefault="00C444C4" w:rsidP="00C444C4">
      <w:pPr>
        <w:pStyle w:val="akv"/>
        <w:shd w:val="clear" w:color="auto" w:fill="FFFFFF"/>
        <w:spacing w:before="0" w:beforeAutospacing="0" w:after="0" w:afterAutospacing="0"/>
        <w:jc w:val="both"/>
        <w:rPr>
          <w:rFonts w:asciiTheme="minorHAnsi" w:hAnsiTheme="minorHAnsi" w:cstheme="minorHAnsi"/>
          <w:color w:val="000000"/>
          <w:sz w:val="22"/>
          <w:szCs w:val="22"/>
        </w:rPr>
      </w:pPr>
      <w:r w:rsidRPr="00FD013E">
        <w:rPr>
          <w:rStyle w:val="akb"/>
          <w:rFonts w:asciiTheme="minorHAnsi" w:hAnsiTheme="minorHAnsi" w:cstheme="minorHAnsi"/>
          <w:color w:val="000000"/>
          <w:sz w:val="22"/>
          <w:szCs w:val="22"/>
        </w:rPr>
        <w:t> </w:t>
      </w:r>
    </w:p>
    <w:p w14:paraId="5E799445" w14:textId="77777777" w:rsidR="00C444C4" w:rsidRPr="00FD013E" w:rsidRDefault="00C444C4" w:rsidP="00C444C4">
      <w:pPr>
        <w:pStyle w:val="akv"/>
        <w:shd w:val="clear" w:color="auto" w:fill="FFFFFF"/>
        <w:spacing w:before="0" w:beforeAutospacing="0" w:after="0" w:afterAutospacing="0"/>
        <w:jc w:val="both"/>
        <w:rPr>
          <w:rStyle w:val="akb"/>
          <w:rFonts w:asciiTheme="minorHAnsi" w:hAnsiTheme="minorHAnsi" w:cstheme="minorHAnsi"/>
          <w:color w:val="000000"/>
          <w:sz w:val="22"/>
          <w:szCs w:val="22"/>
        </w:rPr>
      </w:pPr>
      <w:r w:rsidRPr="00FD013E">
        <w:rPr>
          <w:rStyle w:val="akb"/>
          <w:rFonts w:asciiTheme="minorHAnsi" w:hAnsiTheme="minorHAnsi" w:cstheme="minorHAnsi"/>
          <w:color w:val="000000"/>
          <w:sz w:val="22"/>
          <w:szCs w:val="22"/>
        </w:rPr>
        <w:t>Presentation materials will be posted on the Company's website, </w:t>
      </w:r>
      <w:hyperlink r:id="rId11" w:history="1">
        <w:r w:rsidRPr="00FD013E">
          <w:rPr>
            <w:rStyle w:val="Hyperlink"/>
            <w:rFonts w:asciiTheme="minorHAnsi" w:hAnsiTheme="minorHAnsi" w:cstheme="minorHAnsi"/>
            <w:sz w:val="22"/>
            <w:szCs w:val="22"/>
          </w:rPr>
          <w:t>www.greencoat-renewables.com</w:t>
        </w:r>
      </w:hyperlink>
      <w:r w:rsidRPr="00FD013E">
        <w:rPr>
          <w:rStyle w:val="akb"/>
          <w:rFonts w:asciiTheme="minorHAnsi" w:hAnsiTheme="minorHAnsi" w:cstheme="minorHAnsi"/>
          <w:color w:val="000000"/>
          <w:sz w:val="22"/>
          <w:szCs w:val="22"/>
        </w:rPr>
        <w:t> from 7.00 am.</w:t>
      </w:r>
    </w:p>
    <w:p w14:paraId="793A14AC" w14:textId="77777777" w:rsidR="00C444C4" w:rsidRPr="00FD013E" w:rsidRDefault="00C444C4" w:rsidP="00C444C4">
      <w:pPr>
        <w:pStyle w:val="akv"/>
        <w:shd w:val="clear" w:color="auto" w:fill="FFFFFF"/>
        <w:spacing w:before="0" w:beforeAutospacing="0" w:after="0" w:afterAutospacing="0"/>
        <w:jc w:val="both"/>
        <w:rPr>
          <w:rFonts w:asciiTheme="minorHAnsi" w:hAnsiTheme="minorHAnsi" w:cstheme="minorHAnsi"/>
          <w:color w:val="000000"/>
          <w:sz w:val="22"/>
          <w:szCs w:val="22"/>
        </w:rPr>
      </w:pPr>
    </w:p>
    <w:p w14:paraId="4438031E" w14:textId="587E8DF1" w:rsidR="00C444C4" w:rsidRPr="00FD013E" w:rsidRDefault="00B93023" w:rsidP="00C444C4">
      <w:pPr>
        <w:pStyle w:val="akv"/>
        <w:shd w:val="clear" w:color="auto" w:fill="FFFFFF"/>
        <w:spacing w:before="0" w:beforeAutospacing="0" w:after="0" w:afterAutospacing="0"/>
        <w:jc w:val="both"/>
        <w:rPr>
          <w:rFonts w:asciiTheme="minorHAnsi" w:hAnsiTheme="minorHAnsi" w:cstheme="minorHAnsi"/>
          <w:b/>
          <w:color w:val="000000"/>
          <w:sz w:val="22"/>
          <w:szCs w:val="22"/>
        </w:rPr>
      </w:pPr>
      <w:r w:rsidRPr="00FD013E">
        <w:rPr>
          <w:rFonts w:asciiTheme="minorHAnsi" w:hAnsiTheme="minorHAnsi" w:cstheme="minorHAnsi"/>
          <w:b/>
          <w:color w:val="000000"/>
          <w:sz w:val="22"/>
          <w:szCs w:val="22"/>
        </w:rPr>
        <w:t>20</w:t>
      </w:r>
      <w:r w:rsidR="00FD013E" w:rsidRPr="00FD013E">
        <w:rPr>
          <w:rFonts w:asciiTheme="minorHAnsi" w:hAnsiTheme="minorHAnsi" w:cstheme="minorHAnsi"/>
          <w:b/>
          <w:color w:val="000000"/>
          <w:sz w:val="22"/>
          <w:szCs w:val="22"/>
        </w:rPr>
        <w:t>20</w:t>
      </w:r>
      <w:r w:rsidR="00C444C4" w:rsidRPr="00FD013E">
        <w:rPr>
          <w:rFonts w:asciiTheme="minorHAnsi" w:hAnsiTheme="minorHAnsi" w:cstheme="minorHAnsi"/>
          <w:b/>
          <w:color w:val="000000"/>
          <w:sz w:val="22"/>
          <w:szCs w:val="22"/>
        </w:rPr>
        <w:t xml:space="preserve"> Annual Report</w:t>
      </w:r>
    </w:p>
    <w:p w14:paraId="33DC80D2" w14:textId="550C8862" w:rsidR="00C444C4" w:rsidRPr="00FD013E" w:rsidRDefault="00672D87" w:rsidP="00C444C4">
      <w:pPr>
        <w:pStyle w:val="akv"/>
        <w:shd w:val="clear" w:color="auto" w:fill="FFFFFF"/>
        <w:spacing w:before="0" w:beforeAutospacing="0" w:after="0" w:afterAutospacing="0"/>
        <w:jc w:val="both"/>
        <w:rPr>
          <w:rFonts w:asciiTheme="minorHAnsi" w:hAnsiTheme="minorHAnsi" w:cstheme="minorHAnsi"/>
          <w:color w:val="000000"/>
          <w:sz w:val="22"/>
          <w:szCs w:val="22"/>
        </w:rPr>
      </w:pPr>
      <w:r w:rsidRPr="00FD013E">
        <w:rPr>
          <w:rFonts w:asciiTheme="minorHAnsi" w:hAnsiTheme="minorHAnsi" w:cstheme="minorHAnsi"/>
          <w:color w:val="000000"/>
          <w:sz w:val="22"/>
          <w:szCs w:val="22"/>
        </w:rPr>
        <w:t>A copy of the 20</w:t>
      </w:r>
      <w:r w:rsidR="00FD013E" w:rsidRPr="00FD013E">
        <w:rPr>
          <w:rFonts w:asciiTheme="minorHAnsi" w:hAnsiTheme="minorHAnsi" w:cstheme="minorHAnsi"/>
          <w:color w:val="000000"/>
          <w:sz w:val="22"/>
          <w:szCs w:val="22"/>
        </w:rPr>
        <w:t>20</w:t>
      </w:r>
      <w:r w:rsidR="00C444C4" w:rsidRPr="00FD013E">
        <w:rPr>
          <w:rFonts w:asciiTheme="minorHAnsi" w:hAnsiTheme="minorHAnsi" w:cstheme="minorHAnsi"/>
          <w:color w:val="000000"/>
          <w:sz w:val="22"/>
          <w:szCs w:val="22"/>
        </w:rPr>
        <w:t xml:space="preserve"> Annual Report has been submitted to the National Storage Mechanism and will shortly be available for inspection at </w:t>
      </w:r>
      <w:hyperlink r:id="rId12" w:history="1">
        <w:r w:rsidR="00FD013E" w:rsidRPr="00FD013E">
          <w:rPr>
            <w:rStyle w:val="Hyperlink"/>
            <w:rFonts w:asciiTheme="minorHAnsi" w:hAnsiTheme="minorHAnsi" w:cstheme="minorHAnsi"/>
            <w:sz w:val="22"/>
            <w:szCs w:val="22"/>
          </w:rPr>
          <w:t>https://www.fca.org.uk/markets/primary-markets/regulatory-</w:t>
        </w:r>
        <w:r w:rsidR="00FD013E" w:rsidRPr="00FD013E">
          <w:rPr>
            <w:rStyle w:val="Hyperlink"/>
            <w:rFonts w:asciiTheme="minorHAnsi" w:hAnsiTheme="minorHAnsi" w:cstheme="minorHAnsi"/>
            <w:sz w:val="22"/>
            <w:szCs w:val="22"/>
          </w:rPr>
          <w:lastRenderedPageBreak/>
          <w:t>disclosures/national-storage-mechanism</w:t>
        </w:r>
      </w:hyperlink>
      <w:r w:rsidR="00C444C4" w:rsidRPr="00FD013E">
        <w:rPr>
          <w:rFonts w:asciiTheme="minorHAnsi" w:hAnsiTheme="minorHAnsi" w:cstheme="minorHAnsi"/>
          <w:color w:val="000000"/>
          <w:sz w:val="22"/>
          <w:szCs w:val="22"/>
        </w:rPr>
        <w:t xml:space="preserve">. The annual report will also shortly be available on the Company's website at </w:t>
      </w:r>
      <w:hyperlink r:id="rId13" w:history="1">
        <w:r w:rsidRPr="00FD013E">
          <w:rPr>
            <w:rStyle w:val="Hyperlink"/>
            <w:rFonts w:asciiTheme="minorHAnsi" w:hAnsiTheme="minorHAnsi" w:cstheme="minorHAnsi"/>
            <w:sz w:val="22"/>
            <w:szCs w:val="22"/>
          </w:rPr>
          <w:t>www.greencoat-renewables.com</w:t>
        </w:r>
      </w:hyperlink>
      <w:r w:rsidRPr="00FD013E">
        <w:rPr>
          <w:rFonts w:asciiTheme="minorHAnsi" w:hAnsiTheme="minorHAnsi" w:cstheme="minorHAnsi"/>
          <w:color w:val="000000"/>
          <w:sz w:val="22"/>
          <w:szCs w:val="22"/>
        </w:rPr>
        <w:t xml:space="preserve"> </w:t>
      </w:r>
      <w:r w:rsidR="00C444C4" w:rsidRPr="00FD013E">
        <w:rPr>
          <w:rFonts w:asciiTheme="minorHAnsi" w:hAnsiTheme="minorHAnsi" w:cstheme="minorHAnsi"/>
          <w:color w:val="000000"/>
          <w:sz w:val="22"/>
          <w:szCs w:val="22"/>
        </w:rPr>
        <w:t>where further information on the Company can also be found.</w:t>
      </w:r>
    </w:p>
    <w:p w14:paraId="7D027F31" w14:textId="63F5B1F6" w:rsidR="00FB4134" w:rsidRPr="00FD013E" w:rsidRDefault="00FB4134" w:rsidP="00B93023">
      <w:pPr>
        <w:jc w:val="both"/>
        <w:rPr>
          <w:rFonts w:cstheme="minorHAnsi"/>
          <w:b/>
          <w:bCs/>
          <w:sz w:val="22"/>
          <w:szCs w:val="22"/>
        </w:rPr>
      </w:pPr>
    </w:p>
    <w:p w14:paraId="05890110" w14:textId="77777777" w:rsidR="00FD013E" w:rsidRPr="00FD013E" w:rsidRDefault="00FD013E" w:rsidP="0021298F">
      <w:pPr>
        <w:pStyle w:val="ListParagraph"/>
        <w:numPr>
          <w:ilvl w:val="0"/>
          <w:numId w:val="15"/>
        </w:numPr>
        <w:jc w:val="center"/>
        <w:rPr>
          <w:rFonts w:cstheme="minorHAnsi"/>
          <w:b/>
          <w:sz w:val="22"/>
          <w:szCs w:val="22"/>
        </w:rPr>
      </w:pPr>
      <w:r w:rsidRPr="00FD013E">
        <w:rPr>
          <w:rFonts w:cstheme="minorHAnsi"/>
          <w:b/>
          <w:sz w:val="22"/>
          <w:szCs w:val="22"/>
        </w:rPr>
        <w:t>--- ENDS ---</w:t>
      </w:r>
    </w:p>
    <w:p w14:paraId="73FA7C5B" w14:textId="77777777" w:rsidR="00FD013E" w:rsidRPr="00FD013E" w:rsidRDefault="00FD013E" w:rsidP="0021298F">
      <w:pPr>
        <w:pStyle w:val="ListParagraph"/>
        <w:numPr>
          <w:ilvl w:val="0"/>
          <w:numId w:val="15"/>
        </w:numPr>
        <w:rPr>
          <w:rFonts w:cstheme="minorHAnsi"/>
          <w:sz w:val="22"/>
          <w:szCs w:val="22"/>
        </w:rPr>
      </w:pPr>
    </w:p>
    <w:p w14:paraId="6B819C14" w14:textId="77777777" w:rsidR="00FD013E" w:rsidRPr="00FD013E" w:rsidRDefault="00FD013E" w:rsidP="0021298F">
      <w:pPr>
        <w:pStyle w:val="ListParagraph"/>
        <w:numPr>
          <w:ilvl w:val="0"/>
          <w:numId w:val="15"/>
        </w:numPr>
        <w:rPr>
          <w:rFonts w:cstheme="minorHAnsi"/>
          <w:bCs/>
          <w:sz w:val="22"/>
          <w:szCs w:val="22"/>
        </w:rPr>
      </w:pPr>
      <w:r w:rsidRPr="00FD013E">
        <w:rPr>
          <w:rFonts w:cstheme="minorHAnsi"/>
          <w:bCs/>
          <w:sz w:val="22"/>
          <w:szCs w:val="22"/>
        </w:rPr>
        <w:t>For further information on the Announcement, please contact:</w:t>
      </w:r>
    </w:p>
    <w:p w14:paraId="664D9031" w14:textId="77777777" w:rsidR="00FD013E" w:rsidRPr="00FD013E" w:rsidRDefault="00FD013E" w:rsidP="0021298F">
      <w:pPr>
        <w:pStyle w:val="ListParagraph"/>
        <w:numPr>
          <w:ilvl w:val="0"/>
          <w:numId w:val="15"/>
        </w:numPr>
        <w:rPr>
          <w:rFonts w:cstheme="minorHAnsi"/>
          <w:bCs/>
          <w:sz w:val="22"/>
          <w:szCs w:val="22"/>
        </w:rPr>
      </w:pPr>
    </w:p>
    <w:p w14:paraId="48A19B6A" w14:textId="77777777" w:rsidR="00FD013E" w:rsidRPr="00FD013E" w:rsidRDefault="00FD013E" w:rsidP="0021298F">
      <w:pPr>
        <w:pStyle w:val="ListParagraph"/>
        <w:numPr>
          <w:ilvl w:val="0"/>
          <w:numId w:val="15"/>
        </w:numPr>
        <w:rPr>
          <w:rFonts w:cstheme="minorHAnsi"/>
          <w:bCs/>
          <w:sz w:val="22"/>
          <w:szCs w:val="22"/>
          <w:lang w:val="fr-FR"/>
        </w:rPr>
      </w:pPr>
      <w:r w:rsidRPr="00FD013E">
        <w:rPr>
          <w:rFonts w:cstheme="minorHAnsi"/>
          <w:b/>
          <w:bCs/>
          <w:sz w:val="22"/>
          <w:szCs w:val="22"/>
          <w:lang w:val="fr-FR"/>
        </w:rPr>
        <w:t>Greencoat Renewables PLC:</w:t>
      </w:r>
      <w:r w:rsidRPr="00FD013E">
        <w:rPr>
          <w:rFonts w:cstheme="minorHAnsi"/>
          <w:b/>
          <w:bCs/>
          <w:sz w:val="22"/>
          <w:szCs w:val="22"/>
          <w:lang w:val="fr-FR"/>
        </w:rPr>
        <w:tab/>
      </w:r>
      <w:r w:rsidRPr="00FD013E">
        <w:rPr>
          <w:rFonts w:cstheme="minorHAnsi"/>
          <w:bCs/>
          <w:sz w:val="22"/>
          <w:szCs w:val="22"/>
          <w:lang w:val="fr-FR"/>
        </w:rPr>
        <w:tab/>
      </w:r>
      <w:r w:rsidRPr="00FD013E">
        <w:rPr>
          <w:rFonts w:cstheme="minorHAnsi"/>
          <w:bCs/>
          <w:sz w:val="22"/>
          <w:szCs w:val="22"/>
          <w:lang w:val="fr-FR"/>
        </w:rPr>
        <w:tab/>
      </w:r>
      <w:r w:rsidRPr="00FD013E">
        <w:rPr>
          <w:rFonts w:cstheme="minorHAnsi"/>
          <w:bCs/>
          <w:sz w:val="22"/>
          <w:szCs w:val="22"/>
          <w:lang w:val="fr-FR"/>
        </w:rPr>
        <w:tab/>
      </w:r>
      <w:r w:rsidRPr="00FD013E">
        <w:rPr>
          <w:rFonts w:cstheme="minorHAnsi"/>
          <w:bCs/>
          <w:sz w:val="22"/>
          <w:szCs w:val="22"/>
          <w:lang w:val="fr-FR"/>
        </w:rPr>
        <w:tab/>
      </w:r>
      <w:r w:rsidRPr="00FD013E">
        <w:rPr>
          <w:rFonts w:cstheme="minorHAnsi"/>
          <w:bCs/>
          <w:sz w:val="22"/>
          <w:szCs w:val="22"/>
          <w:lang w:val="fr-FR"/>
        </w:rPr>
        <w:tab/>
        <w:t>+44 20 7832 9400</w:t>
      </w:r>
    </w:p>
    <w:p w14:paraId="7AD415C2" w14:textId="77777777" w:rsidR="00FD013E" w:rsidRPr="00FD013E" w:rsidRDefault="00FD013E" w:rsidP="0021298F">
      <w:pPr>
        <w:pStyle w:val="ListParagraph"/>
        <w:numPr>
          <w:ilvl w:val="0"/>
          <w:numId w:val="15"/>
        </w:numPr>
        <w:rPr>
          <w:rFonts w:cstheme="minorHAnsi"/>
          <w:bCs/>
          <w:sz w:val="22"/>
          <w:szCs w:val="22"/>
          <w:lang w:val="fr-FR"/>
        </w:rPr>
      </w:pPr>
      <w:r w:rsidRPr="00FD013E">
        <w:rPr>
          <w:rFonts w:cstheme="minorHAnsi"/>
          <w:bCs/>
          <w:sz w:val="22"/>
          <w:szCs w:val="22"/>
          <w:lang w:val="fr-FR"/>
        </w:rPr>
        <w:t>Bertrand Gautier</w:t>
      </w:r>
    </w:p>
    <w:p w14:paraId="3553B507" w14:textId="77777777" w:rsidR="00FD013E" w:rsidRPr="00FD013E" w:rsidRDefault="00FD013E" w:rsidP="0021298F">
      <w:pPr>
        <w:pStyle w:val="ListParagraph"/>
        <w:numPr>
          <w:ilvl w:val="0"/>
          <w:numId w:val="15"/>
        </w:numPr>
        <w:rPr>
          <w:rFonts w:cstheme="minorHAnsi"/>
          <w:bCs/>
          <w:sz w:val="22"/>
          <w:szCs w:val="22"/>
          <w:lang w:val="fr-FR"/>
        </w:rPr>
      </w:pPr>
      <w:r w:rsidRPr="00FD013E">
        <w:rPr>
          <w:rFonts w:cstheme="minorHAnsi"/>
          <w:bCs/>
          <w:sz w:val="22"/>
          <w:szCs w:val="22"/>
          <w:lang w:val="fr-FR"/>
        </w:rPr>
        <w:t xml:space="preserve">Paul O’Donnell </w:t>
      </w:r>
      <w:r w:rsidRPr="00FD013E">
        <w:rPr>
          <w:rFonts w:cstheme="minorHAnsi"/>
          <w:bCs/>
          <w:sz w:val="22"/>
          <w:szCs w:val="22"/>
          <w:lang w:val="fr-FR"/>
        </w:rPr>
        <w:tab/>
      </w:r>
      <w:r w:rsidRPr="00FD013E">
        <w:rPr>
          <w:rFonts w:cstheme="minorHAnsi"/>
          <w:bCs/>
          <w:sz w:val="22"/>
          <w:szCs w:val="22"/>
          <w:lang w:val="fr-FR"/>
        </w:rPr>
        <w:tab/>
      </w:r>
    </w:p>
    <w:p w14:paraId="6754A9A1" w14:textId="77777777" w:rsidR="00FD013E" w:rsidRPr="00FD013E" w:rsidRDefault="00FD013E" w:rsidP="0021298F">
      <w:pPr>
        <w:pStyle w:val="ListParagraph"/>
        <w:numPr>
          <w:ilvl w:val="0"/>
          <w:numId w:val="15"/>
        </w:numPr>
        <w:rPr>
          <w:rFonts w:cstheme="minorHAnsi"/>
          <w:bCs/>
          <w:sz w:val="22"/>
          <w:szCs w:val="22"/>
        </w:rPr>
      </w:pPr>
      <w:r w:rsidRPr="00FD013E">
        <w:rPr>
          <w:rFonts w:cstheme="minorHAnsi"/>
          <w:bCs/>
          <w:sz w:val="22"/>
          <w:szCs w:val="22"/>
        </w:rPr>
        <w:t>Tom Rayner</w:t>
      </w:r>
    </w:p>
    <w:p w14:paraId="35FC6865" w14:textId="77777777" w:rsidR="00FD013E" w:rsidRPr="00FD013E" w:rsidRDefault="00FD013E" w:rsidP="0021298F">
      <w:pPr>
        <w:pStyle w:val="ListParagraph"/>
        <w:numPr>
          <w:ilvl w:val="0"/>
          <w:numId w:val="15"/>
        </w:numPr>
        <w:rPr>
          <w:rFonts w:cstheme="minorHAnsi"/>
          <w:bCs/>
          <w:sz w:val="22"/>
          <w:szCs w:val="22"/>
        </w:rPr>
      </w:pPr>
    </w:p>
    <w:p w14:paraId="2F3DBB8A" w14:textId="77777777" w:rsidR="00FD013E" w:rsidRPr="00FD013E" w:rsidRDefault="00FD013E" w:rsidP="0021298F">
      <w:pPr>
        <w:pStyle w:val="ListParagraph"/>
        <w:numPr>
          <w:ilvl w:val="0"/>
          <w:numId w:val="15"/>
        </w:numPr>
        <w:rPr>
          <w:rFonts w:cstheme="minorHAnsi"/>
          <w:b/>
          <w:bCs/>
          <w:sz w:val="22"/>
          <w:szCs w:val="22"/>
        </w:rPr>
      </w:pPr>
      <w:r w:rsidRPr="00FD013E">
        <w:rPr>
          <w:rFonts w:cstheme="minorHAnsi"/>
          <w:b/>
          <w:bCs/>
          <w:sz w:val="22"/>
          <w:szCs w:val="22"/>
        </w:rPr>
        <w:t>Davy (Joint Broker, Nomad and</w:t>
      </w:r>
    </w:p>
    <w:p w14:paraId="6E507698" w14:textId="77777777" w:rsidR="00FD013E" w:rsidRPr="00FD013E" w:rsidRDefault="00FD013E" w:rsidP="0021298F">
      <w:pPr>
        <w:pStyle w:val="ListParagraph"/>
        <w:numPr>
          <w:ilvl w:val="0"/>
          <w:numId w:val="15"/>
        </w:numPr>
        <w:rPr>
          <w:rFonts w:cstheme="minorHAnsi"/>
          <w:bCs/>
          <w:sz w:val="22"/>
          <w:szCs w:val="22"/>
        </w:rPr>
      </w:pPr>
      <w:r w:rsidRPr="00FD013E">
        <w:rPr>
          <w:rFonts w:cstheme="minorHAnsi"/>
          <w:b/>
          <w:bCs/>
          <w:sz w:val="22"/>
          <w:szCs w:val="22"/>
        </w:rPr>
        <w:t>Euronext Growth Adviser)</w:t>
      </w:r>
      <w:r w:rsidRPr="00FD013E">
        <w:rPr>
          <w:rFonts w:cstheme="minorHAnsi"/>
          <w:bCs/>
          <w:sz w:val="22"/>
          <w:szCs w:val="22"/>
        </w:rPr>
        <w:tab/>
      </w:r>
      <w:r w:rsidRPr="00FD013E">
        <w:rPr>
          <w:rFonts w:cstheme="minorHAnsi"/>
          <w:bCs/>
          <w:sz w:val="22"/>
          <w:szCs w:val="22"/>
        </w:rPr>
        <w:tab/>
      </w:r>
      <w:r w:rsidRPr="00FD013E">
        <w:rPr>
          <w:rFonts w:cstheme="minorHAnsi"/>
          <w:bCs/>
          <w:sz w:val="22"/>
          <w:szCs w:val="22"/>
        </w:rPr>
        <w:tab/>
      </w:r>
      <w:r w:rsidRPr="00FD013E">
        <w:rPr>
          <w:rFonts w:cstheme="minorHAnsi"/>
          <w:bCs/>
          <w:sz w:val="22"/>
          <w:szCs w:val="22"/>
        </w:rPr>
        <w:tab/>
      </w:r>
      <w:r w:rsidRPr="00FD013E">
        <w:rPr>
          <w:rFonts w:cstheme="minorHAnsi"/>
          <w:bCs/>
          <w:sz w:val="22"/>
          <w:szCs w:val="22"/>
        </w:rPr>
        <w:tab/>
      </w:r>
      <w:r w:rsidRPr="00FD013E">
        <w:rPr>
          <w:rFonts w:cstheme="minorHAnsi"/>
          <w:bCs/>
          <w:sz w:val="22"/>
          <w:szCs w:val="22"/>
        </w:rPr>
        <w:tab/>
        <w:t>+353 1 6796363</w:t>
      </w:r>
    </w:p>
    <w:p w14:paraId="1FE2A0C7" w14:textId="77777777" w:rsidR="00FD013E" w:rsidRPr="00FD013E" w:rsidRDefault="00FD013E" w:rsidP="0021298F">
      <w:pPr>
        <w:pStyle w:val="ListParagraph"/>
        <w:numPr>
          <w:ilvl w:val="0"/>
          <w:numId w:val="15"/>
        </w:numPr>
        <w:rPr>
          <w:rFonts w:cstheme="minorHAnsi"/>
          <w:bCs/>
          <w:sz w:val="22"/>
          <w:szCs w:val="22"/>
        </w:rPr>
      </w:pPr>
      <w:r w:rsidRPr="00FD013E">
        <w:rPr>
          <w:rFonts w:cstheme="minorHAnsi"/>
          <w:bCs/>
          <w:sz w:val="22"/>
          <w:szCs w:val="22"/>
        </w:rPr>
        <w:t>Fergal Meegan</w:t>
      </w:r>
    </w:p>
    <w:p w14:paraId="543EBA00" w14:textId="77777777" w:rsidR="00FD013E" w:rsidRPr="00FD013E" w:rsidRDefault="00FD013E" w:rsidP="0021298F">
      <w:pPr>
        <w:pStyle w:val="ListParagraph"/>
        <w:numPr>
          <w:ilvl w:val="0"/>
          <w:numId w:val="15"/>
        </w:numPr>
        <w:rPr>
          <w:rFonts w:cstheme="minorHAnsi"/>
          <w:bCs/>
          <w:sz w:val="22"/>
          <w:szCs w:val="22"/>
        </w:rPr>
      </w:pPr>
      <w:r w:rsidRPr="00FD013E">
        <w:rPr>
          <w:rFonts w:cstheme="minorHAnsi"/>
          <w:bCs/>
          <w:sz w:val="22"/>
          <w:szCs w:val="22"/>
        </w:rPr>
        <w:t>Ronan Veale</w:t>
      </w:r>
    </w:p>
    <w:p w14:paraId="05726553" w14:textId="77777777" w:rsidR="00FD013E" w:rsidRPr="00FD013E" w:rsidRDefault="00FD013E" w:rsidP="0021298F">
      <w:pPr>
        <w:pStyle w:val="ListParagraph"/>
        <w:numPr>
          <w:ilvl w:val="0"/>
          <w:numId w:val="15"/>
        </w:numPr>
        <w:rPr>
          <w:rFonts w:cstheme="minorHAnsi"/>
          <w:bCs/>
          <w:sz w:val="22"/>
          <w:szCs w:val="22"/>
        </w:rPr>
      </w:pPr>
      <w:r w:rsidRPr="00FD013E">
        <w:rPr>
          <w:rFonts w:cstheme="minorHAnsi"/>
          <w:bCs/>
          <w:sz w:val="22"/>
          <w:szCs w:val="22"/>
        </w:rPr>
        <w:t>Barry Murphy</w:t>
      </w:r>
    </w:p>
    <w:p w14:paraId="10A5D408" w14:textId="77777777" w:rsidR="00FD013E" w:rsidRPr="00FD013E" w:rsidRDefault="00FD013E" w:rsidP="0021298F">
      <w:pPr>
        <w:pStyle w:val="ListParagraph"/>
        <w:numPr>
          <w:ilvl w:val="0"/>
          <w:numId w:val="15"/>
        </w:numPr>
        <w:rPr>
          <w:rFonts w:cstheme="minorHAnsi"/>
          <w:bCs/>
          <w:sz w:val="22"/>
          <w:szCs w:val="22"/>
        </w:rPr>
      </w:pPr>
    </w:p>
    <w:p w14:paraId="44C3F732" w14:textId="77777777" w:rsidR="00FD013E" w:rsidRPr="00FD013E" w:rsidRDefault="00FD013E" w:rsidP="0021298F">
      <w:pPr>
        <w:pStyle w:val="ListParagraph"/>
        <w:numPr>
          <w:ilvl w:val="0"/>
          <w:numId w:val="15"/>
        </w:numPr>
        <w:rPr>
          <w:rFonts w:cstheme="minorHAnsi"/>
          <w:bCs/>
          <w:sz w:val="22"/>
          <w:szCs w:val="22"/>
        </w:rPr>
      </w:pPr>
      <w:r w:rsidRPr="00FD013E">
        <w:rPr>
          <w:rFonts w:cstheme="minorHAnsi"/>
          <w:b/>
          <w:bCs/>
          <w:sz w:val="22"/>
          <w:szCs w:val="22"/>
        </w:rPr>
        <w:t>RBC (Joint Broker)</w:t>
      </w:r>
      <w:r w:rsidRPr="00FD013E">
        <w:rPr>
          <w:rFonts w:cstheme="minorHAnsi"/>
          <w:b/>
          <w:bCs/>
          <w:sz w:val="22"/>
          <w:szCs w:val="22"/>
        </w:rPr>
        <w:tab/>
      </w:r>
      <w:r w:rsidRPr="00FD013E">
        <w:rPr>
          <w:rFonts w:cstheme="minorHAnsi"/>
          <w:bCs/>
          <w:sz w:val="22"/>
          <w:szCs w:val="22"/>
        </w:rPr>
        <w:tab/>
      </w:r>
      <w:r w:rsidRPr="00FD013E">
        <w:rPr>
          <w:rFonts w:cstheme="minorHAnsi"/>
          <w:bCs/>
          <w:sz w:val="22"/>
          <w:szCs w:val="22"/>
        </w:rPr>
        <w:tab/>
      </w:r>
      <w:r w:rsidRPr="00FD013E">
        <w:rPr>
          <w:rFonts w:cstheme="minorHAnsi"/>
          <w:bCs/>
          <w:sz w:val="22"/>
          <w:szCs w:val="22"/>
        </w:rPr>
        <w:tab/>
      </w:r>
      <w:r w:rsidRPr="00FD013E">
        <w:rPr>
          <w:rFonts w:cstheme="minorHAnsi"/>
          <w:bCs/>
          <w:sz w:val="22"/>
          <w:szCs w:val="22"/>
        </w:rPr>
        <w:tab/>
      </w:r>
      <w:r w:rsidRPr="00FD013E">
        <w:rPr>
          <w:rFonts w:cstheme="minorHAnsi"/>
          <w:bCs/>
          <w:sz w:val="22"/>
          <w:szCs w:val="22"/>
        </w:rPr>
        <w:tab/>
      </w:r>
      <w:r w:rsidRPr="00FD013E">
        <w:rPr>
          <w:rFonts w:cstheme="minorHAnsi"/>
          <w:bCs/>
          <w:sz w:val="22"/>
          <w:szCs w:val="22"/>
        </w:rPr>
        <w:tab/>
        <w:t>+44 20 7653 4000</w:t>
      </w:r>
    </w:p>
    <w:p w14:paraId="2CEF0D29" w14:textId="77777777" w:rsidR="00FD013E" w:rsidRPr="00FD013E" w:rsidRDefault="00FD013E" w:rsidP="0021298F">
      <w:pPr>
        <w:pStyle w:val="ListParagraph"/>
        <w:numPr>
          <w:ilvl w:val="0"/>
          <w:numId w:val="15"/>
        </w:numPr>
        <w:rPr>
          <w:rFonts w:cstheme="minorHAnsi"/>
          <w:bCs/>
          <w:sz w:val="22"/>
          <w:szCs w:val="22"/>
        </w:rPr>
      </w:pPr>
      <w:r w:rsidRPr="00FD013E">
        <w:rPr>
          <w:rFonts w:cstheme="minorHAnsi"/>
          <w:bCs/>
          <w:sz w:val="22"/>
          <w:szCs w:val="22"/>
        </w:rPr>
        <w:t>Matthew Coakes</w:t>
      </w:r>
    </w:p>
    <w:p w14:paraId="69D8A91F" w14:textId="77777777" w:rsidR="00FD013E" w:rsidRPr="00FD013E" w:rsidRDefault="00FD013E" w:rsidP="0021298F">
      <w:pPr>
        <w:pStyle w:val="ListParagraph"/>
        <w:numPr>
          <w:ilvl w:val="0"/>
          <w:numId w:val="15"/>
        </w:numPr>
        <w:rPr>
          <w:rFonts w:cstheme="minorHAnsi"/>
          <w:bCs/>
          <w:sz w:val="22"/>
          <w:szCs w:val="22"/>
        </w:rPr>
      </w:pPr>
      <w:r w:rsidRPr="00FD013E">
        <w:rPr>
          <w:rFonts w:cstheme="minorHAnsi"/>
          <w:bCs/>
          <w:sz w:val="22"/>
          <w:szCs w:val="22"/>
        </w:rPr>
        <w:t>Duncan Smith</w:t>
      </w:r>
    </w:p>
    <w:p w14:paraId="37DCF230" w14:textId="77777777" w:rsidR="00FD013E" w:rsidRPr="00FD013E" w:rsidRDefault="00FD013E" w:rsidP="0021298F">
      <w:pPr>
        <w:pStyle w:val="ListParagraph"/>
        <w:numPr>
          <w:ilvl w:val="0"/>
          <w:numId w:val="15"/>
        </w:numPr>
        <w:rPr>
          <w:rFonts w:cstheme="minorHAnsi"/>
          <w:bCs/>
          <w:sz w:val="22"/>
          <w:szCs w:val="22"/>
        </w:rPr>
      </w:pPr>
      <w:r w:rsidRPr="00FD013E">
        <w:rPr>
          <w:rFonts w:cstheme="minorHAnsi"/>
          <w:bCs/>
          <w:sz w:val="22"/>
          <w:szCs w:val="22"/>
        </w:rPr>
        <w:t>Elizabeth Evans</w:t>
      </w:r>
    </w:p>
    <w:p w14:paraId="3243F2CE" w14:textId="77777777" w:rsidR="00FD013E" w:rsidRPr="00FD013E" w:rsidRDefault="00FD013E" w:rsidP="0021298F">
      <w:pPr>
        <w:pStyle w:val="ListParagraph"/>
        <w:numPr>
          <w:ilvl w:val="0"/>
          <w:numId w:val="15"/>
        </w:numPr>
        <w:rPr>
          <w:rFonts w:cstheme="minorHAnsi"/>
          <w:bCs/>
          <w:sz w:val="22"/>
          <w:szCs w:val="22"/>
        </w:rPr>
      </w:pPr>
    </w:p>
    <w:p w14:paraId="73C69ABB" w14:textId="77777777" w:rsidR="00FD013E" w:rsidRPr="00FD013E" w:rsidRDefault="00FD013E" w:rsidP="0021298F">
      <w:pPr>
        <w:pStyle w:val="ListParagraph"/>
        <w:numPr>
          <w:ilvl w:val="0"/>
          <w:numId w:val="15"/>
        </w:numPr>
        <w:rPr>
          <w:rFonts w:cstheme="minorHAnsi"/>
          <w:bCs/>
          <w:sz w:val="22"/>
          <w:szCs w:val="22"/>
        </w:rPr>
      </w:pPr>
      <w:r w:rsidRPr="00FD013E">
        <w:rPr>
          <w:rFonts w:cstheme="minorHAnsi"/>
          <w:b/>
          <w:bCs/>
          <w:sz w:val="22"/>
          <w:szCs w:val="22"/>
        </w:rPr>
        <w:t>FTI Consulting (Media Enquiries)</w:t>
      </w:r>
      <w:r w:rsidRPr="00FD013E">
        <w:rPr>
          <w:rFonts w:cstheme="minorHAnsi"/>
          <w:b/>
          <w:bCs/>
          <w:sz w:val="22"/>
          <w:szCs w:val="22"/>
        </w:rPr>
        <w:tab/>
      </w:r>
      <w:r w:rsidRPr="00FD013E">
        <w:rPr>
          <w:rFonts w:cstheme="minorHAnsi"/>
          <w:bCs/>
          <w:sz w:val="22"/>
          <w:szCs w:val="22"/>
        </w:rPr>
        <w:tab/>
      </w:r>
      <w:r w:rsidRPr="00FD013E">
        <w:rPr>
          <w:rFonts w:cstheme="minorHAnsi"/>
          <w:bCs/>
          <w:sz w:val="22"/>
          <w:szCs w:val="22"/>
        </w:rPr>
        <w:tab/>
      </w:r>
      <w:r w:rsidRPr="00FD013E">
        <w:rPr>
          <w:rFonts w:cstheme="minorHAnsi"/>
          <w:bCs/>
          <w:sz w:val="22"/>
          <w:szCs w:val="22"/>
        </w:rPr>
        <w:tab/>
      </w:r>
      <w:r w:rsidRPr="00FD013E">
        <w:rPr>
          <w:rFonts w:cstheme="minorHAnsi"/>
          <w:bCs/>
          <w:sz w:val="22"/>
          <w:szCs w:val="22"/>
        </w:rPr>
        <w:tab/>
        <w:t>+353 1 765 0886</w:t>
      </w:r>
    </w:p>
    <w:p w14:paraId="252AE63B" w14:textId="77777777" w:rsidR="00FD013E" w:rsidRPr="00FD013E" w:rsidRDefault="00FD013E" w:rsidP="0021298F">
      <w:pPr>
        <w:pStyle w:val="ListParagraph"/>
        <w:numPr>
          <w:ilvl w:val="0"/>
          <w:numId w:val="15"/>
        </w:numPr>
        <w:rPr>
          <w:rFonts w:cstheme="minorHAnsi"/>
          <w:bCs/>
          <w:sz w:val="22"/>
          <w:szCs w:val="22"/>
        </w:rPr>
      </w:pPr>
      <w:r w:rsidRPr="00FD013E">
        <w:rPr>
          <w:rFonts w:cstheme="minorHAnsi"/>
          <w:bCs/>
          <w:sz w:val="22"/>
          <w:szCs w:val="22"/>
        </w:rPr>
        <w:t>Jonathan Neilan</w:t>
      </w:r>
    </w:p>
    <w:p w14:paraId="79CF274B" w14:textId="77777777" w:rsidR="00FD013E" w:rsidRPr="00FD013E" w:rsidRDefault="00FD013E" w:rsidP="0021298F">
      <w:pPr>
        <w:pStyle w:val="ListParagraph"/>
        <w:numPr>
          <w:ilvl w:val="0"/>
          <w:numId w:val="15"/>
        </w:numPr>
        <w:rPr>
          <w:rFonts w:cstheme="minorHAnsi"/>
          <w:bCs/>
          <w:sz w:val="22"/>
          <w:szCs w:val="22"/>
        </w:rPr>
      </w:pPr>
      <w:r w:rsidRPr="00FD013E">
        <w:rPr>
          <w:rFonts w:cstheme="minorHAnsi"/>
          <w:bCs/>
          <w:sz w:val="22"/>
          <w:szCs w:val="22"/>
        </w:rPr>
        <w:t>Melanie Farrell</w:t>
      </w:r>
    </w:p>
    <w:p w14:paraId="1B235B7D" w14:textId="77777777" w:rsidR="00FD013E" w:rsidRPr="00FD013E" w:rsidRDefault="00FD013E" w:rsidP="0021298F">
      <w:pPr>
        <w:pStyle w:val="ListParagraph"/>
        <w:numPr>
          <w:ilvl w:val="0"/>
          <w:numId w:val="15"/>
        </w:numPr>
        <w:jc w:val="both"/>
        <w:rPr>
          <w:rFonts w:cstheme="minorHAnsi"/>
          <w:b/>
          <w:bCs/>
          <w:sz w:val="22"/>
          <w:szCs w:val="22"/>
        </w:rPr>
      </w:pPr>
    </w:p>
    <w:p w14:paraId="36798BF9" w14:textId="77777777" w:rsidR="00FD013E" w:rsidRPr="00FD013E" w:rsidRDefault="00FD013E" w:rsidP="0021298F">
      <w:pPr>
        <w:pStyle w:val="ListParagraph"/>
        <w:numPr>
          <w:ilvl w:val="0"/>
          <w:numId w:val="15"/>
        </w:numPr>
        <w:rPr>
          <w:rFonts w:cstheme="minorHAnsi"/>
          <w:b/>
          <w:bCs/>
          <w:sz w:val="22"/>
          <w:szCs w:val="22"/>
        </w:rPr>
      </w:pPr>
      <w:r w:rsidRPr="00FD013E">
        <w:rPr>
          <w:rFonts w:cstheme="minorHAnsi"/>
          <w:b/>
          <w:bCs/>
          <w:sz w:val="22"/>
          <w:szCs w:val="22"/>
        </w:rPr>
        <w:t>About Greencoat Renewables PLC</w:t>
      </w:r>
    </w:p>
    <w:p w14:paraId="6FFBA6D2" w14:textId="566A217F" w:rsidR="00FD013E" w:rsidRDefault="00FD013E" w:rsidP="0021298F">
      <w:pPr>
        <w:pStyle w:val="ListParagraph"/>
        <w:numPr>
          <w:ilvl w:val="0"/>
          <w:numId w:val="15"/>
        </w:numPr>
        <w:jc w:val="both"/>
        <w:rPr>
          <w:rFonts w:cstheme="minorHAnsi"/>
          <w:sz w:val="22"/>
          <w:szCs w:val="22"/>
        </w:rPr>
      </w:pPr>
      <w:r w:rsidRPr="00FD013E">
        <w:rPr>
          <w:rFonts w:cstheme="minorHAnsi"/>
          <w:sz w:val="22"/>
          <w:szCs w:val="22"/>
        </w:rPr>
        <w:t>Greencoat Renewables PLC is an investor in euro-denominated renewable energy infrastructure assets. Initially focused solely on the acquisition and management of operating wind farms in Ireland, the Company is now also investing in wind and solar assets in certain other Northern European countries with stable and robust renewable energy frameworks. It is managed by Greencoat Capital LLP, an experienced investment manager in the listed renewable energy infrastructure sector.</w:t>
      </w:r>
    </w:p>
    <w:p w14:paraId="4093DC34" w14:textId="655128F1" w:rsidR="0021298F" w:rsidRDefault="0021298F" w:rsidP="0021298F">
      <w:pPr>
        <w:pBdr>
          <w:bottom w:val="single" w:sz="12" w:space="1" w:color="auto"/>
        </w:pBdr>
        <w:jc w:val="both"/>
        <w:rPr>
          <w:rFonts w:cstheme="minorHAnsi"/>
          <w:sz w:val="22"/>
          <w:szCs w:val="22"/>
        </w:rPr>
      </w:pPr>
    </w:p>
    <w:p w14:paraId="25FAEFE4" w14:textId="77777777" w:rsidR="0021298F" w:rsidRPr="002E0F15" w:rsidRDefault="0021298F" w:rsidP="0021298F">
      <w:pPr>
        <w:pStyle w:val="Heading1"/>
        <w:jc w:val="both"/>
        <w:rPr>
          <w:rFonts w:cs="Arial"/>
          <w:caps/>
          <w:szCs w:val="26"/>
        </w:rPr>
      </w:pPr>
      <w:r>
        <w:rPr>
          <w:rFonts w:cs="Arial"/>
          <w:szCs w:val="26"/>
        </w:rPr>
        <w:t>At a Glance</w:t>
      </w:r>
    </w:p>
    <w:p w14:paraId="26D1CE87" w14:textId="77777777" w:rsidR="0021298F" w:rsidRDefault="0021298F" w:rsidP="0021298F">
      <w:pPr>
        <w:autoSpaceDE w:val="0"/>
        <w:autoSpaceDN w:val="0"/>
        <w:adjustRightInd w:val="0"/>
        <w:contextualSpacing/>
        <w:jc w:val="both"/>
        <w:rPr>
          <w:rFonts w:ascii="Arial" w:hAnsi="Arial" w:cs="Arial"/>
        </w:rPr>
      </w:pPr>
      <w:bookmarkStart w:id="0" w:name="_GoBack"/>
      <w:bookmarkEnd w:id="0"/>
    </w:p>
    <w:p w14:paraId="59ECDC92" w14:textId="77777777" w:rsidR="0021298F" w:rsidRPr="006E45EF" w:rsidRDefault="0021298F" w:rsidP="0021298F">
      <w:pPr>
        <w:autoSpaceDE w:val="0"/>
        <w:autoSpaceDN w:val="0"/>
        <w:adjustRightInd w:val="0"/>
        <w:jc w:val="both"/>
        <w:rPr>
          <w:rFonts w:ascii="Arial" w:hAnsi="Arial" w:cs="Arial"/>
          <w:szCs w:val="26"/>
        </w:rPr>
      </w:pPr>
      <w:r w:rsidRPr="006E45EF">
        <w:rPr>
          <w:rFonts w:ascii="Arial" w:hAnsi="Arial" w:cs="Arial"/>
          <w:b/>
          <w:szCs w:val="26"/>
        </w:rPr>
        <w:t>Summary</w:t>
      </w:r>
    </w:p>
    <w:p w14:paraId="6ED6AA79" w14:textId="77777777" w:rsidR="0021298F" w:rsidRDefault="0021298F" w:rsidP="0021298F">
      <w:pPr>
        <w:autoSpaceDE w:val="0"/>
        <w:autoSpaceDN w:val="0"/>
        <w:adjustRightInd w:val="0"/>
        <w:jc w:val="both"/>
        <w:rPr>
          <w:rFonts w:ascii="Arial" w:hAnsi="Arial" w:cs="Arial"/>
        </w:rPr>
      </w:pPr>
      <w:r w:rsidRPr="00DA4860">
        <w:rPr>
          <w:rFonts w:ascii="Arial" w:hAnsi="Arial" w:cs="Arial"/>
        </w:rPr>
        <w:t xml:space="preserve">Greencoat Renewables PLC is a sector-focused listed renewable infrastructure company, investing in renewable electricity generation assets, </w:t>
      </w:r>
      <w:r>
        <w:rPr>
          <w:rFonts w:ascii="Arial" w:hAnsi="Arial" w:cs="Arial"/>
        </w:rPr>
        <w:t>currently invested in wind farms in Ireland and France</w:t>
      </w:r>
      <w:r w:rsidRPr="00DA4860">
        <w:rPr>
          <w:rFonts w:ascii="Arial" w:hAnsi="Arial" w:cs="Arial"/>
        </w:rPr>
        <w:t xml:space="preserve">. The Company’s aim is to provide investors with an annual dividend that increases progressively whilst growing the capital value of its investment </w:t>
      </w:r>
      <w:r>
        <w:rPr>
          <w:rFonts w:ascii="Arial" w:hAnsi="Arial" w:cs="Arial"/>
        </w:rPr>
        <w:t>p</w:t>
      </w:r>
      <w:r w:rsidRPr="00DA4860">
        <w:rPr>
          <w:rFonts w:ascii="Arial" w:hAnsi="Arial" w:cs="Arial"/>
        </w:rPr>
        <w:t xml:space="preserve">ortfolio in the long term through reinvestment of excess cash flow and the prudent use of portfolio </w:t>
      </w:r>
      <w:r>
        <w:rPr>
          <w:rFonts w:ascii="Arial" w:hAnsi="Arial" w:cs="Arial"/>
        </w:rPr>
        <w:t>gearing</w:t>
      </w:r>
      <w:r w:rsidRPr="00DA4860">
        <w:rPr>
          <w:rFonts w:ascii="Arial" w:hAnsi="Arial" w:cs="Arial"/>
        </w:rPr>
        <w:t>.</w:t>
      </w:r>
    </w:p>
    <w:p w14:paraId="3C56D134" w14:textId="77777777" w:rsidR="0021298F" w:rsidRPr="00134ED0" w:rsidRDefault="0021298F" w:rsidP="0021298F">
      <w:pPr>
        <w:autoSpaceDE w:val="0"/>
        <w:autoSpaceDN w:val="0"/>
        <w:adjustRightInd w:val="0"/>
        <w:jc w:val="both"/>
        <w:rPr>
          <w:rFonts w:ascii="Arial" w:hAnsi="Arial" w:cs="Arial"/>
          <w:b/>
          <w:sz w:val="26"/>
          <w:szCs w:val="26"/>
          <w:highlight w:val="yellow"/>
        </w:rPr>
      </w:pPr>
    </w:p>
    <w:p w14:paraId="69A48B6F" w14:textId="77777777" w:rsidR="0021298F" w:rsidRPr="006E45EF" w:rsidRDefault="0021298F" w:rsidP="0021298F">
      <w:pPr>
        <w:autoSpaceDE w:val="0"/>
        <w:autoSpaceDN w:val="0"/>
        <w:adjustRightInd w:val="0"/>
        <w:jc w:val="both"/>
        <w:rPr>
          <w:rFonts w:ascii="Arial" w:hAnsi="Arial" w:cs="Arial"/>
          <w:b/>
          <w:szCs w:val="26"/>
        </w:rPr>
      </w:pPr>
      <w:r w:rsidRPr="006E45EF">
        <w:rPr>
          <w:rFonts w:ascii="Arial" w:hAnsi="Arial" w:cs="Arial"/>
          <w:b/>
          <w:szCs w:val="26"/>
        </w:rPr>
        <w:t>Highlights</w:t>
      </w:r>
    </w:p>
    <w:p w14:paraId="68860F77" w14:textId="77777777" w:rsidR="0021298F" w:rsidRPr="00FA1327" w:rsidRDefault="0021298F" w:rsidP="0021298F">
      <w:pPr>
        <w:pStyle w:val="ListParagraph"/>
        <w:numPr>
          <w:ilvl w:val="0"/>
          <w:numId w:val="17"/>
        </w:numPr>
        <w:ind w:left="567" w:hanging="284"/>
        <w:jc w:val="both"/>
        <w:rPr>
          <w:rFonts w:ascii="Arial" w:hAnsi="Arial" w:cs="Arial"/>
        </w:rPr>
      </w:pPr>
      <w:r w:rsidRPr="001E34C8">
        <w:rPr>
          <w:rFonts w:ascii="Arial" w:hAnsi="Arial" w:cs="Arial"/>
        </w:rPr>
        <w:t xml:space="preserve">The Group’s investments </w:t>
      </w:r>
      <w:r w:rsidRPr="00FA1327">
        <w:rPr>
          <w:rFonts w:ascii="Arial" w:hAnsi="Arial" w:cs="Arial"/>
        </w:rPr>
        <w:t xml:space="preserve">generated 1,404GWh (2019: 1,154GWh)of electricity, 3 per cent below budget. </w:t>
      </w:r>
    </w:p>
    <w:p w14:paraId="7A0C48E1" w14:textId="77777777" w:rsidR="0021298F" w:rsidRPr="00FA1327" w:rsidRDefault="0021298F" w:rsidP="0021298F">
      <w:pPr>
        <w:pStyle w:val="ListParagraph"/>
        <w:ind w:left="567"/>
        <w:jc w:val="both"/>
        <w:rPr>
          <w:rFonts w:ascii="Arial" w:hAnsi="Arial" w:cs="Arial"/>
        </w:rPr>
      </w:pPr>
    </w:p>
    <w:p w14:paraId="4454DB38" w14:textId="77777777" w:rsidR="0021298F" w:rsidRPr="00FA1327" w:rsidRDefault="0021298F" w:rsidP="0021298F">
      <w:pPr>
        <w:pStyle w:val="ListParagraph"/>
        <w:numPr>
          <w:ilvl w:val="0"/>
          <w:numId w:val="17"/>
        </w:numPr>
        <w:ind w:left="567" w:hanging="284"/>
        <w:jc w:val="both"/>
        <w:rPr>
          <w:rFonts w:ascii="Arial" w:hAnsi="Arial" w:cs="Arial"/>
        </w:rPr>
      </w:pPr>
      <w:r w:rsidRPr="00FA1327">
        <w:rPr>
          <w:rFonts w:ascii="Arial" w:hAnsi="Arial" w:cs="Arial"/>
        </w:rPr>
        <w:lastRenderedPageBreak/>
        <w:t>Net cash generation (Group and wind farm SPVs) was €66.4 million</w:t>
      </w:r>
      <w:r w:rsidRPr="00FA1327">
        <w:rPr>
          <w:rFonts w:ascii="Arial" w:hAnsi="Arial" w:cs="Arial"/>
          <w:vertAlign w:val="superscript"/>
        </w:rPr>
        <w:t>(1)</w:t>
      </w:r>
      <w:r w:rsidRPr="00FA1327">
        <w:rPr>
          <w:rFonts w:ascii="Arial" w:hAnsi="Arial" w:cs="Arial"/>
        </w:rPr>
        <w:t xml:space="preserve"> (2019: €48.8 million) and dividend cover was 1.7x (2019: 1.7x).</w:t>
      </w:r>
    </w:p>
    <w:p w14:paraId="066ADA60" w14:textId="77777777" w:rsidR="0021298F" w:rsidRPr="00FA1327" w:rsidRDefault="0021298F" w:rsidP="0021298F">
      <w:pPr>
        <w:pStyle w:val="ListParagraph"/>
        <w:rPr>
          <w:rFonts w:ascii="Arial" w:hAnsi="Arial" w:cs="Arial"/>
        </w:rPr>
      </w:pPr>
    </w:p>
    <w:p w14:paraId="4C483EFC" w14:textId="77777777" w:rsidR="0021298F" w:rsidRPr="00FA1327" w:rsidRDefault="0021298F" w:rsidP="0021298F">
      <w:pPr>
        <w:pStyle w:val="ListParagraph"/>
        <w:numPr>
          <w:ilvl w:val="0"/>
          <w:numId w:val="17"/>
        </w:numPr>
        <w:ind w:left="567" w:hanging="284"/>
        <w:jc w:val="both"/>
        <w:rPr>
          <w:rFonts w:ascii="Arial" w:hAnsi="Arial" w:cs="Arial"/>
        </w:rPr>
      </w:pPr>
      <w:r w:rsidRPr="00FA1327">
        <w:rPr>
          <w:rFonts w:ascii="Arial" w:hAnsi="Arial" w:cs="Arial"/>
        </w:rPr>
        <w:t>Acquisition of 4 wind farms in Ireland and 3 in France, the Group’s first investment outside of Ireland, increased the portfolio to 21 wind farm investments, net generating capacity to 557MW and GAV to €1,177 million as at 31 December 2020.</w:t>
      </w:r>
    </w:p>
    <w:p w14:paraId="0AA52689" w14:textId="77777777" w:rsidR="0021298F" w:rsidRPr="00FA1327" w:rsidRDefault="0021298F" w:rsidP="0021298F">
      <w:pPr>
        <w:pStyle w:val="ListParagraph"/>
        <w:rPr>
          <w:rFonts w:ascii="Arial" w:hAnsi="Arial" w:cs="Arial"/>
        </w:rPr>
      </w:pPr>
    </w:p>
    <w:p w14:paraId="7CC41934" w14:textId="77777777" w:rsidR="0021298F" w:rsidRPr="00FA1327" w:rsidRDefault="0021298F" w:rsidP="0021298F">
      <w:pPr>
        <w:pStyle w:val="ListParagraph"/>
        <w:numPr>
          <w:ilvl w:val="0"/>
          <w:numId w:val="17"/>
        </w:numPr>
        <w:ind w:left="567" w:hanging="284"/>
        <w:jc w:val="both"/>
        <w:rPr>
          <w:rFonts w:ascii="Arial" w:hAnsi="Arial" w:cs="Arial"/>
        </w:rPr>
      </w:pPr>
      <w:r w:rsidRPr="00FA1327">
        <w:rPr>
          <w:rFonts w:ascii="Arial" w:hAnsi="Arial" w:cs="Arial"/>
        </w:rPr>
        <w:t>Agreement to acquire the Cloghan and Taghart wind farms, the Group’s first RESS investments once they become operational in 2022.</w:t>
      </w:r>
    </w:p>
    <w:p w14:paraId="0A07CC04" w14:textId="77777777" w:rsidR="0021298F" w:rsidRPr="00FA1327" w:rsidRDefault="0021298F" w:rsidP="0021298F">
      <w:pPr>
        <w:pStyle w:val="ListParagraph"/>
        <w:rPr>
          <w:rFonts w:ascii="Arial" w:hAnsi="Arial" w:cs="Arial"/>
        </w:rPr>
      </w:pPr>
    </w:p>
    <w:p w14:paraId="682A6D1F" w14:textId="77777777" w:rsidR="0021298F" w:rsidRPr="00FA1327" w:rsidRDefault="0021298F" w:rsidP="0021298F">
      <w:pPr>
        <w:pStyle w:val="ListParagraph"/>
        <w:numPr>
          <w:ilvl w:val="0"/>
          <w:numId w:val="17"/>
        </w:numPr>
        <w:ind w:left="567" w:hanging="284"/>
        <w:jc w:val="both"/>
        <w:rPr>
          <w:rFonts w:ascii="Arial" w:hAnsi="Arial" w:cs="Arial"/>
        </w:rPr>
      </w:pPr>
      <w:r w:rsidRPr="00FA1327">
        <w:rPr>
          <w:rFonts w:ascii="Arial" w:hAnsi="Arial" w:cs="Arial"/>
        </w:rPr>
        <w:t xml:space="preserve">Placement of a new 3 year €300m revolving credit facility and €200 million of 5 year term loans during the year adding more stability to the capital structure. </w:t>
      </w:r>
    </w:p>
    <w:p w14:paraId="3EA93CE4" w14:textId="77777777" w:rsidR="0021298F" w:rsidRPr="00FA1327" w:rsidRDefault="0021298F" w:rsidP="0021298F">
      <w:pPr>
        <w:pStyle w:val="ListParagraph"/>
        <w:rPr>
          <w:rFonts w:ascii="Arial" w:hAnsi="Arial" w:cs="Arial"/>
        </w:rPr>
      </w:pPr>
    </w:p>
    <w:p w14:paraId="7D91CF9D" w14:textId="77777777" w:rsidR="0021298F" w:rsidRPr="00FA1327" w:rsidRDefault="0021298F" w:rsidP="0021298F">
      <w:pPr>
        <w:pStyle w:val="ListParagraph"/>
        <w:numPr>
          <w:ilvl w:val="0"/>
          <w:numId w:val="17"/>
        </w:numPr>
        <w:ind w:left="567" w:hanging="284"/>
        <w:jc w:val="both"/>
        <w:rPr>
          <w:rFonts w:ascii="Arial" w:hAnsi="Arial" w:cs="Arial"/>
        </w:rPr>
      </w:pPr>
      <w:r w:rsidRPr="00FA1327">
        <w:rPr>
          <w:rFonts w:ascii="Arial" w:hAnsi="Arial" w:cs="Arial"/>
        </w:rPr>
        <w:t xml:space="preserve">Issuance of 111 million new shares raising €125 million. </w:t>
      </w:r>
    </w:p>
    <w:p w14:paraId="5DD6C39A" w14:textId="77777777" w:rsidR="0021298F" w:rsidRPr="00FA1327" w:rsidRDefault="0021298F" w:rsidP="0021298F">
      <w:pPr>
        <w:pStyle w:val="ListParagraph"/>
        <w:ind w:left="567"/>
        <w:jc w:val="both"/>
      </w:pPr>
    </w:p>
    <w:p w14:paraId="131AD7AB" w14:textId="77777777" w:rsidR="0021298F" w:rsidRPr="00FA1327" w:rsidRDefault="0021298F" w:rsidP="0021298F">
      <w:pPr>
        <w:pStyle w:val="ListParagraph"/>
        <w:numPr>
          <w:ilvl w:val="0"/>
          <w:numId w:val="17"/>
        </w:numPr>
        <w:ind w:left="567" w:hanging="284"/>
        <w:jc w:val="both"/>
        <w:rPr>
          <w:rFonts w:ascii="Arial" w:hAnsi="Arial" w:cs="Arial"/>
        </w:rPr>
      </w:pPr>
      <w:r w:rsidRPr="00FA1327">
        <w:rPr>
          <w:rFonts w:ascii="Arial" w:hAnsi="Arial" w:cs="Arial"/>
        </w:rPr>
        <w:t xml:space="preserve">The Company has declared total dividends of 6.06 cent per share with respect to the year. </w:t>
      </w:r>
    </w:p>
    <w:p w14:paraId="07D0841B" w14:textId="77777777" w:rsidR="0021298F" w:rsidRPr="00FA1327" w:rsidRDefault="0021298F" w:rsidP="0021298F">
      <w:pPr>
        <w:pStyle w:val="ListParagraph"/>
        <w:ind w:left="567"/>
        <w:jc w:val="both"/>
        <w:rPr>
          <w:rFonts w:ascii="Arial" w:hAnsi="Arial" w:cs="Arial"/>
        </w:rPr>
      </w:pPr>
    </w:p>
    <w:p w14:paraId="6568B023" w14:textId="77777777" w:rsidR="0021298F" w:rsidRPr="00FA1327" w:rsidRDefault="0021298F" w:rsidP="0021298F">
      <w:pPr>
        <w:pStyle w:val="ListParagraph"/>
        <w:numPr>
          <w:ilvl w:val="0"/>
          <w:numId w:val="17"/>
        </w:numPr>
        <w:ind w:left="567" w:hanging="284"/>
        <w:jc w:val="both"/>
        <w:rPr>
          <w:rFonts w:ascii="Arial" w:hAnsi="Arial" w:cs="Arial"/>
        </w:rPr>
      </w:pPr>
      <w:r w:rsidRPr="00FA1327">
        <w:rPr>
          <w:rFonts w:ascii="Arial" w:hAnsi="Arial" w:cs="Arial"/>
        </w:rPr>
        <w:t>€427.9 million Aggregate Group Debt as at 31 December 2020, equivalent to 36 per cent of GAV.</w:t>
      </w:r>
    </w:p>
    <w:p w14:paraId="7C3A0E9F" w14:textId="77777777" w:rsidR="0021298F" w:rsidRPr="00FA1327" w:rsidRDefault="0021298F" w:rsidP="0021298F">
      <w:pPr>
        <w:pStyle w:val="ListParagraph"/>
        <w:rPr>
          <w:rFonts w:ascii="Arial" w:hAnsi="Arial" w:cs="Arial"/>
        </w:rPr>
      </w:pPr>
    </w:p>
    <w:p w14:paraId="5A4FD6C8" w14:textId="77777777" w:rsidR="0021298F" w:rsidRPr="00FA1327" w:rsidRDefault="0021298F" w:rsidP="0021298F">
      <w:pPr>
        <w:pStyle w:val="ListParagraph"/>
        <w:numPr>
          <w:ilvl w:val="0"/>
          <w:numId w:val="17"/>
        </w:numPr>
        <w:ind w:left="567" w:hanging="284"/>
        <w:jc w:val="both"/>
        <w:rPr>
          <w:rFonts w:ascii="Arial" w:hAnsi="Arial" w:cs="Arial"/>
        </w:rPr>
      </w:pPr>
      <w:r w:rsidRPr="00FA1327">
        <w:rPr>
          <w:rFonts w:ascii="Arial" w:hAnsi="Arial" w:cs="Arial"/>
        </w:rPr>
        <w:t>€0.8 million of funds committed to local communities across 114 community projects.</w:t>
      </w:r>
    </w:p>
    <w:p w14:paraId="43EF9B96" w14:textId="77777777" w:rsidR="0021298F" w:rsidRPr="00FA1327" w:rsidRDefault="0021298F" w:rsidP="0021298F">
      <w:pPr>
        <w:pStyle w:val="ListParagraph"/>
        <w:rPr>
          <w:rFonts w:ascii="Arial" w:hAnsi="Arial" w:cs="Arial"/>
        </w:rPr>
      </w:pPr>
    </w:p>
    <w:p w14:paraId="5A3096AB" w14:textId="77777777" w:rsidR="0021298F" w:rsidRPr="00FA1327" w:rsidRDefault="0021298F" w:rsidP="0021298F">
      <w:pPr>
        <w:pStyle w:val="ListParagraph"/>
        <w:numPr>
          <w:ilvl w:val="0"/>
          <w:numId w:val="17"/>
        </w:numPr>
        <w:ind w:left="567" w:hanging="284"/>
        <w:jc w:val="both"/>
        <w:rPr>
          <w:rFonts w:ascii="Arial" w:hAnsi="Arial" w:cs="Arial"/>
        </w:rPr>
      </w:pPr>
      <w:r w:rsidRPr="00FA1327">
        <w:rPr>
          <w:rFonts w:ascii="Arial" w:hAnsi="Arial" w:cs="Arial"/>
        </w:rPr>
        <w:t>Portfolio generation reduced CO</w:t>
      </w:r>
      <w:r w:rsidRPr="00FA1327">
        <w:rPr>
          <w:rFonts w:ascii="Arial" w:hAnsi="Arial" w:cs="Arial"/>
          <w:vertAlign w:val="subscript"/>
        </w:rPr>
        <w:t xml:space="preserve">2 </w:t>
      </w:r>
      <w:r w:rsidRPr="00FA1327">
        <w:rPr>
          <w:rFonts w:ascii="Arial" w:hAnsi="Arial" w:cs="Arial"/>
        </w:rPr>
        <w:t>emissions by 561,432 tonnes in 2020.</w:t>
      </w:r>
    </w:p>
    <w:p w14:paraId="1510FB69" w14:textId="77777777" w:rsidR="0021298F" w:rsidRPr="00FA1327" w:rsidRDefault="0021298F" w:rsidP="0021298F">
      <w:pPr>
        <w:pStyle w:val="ListParagraph"/>
        <w:rPr>
          <w:rFonts w:ascii="Arial" w:hAnsi="Arial" w:cs="Arial"/>
        </w:rPr>
      </w:pPr>
    </w:p>
    <w:p w14:paraId="4789A417" w14:textId="77777777" w:rsidR="0021298F" w:rsidRPr="00FA1327" w:rsidRDefault="0021298F" w:rsidP="0021298F">
      <w:pPr>
        <w:pStyle w:val="ListParagraph"/>
        <w:numPr>
          <w:ilvl w:val="0"/>
          <w:numId w:val="17"/>
        </w:numPr>
        <w:ind w:left="567" w:hanging="284"/>
        <w:jc w:val="both"/>
        <w:rPr>
          <w:rFonts w:ascii="Arial" w:hAnsi="Arial" w:cs="Arial"/>
        </w:rPr>
      </w:pPr>
      <w:r w:rsidRPr="00FA1327">
        <w:rPr>
          <w:rFonts w:ascii="Arial" w:hAnsi="Arial" w:cs="Arial"/>
        </w:rPr>
        <w:t xml:space="preserve">Portfolio generation powered 330,355 homes in 2020. </w:t>
      </w:r>
    </w:p>
    <w:p w14:paraId="0668E1FF" w14:textId="77777777" w:rsidR="0021298F" w:rsidRPr="00DA4860" w:rsidRDefault="0021298F" w:rsidP="0021298F">
      <w:pPr>
        <w:pStyle w:val="ListParagraph"/>
        <w:ind w:left="567"/>
        <w:jc w:val="both"/>
        <w:rPr>
          <w:rFonts w:ascii="Arial" w:hAnsi="Arial" w:cs="Arial"/>
        </w:rPr>
      </w:pPr>
    </w:p>
    <w:p w14:paraId="00B2ACBC" w14:textId="77777777" w:rsidR="0021298F" w:rsidRPr="001D0749" w:rsidRDefault="0021298F" w:rsidP="0021298F">
      <w:pPr>
        <w:rPr>
          <w:sz w:val="16"/>
          <w:szCs w:val="16"/>
        </w:rPr>
      </w:pPr>
      <w:r w:rsidRPr="001D0749">
        <w:rPr>
          <w:sz w:val="16"/>
          <w:szCs w:val="16"/>
        </w:rPr>
        <w:t>(1) Gross of SPV level debt repayment</w:t>
      </w:r>
    </w:p>
    <w:p w14:paraId="61996B81" w14:textId="77777777" w:rsidR="0021298F" w:rsidRPr="006E45EF" w:rsidRDefault="0021298F" w:rsidP="0021298F">
      <w:pPr>
        <w:autoSpaceDE w:val="0"/>
        <w:autoSpaceDN w:val="0"/>
        <w:adjustRightInd w:val="0"/>
        <w:jc w:val="both"/>
        <w:rPr>
          <w:rFonts w:ascii="Arial" w:hAnsi="Arial" w:cs="Arial"/>
          <w:b/>
          <w:szCs w:val="26"/>
        </w:rPr>
      </w:pPr>
      <w:r w:rsidRPr="006E45EF">
        <w:rPr>
          <w:rFonts w:ascii="Arial" w:hAnsi="Arial" w:cs="Arial"/>
          <w:b/>
          <w:szCs w:val="26"/>
        </w:rPr>
        <w:t>Key Metrics</w:t>
      </w:r>
    </w:p>
    <w:tbl>
      <w:tblPr>
        <w:tblW w:w="5000" w:type="pct"/>
        <w:tblLayout w:type="fixed"/>
        <w:tblLook w:val="04A0" w:firstRow="1" w:lastRow="0" w:firstColumn="1" w:lastColumn="0" w:noHBand="0" w:noVBand="1"/>
      </w:tblPr>
      <w:tblGrid>
        <w:gridCol w:w="4952"/>
        <w:gridCol w:w="2076"/>
        <w:gridCol w:w="1998"/>
      </w:tblGrid>
      <w:tr w:rsidR="0021298F" w:rsidRPr="002519A9" w14:paraId="463ADA2F" w14:textId="77777777" w:rsidTr="00760009">
        <w:trPr>
          <w:trHeight w:val="276"/>
        </w:trPr>
        <w:tc>
          <w:tcPr>
            <w:tcW w:w="2743" w:type="pct"/>
            <w:tcBorders>
              <w:top w:val="nil"/>
              <w:left w:val="nil"/>
              <w:bottom w:val="single" w:sz="4" w:space="0" w:color="auto"/>
              <w:right w:val="nil"/>
            </w:tcBorders>
            <w:shd w:val="clear" w:color="000000" w:fill="FFFFFF"/>
            <w:noWrap/>
            <w:vAlign w:val="center"/>
          </w:tcPr>
          <w:p w14:paraId="55BE3171" w14:textId="77777777" w:rsidR="0021298F" w:rsidRPr="002519A9" w:rsidRDefault="0021298F" w:rsidP="00760009">
            <w:pPr>
              <w:jc w:val="both"/>
              <w:rPr>
                <w:rFonts w:ascii="Arial" w:eastAsia="Times New Roman" w:hAnsi="Arial" w:cs="Arial"/>
                <w:color w:val="000000"/>
                <w:lang w:eastAsia="en-GB"/>
              </w:rPr>
            </w:pPr>
          </w:p>
        </w:tc>
        <w:tc>
          <w:tcPr>
            <w:tcW w:w="1150" w:type="pct"/>
            <w:tcBorders>
              <w:top w:val="nil"/>
              <w:left w:val="nil"/>
              <w:bottom w:val="single" w:sz="4" w:space="0" w:color="auto"/>
              <w:right w:val="nil"/>
            </w:tcBorders>
            <w:shd w:val="clear" w:color="000000" w:fill="FFFFFF" w:themeFill="background1"/>
          </w:tcPr>
          <w:p w14:paraId="7C7BB1D6" w14:textId="77777777" w:rsidR="0021298F" w:rsidRDefault="0021298F" w:rsidP="00760009">
            <w:pPr>
              <w:jc w:val="right"/>
              <w:rPr>
                <w:rFonts w:ascii="Arial" w:eastAsia="Times New Roman" w:hAnsi="Arial" w:cs="Arial"/>
                <w:b/>
                <w:color w:val="000000"/>
                <w:lang w:eastAsia="en-GB"/>
              </w:rPr>
            </w:pPr>
            <w:r>
              <w:rPr>
                <w:rFonts w:ascii="Arial" w:eastAsia="Times New Roman" w:hAnsi="Arial" w:cs="Arial"/>
                <w:b/>
                <w:color w:val="000000"/>
                <w:lang w:eastAsia="en-GB"/>
              </w:rPr>
              <w:t>As at 31 December 2020</w:t>
            </w:r>
          </w:p>
        </w:tc>
        <w:tc>
          <w:tcPr>
            <w:tcW w:w="1107" w:type="pct"/>
            <w:tcBorders>
              <w:top w:val="nil"/>
              <w:left w:val="nil"/>
              <w:bottom w:val="single" w:sz="4" w:space="0" w:color="auto"/>
              <w:right w:val="nil"/>
            </w:tcBorders>
            <w:shd w:val="clear" w:color="000000" w:fill="FFFFFF" w:themeFill="background1"/>
            <w:noWrap/>
            <w:vAlign w:val="center"/>
          </w:tcPr>
          <w:p w14:paraId="30624D43" w14:textId="77777777" w:rsidR="0021298F" w:rsidRPr="00DF1614" w:rsidRDefault="0021298F" w:rsidP="00760009">
            <w:pPr>
              <w:jc w:val="right"/>
              <w:rPr>
                <w:rFonts w:ascii="Arial" w:eastAsia="Times New Roman" w:hAnsi="Arial" w:cs="Arial"/>
                <w:b/>
                <w:color w:val="000000"/>
                <w:lang w:eastAsia="en-GB"/>
              </w:rPr>
            </w:pPr>
            <w:r>
              <w:rPr>
                <w:rFonts w:ascii="Arial" w:eastAsia="Times New Roman" w:hAnsi="Arial" w:cs="Arial"/>
                <w:b/>
                <w:color w:val="000000"/>
                <w:lang w:eastAsia="en-GB"/>
              </w:rPr>
              <w:t>As at 31 December 2019</w:t>
            </w:r>
          </w:p>
        </w:tc>
      </w:tr>
      <w:tr w:rsidR="0021298F" w:rsidRPr="002519A9" w14:paraId="28FEBC7F" w14:textId="77777777" w:rsidTr="00760009">
        <w:trPr>
          <w:trHeight w:val="276"/>
        </w:trPr>
        <w:tc>
          <w:tcPr>
            <w:tcW w:w="2743" w:type="pct"/>
            <w:tcBorders>
              <w:top w:val="single" w:sz="4" w:space="0" w:color="auto"/>
              <w:left w:val="nil"/>
              <w:bottom w:val="nil"/>
              <w:right w:val="nil"/>
            </w:tcBorders>
            <w:shd w:val="clear" w:color="000000" w:fill="FFFFFF"/>
            <w:noWrap/>
            <w:vAlign w:val="center"/>
            <w:hideMark/>
          </w:tcPr>
          <w:p w14:paraId="5AD1048E" w14:textId="77777777" w:rsidR="0021298F" w:rsidRPr="002519A9" w:rsidRDefault="0021298F" w:rsidP="00760009">
            <w:pPr>
              <w:jc w:val="both"/>
              <w:rPr>
                <w:rFonts w:ascii="Arial" w:eastAsia="Times New Roman" w:hAnsi="Arial" w:cs="Arial"/>
                <w:color w:val="000000"/>
                <w:lang w:eastAsia="en-GB"/>
              </w:rPr>
            </w:pPr>
            <w:r w:rsidRPr="002519A9">
              <w:rPr>
                <w:rFonts w:ascii="Arial" w:eastAsia="Times New Roman" w:hAnsi="Arial" w:cs="Arial"/>
                <w:color w:val="000000"/>
                <w:lang w:eastAsia="en-GB"/>
              </w:rPr>
              <w:t> </w:t>
            </w:r>
          </w:p>
        </w:tc>
        <w:tc>
          <w:tcPr>
            <w:tcW w:w="1150" w:type="pct"/>
            <w:tcBorders>
              <w:top w:val="single" w:sz="4" w:space="0" w:color="auto"/>
              <w:left w:val="nil"/>
              <w:bottom w:val="nil"/>
              <w:right w:val="nil"/>
            </w:tcBorders>
            <w:shd w:val="clear" w:color="auto" w:fill="auto"/>
          </w:tcPr>
          <w:p w14:paraId="1FA8A05E" w14:textId="77777777" w:rsidR="0021298F" w:rsidRPr="00B87807" w:rsidRDefault="0021298F" w:rsidP="00760009">
            <w:pPr>
              <w:jc w:val="right"/>
              <w:rPr>
                <w:rFonts w:ascii="Arial" w:eastAsia="Times New Roman" w:hAnsi="Arial" w:cs="Arial"/>
                <w:color w:val="000000"/>
                <w:lang w:eastAsia="en-GB"/>
              </w:rPr>
            </w:pPr>
          </w:p>
        </w:tc>
        <w:tc>
          <w:tcPr>
            <w:tcW w:w="1107" w:type="pct"/>
            <w:tcBorders>
              <w:top w:val="single" w:sz="4" w:space="0" w:color="auto"/>
              <w:left w:val="nil"/>
              <w:bottom w:val="nil"/>
              <w:right w:val="nil"/>
            </w:tcBorders>
            <w:shd w:val="clear" w:color="auto" w:fill="auto"/>
            <w:noWrap/>
            <w:vAlign w:val="center"/>
            <w:hideMark/>
          </w:tcPr>
          <w:p w14:paraId="231CF564" w14:textId="77777777" w:rsidR="0021298F" w:rsidRPr="00B87807" w:rsidRDefault="0021298F" w:rsidP="00760009">
            <w:pPr>
              <w:jc w:val="right"/>
              <w:rPr>
                <w:rFonts w:ascii="Arial" w:eastAsia="Times New Roman" w:hAnsi="Arial" w:cs="Arial"/>
                <w:color w:val="000000"/>
                <w:lang w:eastAsia="en-GB"/>
              </w:rPr>
            </w:pPr>
            <w:r w:rsidRPr="00B87807">
              <w:rPr>
                <w:rFonts w:ascii="Arial" w:eastAsia="Times New Roman" w:hAnsi="Arial" w:cs="Arial"/>
                <w:color w:val="000000"/>
                <w:lang w:eastAsia="en-GB"/>
              </w:rPr>
              <w:t> </w:t>
            </w:r>
          </w:p>
        </w:tc>
      </w:tr>
      <w:tr w:rsidR="0021298F" w:rsidRPr="002519A9" w14:paraId="6C28C670" w14:textId="77777777" w:rsidTr="00760009">
        <w:trPr>
          <w:trHeight w:val="276"/>
        </w:trPr>
        <w:tc>
          <w:tcPr>
            <w:tcW w:w="2743" w:type="pct"/>
            <w:tcBorders>
              <w:top w:val="nil"/>
              <w:left w:val="nil"/>
              <w:bottom w:val="nil"/>
              <w:right w:val="nil"/>
            </w:tcBorders>
            <w:shd w:val="clear" w:color="000000" w:fill="FFFFFF"/>
            <w:noWrap/>
            <w:vAlign w:val="center"/>
            <w:hideMark/>
          </w:tcPr>
          <w:p w14:paraId="4F920C55" w14:textId="77777777" w:rsidR="0021298F" w:rsidRPr="002519A9" w:rsidRDefault="0021298F" w:rsidP="00760009">
            <w:pPr>
              <w:jc w:val="both"/>
              <w:rPr>
                <w:rFonts w:ascii="Arial" w:eastAsia="Times New Roman" w:hAnsi="Arial" w:cs="Arial"/>
                <w:color w:val="000000"/>
                <w:lang w:eastAsia="en-GB"/>
              </w:rPr>
            </w:pPr>
            <w:r w:rsidRPr="002519A9">
              <w:rPr>
                <w:rFonts w:ascii="Arial" w:eastAsia="Times New Roman" w:hAnsi="Arial" w:cs="Arial"/>
                <w:color w:val="000000"/>
                <w:lang w:eastAsia="en-GB"/>
              </w:rPr>
              <w:t>Market capitalisation</w:t>
            </w:r>
          </w:p>
        </w:tc>
        <w:tc>
          <w:tcPr>
            <w:tcW w:w="1150" w:type="pct"/>
            <w:tcBorders>
              <w:top w:val="nil"/>
              <w:left w:val="nil"/>
              <w:bottom w:val="nil"/>
              <w:right w:val="nil"/>
            </w:tcBorders>
            <w:shd w:val="clear" w:color="auto" w:fill="EDFFB7"/>
          </w:tcPr>
          <w:p w14:paraId="30EFFB90" w14:textId="77777777" w:rsidR="0021298F" w:rsidRPr="001E34C8" w:rsidRDefault="0021298F" w:rsidP="00760009">
            <w:pPr>
              <w:jc w:val="right"/>
              <w:rPr>
                <w:rFonts w:ascii="Arial" w:eastAsia="Times New Roman" w:hAnsi="Arial" w:cs="Arial"/>
                <w:color w:val="000000"/>
                <w:lang w:eastAsia="en-GB"/>
              </w:rPr>
            </w:pPr>
            <w:r w:rsidRPr="001E34C8">
              <w:rPr>
                <w:rFonts w:ascii="Arial" w:eastAsia="Times New Roman" w:hAnsi="Arial" w:cs="Arial"/>
                <w:color w:val="000000"/>
                <w:lang w:eastAsia="en-GB"/>
              </w:rPr>
              <w:t>€863.5 million</w:t>
            </w:r>
          </w:p>
        </w:tc>
        <w:tc>
          <w:tcPr>
            <w:tcW w:w="1107" w:type="pct"/>
            <w:tcBorders>
              <w:top w:val="nil"/>
              <w:left w:val="nil"/>
              <w:bottom w:val="nil"/>
              <w:right w:val="nil"/>
            </w:tcBorders>
            <w:shd w:val="clear" w:color="auto" w:fill="auto"/>
            <w:noWrap/>
            <w:hideMark/>
          </w:tcPr>
          <w:p w14:paraId="01927F42" w14:textId="77777777" w:rsidR="0021298F" w:rsidRPr="00B87807" w:rsidRDefault="0021298F" w:rsidP="00760009">
            <w:pPr>
              <w:jc w:val="right"/>
              <w:rPr>
                <w:rFonts w:ascii="Arial" w:eastAsia="Times New Roman" w:hAnsi="Arial" w:cs="Arial"/>
                <w:color w:val="000000"/>
                <w:lang w:eastAsia="en-GB"/>
              </w:rPr>
            </w:pPr>
            <w:r w:rsidRPr="004470F0">
              <w:rPr>
                <w:rFonts w:ascii="Arial" w:eastAsia="Times New Roman" w:hAnsi="Arial" w:cs="Arial"/>
                <w:color w:val="000000"/>
                <w:lang w:eastAsia="en-GB"/>
              </w:rPr>
              <w:t>€7</w:t>
            </w:r>
            <w:r>
              <w:rPr>
                <w:rFonts w:ascii="Arial" w:eastAsia="Times New Roman" w:hAnsi="Arial" w:cs="Arial"/>
                <w:color w:val="000000"/>
                <w:lang w:eastAsia="en-GB"/>
              </w:rPr>
              <w:t>47.3 million</w:t>
            </w:r>
          </w:p>
        </w:tc>
      </w:tr>
      <w:tr w:rsidR="0021298F" w:rsidRPr="002519A9" w14:paraId="33FE6179" w14:textId="77777777" w:rsidTr="00760009">
        <w:trPr>
          <w:trHeight w:val="276"/>
        </w:trPr>
        <w:tc>
          <w:tcPr>
            <w:tcW w:w="2743" w:type="pct"/>
            <w:tcBorders>
              <w:top w:val="nil"/>
              <w:left w:val="nil"/>
              <w:bottom w:val="nil"/>
              <w:right w:val="nil"/>
            </w:tcBorders>
            <w:shd w:val="clear" w:color="000000" w:fill="FFFFFF"/>
            <w:noWrap/>
            <w:vAlign w:val="center"/>
            <w:hideMark/>
          </w:tcPr>
          <w:p w14:paraId="7351B11E" w14:textId="77777777" w:rsidR="0021298F" w:rsidRPr="002519A9" w:rsidRDefault="0021298F" w:rsidP="00760009">
            <w:pPr>
              <w:jc w:val="both"/>
              <w:rPr>
                <w:rFonts w:ascii="Arial" w:eastAsia="Times New Roman" w:hAnsi="Arial" w:cs="Arial"/>
                <w:color w:val="000000"/>
                <w:lang w:eastAsia="en-GB"/>
              </w:rPr>
            </w:pPr>
            <w:r w:rsidRPr="002519A9">
              <w:rPr>
                <w:rFonts w:ascii="Arial" w:eastAsia="Times New Roman" w:hAnsi="Arial" w:cs="Arial"/>
                <w:color w:val="000000"/>
                <w:lang w:eastAsia="en-GB"/>
              </w:rPr>
              <w:t>Share price</w:t>
            </w:r>
          </w:p>
        </w:tc>
        <w:tc>
          <w:tcPr>
            <w:tcW w:w="1150" w:type="pct"/>
            <w:tcBorders>
              <w:top w:val="nil"/>
              <w:left w:val="nil"/>
              <w:bottom w:val="nil"/>
              <w:right w:val="nil"/>
            </w:tcBorders>
            <w:shd w:val="clear" w:color="auto" w:fill="EDFFB7"/>
          </w:tcPr>
          <w:p w14:paraId="2004D000" w14:textId="77777777" w:rsidR="0021298F" w:rsidRPr="00B73F05" w:rsidRDefault="0021298F" w:rsidP="00760009">
            <w:pPr>
              <w:jc w:val="right"/>
              <w:rPr>
                <w:rFonts w:ascii="Arial" w:eastAsia="Times New Roman" w:hAnsi="Arial" w:cs="Arial"/>
                <w:color w:val="000000"/>
                <w:lang w:eastAsia="en-GB"/>
              </w:rPr>
            </w:pPr>
            <w:r w:rsidRPr="00B73F05">
              <w:rPr>
                <w:rFonts w:ascii="Arial" w:eastAsia="Times New Roman" w:hAnsi="Arial" w:cs="Arial"/>
                <w:color w:val="000000"/>
                <w:lang w:eastAsia="en-GB"/>
              </w:rPr>
              <w:t>116.5 cent</w:t>
            </w:r>
          </w:p>
        </w:tc>
        <w:tc>
          <w:tcPr>
            <w:tcW w:w="1107" w:type="pct"/>
            <w:tcBorders>
              <w:top w:val="nil"/>
              <w:left w:val="nil"/>
              <w:bottom w:val="nil"/>
              <w:right w:val="nil"/>
            </w:tcBorders>
            <w:shd w:val="clear" w:color="auto" w:fill="auto"/>
            <w:noWrap/>
            <w:hideMark/>
          </w:tcPr>
          <w:p w14:paraId="73AC4C77" w14:textId="77777777" w:rsidR="0021298F" w:rsidRPr="00B87807" w:rsidRDefault="0021298F" w:rsidP="00760009">
            <w:pPr>
              <w:jc w:val="right"/>
              <w:rPr>
                <w:rFonts w:ascii="Arial" w:eastAsia="Times New Roman" w:hAnsi="Arial" w:cs="Arial"/>
                <w:color w:val="000000"/>
                <w:lang w:eastAsia="en-GB"/>
              </w:rPr>
            </w:pPr>
            <w:r w:rsidRPr="004470F0">
              <w:rPr>
                <w:rFonts w:ascii="Arial" w:eastAsia="Times New Roman" w:hAnsi="Arial" w:cs="Arial"/>
                <w:color w:val="000000"/>
                <w:lang w:eastAsia="en-GB"/>
              </w:rPr>
              <w:t>1</w:t>
            </w:r>
            <w:r>
              <w:rPr>
                <w:rFonts w:ascii="Arial" w:eastAsia="Times New Roman" w:hAnsi="Arial" w:cs="Arial"/>
                <w:color w:val="000000"/>
                <w:lang w:eastAsia="en-GB"/>
              </w:rPr>
              <w:t>18.5</w:t>
            </w:r>
            <w:r w:rsidRPr="004470F0">
              <w:rPr>
                <w:rFonts w:ascii="Arial" w:eastAsia="Times New Roman" w:hAnsi="Arial" w:cs="Arial"/>
                <w:color w:val="000000"/>
                <w:lang w:eastAsia="en-GB"/>
              </w:rPr>
              <w:t xml:space="preserve"> cent</w:t>
            </w:r>
          </w:p>
        </w:tc>
      </w:tr>
      <w:tr w:rsidR="0021298F" w:rsidRPr="002519A9" w14:paraId="42D80221" w14:textId="77777777" w:rsidTr="00760009">
        <w:trPr>
          <w:trHeight w:val="276"/>
        </w:trPr>
        <w:tc>
          <w:tcPr>
            <w:tcW w:w="2743" w:type="pct"/>
            <w:tcBorders>
              <w:top w:val="nil"/>
              <w:left w:val="nil"/>
              <w:bottom w:val="nil"/>
              <w:right w:val="nil"/>
            </w:tcBorders>
            <w:shd w:val="clear" w:color="000000" w:fill="FFFFFF"/>
            <w:noWrap/>
            <w:vAlign w:val="center"/>
            <w:hideMark/>
          </w:tcPr>
          <w:p w14:paraId="40EE3CB1" w14:textId="77777777" w:rsidR="0021298F" w:rsidRPr="002519A9" w:rsidRDefault="0021298F" w:rsidP="00760009">
            <w:pPr>
              <w:jc w:val="both"/>
              <w:rPr>
                <w:rFonts w:ascii="Arial" w:eastAsia="Times New Roman" w:hAnsi="Arial" w:cs="Arial"/>
                <w:color w:val="000000"/>
                <w:lang w:eastAsia="en-GB"/>
              </w:rPr>
            </w:pPr>
            <w:r>
              <w:rPr>
                <w:rFonts w:ascii="Arial" w:eastAsia="Times New Roman" w:hAnsi="Arial" w:cs="Arial"/>
                <w:color w:val="000000"/>
                <w:lang w:eastAsia="en-GB"/>
              </w:rPr>
              <w:t>D</w:t>
            </w:r>
            <w:r w:rsidRPr="002519A9">
              <w:rPr>
                <w:rFonts w:ascii="Arial" w:eastAsia="Times New Roman" w:hAnsi="Arial" w:cs="Arial"/>
                <w:color w:val="000000"/>
                <w:lang w:eastAsia="en-GB"/>
              </w:rPr>
              <w:t xml:space="preserve">ividends with respect to the </w:t>
            </w:r>
            <w:r>
              <w:rPr>
                <w:rFonts w:ascii="Arial" w:eastAsia="Times New Roman" w:hAnsi="Arial" w:cs="Arial"/>
                <w:color w:val="000000"/>
                <w:lang w:eastAsia="en-GB"/>
              </w:rPr>
              <w:t>year</w:t>
            </w:r>
          </w:p>
        </w:tc>
        <w:tc>
          <w:tcPr>
            <w:tcW w:w="1150" w:type="pct"/>
            <w:tcBorders>
              <w:top w:val="nil"/>
              <w:left w:val="nil"/>
              <w:bottom w:val="nil"/>
              <w:right w:val="nil"/>
            </w:tcBorders>
            <w:shd w:val="clear" w:color="auto" w:fill="EDFFB7"/>
          </w:tcPr>
          <w:p w14:paraId="0E9B350F" w14:textId="77777777" w:rsidR="0021298F" w:rsidRPr="001E34C8" w:rsidRDefault="0021298F" w:rsidP="00760009">
            <w:pPr>
              <w:jc w:val="right"/>
              <w:rPr>
                <w:rFonts w:ascii="Arial" w:eastAsia="Times New Roman" w:hAnsi="Arial" w:cs="Arial"/>
                <w:color w:val="000000"/>
                <w:lang w:eastAsia="en-GB"/>
              </w:rPr>
            </w:pPr>
            <w:r w:rsidRPr="001E34C8">
              <w:rPr>
                <w:rFonts w:ascii="Arial" w:eastAsia="Times New Roman" w:hAnsi="Arial" w:cs="Arial"/>
                <w:color w:val="000000"/>
                <w:lang w:eastAsia="en-GB"/>
              </w:rPr>
              <w:t>€</w:t>
            </w:r>
            <w:r>
              <w:rPr>
                <w:rFonts w:ascii="Arial" w:eastAsia="Times New Roman" w:hAnsi="Arial" w:cs="Arial"/>
                <w:color w:val="000000"/>
                <w:lang w:eastAsia="en-GB"/>
              </w:rPr>
              <w:t>39.9</w:t>
            </w:r>
            <w:r w:rsidRPr="001E34C8">
              <w:rPr>
                <w:rFonts w:ascii="Arial" w:eastAsia="Times New Roman" w:hAnsi="Arial" w:cs="Arial"/>
                <w:color w:val="000000"/>
                <w:lang w:eastAsia="en-GB"/>
              </w:rPr>
              <w:t xml:space="preserve"> million</w:t>
            </w:r>
          </w:p>
        </w:tc>
        <w:tc>
          <w:tcPr>
            <w:tcW w:w="1107" w:type="pct"/>
            <w:tcBorders>
              <w:top w:val="nil"/>
              <w:left w:val="nil"/>
              <w:bottom w:val="nil"/>
              <w:right w:val="nil"/>
            </w:tcBorders>
            <w:shd w:val="clear" w:color="auto" w:fill="auto"/>
            <w:noWrap/>
            <w:hideMark/>
          </w:tcPr>
          <w:p w14:paraId="734F435B" w14:textId="77777777" w:rsidR="0021298F" w:rsidRPr="00B87807" w:rsidRDefault="0021298F" w:rsidP="00760009">
            <w:pPr>
              <w:jc w:val="right"/>
              <w:rPr>
                <w:rFonts w:ascii="Arial" w:eastAsia="Times New Roman" w:hAnsi="Arial" w:cs="Arial"/>
                <w:color w:val="000000"/>
                <w:lang w:eastAsia="en-GB"/>
              </w:rPr>
            </w:pPr>
            <w:r w:rsidRPr="004470F0">
              <w:rPr>
                <w:rFonts w:ascii="Arial" w:eastAsia="Times New Roman" w:hAnsi="Arial" w:cs="Arial"/>
                <w:color w:val="000000"/>
                <w:lang w:eastAsia="en-GB"/>
              </w:rPr>
              <w:t>€33.0 million</w:t>
            </w:r>
          </w:p>
        </w:tc>
      </w:tr>
      <w:tr w:rsidR="0021298F" w:rsidRPr="002519A9" w14:paraId="0236A9E3" w14:textId="77777777" w:rsidTr="00760009">
        <w:trPr>
          <w:trHeight w:val="276"/>
        </w:trPr>
        <w:tc>
          <w:tcPr>
            <w:tcW w:w="2743" w:type="pct"/>
            <w:tcBorders>
              <w:top w:val="nil"/>
              <w:left w:val="nil"/>
              <w:bottom w:val="nil"/>
              <w:right w:val="nil"/>
            </w:tcBorders>
            <w:shd w:val="clear" w:color="000000" w:fill="FFFFFF"/>
            <w:noWrap/>
            <w:vAlign w:val="center"/>
            <w:hideMark/>
          </w:tcPr>
          <w:p w14:paraId="73D6806E" w14:textId="77777777" w:rsidR="0021298F" w:rsidRPr="002519A9" w:rsidRDefault="0021298F" w:rsidP="00760009">
            <w:pPr>
              <w:jc w:val="both"/>
              <w:rPr>
                <w:rFonts w:ascii="Arial" w:eastAsia="Times New Roman" w:hAnsi="Arial" w:cs="Arial"/>
                <w:color w:val="000000"/>
                <w:lang w:eastAsia="en-GB"/>
              </w:rPr>
            </w:pPr>
            <w:r>
              <w:rPr>
                <w:rFonts w:ascii="Arial" w:eastAsia="Times New Roman" w:hAnsi="Arial" w:cs="Arial"/>
                <w:color w:val="000000"/>
                <w:lang w:eastAsia="en-GB"/>
              </w:rPr>
              <w:t>D</w:t>
            </w:r>
            <w:r w:rsidRPr="002519A9">
              <w:rPr>
                <w:rFonts w:ascii="Arial" w:eastAsia="Times New Roman" w:hAnsi="Arial" w:cs="Arial"/>
                <w:color w:val="000000"/>
                <w:lang w:eastAsia="en-GB"/>
              </w:rPr>
              <w:t xml:space="preserve">ividends with respect to the </w:t>
            </w:r>
            <w:r>
              <w:rPr>
                <w:rFonts w:ascii="Arial" w:eastAsia="Times New Roman" w:hAnsi="Arial" w:cs="Arial"/>
                <w:color w:val="000000"/>
                <w:lang w:eastAsia="en-GB"/>
              </w:rPr>
              <w:t>year</w:t>
            </w:r>
            <w:r w:rsidRPr="002519A9">
              <w:rPr>
                <w:rFonts w:ascii="Arial" w:eastAsia="Times New Roman" w:hAnsi="Arial" w:cs="Arial"/>
                <w:color w:val="000000"/>
                <w:lang w:eastAsia="en-GB"/>
              </w:rPr>
              <w:t xml:space="preserve"> per share</w:t>
            </w:r>
          </w:p>
        </w:tc>
        <w:tc>
          <w:tcPr>
            <w:tcW w:w="1150" w:type="pct"/>
            <w:tcBorders>
              <w:top w:val="nil"/>
              <w:left w:val="nil"/>
              <w:bottom w:val="nil"/>
              <w:right w:val="nil"/>
            </w:tcBorders>
            <w:shd w:val="clear" w:color="auto" w:fill="EDFFB7"/>
          </w:tcPr>
          <w:p w14:paraId="0709F101" w14:textId="77777777" w:rsidR="0021298F" w:rsidRPr="00B73F05" w:rsidRDefault="0021298F" w:rsidP="00760009">
            <w:pPr>
              <w:jc w:val="right"/>
              <w:rPr>
                <w:rFonts w:ascii="Arial" w:eastAsia="Times New Roman" w:hAnsi="Arial" w:cs="Arial"/>
                <w:color w:val="000000"/>
                <w:lang w:eastAsia="en-GB"/>
              </w:rPr>
            </w:pPr>
            <w:r w:rsidRPr="00B73F05">
              <w:rPr>
                <w:rFonts w:ascii="Arial" w:eastAsia="Times New Roman" w:hAnsi="Arial" w:cs="Arial"/>
                <w:color w:val="000000"/>
                <w:lang w:eastAsia="en-GB"/>
              </w:rPr>
              <w:t>6.06 cent</w:t>
            </w:r>
          </w:p>
        </w:tc>
        <w:tc>
          <w:tcPr>
            <w:tcW w:w="1107" w:type="pct"/>
            <w:tcBorders>
              <w:top w:val="nil"/>
              <w:left w:val="nil"/>
              <w:bottom w:val="nil"/>
              <w:right w:val="nil"/>
            </w:tcBorders>
            <w:shd w:val="clear" w:color="auto" w:fill="auto"/>
            <w:noWrap/>
            <w:hideMark/>
          </w:tcPr>
          <w:p w14:paraId="236F5C5A" w14:textId="77777777" w:rsidR="0021298F" w:rsidRPr="00B87807" w:rsidRDefault="0021298F" w:rsidP="00760009">
            <w:pPr>
              <w:jc w:val="right"/>
              <w:rPr>
                <w:rFonts w:ascii="Arial" w:eastAsia="Times New Roman" w:hAnsi="Arial" w:cs="Arial"/>
                <w:color w:val="000000"/>
                <w:lang w:eastAsia="en-GB"/>
              </w:rPr>
            </w:pPr>
            <w:r w:rsidRPr="004470F0">
              <w:rPr>
                <w:rFonts w:ascii="Arial" w:eastAsia="Times New Roman" w:hAnsi="Arial" w:cs="Arial"/>
                <w:color w:val="000000"/>
                <w:lang w:eastAsia="en-GB"/>
              </w:rPr>
              <w:t>6.03 cent</w:t>
            </w:r>
          </w:p>
        </w:tc>
      </w:tr>
      <w:tr w:rsidR="0021298F" w:rsidRPr="002519A9" w14:paraId="63AB9377" w14:textId="77777777" w:rsidTr="00760009">
        <w:trPr>
          <w:trHeight w:val="276"/>
        </w:trPr>
        <w:tc>
          <w:tcPr>
            <w:tcW w:w="2743" w:type="pct"/>
            <w:tcBorders>
              <w:top w:val="nil"/>
              <w:left w:val="nil"/>
              <w:bottom w:val="nil"/>
              <w:right w:val="nil"/>
            </w:tcBorders>
            <w:shd w:val="clear" w:color="000000" w:fill="FFFFFF"/>
            <w:noWrap/>
            <w:vAlign w:val="center"/>
            <w:hideMark/>
          </w:tcPr>
          <w:p w14:paraId="06201DFE" w14:textId="77777777" w:rsidR="0021298F" w:rsidRPr="002519A9" w:rsidRDefault="0021298F" w:rsidP="00760009">
            <w:pPr>
              <w:jc w:val="both"/>
              <w:rPr>
                <w:rFonts w:ascii="Arial" w:eastAsia="Times New Roman" w:hAnsi="Arial" w:cs="Arial"/>
                <w:color w:val="000000"/>
                <w:lang w:eastAsia="en-GB"/>
              </w:rPr>
            </w:pPr>
            <w:r w:rsidRPr="002519A9">
              <w:rPr>
                <w:rFonts w:ascii="Arial" w:eastAsia="Times New Roman" w:hAnsi="Arial" w:cs="Arial"/>
                <w:color w:val="000000"/>
                <w:lang w:eastAsia="en-GB"/>
              </w:rPr>
              <w:t>GAV</w:t>
            </w:r>
          </w:p>
        </w:tc>
        <w:tc>
          <w:tcPr>
            <w:tcW w:w="1150" w:type="pct"/>
            <w:tcBorders>
              <w:top w:val="nil"/>
              <w:left w:val="nil"/>
              <w:bottom w:val="nil"/>
              <w:right w:val="nil"/>
            </w:tcBorders>
            <w:shd w:val="clear" w:color="auto" w:fill="EDFFB7"/>
          </w:tcPr>
          <w:p w14:paraId="192B596B" w14:textId="77777777" w:rsidR="0021298F" w:rsidRPr="001E34C8" w:rsidRDefault="0021298F" w:rsidP="00760009">
            <w:pPr>
              <w:jc w:val="right"/>
              <w:rPr>
                <w:rFonts w:ascii="Arial" w:eastAsia="Times New Roman" w:hAnsi="Arial" w:cs="Arial"/>
                <w:color w:val="000000"/>
                <w:lang w:eastAsia="en-GB"/>
              </w:rPr>
            </w:pPr>
            <w:r w:rsidRPr="001E34C8">
              <w:rPr>
                <w:rFonts w:ascii="Arial" w:eastAsia="Times New Roman" w:hAnsi="Arial" w:cs="Arial"/>
                <w:color w:val="000000"/>
                <w:lang w:eastAsia="en-GB"/>
              </w:rPr>
              <w:t>€1,177 million</w:t>
            </w:r>
          </w:p>
        </w:tc>
        <w:tc>
          <w:tcPr>
            <w:tcW w:w="1107" w:type="pct"/>
            <w:tcBorders>
              <w:top w:val="nil"/>
              <w:left w:val="nil"/>
              <w:bottom w:val="nil"/>
              <w:right w:val="nil"/>
            </w:tcBorders>
            <w:shd w:val="clear" w:color="auto" w:fill="auto"/>
            <w:noWrap/>
            <w:hideMark/>
          </w:tcPr>
          <w:p w14:paraId="2F121490" w14:textId="77777777" w:rsidR="0021298F" w:rsidRPr="00B87807" w:rsidRDefault="0021298F" w:rsidP="00760009">
            <w:pPr>
              <w:jc w:val="right"/>
              <w:rPr>
                <w:rFonts w:ascii="Arial" w:eastAsia="Times New Roman" w:hAnsi="Arial" w:cs="Arial"/>
                <w:color w:val="000000"/>
                <w:lang w:eastAsia="en-GB"/>
              </w:rPr>
            </w:pPr>
            <w:r w:rsidRPr="004470F0">
              <w:rPr>
                <w:rFonts w:ascii="Arial" w:eastAsia="Times New Roman" w:hAnsi="Arial" w:cs="Arial"/>
                <w:color w:val="000000"/>
                <w:lang w:eastAsia="en-GB"/>
              </w:rPr>
              <w:t>€1,017</w:t>
            </w:r>
            <w:r>
              <w:rPr>
                <w:rFonts w:ascii="Arial" w:eastAsia="Times New Roman" w:hAnsi="Arial" w:cs="Arial"/>
                <w:color w:val="000000"/>
                <w:lang w:eastAsia="en-GB"/>
              </w:rPr>
              <w:t xml:space="preserve"> million</w:t>
            </w:r>
          </w:p>
        </w:tc>
      </w:tr>
      <w:tr w:rsidR="0021298F" w:rsidRPr="002519A9" w14:paraId="316924E1" w14:textId="77777777" w:rsidTr="00760009">
        <w:trPr>
          <w:trHeight w:val="95"/>
        </w:trPr>
        <w:tc>
          <w:tcPr>
            <w:tcW w:w="2743" w:type="pct"/>
            <w:tcBorders>
              <w:top w:val="nil"/>
              <w:left w:val="nil"/>
              <w:right w:val="nil"/>
            </w:tcBorders>
            <w:shd w:val="clear" w:color="000000" w:fill="FFFFFF"/>
            <w:noWrap/>
            <w:vAlign w:val="center"/>
            <w:hideMark/>
          </w:tcPr>
          <w:p w14:paraId="484538CC" w14:textId="77777777" w:rsidR="0021298F" w:rsidRPr="002519A9" w:rsidRDefault="0021298F" w:rsidP="00760009">
            <w:pPr>
              <w:jc w:val="both"/>
              <w:rPr>
                <w:rFonts w:ascii="Arial" w:eastAsia="Times New Roman" w:hAnsi="Arial" w:cs="Arial"/>
                <w:color w:val="000000"/>
                <w:lang w:eastAsia="en-GB"/>
              </w:rPr>
            </w:pPr>
            <w:r w:rsidRPr="002519A9">
              <w:rPr>
                <w:rFonts w:ascii="Arial" w:eastAsia="Times New Roman" w:hAnsi="Arial" w:cs="Arial"/>
                <w:color w:val="000000"/>
                <w:lang w:eastAsia="en-GB"/>
              </w:rPr>
              <w:t>NAV</w:t>
            </w:r>
          </w:p>
        </w:tc>
        <w:tc>
          <w:tcPr>
            <w:tcW w:w="1150" w:type="pct"/>
            <w:tcBorders>
              <w:top w:val="nil"/>
              <w:left w:val="nil"/>
              <w:right w:val="nil"/>
            </w:tcBorders>
            <w:shd w:val="clear" w:color="auto" w:fill="EDFFB7"/>
          </w:tcPr>
          <w:p w14:paraId="22A0D64F" w14:textId="77777777" w:rsidR="0021298F" w:rsidRPr="001E34C8" w:rsidRDefault="0021298F" w:rsidP="00760009">
            <w:pPr>
              <w:jc w:val="right"/>
              <w:rPr>
                <w:rFonts w:ascii="Arial" w:eastAsia="Times New Roman" w:hAnsi="Arial" w:cs="Arial"/>
                <w:color w:val="000000"/>
                <w:lang w:eastAsia="en-GB"/>
              </w:rPr>
            </w:pPr>
            <w:r w:rsidRPr="001E34C8">
              <w:rPr>
                <w:rFonts w:ascii="Arial" w:eastAsia="Times New Roman" w:hAnsi="Arial" w:cs="Arial"/>
                <w:color w:val="000000"/>
                <w:lang w:eastAsia="en-GB"/>
              </w:rPr>
              <w:t>€74</w:t>
            </w:r>
            <w:r>
              <w:rPr>
                <w:rFonts w:ascii="Arial" w:eastAsia="Times New Roman" w:hAnsi="Arial" w:cs="Arial"/>
                <w:color w:val="000000"/>
                <w:lang w:eastAsia="en-GB"/>
              </w:rPr>
              <w:t>8</w:t>
            </w:r>
            <w:r w:rsidRPr="001E34C8">
              <w:rPr>
                <w:rFonts w:ascii="Arial" w:eastAsia="Times New Roman" w:hAnsi="Arial" w:cs="Arial"/>
                <w:color w:val="000000"/>
                <w:lang w:eastAsia="en-GB"/>
              </w:rPr>
              <w:t>.8 million</w:t>
            </w:r>
          </w:p>
        </w:tc>
        <w:tc>
          <w:tcPr>
            <w:tcW w:w="1107" w:type="pct"/>
            <w:tcBorders>
              <w:top w:val="nil"/>
              <w:left w:val="nil"/>
              <w:right w:val="nil"/>
            </w:tcBorders>
            <w:shd w:val="clear" w:color="auto" w:fill="auto"/>
            <w:noWrap/>
            <w:hideMark/>
          </w:tcPr>
          <w:p w14:paraId="0F4A5345" w14:textId="77777777" w:rsidR="0021298F" w:rsidRPr="00B87807" w:rsidRDefault="0021298F" w:rsidP="00760009">
            <w:pPr>
              <w:jc w:val="right"/>
              <w:rPr>
                <w:rFonts w:ascii="Arial" w:eastAsia="Times New Roman" w:hAnsi="Arial" w:cs="Arial"/>
                <w:color w:val="000000"/>
                <w:lang w:eastAsia="en-GB"/>
              </w:rPr>
            </w:pPr>
            <w:r w:rsidRPr="004470F0">
              <w:rPr>
                <w:rFonts w:ascii="Arial" w:eastAsia="Times New Roman" w:hAnsi="Arial" w:cs="Arial"/>
                <w:color w:val="000000"/>
                <w:lang w:eastAsia="en-GB"/>
              </w:rPr>
              <w:t>€650.0</w:t>
            </w:r>
            <w:r>
              <w:rPr>
                <w:rFonts w:ascii="Arial" w:eastAsia="Times New Roman" w:hAnsi="Arial" w:cs="Arial"/>
                <w:color w:val="000000"/>
                <w:lang w:eastAsia="en-GB"/>
              </w:rPr>
              <w:t xml:space="preserve"> million</w:t>
            </w:r>
          </w:p>
        </w:tc>
      </w:tr>
      <w:tr w:rsidR="0021298F" w:rsidRPr="002519A9" w14:paraId="68D680D1" w14:textId="77777777" w:rsidTr="00760009">
        <w:trPr>
          <w:trHeight w:val="276"/>
        </w:trPr>
        <w:tc>
          <w:tcPr>
            <w:tcW w:w="2743" w:type="pct"/>
            <w:tcBorders>
              <w:top w:val="nil"/>
              <w:left w:val="nil"/>
              <w:bottom w:val="nil"/>
              <w:right w:val="nil"/>
            </w:tcBorders>
            <w:shd w:val="clear" w:color="000000" w:fill="FFFFFF"/>
            <w:noWrap/>
            <w:vAlign w:val="center"/>
            <w:hideMark/>
          </w:tcPr>
          <w:p w14:paraId="29B8A907" w14:textId="77777777" w:rsidR="0021298F" w:rsidRPr="002519A9" w:rsidRDefault="0021298F" w:rsidP="00760009">
            <w:pPr>
              <w:jc w:val="both"/>
              <w:rPr>
                <w:rFonts w:ascii="Arial" w:eastAsia="Times New Roman" w:hAnsi="Arial" w:cs="Arial"/>
                <w:color w:val="000000"/>
                <w:lang w:eastAsia="en-GB"/>
              </w:rPr>
            </w:pPr>
            <w:r w:rsidRPr="002519A9">
              <w:rPr>
                <w:rFonts w:ascii="Arial" w:eastAsia="Times New Roman" w:hAnsi="Arial" w:cs="Arial"/>
                <w:color w:val="000000"/>
                <w:lang w:eastAsia="en-GB"/>
              </w:rPr>
              <w:t>NAV per share</w:t>
            </w:r>
          </w:p>
        </w:tc>
        <w:tc>
          <w:tcPr>
            <w:tcW w:w="1150" w:type="pct"/>
            <w:tcBorders>
              <w:top w:val="nil"/>
              <w:left w:val="nil"/>
              <w:bottom w:val="nil"/>
              <w:right w:val="nil"/>
            </w:tcBorders>
            <w:shd w:val="clear" w:color="auto" w:fill="EDFFB7"/>
          </w:tcPr>
          <w:p w14:paraId="2C392A7D" w14:textId="77777777" w:rsidR="0021298F" w:rsidRPr="001E34C8" w:rsidRDefault="0021298F" w:rsidP="00760009">
            <w:pPr>
              <w:jc w:val="right"/>
              <w:rPr>
                <w:rFonts w:ascii="Arial" w:eastAsia="Times New Roman" w:hAnsi="Arial" w:cs="Arial"/>
                <w:color w:val="000000"/>
                <w:lang w:eastAsia="en-GB"/>
              </w:rPr>
            </w:pPr>
            <w:r w:rsidRPr="001E34C8">
              <w:rPr>
                <w:rFonts w:ascii="Arial" w:eastAsia="Times New Roman" w:hAnsi="Arial" w:cs="Arial"/>
                <w:color w:val="000000"/>
                <w:lang w:eastAsia="en-GB"/>
              </w:rPr>
              <w:t>10</w:t>
            </w:r>
            <w:r>
              <w:rPr>
                <w:rFonts w:ascii="Arial" w:eastAsia="Times New Roman" w:hAnsi="Arial" w:cs="Arial"/>
                <w:color w:val="000000"/>
                <w:lang w:eastAsia="en-GB"/>
              </w:rPr>
              <w:t>1</w:t>
            </w:r>
            <w:r w:rsidRPr="001E34C8">
              <w:rPr>
                <w:rFonts w:ascii="Arial" w:eastAsia="Times New Roman" w:hAnsi="Arial" w:cs="Arial"/>
                <w:color w:val="000000"/>
                <w:lang w:eastAsia="en-GB"/>
              </w:rPr>
              <w:t>.</w:t>
            </w:r>
            <w:r>
              <w:rPr>
                <w:rFonts w:ascii="Arial" w:eastAsia="Times New Roman" w:hAnsi="Arial" w:cs="Arial"/>
                <w:color w:val="000000"/>
                <w:lang w:eastAsia="en-GB"/>
              </w:rPr>
              <w:t>0</w:t>
            </w:r>
            <w:r w:rsidRPr="001E34C8">
              <w:rPr>
                <w:rFonts w:ascii="Arial" w:eastAsia="Times New Roman" w:hAnsi="Arial" w:cs="Arial"/>
                <w:color w:val="000000"/>
                <w:lang w:eastAsia="en-GB"/>
              </w:rPr>
              <w:t xml:space="preserve"> cent</w:t>
            </w:r>
          </w:p>
        </w:tc>
        <w:tc>
          <w:tcPr>
            <w:tcW w:w="1107" w:type="pct"/>
            <w:tcBorders>
              <w:top w:val="nil"/>
              <w:left w:val="nil"/>
              <w:bottom w:val="nil"/>
              <w:right w:val="nil"/>
            </w:tcBorders>
            <w:shd w:val="clear" w:color="auto" w:fill="auto"/>
            <w:noWrap/>
            <w:hideMark/>
          </w:tcPr>
          <w:p w14:paraId="281FD90D" w14:textId="77777777" w:rsidR="0021298F" w:rsidRPr="00B87807" w:rsidRDefault="0021298F" w:rsidP="00760009">
            <w:pPr>
              <w:jc w:val="right"/>
              <w:rPr>
                <w:rFonts w:ascii="Arial" w:eastAsia="Times New Roman" w:hAnsi="Arial" w:cs="Arial"/>
                <w:color w:val="000000"/>
                <w:lang w:eastAsia="en-GB"/>
              </w:rPr>
            </w:pPr>
            <w:r w:rsidRPr="004470F0">
              <w:rPr>
                <w:rFonts w:ascii="Arial" w:eastAsia="Times New Roman" w:hAnsi="Arial" w:cs="Arial"/>
                <w:color w:val="000000"/>
                <w:lang w:eastAsia="en-GB"/>
              </w:rPr>
              <w:t>103.1</w:t>
            </w:r>
            <w:r>
              <w:rPr>
                <w:rFonts w:ascii="Arial" w:eastAsia="Times New Roman" w:hAnsi="Arial" w:cs="Arial"/>
                <w:color w:val="000000"/>
                <w:lang w:eastAsia="en-GB"/>
              </w:rPr>
              <w:t xml:space="preserve"> cent</w:t>
            </w:r>
          </w:p>
        </w:tc>
      </w:tr>
      <w:tr w:rsidR="0021298F" w:rsidRPr="002519A9" w14:paraId="3BFF8103" w14:textId="77777777" w:rsidTr="00760009">
        <w:trPr>
          <w:trHeight w:val="276"/>
        </w:trPr>
        <w:tc>
          <w:tcPr>
            <w:tcW w:w="2743" w:type="pct"/>
            <w:tcBorders>
              <w:top w:val="nil"/>
              <w:left w:val="nil"/>
              <w:right w:val="nil"/>
            </w:tcBorders>
            <w:shd w:val="clear" w:color="000000" w:fill="FFFFFF"/>
            <w:noWrap/>
            <w:vAlign w:val="center"/>
          </w:tcPr>
          <w:p w14:paraId="0818BB81" w14:textId="77777777" w:rsidR="0021298F" w:rsidRPr="002519A9" w:rsidRDefault="0021298F" w:rsidP="00760009">
            <w:pPr>
              <w:jc w:val="both"/>
              <w:rPr>
                <w:rFonts w:ascii="Arial" w:eastAsia="Times New Roman" w:hAnsi="Arial" w:cs="Arial"/>
                <w:color w:val="000000"/>
                <w:lang w:eastAsia="en-GB"/>
              </w:rPr>
            </w:pPr>
            <w:r>
              <w:rPr>
                <w:rFonts w:ascii="Arial" w:eastAsia="Times New Roman" w:hAnsi="Arial" w:cs="Arial"/>
                <w:color w:val="000000"/>
                <w:lang w:eastAsia="en-GB"/>
              </w:rPr>
              <w:t>TSR</w:t>
            </w:r>
          </w:p>
        </w:tc>
        <w:tc>
          <w:tcPr>
            <w:tcW w:w="1150" w:type="pct"/>
            <w:tcBorders>
              <w:top w:val="nil"/>
              <w:left w:val="nil"/>
              <w:right w:val="nil"/>
            </w:tcBorders>
            <w:shd w:val="clear" w:color="auto" w:fill="EDFFB7"/>
          </w:tcPr>
          <w:p w14:paraId="37DDF4B8" w14:textId="77777777" w:rsidR="0021298F" w:rsidRPr="001E64E0" w:rsidRDefault="0021298F" w:rsidP="00760009">
            <w:pPr>
              <w:jc w:val="right"/>
              <w:rPr>
                <w:rFonts w:ascii="Arial" w:eastAsia="Times New Roman" w:hAnsi="Arial" w:cs="Arial"/>
                <w:color w:val="000000"/>
                <w:highlight w:val="yellow"/>
                <w:lang w:eastAsia="en-GB"/>
              </w:rPr>
            </w:pPr>
            <w:r>
              <w:rPr>
                <w:rFonts w:ascii="Arial" w:eastAsia="Times New Roman" w:hAnsi="Arial" w:cs="Arial"/>
                <w:color w:val="000000"/>
                <w:lang w:eastAsia="en-GB"/>
              </w:rPr>
              <w:t>38.3</w:t>
            </w:r>
            <w:r w:rsidRPr="000C1DAA">
              <w:rPr>
                <w:rFonts w:ascii="Arial" w:eastAsia="Times New Roman" w:hAnsi="Arial" w:cs="Arial"/>
                <w:color w:val="000000"/>
                <w:lang w:eastAsia="en-GB"/>
              </w:rPr>
              <w:t xml:space="preserve"> per cent</w:t>
            </w:r>
          </w:p>
        </w:tc>
        <w:tc>
          <w:tcPr>
            <w:tcW w:w="1107" w:type="pct"/>
            <w:tcBorders>
              <w:top w:val="nil"/>
              <w:left w:val="nil"/>
              <w:right w:val="nil"/>
            </w:tcBorders>
            <w:shd w:val="clear" w:color="auto" w:fill="auto"/>
            <w:noWrap/>
          </w:tcPr>
          <w:p w14:paraId="5901FACD" w14:textId="77777777" w:rsidR="0021298F" w:rsidRDefault="0021298F" w:rsidP="00760009">
            <w:pPr>
              <w:jc w:val="right"/>
              <w:rPr>
                <w:rFonts w:ascii="Arial" w:eastAsia="Times New Roman" w:hAnsi="Arial" w:cs="Arial"/>
                <w:color w:val="000000"/>
                <w:lang w:eastAsia="en-GB"/>
              </w:rPr>
            </w:pPr>
            <w:r>
              <w:rPr>
                <w:rFonts w:ascii="Arial" w:eastAsia="Times New Roman" w:hAnsi="Arial" w:cs="Arial"/>
                <w:color w:val="000000"/>
                <w:lang w:eastAsia="en-GB"/>
              </w:rPr>
              <w:t>23.5 per cent</w:t>
            </w:r>
          </w:p>
        </w:tc>
      </w:tr>
      <w:tr w:rsidR="0021298F" w:rsidRPr="002519A9" w14:paraId="79D39A55" w14:textId="77777777" w:rsidTr="00760009">
        <w:trPr>
          <w:trHeight w:val="276"/>
        </w:trPr>
        <w:tc>
          <w:tcPr>
            <w:tcW w:w="2743" w:type="pct"/>
            <w:tcBorders>
              <w:top w:val="nil"/>
              <w:left w:val="nil"/>
              <w:right w:val="nil"/>
            </w:tcBorders>
            <w:shd w:val="clear" w:color="000000" w:fill="FFFFFF"/>
            <w:noWrap/>
            <w:vAlign w:val="center"/>
          </w:tcPr>
          <w:p w14:paraId="54051134" w14:textId="77777777" w:rsidR="0021298F" w:rsidRDefault="0021298F" w:rsidP="00760009">
            <w:pPr>
              <w:jc w:val="both"/>
              <w:rPr>
                <w:rFonts w:ascii="Arial" w:eastAsia="Times New Roman" w:hAnsi="Arial" w:cs="Arial"/>
                <w:color w:val="000000"/>
                <w:lang w:eastAsia="en-GB"/>
              </w:rPr>
            </w:pPr>
            <w:r>
              <w:rPr>
                <w:rFonts w:ascii="Arial" w:eastAsia="Times New Roman" w:hAnsi="Arial" w:cs="Arial"/>
                <w:color w:val="000000"/>
                <w:lang w:eastAsia="en-GB"/>
              </w:rPr>
              <w:t>Premium to NAV</w:t>
            </w:r>
          </w:p>
        </w:tc>
        <w:tc>
          <w:tcPr>
            <w:tcW w:w="1150" w:type="pct"/>
            <w:tcBorders>
              <w:top w:val="nil"/>
              <w:left w:val="nil"/>
              <w:right w:val="nil"/>
            </w:tcBorders>
            <w:shd w:val="clear" w:color="auto" w:fill="EDFFB7"/>
          </w:tcPr>
          <w:p w14:paraId="6171CBCF" w14:textId="77777777" w:rsidR="0021298F" w:rsidRDefault="0021298F" w:rsidP="00760009">
            <w:pPr>
              <w:jc w:val="right"/>
              <w:rPr>
                <w:rFonts w:ascii="Arial" w:eastAsia="Times New Roman" w:hAnsi="Arial" w:cs="Arial"/>
                <w:color w:val="000000"/>
                <w:highlight w:val="yellow"/>
                <w:lang w:eastAsia="en-GB"/>
              </w:rPr>
            </w:pPr>
            <w:r w:rsidRPr="000C1DAA">
              <w:rPr>
                <w:rFonts w:ascii="Arial" w:eastAsia="Times New Roman" w:hAnsi="Arial" w:cs="Arial"/>
                <w:color w:val="000000"/>
                <w:lang w:eastAsia="en-GB"/>
              </w:rPr>
              <w:t>15.3 per cent</w:t>
            </w:r>
          </w:p>
        </w:tc>
        <w:tc>
          <w:tcPr>
            <w:tcW w:w="1107" w:type="pct"/>
            <w:tcBorders>
              <w:top w:val="nil"/>
              <w:left w:val="nil"/>
              <w:right w:val="nil"/>
            </w:tcBorders>
            <w:shd w:val="clear" w:color="auto" w:fill="auto"/>
            <w:noWrap/>
          </w:tcPr>
          <w:p w14:paraId="65A4AED2" w14:textId="77777777" w:rsidR="0021298F" w:rsidRDefault="0021298F" w:rsidP="00760009">
            <w:pPr>
              <w:jc w:val="right"/>
              <w:rPr>
                <w:rFonts w:ascii="Arial" w:eastAsia="Times New Roman" w:hAnsi="Arial" w:cs="Arial"/>
                <w:color w:val="000000"/>
                <w:lang w:eastAsia="en-GB"/>
              </w:rPr>
            </w:pPr>
            <w:r>
              <w:rPr>
                <w:rFonts w:ascii="Arial" w:eastAsia="Times New Roman" w:hAnsi="Arial" w:cs="Arial"/>
                <w:color w:val="000000"/>
                <w:lang w:eastAsia="en-GB"/>
              </w:rPr>
              <w:t>15.0 per cent</w:t>
            </w:r>
          </w:p>
        </w:tc>
      </w:tr>
      <w:tr w:rsidR="0021298F" w:rsidRPr="002519A9" w14:paraId="175E9133" w14:textId="77777777" w:rsidTr="00760009">
        <w:trPr>
          <w:trHeight w:val="276"/>
        </w:trPr>
        <w:tc>
          <w:tcPr>
            <w:tcW w:w="2743" w:type="pct"/>
            <w:tcBorders>
              <w:top w:val="nil"/>
              <w:left w:val="nil"/>
              <w:right w:val="nil"/>
            </w:tcBorders>
            <w:shd w:val="clear" w:color="000000" w:fill="FFFFFF"/>
            <w:noWrap/>
            <w:vAlign w:val="center"/>
          </w:tcPr>
          <w:p w14:paraId="45D4AC3C" w14:textId="77777777" w:rsidR="0021298F" w:rsidRDefault="0021298F" w:rsidP="00760009">
            <w:pPr>
              <w:jc w:val="both"/>
              <w:rPr>
                <w:rFonts w:ascii="Arial" w:eastAsia="Times New Roman" w:hAnsi="Arial" w:cs="Arial"/>
                <w:color w:val="000000"/>
                <w:lang w:eastAsia="en-GB"/>
              </w:rPr>
            </w:pPr>
            <w:r>
              <w:rPr>
                <w:rFonts w:ascii="Arial" w:eastAsia="Times New Roman" w:hAnsi="Arial" w:cs="Arial"/>
                <w:color w:val="000000"/>
                <w:lang w:eastAsia="en-GB"/>
              </w:rPr>
              <w:t>CO</w:t>
            </w:r>
            <w:r w:rsidRPr="00E10D9B">
              <w:rPr>
                <w:rFonts w:ascii="Arial" w:eastAsia="Times New Roman" w:hAnsi="Arial" w:cs="Arial"/>
                <w:color w:val="000000"/>
                <w:vertAlign w:val="subscript"/>
                <w:lang w:eastAsia="en-GB"/>
              </w:rPr>
              <w:t>2</w:t>
            </w:r>
            <w:r>
              <w:rPr>
                <w:rFonts w:ascii="Arial" w:eastAsia="Times New Roman" w:hAnsi="Arial" w:cs="Arial"/>
                <w:color w:val="000000"/>
                <w:vertAlign w:val="subscript"/>
                <w:lang w:eastAsia="en-GB"/>
              </w:rPr>
              <w:t xml:space="preserve"> </w:t>
            </w:r>
            <w:r w:rsidRPr="00E10D9B">
              <w:rPr>
                <w:rFonts w:ascii="Arial" w:eastAsia="Times New Roman" w:hAnsi="Arial" w:cs="Arial"/>
                <w:color w:val="000000"/>
                <w:lang w:eastAsia="en-GB"/>
              </w:rPr>
              <w:t>emissi</w:t>
            </w:r>
            <w:r>
              <w:rPr>
                <w:rFonts w:ascii="Arial" w:eastAsia="Times New Roman" w:hAnsi="Arial" w:cs="Arial"/>
                <w:color w:val="000000"/>
                <w:lang w:eastAsia="en-GB"/>
              </w:rPr>
              <w:t>ons reduced per annum</w:t>
            </w:r>
          </w:p>
        </w:tc>
        <w:tc>
          <w:tcPr>
            <w:tcW w:w="1150" w:type="pct"/>
            <w:tcBorders>
              <w:top w:val="nil"/>
              <w:left w:val="nil"/>
              <w:right w:val="nil"/>
            </w:tcBorders>
            <w:shd w:val="clear" w:color="auto" w:fill="EDFFB7"/>
          </w:tcPr>
          <w:p w14:paraId="0AE04F4B" w14:textId="77777777" w:rsidR="0021298F" w:rsidRPr="00E10D9B" w:rsidRDefault="0021298F" w:rsidP="00760009">
            <w:pPr>
              <w:jc w:val="right"/>
              <w:rPr>
                <w:rFonts w:ascii="Arial" w:eastAsia="Times New Roman" w:hAnsi="Arial" w:cs="Arial"/>
                <w:color w:val="000000"/>
                <w:lang w:eastAsia="en-GB"/>
              </w:rPr>
            </w:pPr>
            <w:r>
              <w:rPr>
                <w:rFonts w:ascii="Arial" w:eastAsia="Times New Roman" w:hAnsi="Arial" w:cs="Arial"/>
                <w:color w:val="000000"/>
                <w:lang w:eastAsia="en-GB"/>
              </w:rPr>
              <w:t>0.6</w:t>
            </w:r>
            <w:r w:rsidRPr="00E10D9B">
              <w:rPr>
                <w:rFonts w:ascii="Arial" w:eastAsia="Times New Roman" w:hAnsi="Arial" w:cs="Arial"/>
                <w:color w:val="000000"/>
                <w:lang w:eastAsia="en-GB"/>
              </w:rPr>
              <w:t xml:space="preserve"> million tonnes</w:t>
            </w:r>
          </w:p>
        </w:tc>
        <w:tc>
          <w:tcPr>
            <w:tcW w:w="1107" w:type="pct"/>
            <w:tcBorders>
              <w:top w:val="nil"/>
              <w:left w:val="nil"/>
              <w:right w:val="nil"/>
            </w:tcBorders>
            <w:shd w:val="clear" w:color="auto" w:fill="auto"/>
            <w:noWrap/>
          </w:tcPr>
          <w:p w14:paraId="5A4EAD63" w14:textId="77777777" w:rsidR="0021298F" w:rsidRPr="00707627" w:rsidRDefault="0021298F" w:rsidP="00760009">
            <w:pPr>
              <w:jc w:val="right"/>
              <w:rPr>
                <w:rFonts w:ascii="Arial" w:eastAsia="Times New Roman" w:hAnsi="Arial" w:cs="Arial"/>
                <w:color w:val="000000"/>
                <w:lang w:eastAsia="en-GB"/>
              </w:rPr>
            </w:pPr>
            <w:r>
              <w:rPr>
                <w:rFonts w:ascii="Arial" w:eastAsia="Times New Roman" w:hAnsi="Arial" w:cs="Arial"/>
                <w:color w:val="000000"/>
                <w:lang w:eastAsia="en-GB"/>
              </w:rPr>
              <w:t>0.5</w:t>
            </w:r>
            <w:r w:rsidRPr="00707627">
              <w:rPr>
                <w:rFonts w:ascii="Arial" w:eastAsia="Times New Roman" w:hAnsi="Arial" w:cs="Arial"/>
                <w:color w:val="000000"/>
                <w:lang w:eastAsia="en-GB"/>
              </w:rPr>
              <w:t xml:space="preserve"> million tonnes</w:t>
            </w:r>
          </w:p>
        </w:tc>
      </w:tr>
      <w:tr w:rsidR="0021298F" w:rsidRPr="002519A9" w14:paraId="74AB1A34" w14:textId="77777777" w:rsidTr="00760009">
        <w:trPr>
          <w:trHeight w:val="276"/>
        </w:trPr>
        <w:tc>
          <w:tcPr>
            <w:tcW w:w="2743" w:type="pct"/>
            <w:tcBorders>
              <w:left w:val="nil"/>
              <w:right w:val="nil"/>
            </w:tcBorders>
            <w:shd w:val="clear" w:color="000000" w:fill="FFFFFF"/>
            <w:noWrap/>
            <w:vAlign w:val="center"/>
          </w:tcPr>
          <w:p w14:paraId="21F50A07" w14:textId="77777777" w:rsidR="0021298F" w:rsidRDefault="0021298F" w:rsidP="00760009">
            <w:pPr>
              <w:jc w:val="both"/>
              <w:rPr>
                <w:rFonts w:ascii="Arial" w:eastAsia="Times New Roman" w:hAnsi="Arial" w:cs="Arial"/>
                <w:color w:val="000000"/>
                <w:lang w:eastAsia="en-GB"/>
              </w:rPr>
            </w:pPr>
            <w:r>
              <w:rPr>
                <w:rFonts w:ascii="Arial" w:eastAsia="Times New Roman" w:hAnsi="Arial" w:cs="Arial"/>
                <w:color w:val="000000"/>
                <w:lang w:eastAsia="en-GB"/>
              </w:rPr>
              <w:t>Homes powered per annum</w:t>
            </w:r>
          </w:p>
        </w:tc>
        <w:tc>
          <w:tcPr>
            <w:tcW w:w="1150" w:type="pct"/>
            <w:tcBorders>
              <w:left w:val="nil"/>
              <w:right w:val="nil"/>
            </w:tcBorders>
            <w:shd w:val="clear" w:color="auto" w:fill="EDFFB7"/>
          </w:tcPr>
          <w:p w14:paraId="508E605F" w14:textId="77777777" w:rsidR="0021298F" w:rsidRPr="00E10D9B" w:rsidRDefault="0021298F" w:rsidP="00760009">
            <w:pPr>
              <w:jc w:val="right"/>
              <w:rPr>
                <w:rFonts w:ascii="Arial" w:eastAsia="Times New Roman" w:hAnsi="Arial" w:cs="Arial"/>
                <w:color w:val="000000"/>
                <w:lang w:eastAsia="en-GB"/>
              </w:rPr>
            </w:pPr>
            <w:r>
              <w:rPr>
                <w:rFonts w:ascii="Arial" w:eastAsia="Times New Roman" w:hAnsi="Arial" w:cs="Arial"/>
                <w:color w:val="000000"/>
                <w:lang w:eastAsia="en-GB"/>
              </w:rPr>
              <w:t>0.3</w:t>
            </w:r>
            <w:r w:rsidRPr="00E10D9B">
              <w:rPr>
                <w:rFonts w:ascii="Arial" w:eastAsia="Times New Roman" w:hAnsi="Arial" w:cs="Arial"/>
                <w:color w:val="000000"/>
                <w:lang w:eastAsia="en-GB"/>
              </w:rPr>
              <w:t xml:space="preserve"> million homes</w:t>
            </w:r>
          </w:p>
        </w:tc>
        <w:tc>
          <w:tcPr>
            <w:tcW w:w="1107" w:type="pct"/>
            <w:tcBorders>
              <w:left w:val="nil"/>
              <w:right w:val="nil"/>
            </w:tcBorders>
            <w:shd w:val="clear" w:color="auto" w:fill="auto"/>
            <w:noWrap/>
          </w:tcPr>
          <w:p w14:paraId="0113EE56" w14:textId="77777777" w:rsidR="0021298F" w:rsidRPr="004149E7" w:rsidRDefault="0021298F" w:rsidP="00760009">
            <w:pPr>
              <w:jc w:val="right"/>
              <w:rPr>
                <w:rFonts w:ascii="Arial" w:eastAsia="Times New Roman" w:hAnsi="Arial" w:cs="Arial"/>
                <w:color w:val="000000"/>
                <w:lang w:eastAsia="en-GB"/>
              </w:rPr>
            </w:pPr>
            <w:r>
              <w:rPr>
                <w:rFonts w:ascii="Arial" w:eastAsia="Times New Roman" w:hAnsi="Arial" w:cs="Arial"/>
                <w:color w:val="000000"/>
                <w:lang w:eastAsia="en-GB"/>
              </w:rPr>
              <w:t>0.3</w:t>
            </w:r>
            <w:r w:rsidRPr="00707627">
              <w:rPr>
                <w:rFonts w:ascii="Arial" w:eastAsia="Times New Roman" w:hAnsi="Arial" w:cs="Arial"/>
                <w:color w:val="000000"/>
                <w:lang w:eastAsia="en-GB"/>
              </w:rPr>
              <w:t xml:space="preserve"> million homes</w:t>
            </w:r>
          </w:p>
        </w:tc>
      </w:tr>
      <w:tr w:rsidR="0021298F" w:rsidRPr="002519A9" w14:paraId="648ADA7F" w14:textId="77777777" w:rsidTr="00760009">
        <w:trPr>
          <w:trHeight w:val="276"/>
        </w:trPr>
        <w:tc>
          <w:tcPr>
            <w:tcW w:w="2743" w:type="pct"/>
            <w:tcBorders>
              <w:left w:val="nil"/>
              <w:bottom w:val="single" w:sz="4" w:space="0" w:color="auto"/>
              <w:right w:val="nil"/>
            </w:tcBorders>
            <w:shd w:val="clear" w:color="000000" w:fill="FFFFFF"/>
            <w:noWrap/>
            <w:vAlign w:val="center"/>
          </w:tcPr>
          <w:p w14:paraId="6319293C" w14:textId="77777777" w:rsidR="0021298F" w:rsidRDefault="0021298F" w:rsidP="00760009">
            <w:pPr>
              <w:jc w:val="both"/>
              <w:rPr>
                <w:rFonts w:ascii="Arial" w:eastAsia="Times New Roman" w:hAnsi="Arial" w:cs="Arial"/>
                <w:color w:val="000000"/>
                <w:lang w:eastAsia="en-GB"/>
              </w:rPr>
            </w:pPr>
            <w:r>
              <w:rPr>
                <w:rFonts w:ascii="Arial" w:eastAsia="Times New Roman" w:hAnsi="Arial" w:cs="Arial"/>
                <w:color w:val="000000"/>
                <w:lang w:eastAsia="en-GB"/>
              </w:rPr>
              <w:t>Funds invested in community funds and social projects</w:t>
            </w:r>
          </w:p>
        </w:tc>
        <w:tc>
          <w:tcPr>
            <w:tcW w:w="1150" w:type="pct"/>
            <w:tcBorders>
              <w:left w:val="nil"/>
              <w:bottom w:val="single" w:sz="4" w:space="0" w:color="auto"/>
              <w:right w:val="nil"/>
            </w:tcBorders>
            <w:shd w:val="clear" w:color="auto" w:fill="EDFFB7"/>
          </w:tcPr>
          <w:p w14:paraId="574FE133" w14:textId="77777777" w:rsidR="0021298F" w:rsidRDefault="0021298F" w:rsidP="00760009">
            <w:pPr>
              <w:jc w:val="right"/>
              <w:rPr>
                <w:rFonts w:ascii="Arial" w:eastAsia="Times New Roman" w:hAnsi="Arial" w:cs="Arial"/>
                <w:color w:val="000000"/>
                <w:lang w:eastAsia="en-GB"/>
              </w:rPr>
            </w:pPr>
            <w:r>
              <w:rPr>
                <w:rFonts w:ascii="Arial" w:eastAsia="Times New Roman" w:hAnsi="Arial" w:cs="Arial"/>
                <w:color w:val="000000"/>
                <w:lang w:eastAsia="en-GB"/>
              </w:rPr>
              <w:t>€0.8 million</w:t>
            </w:r>
          </w:p>
        </w:tc>
        <w:tc>
          <w:tcPr>
            <w:tcW w:w="1107" w:type="pct"/>
            <w:tcBorders>
              <w:left w:val="nil"/>
              <w:bottom w:val="single" w:sz="4" w:space="0" w:color="auto"/>
              <w:right w:val="nil"/>
            </w:tcBorders>
            <w:shd w:val="clear" w:color="auto" w:fill="auto"/>
            <w:noWrap/>
          </w:tcPr>
          <w:p w14:paraId="2E7F4BC7" w14:textId="77777777" w:rsidR="0021298F" w:rsidRDefault="0021298F" w:rsidP="00760009">
            <w:pPr>
              <w:jc w:val="right"/>
              <w:rPr>
                <w:rFonts w:ascii="Arial" w:eastAsia="Times New Roman" w:hAnsi="Arial" w:cs="Arial"/>
                <w:color w:val="000000"/>
                <w:lang w:eastAsia="en-GB"/>
              </w:rPr>
            </w:pPr>
            <w:r>
              <w:rPr>
                <w:rFonts w:ascii="Arial" w:eastAsia="Times New Roman" w:hAnsi="Arial" w:cs="Arial"/>
                <w:color w:val="000000"/>
                <w:lang w:eastAsia="en-GB"/>
              </w:rPr>
              <w:t>€0.7 million</w:t>
            </w:r>
          </w:p>
        </w:tc>
      </w:tr>
    </w:tbl>
    <w:p w14:paraId="3DED25BC" w14:textId="77777777" w:rsidR="0021298F" w:rsidRPr="00F25FA6" w:rsidRDefault="0021298F" w:rsidP="0021298F">
      <w:pPr>
        <w:autoSpaceDE w:val="0"/>
        <w:autoSpaceDN w:val="0"/>
        <w:adjustRightInd w:val="0"/>
        <w:jc w:val="both"/>
        <w:rPr>
          <w:rFonts w:ascii="Arial" w:hAnsi="Arial" w:cs="Arial"/>
          <w:bCs/>
          <w:sz w:val="18"/>
          <w:szCs w:val="20"/>
        </w:rPr>
      </w:pPr>
    </w:p>
    <w:p w14:paraId="4DCD70D7" w14:textId="77777777" w:rsidR="0021298F" w:rsidRPr="00382C2F" w:rsidRDefault="0021298F" w:rsidP="0021298F">
      <w:pPr>
        <w:autoSpaceDE w:val="0"/>
        <w:autoSpaceDN w:val="0"/>
        <w:adjustRightInd w:val="0"/>
        <w:jc w:val="both"/>
        <w:rPr>
          <w:rFonts w:ascii="Arial" w:hAnsi="Arial" w:cs="Arial"/>
          <w:b/>
          <w:szCs w:val="26"/>
        </w:rPr>
      </w:pPr>
      <w:r w:rsidRPr="00382C2F">
        <w:rPr>
          <w:rFonts w:ascii="Arial" w:hAnsi="Arial" w:cs="Arial"/>
          <w:b/>
          <w:szCs w:val="26"/>
        </w:rPr>
        <w:lastRenderedPageBreak/>
        <w:t>Defining Characteristics</w:t>
      </w:r>
    </w:p>
    <w:p w14:paraId="5D6ED640" w14:textId="77777777" w:rsidR="0021298F" w:rsidRPr="00382C2F" w:rsidRDefault="0021298F" w:rsidP="0021298F">
      <w:pPr>
        <w:jc w:val="both"/>
        <w:rPr>
          <w:rFonts w:ascii="Arial" w:hAnsi="Arial" w:cs="Arial"/>
        </w:rPr>
      </w:pPr>
      <w:r w:rsidRPr="00382C2F">
        <w:rPr>
          <w:rFonts w:ascii="Arial" w:hAnsi="Arial" w:cs="Arial"/>
        </w:rPr>
        <w:t>Greencoat Renewables PLC was designed for investors from first principles to be simple, transparent and low risk.</w:t>
      </w:r>
    </w:p>
    <w:p w14:paraId="001E2F8B" w14:textId="77777777" w:rsidR="0021298F" w:rsidRPr="00382C2F" w:rsidRDefault="0021298F" w:rsidP="0021298F">
      <w:pPr>
        <w:pStyle w:val="ListParagraph"/>
        <w:numPr>
          <w:ilvl w:val="0"/>
          <w:numId w:val="27"/>
        </w:numPr>
        <w:jc w:val="both"/>
        <w:rPr>
          <w:rFonts w:ascii="Arial" w:hAnsi="Arial" w:cs="Arial"/>
        </w:rPr>
      </w:pPr>
      <w:r w:rsidRPr="00382C2F">
        <w:rPr>
          <w:rFonts w:ascii="Arial" w:hAnsi="Arial" w:cs="Arial"/>
        </w:rPr>
        <w:t xml:space="preserve">The Group initially focused on investing solely in operating Irish wind assets. </w:t>
      </w:r>
      <w:r>
        <w:rPr>
          <w:rFonts w:ascii="Arial" w:hAnsi="Arial" w:cs="Arial"/>
        </w:rPr>
        <w:t xml:space="preserve">During 2020, the Group expanded to mainland Europe with 3 investments in France. </w:t>
      </w:r>
    </w:p>
    <w:p w14:paraId="21129641" w14:textId="77777777" w:rsidR="0021298F" w:rsidRPr="00382C2F" w:rsidRDefault="0021298F" w:rsidP="0021298F">
      <w:pPr>
        <w:pStyle w:val="ListParagraph"/>
        <w:jc w:val="both"/>
        <w:rPr>
          <w:rFonts w:ascii="Arial" w:hAnsi="Arial" w:cs="Arial"/>
        </w:rPr>
      </w:pPr>
    </w:p>
    <w:p w14:paraId="611AFC47" w14:textId="77777777" w:rsidR="0021298F" w:rsidRPr="00382C2F" w:rsidRDefault="0021298F" w:rsidP="0021298F">
      <w:pPr>
        <w:pStyle w:val="ListParagraph"/>
        <w:numPr>
          <w:ilvl w:val="0"/>
          <w:numId w:val="27"/>
        </w:numPr>
        <w:jc w:val="both"/>
        <w:rPr>
          <w:rFonts w:ascii="Arial" w:hAnsi="Arial" w:cs="Arial"/>
        </w:rPr>
      </w:pPr>
      <w:r w:rsidRPr="00382C2F">
        <w:rPr>
          <w:rFonts w:ascii="Arial" w:hAnsi="Arial" w:cs="Arial"/>
        </w:rPr>
        <w:t>Wind is the most mature and largest scale renewable technology.</w:t>
      </w:r>
    </w:p>
    <w:p w14:paraId="634D0EA6" w14:textId="77777777" w:rsidR="0021298F" w:rsidRPr="00382C2F" w:rsidRDefault="0021298F" w:rsidP="0021298F">
      <w:pPr>
        <w:pStyle w:val="ListParagraph"/>
        <w:jc w:val="both"/>
        <w:rPr>
          <w:rFonts w:ascii="Arial" w:hAnsi="Arial" w:cs="Arial"/>
        </w:rPr>
      </w:pPr>
    </w:p>
    <w:p w14:paraId="1E37F4DC" w14:textId="77777777" w:rsidR="0021298F" w:rsidRPr="00382C2F" w:rsidRDefault="0021298F" w:rsidP="0021298F">
      <w:pPr>
        <w:pStyle w:val="ListParagraph"/>
        <w:numPr>
          <w:ilvl w:val="0"/>
          <w:numId w:val="27"/>
        </w:numPr>
        <w:jc w:val="both"/>
        <w:rPr>
          <w:rFonts w:ascii="Arial" w:hAnsi="Arial" w:cs="Arial"/>
        </w:rPr>
      </w:pPr>
      <w:r>
        <w:rPr>
          <w:rFonts w:ascii="Arial" w:hAnsi="Arial" w:cs="Arial"/>
        </w:rPr>
        <w:t xml:space="preserve">Both </w:t>
      </w:r>
      <w:r w:rsidRPr="00382C2F">
        <w:rPr>
          <w:rFonts w:ascii="Arial" w:hAnsi="Arial" w:cs="Arial"/>
        </w:rPr>
        <w:t>Ireland</w:t>
      </w:r>
      <w:r>
        <w:rPr>
          <w:rFonts w:ascii="Arial" w:hAnsi="Arial" w:cs="Arial"/>
        </w:rPr>
        <w:t xml:space="preserve"> and France</w:t>
      </w:r>
      <w:r w:rsidRPr="00382C2F">
        <w:rPr>
          <w:rFonts w:ascii="Arial" w:hAnsi="Arial" w:cs="Arial"/>
        </w:rPr>
        <w:t xml:space="preserve"> ha</w:t>
      </w:r>
      <w:r>
        <w:rPr>
          <w:rFonts w:ascii="Arial" w:hAnsi="Arial" w:cs="Arial"/>
        </w:rPr>
        <w:t>ve</w:t>
      </w:r>
      <w:r w:rsidRPr="00382C2F">
        <w:rPr>
          <w:rFonts w:ascii="Arial" w:hAnsi="Arial" w:cs="Arial"/>
        </w:rPr>
        <w:t xml:space="preserve"> a long</w:t>
      </w:r>
      <w:r>
        <w:rPr>
          <w:rFonts w:ascii="Arial" w:hAnsi="Arial" w:cs="Arial"/>
        </w:rPr>
        <w:t xml:space="preserve"> </w:t>
      </w:r>
      <w:r w:rsidRPr="00382C2F">
        <w:rPr>
          <w:rFonts w:ascii="Arial" w:hAnsi="Arial" w:cs="Arial"/>
        </w:rPr>
        <w:t xml:space="preserve">established regulatory regime, high wind resource and in excess of </w:t>
      </w:r>
      <w:r w:rsidRPr="00AE47CC">
        <w:rPr>
          <w:rFonts w:ascii="Arial" w:hAnsi="Arial" w:cs="Arial"/>
        </w:rPr>
        <w:t>€</w:t>
      </w:r>
      <w:r>
        <w:rPr>
          <w:rFonts w:ascii="Arial" w:hAnsi="Arial" w:cs="Arial"/>
        </w:rPr>
        <w:t>40</w:t>
      </w:r>
      <w:r w:rsidRPr="00AE47CC">
        <w:rPr>
          <w:rFonts w:ascii="Arial" w:hAnsi="Arial" w:cs="Arial"/>
        </w:rPr>
        <w:t xml:space="preserve"> billion</w:t>
      </w:r>
      <w:r w:rsidRPr="00382C2F">
        <w:rPr>
          <w:rFonts w:ascii="Arial" w:hAnsi="Arial" w:cs="Arial"/>
        </w:rPr>
        <w:t xml:space="preserve"> of wind farms expected to be in operation in the short to medium term.</w:t>
      </w:r>
    </w:p>
    <w:p w14:paraId="63B96DBE" w14:textId="77777777" w:rsidR="0021298F" w:rsidRPr="00382C2F" w:rsidRDefault="0021298F" w:rsidP="0021298F">
      <w:pPr>
        <w:pStyle w:val="ListParagraph"/>
        <w:jc w:val="both"/>
        <w:rPr>
          <w:rFonts w:ascii="Arial" w:hAnsi="Arial" w:cs="Arial"/>
        </w:rPr>
      </w:pPr>
    </w:p>
    <w:p w14:paraId="5BB3F959" w14:textId="77777777" w:rsidR="0021298F" w:rsidRPr="00382C2F" w:rsidRDefault="0021298F" w:rsidP="0021298F">
      <w:pPr>
        <w:pStyle w:val="ListParagraph"/>
        <w:numPr>
          <w:ilvl w:val="0"/>
          <w:numId w:val="27"/>
        </w:numPr>
        <w:jc w:val="both"/>
        <w:rPr>
          <w:rFonts w:ascii="Arial" w:hAnsi="Arial" w:cs="Arial"/>
        </w:rPr>
      </w:pPr>
      <w:r w:rsidRPr="00382C2F">
        <w:rPr>
          <w:rFonts w:ascii="Arial" w:hAnsi="Arial" w:cs="Arial"/>
        </w:rPr>
        <w:t>The Group is wholly independent and thus avoids conflicts of interests in its investment decisions.</w:t>
      </w:r>
    </w:p>
    <w:p w14:paraId="2271B7AE" w14:textId="77777777" w:rsidR="0021298F" w:rsidRPr="00382C2F" w:rsidRDefault="0021298F" w:rsidP="0021298F">
      <w:pPr>
        <w:pStyle w:val="ListParagraph"/>
        <w:jc w:val="both"/>
        <w:rPr>
          <w:rFonts w:ascii="Arial" w:hAnsi="Arial" w:cs="Arial"/>
        </w:rPr>
      </w:pPr>
    </w:p>
    <w:p w14:paraId="7FA05AB6" w14:textId="77777777" w:rsidR="0021298F" w:rsidRPr="00382C2F" w:rsidRDefault="0021298F" w:rsidP="0021298F">
      <w:pPr>
        <w:pStyle w:val="ListParagraph"/>
        <w:numPr>
          <w:ilvl w:val="0"/>
          <w:numId w:val="27"/>
        </w:numPr>
        <w:jc w:val="both"/>
        <w:rPr>
          <w:rFonts w:ascii="Arial" w:hAnsi="Arial" w:cs="Arial"/>
        </w:rPr>
      </w:pPr>
      <w:r w:rsidRPr="00382C2F">
        <w:rPr>
          <w:rFonts w:ascii="Arial" w:hAnsi="Arial" w:cs="Arial"/>
        </w:rPr>
        <w:t>The independent Board governs the Group, actively monitors the efficient operation of the assets and works in conjunction with an experienced investment management team.</w:t>
      </w:r>
    </w:p>
    <w:p w14:paraId="45C4E36A" w14:textId="77777777" w:rsidR="0021298F" w:rsidRPr="00382C2F" w:rsidRDefault="0021298F" w:rsidP="0021298F">
      <w:pPr>
        <w:pStyle w:val="ListParagraph"/>
        <w:jc w:val="both"/>
        <w:rPr>
          <w:rFonts w:ascii="Arial" w:hAnsi="Arial" w:cs="Arial"/>
        </w:rPr>
      </w:pPr>
    </w:p>
    <w:p w14:paraId="2D55378B" w14:textId="77777777" w:rsidR="0021298F" w:rsidRPr="00382C2F" w:rsidRDefault="0021298F" w:rsidP="0021298F">
      <w:pPr>
        <w:pStyle w:val="ListParagraph"/>
        <w:numPr>
          <w:ilvl w:val="0"/>
          <w:numId w:val="27"/>
        </w:numPr>
        <w:jc w:val="both"/>
        <w:rPr>
          <w:rFonts w:ascii="Arial" w:hAnsi="Arial" w:cs="Arial"/>
        </w:rPr>
      </w:pPr>
      <w:r w:rsidRPr="00382C2F">
        <w:rPr>
          <w:rFonts w:ascii="Arial" w:hAnsi="Arial" w:cs="Arial"/>
        </w:rPr>
        <w:t>The Group generally invests in wind farms that have an appropriate operational track record (or price adjustment mechanism).</w:t>
      </w:r>
    </w:p>
    <w:p w14:paraId="3940A7C3" w14:textId="77777777" w:rsidR="0021298F" w:rsidRPr="00382C2F" w:rsidRDefault="0021298F" w:rsidP="0021298F">
      <w:pPr>
        <w:pStyle w:val="ListParagraph"/>
        <w:jc w:val="both"/>
        <w:rPr>
          <w:rFonts w:ascii="Arial" w:hAnsi="Arial" w:cs="Arial"/>
        </w:rPr>
      </w:pPr>
    </w:p>
    <w:p w14:paraId="0070BCA2" w14:textId="77777777" w:rsidR="0021298F" w:rsidRPr="00382C2F" w:rsidRDefault="0021298F" w:rsidP="0021298F">
      <w:pPr>
        <w:pStyle w:val="ListParagraph"/>
        <w:numPr>
          <w:ilvl w:val="0"/>
          <w:numId w:val="27"/>
        </w:numPr>
        <w:jc w:val="both"/>
        <w:rPr>
          <w:rFonts w:ascii="Arial" w:hAnsi="Arial" w:cs="Arial"/>
        </w:rPr>
      </w:pPr>
      <w:r w:rsidRPr="00382C2F">
        <w:rPr>
          <w:rFonts w:ascii="Arial" w:hAnsi="Arial" w:cs="Arial"/>
        </w:rPr>
        <w:t xml:space="preserve">Low </w:t>
      </w:r>
      <w:r>
        <w:rPr>
          <w:rFonts w:ascii="Arial" w:hAnsi="Arial" w:cs="Arial"/>
        </w:rPr>
        <w:t>gearing</w:t>
      </w:r>
      <w:r w:rsidRPr="00382C2F">
        <w:rPr>
          <w:rFonts w:ascii="Arial" w:hAnsi="Arial" w:cs="Arial"/>
        </w:rPr>
        <w:t xml:space="preserve"> is important to ensure a high level of cash flow stability and higher tolerance to downside sensitivities.</w:t>
      </w:r>
    </w:p>
    <w:p w14:paraId="00014FB3" w14:textId="77777777" w:rsidR="0021298F" w:rsidRPr="00382C2F" w:rsidRDefault="0021298F" w:rsidP="0021298F">
      <w:pPr>
        <w:pStyle w:val="ListParagraph"/>
        <w:jc w:val="both"/>
        <w:rPr>
          <w:rFonts w:ascii="Arial" w:hAnsi="Arial" w:cs="Arial"/>
        </w:rPr>
      </w:pPr>
    </w:p>
    <w:p w14:paraId="4D5B2606" w14:textId="77777777" w:rsidR="0021298F" w:rsidRPr="00382C2F" w:rsidRDefault="0021298F" w:rsidP="0021298F">
      <w:pPr>
        <w:pStyle w:val="ListParagraph"/>
        <w:numPr>
          <w:ilvl w:val="0"/>
          <w:numId w:val="27"/>
        </w:numPr>
        <w:jc w:val="both"/>
        <w:rPr>
          <w:rFonts w:ascii="Arial" w:hAnsi="Arial" w:cs="Arial"/>
        </w:rPr>
      </w:pPr>
      <w:r w:rsidRPr="00382C2F">
        <w:rPr>
          <w:rFonts w:ascii="Arial" w:hAnsi="Arial" w:cs="Arial"/>
        </w:rPr>
        <w:t xml:space="preserve">The Group invests only in </w:t>
      </w:r>
      <w:r>
        <w:rPr>
          <w:rFonts w:ascii="Arial" w:hAnsi="Arial" w:cs="Arial"/>
        </w:rPr>
        <w:t>E</w:t>
      </w:r>
      <w:r w:rsidRPr="00382C2F">
        <w:rPr>
          <w:rFonts w:ascii="Arial" w:hAnsi="Arial" w:cs="Arial"/>
        </w:rPr>
        <w:t>uro assets and thus does not incur material currency risk.</w:t>
      </w:r>
    </w:p>
    <w:p w14:paraId="3CCE88A9" w14:textId="77777777" w:rsidR="0021298F" w:rsidRPr="002C6D8A" w:rsidRDefault="0021298F" w:rsidP="0021298F">
      <w:pPr>
        <w:jc w:val="both"/>
        <w:rPr>
          <w:rFonts w:ascii="Arial" w:hAnsi="Arial" w:cs="Arial"/>
          <w:highlight w:val="yellow"/>
        </w:rPr>
      </w:pPr>
    </w:p>
    <w:p w14:paraId="5A5D8C17" w14:textId="77777777" w:rsidR="0021298F" w:rsidRPr="001E34C8" w:rsidRDefault="0021298F" w:rsidP="0021298F">
      <w:pPr>
        <w:pStyle w:val="Heading1"/>
        <w:jc w:val="both"/>
        <w:rPr>
          <w:rFonts w:cs="Arial"/>
          <w:b/>
          <w:caps/>
          <w:szCs w:val="26"/>
        </w:rPr>
      </w:pPr>
      <w:r w:rsidRPr="001E34C8">
        <w:rPr>
          <w:rFonts w:cs="Arial"/>
          <w:szCs w:val="26"/>
        </w:rPr>
        <w:t>Chairman’s Statement</w:t>
      </w:r>
    </w:p>
    <w:p w14:paraId="51D4403F" w14:textId="77777777" w:rsidR="0021298F" w:rsidRDefault="0021298F" w:rsidP="0021298F">
      <w:pPr>
        <w:jc w:val="both"/>
        <w:rPr>
          <w:rFonts w:ascii="Arial" w:hAnsi="Arial" w:cs="Arial"/>
        </w:rPr>
      </w:pPr>
    </w:p>
    <w:p w14:paraId="56B18E52" w14:textId="77777777" w:rsidR="0021298F" w:rsidRDefault="0021298F" w:rsidP="0021298F">
      <w:pPr>
        <w:jc w:val="both"/>
        <w:rPr>
          <w:rFonts w:ascii="Arial" w:hAnsi="Arial" w:cs="Arial"/>
        </w:rPr>
      </w:pPr>
      <w:r>
        <w:rPr>
          <w:rFonts w:ascii="Arial" w:hAnsi="Arial" w:cs="Arial"/>
        </w:rPr>
        <w:t xml:space="preserve">I am pleased to present the Company’s full year results for 2020 and report another strong year of activity and growth. While none of us would wish to repeat the past year and while real challenges remain in the wider economy, as we recover together from the COVID-19 pandemic, the Company is fortunate to be in a position to maintain its strong performance extremely well, demonstrating the value of our contracted business model.   </w:t>
      </w:r>
    </w:p>
    <w:p w14:paraId="74ADCD08" w14:textId="77777777" w:rsidR="0021298F" w:rsidRDefault="0021298F" w:rsidP="0021298F">
      <w:pPr>
        <w:jc w:val="both"/>
        <w:rPr>
          <w:rFonts w:ascii="Arial" w:hAnsi="Arial" w:cs="Arial"/>
        </w:rPr>
      </w:pPr>
    </w:p>
    <w:p w14:paraId="4A9FA5AA" w14:textId="77777777" w:rsidR="0021298F" w:rsidRDefault="0021298F" w:rsidP="0021298F">
      <w:pPr>
        <w:jc w:val="both"/>
        <w:rPr>
          <w:rFonts w:ascii="Arial" w:hAnsi="Arial" w:cs="Arial"/>
        </w:rPr>
      </w:pPr>
      <w:r>
        <w:rPr>
          <w:rFonts w:ascii="Arial" w:hAnsi="Arial" w:cs="Arial"/>
        </w:rPr>
        <w:t xml:space="preserve">Throughout 2020, the Group has continued to generate clean electricity for our communities and deliver on its investment objective, providing our investors with predictable returns and robust dividend cover. This has been possible through the excellent efforts of our management team and operating partners, in addition to the benefit of operating in a sector relatively unaffected by the pandemic. </w:t>
      </w:r>
    </w:p>
    <w:p w14:paraId="69A34B0A" w14:textId="77777777" w:rsidR="0021298F" w:rsidRDefault="0021298F" w:rsidP="0021298F">
      <w:pPr>
        <w:jc w:val="both"/>
        <w:rPr>
          <w:rFonts w:ascii="Arial" w:hAnsi="Arial" w:cs="Arial"/>
        </w:rPr>
      </w:pPr>
    </w:p>
    <w:p w14:paraId="3882A822" w14:textId="77777777" w:rsidR="0021298F" w:rsidRDefault="0021298F" w:rsidP="0021298F">
      <w:pPr>
        <w:jc w:val="both"/>
        <w:rPr>
          <w:rFonts w:ascii="Arial" w:hAnsi="Arial" w:cs="Arial"/>
        </w:rPr>
      </w:pPr>
      <w:r>
        <w:rPr>
          <w:rFonts w:ascii="Arial" w:hAnsi="Arial" w:cs="Arial"/>
        </w:rPr>
        <w:t xml:space="preserve">Beyond this strong operational performance, I am also pleased that we have progressed our long-term strategic growth ambitions. We have continued our focus in Ireland while expanding into France in June 2020, and into Finland at the beginning of 2021. This is an important development, demonstrating Greencoat Renewables’ ability to find value in the attractive European market. </w:t>
      </w:r>
    </w:p>
    <w:p w14:paraId="0778F09B" w14:textId="77777777" w:rsidR="0021298F" w:rsidRDefault="0021298F" w:rsidP="0021298F">
      <w:pPr>
        <w:jc w:val="both"/>
        <w:rPr>
          <w:rFonts w:ascii="Arial" w:hAnsi="Arial" w:cs="Arial"/>
        </w:rPr>
      </w:pPr>
    </w:p>
    <w:p w14:paraId="45B30C07" w14:textId="77777777" w:rsidR="0021298F" w:rsidRDefault="0021298F" w:rsidP="0021298F">
      <w:pPr>
        <w:jc w:val="both"/>
        <w:rPr>
          <w:rFonts w:ascii="Arial" w:hAnsi="Arial" w:cs="Arial"/>
        </w:rPr>
      </w:pPr>
      <w:r>
        <w:rPr>
          <w:rFonts w:ascii="Arial" w:hAnsi="Arial" w:cs="Arial"/>
        </w:rPr>
        <w:t xml:space="preserve">The Company has matured significantly in the 3 plus years since listing. We are much larger and more diversified and are benefiting from increasing economies of scale. We have considerable opportunities ahead of us as we bring our expertise and experience to the deep pool of renewable assets in Europe. </w:t>
      </w:r>
    </w:p>
    <w:p w14:paraId="00E13859" w14:textId="77777777" w:rsidR="0021298F" w:rsidRDefault="0021298F" w:rsidP="0021298F">
      <w:pPr>
        <w:jc w:val="both"/>
        <w:rPr>
          <w:rFonts w:ascii="Arial" w:hAnsi="Arial" w:cs="Arial"/>
        </w:rPr>
      </w:pPr>
    </w:p>
    <w:p w14:paraId="5B3B4C9A" w14:textId="77777777" w:rsidR="0021298F" w:rsidRDefault="0021298F" w:rsidP="0021298F">
      <w:pPr>
        <w:jc w:val="both"/>
        <w:rPr>
          <w:rFonts w:ascii="Arial" w:hAnsi="Arial" w:cs="Arial"/>
        </w:rPr>
      </w:pPr>
      <w:r>
        <w:rPr>
          <w:rFonts w:ascii="Arial" w:hAnsi="Arial" w:cs="Arial"/>
        </w:rPr>
        <w:t>I am very optimistic about the Company’s prospects and would like to thank our investors for their continued support. We look forward to continuing to deliver growth and stable returns to shareholders.</w:t>
      </w:r>
    </w:p>
    <w:p w14:paraId="0CF6987A" w14:textId="77777777" w:rsidR="0021298F" w:rsidRDefault="0021298F" w:rsidP="0021298F">
      <w:pPr>
        <w:jc w:val="both"/>
        <w:rPr>
          <w:rFonts w:ascii="Arial" w:hAnsi="Arial" w:cs="Arial"/>
        </w:rPr>
      </w:pPr>
    </w:p>
    <w:p w14:paraId="6B4427CE" w14:textId="77777777" w:rsidR="0021298F" w:rsidRDefault="0021298F" w:rsidP="0021298F">
      <w:pPr>
        <w:jc w:val="both"/>
        <w:rPr>
          <w:rFonts w:ascii="Arial" w:hAnsi="Arial" w:cs="Arial"/>
          <w:b/>
          <w:bCs/>
        </w:rPr>
      </w:pPr>
      <w:r>
        <w:rPr>
          <w:rFonts w:ascii="Arial" w:hAnsi="Arial" w:cs="Arial"/>
          <w:b/>
          <w:bCs/>
        </w:rPr>
        <w:t>COVID-19</w:t>
      </w:r>
    </w:p>
    <w:p w14:paraId="30B7FF7A" w14:textId="77777777" w:rsidR="0021298F" w:rsidRDefault="0021298F" w:rsidP="0021298F">
      <w:pPr>
        <w:jc w:val="both"/>
        <w:rPr>
          <w:rFonts w:ascii="Arial" w:hAnsi="Arial" w:cs="Arial"/>
        </w:rPr>
      </w:pPr>
      <w:r>
        <w:rPr>
          <w:rFonts w:ascii="Arial" w:hAnsi="Arial" w:cs="Arial"/>
        </w:rPr>
        <w:t>From the outbreak of the pandemic, the Group took all possible steps to support and protect our team, contractors and all affected stakeholders. Given the nature of our assets, we were able to continue generating electricity and operations have remained largely unaffected. The Investment Manager enacted business contingency plans, which proved smooth and effective. In addition, some alterations were required to our maintenance and optimisation programmes to abide by government safety guidance.</w:t>
      </w:r>
    </w:p>
    <w:p w14:paraId="1DD0A5B1" w14:textId="77777777" w:rsidR="0021298F" w:rsidRDefault="0021298F" w:rsidP="0021298F">
      <w:pPr>
        <w:jc w:val="both"/>
        <w:rPr>
          <w:rFonts w:ascii="Arial" w:hAnsi="Arial" w:cs="Arial"/>
        </w:rPr>
      </w:pPr>
    </w:p>
    <w:p w14:paraId="68713DE2" w14:textId="77777777" w:rsidR="0021298F" w:rsidRDefault="0021298F" w:rsidP="0021298F">
      <w:pPr>
        <w:jc w:val="both"/>
        <w:rPr>
          <w:rFonts w:ascii="Arial" w:hAnsi="Arial" w:cs="Arial"/>
        </w:rPr>
      </w:pPr>
      <w:r>
        <w:rPr>
          <w:rFonts w:ascii="Arial" w:hAnsi="Arial" w:cs="Arial"/>
        </w:rPr>
        <w:t xml:space="preserve">We would like to acknowledge the efforts of our operating partners, who have adapted their working procedures to continue to operate and maintain our portfolio to high standards, while ensuring government guidelines are followed and health and safety is preserved. </w:t>
      </w:r>
    </w:p>
    <w:p w14:paraId="5B5FE4FC" w14:textId="77777777" w:rsidR="0021298F" w:rsidRDefault="0021298F" w:rsidP="0021298F">
      <w:pPr>
        <w:jc w:val="both"/>
        <w:rPr>
          <w:rFonts w:ascii="Arial" w:hAnsi="Arial" w:cs="Arial"/>
        </w:rPr>
      </w:pPr>
    </w:p>
    <w:p w14:paraId="08E0883E" w14:textId="77777777" w:rsidR="0021298F" w:rsidRDefault="0021298F" w:rsidP="0021298F">
      <w:pPr>
        <w:jc w:val="both"/>
        <w:rPr>
          <w:rFonts w:ascii="Arial" w:hAnsi="Arial" w:cs="Arial"/>
        </w:rPr>
      </w:pPr>
      <w:r>
        <w:rPr>
          <w:rFonts w:ascii="Arial" w:hAnsi="Arial" w:cs="Arial"/>
        </w:rPr>
        <w:t>Due to the contracted nature of portfolio revenues under the respective Irish and French subsidy schemes, there was no material exposure to low power prices and dividend cover remained robust.</w:t>
      </w:r>
    </w:p>
    <w:p w14:paraId="28D76D32" w14:textId="77777777" w:rsidR="0021298F" w:rsidRDefault="0021298F" w:rsidP="0021298F">
      <w:pPr>
        <w:rPr>
          <w:rFonts w:ascii="Arial" w:hAnsi="Arial" w:cs="Arial"/>
        </w:rPr>
      </w:pPr>
    </w:p>
    <w:p w14:paraId="6B84D341" w14:textId="77777777" w:rsidR="0021298F" w:rsidRPr="008C4043" w:rsidRDefault="0021298F" w:rsidP="0021298F">
      <w:pPr>
        <w:pStyle w:val="Heading3"/>
        <w:spacing w:before="0"/>
        <w:jc w:val="both"/>
        <w:rPr>
          <w:rFonts w:ascii="Arial" w:hAnsi="Arial" w:cs="Arial"/>
          <w:bCs/>
        </w:rPr>
      </w:pPr>
      <w:r w:rsidRPr="001E34C8">
        <w:rPr>
          <w:rFonts w:ascii="Arial" w:hAnsi="Arial" w:cs="Arial"/>
          <w:color w:val="auto"/>
        </w:rPr>
        <w:t>Performance</w:t>
      </w:r>
    </w:p>
    <w:p w14:paraId="61A95860" w14:textId="77777777" w:rsidR="0021298F" w:rsidRDefault="0021298F" w:rsidP="0021298F">
      <w:pPr>
        <w:jc w:val="both"/>
        <w:rPr>
          <w:rFonts w:ascii="Arial" w:hAnsi="Arial" w:cs="Arial"/>
        </w:rPr>
      </w:pPr>
      <w:r>
        <w:rPr>
          <w:rFonts w:ascii="Arial" w:hAnsi="Arial" w:cs="Arial"/>
        </w:rPr>
        <w:t xml:space="preserve">Our wind farm portfolio generated 1,404GWh in the year, which was 3 per cent below budget. This compares to 1,154GWh generated in 2019, which was 4 per cent below budget. The overall picture was of </w:t>
      </w:r>
      <w:bookmarkStart w:id="1" w:name="_Hlk62242904"/>
      <w:r>
        <w:rPr>
          <w:rFonts w:ascii="Arial" w:hAnsi="Arial" w:cs="Arial"/>
        </w:rPr>
        <w:t xml:space="preserve">high wind speeds offset by higher than expected grid constraint and curtailment in Ireland, principally due to COVID-19 and the enforced slowdown in the economy, </w:t>
      </w:r>
      <w:bookmarkEnd w:id="1"/>
      <w:r>
        <w:rPr>
          <w:rFonts w:ascii="Arial" w:hAnsi="Arial" w:cs="Arial"/>
        </w:rPr>
        <w:t xml:space="preserve">which saw a decreased demand for electricity, and delays to grid infrastructure development in 2020. This impacted our Irish portfolio’s ability to dispatch in some regions. </w:t>
      </w:r>
    </w:p>
    <w:p w14:paraId="38B04D24" w14:textId="77777777" w:rsidR="0021298F" w:rsidRDefault="0021298F" w:rsidP="0021298F">
      <w:pPr>
        <w:jc w:val="both"/>
        <w:rPr>
          <w:rFonts w:ascii="Arial" w:hAnsi="Arial" w:cs="Arial"/>
        </w:rPr>
      </w:pPr>
    </w:p>
    <w:p w14:paraId="5E8C37FE" w14:textId="77777777" w:rsidR="0021298F" w:rsidRDefault="0021298F" w:rsidP="0021298F">
      <w:pPr>
        <w:jc w:val="both"/>
        <w:rPr>
          <w:rFonts w:ascii="Arial" w:hAnsi="Arial" w:cs="Arial"/>
        </w:rPr>
      </w:pPr>
      <w:r>
        <w:rPr>
          <w:rFonts w:ascii="Arial" w:hAnsi="Arial" w:cs="Arial"/>
        </w:rPr>
        <w:t xml:space="preserve">In light of the ongoing effects of the pandemic, we have conservatively increased our curtailment and constraint assumptions for 2021 and will review these regularly. </w:t>
      </w:r>
    </w:p>
    <w:p w14:paraId="444CE3EA" w14:textId="77777777" w:rsidR="0021298F" w:rsidRDefault="0021298F" w:rsidP="0021298F">
      <w:pPr>
        <w:jc w:val="both"/>
        <w:rPr>
          <w:rFonts w:ascii="Arial" w:hAnsi="Arial" w:cs="Arial"/>
        </w:rPr>
      </w:pPr>
    </w:p>
    <w:p w14:paraId="54D05D46" w14:textId="77777777" w:rsidR="0021298F" w:rsidRDefault="0021298F" w:rsidP="0021298F">
      <w:pPr>
        <w:jc w:val="both"/>
        <w:rPr>
          <w:rFonts w:ascii="Arial" w:hAnsi="Arial" w:cs="Arial"/>
        </w:rPr>
      </w:pPr>
      <w:r>
        <w:rPr>
          <w:rFonts w:ascii="Arial" w:hAnsi="Arial" w:cs="Arial"/>
        </w:rPr>
        <w:t>There were no material unplanned outages during the year, and asset availability was on budget. Net cash generation was €66.4 million</w:t>
      </w:r>
      <w:r>
        <w:rPr>
          <w:rFonts w:ascii="Arial" w:hAnsi="Arial" w:cs="Arial"/>
          <w:vertAlign w:val="superscript"/>
        </w:rPr>
        <w:t>(1)</w:t>
      </w:r>
      <w:r>
        <w:rPr>
          <w:rFonts w:ascii="Arial" w:hAnsi="Arial" w:cs="Arial"/>
        </w:rPr>
        <w:t>, providing dividend cover of 1.7x</w:t>
      </w:r>
      <w:r>
        <w:rPr>
          <w:rFonts w:ascii="Arial" w:hAnsi="Arial" w:cs="Arial"/>
          <w:vertAlign w:val="superscript"/>
        </w:rPr>
        <w:t>(1)</w:t>
      </w:r>
      <w:r>
        <w:rPr>
          <w:rFonts w:ascii="Arial" w:hAnsi="Arial" w:cs="Arial"/>
        </w:rPr>
        <w:t>.</w:t>
      </w:r>
    </w:p>
    <w:p w14:paraId="58973B64" w14:textId="77777777" w:rsidR="0021298F" w:rsidRDefault="0021298F" w:rsidP="0021298F">
      <w:pPr>
        <w:jc w:val="both"/>
        <w:rPr>
          <w:rFonts w:ascii="Arial" w:hAnsi="Arial" w:cs="Arial"/>
        </w:rPr>
      </w:pPr>
    </w:p>
    <w:p w14:paraId="3CCE59EC" w14:textId="77777777" w:rsidR="0021298F" w:rsidRDefault="0021298F" w:rsidP="0021298F">
      <w:pPr>
        <w:autoSpaceDE w:val="0"/>
        <w:autoSpaceDN w:val="0"/>
        <w:adjustRightInd w:val="0"/>
        <w:contextualSpacing/>
        <w:jc w:val="both"/>
        <w:rPr>
          <w:rFonts w:ascii="Arial" w:hAnsi="Arial" w:cs="Arial"/>
        </w:rPr>
      </w:pPr>
      <w:r>
        <w:rPr>
          <w:rFonts w:ascii="Arial" w:hAnsi="Arial" w:cs="Arial"/>
          <w:sz w:val="16"/>
          <w:szCs w:val="18"/>
        </w:rPr>
        <w:t xml:space="preserve">(1) </w:t>
      </w:r>
      <w:r w:rsidRPr="00BE62C5">
        <w:rPr>
          <w:rFonts w:ascii="Arial" w:hAnsi="Arial" w:cs="Arial"/>
          <w:sz w:val="16"/>
          <w:szCs w:val="18"/>
        </w:rPr>
        <w:t>Net cash generation and dividend cover are gross of SPV level debt repayment and were €52.4 million and 1.4x, net of SPV level debt repayment.</w:t>
      </w:r>
    </w:p>
    <w:p w14:paraId="535C9078" w14:textId="77777777" w:rsidR="0021298F" w:rsidRDefault="0021298F" w:rsidP="0021298F">
      <w:pPr>
        <w:jc w:val="both"/>
        <w:rPr>
          <w:rFonts w:ascii="Arial" w:hAnsi="Arial" w:cs="Arial"/>
        </w:rPr>
      </w:pPr>
    </w:p>
    <w:p w14:paraId="211F2E5A" w14:textId="77777777" w:rsidR="0021298F" w:rsidRPr="008C4043" w:rsidRDefault="0021298F" w:rsidP="0021298F">
      <w:pPr>
        <w:pStyle w:val="Heading3"/>
        <w:spacing w:before="0"/>
        <w:jc w:val="both"/>
        <w:rPr>
          <w:rFonts w:ascii="Arial" w:hAnsi="Arial" w:cs="Arial"/>
          <w:bCs/>
          <w:color w:val="auto"/>
        </w:rPr>
      </w:pPr>
      <w:r w:rsidRPr="001E34C8">
        <w:rPr>
          <w:rFonts w:ascii="Arial" w:hAnsi="Arial" w:cs="Arial"/>
          <w:color w:val="auto"/>
        </w:rPr>
        <w:t>Dividends and Returns</w:t>
      </w:r>
    </w:p>
    <w:p w14:paraId="4441F59B" w14:textId="77777777" w:rsidR="0021298F" w:rsidRDefault="0021298F" w:rsidP="0021298F">
      <w:pPr>
        <w:autoSpaceDE w:val="0"/>
        <w:autoSpaceDN w:val="0"/>
        <w:adjustRightInd w:val="0"/>
        <w:jc w:val="both"/>
        <w:rPr>
          <w:rFonts w:ascii="Arial" w:eastAsia="Times New Roman" w:hAnsi="Arial" w:cs="Arial"/>
        </w:rPr>
      </w:pPr>
      <w:r>
        <w:rPr>
          <w:rFonts w:ascii="Arial" w:eastAsia="Times New Roman" w:hAnsi="Arial" w:cs="Arial"/>
        </w:rPr>
        <w:t xml:space="preserve">The Company declared dividends for the year of 6.06 cent per share, with the final quarterly dividend of 1.515 cent per share paid on 26 February 2021. Since listing in July 2017, the Company has consistently delivered on its dividend policy, and at 31 December 2020 had delivered a TSR of </w:t>
      </w:r>
      <w:r w:rsidRPr="000C1DAA">
        <w:rPr>
          <w:rFonts w:ascii="Arial" w:eastAsia="Times New Roman" w:hAnsi="Arial" w:cs="Arial"/>
        </w:rPr>
        <w:t>3</w:t>
      </w:r>
      <w:r>
        <w:rPr>
          <w:rFonts w:ascii="Arial" w:eastAsia="Times New Roman" w:hAnsi="Arial" w:cs="Arial"/>
        </w:rPr>
        <w:t>8</w:t>
      </w:r>
      <w:r w:rsidRPr="000C1DAA">
        <w:rPr>
          <w:rFonts w:ascii="Arial" w:eastAsia="Times New Roman" w:hAnsi="Arial" w:cs="Arial"/>
        </w:rPr>
        <w:t>.</w:t>
      </w:r>
      <w:r>
        <w:rPr>
          <w:rFonts w:ascii="Arial" w:eastAsia="Times New Roman" w:hAnsi="Arial" w:cs="Arial"/>
        </w:rPr>
        <w:t xml:space="preserve">3 per cent.  </w:t>
      </w:r>
    </w:p>
    <w:p w14:paraId="31781D04" w14:textId="77777777" w:rsidR="0021298F" w:rsidRDefault="0021298F" w:rsidP="0021298F">
      <w:pPr>
        <w:autoSpaceDE w:val="0"/>
        <w:autoSpaceDN w:val="0"/>
        <w:adjustRightInd w:val="0"/>
        <w:jc w:val="both"/>
        <w:rPr>
          <w:rFonts w:ascii="Arial" w:eastAsia="Times New Roman" w:hAnsi="Arial" w:cs="Arial"/>
        </w:rPr>
      </w:pPr>
    </w:p>
    <w:p w14:paraId="67FDF6E5" w14:textId="77777777" w:rsidR="0021298F" w:rsidRDefault="0021298F" w:rsidP="0021298F">
      <w:pPr>
        <w:autoSpaceDE w:val="0"/>
        <w:autoSpaceDN w:val="0"/>
        <w:adjustRightInd w:val="0"/>
        <w:jc w:val="both"/>
        <w:rPr>
          <w:rFonts w:ascii="Arial" w:eastAsia="Times New Roman" w:hAnsi="Arial" w:cs="Arial"/>
        </w:rPr>
      </w:pPr>
      <w:r>
        <w:rPr>
          <w:rFonts w:ascii="Arial" w:eastAsia="Times New Roman" w:hAnsi="Arial" w:cs="Arial"/>
        </w:rPr>
        <w:lastRenderedPageBreak/>
        <w:t>Our dividend policy remains unchanged and aims to increase annually between 0 and CPI. Despite CPI being negative in Ireland for 2020, we are pleased to be able to hold our target dividend at 6.06 cent per share, supported by our continued strong cashflow and robust dividend cover.</w:t>
      </w:r>
    </w:p>
    <w:p w14:paraId="14F5A43B" w14:textId="77777777" w:rsidR="0021298F" w:rsidRDefault="0021298F" w:rsidP="0021298F">
      <w:pPr>
        <w:autoSpaceDE w:val="0"/>
        <w:autoSpaceDN w:val="0"/>
        <w:adjustRightInd w:val="0"/>
        <w:jc w:val="both"/>
        <w:rPr>
          <w:rFonts w:ascii="Arial" w:eastAsia="Times New Roman" w:hAnsi="Arial" w:cs="Arial"/>
        </w:rPr>
      </w:pPr>
    </w:p>
    <w:p w14:paraId="2EAA3AA2" w14:textId="77777777" w:rsidR="0021298F" w:rsidRDefault="0021298F" w:rsidP="0021298F">
      <w:pPr>
        <w:autoSpaceDE w:val="0"/>
        <w:autoSpaceDN w:val="0"/>
        <w:adjustRightInd w:val="0"/>
        <w:jc w:val="both"/>
        <w:rPr>
          <w:rFonts w:ascii="Arial" w:eastAsia="Times New Roman" w:hAnsi="Arial" w:cs="Arial"/>
        </w:rPr>
      </w:pPr>
      <w:r>
        <w:rPr>
          <w:rFonts w:ascii="Arial" w:eastAsia="Times New Roman" w:hAnsi="Arial" w:cs="Arial"/>
        </w:rPr>
        <w:t>NAV per share decreased by 2</w:t>
      </w:r>
      <w:r w:rsidRPr="00AE47CC">
        <w:rPr>
          <w:rFonts w:ascii="Arial" w:eastAsia="Times New Roman" w:hAnsi="Arial" w:cs="Arial"/>
        </w:rPr>
        <w:t>.1</w:t>
      </w:r>
      <w:r>
        <w:rPr>
          <w:rFonts w:ascii="Arial" w:eastAsia="Times New Roman" w:hAnsi="Arial" w:cs="Arial"/>
        </w:rPr>
        <w:t xml:space="preserve"> cent per share (ex-dividend) during the year, primarily as a result of lower short-term inflation assumptions in Ireland.</w:t>
      </w:r>
    </w:p>
    <w:p w14:paraId="53983277" w14:textId="77777777" w:rsidR="0021298F" w:rsidRDefault="0021298F" w:rsidP="0021298F">
      <w:pPr>
        <w:autoSpaceDE w:val="0"/>
        <w:autoSpaceDN w:val="0"/>
        <w:adjustRightInd w:val="0"/>
        <w:jc w:val="both"/>
        <w:rPr>
          <w:rFonts w:ascii="Arial" w:eastAsia="Times New Roman" w:hAnsi="Arial" w:cs="Arial"/>
        </w:rPr>
      </w:pPr>
    </w:p>
    <w:p w14:paraId="10D4E25D" w14:textId="77777777" w:rsidR="0021298F" w:rsidRDefault="0021298F" w:rsidP="0021298F">
      <w:pPr>
        <w:autoSpaceDE w:val="0"/>
        <w:autoSpaceDN w:val="0"/>
        <w:adjustRightInd w:val="0"/>
        <w:jc w:val="both"/>
        <w:rPr>
          <w:rFonts w:ascii="Arial" w:hAnsi="Arial" w:cs="Arial"/>
          <w:b/>
          <w:bCs/>
        </w:rPr>
      </w:pPr>
      <w:r>
        <w:rPr>
          <w:rFonts w:ascii="Arial" w:hAnsi="Arial" w:cs="Arial"/>
          <w:b/>
          <w:bCs/>
        </w:rPr>
        <w:t>Acquisitions</w:t>
      </w:r>
    </w:p>
    <w:p w14:paraId="51FCC92C" w14:textId="77777777" w:rsidR="0021298F" w:rsidRDefault="0021298F" w:rsidP="0021298F">
      <w:pPr>
        <w:autoSpaceDE w:val="0"/>
        <w:autoSpaceDN w:val="0"/>
        <w:adjustRightInd w:val="0"/>
        <w:jc w:val="both"/>
        <w:rPr>
          <w:rFonts w:ascii="Arial" w:hAnsi="Arial" w:cs="Arial"/>
        </w:rPr>
      </w:pPr>
      <w:r>
        <w:rPr>
          <w:rFonts w:ascii="Arial" w:hAnsi="Arial" w:cs="Arial"/>
        </w:rPr>
        <w:t>The Company continued to execute on its growth strategy with high level of investment activity in Ireland as well as diversifying into new markets through the transactions in both France and the Nordics.</w:t>
      </w:r>
    </w:p>
    <w:p w14:paraId="69BE9072" w14:textId="77777777" w:rsidR="0021298F" w:rsidRDefault="0021298F" w:rsidP="0021298F">
      <w:pPr>
        <w:autoSpaceDE w:val="0"/>
        <w:autoSpaceDN w:val="0"/>
        <w:adjustRightInd w:val="0"/>
        <w:jc w:val="both"/>
        <w:rPr>
          <w:rFonts w:ascii="Arial" w:eastAsia="Times New Roman" w:hAnsi="Arial" w:cs="Arial"/>
          <w:b/>
          <w:bCs/>
        </w:rPr>
      </w:pPr>
    </w:p>
    <w:p w14:paraId="4EB86218" w14:textId="77777777" w:rsidR="0021298F" w:rsidRDefault="0021298F" w:rsidP="0021298F">
      <w:pPr>
        <w:autoSpaceDE w:val="0"/>
        <w:autoSpaceDN w:val="0"/>
        <w:adjustRightInd w:val="0"/>
        <w:contextualSpacing/>
        <w:jc w:val="both"/>
        <w:rPr>
          <w:rFonts w:ascii="Arial" w:hAnsi="Arial" w:cs="Arial"/>
        </w:rPr>
      </w:pPr>
      <w:r>
        <w:rPr>
          <w:rFonts w:ascii="Arial" w:hAnsi="Arial" w:cs="Arial"/>
        </w:rPr>
        <w:t xml:space="preserve">In Ireland, we continued our strategy to consolidate the REFIT market with four transactions closed in the year: the acquisitions of Letteragh, An Cnoc and Beam Hill Extension wind farms and a 50 per cent investment in Carrickallen wind farm. All of these acquisitions benefit from contracted cashflows until 2032. </w:t>
      </w:r>
    </w:p>
    <w:p w14:paraId="12981627" w14:textId="77777777" w:rsidR="0021298F" w:rsidRDefault="0021298F" w:rsidP="0021298F">
      <w:pPr>
        <w:autoSpaceDE w:val="0"/>
        <w:autoSpaceDN w:val="0"/>
        <w:adjustRightInd w:val="0"/>
        <w:contextualSpacing/>
        <w:jc w:val="both"/>
        <w:rPr>
          <w:rFonts w:ascii="Arial" w:hAnsi="Arial" w:cs="Arial"/>
        </w:rPr>
      </w:pPr>
    </w:p>
    <w:p w14:paraId="6F968B11" w14:textId="77777777" w:rsidR="0021298F" w:rsidRDefault="0021298F" w:rsidP="0021298F">
      <w:pPr>
        <w:autoSpaceDE w:val="0"/>
        <w:autoSpaceDN w:val="0"/>
        <w:adjustRightInd w:val="0"/>
        <w:contextualSpacing/>
        <w:jc w:val="both"/>
        <w:rPr>
          <w:rFonts w:ascii="Arial" w:hAnsi="Arial" w:cs="Arial"/>
        </w:rPr>
      </w:pPr>
      <w:r>
        <w:rPr>
          <w:rFonts w:ascii="Arial" w:hAnsi="Arial" w:cs="Arial"/>
        </w:rPr>
        <w:t>Subsequent to the year end, we also announced the agreement to acquire the 89.9MW Cordal wind farm for €190 million from Cubico Investments. Cordal is located in County Kerry and has revenues contracted under the REFIT 2 scheme.</w:t>
      </w:r>
      <w:r w:rsidRPr="004D4DE3">
        <w:rPr>
          <w:rFonts w:ascii="Arial" w:hAnsi="Arial" w:cs="Arial"/>
        </w:rPr>
        <w:t xml:space="preserve"> </w:t>
      </w:r>
      <w:r>
        <w:rPr>
          <w:rFonts w:ascii="Arial" w:hAnsi="Arial" w:cs="Arial"/>
        </w:rPr>
        <w:t>The Group expects to complete the acquisition in April 2021.</w:t>
      </w:r>
    </w:p>
    <w:p w14:paraId="7D61EE27" w14:textId="77777777" w:rsidR="0021298F" w:rsidRDefault="0021298F" w:rsidP="0021298F">
      <w:pPr>
        <w:autoSpaceDE w:val="0"/>
        <w:autoSpaceDN w:val="0"/>
        <w:adjustRightInd w:val="0"/>
        <w:contextualSpacing/>
        <w:jc w:val="both"/>
        <w:rPr>
          <w:rFonts w:ascii="Arial" w:hAnsi="Arial" w:cs="Arial"/>
        </w:rPr>
      </w:pPr>
    </w:p>
    <w:p w14:paraId="30FA4C6C" w14:textId="77777777" w:rsidR="0021298F" w:rsidRDefault="0021298F" w:rsidP="0021298F">
      <w:pPr>
        <w:autoSpaceDE w:val="0"/>
        <w:autoSpaceDN w:val="0"/>
        <w:adjustRightInd w:val="0"/>
        <w:contextualSpacing/>
        <w:jc w:val="both"/>
        <w:rPr>
          <w:rFonts w:ascii="Arial" w:hAnsi="Arial" w:cs="Arial"/>
        </w:rPr>
      </w:pPr>
      <w:r>
        <w:rPr>
          <w:rFonts w:ascii="Arial" w:hAnsi="Arial" w:cs="Arial"/>
        </w:rPr>
        <w:t xml:space="preserve">In addition, I am pleased that we closed our first RESS transaction, agreeing to acquire the Cloghan and Taghart wind farms from Statkraft once fully operational in 2022. These wind farms are supported by contracted cashflows until the end of 2037. The forward-sale nature of this transaction was also noteworthy as we expect this model to become increasingly common for the Group, both in Ireland and continental Europe. </w:t>
      </w:r>
    </w:p>
    <w:p w14:paraId="0D52A7A0" w14:textId="77777777" w:rsidR="0021298F" w:rsidRDefault="0021298F" w:rsidP="0021298F">
      <w:pPr>
        <w:autoSpaceDE w:val="0"/>
        <w:autoSpaceDN w:val="0"/>
        <w:adjustRightInd w:val="0"/>
        <w:contextualSpacing/>
        <w:jc w:val="both"/>
        <w:rPr>
          <w:rFonts w:ascii="Arial" w:hAnsi="Arial" w:cs="Arial"/>
        </w:rPr>
      </w:pPr>
    </w:p>
    <w:p w14:paraId="36F5572E" w14:textId="77777777" w:rsidR="0021298F" w:rsidRDefault="0021298F" w:rsidP="0021298F">
      <w:pPr>
        <w:pStyle w:val="ListParagraph"/>
        <w:ind w:left="0"/>
        <w:jc w:val="both"/>
        <w:rPr>
          <w:rFonts w:ascii="Arial" w:hAnsi="Arial" w:cs="Arial"/>
          <w:bCs/>
          <w:sz w:val="26"/>
          <w:szCs w:val="26"/>
        </w:rPr>
      </w:pPr>
      <w:r>
        <w:rPr>
          <w:rFonts w:ascii="Arial" w:hAnsi="Arial" w:cs="Arial"/>
        </w:rPr>
        <w:t xml:space="preserve">The Group also completed its first investment in France with the acquisition of a portfolio of 3 wind farms in the Burgundy, Picardy and Nouvelle-Aquitaine regions. We consider France as a highly attractive growth market, with expectations of reaching 70GW by 2030, underpinned by long term contracted cashflows. We expect to scale up the Group’s position in France, building on this acquisition. </w:t>
      </w:r>
    </w:p>
    <w:p w14:paraId="7D1E4012" w14:textId="77777777" w:rsidR="0021298F" w:rsidRPr="00BE62C5" w:rsidRDefault="0021298F" w:rsidP="0021298F">
      <w:pPr>
        <w:pStyle w:val="ListParagraph"/>
        <w:ind w:left="0"/>
        <w:jc w:val="both"/>
        <w:rPr>
          <w:rFonts w:ascii="Arial" w:eastAsiaTheme="majorEastAsia" w:hAnsi="Arial" w:cs="Arial"/>
          <w:b/>
          <w:sz w:val="26"/>
          <w:szCs w:val="26"/>
        </w:rPr>
      </w:pPr>
    </w:p>
    <w:p w14:paraId="0C8CF3DE" w14:textId="77777777" w:rsidR="0021298F" w:rsidRDefault="0021298F" w:rsidP="0021298F">
      <w:pPr>
        <w:autoSpaceDE w:val="0"/>
        <w:autoSpaceDN w:val="0"/>
        <w:adjustRightInd w:val="0"/>
        <w:contextualSpacing/>
        <w:jc w:val="both"/>
        <w:rPr>
          <w:rFonts w:ascii="Arial" w:hAnsi="Arial" w:cs="Arial"/>
        </w:rPr>
      </w:pPr>
      <w:r>
        <w:rPr>
          <w:rFonts w:ascii="Arial" w:hAnsi="Arial" w:cs="Arial"/>
        </w:rPr>
        <w:t xml:space="preserve">In addition, the Group executed its first transaction in the Nordic wind market in February 2021, agreeing to acquire the 43MW Kokkoneva wind farm, once fully operational in 2022. The investment also required placing of the first corporate PPA in the portfolio. </w:t>
      </w:r>
    </w:p>
    <w:p w14:paraId="167452E8" w14:textId="77777777" w:rsidR="0021298F" w:rsidRDefault="0021298F" w:rsidP="0021298F">
      <w:pPr>
        <w:autoSpaceDE w:val="0"/>
        <w:autoSpaceDN w:val="0"/>
        <w:adjustRightInd w:val="0"/>
        <w:contextualSpacing/>
        <w:jc w:val="both"/>
        <w:rPr>
          <w:rFonts w:ascii="Arial" w:hAnsi="Arial" w:cs="Arial"/>
        </w:rPr>
      </w:pPr>
    </w:p>
    <w:p w14:paraId="079D5E29" w14:textId="77777777" w:rsidR="0021298F" w:rsidRDefault="0021298F" w:rsidP="0021298F">
      <w:pPr>
        <w:autoSpaceDE w:val="0"/>
        <w:autoSpaceDN w:val="0"/>
        <w:adjustRightInd w:val="0"/>
        <w:contextualSpacing/>
        <w:jc w:val="both"/>
        <w:rPr>
          <w:rFonts w:ascii="Arial" w:hAnsi="Arial" w:cs="Arial"/>
        </w:rPr>
      </w:pPr>
      <w:r>
        <w:rPr>
          <w:rFonts w:ascii="Arial" w:hAnsi="Arial" w:cs="Arial"/>
        </w:rPr>
        <w:t xml:space="preserve">As at 31 December 2020, the Company’s portfolio comprised 21 wind farms, and an aggregate generating capacity of 557MW. </w:t>
      </w:r>
    </w:p>
    <w:p w14:paraId="3B31F022" w14:textId="77777777" w:rsidR="0021298F" w:rsidRDefault="0021298F" w:rsidP="0021298F">
      <w:pPr>
        <w:autoSpaceDE w:val="0"/>
        <w:autoSpaceDN w:val="0"/>
        <w:adjustRightInd w:val="0"/>
        <w:contextualSpacing/>
        <w:jc w:val="both"/>
        <w:rPr>
          <w:rFonts w:ascii="Arial" w:hAnsi="Arial" w:cs="Arial"/>
        </w:rPr>
      </w:pPr>
    </w:p>
    <w:p w14:paraId="05D62CC2" w14:textId="77777777" w:rsidR="0021298F" w:rsidRDefault="0021298F" w:rsidP="0021298F">
      <w:pPr>
        <w:autoSpaceDE w:val="0"/>
        <w:autoSpaceDN w:val="0"/>
        <w:adjustRightInd w:val="0"/>
        <w:jc w:val="both"/>
        <w:rPr>
          <w:rFonts w:ascii="Arial" w:hAnsi="Arial" w:cs="Arial"/>
        </w:rPr>
      </w:pPr>
      <w:r>
        <w:rPr>
          <w:rFonts w:ascii="Arial" w:hAnsi="Arial" w:cs="Arial"/>
          <w:b/>
        </w:rPr>
        <w:t>Gearing</w:t>
      </w:r>
    </w:p>
    <w:p w14:paraId="047FD13E" w14:textId="77777777" w:rsidR="0021298F" w:rsidRDefault="0021298F" w:rsidP="0021298F">
      <w:pPr>
        <w:autoSpaceDE w:val="0"/>
        <w:autoSpaceDN w:val="0"/>
        <w:adjustRightInd w:val="0"/>
        <w:jc w:val="both"/>
        <w:rPr>
          <w:rFonts w:ascii="Arial" w:hAnsi="Arial" w:cs="Arial"/>
        </w:rPr>
      </w:pPr>
      <w:r>
        <w:rPr>
          <w:rFonts w:ascii="Arial" w:hAnsi="Arial" w:cs="Arial"/>
        </w:rPr>
        <w:t xml:space="preserve">The Group made substantial progress in developing its capital structure through 2020. In April, the Group put in place a new 3-year €300m revolving credit facility. Then in October, the Group placed €200 million of new 5-year term loans with CBA, NAB and Natwest. </w:t>
      </w:r>
    </w:p>
    <w:p w14:paraId="368AE4EE" w14:textId="77777777" w:rsidR="0021298F" w:rsidRDefault="0021298F" w:rsidP="0021298F">
      <w:pPr>
        <w:autoSpaceDE w:val="0"/>
        <w:autoSpaceDN w:val="0"/>
        <w:adjustRightInd w:val="0"/>
        <w:jc w:val="both"/>
        <w:rPr>
          <w:rFonts w:ascii="Arial" w:hAnsi="Arial" w:cs="Arial"/>
        </w:rPr>
      </w:pPr>
    </w:p>
    <w:p w14:paraId="097D5B27" w14:textId="77777777" w:rsidR="0021298F" w:rsidRDefault="0021298F" w:rsidP="0021298F">
      <w:pPr>
        <w:autoSpaceDE w:val="0"/>
        <w:autoSpaceDN w:val="0"/>
        <w:adjustRightInd w:val="0"/>
        <w:jc w:val="both"/>
        <w:rPr>
          <w:rFonts w:ascii="Arial" w:hAnsi="Arial" w:cs="Arial"/>
        </w:rPr>
      </w:pPr>
      <w:r>
        <w:rPr>
          <w:rFonts w:ascii="Arial" w:hAnsi="Arial" w:cs="Arial"/>
        </w:rPr>
        <w:lastRenderedPageBreak/>
        <w:t>We are very pleased with the outcome of our debt structuring in the year, having materially reduced our overall cost of debt, while allowing the Group to maintain an appropriate level of gearing to support growth. We expect to arrange further term loan facilities in the future as we continue to maintain our long-term gearing target.</w:t>
      </w:r>
    </w:p>
    <w:p w14:paraId="291E8EBB" w14:textId="77777777" w:rsidR="0021298F" w:rsidRDefault="0021298F" w:rsidP="0021298F">
      <w:pPr>
        <w:autoSpaceDE w:val="0"/>
        <w:autoSpaceDN w:val="0"/>
        <w:adjustRightInd w:val="0"/>
        <w:jc w:val="both"/>
        <w:rPr>
          <w:rFonts w:ascii="Arial" w:hAnsi="Arial" w:cs="Arial"/>
        </w:rPr>
      </w:pPr>
    </w:p>
    <w:p w14:paraId="1456722E" w14:textId="77777777" w:rsidR="0021298F" w:rsidRDefault="0021298F" w:rsidP="0021298F">
      <w:pPr>
        <w:autoSpaceDE w:val="0"/>
        <w:autoSpaceDN w:val="0"/>
        <w:adjustRightInd w:val="0"/>
        <w:jc w:val="both"/>
        <w:rPr>
          <w:rFonts w:ascii="Arial" w:hAnsi="Arial" w:cs="Arial"/>
        </w:rPr>
      </w:pPr>
      <w:r>
        <w:rPr>
          <w:rFonts w:ascii="Arial" w:hAnsi="Arial" w:cs="Arial"/>
        </w:rPr>
        <w:t>As at 31 December 2020, the Group had €427.9 million of debt outstanding (including SPV level debt), equating to 36 per cent of GAV.</w:t>
      </w:r>
    </w:p>
    <w:p w14:paraId="536704CF" w14:textId="77777777" w:rsidR="0021298F" w:rsidRDefault="0021298F" w:rsidP="0021298F">
      <w:pPr>
        <w:autoSpaceDE w:val="0"/>
        <w:autoSpaceDN w:val="0"/>
        <w:adjustRightInd w:val="0"/>
        <w:jc w:val="both"/>
        <w:rPr>
          <w:rFonts w:ascii="Arial" w:hAnsi="Arial" w:cs="Arial"/>
        </w:rPr>
      </w:pPr>
    </w:p>
    <w:p w14:paraId="32305896" w14:textId="77777777" w:rsidR="0021298F" w:rsidRDefault="0021298F" w:rsidP="0021298F">
      <w:pPr>
        <w:autoSpaceDE w:val="0"/>
        <w:autoSpaceDN w:val="0"/>
        <w:adjustRightInd w:val="0"/>
        <w:contextualSpacing/>
        <w:jc w:val="both"/>
        <w:rPr>
          <w:rFonts w:ascii="Arial" w:hAnsi="Arial" w:cs="Arial"/>
          <w:b/>
        </w:rPr>
      </w:pPr>
      <w:r>
        <w:rPr>
          <w:rFonts w:ascii="Arial" w:hAnsi="Arial" w:cs="Arial"/>
          <w:b/>
        </w:rPr>
        <w:t>Equity Issuance</w:t>
      </w:r>
    </w:p>
    <w:p w14:paraId="03C32EBD" w14:textId="77777777" w:rsidR="0021298F" w:rsidRDefault="0021298F" w:rsidP="0021298F">
      <w:pPr>
        <w:autoSpaceDE w:val="0"/>
        <w:autoSpaceDN w:val="0"/>
        <w:adjustRightInd w:val="0"/>
        <w:contextualSpacing/>
        <w:jc w:val="both"/>
        <w:rPr>
          <w:rFonts w:ascii="Arial" w:hAnsi="Arial" w:cs="Arial"/>
        </w:rPr>
      </w:pPr>
      <w:r>
        <w:rPr>
          <w:rFonts w:ascii="Arial" w:hAnsi="Arial" w:cs="Arial"/>
        </w:rPr>
        <w:t xml:space="preserve">In addition to managing our gearing, raising equity allows the Group to maintain agility for acquisitions and growth. </w:t>
      </w:r>
    </w:p>
    <w:p w14:paraId="71E4BDA2" w14:textId="77777777" w:rsidR="0021298F" w:rsidRDefault="0021298F" w:rsidP="0021298F">
      <w:pPr>
        <w:autoSpaceDE w:val="0"/>
        <w:autoSpaceDN w:val="0"/>
        <w:adjustRightInd w:val="0"/>
        <w:contextualSpacing/>
        <w:jc w:val="both"/>
        <w:rPr>
          <w:rFonts w:ascii="Arial" w:hAnsi="Arial" w:cs="Arial"/>
        </w:rPr>
      </w:pPr>
    </w:p>
    <w:p w14:paraId="6F4BD9CC" w14:textId="77777777" w:rsidR="0021298F" w:rsidRDefault="0021298F" w:rsidP="0021298F">
      <w:pPr>
        <w:autoSpaceDE w:val="0"/>
        <w:autoSpaceDN w:val="0"/>
        <w:adjustRightInd w:val="0"/>
        <w:contextualSpacing/>
        <w:jc w:val="both"/>
        <w:rPr>
          <w:rFonts w:ascii="Arial" w:hAnsi="Arial" w:cs="Arial"/>
        </w:rPr>
      </w:pPr>
      <w:r>
        <w:rPr>
          <w:rFonts w:ascii="Arial" w:hAnsi="Arial" w:cs="Arial"/>
        </w:rPr>
        <w:t>In December 2020, the Company issued €125m of new equity at an issue price of €1.13 per share. The issuance was oversubscribed and accretive to NAV. The Group has significant headroom to pursue investment opportunities in the secondary market as they arise.</w:t>
      </w:r>
    </w:p>
    <w:p w14:paraId="4BEF6151" w14:textId="77777777" w:rsidR="0021298F" w:rsidRDefault="0021298F" w:rsidP="0021298F">
      <w:pPr>
        <w:rPr>
          <w:rFonts w:ascii="Arial" w:hAnsi="Arial" w:cs="Arial"/>
          <w:b/>
        </w:rPr>
      </w:pPr>
    </w:p>
    <w:p w14:paraId="39754428" w14:textId="77777777" w:rsidR="0021298F" w:rsidRDefault="0021298F" w:rsidP="0021298F">
      <w:pPr>
        <w:jc w:val="both"/>
        <w:rPr>
          <w:rFonts w:ascii="Arial" w:hAnsi="Arial" w:cs="Arial"/>
          <w:b/>
        </w:rPr>
      </w:pPr>
      <w:r>
        <w:rPr>
          <w:rFonts w:ascii="Arial" w:hAnsi="Arial" w:cs="Arial"/>
          <w:b/>
        </w:rPr>
        <w:t>Environmental, Social and Governance</w:t>
      </w:r>
    </w:p>
    <w:p w14:paraId="62C4834D" w14:textId="77777777" w:rsidR="0021298F" w:rsidRDefault="0021298F" w:rsidP="0021298F">
      <w:pPr>
        <w:jc w:val="both"/>
        <w:rPr>
          <w:rFonts w:ascii="Arial" w:eastAsiaTheme="majorEastAsia" w:hAnsi="Arial" w:cs="Arial"/>
          <w:bCs/>
        </w:rPr>
      </w:pPr>
      <w:r>
        <w:rPr>
          <w:rFonts w:ascii="Arial" w:eastAsiaTheme="majorEastAsia" w:hAnsi="Arial" w:cs="Arial"/>
          <w:bCs/>
        </w:rPr>
        <w:t>The Group’s most substantial contribution to sustainability is the clean electricity it generates, displacing the need for thermal generation and associated emissions. With a larger portfolio, these metrics continue to rise and in 2020, our 1,404GWh of renewably generated power displaced thermal generation equivalent to 561,432 tonnes of carbon emissions. In perhaps more relatable statistics, we are happy to report that the Group generated enough clean electricity to power 330,355 households.</w:t>
      </w:r>
    </w:p>
    <w:p w14:paraId="27EE19D5" w14:textId="77777777" w:rsidR="0021298F" w:rsidRDefault="0021298F" w:rsidP="0021298F">
      <w:pPr>
        <w:jc w:val="both"/>
        <w:rPr>
          <w:rFonts w:ascii="Arial" w:eastAsiaTheme="majorEastAsia" w:hAnsi="Arial" w:cs="Arial"/>
          <w:bCs/>
        </w:rPr>
      </w:pPr>
    </w:p>
    <w:p w14:paraId="7461D9B1" w14:textId="77777777" w:rsidR="0021298F" w:rsidRDefault="0021298F" w:rsidP="0021298F">
      <w:pPr>
        <w:autoSpaceDE w:val="0"/>
        <w:autoSpaceDN w:val="0"/>
        <w:adjustRightInd w:val="0"/>
        <w:jc w:val="both"/>
        <w:rPr>
          <w:rFonts w:ascii="Arial" w:hAnsi="Arial" w:cs="Arial"/>
        </w:rPr>
      </w:pPr>
      <w:r>
        <w:rPr>
          <w:rFonts w:ascii="Arial" w:eastAsiaTheme="majorEastAsia" w:hAnsi="Arial" w:cs="Arial"/>
          <w:bCs/>
        </w:rPr>
        <w:t xml:space="preserve">In aiming to be a sustainable business for the long term, our ESG ambitions go much further than the reduction of carbon emissions. This year, more than ever, we are proud of the support we provided to the communities in which our wind farms are located, rising together to meet the challenges of COVID-19. </w:t>
      </w:r>
      <w:r>
        <w:rPr>
          <w:rFonts w:ascii="Arial" w:hAnsi="Arial" w:cs="Arial"/>
        </w:rPr>
        <w:t>In addition, we are proud to have been involved in the following activities during the year:</w:t>
      </w:r>
    </w:p>
    <w:p w14:paraId="68E948EB" w14:textId="77777777" w:rsidR="0021298F" w:rsidRDefault="0021298F" w:rsidP="0021298F">
      <w:pPr>
        <w:autoSpaceDE w:val="0"/>
        <w:autoSpaceDN w:val="0"/>
        <w:adjustRightInd w:val="0"/>
        <w:jc w:val="both"/>
        <w:rPr>
          <w:rFonts w:ascii="Arial" w:hAnsi="Arial" w:cs="Arial"/>
        </w:rPr>
      </w:pPr>
    </w:p>
    <w:p w14:paraId="589F55AF" w14:textId="77777777" w:rsidR="0021298F" w:rsidRDefault="0021298F" w:rsidP="0021298F">
      <w:pPr>
        <w:pStyle w:val="ListParagraph"/>
        <w:numPr>
          <w:ilvl w:val="0"/>
          <w:numId w:val="47"/>
        </w:numPr>
        <w:autoSpaceDE w:val="0"/>
        <w:autoSpaceDN w:val="0"/>
        <w:adjustRightInd w:val="0"/>
        <w:jc w:val="both"/>
        <w:rPr>
          <w:rFonts w:ascii="Arial" w:hAnsi="Arial" w:cs="Arial"/>
        </w:rPr>
      </w:pPr>
      <w:r>
        <w:rPr>
          <w:rFonts w:ascii="Arial" w:hAnsi="Arial" w:cs="Arial"/>
        </w:rPr>
        <w:t>actively participated in the Wind Energy Ireland COVID-19 taskforce;</w:t>
      </w:r>
    </w:p>
    <w:p w14:paraId="73A6ED24" w14:textId="77777777" w:rsidR="0021298F" w:rsidRDefault="0021298F" w:rsidP="0021298F">
      <w:pPr>
        <w:pStyle w:val="ListParagraph"/>
        <w:numPr>
          <w:ilvl w:val="0"/>
          <w:numId w:val="47"/>
        </w:numPr>
        <w:autoSpaceDE w:val="0"/>
        <w:autoSpaceDN w:val="0"/>
        <w:adjustRightInd w:val="0"/>
        <w:jc w:val="both"/>
        <w:rPr>
          <w:rFonts w:ascii="Arial" w:hAnsi="Arial" w:cs="Arial"/>
        </w:rPr>
      </w:pPr>
      <w:r>
        <w:rPr>
          <w:rFonts w:ascii="Arial" w:hAnsi="Arial" w:cs="Arial"/>
        </w:rPr>
        <w:t>commenced supporting a 4 year research project with Wind Energy Ireland lead by Trinity College, Dublin that is investigating the impact of wind farms on biodiversity;</w:t>
      </w:r>
    </w:p>
    <w:p w14:paraId="65E484B9" w14:textId="77777777" w:rsidR="0021298F" w:rsidRDefault="0021298F" w:rsidP="0021298F">
      <w:pPr>
        <w:pStyle w:val="ListParagraph"/>
        <w:numPr>
          <w:ilvl w:val="0"/>
          <w:numId w:val="47"/>
        </w:numPr>
        <w:autoSpaceDE w:val="0"/>
        <w:autoSpaceDN w:val="0"/>
        <w:adjustRightInd w:val="0"/>
        <w:jc w:val="both"/>
        <w:rPr>
          <w:rFonts w:ascii="Arial" w:hAnsi="Arial" w:cs="Arial"/>
        </w:rPr>
      </w:pPr>
      <w:r>
        <w:rPr>
          <w:rFonts w:ascii="Arial" w:hAnsi="Arial" w:cs="Arial"/>
        </w:rPr>
        <w:t>continued to sponsor the BT Young Scientist and Technology exhibition.</w:t>
      </w:r>
    </w:p>
    <w:p w14:paraId="0AC496C9" w14:textId="77777777" w:rsidR="0021298F" w:rsidRDefault="0021298F" w:rsidP="0021298F">
      <w:pPr>
        <w:autoSpaceDE w:val="0"/>
        <w:autoSpaceDN w:val="0"/>
        <w:adjustRightInd w:val="0"/>
        <w:jc w:val="both"/>
        <w:rPr>
          <w:rFonts w:ascii="Arial" w:hAnsi="Arial" w:cs="Arial"/>
        </w:rPr>
      </w:pPr>
    </w:p>
    <w:p w14:paraId="32D94DE0" w14:textId="77777777" w:rsidR="0021298F" w:rsidRDefault="0021298F" w:rsidP="0021298F">
      <w:pPr>
        <w:autoSpaceDE w:val="0"/>
        <w:autoSpaceDN w:val="0"/>
        <w:adjustRightInd w:val="0"/>
        <w:jc w:val="both"/>
        <w:rPr>
          <w:rFonts w:ascii="Arial" w:hAnsi="Arial" w:cs="Arial"/>
        </w:rPr>
      </w:pPr>
      <w:r>
        <w:rPr>
          <w:rFonts w:ascii="Arial" w:hAnsi="Arial" w:cs="Arial"/>
        </w:rPr>
        <w:t xml:space="preserve">Further details of these and other activities and initiatives can be found in the latest ESG report on the Company’s website </w:t>
      </w:r>
      <w:hyperlink r:id="rId14" w:history="1">
        <w:r w:rsidRPr="00AE47CC">
          <w:rPr>
            <w:rStyle w:val="Hyperlink"/>
            <w:rFonts w:ascii="Arial" w:hAnsi="Arial" w:cs="Arial"/>
          </w:rPr>
          <w:t>www.greencoat-renewables.com</w:t>
        </w:r>
      </w:hyperlink>
      <w:r>
        <w:rPr>
          <w:rFonts w:ascii="Arial" w:hAnsi="Arial" w:cs="Arial"/>
        </w:rPr>
        <w:t>.</w:t>
      </w:r>
    </w:p>
    <w:p w14:paraId="558D4E55" w14:textId="77777777" w:rsidR="0021298F" w:rsidRDefault="0021298F" w:rsidP="0021298F">
      <w:pPr>
        <w:autoSpaceDE w:val="0"/>
        <w:autoSpaceDN w:val="0"/>
        <w:adjustRightInd w:val="0"/>
        <w:jc w:val="both"/>
        <w:rPr>
          <w:rFonts w:ascii="Arial" w:hAnsi="Arial" w:cs="Arial"/>
        </w:rPr>
      </w:pPr>
    </w:p>
    <w:p w14:paraId="2903096B" w14:textId="77777777" w:rsidR="0021298F" w:rsidRDefault="0021298F" w:rsidP="0021298F">
      <w:pPr>
        <w:autoSpaceDE w:val="0"/>
        <w:autoSpaceDN w:val="0"/>
        <w:adjustRightInd w:val="0"/>
        <w:jc w:val="both"/>
        <w:rPr>
          <w:rFonts w:ascii="Arial" w:hAnsi="Arial" w:cs="Arial"/>
        </w:rPr>
      </w:pPr>
      <w:r>
        <w:rPr>
          <w:rFonts w:ascii="Arial" w:hAnsi="Arial" w:cs="Arial"/>
        </w:rPr>
        <w:t>From the outset of the pandemic, I am pleased to report that we were able to accelerate the release of funds from our Community Support Programme and have managed to prioritise initiatives that are actively aiding the local communities that have been adversely impacted by COVID-19.</w:t>
      </w:r>
    </w:p>
    <w:p w14:paraId="748D0EFB" w14:textId="77777777" w:rsidR="0021298F" w:rsidRDefault="0021298F" w:rsidP="0021298F">
      <w:pPr>
        <w:autoSpaceDE w:val="0"/>
        <w:autoSpaceDN w:val="0"/>
        <w:adjustRightInd w:val="0"/>
        <w:jc w:val="both"/>
        <w:rPr>
          <w:rFonts w:ascii="Arial" w:hAnsi="Arial" w:cs="Arial"/>
        </w:rPr>
      </w:pPr>
    </w:p>
    <w:p w14:paraId="6284AD77" w14:textId="77777777" w:rsidR="0021298F" w:rsidRDefault="0021298F" w:rsidP="0021298F">
      <w:pPr>
        <w:autoSpaceDE w:val="0"/>
        <w:autoSpaceDN w:val="0"/>
        <w:adjustRightInd w:val="0"/>
        <w:jc w:val="both"/>
        <w:rPr>
          <w:rFonts w:ascii="Arial" w:hAnsi="Arial" w:cs="Arial"/>
        </w:rPr>
      </w:pPr>
      <w:r>
        <w:rPr>
          <w:rFonts w:ascii="Arial" w:hAnsi="Arial" w:cs="Arial"/>
        </w:rPr>
        <w:t xml:space="preserve">This year, we also welcome the opportunity to make climate related disclosures as recommended by the Task Force on Climate-Related Financial Disclosures (TCFD) in our Annual Report. Detailed disclosures can be read in the Directors’ Report. </w:t>
      </w:r>
    </w:p>
    <w:p w14:paraId="16FF98DB" w14:textId="77777777" w:rsidR="0021298F" w:rsidRDefault="0021298F" w:rsidP="0021298F">
      <w:pPr>
        <w:autoSpaceDE w:val="0"/>
        <w:autoSpaceDN w:val="0"/>
        <w:adjustRightInd w:val="0"/>
        <w:jc w:val="both"/>
        <w:rPr>
          <w:rFonts w:ascii="Arial" w:hAnsi="Arial" w:cs="Arial"/>
          <w:highlight w:val="yellow"/>
        </w:rPr>
      </w:pPr>
    </w:p>
    <w:p w14:paraId="6697CF3D" w14:textId="77777777" w:rsidR="0021298F" w:rsidRDefault="0021298F" w:rsidP="0021298F">
      <w:pPr>
        <w:autoSpaceDE w:val="0"/>
        <w:autoSpaceDN w:val="0"/>
        <w:adjustRightInd w:val="0"/>
        <w:jc w:val="both"/>
        <w:rPr>
          <w:rFonts w:ascii="Arial" w:hAnsi="Arial" w:cs="Arial"/>
          <w:b/>
        </w:rPr>
      </w:pPr>
      <w:r>
        <w:rPr>
          <w:rFonts w:ascii="Arial" w:hAnsi="Arial" w:cs="Arial"/>
          <w:b/>
        </w:rPr>
        <w:lastRenderedPageBreak/>
        <w:t xml:space="preserve">Outlook </w:t>
      </w:r>
    </w:p>
    <w:p w14:paraId="68F65483" w14:textId="77777777" w:rsidR="0021298F" w:rsidRDefault="0021298F" w:rsidP="0021298F">
      <w:pPr>
        <w:autoSpaceDE w:val="0"/>
        <w:autoSpaceDN w:val="0"/>
        <w:adjustRightInd w:val="0"/>
        <w:contextualSpacing/>
        <w:jc w:val="both"/>
        <w:rPr>
          <w:rFonts w:ascii="Arial" w:hAnsi="Arial" w:cs="Arial"/>
        </w:rPr>
      </w:pPr>
      <w:r>
        <w:rPr>
          <w:rFonts w:ascii="Arial" w:hAnsi="Arial" w:cs="Arial"/>
        </w:rPr>
        <w:t xml:space="preserve">The Company’s outlook remains very strong and fortunately has been largely unaffected by COVID-19. The highly contracted cashflows of our portfolio means that we will continue to experience negligible impact on low captured power prices. The Group has demonstrated that it can continue to grow effectively despite the pandemic, and we have a significant pipeline of opportunities in Ireland and across Europe. </w:t>
      </w:r>
    </w:p>
    <w:p w14:paraId="4D15215F" w14:textId="77777777" w:rsidR="0021298F" w:rsidRDefault="0021298F" w:rsidP="0021298F">
      <w:pPr>
        <w:autoSpaceDE w:val="0"/>
        <w:autoSpaceDN w:val="0"/>
        <w:adjustRightInd w:val="0"/>
        <w:contextualSpacing/>
        <w:jc w:val="both"/>
        <w:rPr>
          <w:rFonts w:ascii="Arial" w:hAnsi="Arial" w:cs="Arial"/>
        </w:rPr>
      </w:pPr>
    </w:p>
    <w:p w14:paraId="3EAE160C" w14:textId="77777777" w:rsidR="0021298F" w:rsidRDefault="0021298F" w:rsidP="0021298F">
      <w:pPr>
        <w:autoSpaceDE w:val="0"/>
        <w:autoSpaceDN w:val="0"/>
        <w:adjustRightInd w:val="0"/>
        <w:contextualSpacing/>
        <w:jc w:val="both"/>
        <w:rPr>
          <w:rFonts w:ascii="Arial" w:hAnsi="Arial" w:cs="Arial"/>
        </w:rPr>
      </w:pPr>
      <w:r>
        <w:rPr>
          <w:rFonts w:ascii="Arial" w:hAnsi="Arial" w:cs="Arial"/>
        </w:rPr>
        <w:t xml:space="preserve">The Irish market remains very attractive to us, and the acquisition of our first RESS assets shows the depth of the future opportunity. Given the CFD structure of RESS, as well as regular auctions planned until 2026, we still consider Ireland as a key focus for further investment and we expect the Group to remain active and maintain our strong market position. </w:t>
      </w:r>
    </w:p>
    <w:p w14:paraId="3790B0B6" w14:textId="77777777" w:rsidR="0021298F" w:rsidRDefault="0021298F" w:rsidP="0021298F">
      <w:pPr>
        <w:autoSpaceDE w:val="0"/>
        <w:autoSpaceDN w:val="0"/>
        <w:adjustRightInd w:val="0"/>
        <w:contextualSpacing/>
        <w:jc w:val="both"/>
        <w:rPr>
          <w:rFonts w:ascii="Arial" w:hAnsi="Arial" w:cs="Arial"/>
        </w:rPr>
      </w:pPr>
    </w:p>
    <w:p w14:paraId="44D8149A" w14:textId="77777777" w:rsidR="0021298F" w:rsidRDefault="0021298F" w:rsidP="0021298F">
      <w:pPr>
        <w:jc w:val="both"/>
      </w:pPr>
      <w:r>
        <w:rPr>
          <w:rFonts w:ascii="Arial" w:hAnsi="Arial" w:cs="Arial"/>
        </w:rPr>
        <w:t xml:space="preserve">Perhaps our most notable event of the year was the Group’s expansion into continental Europe with a portfolio acquisition in France and an investment commitment in Finland after the end of the year. Given the Investment Manager’s deep relationships and strong reputation with developers and utilities, and the Group’s ability to invest without currency risk and increasing scale, we continue to believe that Europe represents a substantial opportunity for the Group. </w:t>
      </w:r>
    </w:p>
    <w:p w14:paraId="309B33A9" w14:textId="77777777" w:rsidR="0021298F" w:rsidRDefault="0021298F" w:rsidP="0021298F">
      <w:pPr>
        <w:jc w:val="both"/>
        <w:rPr>
          <w:rFonts w:ascii="Arial" w:hAnsi="Arial" w:cs="Arial"/>
          <w:b/>
        </w:rPr>
      </w:pPr>
      <w:r>
        <w:rPr>
          <w:rFonts w:ascii="Arial" w:hAnsi="Arial" w:cs="Arial"/>
          <w:b/>
        </w:rPr>
        <w:t>Board and Governance</w:t>
      </w:r>
    </w:p>
    <w:p w14:paraId="4D199A75" w14:textId="77777777" w:rsidR="0021298F" w:rsidRDefault="0021298F" w:rsidP="0021298F">
      <w:pPr>
        <w:autoSpaceDE w:val="0"/>
        <w:autoSpaceDN w:val="0"/>
        <w:adjustRightInd w:val="0"/>
        <w:jc w:val="both"/>
        <w:rPr>
          <w:rFonts w:ascii="Arial" w:hAnsi="Arial" w:cs="Arial"/>
        </w:rPr>
      </w:pPr>
      <w:r>
        <w:rPr>
          <w:rFonts w:ascii="Arial" w:hAnsi="Arial" w:cs="Arial"/>
        </w:rPr>
        <w:t>The annual internal evaluation of the Board raised no significant issues</w:t>
      </w:r>
      <w:r w:rsidRPr="00441DCC">
        <w:rPr>
          <w:rFonts w:ascii="Arial" w:hAnsi="Arial" w:cs="Arial"/>
        </w:rPr>
        <w:t>.</w:t>
      </w:r>
      <w:r>
        <w:rPr>
          <w:rFonts w:ascii="Arial" w:hAnsi="Arial" w:cs="Arial"/>
        </w:rPr>
        <w:t xml:space="preserve"> The COVID-19 pandemic presented challenges to the Board and the Investment Manager, preventing us to meet in person to discuss matters of the Company and the investment portfolio. However, as further described in the Corporate Governance Report, the Board was able to meet 8 times during the year, the majority over video conference, and was able to continue to govern the Company well, despite these restrictions.</w:t>
      </w:r>
    </w:p>
    <w:p w14:paraId="6A475FF4" w14:textId="77777777" w:rsidR="0021298F" w:rsidRDefault="0021298F" w:rsidP="0021298F">
      <w:pPr>
        <w:autoSpaceDE w:val="0"/>
        <w:autoSpaceDN w:val="0"/>
        <w:adjustRightInd w:val="0"/>
        <w:jc w:val="both"/>
        <w:rPr>
          <w:rFonts w:ascii="Arial" w:hAnsi="Arial" w:cs="Arial"/>
        </w:rPr>
      </w:pPr>
    </w:p>
    <w:p w14:paraId="4F391198" w14:textId="77777777" w:rsidR="0021298F" w:rsidRDefault="0021298F" w:rsidP="0021298F">
      <w:pPr>
        <w:autoSpaceDE w:val="0"/>
        <w:autoSpaceDN w:val="0"/>
        <w:adjustRightInd w:val="0"/>
        <w:jc w:val="both"/>
        <w:rPr>
          <w:rFonts w:ascii="Arial" w:hAnsi="Arial" w:cs="Arial"/>
        </w:rPr>
      </w:pPr>
      <w:r>
        <w:rPr>
          <w:rFonts w:ascii="Arial" w:hAnsi="Arial" w:cs="Arial"/>
        </w:rPr>
        <w:t xml:space="preserve">The Group’s governance is further described in the Corporate Governance Report. </w:t>
      </w:r>
    </w:p>
    <w:p w14:paraId="5B64DB05" w14:textId="77777777" w:rsidR="0021298F" w:rsidRDefault="0021298F" w:rsidP="0021298F">
      <w:pPr>
        <w:autoSpaceDE w:val="0"/>
        <w:autoSpaceDN w:val="0"/>
        <w:adjustRightInd w:val="0"/>
        <w:jc w:val="both"/>
        <w:rPr>
          <w:rFonts w:ascii="Arial" w:hAnsi="Arial" w:cs="Arial"/>
        </w:rPr>
      </w:pPr>
    </w:p>
    <w:p w14:paraId="473330BF" w14:textId="77777777" w:rsidR="0021298F" w:rsidRDefault="0021298F" w:rsidP="0021298F">
      <w:pPr>
        <w:autoSpaceDE w:val="0"/>
        <w:autoSpaceDN w:val="0"/>
        <w:adjustRightInd w:val="0"/>
        <w:jc w:val="both"/>
        <w:rPr>
          <w:rFonts w:ascii="Arial" w:hAnsi="Arial" w:cs="Arial"/>
          <w:b/>
          <w:bCs/>
        </w:rPr>
      </w:pPr>
      <w:r>
        <w:rPr>
          <w:rFonts w:ascii="Arial" w:hAnsi="Arial" w:cs="Arial"/>
          <w:b/>
          <w:bCs/>
        </w:rPr>
        <w:t>Annual General Meeting</w:t>
      </w:r>
    </w:p>
    <w:p w14:paraId="11E1F8BD" w14:textId="77777777" w:rsidR="0021298F" w:rsidRDefault="0021298F" w:rsidP="0021298F">
      <w:pPr>
        <w:jc w:val="both"/>
        <w:rPr>
          <w:rFonts w:ascii="Arial" w:eastAsiaTheme="majorEastAsia" w:hAnsi="Arial" w:cs="Arial"/>
          <w:b/>
          <w:sz w:val="26"/>
          <w:szCs w:val="26"/>
        </w:rPr>
      </w:pPr>
      <w:r>
        <w:rPr>
          <w:rFonts w:ascii="Arial" w:hAnsi="Arial" w:cs="Arial"/>
        </w:rPr>
        <w:t xml:space="preserve">Our </w:t>
      </w:r>
      <w:r w:rsidRPr="008528F1">
        <w:rPr>
          <w:rFonts w:ascii="Arial" w:hAnsi="Arial" w:cs="Arial"/>
        </w:rPr>
        <w:t xml:space="preserve">AGM will take place at </w:t>
      </w:r>
      <w:r>
        <w:rPr>
          <w:rFonts w:ascii="Arial" w:hAnsi="Arial" w:cs="Arial"/>
        </w:rPr>
        <w:t>9</w:t>
      </w:r>
      <w:r w:rsidRPr="008528F1">
        <w:rPr>
          <w:rFonts w:ascii="Arial" w:hAnsi="Arial" w:cs="Arial"/>
        </w:rPr>
        <w:t xml:space="preserve">.00 am on Thursday 29 April 2021. In 2020, following the advice of the government on social distancing, travel and measures to prohibit public gathering in order to minimise the spread of COVID-19, the Company decided to change the location of its AGM from the offices of the NOMAD and hold it </w:t>
      </w:r>
      <w:r>
        <w:rPr>
          <w:rFonts w:ascii="Arial" w:hAnsi="Arial" w:cs="Arial"/>
        </w:rPr>
        <w:t xml:space="preserve">at our offices </w:t>
      </w:r>
      <w:r w:rsidRPr="008528F1">
        <w:rPr>
          <w:rFonts w:ascii="Arial" w:hAnsi="Arial" w:cs="Arial"/>
        </w:rPr>
        <w:t xml:space="preserve">with the minimum necessary quorum of two shareholders present. A recording of the AGM </w:t>
      </w:r>
      <w:r>
        <w:rPr>
          <w:rFonts w:ascii="Arial" w:hAnsi="Arial" w:cs="Arial"/>
        </w:rPr>
        <w:t>was</w:t>
      </w:r>
      <w:r w:rsidRPr="008528F1">
        <w:rPr>
          <w:rFonts w:ascii="Arial" w:hAnsi="Arial" w:cs="Arial"/>
        </w:rPr>
        <w:t xml:space="preserve"> made</w:t>
      </w:r>
      <w:r>
        <w:rPr>
          <w:rFonts w:ascii="Arial" w:hAnsi="Arial" w:cs="Arial"/>
        </w:rPr>
        <w:t xml:space="preserve"> and is available for shareholders on the Company’s website (www.greencoat-renewables.com).</w:t>
      </w:r>
    </w:p>
    <w:p w14:paraId="25102CF9" w14:textId="77777777" w:rsidR="0021298F" w:rsidRDefault="0021298F" w:rsidP="0021298F">
      <w:pPr>
        <w:autoSpaceDE w:val="0"/>
        <w:autoSpaceDN w:val="0"/>
        <w:adjustRightInd w:val="0"/>
        <w:jc w:val="both"/>
        <w:rPr>
          <w:rFonts w:ascii="Arial" w:hAnsi="Arial" w:cs="Arial"/>
        </w:rPr>
      </w:pPr>
      <w:r>
        <w:rPr>
          <w:rFonts w:ascii="Arial" w:hAnsi="Arial" w:cs="Arial"/>
        </w:rPr>
        <w:t>It appears likely that such an arrangement might also be necessary for the AGM this year. The Board recognises the value of shareholder interaction and will try to provide investors with the opportunity to meet with the Directors and the Investment Manager, if possible, later in the year.</w:t>
      </w:r>
    </w:p>
    <w:p w14:paraId="789A1CC7" w14:textId="77777777" w:rsidR="0021298F" w:rsidRDefault="0021298F" w:rsidP="0021298F">
      <w:pPr>
        <w:jc w:val="both"/>
        <w:rPr>
          <w:rFonts w:ascii="Arial" w:hAnsi="Arial" w:cs="Arial"/>
        </w:rPr>
      </w:pPr>
    </w:p>
    <w:p w14:paraId="4B4EF3B5" w14:textId="77777777" w:rsidR="0021298F" w:rsidRDefault="0021298F" w:rsidP="0021298F">
      <w:pPr>
        <w:jc w:val="both"/>
        <w:rPr>
          <w:rFonts w:ascii="Arial" w:hAnsi="Arial" w:cs="Arial"/>
        </w:rPr>
      </w:pPr>
      <w:r>
        <w:rPr>
          <w:rFonts w:ascii="Arial" w:hAnsi="Arial" w:cs="Arial"/>
        </w:rPr>
        <w:t>Details of the formal business of the meeting are set out in a separate circular which is sent to shareholders with the Annual Report.</w:t>
      </w:r>
    </w:p>
    <w:p w14:paraId="2EE83282" w14:textId="77777777" w:rsidR="0021298F" w:rsidRDefault="0021298F" w:rsidP="0021298F">
      <w:pPr>
        <w:jc w:val="both"/>
        <w:rPr>
          <w:rFonts w:ascii="Arial" w:hAnsi="Arial" w:cs="Arial"/>
        </w:rPr>
      </w:pPr>
    </w:p>
    <w:p w14:paraId="1CE67135" w14:textId="77777777" w:rsidR="0021298F" w:rsidRDefault="0021298F" w:rsidP="0021298F">
      <w:pPr>
        <w:autoSpaceDE w:val="0"/>
        <w:autoSpaceDN w:val="0"/>
        <w:adjustRightInd w:val="0"/>
        <w:jc w:val="both"/>
        <w:rPr>
          <w:rFonts w:ascii="Arial" w:hAnsi="Arial" w:cs="Arial"/>
          <w:b/>
          <w:bCs/>
        </w:rPr>
      </w:pPr>
      <w:r>
        <w:rPr>
          <w:rFonts w:ascii="Arial" w:hAnsi="Arial" w:cs="Arial"/>
          <w:b/>
          <w:bCs/>
        </w:rPr>
        <w:t>Conclusion</w:t>
      </w:r>
    </w:p>
    <w:p w14:paraId="4F91B8C6" w14:textId="77777777" w:rsidR="0021298F" w:rsidRDefault="0021298F" w:rsidP="0021298F">
      <w:pPr>
        <w:jc w:val="both"/>
        <w:rPr>
          <w:rFonts w:ascii="Arial" w:hAnsi="Arial" w:cs="Arial"/>
        </w:rPr>
      </w:pPr>
      <w:r>
        <w:rPr>
          <w:rFonts w:ascii="Arial" w:hAnsi="Arial" w:cs="Arial"/>
        </w:rPr>
        <w:t xml:space="preserve">I would like to thank my fellow directors, Emer Gilvarry, Marco Graziano, and Kevin McNamara, for their valuable stewardship, input and counsel in a difficult year. I would also like to acknowledge the considerable skill and endeavour of our Investment </w:t>
      </w:r>
      <w:r>
        <w:rPr>
          <w:rFonts w:ascii="Arial" w:hAnsi="Arial" w:cs="Arial"/>
        </w:rPr>
        <w:lastRenderedPageBreak/>
        <w:t xml:space="preserve">Manager, Greencoat Capital, which ensured the Group continued to operate efficiently and grow sustainably in a challenging year for all of us. </w:t>
      </w:r>
    </w:p>
    <w:p w14:paraId="246A5873" w14:textId="77777777" w:rsidR="0021298F" w:rsidRDefault="0021298F" w:rsidP="0021298F">
      <w:pPr>
        <w:jc w:val="both"/>
        <w:rPr>
          <w:rFonts w:ascii="Arial" w:hAnsi="Arial" w:cs="Arial"/>
        </w:rPr>
      </w:pPr>
    </w:p>
    <w:p w14:paraId="1ED0096C" w14:textId="77777777" w:rsidR="0021298F" w:rsidRDefault="0021298F" w:rsidP="0021298F">
      <w:pPr>
        <w:jc w:val="both"/>
        <w:rPr>
          <w:rFonts w:ascii="Arial" w:hAnsi="Arial" w:cs="Arial"/>
        </w:rPr>
      </w:pPr>
      <w:r>
        <w:rPr>
          <w:rFonts w:ascii="Arial" w:hAnsi="Arial" w:cs="Arial"/>
          <w:b/>
        </w:rPr>
        <w:t>Rónán Murphy</w:t>
      </w:r>
    </w:p>
    <w:p w14:paraId="2E063F50" w14:textId="77777777" w:rsidR="0021298F" w:rsidRDefault="0021298F" w:rsidP="0021298F">
      <w:pPr>
        <w:jc w:val="both"/>
        <w:rPr>
          <w:rFonts w:ascii="Arial" w:hAnsi="Arial" w:cs="Arial"/>
        </w:rPr>
      </w:pPr>
      <w:r>
        <w:rPr>
          <w:rFonts w:ascii="Arial" w:hAnsi="Arial" w:cs="Arial"/>
        </w:rPr>
        <w:t>Chairman</w:t>
      </w:r>
    </w:p>
    <w:p w14:paraId="40B7BA0D" w14:textId="77777777" w:rsidR="0021298F" w:rsidRDefault="0021298F" w:rsidP="0021298F">
      <w:pPr>
        <w:autoSpaceDE w:val="0"/>
        <w:autoSpaceDN w:val="0"/>
        <w:adjustRightInd w:val="0"/>
        <w:jc w:val="both"/>
        <w:rPr>
          <w:rFonts w:ascii="Arial" w:eastAsia="Times New Roman" w:hAnsi="Arial" w:cs="Arial"/>
        </w:rPr>
      </w:pPr>
      <w:r>
        <w:rPr>
          <w:rFonts w:ascii="Arial" w:hAnsi="Arial" w:cs="Arial"/>
        </w:rPr>
        <w:t>28 February 2021</w:t>
      </w:r>
    </w:p>
    <w:p w14:paraId="63696454" w14:textId="77777777" w:rsidR="0021298F" w:rsidRDefault="0021298F" w:rsidP="0021298F">
      <w:pPr>
        <w:autoSpaceDE w:val="0"/>
        <w:autoSpaceDN w:val="0"/>
        <w:adjustRightInd w:val="0"/>
        <w:jc w:val="both"/>
        <w:rPr>
          <w:rFonts w:ascii="Arial" w:eastAsia="Times New Roman" w:hAnsi="Arial" w:cs="Arial"/>
        </w:rPr>
      </w:pPr>
    </w:p>
    <w:p w14:paraId="5D3AE206" w14:textId="77777777" w:rsidR="0021298F" w:rsidRDefault="0021298F" w:rsidP="0021298F">
      <w:pPr>
        <w:pStyle w:val="Heading1"/>
        <w:jc w:val="both"/>
        <w:rPr>
          <w:rFonts w:cs="Arial"/>
          <w:caps/>
          <w:szCs w:val="26"/>
        </w:rPr>
      </w:pPr>
      <w:r w:rsidRPr="00532447">
        <w:rPr>
          <w:rFonts w:cs="Arial"/>
          <w:szCs w:val="26"/>
        </w:rPr>
        <w:t>Investment Manager’s Report</w:t>
      </w:r>
    </w:p>
    <w:p w14:paraId="36FDF585" w14:textId="77777777" w:rsidR="0021298F" w:rsidRPr="008B36B1" w:rsidRDefault="0021298F" w:rsidP="0021298F">
      <w:pPr>
        <w:jc w:val="both"/>
        <w:rPr>
          <w:rFonts w:ascii="Arial" w:eastAsia="Times New Roman" w:hAnsi="Arial" w:cs="Arial"/>
          <w:szCs w:val="26"/>
        </w:rPr>
      </w:pPr>
    </w:p>
    <w:p w14:paraId="47C0B407" w14:textId="77777777" w:rsidR="0021298F" w:rsidRDefault="0021298F" w:rsidP="0021298F">
      <w:pPr>
        <w:pStyle w:val="Heading3"/>
        <w:spacing w:before="0"/>
        <w:jc w:val="both"/>
        <w:rPr>
          <w:rFonts w:ascii="Arial" w:hAnsi="Arial" w:cs="Arial"/>
          <w:color w:val="auto"/>
        </w:rPr>
      </w:pPr>
      <w:r>
        <w:rPr>
          <w:rFonts w:ascii="Arial" w:hAnsi="Arial" w:cs="Arial"/>
          <w:color w:val="auto"/>
        </w:rPr>
        <w:t>The Investment Manager</w:t>
      </w:r>
    </w:p>
    <w:p w14:paraId="46C739AC" w14:textId="77777777" w:rsidR="0021298F" w:rsidRDefault="0021298F" w:rsidP="0021298F">
      <w:pPr>
        <w:jc w:val="both"/>
        <w:rPr>
          <w:rFonts w:ascii="Arial" w:eastAsia="Times New Roman" w:hAnsi="Arial" w:cs="Arial"/>
          <w:szCs w:val="26"/>
        </w:rPr>
      </w:pPr>
      <w:r>
        <w:rPr>
          <w:rFonts w:ascii="Arial" w:eastAsia="Times New Roman" w:hAnsi="Arial" w:cs="Arial"/>
          <w:szCs w:val="26"/>
        </w:rPr>
        <w:t>The Investment Manager’s experience covers wind farm investment, ownership, finance and operation. All the skills and experience required to manage the Group’s investments lie within a single investment manager. The Investment Manager has over €6.5 billion of assets under management with renewables infrastructure portfolios in the UK, Ireland, France and the US and offices in London, Dublin and Düsseldorf. The Investment Manager is authorised and regulated by the FCA and is a full scope UK AIFM.</w:t>
      </w:r>
    </w:p>
    <w:p w14:paraId="63FC601C" w14:textId="77777777" w:rsidR="0021298F" w:rsidRDefault="0021298F" w:rsidP="0021298F">
      <w:pPr>
        <w:jc w:val="both"/>
        <w:rPr>
          <w:rFonts w:ascii="Arial" w:eastAsia="Times New Roman" w:hAnsi="Arial" w:cs="Arial"/>
          <w:szCs w:val="26"/>
        </w:rPr>
      </w:pPr>
    </w:p>
    <w:p w14:paraId="64001033" w14:textId="77777777" w:rsidR="0021298F" w:rsidRDefault="0021298F" w:rsidP="0021298F">
      <w:pPr>
        <w:jc w:val="both"/>
        <w:rPr>
          <w:rFonts w:ascii="Arial" w:eastAsia="Times New Roman" w:hAnsi="Arial" w:cs="Arial"/>
          <w:szCs w:val="26"/>
        </w:rPr>
      </w:pPr>
      <w:r>
        <w:rPr>
          <w:rFonts w:ascii="Arial" w:eastAsia="Times New Roman" w:hAnsi="Arial" w:cs="Arial"/>
          <w:szCs w:val="26"/>
        </w:rPr>
        <w:t xml:space="preserve">The team, focussed </w:t>
      </w:r>
      <w:r w:rsidRPr="003343D9">
        <w:rPr>
          <w:rFonts w:ascii="Arial" w:eastAsia="Times New Roman" w:hAnsi="Arial" w:cs="Arial"/>
          <w:szCs w:val="26"/>
        </w:rPr>
        <w:t xml:space="preserve">on management of the Group </w:t>
      </w:r>
      <w:r>
        <w:rPr>
          <w:rFonts w:ascii="Arial" w:eastAsia="Times New Roman" w:hAnsi="Arial" w:cs="Arial"/>
          <w:szCs w:val="26"/>
        </w:rPr>
        <w:t xml:space="preserve">and </w:t>
      </w:r>
      <w:r w:rsidRPr="003343D9">
        <w:rPr>
          <w:rFonts w:ascii="Arial" w:eastAsia="Times New Roman" w:hAnsi="Arial" w:cs="Arial"/>
          <w:szCs w:val="26"/>
        </w:rPr>
        <w:t>its investment</w:t>
      </w:r>
      <w:r>
        <w:rPr>
          <w:rFonts w:ascii="Arial" w:eastAsia="Times New Roman" w:hAnsi="Arial" w:cs="Arial"/>
          <w:szCs w:val="26"/>
        </w:rPr>
        <w:t xml:space="preserve"> portfolio, is led by Bertrand Gautier and Paul O’Donnell and consists of investment professionals with significant experience across the Irish and European renewables markets, technical asset management and debt and equity capital markets.</w:t>
      </w:r>
    </w:p>
    <w:p w14:paraId="717A624B" w14:textId="77777777" w:rsidR="0021298F" w:rsidRDefault="0021298F" w:rsidP="0021298F">
      <w:pPr>
        <w:jc w:val="both"/>
        <w:rPr>
          <w:rFonts w:ascii="Arial" w:eastAsia="Times New Roman" w:hAnsi="Arial" w:cs="Arial"/>
          <w:szCs w:val="26"/>
        </w:rPr>
      </w:pPr>
    </w:p>
    <w:p w14:paraId="7F19DB6B" w14:textId="77777777" w:rsidR="0021298F" w:rsidRDefault="0021298F" w:rsidP="0021298F">
      <w:pPr>
        <w:jc w:val="both"/>
        <w:rPr>
          <w:rFonts w:ascii="Arial" w:eastAsia="Times New Roman" w:hAnsi="Arial" w:cs="Arial"/>
          <w:szCs w:val="26"/>
        </w:rPr>
      </w:pPr>
      <w:r>
        <w:rPr>
          <w:rFonts w:ascii="Arial" w:eastAsia="Times New Roman" w:hAnsi="Arial" w:cs="Arial"/>
          <w:szCs w:val="26"/>
        </w:rPr>
        <w:t>Bertrand has over 28 years of operational, financial and investment experience, of which the last 11 years focussed solely on renewables. He has been a Partner of Greencoat Capital since joining in 2010 and specialises in investments across the renewable energy space. Prior to joining Greencoat Capital, his career encompassed senior positions at Terra Firma Capital Partners, Merrill Lynch’s M&amp;A Infrastructure team, and Procter &amp; Gamble.</w:t>
      </w:r>
    </w:p>
    <w:p w14:paraId="1E038199" w14:textId="77777777" w:rsidR="0021298F" w:rsidRDefault="0021298F" w:rsidP="0021298F">
      <w:pPr>
        <w:jc w:val="both"/>
        <w:rPr>
          <w:rFonts w:ascii="Arial" w:eastAsia="Times New Roman" w:hAnsi="Arial" w:cs="Arial"/>
          <w:szCs w:val="26"/>
        </w:rPr>
      </w:pPr>
    </w:p>
    <w:p w14:paraId="078F8973" w14:textId="77777777" w:rsidR="0021298F" w:rsidRDefault="0021298F" w:rsidP="0021298F">
      <w:pPr>
        <w:jc w:val="both"/>
        <w:rPr>
          <w:rFonts w:ascii="Arial" w:eastAsia="Times New Roman" w:hAnsi="Arial" w:cs="Arial"/>
          <w:szCs w:val="26"/>
        </w:rPr>
      </w:pPr>
      <w:r>
        <w:rPr>
          <w:rFonts w:ascii="Arial" w:eastAsia="Times New Roman" w:hAnsi="Arial" w:cs="Arial"/>
          <w:szCs w:val="26"/>
        </w:rPr>
        <w:t>Bertrand holds an MSc in General Engineering from ICAM (France) and an MBA from Harvard Business School (USA).</w:t>
      </w:r>
    </w:p>
    <w:p w14:paraId="2898C377" w14:textId="77777777" w:rsidR="0021298F" w:rsidRDefault="0021298F" w:rsidP="0021298F">
      <w:pPr>
        <w:jc w:val="both"/>
        <w:rPr>
          <w:rFonts w:ascii="Arial" w:eastAsia="Times New Roman" w:hAnsi="Arial" w:cs="Arial"/>
          <w:szCs w:val="26"/>
        </w:rPr>
      </w:pPr>
    </w:p>
    <w:p w14:paraId="078F7909" w14:textId="77777777" w:rsidR="0021298F" w:rsidRDefault="0021298F" w:rsidP="0021298F">
      <w:pPr>
        <w:jc w:val="both"/>
        <w:rPr>
          <w:rFonts w:ascii="Arial" w:eastAsia="Times New Roman" w:hAnsi="Arial" w:cs="Arial"/>
          <w:szCs w:val="26"/>
        </w:rPr>
      </w:pPr>
      <w:r>
        <w:rPr>
          <w:rFonts w:ascii="Arial" w:eastAsia="Times New Roman" w:hAnsi="Arial" w:cs="Arial"/>
          <w:szCs w:val="26"/>
        </w:rPr>
        <w:t xml:space="preserve">Paul has over 18 years of renewables and investment experience, of which the last 14 have been focussed solely on renewables. He joined Greencoat Capital in 2009 and has specialised in managing investments in the wind and solar generation sectors, working across development, operations, technology, and financing. </w:t>
      </w:r>
    </w:p>
    <w:p w14:paraId="262308B7" w14:textId="77777777" w:rsidR="0021298F" w:rsidRDefault="0021298F" w:rsidP="0021298F">
      <w:pPr>
        <w:jc w:val="both"/>
        <w:rPr>
          <w:rFonts w:ascii="Arial" w:eastAsia="Times New Roman" w:hAnsi="Arial" w:cs="Arial"/>
          <w:szCs w:val="26"/>
        </w:rPr>
      </w:pPr>
    </w:p>
    <w:p w14:paraId="29122208" w14:textId="77777777" w:rsidR="0021298F" w:rsidRDefault="0021298F" w:rsidP="0021298F">
      <w:pPr>
        <w:jc w:val="both"/>
        <w:rPr>
          <w:rFonts w:ascii="Arial" w:eastAsia="Times New Roman" w:hAnsi="Arial" w:cs="Arial"/>
          <w:szCs w:val="26"/>
        </w:rPr>
      </w:pPr>
      <w:r>
        <w:rPr>
          <w:rFonts w:ascii="Arial" w:eastAsia="Times New Roman" w:hAnsi="Arial" w:cs="Arial"/>
          <w:szCs w:val="26"/>
        </w:rPr>
        <w:t xml:space="preserve">Paul has been a Partner of Greencoat Capital since 2016 and holds a BBS (Hons) in Finance from Trinity College Dublin.  </w:t>
      </w:r>
    </w:p>
    <w:p w14:paraId="37B066AC" w14:textId="77777777" w:rsidR="0021298F" w:rsidRDefault="0021298F" w:rsidP="0021298F">
      <w:pPr>
        <w:jc w:val="both"/>
        <w:rPr>
          <w:rFonts w:ascii="Arial" w:eastAsia="Times New Roman" w:hAnsi="Arial" w:cs="Arial"/>
          <w:szCs w:val="26"/>
        </w:rPr>
      </w:pPr>
    </w:p>
    <w:p w14:paraId="055F9F31" w14:textId="77777777" w:rsidR="0021298F" w:rsidRDefault="0021298F" w:rsidP="0021298F">
      <w:pPr>
        <w:jc w:val="both"/>
        <w:rPr>
          <w:rFonts w:ascii="Arial" w:eastAsia="Times New Roman" w:hAnsi="Arial" w:cs="Arial"/>
          <w:b/>
          <w:szCs w:val="26"/>
        </w:rPr>
      </w:pPr>
      <w:r>
        <w:rPr>
          <w:rFonts w:ascii="Arial" w:eastAsia="Times New Roman" w:hAnsi="Arial" w:cs="Arial"/>
          <w:b/>
          <w:szCs w:val="26"/>
        </w:rPr>
        <w:t>Overview</w:t>
      </w:r>
    </w:p>
    <w:p w14:paraId="406AD1F3" w14:textId="77777777" w:rsidR="0021298F" w:rsidRDefault="0021298F" w:rsidP="0021298F">
      <w:pPr>
        <w:jc w:val="both"/>
        <w:rPr>
          <w:rFonts w:ascii="Arial" w:eastAsia="Times New Roman" w:hAnsi="Arial" w:cs="Arial"/>
          <w:szCs w:val="26"/>
        </w:rPr>
      </w:pPr>
      <w:r>
        <w:rPr>
          <w:rFonts w:ascii="Arial" w:eastAsia="Times New Roman" w:hAnsi="Arial" w:cs="Arial"/>
          <w:szCs w:val="26"/>
        </w:rPr>
        <w:t xml:space="preserve">The Investment Manager is very pleased with the Group’s achievements in 2020, with continued strong growth and operational efficiency demonstrated across the business. </w:t>
      </w:r>
    </w:p>
    <w:p w14:paraId="5D052520" w14:textId="77777777" w:rsidR="0021298F" w:rsidRDefault="0021298F" w:rsidP="0021298F">
      <w:pPr>
        <w:jc w:val="both"/>
        <w:rPr>
          <w:rFonts w:ascii="Arial" w:eastAsia="Times New Roman" w:hAnsi="Arial" w:cs="Arial"/>
          <w:szCs w:val="26"/>
        </w:rPr>
      </w:pPr>
    </w:p>
    <w:p w14:paraId="296E3244" w14:textId="77777777" w:rsidR="0021298F" w:rsidRDefault="0021298F" w:rsidP="0021298F">
      <w:pPr>
        <w:jc w:val="both"/>
        <w:rPr>
          <w:rFonts w:ascii="Arial" w:eastAsia="Times New Roman" w:hAnsi="Arial" w:cs="Arial"/>
          <w:szCs w:val="26"/>
        </w:rPr>
      </w:pPr>
      <w:r>
        <w:rPr>
          <w:rFonts w:ascii="Arial" w:eastAsia="Times New Roman" w:hAnsi="Arial" w:cs="Arial"/>
          <w:szCs w:val="26"/>
        </w:rPr>
        <w:t xml:space="preserve">Throughout the year, the portfolio’s characteristically strong, contracted cashflows have continued to deliver robust dividend cover, despite the challenges across the electricity industry and the ongoing impact of the COVID-19 pandemic. </w:t>
      </w:r>
    </w:p>
    <w:p w14:paraId="038B14ED" w14:textId="77777777" w:rsidR="0021298F" w:rsidRDefault="0021298F" w:rsidP="0021298F">
      <w:pPr>
        <w:rPr>
          <w:rFonts w:ascii="Arial" w:eastAsia="Times New Roman" w:hAnsi="Arial" w:cs="Arial"/>
          <w:szCs w:val="26"/>
        </w:rPr>
      </w:pPr>
    </w:p>
    <w:p w14:paraId="09AE80BF" w14:textId="77777777" w:rsidR="0021298F" w:rsidRDefault="0021298F" w:rsidP="0021298F">
      <w:pPr>
        <w:jc w:val="both"/>
        <w:rPr>
          <w:rFonts w:ascii="Arial" w:eastAsia="Times New Roman" w:hAnsi="Arial" w:cs="Arial"/>
          <w:color w:val="FF0000"/>
          <w:szCs w:val="26"/>
        </w:rPr>
      </w:pPr>
      <w:r>
        <w:rPr>
          <w:rFonts w:ascii="Arial" w:eastAsia="Times New Roman" w:hAnsi="Arial" w:cs="Arial"/>
          <w:szCs w:val="26"/>
        </w:rPr>
        <w:lastRenderedPageBreak/>
        <w:t>The Group has remained able to progress its longer-term strategy, continuing to consolidate in the Irish renewables market, whilst expanding and diversifying into Europe with the acquisition of a French portfolio during the year and the recent agreement to acquire a wind farm in Finland. We expect these investments to provide a platform for further European expansion, accessing a very large pool of assets on the continent that seek value, diversify the portfolio and deliver stable returns to investors.</w:t>
      </w:r>
    </w:p>
    <w:p w14:paraId="068DDF28" w14:textId="77777777" w:rsidR="0021298F" w:rsidRDefault="0021298F" w:rsidP="0021298F">
      <w:pPr>
        <w:jc w:val="both"/>
        <w:rPr>
          <w:rFonts w:ascii="Arial" w:hAnsi="Arial" w:cs="Arial"/>
          <w:b/>
          <w:bCs/>
        </w:rPr>
      </w:pPr>
    </w:p>
    <w:p w14:paraId="0BB6A4C0" w14:textId="77777777" w:rsidR="0021298F" w:rsidRDefault="0021298F" w:rsidP="0021298F">
      <w:pPr>
        <w:jc w:val="both"/>
        <w:rPr>
          <w:rFonts w:ascii="Arial" w:hAnsi="Arial" w:cs="Arial"/>
        </w:rPr>
      </w:pPr>
      <w:r>
        <w:rPr>
          <w:rFonts w:ascii="Arial" w:hAnsi="Arial" w:cs="Arial"/>
          <w:b/>
          <w:bCs/>
        </w:rPr>
        <w:t>Investment Portfolio</w:t>
      </w:r>
    </w:p>
    <w:p w14:paraId="78DB1B75" w14:textId="77777777" w:rsidR="0021298F" w:rsidRDefault="0021298F" w:rsidP="0021298F">
      <w:pPr>
        <w:rPr>
          <w:rFonts w:ascii="Arial" w:hAnsi="Arial" w:cs="Arial"/>
        </w:rPr>
      </w:pPr>
      <w:r>
        <w:rPr>
          <w:rFonts w:ascii="Arial" w:hAnsi="Arial" w:cs="Arial"/>
        </w:rPr>
        <w:t>The Group’s investment portfolio as at 31 December 2020 consisted of interests in SPVs which held the following underlying operating wind farms:</w:t>
      </w:r>
    </w:p>
    <w:tbl>
      <w:tblPr>
        <w:tblW w:w="9224" w:type="dxa"/>
        <w:tblLook w:val="04A0" w:firstRow="1" w:lastRow="0" w:firstColumn="1" w:lastColumn="0" w:noHBand="0" w:noVBand="1"/>
      </w:tblPr>
      <w:tblGrid>
        <w:gridCol w:w="1560"/>
        <w:gridCol w:w="983"/>
        <w:gridCol w:w="1444"/>
        <w:gridCol w:w="1318"/>
        <w:gridCol w:w="1358"/>
        <w:gridCol w:w="694"/>
        <w:gridCol w:w="1250"/>
        <w:gridCol w:w="617"/>
      </w:tblGrid>
      <w:tr w:rsidR="0021298F" w14:paraId="450DFC66" w14:textId="77777777" w:rsidTr="00760009">
        <w:trPr>
          <w:trHeight w:val="605"/>
        </w:trPr>
        <w:tc>
          <w:tcPr>
            <w:tcW w:w="1560" w:type="dxa"/>
            <w:vAlign w:val="center"/>
            <w:hideMark/>
          </w:tcPr>
          <w:p w14:paraId="08B9632D" w14:textId="77777777" w:rsidR="0021298F" w:rsidRDefault="0021298F" w:rsidP="00760009">
            <w:pPr>
              <w:rPr>
                <w:rFonts w:ascii="Arial" w:eastAsia="Times New Roman" w:hAnsi="Arial" w:cs="Arial"/>
                <w:b/>
                <w:bCs/>
                <w:color w:val="000000"/>
                <w:sz w:val="20"/>
                <w:szCs w:val="20"/>
                <w:lang w:eastAsia="zh-CN"/>
              </w:rPr>
            </w:pPr>
            <w:r>
              <w:rPr>
                <w:rFonts w:ascii="Arial" w:eastAsia="Times New Roman" w:hAnsi="Arial" w:cs="Arial"/>
                <w:b/>
                <w:szCs w:val="26"/>
              </w:rPr>
              <w:t>Wind Farm</w:t>
            </w:r>
          </w:p>
        </w:tc>
        <w:tc>
          <w:tcPr>
            <w:tcW w:w="983" w:type="dxa"/>
            <w:vAlign w:val="center"/>
            <w:hideMark/>
          </w:tcPr>
          <w:p w14:paraId="4B1E58A3" w14:textId="77777777" w:rsidR="0021298F" w:rsidRDefault="0021298F" w:rsidP="00760009">
            <w:pPr>
              <w:rPr>
                <w:rFonts w:ascii="Arial" w:eastAsia="Times New Roman" w:hAnsi="Arial" w:cs="Arial"/>
                <w:b/>
                <w:bCs/>
                <w:color w:val="000000"/>
                <w:sz w:val="20"/>
                <w:szCs w:val="20"/>
                <w:lang w:eastAsia="zh-CN"/>
              </w:rPr>
            </w:pPr>
            <w:r>
              <w:rPr>
                <w:rFonts w:ascii="Arial" w:eastAsia="Times New Roman" w:hAnsi="Arial" w:cs="Arial"/>
                <w:b/>
                <w:bCs/>
                <w:color w:val="000000"/>
                <w:sz w:val="20"/>
                <w:szCs w:val="20"/>
                <w:lang w:eastAsia="zh-CN"/>
              </w:rPr>
              <w:t>Country</w:t>
            </w:r>
          </w:p>
        </w:tc>
        <w:tc>
          <w:tcPr>
            <w:tcW w:w="1444" w:type="dxa"/>
            <w:vAlign w:val="center"/>
            <w:hideMark/>
          </w:tcPr>
          <w:p w14:paraId="663B5442" w14:textId="77777777" w:rsidR="0021298F" w:rsidRDefault="0021298F" w:rsidP="00760009">
            <w:pPr>
              <w:rPr>
                <w:rFonts w:ascii="Arial" w:eastAsia="Times New Roman" w:hAnsi="Arial" w:cs="Arial"/>
                <w:b/>
                <w:bCs/>
                <w:color w:val="000000"/>
                <w:sz w:val="20"/>
                <w:szCs w:val="20"/>
                <w:lang w:eastAsia="zh-CN"/>
              </w:rPr>
            </w:pPr>
            <w:r>
              <w:rPr>
                <w:rFonts w:ascii="Arial" w:eastAsia="Times New Roman" w:hAnsi="Arial" w:cs="Arial"/>
                <w:b/>
                <w:bCs/>
                <w:color w:val="000000"/>
                <w:sz w:val="20"/>
                <w:szCs w:val="20"/>
                <w:lang w:eastAsia="zh-CN"/>
              </w:rPr>
              <w:t>Turbines</w:t>
            </w:r>
          </w:p>
        </w:tc>
        <w:tc>
          <w:tcPr>
            <w:tcW w:w="1318" w:type="dxa"/>
            <w:vAlign w:val="center"/>
            <w:hideMark/>
          </w:tcPr>
          <w:p w14:paraId="0D1C4929" w14:textId="77777777" w:rsidR="0021298F" w:rsidRDefault="0021298F" w:rsidP="00760009">
            <w:pPr>
              <w:rPr>
                <w:rFonts w:ascii="Arial" w:eastAsia="Times New Roman" w:hAnsi="Arial" w:cs="Arial"/>
                <w:b/>
                <w:bCs/>
                <w:color w:val="000000"/>
                <w:sz w:val="20"/>
                <w:szCs w:val="20"/>
                <w:lang w:eastAsia="zh-CN"/>
              </w:rPr>
            </w:pPr>
            <w:r>
              <w:rPr>
                <w:rFonts w:ascii="Arial" w:eastAsia="Times New Roman" w:hAnsi="Arial" w:cs="Arial"/>
                <w:b/>
                <w:bCs/>
                <w:color w:val="000000"/>
                <w:sz w:val="20"/>
                <w:szCs w:val="20"/>
                <w:lang w:eastAsia="zh-CN"/>
              </w:rPr>
              <w:t>Operator</w:t>
            </w:r>
          </w:p>
        </w:tc>
        <w:tc>
          <w:tcPr>
            <w:tcW w:w="1358" w:type="dxa"/>
            <w:vAlign w:val="center"/>
            <w:hideMark/>
          </w:tcPr>
          <w:p w14:paraId="112F73ED" w14:textId="77777777" w:rsidR="0021298F" w:rsidRDefault="0021298F" w:rsidP="00760009">
            <w:pPr>
              <w:rPr>
                <w:rFonts w:ascii="Arial" w:eastAsia="Times New Roman" w:hAnsi="Arial" w:cs="Arial"/>
                <w:b/>
                <w:bCs/>
                <w:color w:val="000000"/>
                <w:sz w:val="20"/>
                <w:szCs w:val="20"/>
                <w:lang w:eastAsia="zh-CN"/>
              </w:rPr>
            </w:pPr>
            <w:r>
              <w:rPr>
                <w:rFonts w:ascii="Arial" w:eastAsia="Times New Roman" w:hAnsi="Arial" w:cs="Arial"/>
                <w:b/>
                <w:bCs/>
                <w:color w:val="000000"/>
                <w:sz w:val="20"/>
                <w:szCs w:val="20"/>
                <w:lang w:eastAsia="zh-CN"/>
              </w:rPr>
              <w:t>PPA</w:t>
            </w:r>
          </w:p>
        </w:tc>
        <w:tc>
          <w:tcPr>
            <w:tcW w:w="694" w:type="dxa"/>
            <w:vAlign w:val="center"/>
            <w:hideMark/>
          </w:tcPr>
          <w:p w14:paraId="647F1041" w14:textId="77777777" w:rsidR="0021298F" w:rsidRDefault="0021298F" w:rsidP="00760009">
            <w:pPr>
              <w:jc w:val="right"/>
              <w:rPr>
                <w:rFonts w:ascii="Arial" w:eastAsia="Times New Roman" w:hAnsi="Arial" w:cs="Arial"/>
                <w:b/>
                <w:bCs/>
                <w:color w:val="000000"/>
                <w:sz w:val="20"/>
                <w:szCs w:val="20"/>
                <w:lang w:eastAsia="zh-CN"/>
              </w:rPr>
            </w:pPr>
            <w:r>
              <w:rPr>
                <w:rFonts w:ascii="Arial" w:eastAsia="Times New Roman" w:hAnsi="Arial" w:cs="Arial"/>
                <w:b/>
                <w:bCs/>
                <w:color w:val="000000"/>
                <w:sz w:val="20"/>
                <w:szCs w:val="20"/>
                <w:lang w:eastAsia="zh-CN"/>
              </w:rPr>
              <w:t>Total MW</w:t>
            </w:r>
          </w:p>
        </w:tc>
        <w:tc>
          <w:tcPr>
            <w:tcW w:w="1250" w:type="dxa"/>
            <w:vAlign w:val="center"/>
            <w:hideMark/>
          </w:tcPr>
          <w:p w14:paraId="799F808D" w14:textId="77777777" w:rsidR="0021298F" w:rsidRDefault="0021298F" w:rsidP="00760009">
            <w:pPr>
              <w:jc w:val="right"/>
              <w:rPr>
                <w:rFonts w:ascii="Arial" w:eastAsia="Times New Roman" w:hAnsi="Arial" w:cs="Arial"/>
                <w:b/>
                <w:bCs/>
                <w:color w:val="000000"/>
                <w:sz w:val="20"/>
                <w:szCs w:val="20"/>
                <w:lang w:eastAsia="zh-CN"/>
              </w:rPr>
            </w:pPr>
            <w:r>
              <w:rPr>
                <w:rFonts w:ascii="Arial" w:eastAsia="Times New Roman" w:hAnsi="Arial" w:cs="Arial"/>
                <w:b/>
                <w:bCs/>
                <w:color w:val="000000"/>
                <w:sz w:val="20"/>
                <w:szCs w:val="20"/>
                <w:lang w:eastAsia="zh-CN"/>
              </w:rPr>
              <w:t>Ownership Stake</w:t>
            </w:r>
          </w:p>
        </w:tc>
        <w:tc>
          <w:tcPr>
            <w:tcW w:w="617" w:type="dxa"/>
            <w:vAlign w:val="center"/>
            <w:hideMark/>
          </w:tcPr>
          <w:p w14:paraId="7713937C" w14:textId="77777777" w:rsidR="0021298F" w:rsidRDefault="0021298F" w:rsidP="00760009">
            <w:pPr>
              <w:jc w:val="right"/>
              <w:rPr>
                <w:rFonts w:ascii="Arial" w:eastAsia="Times New Roman" w:hAnsi="Arial" w:cs="Arial"/>
                <w:b/>
                <w:bCs/>
                <w:color w:val="000000"/>
                <w:sz w:val="20"/>
                <w:szCs w:val="20"/>
                <w:lang w:eastAsia="zh-CN"/>
              </w:rPr>
            </w:pPr>
            <w:r>
              <w:rPr>
                <w:rFonts w:ascii="Arial" w:eastAsia="Times New Roman" w:hAnsi="Arial" w:cs="Arial"/>
                <w:b/>
                <w:bCs/>
                <w:color w:val="000000"/>
                <w:sz w:val="20"/>
                <w:szCs w:val="20"/>
                <w:lang w:eastAsia="zh-CN"/>
              </w:rPr>
              <w:t>Net MW</w:t>
            </w:r>
          </w:p>
        </w:tc>
      </w:tr>
      <w:tr w:rsidR="0021298F" w14:paraId="67CEAD69" w14:textId="77777777" w:rsidTr="00760009">
        <w:trPr>
          <w:trHeight w:val="338"/>
        </w:trPr>
        <w:tc>
          <w:tcPr>
            <w:tcW w:w="1560" w:type="dxa"/>
            <w:shd w:val="clear" w:color="auto" w:fill="FFFFFF"/>
            <w:noWrap/>
            <w:vAlign w:val="center"/>
            <w:hideMark/>
          </w:tcPr>
          <w:p w14:paraId="4498B4BD" w14:textId="77777777" w:rsidR="0021298F" w:rsidRDefault="0021298F" w:rsidP="00760009">
            <w:pPr>
              <w:rPr>
                <w:rFonts w:ascii="Arial" w:eastAsia="Times New Roman" w:hAnsi="Arial" w:cs="Arial"/>
                <w:color w:val="000000"/>
                <w:sz w:val="15"/>
                <w:szCs w:val="15"/>
                <w:lang w:eastAsia="zh-CN"/>
              </w:rPr>
            </w:pPr>
            <w:r>
              <w:rPr>
                <w:rFonts w:ascii="Arial" w:eastAsia="Times New Roman" w:hAnsi="Arial" w:cs="Arial"/>
                <w:color w:val="000000"/>
                <w:sz w:val="15"/>
                <w:szCs w:val="15"/>
                <w:lang w:eastAsia="zh-CN"/>
              </w:rPr>
              <w:t>An Cnoc</w:t>
            </w:r>
          </w:p>
        </w:tc>
        <w:tc>
          <w:tcPr>
            <w:tcW w:w="983" w:type="dxa"/>
            <w:shd w:val="clear" w:color="auto" w:fill="EDFFB7"/>
            <w:vAlign w:val="center"/>
            <w:hideMark/>
          </w:tcPr>
          <w:p w14:paraId="315A8EC7" w14:textId="77777777" w:rsidR="0021298F" w:rsidRDefault="0021298F" w:rsidP="00760009">
            <w:pPr>
              <w:rPr>
                <w:rFonts w:ascii="Arial" w:eastAsia="Times New Roman" w:hAnsi="Arial" w:cs="Arial"/>
                <w:color w:val="000000"/>
                <w:sz w:val="15"/>
                <w:szCs w:val="15"/>
                <w:lang w:eastAsia="zh-CN"/>
              </w:rPr>
            </w:pPr>
            <w:r>
              <w:rPr>
                <w:rFonts w:ascii="Arial" w:eastAsia="Times New Roman" w:hAnsi="Arial" w:cs="Arial"/>
                <w:color w:val="000000"/>
                <w:sz w:val="15"/>
                <w:szCs w:val="15"/>
                <w:lang w:eastAsia="zh-CN"/>
              </w:rPr>
              <w:t>Republic of Ireland</w:t>
            </w:r>
          </w:p>
        </w:tc>
        <w:tc>
          <w:tcPr>
            <w:tcW w:w="1444" w:type="dxa"/>
            <w:shd w:val="clear" w:color="auto" w:fill="EDFFB7"/>
            <w:noWrap/>
            <w:vAlign w:val="center"/>
            <w:hideMark/>
          </w:tcPr>
          <w:p w14:paraId="7A243325" w14:textId="77777777" w:rsidR="0021298F" w:rsidRDefault="0021298F" w:rsidP="00760009">
            <w:pPr>
              <w:rPr>
                <w:rFonts w:ascii="Arial" w:eastAsia="Times New Roman" w:hAnsi="Arial" w:cs="Arial"/>
                <w:color w:val="000000"/>
                <w:sz w:val="15"/>
                <w:szCs w:val="15"/>
                <w:lang w:eastAsia="zh-CN"/>
              </w:rPr>
            </w:pPr>
            <w:r>
              <w:rPr>
                <w:rFonts w:ascii="Arial" w:eastAsia="Times New Roman" w:hAnsi="Arial" w:cs="Arial"/>
                <w:color w:val="000000"/>
                <w:sz w:val="15"/>
                <w:szCs w:val="15"/>
                <w:lang w:eastAsia="zh-CN"/>
              </w:rPr>
              <w:t>Enercon</w:t>
            </w:r>
          </w:p>
        </w:tc>
        <w:tc>
          <w:tcPr>
            <w:tcW w:w="1318" w:type="dxa"/>
            <w:shd w:val="clear" w:color="auto" w:fill="EDFFB7"/>
            <w:noWrap/>
            <w:vAlign w:val="center"/>
            <w:hideMark/>
          </w:tcPr>
          <w:p w14:paraId="59CAFDE3" w14:textId="77777777" w:rsidR="0021298F" w:rsidRDefault="0021298F" w:rsidP="00760009">
            <w:pPr>
              <w:rPr>
                <w:rFonts w:ascii="Arial" w:eastAsia="Times New Roman" w:hAnsi="Arial" w:cs="Arial"/>
                <w:color w:val="000000"/>
                <w:sz w:val="15"/>
                <w:szCs w:val="15"/>
                <w:lang w:eastAsia="zh-CN"/>
              </w:rPr>
            </w:pPr>
            <w:r>
              <w:rPr>
                <w:rFonts w:ascii="Arial" w:eastAsia="Times New Roman" w:hAnsi="Arial" w:cs="Arial"/>
                <w:color w:val="000000"/>
                <w:sz w:val="15"/>
                <w:szCs w:val="15"/>
                <w:lang w:eastAsia="zh-CN"/>
              </w:rPr>
              <w:t>EnergyPro</w:t>
            </w:r>
          </w:p>
        </w:tc>
        <w:tc>
          <w:tcPr>
            <w:tcW w:w="1358" w:type="dxa"/>
            <w:shd w:val="clear" w:color="auto" w:fill="EDFFB7"/>
            <w:noWrap/>
            <w:vAlign w:val="center"/>
            <w:hideMark/>
          </w:tcPr>
          <w:p w14:paraId="5B7AD996" w14:textId="77777777" w:rsidR="0021298F" w:rsidRDefault="0021298F" w:rsidP="00760009">
            <w:pPr>
              <w:rPr>
                <w:rFonts w:ascii="Arial" w:eastAsia="Times New Roman" w:hAnsi="Arial" w:cs="Arial"/>
                <w:color w:val="000000"/>
                <w:sz w:val="15"/>
                <w:szCs w:val="15"/>
                <w:lang w:eastAsia="zh-CN"/>
              </w:rPr>
            </w:pPr>
            <w:r>
              <w:rPr>
                <w:rFonts w:ascii="Arial" w:eastAsia="Times New Roman" w:hAnsi="Arial" w:cs="Arial"/>
                <w:color w:val="000000"/>
                <w:sz w:val="15"/>
                <w:szCs w:val="15"/>
                <w:lang w:eastAsia="zh-CN"/>
              </w:rPr>
              <w:t>Supplier Lite</w:t>
            </w:r>
          </w:p>
        </w:tc>
        <w:tc>
          <w:tcPr>
            <w:tcW w:w="694" w:type="dxa"/>
            <w:shd w:val="clear" w:color="auto" w:fill="EDFFB7"/>
            <w:noWrap/>
            <w:vAlign w:val="center"/>
            <w:hideMark/>
          </w:tcPr>
          <w:p w14:paraId="12FA2D75" w14:textId="77777777" w:rsidR="0021298F" w:rsidRDefault="0021298F" w:rsidP="00760009">
            <w:pPr>
              <w:jc w:val="right"/>
              <w:rPr>
                <w:rFonts w:ascii="Arial" w:eastAsia="Times New Roman" w:hAnsi="Arial" w:cs="Arial"/>
                <w:color w:val="000000"/>
                <w:sz w:val="15"/>
                <w:szCs w:val="15"/>
                <w:lang w:eastAsia="zh-CN"/>
              </w:rPr>
            </w:pPr>
            <w:r>
              <w:rPr>
                <w:rFonts w:ascii="Arial" w:eastAsia="Times New Roman" w:hAnsi="Arial" w:cs="Arial"/>
                <w:color w:val="000000"/>
                <w:sz w:val="15"/>
                <w:szCs w:val="15"/>
                <w:lang w:eastAsia="zh-CN"/>
              </w:rPr>
              <w:t>11.5</w:t>
            </w:r>
          </w:p>
        </w:tc>
        <w:tc>
          <w:tcPr>
            <w:tcW w:w="1250" w:type="dxa"/>
            <w:shd w:val="clear" w:color="auto" w:fill="EDFFB7"/>
            <w:noWrap/>
            <w:vAlign w:val="center"/>
            <w:hideMark/>
          </w:tcPr>
          <w:p w14:paraId="22AE8C71" w14:textId="77777777" w:rsidR="0021298F" w:rsidRDefault="0021298F" w:rsidP="00760009">
            <w:pPr>
              <w:jc w:val="right"/>
              <w:rPr>
                <w:rFonts w:ascii="Arial" w:eastAsia="Times New Roman" w:hAnsi="Arial" w:cs="Arial"/>
                <w:color w:val="000000"/>
                <w:sz w:val="15"/>
                <w:szCs w:val="15"/>
                <w:lang w:eastAsia="zh-CN"/>
              </w:rPr>
            </w:pPr>
            <w:r>
              <w:rPr>
                <w:rFonts w:ascii="Arial" w:eastAsia="Times New Roman" w:hAnsi="Arial" w:cs="Arial"/>
                <w:color w:val="000000"/>
                <w:sz w:val="15"/>
                <w:szCs w:val="15"/>
                <w:lang w:eastAsia="zh-CN"/>
              </w:rPr>
              <w:t>100%</w:t>
            </w:r>
          </w:p>
        </w:tc>
        <w:tc>
          <w:tcPr>
            <w:tcW w:w="617" w:type="dxa"/>
            <w:shd w:val="clear" w:color="auto" w:fill="EDFFB7"/>
            <w:noWrap/>
            <w:vAlign w:val="center"/>
            <w:hideMark/>
          </w:tcPr>
          <w:p w14:paraId="1D4E819A" w14:textId="77777777" w:rsidR="0021298F" w:rsidRDefault="0021298F" w:rsidP="00760009">
            <w:pPr>
              <w:jc w:val="right"/>
              <w:rPr>
                <w:rFonts w:ascii="Arial" w:eastAsia="Times New Roman" w:hAnsi="Arial" w:cs="Arial"/>
                <w:color w:val="000000"/>
                <w:sz w:val="15"/>
                <w:szCs w:val="15"/>
                <w:lang w:eastAsia="zh-CN"/>
              </w:rPr>
            </w:pPr>
            <w:r>
              <w:rPr>
                <w:rFonts w:ascii="Arial" w:eastAsia="Times New Roman" w:hAnsi="Arial" w:cs="Arial"/>
                <w:color w:val="000000"/>
                <w:sz w:val="15"/>
                <w:szCs w:val="15"/>
                <w:lang w:eastAsia="zh-CN"/>
              </w:rPr>
              <w:t>11.5</w:t>
            </w:r>
          </w:p>
        </w:tc>
      </w:tr>
      <w:tr w:rsidR="0021298F" w14:paraId="05D6530D" w14:textId="77777777" w:rsidTr="00760009">
        <w:trPr>
          <w:trHeight w:val="338"/>
        </w:trPr>
        <w:tc>
          <w:tcPr>
            <w:tcW w:w="1560" w:type="dxa"/>
            <w:shd w:val="clear" w:color="auto" w:fill="FFFFFF"/>
            <w:noWrap/>
            <w:vAlign w:val="center"/>
            <w:hideMark/>
          </w:tcPr>
          <w:p w14:paraId="7EDF8562" w14:textId="77777777" w:rsidR="0021298F" w:rsidRDefault="0021298F" w:rsidP="00760009">
            <w:pPr>
              <w:rPr>
                <w:rFonts w:ascii="Arial" w:eastAsia="Times New Roman" w:hAnsi="Arial" w:cs="Arial"/>
                <w:color w:val="000000"/>
                <w:sz w:val="15"/>
                <w:szCs w:val="15"/>
                <w:lang w:eastAsia="zh-CN"/>
              </w:rPr>
            </w:pPr>
            <w:r>
              <w:rPr>
                <w:rFonts w:ascii="Arial" w:eastAsia="Times New Roman" w:hAnsi="Arial" w:cs="Arial"/>
                <w:color w:val="000000"/>
                <w:sz w:val="15"/>
                <w:szCs w:val="15"/>
                <w:lang w:eastAsia="zh-CN"/>
              </w:rPr>
              <w:t>Ballybane</w:t>
            </w:r>
          </w:p>
        </w:tc>
        <w:tc>
          <w:tcPr>
            <w:tcW w:w="983" w:type="dxa"/>
            <w:shd w:val="clear" w:color="auto" w:fill="EDFFB7"/>
            <w:vAlign w:val="center"/>
            <w:hideMark/>
          </w:tcPr>
          <w:p w14:paraId="600D048C" w14:textId="77777777" w:rsidR="0021298F" w:rsidRDefault="0021298F" w:rsidP="00760009">
            <w:pPr>
              <w:rPr>
                <w:rFonts w:ascii="Arial" w:eastAsia="Times New Roman" w:hAnsi="Arial" w:cs="Arial"/>
                <w:color w:val="000000"/>
                <w:sz w:val="15"/>
                <w:szCs w:val="15"/>
                <w:lang w:eastAsia="zh-CN"/>
              </w:rPr>
            </w:pPr>
            <w:r>
              <w:rPr>
                <w:rFonts w:ascii="Arial" w:eastAsia="Times New Roman" w:hAnsi="Arial" w:cs="Arial"/>
                <w:color w:val="000000"/>
                <w:sz w:val="15"/>
                <w:szCs w:val="15"/>
                <w:lang w:eastAsia="zh-CN"/>
              </w:rPr>
              <w:t>Republic of Ireland</w:t>
            </w:r>
          </w:p>
        </w:tc>
        <w:tc>
          <w:tcPr>
            <w:tcW w:w="1444" w:type="dxa"/>
            <w:shd w:val="clear" w:color="auto" w:fill="EDFFB7"/>
            <w:noWrap/>
            <w:vAlign w:val="center"/>
            <w:hideMark/>
          </w:tcPr>
          <w:p w14:paraId="6E746A1D" w14:textId="77777777" w:rsidR="0021298F" w:rsidRDefault="0021298F" w:rsidP="00760009">
            <w:pPr>
              <w:rPr>
                <w:rFonts w:ascii="Arial" w:eastAsia="Times New Roman" w:hAnsi="Arial" w:cs="Arial"/>
                <w:color w:val="000000"/>
                <w:sz w:val="15"/>
                <w:szCs w:val="15"/>
                <w:lang w:eastAsia="zh-CN"/>
              </w:rPr>
            </w:pPr>
            <w:r>
              <w:rPr>
                <w:rFonts w:ascii="Arial" w:eastAsia="Times New Roman" w:hAnsi="Arial" w:cs="Arial"/>
                <w:color w:val="000000"/>
                <w:sz w:val="15"/>
                <w:szCs w:val="15"/>
                <w:lang w:eastAsia="zh-CN"/>
              </w:rPr>
              <w:t>Enercon</w:t>
            </w:r>
          </w:p>
        </w:tc>
        <w:tc>
          <w:tcPr>
            <w:tcW w:w="1318" w:type="dxa"/>
            <w:shd w:val="clear" w:color="auto" w:fill="EDFFB7"/>
            <w:noWrap/>
            <w:vAlign w:val="center"/>
            <w:hideMark/>
          </w:tcPr>
          <w:p w14:paraId="0317D306" w14:textId="77777777" w:rsidR="0021298F" w:rsidRDefault="0021298F" w:rsidP="00760009">
            <w:pPr>
              <w:rPr>
                <w:rFonts w:ascii="Arial" w:eastAsia="Times New Roman" w:hAnsi="Arial" w:cs="Arial"/>
                <w:color w:val="000000"/>
                <w:sz w:val="15"/>
                <w:szCs w:val="15"/>
                <w:lang w:eastAsia="zh-CN"/>
              </w:rPr>
            </w:pPr>
            <w:r>
              <w:rPr>
                <w:rFonts w:ascii="Arial" w:eastAsia="Times New Roman" w:hAnsi="Arial" w:cs="Arial"/>
                <w:color w:val="000000"/>
                <w:sz w:val="15"/>
                <w:szCs w:val="15"/>
                <w:lang w:eastAsia="zh-CN"/>
              </w:rPr>
              <w:t>EnergyPro</w:t>
            </w:r>
          </w:p>
        </w:tc>
        <w:tc>
          <w:tcPr>
            <w:tcW w:w="1358" w:type="dxa"/>
            <w:shd w:val="clear" w:color="auto" w:fill="EDFFB7"/>
            <w:noWrap/>
            <w:vAlign w:val="center"/>
            <w:hideMark/>
          </w:tcPr>
          <w:p w14:paraId="440743A7" w14:textId="77777777" w:rsidR="0021298F" w:rsidRDefault="0021298F" w:rsidP="00760009">
            <w:pPr>
              <w:rPr>
                <w:rFonts w:ascii="Arial" w:eastAsia="Times New Roman" w:hAnsi="Arial" w:cs="Arial"/>
                <w:color w:val="000000"/>
                <w:sz w:val="15"/>
                <w:szCs w:val="15"/>
                <w:lang w:eastAsia="zh-CN"/>
              </w:rPr>
            </w:pPr>
            <w:r>
              <w:rPr>
                <w:rFonts w:ascii="Arial" w:eastAsia="Times New Roman" w:hAnsi="Arial" w:cs="Arial"/>
                <w:color w:val="000000"/>
                <w:sz w:val="15"/>
                <w:szCs w:val="15"/>
                <w:lang w:eastAsia="zh-CN"/>
              </w:rPr>
              <w:t>Energia</w:t>
            </w:r>
          </w:p>
        </w:tc>
        <w:tc>
          <w:tcPr>
            <w:tcW w:w="694" w:type="dxa"/>
            <w:shd w:val="clear" w:color="auto" w:fill="EDFFB7"/>
            <w:noWrap/>
            <w:vAlign w:val="center"/>
            <w:hideMark/>
          </w:tcPr>
          <w:p w14:paraId="65BB3988" w14:textId="77777777" w:rsidR="0021298F" w:rsidRDefault="0021298F" w:rsidP="00760009">
            <w:pPr>
              <w:jc w:val="right"/>
              <w:rPr>
                <w:rFonts w:ascii="Arial" w:eastAsia="Times New Roman" w:hAnsi="Arial" w:cs="Arial"/>
                <w:color w:val="000000"/>
                <w:sz w:val="15"/>
                <w:szCs w:val="15"/>
                <w:lang w:eastAsia="zh-CN"/>
              </w:rPr>
            </w:pPr>
            <w:r>
              <w:rPr>
                <w:rFonts w:ascii="Arial" w:eastAsia="Times New Roman" w:hAnsi="Arial" w:cs="Arial"/>
                <w:color w:val="000000"/>
                <w:sz w:val="15"/>
                <w:szCs w:val="15"/>
                <w:lang w:eastAsia="zh-CN"/>
              </w:rPr>
              <w:t>48.3</w:t>
            </w:r>
          </w:p>
        </w:tc>
        <w:tc>
          <w:tcPr>
            <w:tcW w:w="1250" w:type="dxa"/>
            <w:shd w:val="clear" w:color="auto" w:fill="EDFFB7"/>
            <w:noWrap/>
            <w:vAlign w:val="center"/>
            <w:hideMark/>
          </w:tcPr>
          <w:p w14:paraId="5A9AFB69" w14:textId="77777777" w:rsidR="0021298F" w:rsidRDefault="0021298F" w:rsidP="00760009">
            <w:pPr>
              <w:jc w:val="right"/>
              <w:rPr>
                <w:rFonts w:ascii="Arial" w:eastAsia="Times New Roman" w:hAnsi="Arial" w:cs="Arial"/>
                <w:color w:val="000000"/>
                <w:sz w:val="15"/>
                <w:szCs w:val="15"/>
                <w:lang w:eastAsia="zh-CN"/>
              </w:rPr>
            </w:pPr>
            <w:r>
              <w:rPr>
                <w:rFonts w:ascii="Arial" w:eastAsia="Times New Roman" w:hAnsi="Arial" w:cs="Arial"/>
                <w:color w:val="000000"/>
                <w:sz w:val="15"/>
                <w:szCs w:val="15"/>
                <w:lang w:eastAsia="zh-CN"/>
              </w:rPr>
              <w:t>100%</w:t>
            </w:r>
          </w:p>
        </w:tc>
        <w:tc>
          <w:tcPr>
            <w:tcW w:w="617" w:type="dxa"/>
            <w:shd w:val="clear" w:color="auto" w:fill="EDFFB7"/>
            <w:noWrap/>
            <w:vAlign w:val="center"/>
            <w:hideMark/>
          </w:tcPr>
          <w:p w14:paraId="06ABBF4B" w14:textId="77777777" w:rsidR="0021298F" w:rsidRDefault="0021298F" w:rsidP="00760009">
            <w:pPr>
              <w:jc w:val="right"/>
              <w:rPr>
                <w:rFonts w:ascii="Arial" w:eastAsia="Times New Roman" w:hAnsi="Arial" w:cs="Arial"/>
                <w:color w:val="000000"/>
                <w:sz w:val="15"/>
                <w:szCs w:val="15"/>
                <w:lang w:eastAsia="zh-CN"/>
              </w:rPr>
            </w:pPr>
            <w:r>
              <w:rPr>
                <w:rFonts w:ascii="Arial" w:eastAsia="Times New Roman" w:hAnsi="Arial" w:cs="Arial"/>
                <w:color w:val="000000"/>
                <w:sz w:val="15"/>
                <w:szCs w:val="15"/>
                <w:lang w:eastAsia="zh-CN"/>
              </w:rPr>
              <w:t>48.3</w:t>
            </w:r>
          </w:p>
        </w:tc>
      </w:tr>
      <w:tr w:rsidR="0021298F" w14:paraId="0545401F" w14:textId="77777777" w:rsidTr="00760009">
        <w:trPr>
          <w:trHeight w:val="338"/>
        </w:trPr>
        <w:tc>
          <w:tcPr>
            <w:tcW w:w="1560" w:type="dxa"/>
            <w:shd w:val="clear" w:color="auto" w:fill="FFFFFF"/>
            <w:noWrap/>
            <w:vAlign w:val="center"/>
            <w:hideMark/>
          </w:tcPr>
          <w:p w14:paraId="0A3CD30C" w14:textId="77777777" w:rsidR="0021298F" w:rsidRDefault="0021298F" w:rsidP="00760009">
            <w:pPr>
              <w:rPr>
                <w:rFonts w:ascii="Arial" w:eastAsia="Times New Roman" w:hAnsi="Arial" w:cs="Arial"/>
                <w:color w:val="000000"/>
                <w:sz w:val="15"/>
                <w:szCs w:val="15"/>
                <w:lang w:eastAsia="zh-CN"/>
              </w:rPr>
            </w:pPr>
            <w:r>
              <w:rPr>
                <w:rFonts w:ascii="Arial" w:eastAsia="Times New Roman" w:hAnsi="Arial" w:cs="Arial"/>
                <w:color w:val="000000"/>
                <w:sz w:val="15"/>
                <w:szCs w:val="15"/>
                <w:lang w:eastAsia="zh-CN"/>
              </w:rPr>
              <w:t xml:space="preserve">Beam Hill </w:t>
            </w:r>
            <w:r>
              <w:rPr>
                <w:rFonts w:ascii="Arial" w:eastAsia="Times New Roman" w:hAnsi="Arial" w:cs="Arial"/>
                <w:color w:val="000000"/>
                <w:sz w:val="15"/>
                <w:szCs w:val="15"/>
                <w:vertAlign w:val="superscript"/>
                <w:lang w:eastAsia="zh-CN"/>
              </w:rPr>
              <w:t>[1]</w:t>
            </w:r>
          </w:p>
        </w:tc>
        <w:tc>
          <w:tcPr>
            <w:tcW w:w="983" w:type="dxa"/>
            <w:shd w:val="clear" w:color="auto" w:fill="EDFFB7"/>
            <w:vAlign w:val="center"/>
            <w:hideMark/>
          </w:tcPr>
          <w:p w14:paraId="5A79251C" w14:textId="77777777" w:rsidR="0021298F" w:rsidRDefault="0021298F" w:rsidP="00760009">
            <w:pPr>
              <w:rPr>
                <w:rFonts w:ascii="Arial" w:eastAsia="Times New Roman" w:hAnsi="Arial" w:cs="Arial"/>
                <w:color w:val="000000"/>
                <w:sz w:val="15"/>
                <w:szCs w:val="15"/>
                <w:lang w:eastAsia="zh-CN"/>
              </w:rPr>
            </w:pPr>
            <w:r>
              <w:rPr>
                <w:rFonts w:ascii="Arial" w:eastAsia="Times New Roman" w:hAnsi="Arial" w:cs="Arial"/>
                <w:color w:val="000000"/>
                <w:sz w:val="15"/>
                <w:szCs w:val="15"/>
                <w:lang w:eastAsia="zh-CN"/>
              </w:rPr>
              <w:t>Republic of Ireland</w:t>
            </w:r>
          </w:p>
        </w:tc>
        <w:tc>
          <w:tcPr>
            <w:tcW w:w="1444" w:type="dxa"/>
            <w:shd w:val="clear" w:color="auto" w:fill="EDFFB7"/>
            <w:noWrap/>
            <w:vAlign w:val="center"/>
            <w:hideMark/>
          </w:tcPr>
          <w:p w14:paraId="74919463" w14:textId="77777777" w:rsidR="0021298F" w:rsidRDefault="0021298F" w:rsidP="00760009">
            <w:pPr>
              <w:rPr>
                <w:rFonts w:ascii="Arial" w:eastAsia="Times New Roman" w:hAnsi="Arial" w:cs="Arial"/>
                <w:color w:val="000000"/>
                <w:sz w:val="15"/>
                <w:szCs w:val="15"/>
                <w:lang w:eastAsia="zh-CN"/>
              </w:rPr>
            </w:pPr>
            <w:r>
              <w:rPr>
                <w:rFonts w:ascii="Arial" w:eastAsia="Times New Roman" w:hAnsi="Arial" w:cs="Arial"/>
                <w:color w:val="000000"/>
                <w:sz w:val="15"/>
                <w:szCs w:val="15"/>
                <w:lang w:eastAsia="zh-CN"/>
              </w:rPr>
              <w:t>Vestas/Enercon</w:t>
            </w:r>
          </w:p>
        </w:tc>
        <w:tc>
          <w:tcPr>
            <w:tcW w:w="1318" w:type="dxa"/>
            <w:shd w:val="clear" w:color="auto" w:fill="EDFFB7"/>
            <w:noWrap/>
            <w:vAlign w:val="center"/>
            <w:hideMark/>
          </w:tcPr>
          <w:p w14:paraId="0FF6856A" w14:textId="77777777" w:rsidR="0021298F" w:rsidRDefault="0021298F" w:rsidP="00760009">
            <w:pPr>
              <w:rPr>
                <w:rFonts w:ascii="Arial" w:eastAsia="Times New Roman" w:hAnsi="Arial" w:cs="Arial"/>
                <w:color w:val="000000"/>
                <w:sz w:val="15"/>
                <w:szCs w:val="15"/>
                <w:lang w:eastAsia="zh-CN"/>
              </w:rPr>
            </w:pPr>
            <w:r>
              <w:rPr>
                <w:rFonts w:ascii="Arial" w:eastAsia="Times New Roman" w:hAnsi="Arial" w:cs="Arial"/>
                <w:color w:val="000000"/>
                <w:sz w:val="15"/>
                <w:szCs w:val="15"/>
                <w:lang w:eastAsia="zh-CN"/>
              </w:rPr>
              <w:t>EnergyPro</w:t>
            </w:r>
          </w:p>
        </w:tc>
        <w:tc>
          <w:tcPr>
            <w:tcW w:w="1358" w:type="dxa"/>
            <w:shd w:val="clear" w:color="auto" w:fill="EDFFB7"/>
            <w:noWrap/>
            <w:vAlign w:val="center"/>
            <w:hideMark/>
          </w:tcPr>
          <w:p w14:paraId="7F68F943" w14:textId="77777777" w:rsidR="0021298F" w:rsidRDefault="0021298F" w:rsidP="00760009">
            <w:pPr>
              <w:rPr>
                <w:rFonts w:ascii="Arial" w:eastAsia="Times New Roman" w:hAnsi="Arial" w:cs="Arial"/>
                <w:color w:val="000000"/>
                <w:sz w:val="15"/>
                <w:szCs w:val="15"/>
                <w:lang w:eastAsia="zh-CN"/>
              </w:rPr>
            </w:pPr>
            <w:r>
              <w:rPr>
                <w:rFonts w:ascii="Arial" w:eastAsia="Times New Roman" w:hAnsi="Arial" w:cs="Arial"/>
                <w:color w:val="000000"/>
                <w:sz w:val="15"/>
                <w:szCs w:val="15"/>
                <w:lang w:eastAsia="zh-CN"/>
              </w:rPr>
              <w:t>Erova/Naturgy</w:t>
            </w:r>
          </w:p>
        </w:tc>
        <w:tc>
          <w:tcPr>
            <w:tcW w:w="694" w:type="dxa"/>
            <w:shd w:val="clear" w:color="auto" w:fill="EDFFB7"/>
            <w:noWrap/>
            <w:vAlign w:val="center"/>
            <w:hideMark/>
          </w:tcPr>
          <w:p w14:paraId="792F83A9" w14:textId="77777777" w:rsidR="0021298F" w:rsidRDefault="0021298F" w:rsidP="00760009">
            <w:pPr>
              <w:jc w:val="right"/>
              <w:rPr>
                <w:rFonts w:ascii="Arial" w:eastAsia="Times New Roman" w:hAnsi="Arial" w:cs="Arial"/>
                <w:color w:val="000000"/>
                <w:sz w:val="15"/>
                <w:szCs w:val="15"/>
                <w:lang w:eastAsia="zh-CN"/>
              </w:rPr>
            </w:pPr>
            <w:r>
              <w:rPr>
                <w:rFonts w:ascii="Arial" w:eastAsia="Times New Roman" w:hAnsi="Arial" w:cs="Arial"/>
                <w:color w:val="000000"/>
                <w:sz w:val="15"/>
                <w:szCs w:val="15"/>
                <w:lang w:eastAsia="zh-CN"/>
              </w:rPr>
              <w:t>20.9</w:t>
            </w:r>
          </w:p>
        </w:tc>
        <w:tc>
          <w:tcPr>
            <w:tcW w:w="1250" w:type="dxa"/>
            <w:shd w:val="clear" w:color="auto" w:fill="EDFFB7"/>
            <w:noWrap/>
            <w:vAlign w:val="center"/>
            <w:hideMark/>
          </w:tcPr>
          <w:p w14:paraId="2EDAE235" w14:textId="77777777" w:rsidR="0021298F" w:rsidRDefault="0021298F" w:rsidP="00760009">
            <w:pPr>
              <w:jc w:val="right"/>
              <w:rPr>
                <w:rFonts w:ascii="Arial" w:eastAsia="Times New Roman" w:hAnsi="Arial" w:cs="Arial"/>
                <w:color w:val="000000"/>
                <w:sz w:val="15"/>
                <w:szCs w:val="15"/>
                <w:lang w:eastAsia="zh-CN"/>
              </w:rPr>
            </w:pPr>
            <w:r>
              <w:rPr>
                <w:rFonts w:ascii="Arial" w:eastAsia="Times New Roman" w:hAnsi="Arial" w:cs="Arial"/>
                <w:color w:val="000000"/>
                <w:sz w:val="15"/>
                <w:szCs w:val="15"/>
                <w:lang w:eastAsia="zh-CN"/>
              </w:rPr>
              <w:t>100%</w:t>
            </w:r>
          </w:p>
        </w:tc>
        <w:tc>
          <w:tcPr>
            <w:tcW w:w="617" w:type="dxa"/>
            <w:shd w:val="clear" w:color="auto" w:fill="EDFFB7"/>
            <w:noWrap/>
            <w:vAlign w:val="center"/>
            <w:hideMark/>
          </w:tcPr>
          <w:p w14:paraId="1E24CFD1" w14:textId="77777777" w:rsidR="0021298F" w:rsidRDefault="0021298F" w:rsidP="00760009">
            <w:pPr>
              <w:jc w:val="right"/>
              <w:rPr>
                <w:rFonts w:ascii="Arial" w:eastAsia="Times New Roman" w:hAnsi="Arial" w:cs="Arial"/>
                <w:color w:val="000000"/>
                <w:sz w:val="15"/>
                <w:szCs w:val="15"/>
                <w:lang w:eastAsia="zh-CN"/>
              </w:rPr>
            </w:pPr>
            <w:r>
              <w:rPr>
                <w:rFonts w:ascii="Arial" w:eastAsia="Times New Roman" w:hAnsi="Arial" w:cs="Arial"/>
                <w:color w:val="000000"/>
                <w:sz w:val="15"/>
                <w:szCs w:val="15"/>
                <w:lang w:eastAsia="zh-CN"/>
              </w:rPr>
              <w:t>20.9</w:t>
            </w:r>
          </w:p>
        </w:tc>
      </w:tr>
      <w:tr w:rsidR="0021298F" w14:paraId="70844BEF" w14:textId="77777777" w:rsidTr="00760009">
        <w:trPr>
          <w:trHeight w:val="338"/>
        </w:trPr>
        <w:tc>
          <w:tcPr>
            <w:tcW w:w="1560" w:type="dxa"/>
            <w:shd w:val="clear" w:color="auto" w:fill="FFFFFF"/>
            <w:noWrap/>
            <w:vAlign w:val="center"/>
            <w:hideMark/>
          </w:tcPr>
          <w:p w14:paraId="4CB9ABC5" w14:textId="77777777" w:rsidR="0021298F" w:rsidRDefault="0021298F" w:rsidP="00760009">
            <w:pPr>
              <w:rPr>
                <w:rFonts w:ascii="Arial" w:eastAsia="Times New Roman" w:hAnsi="Arial" w:cs="Arial"/>
                <w:color w:val="000000"/>
                <w:sz w:val="15"/>
                <w:szCs w:val="15"/>
                <w:lang w:eastAsia="zh-CN"/>
              </w:rPr>
            </w:pPr>
            <w:r>
              <w:rPr>
                <w:rFonts w:ascii="Arial" w:eastAsia="Times New Roman" w:hAnsi="Arial" w:cs="Arial"/>
                <w:color w:val="000000"/>
                <w:sz w:val="15"/>
                <w:szCs w:val="15"/>
                <w:lang w:eastAsia="zh-CN"/>
              </w:rPr>
              <w:t>Carrickallen</w:t>
            </w:r>
          </w:p>
        </w:tc>
        <w:tc>
          <w:tcPr>
            <w:tcW w:w="983" w:type="dxa"/>
            <w:shd w:val="clear" w:color="auto" w:fill="EDFFB7"/>
            <w:vAlign w:val="center"/>
            <w:hideMark/>
          </w:tcPr>
          <w:p w14:paraId="09FF7B7D" w14:textId="77777777" w:rsidR="0021298F" w:rsidRDefault="0021298F" w:rsidP="00760009">
            <w:pPr>
              <w:rPr>
                <w:rFonts w:ascii="Arial" w:eastAsia="Times New Roman" w:hAnsi="Arial" w:cs="Arial"/>
                <w:color w:val="000000"/>
                <w:sz w:val="15"/>
                <w:szCs w:val="15"/>
                <w:lang w:eastAsia="zh-CN"/>
              </w:rPr>
            </w:pPr>
            <w:r>
              <w:rPr>
                <w:rFonts w:ascii="Arial" w:eastAsia="Times New Roman" w:hAnsi="Arial" w:cs="Arial"/>
                <w:color w:val="000000"/>
                <w:sz w:val="15"/>
                <w:szCs w:val="15"/>
                <w:lang w:eastAsia="zh-CN"/>
              </w:rPr>
              <w:t>Republic of Ireland</w:t>
            </w:r>
          </w:p>
        </w:tc>
        <w:tc>
          <w:tcPr>
            <w:tcW w:w="1444" w:type="dxa"/>
            <w:shd w:val="clear" w:color="auto" w:fill="EDFFB7"/>
            <w:noWrap/>
            <w:vAlign w:val="center"/>
            <w:hideMark/>
          </w:tcPr>
          <w:p w14:paraId="29311280" w14:textId="77777777" w:rsidR="0021298F" w:rsidRDefault="0021298F" w:rsidP="00760009">
            <w:pPr>
              <w:rPr>
                <w:rFonts w:ascii="Arial" w:eastAsia="Times New Roman" w:hAnsi="Arial" w:cs="Arial"/>
                <w:color w:val="000000"/>
                <w:sz w:val="15"/>
                <w:szCs w:val="15"/>
                <w:lang w:eastAsia="zh-CN"/>
              </w:rPr>
            </w:pPr>
            <w:r>
              <w:rPr>
                <w:rFonts w:ascii="Arial" w:eastAsia="Times New Roman" w:hAnsi="Arial" w:cs="Arial"/>
                <w:color w:val="000000"/>
                <w:sz w:val="15"/>
                <w:szCs w:val="15"/>
                <w:lang w:eastAsia="zh-CN"/>
              </w:rPr>
              <w:t>Senvion</w:t>
            </w:r>
          </w:p>
        </w:tc>
        <w:tc>
          <w:tcPr>
            <w:tcW w:w="1318" w:type="dxa"/>
            <w:shd w:val="clear" w:color="auto" w:fill="EDFFB7"/>
            <w:noWrap/>
            <w:vAlign w:val="center"/>
            <w:hideMark/>
          </w:tcPr>
          <w:p w14:paraId="5A9F72CB" w14:textId="77777777" w:rsidR="0021298F" w:rsidRDefault="0021298F" w:rsidP="00760009">
            <w:pPr>
              <w:rPr>
                <w:rFonts w:ascii="Arial" w:eastAsia="Times New Roman" w:hAnsi="Arial" w:cs="Arial"/>
                <w:color w:val="000000"/>
                <w:sz w:val="15"/>
                <w:szCs w:val="15"/>
                <w:lang w:eastAsia="zh-CN"/>
              </w:rPr>
            </w:pPr>
            <w:r>
              <w:rPr>
                <w:rFonts w:ascii="Arial" w:eastAsia="Times New Roman" w:hAnsi="Arial" w:cs="Arial"/>
                <w:color w:val="000000"/>
                <w:sz w:val="15"/>
                <w:szCs w:val="15"/>
                <w:lang w:eastAsia="zh-CN"/>
              </w:rPr>
              <w:t>EnergyPro</w:t>
            </w:r>
          </w:p>
        </w:tc>
        <w:tc>
          <w:tcPr>
            <w:tcW w:w="1358" w:type="dxa"/>
            <w:shd w:val="clear" w:color="auto" w:fill="EDFFB7"/>
            <w:noWrap/>
            <w:vAlign w:val="center"/>
            <w:hideMark/>
          </w:tcPr>
          <w:p w14:paraId="3203BBBA" w14:textId="77777777" w:rsidR="0021298F" w:rsidRDefault="0021298F" w:rsidP="00760009">
            <w:pPr>
              <w:rPr>
                <w:rFonts w:ascii="Arial" w:eastAsia="Times New Roman" w:hAnsi="Arial" w:cs="Arial"/>
                <w:color w:val="000000"/>
                <w:sz w:val="15"/>
                <w:szCs w:val="15"/>
                <w:lang w:eastAsia="zh-CN"/>
              </w:rPr>
            </w:pPr>
            <w:r>
              <w:rPr>
                <w:rFonts w:ascii="Arial" w:eastAsia="Times New Roman" w:hAnsi="Arial" w:cs="Arial"/>
                <w:color w:val="000000"/>
                <w:sz w:val="15"/>
                <w:szCs w:val="15"/>
                <w:lang w:eastAsia="zh-CN"/>
              </w:rPr>
              <w:t>SSE</w:t>
            </w:r>
          </w:p>
        </w:tc>
        <w:tc>
          <w:tcPr>
            <w:tcW w:w="694" w:type="dxa"/>
            <w:shd w:val="clear" w:color="auto" w:fill="EDFFB7"/>
            <w:noWrap/>
            <w:vAlign w:val="center"/>
            <w:hideMark/>
          </w:tcPr>
          <w:p w14:paraId="54458A36" w14:textId="77777777" w:rsidR="0021298F" w:rsidRDefault="0021298F" w:rsidP="00760009">
            <w:pPr>
              <w:jc w:val="right"/>
              <w:rPr>
                <w:rFonts w:ascii="Arial" w:eastAsia="Times New Roman" w:hAnsi="Arial" w:cs="Arial"/>
                <w:color w:val="000000"/>
                <w:sz w:val="15"/>
                <w:szCs w:val="15"/>
                <w:lang w:eastAsia="zh-CN"/>
              </w:rPr>
            </w:pPr>
            <w:r>
              <w:rPr>
                <w:rFonts w:ascii="Arial" w:eastAsia="Times New Roman" w:hAnsi="Arial" w:cs="Arial"/>
                <w:color w:val="000000"/>
                <w:sz w:val="15"/>
                <w:szCs w:val="15"/>
                <w:lang w:eastAsia="zh-CN"/>
              </w:rPr>
              <w:t>20.5</w:t>
            </w:r>
          </w:p>
        </w:tc>
        <w:tc>
          <w:tcPr>
            <w:tcW w:w="1250" w:type="dxa"/>
            <w:shd w:val="clear" w:color="auto" w:fill="EDFFB7"/>
            <w:noWrap/>
            <w:vAlign w:val="center"/>
            <w:hideMark/>
          </w:tcPr>
          <w:p w14:paraId="0AD429F0" w14:textId="77777777" w:rsidR="0021298F" w:rsidRDefault="0021298F" w:rsidP="00760009">
            <w:pPr>
              <w:jc w:val="right"/>
              <w:rPr>
                <w:rFonts w:ascii="Arial" w:eastAsia="Times New Roman" w:hAnsi="Arial" w:cs="Arial"/>
                <w:color w:val="000000"/>
                <w:sz w:val="15"/>
                <w:szCs w:val="15"/>
                <w:lang w:eastAsia="zh-CN"/>
              </w:rPr>
            </w:pPr>
            <w:r>
              <w:rPr>
                <w:rFonts w:ascii="Arial" w:eastAsia="Times New Roman" w:hAnsi="Arial" w:cs="Arial"/>
                <w:color w:val="000000"/>
                <w:sz w:val="15"/>
                <w:szCs w:val="15"/>
                <w:lang w:eastAsia="zh-CN"/>
              </w:rPr>
              <w:t>50%</w:t>
            </w:r>
          </w:p>
        </w:tc>
        <w:tc>
          <w:tcPr>
            <w:tcW w:w="617" w:type="dxa"/>
            <w:shd w:val="clear" w:color="auto" w:fill="EDFFB7"/>
            <w:noWrap/>
            <w:vAlign w:val="center"/>
            <w:hideMark/>
          </w:tcPr>
          <w:p w14:paraId="08599A62" w14:textId="77777777" w:rsidR="0021298F" w:rsidRDefault="0021298F" w:rsidP="00760009">
            <w:pPr>
              <w:jc w:val="right"/>
              <w:rPr>
                <w:rFonts w:ascii="Arial" w:eastAsia="Times New Roman" w:hAnsi="Arial" w:cs="Arial"/>
                <w:color w:val="000000"/>
                <w:sz w:val="15"/>
                <w:szCs w:val="15"/>
                <w:lang w:eastAsia="zh-CN"/>
              </w:rPr>
            </w:pPr>
            <w:r>
              <w:rPr>
                <w:rFonts w:ascii="Arial" w:eastAsia="Times New Roman" w:hAnsi="Arial" w:cs="Arial"/>
                <w:color w:val="000000"/>
                <w:sz w:val="15"/>
                <w:szCs w:val="15"/>
                <w:lang w:eastAsia="zh-CN"/>
              </w:rPr>
              <w:t>10.3</w:t>
            </w:r>
          </w:p>
        </w:tc>
      </w:tr>
      <w:tr w:rsidR="0021298F" w14:paraId="055C4D72" w14:textId="77777777" w:rsidTr="00760009">
        <w:trPr>
          <w:trHeight w:val="338"/>
        </w:trPr>
        <w:tc>
          <w:tcPr>
            <w:tcW w:w="1560" w:type="dxa"/>
            <w:shd w:val="clear" w:color="auto" w:fill="FFFFFF"/>
            <w:noWrap/>
            <w:vAlign w:val="center"/>
            <w:hideMark/>
          </w:tcPr>
          <w:p w14:paraId="1E6201B8" w14:textId="77777777" w:rsidR="0021298F" w:rsidRDefault="0021298F" w:rsidP="00760009">
            <w:pPr>
              <w:rPr>
                <w:rFonts w:ascii="Arial" w:eastAsia="Times New Roman" w:hAnsi="Arial" w:cs="Arial"/>
                <w:color w:val="000000"/>
                <w:sz w:val="15"/>
                <w:szCs w:val="15"/>
                <w:lang w:eastAsia="zh-CN"/>
              </w:rPr>
            </w:pPr>
            <w:r>
              <w:rPr>
                <w:rFonts w:ascii="Arial" w:eastAsia="Times New Roman" w:hAnsi="Arial" w:cs="Arial"/>
                <w:color w:val="000000"/>
                <w:sz w:val="15"/>
                <w:szCs w:val="15"/>
                <w:lang w:eastAsia="zh-CN"/>
              </w:rPr>
              <w:t>Cloosh Valley</w:t>
            </w:r>
          </w:p>
        </w:tc>
        <w:tc>
          <w:tcPr>
            <w:tcW w:w="983" w:type="dxa"/>
            <w:shd w:val="clear" w:color="auto" w:fill="EDFFB7"/>
            <w:vAlign w:val="center"/>
            <w:hideMark/>
          </w:tcPr>
          <w:p w14:paraId="30E8A6EB" w14:textId="77777777" w:rsidR="0021298F" w:rsidRDefault="0021298F" w:rsidP="00760009">
            <w:pPr>
              <w:rPr>
                <w:rFonts w:ascii="Arial" w:eastAsia="Times New Roman" w:hAnsi="Arial" w:cs="Arial"/>
                <w:color w:val="000000"/>
                <w:sz w:val="15"/>
                <w:szCs w:val="15"/>
                <w:lang w:eastAsia="zh-CN"/>
              </w:rPr>
            </w:pPr>
            <w:r>
              <w:rPr>
                <w:rFonts w:ascii="Arial" w:eastAsia="Times New Roman" w:hAnsi="Arial" w:cs="Arial"/>
                <w:color w:val="000000"/>
                <w:sz w:val="15"/>
                <w:szCs w:val="15"/>
                <w:lang w:eastAsia="zh-CN"/>
              </w:rPr>
              <w:t>Republic of Ireland</w:t>
            </w:r>
          </w:p>
        </w:tc>
        <w:tc>
          <w:tcPr>
            <w:tcW w:w="1444" w:type="dxa"/>
            <w:shd w:val="clear" w:color="auto" w:fill="EDFFB7"/>
            <w:noWrap/>
            <w:vAlign w:val="center"/>
            <w:hideMark/>
          </w:tcPr>
          <w:p w14:paraId="68584C40" w14:textId="77777777" w:rsidR="0021298F" w:rsidRDefault="0021298F" w:rsidP="00760009">
            <w:pPr>
              <w:rPr>
                <w:rFonts w:ascii="Arial" w:eastAsia="Times New Roman" w:hAnsi="Arial" w:cs="Arial"/>
                <w:color w:val="000000"/>
                <w:sz w:val="15"/>
                <w:szCs w:val="15"/>
                <w:lang w:eastAsia="zh-CN"/>
              </w:rPr>
            </w:pPr>
            <w:r>
              <w:rPr>
                <w:rFonts w:ascii="Arial" w:eastAsia="Times New Roman" w:hAnsi="Arial" w:cs="Arial"/>
                <w:color w:val="000000"/>
                <w:sz w:val="15"/>
                <w:szCs w:val="15"/>
                <w:lang w:eastAsia="zh-CN"/>
              </w:rPr>
              <w:t>Siemens Gamesa</w:t>
            </w:r>
          </w:p>
        </w:tc>
        <w:tc>
          <w:tcPr>
            <w:tcW w:w="1318" w:type="dxa"/>
            <w:shd w:val="clear" w:color="auto" w:fill="EDFFB7"/>
            <w:noWrap/>
            <w:vAlign w:val="center"/>
            <w:hideMark/>
          </w:tcPr>
          <w:p w14:paraId="1E722D03" w14:textId="77777777" w:rsidR="0021298F" w:rsidRDefault="0021298F" w:rsidP="00760009">
            <w:pPr>
              <w:rPr>
                <w:rFonts w:ascii="Arial" w:eastAsia="Times New Roman" w:hAnsi="Arial" w:cs="Arial"/>
                <w:color w:val="000000"/>
                <w:sz w:val="15"/>
                <w:szCs w:val="15"/>
                <w:lang w:eastAsia="zh-CN"/>
              </w:rPr>
            </w:pPr>
            <w:r>
              <w:rPr>
                <w:rFonts w:ascii="Arial" w:eastAsia="Times New Roman" w:hAnsi="Arial" w:cs="Arial"/>
                <w:color w:val="000000"/>
                <w:sz w:val="15"/>
                <w:szCs w:val="15"/>
                <w:lang w:eastAsia="zh-CN"/>
              </w:rPr>
              <w:t>SSE</w:t>
            </w:r>
          </w:p>
        </w:tc>
        <w:tc>
          <w:tcPr>
            <w:tcW w:w="1358" w:type="dxa"/>
            <w:shd w:val="clear" w:color="auto" w:fill="EDFFB7"/>
            <w:noWrap/>
            <w:vAlign w:val="center"/>
            <w:hideMark/>
          </w:tcPr>
          <w:p w14:paraId="1D3585F0" w14:textId="77777777" w:rsidR="0021298F" w:rsidRDefault="0021298F" w:rsidP="00760009">
            <w:pPr>
              <w:rPr>
                <w:rFonts w:ascii="Arial" w:eastAsia="Times New Roman" w:hAnsi="Arial" w:cs="Arial"/>
                <w:color w:val="000000"/>
                <w:sz w:val="15"/>
                <w:szCs w:val="15"/>
                <w:lang w:eastAsia="zh-CN"/>
              </w:rPr>
            </w:pPr>
            <w:r>
              <w:rPr>
                <w:rFonts w:ascii="Arial" w:eastAsia="Times New Roman" w:hAnsi="Arial" w:cs="Arial"/>
                <w:color w:val="000000"/>
                <w:sz w:val="15"/>
                <w:szCs w:val="15"/>
                <w:lang w:eastAsia="zh-CN"/>
              </w:rPr>
              <w:t>SSE</w:t>
            </w:r>
          </w:p>
        </w:tc>
        <w:tc>
          <w:tcPr>
            <w:tcW w:w="694" w:type="dxa"/>
            <w:shd w:val="clear" w:color="auto" w:fill="EDFFB7"/>
            <w:noWrap/>
            <w:vAlign w:val="center"/>
            <w:hideMark/>
          </w:tcPr>
          <w:p w14:paraId="2960045B" w14:textId="77777777" w:rsidR="0021298F" w:rsidRDefault="0021298F" w:rsidP="00760009">
            <w:pPr>
              <w:jc w:val="right"/>
              <w:rPr>
                <w:rFonts w:ascii="Arial" w:eastAsia="Times New Roman" w:hAnsi="Arial" w:cs="Arial"/>
                <w:color w:val="000000"/>
                <w:sz w:val="15"/>
                <w:szCs w:val="15"/>
                <w:lang w:eastAsia="zh-CN"/>
              </w:rPr>
            </w:pPr>
            <w:r>
              <w:rPr>
                <w:rFonts w:ascii="Arial" w:eastAsia="Times New Roman" w:hAnsi="Arial" w:cs="Arial"/>
                <w:color w:val="000000"/>
                <w:sz w:val="15"/>
                <w:szCs w:val="15"/>
                <w:lang w:eastAsia="zh-CN"/>
              </w:rPr>
              <w:t>108.0</w:t>
            </w:r>
          </w:p>
        </w:tc>
        <w:tc>
          <w:tcPr>
            <w:tcW w:w="1250" w:type="dxa"/>
            <w:shd w:val="clear" w:color="auto" w:fill="EDFFB7"/>
            <w:noWrap/>
            <w:vAlign w:val="center"/>
            <w:hideMark/>
          </w:tcPr>
          <w:p w14:paraId="6393EB6D" w14:textId="77777777" w:rsidR="0021298F" w:rsidRDefault="0021298F" w:rsidP="00760009">
            <w:pPr>
              <w:jc w:val="right"/>
              <w:rPr>
                <w:rFonts w:ascii="Arial" w:eastAsia="Times New Roman" w:hAnsi="Arial" w:cs="Arial"/>
                <w:color w:val="000000"/>
                <w:sz w:val="15"/>
                <w:szCs w:val="15"/>
                <w:lang w:eastAsia="zh-CN"/>
              </w:rPr>
            </w:pPr>
            <w:r>
              <w:rPr>
                <w:rFonts w:ascii="Arial" w:eastAsia="Times New Roman" w:hAnsi="Arial" w:cs="Arial"/>
                <w:color w:val="000000"/>
                <w:sz w:val="15"/>
                <w:szCs w:val="15"/>
                <w:lang w:eastAsia="zh-CN"/>
              </w:rPr>
              <w:t>75%</w:t>
            </w:r>
          </w:p>
        </w:tc>
        <w:tc>
          <w:tcPr>
            <w:tcW w:w="617" w:type="dxa"/>
            <w:shd w:val="clear" w:color="auto" w:fill="EDFFB7"/>
            <w:noWrap/>
            <w:vAlign w:val="center"/>
            <w:hideMark/>
          </w:tcPr>
          <w:p w14:paraId="3CBBA2AB" w14:textId="77777777" w:rsidR="0021298F" w:rsidRDefault="0021298F" w:rsidP="00760009">
            <w:pPr>
              <w:jc w:val="right"/>
              <w:rPr>
                <w:rFonts w:ascii="Arial" w:eastAsia="Times New Roman" w:hAnsi="Arial" w:cs="Arial"/>
                <w:color w:val="000000"/>
                <w:sz w:val="15"/>
                <w:szCs w:val="15"/>
                <w:lang w:eastAsia="zh-CN"/>
              </w:rPr>
            </w:pPr>
            <w:r>
              <w:rPr>
                <w:rFonts w:ascii="Arial" w:eastAsia="Times New Roman" w:hAnsi="Arial" w:cs="Arial"/>
                <w:color w:val="000000"/>
                <w:sz w:val="15"/>
                <w:szCs w:val="15"/>
                <w:lang w:eastAsia="zh-CN"/>
              </w:rPr>
              <w:t>81.0</w:t>
            </w:r>
          </w:p>
        </w:tc>
      </w:tr>
      <w:tr w:rsidR="0021298F" w14:paraId="4BB936A2" w14:textId="77777777" w:rsidTr="00760009">
        <w:trPr>
          <w:trHeight w:val="338"/>
        </w:trPr>
        <w:tc>
          <w:tcPr>
            <w:tcW w:w="1560" w:type="dxa"/>
            <w:shd w:val="clear" w:color="auto" w:fill="FFFFFF"/>
            <w:noWrap/>
            <w:vAlign w:val="center"/>
            <w:hideMark/>
          </w:tcPr>
          <w:p w14:paraId="4113C14A" w14:textId="77777777" w:rsidR="0021298F" w:rsidRDefault="0021298F" w:rsidP="00760009">
            <w:pPr>
              <w:rPr>
                <w:rFonts w:ascii="Arial" w:eastAsia="Times New Roman" w:hAnsi="Arial" w:cs="Arial"/>
                <w:color w:val="000000"/>
                <w:sz w:val="15"/>
                <w:szCs w:val="15"/>
                <w:lang w:eastAsia="zh-CN"/>
              </w:rPr>
            </w:pPr>
            <w:r>
              <w:rPr>
                <w:rFonts w:ascii="Arial" w:eastAsia="Times New Roman" w:hAnsi="Arial" w:cs="Arial"/>
                <w:color w:val="000000"/>
                <w:sz w:val="15"/>
                <w:szCs w:val="15"/>
                <w:lang w:eastAsia="zh-CN"/>
              </w:rPr>
              <w:t>Garranereagh</w:t>
            </w:r>
          </w:p>
        </w:tc>
        <w:tc>
          <w:tcPr>
            <w:tcW w:w="983" w:type="dxa"/>
            <w:shd w:val="clear" w:color="auto" w:fill="EDFFB7"/>
            <w:vAlign w:val="center"/>
            <w:hideMark/>
          </w:tcPr>
          <w:p w14:paraId="2DEB1A89" w14:textId="77777777" w:rsidR="0021298F" w:rsidRDefault="0021298F" w:rsidP="00760009">
            <w:pPr>
              <w:rPr>
                <w:rFonts w:ascii="Arial" w:eastAsia="Times New Roman" w:hAnsi="Arial" w:cs="Arial"/>
                <w:color w:val="000000"/>
                <w:sz w:val="15"/>
                <w:szCs w:val="15"/>
                <w:lang w:eastAsia="zh-CN"/>
              </w:rPr>
            </w:pPr>
            <w:r>
              <w:rPr>
                <w:rFonts w:ascii="Arial" w:eastAsia="Times New Roman" w:hAnsi="Arial" w:cs="Arial"/>
                <w:color w:val="000000"/>
                <w:sz w:val="15"/>
                <w:szCs w:val="15"/>
                <w:lang w:eastAsia="zh-CN"/>
              </w:rPr>
              <w:t>Republic of Ireland</w:t>
            </w:r>
          </w:p>
        </w:tc>
        <w:tc>
          <w:tcPr>
            <w:tcW w:w="1444" w:type="dxa"/>
            <w:shd w:val="clear" w:color="auto" w:fill="EDFFB7"/>
            <w:noWrap/>
            <w:vAlign w:val="center"/>
            <w:hideMark/>
          </w:tcPr>
          <w:p w14:paraId="2F65CDC4" w14:textId="77777777" w:rsidR="0021298F" w:rsidRDefault="0021298F" w:rsidP="00760009">
            <w:pPr>
              <w:rPr>
                <w:rFonts w:ascii="Arial" w:eastAsia="Times New Roman" w:hAnsi="Arial" w:cs="Arial"/>
                <w:color w:val="000000"/>
                <w:sz w:val="15"/>
                <w:szCs w:val="15"/>
                <w:lang w:eastAsia="zh-CN"/>
              </w:rPr>
            </w:pPr>
            <w:r>
              <w:rPr>
                <w:rFonts w:ascii="Arial" w:eastAsia="Times New Roman" w:hAnsi="Arial" w:cs="Arial"/>
                <w:color w:val="000000"/>
                <w:sz w:val="15"/>
                <w:szCs w:val="15"/>
                <w:lang w:eastAsia="zh-CN"/>
              </w:rPr>
              <w:t>Enercon</w:t>
            </w:r>
          </w:p>
        </w:tc>
        <w:tc>
          <w:tcPr>
            <w:tcW w:w="1318" w:type="dxa"/>
            <w:shd w:val="clear" w:color="auto" w:fill="EDFFB7"/>
            <w:noWrap/>
            <w:vAlign w:val="center"/>
            <w:hideMark/>
          </w:tcPr>
          <w:p w14:paraId="6F93A36E" w14:textId="77777777" w:rsidR="0021298F" w:rsidRDefault="0021298F" w:rsidP="00760009">
            <w:pPr>
              <w:rPr>
                <w:rFonts w:ascii="Arial" w:eastAsia="Times New Roman" w:hAnsi="Arial" w:cs="Arial"/>
                <w:color w:val="000000"/>
                <w:sz w:val="15"/>
                <w:szCs w:val="15"/>
                <w:lang w:eastAsia="zh-CN"/>
              </w:rPr>
            </w:pPr>
            <w:r>
              <w:rPr>
                <w:rFonts w:ascii="Arial" w:eastAsia="Times New Roman" w:hAnsi="Arial" w:cs="Arial"/>
                <w:color w:val="000000"/>
                <w:sz w:val="15"/>
                <w:szCs w:val="15"/>
                <w:lang w:eastAsia="zh-CN"/>
              </w:rPr>
              <w:t>Statkraft</w:t>
            </w:r>
          </w:p>
        </w:tc>
        <w:tc>
          <w:tcPr>
            <w:tcW w:w="1358" w:type="dxa"/>
            <w:shd w:val="clear" w:color="auto" w:fill="EDFFB7"/>
            <w:noWrap/>
            <w:vAlign w:val="center"/>
            <w:hideMark/>
          </w:tcPr>
          <w:p w14:paraId="0DF19AE4" w14:textId="77777777" w:rsidR="0021298F" w:rsidRDefault="0021298F" w:rsidP="00760009">
            <w:pPr>
              <w:rPr>
                <w:rFonts w:ascii="Arial" w:eastAsia="Times New Roman" w:hAnsi="Arial" w:cs="Arial"/>
                <w:color w:val="000000"/>
                <w:sz w:val="15"/>
                <w:szCs w:val="15"/>
                <w:lang w:eastAsia="zh-CN"/>
              </w:rPr>
            </w:pPr>
            <w:r>
              <w:rPr>
                <w:rFonts w:ascii="Arial" w:eastAsia="Times New Roman" w:hAnsi="Arial" w:cs="Arial"/>
                <w:color w:val="000000"/>
                <w:sz w:val="15"/>
                <w:szCs w:val="15"/>
                <w:lang w:eastAsia="zh-CN"/>
              </w:rPr>
              <w:t>Bord Gáis</w:t>
            </w:r>
          </w:p>
        </w:tc>
        <w:tc>
          <w:tcPr>
            <w:tcW w:w="694" w:type="dxa"/>
            <w:shd w:val="clear" w:color="auto" w:fill="EDFFB7"/>
            <w:noWrap/>
            <w:vAlign w:val="center"/>
            <w:hideMark/>
          </w:tcPr>
          <w:p w14:paraId="08CFCDE9" w14:textId="77777777" w:rsidR="0021298F" w:rsidRDefault="0021298F" w:rsidP="00760009">
            <w:pPr>
              <w:jc w:val="right"/>
              <w:rPr>
                <w:rFonts w:ascii="Arial" w:eastAsia="Times New Roman" w:hAnsi="Arial" w:cs="Arial"/>
                <w:color w:val="000000"/>
                <w:sz w:val="15"/>
                <w:szCs w:val="15"/>
                <w:lang w:eastAsia="zh-CN"/>
              </w:rPr>
            </w:pPr>
            <w:r>
              <w:rPr>
                <w:rFonts w:ascii="Arial" w:eastAsia="Times New Roman" w:hAnsi="Arial" w:cs="Arial"/>
                <w:color w:val="000000"/>
                <w:sz w:val="15"/>
                <w:szCs w:val="15"/>
                <w:lang w:eastAsia="zh-CN"/>
              </w:rPr>
              <w:t>9.2</w:t>
            </w:r>
          </w:p>
        </w:tc>
        <w:tc>
          <w:tcPr>
            <w:tcW w:w="1250" w:type="dxa"/>
            <w:shd w:val="clear" w:color="auto" w:fill="EDFFB7"/>
            <w:noWrap/>
            <w:vAlign w:val="center"/>
            <w:hideMark/>
          </w:tcPr>
          <w:p w14:paraId="271B1626" w14:textId="77777777" w:rsidR="0021298F" w:rsidRDefault="0021298F" w:rsidP="00760009">
            <w:pPr>
              <w:jc w:val="right"/>
              <w:rPr>
                <w:rFonts w:ascii="Arial" w:eastAsia="Times New Roman" w:hAnsi="Arial" w:cs="Arial"/>
                <w:color w:val="000000"/>
                <w:sz w:val="15"/>
                <w:szCs w:val="15"/>
                <w:lang w:eastAsia="zh-CN"/>
              </w:rPr>
            </w:pPr>
            <w:r>
              <w:rPr>
                <w:rFonts w:ascii="Arial" w:eastAsia="Times New Roman" w:hAnsi="Arial" w:cs="Arial"/>
                <w:color w:val="000000"/>
                <w:sz w:val="15"/>
                <w:szCs w:val="15"/>
                <w:lang w:eastAsia="zh-CN"/>
              </w:rPr>
              <w:t>100%</w:t>
            </w:r>
          </w:p>
        </w:tc>
        <w:tc>
          <w:tcPr>
            <w:tcW w:w="617" w:type="dxa"/>
            <w:shd w:val="clear" w:color="auto" w:fill="EDFFB7"/>
            <w:noWrap/>
            <w:vAlign w:val="center"/>
            <w:hideMark/>
          </w:tcPr>
          <w:p w14:paraId="552D739D" w14:textId="77777777" w:rsidR="0021298F" w:rsidRDefault="0021298F" w:rsidP="00760009">
            <w:pPr>
              <w:jc w:val="right"/>
              <w:rPr>
                <w:rFonts w:ascii="Arial" w:eastAsia="Times New Roman" w:hAnsi="Arial" w:cs="Arial"/>
                <w:color w:val="000000"/>
                <w:sz w:val="15"/>
                <w:szCs w:val="15"/>
                <w:lang w:eastAsia="zh-CN"/>
              </w:rPr>
            </w:pPr>
            <w:r>
              <w:rPr>
                <w:rFonts w:ascii="Arial" w:eastAsia="Times New Roman" w:hAnsi="Arial" w:cs="Arial"/>
                <w:color w:val="000000"/>
                <w:sz w:val="15"/>
                <w:szCs w:val="15"/>
                <w:lang w:eastAsia="zh-CN"/>
              </w:rPr>
              <w:t>9.2</w:t>
            </w:r>
          </w:p>
        </w:tc>
      </w:tr>
      <w:tr w:rsidR="0021298F" w14:paraId="765E699C" w14:textId="77777777" w:rsidTr="00760009">
        <w:trPr>
          <w:trHeight w:val="338"/>
        </w:trPr>
        <w:tc>
          <w:tcPr>
            <w:tcW w:w="1560" w:type="dxa"/>
            <w:shd w:val="clear" w:color="auto" w:fill="FFFFFF"/>
            <w:noWrap/>
            <w:vAlign w:val="center"/>
            <w:hideMark/>
          </w:tcPr>
          <w:p w14:paraId="1B71D492" w14:textId="77777777" w:rsidR="0021298F" w:rsidRDefault="0021298F" w:rsidP="00760009">
            <w:pPr>
              <w:rPr>
                <w:rFonts w:ascii="Arial" w:eastAsia="Times New Roman" w:hAnsi="Arial" w:cs="Arial"/>
                <w:color w:val="000000"/>
                <w:sz w:val="15"/>
                <w:szCs w:val="15"/>
                <w:lang w:eastAsia="zh-CN"/>
              </w:rPr>
            </w:pPr>
            <w:r>
              <w:rPr>
                <w:rFonts w:ascii="Arial" w:eastAsia="Times New Roman" w:hAnsi="Arial" w:cs="Arial"/>
                <w:color w:val="000000"/>
                <w:sz w:val="15"/>
                <w:szCs w:val="15"/>
                <w:lang w:eastAsia="zh-CN"/>
              </w:rPr>
              <w:t>Glanaruddery</w:t>
            </w:r>
          </w:p>
        </w:tc>
        <w:tc>
          <w:tcPr>
            <w:tcW w:w="983" w:type="dxa"/>
            <w:shd w:val="clear" w:color="auto" w:fill="EDFFB7"/>
            <w:vAlign w:val="center"/>
            <w:hideMark/>
          </w:tcPr>
          <w:p w14:paraId="78F4B835" w14:textId="77777777" w:rsidR="0021298F" w:rsidRDefault="0021298F" w:rsidP="00760009">
            <w:pPr>
              <w:rPr>
                <w:rFonts w:ascii="Arial" w:eastAsia="Times New Roman" w:hAnsi="Arial" w:cs="Arial"/>
                <w:color w:val="000000"/>
                <w:sz w:val="15"/>
                <w:szCs w:val="15"/>
                <w:lang w:eastAsia="zh-CN"/>
              </w:rPr>
            </w:pPr>
            <w:r>
              <w:rPr>
                <w:rFonts w:ascii="Arial" w:eastAsia="Times New Roman" w:hAnsi="Arial" w:cs="Arial"/>
                <w:color w:val="000000"/>
                <w:sz w:val="15"/>
                <w:szCs w:val="15"/>
                <w:lang w:eastAsia="zh-CN"/>
              </w:rPr>
              <w:t>Republic of Ireland</w:t>
            </w:r>
          </w:p>
        </w:tc>
        <w:tc>
          <w:tcPr>
            <w:tcW w:w="1444" w:type="dxa"/>
            <w:shd w:val="clear" w:color="auto" w:fill="EDFFB7"/>
            <w:noWrap/>
            <w:vAlign w:val="center"/>
            <w:hideMark/>
          </w:tcPr>
          <w:p w14:paraId="5F4BBAEB" w14:textId="77777777" w:rsidR="0021298F" w:rsidRDefault="0021298F" w:rsidP="00760009">
            <w:pPr>
              <w:rPr>
                <w:rFonts w:ascii="Arial" w:eastAsia="Times New Roman" w:hAnsi="Arial" w:cs="Arial"/>
                <w:color w:val="000000"/>
                <w:sz w:val="15"/>
                <w:szCs w:val="15"/>
                <w:lang w:eastAsia="zh-CN"/>
              </w:rPr>
            </w:pPr>
            <w:r>
              <w:rPr>
                <w:rFonts w:ascii="Arial" w:eastAsia="Times New Roman" w:hAnsi="Arial" w:cs="Arial"/>
                <w:color w:val="000000"/>
                <w:sz w:val="15"/>
                <w:szCs w:val="15"/>
                <w:lang w:eastAsia="zh-CN"/>
              </w:rPr>
              <w:t>Vestas</w:t>
            </w:r>
          </w:p>
        </w:tc>
        <w:tc>
          <w:tcPr>
            <w:tcW w:w="1318" w:type="dxa"/>
            <w:shd w:val="clear" w:color="auto" w:fill="EDFFB7"/>
            <w:noWrap/>
            <w:vAlign w:val="center"/>
            <w:hideMark/>
          </w:tcPr>
          <w:p w14:paraId="774EB856" w14:textId="77777777" w:rsidR="0021298F" w:rsidRDefault="0021298F" w:rsidP="00760009">
            <w:pPr>
              <w:rPr>
                <w:rFonts w:ascii="Arial" w:eastAsia="Times New Roman" w:hAnsi="Arial" w:cs="Arial"/>
                <w:color w:val="000000"/>
                <w:sz w:val="15"/>
                <w:szCs w:val="15"/>
                <w:lang w:eastAsia="zh-CN"/>
              </w:rPr>
            </w:pPr>
            <w:r>
              <w:rPr>
                <w:rFonts w:ascii="Arial" w:eastAsia="Times New Roman" w:hAnsi="Arial" w:cs="Arial"/>
                <w:color w:val="000000"/>
                <w:sz w:val="15"/>
                <w:szCs w:val="15"/>
                <w:lang w:eastAsia="zh-CN"/>
              </w:rPr>
              <w:t>EnergyPro</w:t>
            </w:r>
          </w:p>
        </w:tc>
        <w:tc>
          <w:tcPr>
            <w:tcW w:w="1358" w:type="dxa"/>
            <w:shd w:val="clear" w:color="auto" w:fill="EDFFB7"/>
            <w:noWrap/>
            <w:vAlign w:val="center"/>
            <w:hideMark/>
          </w:tcPr>
          <w:p w14:paraId="2202BBD2" w14:textId="77777777" w:rsidR="0021298F" w:rsidRDefault="0021298F" w:rsidP="00760009">
            <w:pPr>
              <w:rPr>
                <w:rFonts w:ascii="Arial" w:eastAsia="Times New Roman" w:hAnsi="Arial" w:cs="Arial"/>
                <w:color w:val="000000"/>
                <w:sz w:val="15"/>
                <w:szCs w:val="15"/>
                <w:lang w:eastAsia="zh-CN"/>
              </w:rPr>
            </w:pPr>
            <w:r>
              <w:rPr>
                <w:rFonts w:ascii="Arial" w:eastAsia="Times New Roman" w:hAnsi="Arial" w:cs="Arial"/>
                <w:color w:val="000000"/>
                <w:sz w:val="15"/>
                <w:szCs w:val="15"/>
                <w:lang w:eastAsia="zh-CN"/>
              </w:rPr>
              <w:t>Supplier Lite</w:t>
            </w:r>
          </w:p>
        </w:tc>
        <w:tc>
          <w:tcPr>
            <w:tcW w:w="694" w:type="dxa"/>
            <w:shd w:val="clear" w:color="auto" w:fill="EDFFB7"/>
            <w:noWrap/>
            <w:vAlign w:val="center"/>
            <w:hideMark/>
          </w:tcPr>
          <w:p w14:paraId="5DEC3570" w14:textId="77777777" w:rsidR="0021298F" w:rsidRDefault="0021298F" w:rsidP="00760009">
            <w:pPr>
              <w:jc w:val="right"/>
              <w:rPr>
                <w:rFonts w:ascii="Arial" w:eastAsia="Times New Roman" w:hAnsi="Arial" w:cs="Arial"/>
                <w:color w:val="000000"/>
                <w:sz w:val="15"/>
                <w:szCs w:val="15"/>
                <w:lang w:eastAsia="zh-CN"/>
              </w:rPr>
            </w:pPr>
            <w:r>
              <w:rPr>
                <w:rFonts w:ascii="Arial" w:eastAsia="Times New Roman" w:hAnsi="Arial" w:cs="Arial"/>
                <w:color w:val="000000"/>
                <w:sz w:val="15"/>
                <w:szCs w:val="15"/>
                <w:lang w:eastAsia="zh-CN"/>
              </w:rPr>
              <w:t>36.3</w:t>
            </w:r>
          </w:p>
        </w:tc>
        <w:tc>
          <w:tcPr>
            <w:tcW w:w="1250" w:type="dxa"/>
            <w:shd w:val="clear" w:color="auto" w:fill="EDFFB7"/>
            <w:noWrap/>
            <w:vAlign w:val="center"/>
            <w:hideMark/>
          </w:tcPr>
          <w:p w14:paraId="49CAF4D6" w14:textId="77777777" w:rsidR="0021298F" w:rsidRDefault="0021298F" w:rsidP="00760009">
            <w:pPr>
              <w:jc w:val="right"/>
              <w:rPr>
                <w:rFonts w:ascii="Arial" w:eastAsia="Times New Roman" w:hAnsi="Arial" w:cs="Arial"/>
                <w:color w:val="000000"/>
                <w:sz w:val="15"/>
                <w:szCs w:val="15"/>
                <w:lang w:eastAsia="zh-CN"/>
              </w:rPr>
            </w:pPr>
            <w:r>
              <w:rPr>
                <w:rFonts w:ascii="Arial" w:eastAsia="Times New Roman" w:hAnsi="Arial" w:cs="Arial"/>
                <w:color w:val="000000"/>
                <w:sz w:val="15"/>
                <w:szCs w:val="15"/>
                <w:lang w:eastAsia="zh-CN"/>
              </w:rPr>
              <w:t>100%</w:t>
            </w:r>
          </w:p>
        </w:tc>
        <w:tc>
          <w:tcPr>
            <w:tcW w:w="617" w:type="dxa"/>
            <w:shd w:val="clear" w:color="auto" w:fill="EDFFB7"/>
            <w:noWrap/>
            <w:vAlign w:val="center"/>
            <w:hideMark/>
          </w:tcPr>
          <w:p w14:paraId="0A1F85D8" w14:textId="77777777" w:rsidR="0021298F" w:rsidRDefault="0021298F" w:rsidP="00760009">
            <w:pPr>
              <w:jc w:val="right"/>
              <w:rPr>
                <w:rFonts w:ascii="Arial" w:eastAsia="Times New Roman" w:hAnsi="Arial" w:cs="Arial"/>
                <w:color w:val="000000"/>
                <w:sz w:val="15"/>
                <w:szCs w:val="15"/>
                <w:lang w:eastAsia="zh-CN"/>
              </w:rPr>
            </w:pPr>
            <w:r>
              <w:rPr>
                <w:rFonts w:ascii="Arial" w:eastAsia="Times New Roman" w:hAnsi="Arial" w:cs="Arial"/>
                <w:color w:val="000000"/>
                <w:sz w:val="15"/>
                <w:szCs w:val="15"/>
                <w:lang w:eastAsia="zh-CN"/>
              </w:rPr>
              <w:t>36.3</w:t>
            </w:r>
          </w:p>
        </w:tc>
      </w:tr>
      <w:tr w:rsidR="0021298F" w14:paraId="4531BD77" w14:textId="77777777" w:rsidTr="00760009">
        <w:trPr>
          <w:trHeight w:val="338"/>
        </w:trPr>
        <w:tc>
          <w:tcPr>
            <w:tcW w:w="1560" w:type="dxa"/>
            <w:shd w:val="clear" w:color="auto" w:fill="FFFFFF"/>
            <w:noWrap/>
            <w:vAlign w:val="center"/>
            <w:hideMark/>
          </w:tcPr>
          <w:p w14:paraId="1F068414" w14:textId="77777777" w:rsidR="0021298F" w:rsidRDefault="0021298F" w:rsidP="00760009">
            <w:pPr>
              <w:rPr>
                <w:rFonts w:ascii="Arial" w:eastAsia="Times New Roman" w:hAnsi="Arial" w:cs="Arial"/>
                <w:color w:val="000000"/>
                <w:sz w:val="15"/>
                <w:szCs w:val="15"/>
                <w:lang w:eastAsia="zh-CN"/>
              </w:rPr>
            </w:pPr>
            <w:r>
              <w:rPr>
                <w:rFonts w:ascii="Arial" w:eastAsia="Times New Roman" w:hAnsi="Arial" w:cs="Arial"/>
                <w:color w:val="000000"/>
                <w:sz w:val="15"/>
                <w:szCs w:val="15"/>
                <w:lang w:eastAsia="zh-CN"/>
              </w:rPr>
              <w:t>Gortahile</w:t>
            </w:r>
          </w:p>
        </w:tc>
        <w:tc>
          <w:tcPr>
            <w:tcW w:w="983" w:type="dxa"/>
            <w:shd w:val="clear" w:color="auto" w:fill="EDFFB7"/>
            <w:vAlign w:val="center"/>
            <w:hideMark/>
          </w:tcPr>
          <w:p w14:paraId="5805B739" w14:textId="77777777" w:rsidR="0021298F" w:rsidRDefault="0021298F" w:rsidP="00760009">
            <w:pPr>
              <w:rPr>
                <w:rFonts w:ascii="Arial" w:eastAsia="Times New Roman" w:hAnsi="Arial" w:cs="Arial"/>
                <w:color w:val="000000"/>
                <w:sz w:val="15"/>
                <w:szCs w:val="15"/>
                <w:lang w:eastAsia="zh-CN"/>
              </w:rPr>
            </w:pPr>
            <w:r>
              <w:rPr>
                <w:rFonts w:ascii="Arial" w:eastAsia="Times New Roman" w:hAnsi="Arial" w:cs="Arial"/>
                <w:color w:val="000000"/>
                <w:sz w:val="15"/>
                <w:szCs w:val="15"/>
                <w:lang w:eastAsia="zh-CN"/>
              </w:rPr>
              <w:t>Republic of Ireland</w:t>
            </w:r>
          </w:p>
        </w:tc>
        <w:tc>
          <w:tcPr>
            <w:tcW w:w="1444" w:type="dxa"/>
            <w:shd w:val="clear" w:color="auto" w:fill="EDFFB7"/>
            <w:noWrap/>
            <w:vAlign w:val="center"/>
            <w:hideMark/>
          </w:tcPr>
          <w:p w14:paraId="6E52FC3E" w14:textId="77777777" w:rsidR="0021298F" w:rsidRDefault="0021298F" w:rsidP="00760009">
            <w:pPr>
              <w:rPr>
                <w:rFonts w:ascii="Arial" w:eastAsia="Times New Roman" w:hAnsi="Arial" w:cs="Arial"/>
                <w:color w:val="000000"/>
                <w:sz w:val="15"/>
                <w:szCs w:val="15"/>
                <w:lang w:eastAsia="zh-CN"/>
              </w:rPr>
            </w:pPr>
            <w:r>
              <w:rPr>
                <w:rFonts w:ascii="Arial" w:eastAsia="Times New Roman" w:hAnsi="Arial" w:cs="Arial"/>
                <w:color w:val="000000"/>
                <w:sz w:val="15"/>
                <w:szCs w:val="15"/>
                <w:lang w:eastAsia="zh-CN"/>
              </w:rPr>
              <w:t>Nordex</w:t>
            </w:r>
          </w:p>
        </w:tc>
        <w:tc>
          <w:tcPr>
            <w:tcW w:w="1318" w:type="dxa"/>
            <w:shd w:val="clear" w:color="auto" w:fill="EDFFB7"/>
            <w:noWrap/>
            <w:vAlign w:val="center"/>
            <w:hideMark/>
          </w:tcPr>
          <w:p w14:paraId="00A3BE01" w14:textId="77777777" w:rsidR="0021298F" w:rsidRDefault="0021298F" w:rsidP="00760009">
            <w:pPr>
              <w:rPr>
                <w:rFonts w:ascii="Arial" w:eastAsia="Times New Roman" w:hAnsi="Arial" w:cs="Arial"/>
                <w:color w:val="000000"/>
                <w:sz w:val="15"/>
                <w:szCs w:val="15"/>
                <w:lang w:eastAsia="zh-CN"/>
              </w:rPr>
            </w:pPr>
            <w:r>
              <w:rPr>
                <w:rFonts w:ascii="Arial" w:eastAsia="Times New Roman" w:hAnsi="Arial" w:cs="Arial"/>
                <w:color w:val="000000"/>
                <w:sz w:val="15"/>
                <w:szCs w:val="15"/>
                <w:lang w:eastAsia="zh-CN"/>
              </w:rPr>
              <w:t>Statkraft</w:t>
            </w:r>
          </w:p>
        </w:tc>
        <w:tc>
          <w:tcPr>
            <w:tcW w:w="1358" w:type="dxa"/>
            <w:shd w:val="clear" w:color="auto" w:fill="EDFFB7"/>
            <w:noWrap/>
            <w:vAlign w:val="center"/>
            <w:hideMark/>
          </w:tcPr>
          <w:p w14:paraId="24BCD9FF" w14:textId="77777777" w:rsidR="0021298F" w:rsidRDefault="0021298F" w:rsidP="00760009">
            <w:pPr>
              <w:rPr>
                <w:rFonts w:ascii="Arial" w:eastAsia="Times New Roman" w:hAnsi="Arial" w:cs="Arial"/>
                <w:color w:val="000000"/>
                <w:sz w:val="15"/>
                <w:szCs w:val="15"/>
                <w:lang w:eastAsia="zh-CN"/>
              </w:rPr>
            </w:pPr>
            <w:r>
              <w:rPr>
                <w:rFonts w:ascii="Arial" w:eastAsia="Times New Roman" w:hAnsi="Arial" w:cs="Arial"/>
                <w:color w:val="000000"/>
                <w:sz w:val="15"/>
                <w:szCs w:val="15"/>
                <w:lang w:eastAsia="zh-CN"/>
              </w:rPr>
              <w:t>Energia</w:t>
            </w:r>
          </w:p>
        </w:tc>
        <w:tc>
          <w:tcPr>
            <w:tcW w:w="694" w:type="dxa"/>
            <w:shd w:val="clear" w:color="auto" w:fill="EDFFB7"/>
            <w:noWrap/>
            <w:vAlign w:val="center"/>
            <w:hideMark/>
          </w:tcPr>
          <w:p w14:paraId="7C03D6DD" w14:textId="77777777" w:rsidR="0021298F" w:rsidRDefault="0021298F" w:rsidP="00760009">
            <w:pPr>
              <w:jc w:val="right"/>
              <w:rPr>
                <w:rFonts w:ascii="Arial" w:eastAsia="Times New Roman" w:hAnsi="Arial" w:cs="Arial"/>
                <w:color w:val="000000"/>
                <w:sz w:val="15"/>
                <w:szCs w:val="15"/>
                <w:lang w:eastAsia="zh-CN"/>
              </w:rPr>
            </w:pPr>
            <w:r>
              <w:rPr>
                <w:rFonts w:ascii="Arial" w:eastAsia="Times New Roman" w:hAnsi="Arial" w:cs="Arial"/>
                <w:color w:val="000000"/>
                <w:sz w:val="15"/>
                <w:szCs w:val="15"/>
                <w:lang w:eastAsia="zh-CN"/>
              </w:rPr>
              <w:t>20.0</w:t>
            </w:r>
          </w:p>
        </w:tc>
        <w:tc>
          <w:tcPr>
            <w:tcW w:w="1250" w:type="dxa"/>
            <w:shd w:val="clear" w:color="auto" w:fill="EDFFB7"/>
            <w:noWrap/>
            <w:vAlign w:val="center"/>
            <w:hideMark/>
          </w:tcPr>
          <w:p w14:paraId="3A56CFB6" w14:textId="77777777" w:rsidR="0021298F" w:rsidRDefault="0021298F" w:rsidP="00760009">
            <w:pPr>
              <w:jc w:val="right"/>
              <w:rPr>
                <w:rFonts w:ascii="Arial" w:eastAsia="Times New Roman" w:hAnsi="Arial" w:cs="Arial"/>
                <w:color w:val="000000"/>
                <w:sz w:val="15"/>
                <w:szCs w:val="15"/>
                <w:lang w:eastAsia="zh-CN"/>
              </w:rPr>
            </w:pPr>
            <w:r>
              <w:rPr>
                <w:rFonts w:ascii="Arial" w:eastAsia="Times New Roman" w:hAnsi="Arial" w:cs="Arial"/>
                <w:color w:val="000000"/>
                <w:sz w:val="15"/>
                <w:szCs w:val="15"/>
                <w:lang w:eastAsia="zh-CN"/>
              </w:rPr>
              <w:t>100%</w:t>
            </w:r>
          </w:p>
        </w:tc>
        <w:tc>
          <w:tcPr>
            <w:tcW w:w="617" w:type="dxa"/>
            <w:shd w:val="clear" w:color="auto" w:fill="EDFFB7"/>
            <w:noWrap/>
            <w:vAlign w:val="center"/>
            <w:hideMark/>
          </w:tcPr>
          <w:p w14:paraId="2F6B5F3F" w14:textId="77777777" w:rsidR="0021298F" w:rsidRDefault="0021298F" w:rsidP="00760009">
            <w:pPr>
              <w:jc w:val="right"/>
              <w:rPr>
                <w:rFonts w:ascii="Arial" w:eastAsia="Times New Roman" w:hAnsi="Arial" w:cs="Arial"/>
                <w:color w:val="000000"/>
                <w:sz w:val="15"/>
                <w:szCs w:val="15"/>
                <w:lang w:eastAsia="zh-CN"/>
              </w:rPr>
            </w:pPr>
            <w:r>
              <w:rPr>
                <w:rFonts w:ascii="Arial" w:eastAsia="Times New Roman" w:hAnsi="Arial" w:cs="Arial"/>
                <w:color w:val="000000"/>
                <w:sz w:val="15"/>
                <w:szCs w:val="15"/>
                <w:lang w:eastAsia="zh-CN"/>
              </w:rPr>
              <w:t>20.0</w:t>
            </w:r>
          </w:p>
        </w:tc>
      </w:tr>
      <w:tr w:rsidR="0021298F" w14:paraId="30C3E57C" w14:textId="77777777" w:rsidTr="00760009">
        <w:trPr>
          <w:trHeight w:val="338"/>
        </w:trPr>
        <w:tc>
          <w:tcPr>
            <w:tcW w:w="1560" w:type="dxa"/>
            <w:shd w:val="clear" w:color="auto" w:fill="FFFFFF"/>
            <w:noWrap/>
            <w:vAlign w:val="center"/>
            <w:hideMark/>
          </w:tcPr>
          <w:p w14:paraId="203E664F" w14:textId="77777777" w:rsidR="0021298F" w:rsidRDefault="0021298F" w:rsidP="00760009">
            <w:pPr>
              <w:rPr>
                <w:rFonts w:ascii="Arial" w:eastAsia="Times New Roman" w:hAnsi="Arial" w:cs="Arial"/>
                <w:color w:val="000000"/>
                <w:sz w:val="15"/>
                <w:szCs w:val="15"/>
                <w:lang w:eastAsia="zh-CN"/>
              </w:rPr>
            </w:pPr>
            <w:r>
              <w:rPr>
                <w:rFonts w:ascii="Arial" w:eastAsia="Times New Roman" w:hAnsi="Arial" w:cs="Arial"/>
                <w:color w:val="000000"/>
                <w:sz w:val="15"/>
                <w:szCs w:val="15"/>
                <w:lang w:eastAsia="zh-CN"/>
              </w:rPr>
              <w:t>Killala</w:t>
            </w:r>
          </w:p>
        </w:tc>
        <w:tc>
          <w:tcPr>
            <w:tcW w:w="983" w:type="dxa"/>
            <w:shd w:val="clear" w:color="auto" w:fill="EDFFB7"/>
            <w:vAlign w:val="center"/>
            <w:hideMark/>
          </w:tcPr>
          <w:p w14:paraId="14E7A3A4" w14:textId="77777777" w:rsidR="0021298F" w:rsidRDefault="0021298F" w:rsidP="00760009">
            <w:pPr>
              <w:rPr>
                <w:rFonts w:ascii="Arial" w:eastAsia="Times New Roman" w:hAnsi="Arial" w:cs="Arial"/>
                <w:color w:val="000000"/>
                <w:sz w:val="15"/>
                <w:szCs w:val="15"/>
                <w:lang w:eastAsia="zh-CN"/>
              </w:rPr>
            </w:pPr>
            <w:r>
              <w:rPr>
                <w:rFonts w:ascii="Arial" w:eastAsia="Times New Roman" w:hAnsi="Arial" w:cs="Arial"/>
                <w:color w:val="000000"/>
                <w:sz w:val="15"/>
                <w:szCs w:val="15"/>
                <w:lang w:eastAsia="zh-CN"/>
              </w:rPr>
              <w:t>Republic of Ireland</w:t>
            </w:r>
          </w:p>
        </w:tc>
        <w:tc>
          <w:tcPr>
            <w:tcW w:w="1444" w:type="dxa"/>
            <w:shd w:val="clear" w:color="auto" w:fill="EDFFB7"/>
            <w:noWrap/>
            <w:vAlign w:val="center"/>
            <w:hideMark/>
          </w:tcPr>
          <w:p w14:paraId="157D943C" w14:textId="77777777" w:rsidR="0021298F" w:rsidRDefault="0021298F" w:rsidP="00760009">
            <w:pPr>
              <w:rPr>
                <w:rFonts w:ascii="Arial" w:eastAsia="Times New Roman" w:hAnsi="Arial" w:cs="Arial"/>
                <w:color w:val="000000"/>
                <w:sz w:val="15"/>
                <w:szCs w:val="15"/>
                <w:lang w:eastAsia="zh-CN"/>
              </w:rPr>
            </w:pPr>
            <w:r>
              <w:rPr>
                <w:rFonts w:ascii="Arial" w:eastAsia="Times New Roman" w:hAnsi="Arial" w:cs="Arial"/>
                <w:color w:val="000000"/>
                <w:sz w:val="15"/>
                <w:szCs w:val="15"/>
                <w:lang w:eastAsia="zh-CN"/>
              </w:rPr>
              <w:t>Siemens Gamesa</w:t>
            </w:r>
          </w:p>
        </w:tc>
        <w:tc>
          <w:tcPr>
            <w:tcW w:w="1318" w:type="dxa"/>
            <w:shd w:val="clear" w:color="auto" w:fill="EDFFB7"/>
            <w:noWrap/>
            <w:vAlign w:val="center"/>
            <w:hideMark/>
          </w:tcPr>
          <w:p w14:paraId="0DAC8A7B" w14:textId="77777777" w:rsidR="0021298F" w:rsidRDefault="0021298F" w:rsidP="00760009">
            <w:pPr>
              <w:rPr>
                <w:rFonts w:ascii="Arial" w:eastAsia="Times New Roman" w:hAnsi="Arial" w:cs="Arial"/>
                <w:color w:val="000000"/>
                <w:sz w:val="15"/>
                <w:szCs w:val="15"/>
                <w:lang w:eastAsia="zh-CN"/>
              </w:rPr>
            </w:pPr>
            <w:r>
              <w:rPr>
                <w:rFonts w:ascii="Arial" w:eastAsia="Times New Roman" w:hAnsi="Arial" w:cs="Arial"/>
                <w:color w:val="000000"/>
                <w:sz w:val="15"/>
                <w:szCs w:val="15"/>
                <w:lang w:eastAsia="zh-CN"/>
              </w:rPr>
              <w:t>EnergyPro</w:t>
            </w:r>
          </w:p>
        </w:tc>
        <w:tc>
          <w:tcPr>
            <w:tcW w:w="1358" w:type="dxa"/>
            <w:shd w:val="clear" w:color="auto" w:fill="EDFFB7"/>
            <w:noWrap/>
            <w:vAlign w:val="center"/>
            <w:hideMark/>
          </w:tcPr>
          <w:p w14:paraId="2F494B81" w14:textId="77777777" w:rsidR="0021298F" w:rsidRDefault="0021298F" w:rsidP="00760009">
            <w:pPr>
              <w:rPr>
                <w:rFonts w:ascii="Arial" w:eastAsia="Times New Roman" w:hAnsi="Arial" w:cs="Arial"/>
                <w:color w:val="000000"/>
                <w:sz w:val="15"/>
                <w:szCs w:val="15"/>
                <w:lang w:eastAsia="zh-CN"/>
              </w:rPr>
            </w:pPr>
            <w:r>
              <w:rPr>
                <w:rFonts w:ascii="Arial" w:eastAsia="Times New Roman" w:hAnsi="Arial" w:cs="Arial"/>
                <w:color w:val="000000"/>
                <w:sz w:val="15"/>
                <w:szCs w:val="15"/>
                <w:lang w:eastAsia="zh-CN"/>
              </w:rPr>
              <w:t>Electroroute</w:t>
            </w:r>
          </w:p>
        </w:tc>
        <w:tc>
          <w:tcPr>
            <w:tcW w:w="694" w:type="dxa"/>
            <w:shd w:val="clear" w:color="auto" w:fill="EDFFB7"/>
            <w:noWrap/>
            <w:vAlign w:val="center"/>
            <w:hideMark/>
          </w:tcPr>
          <w:p w14:paraId="29E25DE5" w14:textId="77777777" w:rsidR="0021298F" w:rsidRDefault="0021298F" w:rsidP="00760009">
            <w:pPr>
              <w:jc w:val="right"/>
              <w:rPr>
                <w:rFonts w:ascii="Arial" w:eastAsia="Times New Roman" w:hAnsi="Arial" w:cs="Arial"/>
                <w:color w:val="000000"/>
                <w:sz w:val="15"/>
                <w:szCs w:val="15"/>
                <w:lang w:eastAsia="zh-CN"/>
              </w:rPr>
            </w:pPr>
            <w:r>
              <w:rPr>
                <w:rFonts w:ascii="Arial" w:eastAsia="Times New Roman" w:hAnsi="Arial" w:cs="Arial"/>
                <w:color w:val="000000"/>
                <w:sz w:val="15"/>
                <w:szCs w:val="15"/>
                <w:lang w:eastAsia="zh-CN"/>
              </w:rPr>
              <w:t>17.0</w:t>
            </w:r>
          </w:p>
        </w:tc>
        <w:tc>
          <w:tcPr>
            <w:tcW w:w="1250" w:type="dxa"/>
            <w:shd w:val="clear" w:color="auto" w:fill="EDFFB7"/>
            <w:noWrap/>
            <w:vAlign w:val="center"/>
            <w:hideMark/>
          </w:tcPr>
          <w:p w14:paraId="6C38DF59" w14:textId="77777777" w:rsidR="0021298F" w:rsidRDefault="0021298F" w:rsidP="00760009">
            <w:pPr>
              <w:jc w:val="right"/>
              <w:rPr>
                <w:rFonts w:ascii="Arial" w:eastAsia="Times New Roman" w:hAnsi="Arial" w:cs="Arial"/>
                <w:color w:val="000000"/>
                <w:sz w:val="15"/>
                <w:szCs w:val="15"/>
                <w:lang w:eastAsia="zh-CN"/>
              </w:rPr>
            </w:pPr>
            <w:r>
              <w:rPr>
                <w:rFonts w:ascii="Arial" w:eastAsia="Times New Roman" w:hAnsi="Arial" w:cs="Arial"/>
                <w:color w:val="000000"/>
                <w:sz w:val="15"/>
                <w:szCs w:val="15"/>
                <w:lang w:eastAsia="zh-CN"/>
              </w:rPr>
              <w:t>100%</w:t>
            </w:r>
          </w:p>
        </w:tc>
        <w:tc>
          <w:tcPr>
            <w:tcW w:w="617" w:type="dxa"/>
            <w:shd w:val="clear" w:color="auto" w:fill="EDFFB7"/>
            <w:noWrap/>
            <w:vAlign w:val="center"/>
            <w:hideMark/>
          </w:tcPr>
          <w:p w14:paraId="5CDD4C45" w14:textId="77777777" w:rsidR="0021298F" w:rsidRDefault="0021298F" w:rsidP="00760009">
            <w:pPr>
              <w:jc w:val="right"/>
              <w:rPr>
                <w:rFonts w:ascii="Arial" w:eastAsia="Times New Roman" w:hAnsi="Arial" w:cs="Arial"/>
                <w:color w:val="000000"/>
                <w:sz w:val="15"/>
                <w:szCs w:val="15"/>
                <w:lang w:eastAsia="zh-CN"/>
              </w:rPr>
            </w:pPr>
            <w:r>
              <w:rPr>
                <w:rFonts w:ascii="Arial" w:eastAsia="Times New Roman" w:hAnsi="Arial" w:cs="Arial"/>
                <w:color w:val="000000"/>
                <w:sz w:val="15"/>
                <w:szCs w:val="15"/>
                <w:lang w:eastAsia="zh-CN"/>
              </w:rPr>
              <w:t>17.0</w:t>
            </w:r>
          </w:p>
        </w:tc>
      </w:tr>
      <w:tr w:rsidR="0021298F" w14:paraId="54F91DE4" w14:textId="77777777" w:rsidTr="00760009">
        <w:trPr>
          <w:trHeight w:val="338"/>
        </w:trPr>
        <w:tc>
          <w:tcPr>
            <w:tcW w:w="1560" w:type="dxa"/>
            <w:shd w:val="clear" w:color="auto" w:fill="FFFFFF"/>
            <w:noWrap/>
            <w:vAlign w:val="center"/>
            <w:hideMark/>
          </w:tcPr>
          <w:p w14:paraId="66478788" w14:textId="77777777" w:rsidR="0021298F" w:rsidRDefault="0021298F" w:rsidP="00760009">
            <w:pPr>
              <w:rPr>
                <w:rFonts w:ascii="Arial" w:eastAsia="Times New Roman" w:hAnsi="Arial" w:cs="Arial"/>
                <w:color w:val="000000"/>
                <w:sz w:val="15"/>
                <w:szCs w:val="15"/>
                <w:lang w:eastAsia="zh-CN"/>
              </w:rPr>
            </w:pPr>
            <w:r>
              <w:rPr>
                <w:rFonts w:ascii="Arial" w:eastAsia="Times New Roman" w:hAnsi="Arial" w:cs="Arial"/>
                <w:color w:val="000000"/>
                <w:sz w:val="15"/>
                <w:szCs w:val="15"/>
                <w:lang w:eastAsia="zh-CN"/>
              </w:rPr>
              <w:t>Killhills</w:t>
            </w:r>
          </w:p>
        </w:tc>
        <w:tc>
          <w:tcPr>
            <w:tcW w:w="983" w:type="dxa"/>
            <w:shd w:val="clear" w:color="auto" w:fill="EDFFB7"/>
            <w:vAlign w:val="center"/>
            <w:hideMark/>
          </w:tcPr>
          <w:p w14:paraId="6127632A" w14:textId="77777777" w:rsidR="0021298F" w:rsidRDefault="0021298F" w:rsidP="00760009">
            <w:pPr>
              <w:rPr>
                <w:rFonts w:ascii="Arial" w:eastAsia="Times New Roman" w:hAnsi="Arial" w:cs="Arial"/>
                <w:color w:val="000000"/>
                <w:sz w:val="15"/>
                <w:szCs w:val="15"/>
                <w:lang w:eastAsia="zh-CN"/>
              </w:rPr>
            </w:pPr>
            <w:r>
              <w:rPr>
                <w:rFonts w:ascii="Arial" w:eastAsia="Times New Roman" w:hAnsi="Arial" w:cs="Arial"/>
                <w:color w:val="000000"/>
                <w:sz w:val="15"/>
                <w:szCs w:val="15"/>
                <w:lang w:eastAsia="zh-CN"/>
              </w:rPr>
              <w:t>Republic of Ireland</w:t>
            </w:r>
          </w:p>
        </w:tc>
        <w:tc>
          <w:tcPr>
            <w:tcW w:w="1444" w:type="dxa"/>
            <w:shd w:val="clear" w:color="auto" w:fill="EDFFB7"/>
            <w:noWrap/>
            <w:vAlign w:val="center"/>
            <w:hideMark/>
          </w:tcPr>
          <w:p w14:paraId="3F143EA4" w14:textId="77777777" w:rsidR="0021298F" w:rsidRDefault="0021298F" w:rsidP="00760009">
            <w:pPr>
              <w:rPr>
                <w:rFonts w:ascii="Arial" w:eastAsia="Times New Roman" w:hAnsi="Arial" w:cs="Arial"/>
                <w:color w:val="000000"/>
                <w:sz w:val="15"/>
                <w:szCs w:val="15"/>
                <w:lang w:eastAsia="zh-CN"/>
              </w:rPr>
            </w:pPr>
            <w:r>
              <w:rPr>
                <w:rFonts w:ascii="Arial" w:eastAsia="Times New Roman" w:hAnsi="Arial" w:cs="Arial"/>
                <w:color w:val="000000"/>
                <w:sz w:val="15"/>
                <w:szCs w:val="15"/>
                <w:lang w:eastAsia="zh-CN"/>
              </w:rPr>
              <w:t>Enercon</w:t>
            </w:r>
          </w:p>
        </w:tc>
        <w:tc>
          <w:tcPr>
            <w:tcW w:w="1318" w:type="dxa"/>
            <w:shd w:val="clear" w:color="auto" w:fill="EDFFB7"/>
            <w:noWrap/>
            <w:vAlign w:val="center"/>
            <w:hideMark/>
          </w:tcPr>
          <w:p w14:paraId="06B3E123" w14:textId="77777777" w:rsidR="0021298F" w:rsidRDefault="0021298F" w:rsidP="00760009">
            <w:pPr>
              <w:rPr>
                <w:rFonts w:ascii="Arial" w:eastAsia="Times New Roman" w:hAnsi="Arial" w:cs="Arial"/>
                <w:color w:val="000000"/>
                <w:sz w:val="15"/>
                <w:szCs w:val="15"/>
                <w:lang w:eastAsia="zh-CN"/>
              </w:rPr>
            </w:pPr>
            <w:r>
              <w:rPr>
                <w:rFonts w:ascii="Arial" w:eastAsia="Times New Roman" w:hAnsi="Arial" w:cs="Arial"/>
                <w:color w:val="000000"/>
                <w:sz w:val="15"/>
                <w:szCs w:val="15"/>
                <w:lang w:eastAsia="zh-CN"/>
              </w:rPr>
              <w:t>SSE</w:t>
            </w:r>
          </w:p>
        </w:tc>
        <w:tc>
          <w:tcPr>
            <w:tcW w:w="1358" w:type="dxa"/>
            <w:shd w:val="clear" w:color="auto" w:fill="EDFFB7"/>
            <w:noWrap/>
            <w:vAlign w:val="center"/>
            <w:hideMark/>
          </w:tcPr>
          <w:p w14:paraId="3DD0C119" w14:textId="77777777" w:rsidR="0021298F" w:rsidRDefault="0021298F" w:rsidP="00760009">
            <w:pPr>
              <w:rPr>
                <w:rFonts w:ascii="Arial" w:eastAsia="Times New Roman" w:hAnsi="Arial" w:cs="Arial"/>
                <w:color w:val="000000"/>
                <w:sz w:val="15"/>
                <w:szCs w:val="15"/>
                <w:lang w:eastAsia="zh-CN"/>
              </w:rPr>
            </w:pPr>
            <w:r>
              <w:rPr>
                <w:rFonts w:ascii="Arial" w:eastAsia="Times New Roman" w:hAnsi="Arial" w:cs="Arial"/>
                <w:color w:val="000000"/>
                <w:sz w:val="15"/>
                <w:szCs w:val="15"/>
                <w:lang w:eastAsia="zh-CN"/>
              </w:rPr>
              <w:t>Brookfield</w:t>
            </w:r>
          </w:p>
        </w:tc>
        <w:tc>
          <w:tcPr>
            <w:tcW w:w="694" w:type="dxa"/>
            <w:shd w:val="clear" w:color="auto" w:fill="EDFFB7"/>
            <w:noWrap/>
            <w:vAlign w:val="center"/>
            <w:hideMark/>
          </w:tcPr>
          <w:p w14:paraId="0C8CBD91" w14:textId="77777777" w:rsidR="0021298F" w:rsidRDefault="0021298F" w:rsidP="00760009">
            <w:pPr>
              <w:jc w:val="right"/>
              <w:rPr>
                <w:rFonts w:ascii="Arial" w:eastAsia="Times New Roman" w:hAnsi="Arial" w:cs="Arial"/>
                <w:color w:val="000000"/>
                <w:sz w:val="15"/>
                <w:szCs w:val="15"/>
                <w:lang w:eastAsia="zh-CN"/>
              </w:rPr>
            </w:pPr>
            <w:r>
              <w:rPr>
                <w:rFonts w:ascii="Arial" w:eastAsia="Times New Roman" w:hAnsi="Arial" w:cs="Arial"/>
                <w:color w:val="000000"/>
                <w:sz w:val="15"/>
                <w:szCs w:val="15"/>
                <w:lang w:eastAsia="zh-CN"/>
              </w:rPr>
              <w:t>36.8</w:t>
            </w:r>
          </w:p>
        </w:tc>
        <w:tc>
          <w:tcPr>
            <w:tcW w:w="1250" w:type="dxa"/>
            <w:shd w:val="clear" w:color="auto" w:fill="EDFFB7"/>
            <w:noWrap/>
            <w:vAlign w:val="center"/>
            <w:hideMark/>
          </w:tcPr>
          <w:p w14:paraId="0E512338" w14:textId="77777777" w:rsidR="0021298F" w:rsidRDefault="0021298F" w:rsidP="00760009">
            <w:pPr>
              <w:jc w:val="right"/>
              <w:rPr>
                <w:rFonts w:ascii="Arial" w:eastAsia="Times New Roman" w:hAnsi="Arial" w:cs="Arial"/>
                <w:color w:val="000000"/>
                <w:sz w:val="15"/>
                <w:szCs w:val="15"/>
                <w:lang w:eastAsia="zh-CN"/>
              </w:rPr>
            </w:pPr>
            <w:r>
              <w:rPr>
                <w:rFonts w:ascii="Arial" w:eastAsia="Times New Roman" w:hAnsi="Arial" w:cs="Arial"/>
                <w:color w:val="000000"/>
                <w:sz w:val="15"/>
                <w:szCs w:val="15"/>
                <w:lang w:eastAsia="zh-CN"/>
              </w:rPr>
              <w:t>100%</w:t>
            </w:r>
          </w:p>
        </w:tc>
        <w:tc>
          <w:tcPr>
            <w:tcW w:w="617" w:type="dxa"/>
            <w:shd w:val="clear" w:color="auto" w:fill="EDFFB7"/>
            <w:noWrap/>
            <w:vAlign w:val="center"/>
            <w:hideMark/>
          </w:tcPr>
          <w:p w14:paraId="59C0D004" w14:textId="77777777" w:rsidR="0021298F" w:rsidRDefault="0021298F" w:rsidP="00760009">
            <w:pPr>
              <w:jc w:val="right"/>
              <w:rPr>
                <w:rFonts w:ascii="Arial" w:eastAsia="Times New Roman" w:hAnsi="Arial" w:cs="Arial"/>
                <w:color w:val="000000"/>
                <w:sz w:val="15"/>
                <w:szCs w:val="15"/>
                <w:lang w:eastAsia="zh-CN"/>
              </w:rPr>
            </w:pPr>
            <w:r>
              <w:rPr>
                <w:rFonts w:ascii="Arial" w:eastAsia="Times New Roman" w:hAnsi="Arial" w:cs="Arial"/>
                <w:color w:val="000000"/>
                <w:sz w:val="15"/>
                <w:szCs w:val="15"/>
                <w:lang w:eastAsia="zh-CN"/>
              </w:rPr>
              <w:t>36.8</w:t>
            </w:r>
          </w:p>
        </w:tc>
      </w:tr>
      <w:tr w:rsidR="0021298F" w14:paraId="123B5546" w14:textId="77777777" w:rsidTr="00760009">
        <w:trPr>
          <w:trHeight w:val="338"/>
        </w:trPr>
        <w:tc>
          <w:tcPr>
            <w:tcW w:w="1560" w:type="dxa"/>
            <w:shd w:val="clear" w:color="auto" w:fill="FFFFFF"/>
            <w:noWrap/>
            <w:vAlign w:val="center"/>
            <w:hideMark/>
          </w:tcPr>
          <w:p w14:paraId="73FC9801" w14:textId="77777777" w:rsidR="0021298F" w:rsidRDefault="0021298F" w:rsidP="00760009">
            <w:pPr>
              <w:rPr>
                <w:rFonts w:ascii="Arial" w:eastAsia="Times New Roman" w:hAnsi="Arial" w:cs="Arial"/>
                <w:color w:val="000000"/>
                <w:sz w:val="15"/>
                <w:szCs w:val="15"/>
                <w:lang w:eastAsia="zh-CN"/>
              </w:rPr>
            </w:pPr>
            <w:r>
              <w:rPr>
                <w:rFonts w:ascii="Arial" w:eastAsia="Times New Roman" w:hAnsi="Arial" w:cs="Arial"/>
                <w:color w:val="000000"/>
                <w:sz w:val="15"/>
                <w:szCs w:val="15"/>
                <w:lang w:eastAsia="zh-CN"/>
              </w:rPr>
              <w:t>Knockacummer</w:t>
            </w:r>
          </w:p>
        </w:tc>
        <w:tc>
          <w:tcPr>
            <w:tcW w:w="983" w:type="dxa"/>
            <w:shd w:val="clear" w:color="auto" w:fill="EDFFB7"/>
            <w:vAlign w:val="center"/>
            <w:hideMark/>
          </w:tcPr>
          <w:p w14:paraId="3C6058F2" w14:textId="77777777" w:rsidR="0021298F" w:rsidRDefault="0021298F" w:rsidP="00760009">
            <w:pPr>
              <w:rPr>
                <w:rFonts w:ascii="Arial" w:eastAsia="Times New Roman" w:hAnsi="Arial" w:cs="Arial"/>
                <w:color w:val="000000"/>
                <w:sz w:val="15"/>
                <w:szCs w:val="15"/>
                <w:lang w:eastAsia="zh-CN"/>
              </w:rPr>
            </w:pPr>
            <w:r>
              <w:rPr>
                <w:rFonts w:ascii="Arial" w:eastAsia="Times New Roman" w:hAnsi="Arial" w:cs="Arial"/>
                <w:color w:val="000000"/>
                <w:sz w:val="15"/>
                <w:szCs w:val="15"/>
                <w:lang w:eastAsia="zh-CN"/>
              </w:rPr>
              <w:t>Republic of Ireland</w:t>
            </w:r>
          </w:p>
        </w:tc>
        <w:tc>
          <w:tcPr>
            <w:tcW w:w="1444" w:type="dxa"/>
            <w:shd w:val="clear" w:color="auto" w:fill="EDFFB7"/>
            <w:noWrap/>
            <w:vAlign w:val="center"/>
            <w:hideMark/>
          </w:tcPr>
          <w:p w14:paraId="57411C0C" w14:textId="77777777" w:rsidR="0021298F" w:rsidRDefault="0021298F" w:rsidP="00760009">
            <w:pPr>
              <w:rPr>
                <w:rFonts w:ascii="Arial" w:eastAsia="Times New Roman" w:hAnsi="Arial" w:cs="Arial"/>
                <w:color w:val="000000"/>
                <w:sz w:val="15"/>
                <w:szCs w:val="15"/>
                <w:lang w:eastAsia="zh-CN"/>
              </w:rPr>
            </w:pPr>
            <w:r>
              <w:rPr>
                <w:rFonts w:ascii="Arial" w:eastAsia="Times New Roman" w:hAnsi="Arial" w:cs="Arial"/>
                <w:color w:val="000000"/>
                <w:sz w:val="15"/>
                <w:szCs w:val="15"/>
                <w:lang w:eastAsia="zh-CN"/>
              </w:rPr>
              <w:t>Nordex</w:t>
            </w:r>
          </w:p>
        </w:tc>
        <w:tc>
          <w:tcPr>
            <w:tcW w:w="1318" w:type="dxa"/>
            <w:shd w:val="clear" w:color="auto" w:fill="EDFFB7"/>
            <w:noWrap/>
            <w:vAlign w:val="center"/>
            <w:hideMark/>
          </w:tcPr>
          <w:p w14:paraId="77DDD3EB" w14:textId="77777777" w:rsidR="0021298F" w:rsidRDefault="0021298F" w:rsidP="00760009">
            <w:pPr>
              <w:rPr>
                <w:rFonts w:ascii="Arial" w:eastAsia="Times New Roman" w:hAnsi="Arial" w:cs="Arial"/>
                <w:color w:val="000000"/>
                <w:sz w:val="15"/>
                <w:szCs w:val="15"/>
                <w:lang w:eastAsia="zh-CN"/>
              </w:rPr>
            </w:pPr>
            <w:r>
              <w:rPr>
                <w:rFonts w:ascii="Arial" w:eastAsia="Times New Roman" w:hAnsi="Arial" w:cs="Arial"/>
                <w:color w:val="000000"/>
                <w:sz w:val="15"/>
                <w:szCs w:val="15"/>
                <w:lang w:eastAsia="zh-CN"/>
              </w:rPr>
              <w:t>SSE</w:t>
            </w:r>
          </w:p>
        </w:tc>
        <w:tc>
          <w:tcPr>
            <w:tcW w:w="1358" w:type="dxa"/>
            <w:shd w:val="clear" w:color="auto" w:fill="EDFFB7"/>
            <w:noWrap/>
            <w:vAlign w:val="center"/>
            <w:hideMark/>
          </w:tcPr>
          <w:p w14:paraId="1417DD3A" w14:textId="77777777" w:rsidR="0021298F" w:rsidRDefault="0021298F" w:rsidP="00760009">
            <w:pPr>
              <w:rPr>
                <w:rFonts w:ascii="Arial" w:eastAsia="Times New Roman" w:hAnsi="Arial" w:cs="Arial"/>
                <w:color w:val="000000"/>
                <w:sz w:val="15"/>
                <w:szCs w:val="15"/>
                <w:lang w:eastAsia="zh-CN"/>
              </w:rPr>
            </w:pPr>
            <w:r>
              <w:rPr>
                <w:rFonts w:ascii="Arial" w:eastAsia="Times New Roman" w:hAnsi="Arial" w:cs="Arial"/>
                <w:color w:val="000000"/>
                <w:sz w:val="15"/>
                <w:szCs w:val="15"/>
                <w:lang w:eastAsia="zh-CN"/>
              </w:rPr>
              <w:t>Brookfield</w:t>
            </w:r>
          </w:p>
        </w:tc>
        <w:tc>
          <w:tcPr>
            <w:tcW w:w="694" w:type="dxa"/>
            <w:shd w:val="clear" w:color="auto" w:fill="EDFFB7"/>
            <w:noWrap/>
            <w:vAlign w:val="center"/>
            <w:hideMark/>
          </w:tcPr>
          <w:p w14:paraId="728EC179" w14:textId="77777777" w:rsidR="0021298F" w:rsidRDefault="0021298F" w:rsidP="00760009">
            <w:pPr>
              <w:jc w:val="right"/>
              <w:rPr>
                <w:rFonts w:ascii="Arial" w:eastAsia="Times New Roman" w:hAnsi="Arial" w:cs="Arial"/>
                <w:color w:val="000000"/>
                <w:sz w:val="15"/>
                <w:szCs w:val="15"/>
                <w:lang w:eastAsia="zh-CN"/>
              </w:rPr>
            </w:pPr>
            <w:r>
              <w:rPr>
                <w:rFonts w:ascii="Arial" w:eastAsia="Times New Roman" w:hAnsi="Arial" w:cs="Arial"/>
                <w:color w:val="000000"/>
                <w:sz w:val="15"/>
                <w:szCs w:val="15"/>
                <w:lang w:eastAsia="zh-CN"/>
              </w:rPr>
              <w:t>100.0</w:t>
            </w:r>
          </w:p>
        </w:tc>
        <w:tc>
          <w:tcPr>
            <w:tcW w:w="1250" w:type="dxa"/>
            <w:shd w:val="clear" w:color="auto" w:fill="EDFFB7"/>
            <w:noWrap/>
            <w:vAlign w:val="center"/>
            <w:hideMark/>
          </w:tcPr>
          <w:p w14:paraId="69A14321" w14:textId="77777777" w:rsidR="0021298F" w:rsidRDefault="0021298F" w:rsidP="00760009">
            <w:pPr>
              <w:jc w:val="right"/>
              <w:rPr>
                <w:rFonts w:ascii="Arial" w:eastAsia="Times New Roman" w:hAnsi="Arial" w:cs="Arial"/>
                <w:color w:val="000000"/>
                <w:sz w:val="15"/>
                <w:szCs w:val="15"/>
                <w:lang w:eastAsia="zh-CN"/>
              </w:rPr>
            </w:pPr>
            <w:r>
              <w:rPr>
                <w:rFonts w:ascii="Arial" w:eastAsia="Times New Roman" w:hAnsi="Arial" w:cs="Arial"/>
                <w:color w:val="000000"/>
                <w:sz w:val="15"/>
                <w:szCs w:val="15"/>
                <w:lang w:eastAsia="zh-CN"/>
              </w:rPr>
              <w:t>100%</w:t>
            </w:r>
          </w:p>
        </w:tc>
        <w:tc>
          <w:tcPr>
            <w:tcW w:w="617" w:type="dxa"/>
            <w:shd w:val="clear" w:color="auto" w:fill="EDFFB7"/>
            <w:noWrap/>
            <w:vAlign w:val="center"/>
            <w:hideMark/>
          </w:tcPr>
          <w:p w14:paraId="6A9932B6" w14:textId="77777777" w:rsidR="0021298F" w:rsidRDefault="0021298F" w:rsidP="00760009">
            <w:pPr>
              <w:jc w:val="right"/>
              <w:rPr>
                <w:rFonts w:ascii="Arial" w:eastAsia="Times New Roman" w:hAnsi="Arial" w:cs="Arial"/>
                <w:color w:val="000000"/>
                <w:sz w:val="15"/>
                <w:szCs w:val="15"/>
                <w:lang w:eastAsia="zh-CN"/>
              </w:rPr>
            </w:pPr>
            <w:r>
              <w:rPr>
                <w:rFonts w:ascii="Arial" w:eastAsia="Times New Roman" w:hAnsi="Arial" w:cs="Arial"/>
                <w:color w:val="000000"/>
                <w:sz w:val="15"/>
                <w:szCs w:val="15"/>
                <w:lang w:eastAsia="zh-CN"/>
              </w:rPr>
              <w:t>100.0</w:t>
            </w:r>
          </w:p>
        </w:tc>
      </w:tr>
      <w:tr w:rsidR="0021298F" w14:paraId="5F2CD24B" w14:textId="77777777" w:rsidTr="00760009">
        <w:trPr>
          <w:trHeight w:val="338"/>
        </w:trPr>
        <w:tc>
          <w:tcPr>
            <w:tcW w:w="1560" w:type="dxa"/>
            <w:shd w:val="clear" w:color="auto" w:fill="FFFFFF"/>
            <w:noWrap/>
            <w:vAlign w:val="center"/>
            <w:hideMark/>
          </w:tcPr>
          <w:p w14:paraId="09431A27" w14:textId="77777777" w:rsidR="0021298F" w:rsidRDefault="0021298F" w:rsidP="00760009">
            <w:pPr>
              <w:rPr>
                <w:rFonts w:ascii="Arial" w:eastAsia="Times New Roman" w:hAnsi="Arial" w:cs="Arial"/>
                <w:color w:val="000000"/>
                <w:sz w:val="15"/>
                <w:szCs w:val="15"/>
                <w:lang w:eastAsia="zh-CN"/>
              </w:rPr>
            </w:pPr>
            <w:r>
              <w:rPr>
                <w:rFonts w:ascii="Arial" w:eastAsia="Times New Roman" w:hAnsi="Arial" w:cs="Arial"/>
                <w:color w:val="000000"/>
                <w:sz w:val="15"/>
                <w:szCs w:val="15"/>
                <w:lang w:eastAsia="zh-CN"/>
              </w:rPr>
              <w:t>Knocknalour</w:t>
            </w:r>
          </w:p>
        </w:tc>
        <w:tc>
          <w:tcPr>
            <w:tcW w:w="983" w:type="dxa"/>
            <w:shd w:val="clear" w:color="auto" w:fill="EDFFB7"/>
            <w:vAlign w:val="center"/>
            <w:hideMark/>
          </w:tcPr>
          <w:p w14:paraId="6E4EF4BA" w14:textId="77777777" w:rsidR="0021298F" w:rsidRDefault="0021298F" w:rsidP="00760009">
            <w:pPr>
              <w:rPr>
                <w:rFonts w:ascii="Arial" w:eastAsia="Times New Roman" w:hAnsi="Arial" w:cs="Arial"/>
                <w:color w:val="000000"/>
                <w:sz w:val="15"/>
                <w:szCs w:val="15"/>
                <w:lang w:eastAsia="zh-CN"/>
              </w:rPr>
            </w:pPr>
            <w:r>
              <w:rPr>
                <w:rFonts w:ascii="Arial" w:eastAsia="Times New Roman" w:hAnsi="Arial" w:cs="Arial"/>
                <w:color w:val="000000"/>
                <w:sz w:val="15"/>
                <w:szCs w:val="15"/>
                <w:lang w:eastAsia="zh-CN"/>
              </w:rPr>
              <w:t>Republic of Ireland</w:t>
            </w:r>
          </w:p>
        </w:tc>
        <w:tc>
          <w:tcPr>
            <w:tcW w:w="1444" w:type="dxa"/>
            <w:shd w:val="clear" w:color="auto" w:fill="EDFFB7"/>
            <w:noWrap/>
            <w:vAlign w:val="center"/>
            <w:hideMark/>
          </w:tcPr>
          <w:p w14:paraId="660F6400" w14:textId="77777777" w:rsidR="0021298F" w:rsidRDefault="0021298F" w:rsidP="00760009">
            <w:pPr>
              <w:rPr>
                <w:rFonts w:ascii="Arial" w:eastAsia="Times New Roman" w:hAnsi="Arial" w:cs="Arial"/>
                <w:color w:val="000000"/>
                <w:sz w:val="15"/>
                <w:szCs w:val="15"/>
                <w:lang w:eastAsia="zh-CN"/>
              </w:rPr>
            </w:pPr>
            <w:r>
              <w:rPr>
                <w:rFonts w:ascii="Arial" w:eastAsia="Times New Roman" w:hAnsi="Arial" w:cs="Arial"/>
                <w:color w:val="000000"/>
                <w:sz w:val="15"/>
                <w:szCs w:val="15"/>
                <w:lang w:eastAsia="zh-CN"/>
              </w:rPr>
              <w:t>Enercon</w:t>
            </w:r>
          </w:p>
        </w:tc>
        <w:tc>
          <w:tcPr>
            <w:tcW w:w="1318" w:type="dxa"/>
            <w:shd w:val="clear" w:color="auto" w:fill="EDFFB7"/>
            <w:noWrap/>
            <w:vAlign w:val="center"/>
            <w:hideMark/>
          </w:tcPr>
          <w:p w14:paraId="777C4B82" w14:textId="77777777" w:rsidR="0021298F" w:rsidRDefault="0021298F" w:rsidP="00760009">
            <w:pPr>
              <w:rPr>
                <w:rFonts w:ascii="Arial" w:eastAsia="Times New Roman" w:hAnsi="Arial" w:cs="Arial"/>
                <w:color w:val="000000"/>
                <w:sz w:val="15"/>
                <w:szCs w:val="15"/>
                <w:lang w:eastAsia="zh-CN"/>
              </w:rPr>
            </w:pPr>
            <w:r>
              <w:rPr>
                <w:rFonts w:ascii="Arial" w:eastAsia="Times New Roman" w:hAnsi="Arial" w:cs="Arial"/>
                <w:color w:val="000000"/>
                <w:sz w:val="15"/>
                <w:szCs w:val="15"/>
                <w:lang w:eastAsia="zh-CN"/>
              </w:rPr>
              <w:t>Statkraft</w:t>
            </w:r>
          </w:p>
        </w:tc>
        <w:tc>
          <w:tcPr>
            <w:tcW w:w="1358" w:type="dxa"/>
            <w:shd w:val="clear" w:color="auto" w:fill="EDFFB7"/>
            <w:noWrap/>
            <w:vAlign w:val="center"/>
            <w:hideMark/>
          </w:tcPr>
          <w:p w14:paraId="7669AF90" w14:textId="77777777" w:rsidR="0021298F" w:rsidRDefault="0021298F" w:rsidP="00760009">
            <w:pPr>
              <w:rPr>
                <w:rFonts w:ascii="Arial" w:eastAsia="Times New Roman" w:hAnsi="Arial" w:cs="Arial"/>
                <w:color w:val="000000"/>
                <w:sz w:val="15"/>
                <w:szCs w:val="15"/>
                <w:lang w:eastAsia="zh-CN"/>
              </w:rPr>
            </w:pPr>
            <w:r>
              <w:rPr>
                <w:rFonts w:ascii="Arial" w:eastAsia="Times New Roman" w:hAnsi="Arial" w:cs="Arial"/>
                <w:color w:val="000000"/>
                <w:sz w:val="15"/>
                <w:szCs w:val="15"/>
                <w:lang w:eastAsia="zh-CN"/>
              </w:rPr>
              <w:t>Naturgy / Energia</w:t>
            </w:r>
          </w:p>
        </w:tc>
        <w:tc>
          <w:tcPr>
            <w:tcW w:w="694" w:type="dxa"/>
            <w:shd w:val="clear" w:color="auto" w:fill="EDFFB7"/>
            <w:noWrap/>
            <w:vAlign w:val="center"/>
            <w:hideMark/>
          </w:tcPr>
          <w:p w14:paraId="4F811289" w14:textId="77777777" w:rsidR="0021298F" w:rsidRDefault="0021298F" w:rsidP="00760009">
            <w:pPr>
              <w:jc w:val="right"/>
              <w:rPr>
                <w:rFonts w:ascii="Arial" w:eastAsia="Times New Roman" w:hAnsi="Arial" w:cs="Arial"/>
                <w:color w:val="000000"/>
                <w:sz w:val="15"/>
                <w:szCs w:val="15"/>
                <w:lang w:eastAsia="zh-CN"/>
              </w:rPr>
            </w:pPr>
            <w:r>
              <w:rPr>
                <w:rFonts w:ascii="Arial" w:eastAsia="Times New Roman" w:hAnsi="Arial" w:cs="Arial"/>
                <w:color w:val="000000"/>
                <w:sz w:val="15"/>
                <w:szCs w:val="15"/>
                <w:lang w:eastAsia="zh-CN"/>
              </w:rPr>
              <w:t>9.2</w:t>
            </w:r>
          </w:p>
        </w:tc>
        <w:tc>
          <w:tcPr>
            <w:tcW w:w="1250" w:type="dxa"/>
            <w:shd w:val="clear" w:color="auto" w:fill="EDFFB7"/>
            <w:noWrap/>
            <w:vAlign w:val="center"/>
            <w:hideMark/>
          </w:tcPr>
          <w:p w14:paraId="25B0E8EA" w14:textId="77777777" w:rsidR="0021298F" w:rsidRDefault="0021298F" w:rsidP="00760009">
            <w:pPr>
              <w:jc w:val="right"/>
              <w:rPr>
                <w:rFonts w:ascii="Arial" w:eastAsia="Times New Roman" w:hAnsi="Arial" w:cs="Arial"/>
                <w:color w:val="000000"/>
                <w:sz w:val="15"/>
                <w:szCs w:val="15"/>
                <w:lang w:eastAsia="zh-CN"/>
              </w:rPr>
            </w:pPr>
            <w:r>
              <w:rPr>
                <w:rFonts w:ascii="Arial" w:eastAsia="Times New Roman" w:hAnsi="Arial" w:cs="Arial"/>
                <w:color w:val="000000"/>
                <w:sz w:val="15"/>
                <w:szCs w:val="15"/>
                <w:lang w:eastAsia="zh-CN"/>
              </w:rPr>
              <w:t>100%</w:t>
            </w:r>
          </w:p>
        </w:tc>
        <w:tc>
          <w:tcPr>
            <w:tcW w:w="617" w:type="dxa"/>
            <w:shd w:val="clear" w:color="auto" w:fill="EDFFB7"/>
            <w:noWrap/>
            <w:vAlign w:val="center"/>
            <w:hideMark/>
          </w:tcPr>
          <w:p w14:paraId="0EE41601" w14:textId="77777777" w:rsidR="0021298F" w:rsidRDefault="0021298F" w:rsidP="00760009">
            <w:pPr>
              <w:jc w:val="right"/>
              <w:rPr>
                <w:rFonts w:ascii="Arial" w:eastAsia="Times New Roman" w:hAnsi="Arial" w:cs="Arial"/>
                <w:color w:val="000000"/>
                <w:sz w:val="15"/>
                <w:szCs w:val="15"/>
                <w:lang w:eastAsia="zh-CN"/>
              </w:rPr>
            </w:pPr>
            <w:r>
              <w:rPr>
                <w:rFonts w:ascii="Arial" w:eastAsia="Times New Roman" w:hAnsi="Arial" w:cs="Arial"/>
                <w:color w:val="000000"/>
                <w:sz w:val="15"/>
                <w:szCs w:val="15"/>
                <w:lang w:eastAsia="zh-CN"/>
              </w:rPr>
              <w:t>9.2</w:t>
            </w:r>
          </w:p>
        </w:tc>
      </w:tr>
      <w:tr w:rsidR="0021298F" w14:paraId="2E9041E9" w14:textId="77777777" w:rsidTr="00760009">
        <w:trPr>
          <w:trHeight w:val="338"/>
        </w:trPr>
        <w:tc>
          <w:tcPr>
            <w:tcW w:w="1560" w:type="dxa"/>
            <w:shd w:val="clear" w:color="auto" w:fill="FFFFFF"/>
            <w:noWrap/>
            <w:vAlign w:val="center"/>
            <w:hideMark/>
          </w:tcPr>
          <w:p w14:paraId="558C6E59" w14:textId="77777777" w:rsidR="0021298F" w:rsidRDefault="0021298F" w:rsidP="00760009">
            <w:pPr>
              <w:rPr>
                <w:rFonts w:ascii="Arial" w:eastAsia="Times New Roman" w:hAnsi="Arial" w:cs="Arial"/>
                <w:color w:val="000000"/>
                <w:sz w:val="15"/>
                <w:szCs w:val="15"/>
                <w:lang w:eastAsia="zh-CN"/>
              </w:rPr>
            </w:pPr>
            <w:r>
              <w:rPr>
                <w:rFonts w:ascii="Arial" w:eastAsia="Times New Roman" w:hAnsi="Arial" w:cs="Arial"/>
                <w:color w:val="000000"/>
                <w:sz w:val="15"/>
                <w:szCs w:val="15"/>
                <w:lang w:eastAsia="zh-CN"/>
              </w:rPr>
              <w:t>Letteragh</w:t>
            </w:r>
          </w:p>
        </w:tc>
        <w:tc>
          <w:tcPr>
            <w:tcW w:w="983" w:type="dxa"/>
            <w:shd w:val="clear" w:color="auto" w:fill="EDFFB7"/>
            <w:vAlign w:val="center"/>
            <w:hideMark/>
          </w:tcPr>
          <w:p w14:paraId="077223C7" w14:textId="77777777" w:rsidR="0021298F" w:rsidRDefault="0021298F" w:rsidP="00760009">
            <w:pPr>
              <w:rPr>
                <w:rFonts w:ascii="Arial" w:eastAsia="Times New Roman" w:hAnsi="Arial" w:cs="Arial"/>
                <w:color w:val="000000"/>
                <w:sz w:val="15"/>
                <w:szCs w:val="15"/>
                <w:lang w:eastAsia="zh-CN"/>
              </w:rPr>
            </w:pPr>
            <w:r>
              <w:rPr>
                <w:rFonts w:ascii="Arial" w:eastAsia="Times New Roman" w:hAnsi="Arial" w:cs="Arial"/>
                <w:color w:val="000000"/>
                <w:sz w:val="15"/>
                <w:szCs w:val="15"/>
                <w:lang w:eastAsia="zh-CN"/>
              </w:rPr>
              <w:t>Republic of Ireland</w:t>
            </w:r>
          </w:p>
        </w:tc>
        <w:tc>
          <w:tcPr>
            <w:tcW w:w="1444" w:type="dxa"/>
            <w:shd w:val="clear" w:color="auto" w:fill="EDFFB7"/>
            <w:noWrap/>
            <w:vAlign w:val="center"/>
            <w:hideMark/>
          </w:tcPr>
          <w:p w14:paraId="40D33BCB" w14:textId="77777777" w:rsidR="0021298F" w:rsidRDefault="0021298F" w:rsidP="00760009">
            <w:pPr>
              <w:rPr>
                <w:rFonts w:ascii="Arial" w:eastAsia="Times New Roman" w:hAnsi="Arial" w:cs="Arial"/>
                <w:color w:val="000000"/>
                <w:sz w:val="15"/>
                <w:szCs w:val="15"/>
                <w:lang w:eastAsia="zh-CN"/>
              </w:rPr>
            </w:pPr>
            <w:r>
              <w:rPr>
                <w:rFonts w:ascii="Arial" w:eastAsia="Times New Roman" w:hAnsi="Arial" w:cs="Arial"/>
                <w:color w:val="000000"/>
                <w:sz w:val="15"/>
                <w:szCs w:val="15"/>
                <w:lang w:eastAsia="zh-CN"/>
              </w:rPr>
              <w:t>Enercon</w:t>
            </w:r>
          </w:p>
        </w:tc>
        <w:tc>
          <w:tcPr>
            <w:tcW w:w="1318" w:type="dxa"/>
            <w:shd w:val="clear" w:color="auto" w:fill="EDFFB7"/>
            <w:noWrap/>
            <w:vAlign w:val="center"/>
            <w:hideMark/>
          </w:tcPr>
          <w:p w14:paraId="02A9C4EC" w14:textId="77777777" w:rsidR="0021298F" w:rsidRDefault="0021298F" w:rsidP="00760009">
            <w:pPr>
              <w:rPr>
                <w:rFonts w:ascii="Arial" w:eastAsia="Times New Roman" w:hAnsi="Arial" w:cs="Arial"/>
                <w:color w:val="000000"/>
                <w:sz w:val="15"/>
                <w:szCs w:val="15"/>
                <w:lang w:eastAsia="zh-CN"/>
              </w:rPr>
            </w:pPr>
            <w:r>
              <w:rPr>
                <w:rFonts w:ascii="Arial" w:eastAsia="Times New Roman" w:hAnsi="Arial" w:cs="Arial"/>
                <w:color w:val="000000"/>
                <w:sz w:val="15"/>
                <w:szCs w:val="15"/>
                <w:lang w:eastAsia="zh-CN"/>
              </w:rPr>
              <w:t>Statkraft</w:t>
            </w:r>
          </w:p>
        </w:tc>
        <w:tc>
          <w:tcPr>
            <w:tcW w:w="1358" w:type="dxa"/>
            <w:shd w:val="clear" w:color="auto" w:fill="EDFFB7"/>
            <w:noWrap/>
            <w:vAlign w:val="center"/>
            <w:hideMark/>
          </w:tcPr>
          <w:p w14:paraId="45F453F9" w14:textId="77777777" w:rsidR="0021298F" w:rsidRDefault="0021298F" w:rsidP="00760009">
            <w:pPr>
              <w:rPr>
                <w:rFonts w:ascii="Arial" w:eastAsia="Times New Roman" w:hAnsi="Arial" w:cs="Arial"/>
                <w:color w:val="000000"/>
                <w:sz w:val="15"/>
                <w:szCs w:val="15"/>
                <w:lang w:eastAsia="zh-CN"/>
              </w:rPr>
            </w:pPr>
            <w:r>
              <w:rPr>
                <w:rFonts w:ascii="Arial" w:eastAsia="Times New Roman" w:hAnsi="Arial" w:cs="Arial"/>
                <w:color w:val="000000"/>
                <w:sz w:val="15"/>
                <w:szCs w:val="15"/>
                <w:lang w:eastAsia="zh-CN"/>
              </w:rPr>
              <w:t>SSE</w:t>
            </w:r>
          </w:p>
        </w:tc>
        <w:tc>
          <w:tcPr>
            <w:tcW w:w="694" w:type="dxa"/>
            <w:shd w:val="clear" w:color="auto" w:fill="EDFFB7"/>
            <w:noWrap/>
            <w:vAlign w:val="center"/>
            <w:hideMark/>
          </w:tcPr>
          <w:p w14:paraId="494640D0" w14:textId="77777777" w:rsidR="0021298F" w:rsidRDefault="0021298F" w:rsidP="00760009">
            <w:pPr>
              <w:jc w:val="right"/>
              <w:rPr>
                <w:rFonts w:ascii="Arial" w:eastAsia="Times New Roman" w:hAnsi="Arial" w:cs="Arial"/>
                <w:color w:val="000000"/>
                <w:sz w:val="15"/>
                <w:szCs w:val="15"/>
                <w:lang w:eastAsia="zh-CN"/>
              </w:rPr>
            </w:pPr>
            <w:r>
              <w:rPr>
                <w:rFonts w:ascii="Arial" w:eastAsia="Times New Roman" w:hAnsi="Arial" w:cs="Arial"/>
                <w:color w:val="000000"/>
                <w:sz w:val="15"/>
                <w:szCs w:val="15"/>
                <w:lang w:eastAsia="zh-CN"/>
              </w:rPr>
              <w:t>14.1</w:t>
            </w:r>
          </w:p>
        </w:tc>
        <w:tc>
          <w:tcPr>
            <w:tcW w:w="1250" w:type="dxa"/>
            <w:shd w:val="clear" w:color="auto" w:fill="EDFFB7"/>
            <w:noWrap/>
            <w:vAlign w:val="center"/>
            <w:hideMark/>
          </w:tcPr>
          <w:p w14:paraId="273155BD" w14:textId="77777777" w:rsidR="0021298F" w:rsidRDefault="0021298F" w:rsidP="00760009">
            <w:pPr>
              <w:jc w:val="right"/>
              <w:rPr>
                <w:rFonts w:ascii="Arial" w:eastAsia="Times New Roman" w:hAnsi="Arial" w:cs="Arial"/>
                <w:color w:val="000000"/>
                <w:sz w:val="15"/>
                <w:szCs w:val="15"/>
                <w:lang w:eastAsia="zh-CN"/>
              </w:rPr>
            </w:pPr>
            <w:r>
              <w:rPr>
                <w:rFonts w:ascii="Arial" w:eastAsia="Times New Roman" w:hAnsi="Arial" w:cs="Arial"/>
                <w:color w:val="000000"/>
                <w:sz w:val="15"/>
                <w:szCs w:val="15"/>
                <w:lang w:eastAsia="zh-CN"/>
              </w:rPr>
              <w:t>100%</w:t>
            </w:r>
          </w:p>
        </w:tc>
        <w:tc>
          <w:tcPr>
            <w:tcW w:w="617" w:type="dxa"/>
            <w:shd w:val="clear" w:color="auto" w:fill="EDFFB7"/>
            <w:noWrap/>
            <w:vAlign w:val="center"/>
            <w:hideMark/>
          </w:tcPr>
          <w:p w14:paraId="2AB2F5E6" w14:textId="77777777" w:rsidR="0021298F" w:rsidRDefault="0021298F" w:rsidP="00760009">
            <w:pPr>
              <w:jc w:val="right"/>
              <w:rPr>
                <w:rFonts w:ascii="Arial" w:eastAsia="Times New Roman" w:hAnsi="Arial" w:cs="Arial"/>
                <w:color w:val="000000"/>
                <w:sz w:val="15"/>
                <w:szCs w:val="15"/>
                <w:lang w:eastAsia="zh-CN"/>
              </w:rPr>
            </w:pPr>
            <w:r>
              <w:rPr>
                <w:rFonts w:ascii="Arial" w:eastAsia="Times New Roman" w:hAnsi="Arial" w:cs="Arial"/>
                <w:color w:val="000000"/>
                <w:sz w:val="15"/>
                <w:szCs w:val="15"/>
                <w:lang w:eastAsia="zh-CN"/>
              </w:rPr>
              <w:t>14.1</w:t>
            </w:r>
          </w:p>
        </w:tc>
      </w:tr>
      <w:tr w:rsidR="0021298F" w14:paraId="1C16F6C4" w14:textId="77777777" w:rsidTr="00760009">
        <w:trPr>
          <w:trHeight w:val="338"/>
        </w:trPr>
        <w:tc>
          <w:tcPr>
            <w:tcW w:w="1560" w:type="dxa"/>
            <w:shd w:val="clear" w:color="auto" w:fill="FFFFFF"/>
            <w:noWrap/>
            <w:vAlign w:val="center"/>
            <w:hideMark/>
          </w:tcPr>
          <w:p w14:paraId="6F3D5AD0" w14:textId="77777777" w:rsidR="0021298F" w:rsidRDefault="0021298F" w:rsidP="00760009">
            <w:pPr>
              <w:rPr>
                <w:rFonts w:ascii="Arial" w:eastAsia="Times New Roman" w:hAnsi="Arial" w:cs="Arial"/>
                <w:color w:val="000000"/>
                <w:sz w:val="15"/>
                <w:szCs w:val="15"/>
                <w:lang w:eastAsia="zh-CN"/>
              </w:rPr>
            </w:pPr>
            <w:r>
              <w:rPr>
                <w:rFonts w:ascii="Arial" w:eastAsia="Times New Roman" w:hAnsi="Arial" w:cs="Arial"/>
                <w:color w:val="000000"/>
                <w:sz w:val="15"/>
                <w:szCs w:val="15"/>
                <w:lang w:eastAsia="zh-CN"/>
              </w:rPr>
              <w:t>Lisdowney</w:t>
            </w:r>
          </w:p>
        </w:tc>
        <w:tc>
          <w:tcPr>
            <w:tcW w:w="983" w:type="dxa"/>
            <w:shd w:val="clear" w:color="auto" w:fill="EDFFB7"/>
            <w:vAlign w:val="center"/>
            <w:hideMark/>
          </w:tcPr>
          <w:p w14:paraId="1FD1CF3B" w14:textId="77777777" w:rsidR="0021298F" w:rsidRDefault="0021298F" w:rsidP="00760009">
            <w:pPr>
              <w:rPr>
                <w:rFonts w:ascii="Arial" w:eastAsia="Times New Roman" w:hAnsi="Arial" w:cs="Arial"/>
                <w:color w:val="000000"/>
                <w:sz w:val="15"/>
                <w:szCs w:val="15"/>
                <w:lang w:eastAsia="zh-CN"/>
              </w:rPr>
            </w:pPr>
            <w:r>
              <w:rPr>
                <w:rFonts w:ascii="Arial" w:eastAsia="Times New Roman" w:hAnsi="Arial" w:cs="Arial"/>
                <w:color w:val="000000"/>
                <w:sz w:val="15"/>
                <w:szCs w:val="15"/>
                <w:lang w:eastAsia="zh-CN"/>
              </w:rPr>
              <w:t>Republic of Ireland</w:t>
            </w:r>
          </w:p>
        </w:tc>
        <w:tc>
          <w:tcPr>
            <w:tcW w:w="1444" w:type="dxa"/>
            <w:shd w:val="clear" w:color="auto" w:fill="EDFFB7"/>
            <w:noWrap/>
            <w:vAlign w:val="center"/>
            <w:hideMark/>
          </w:tcPr>
          <w:p w14:paraId="4F07D30A" w14:textId="77777777" w:rsidR="0021298F" w:rsidRDefault="0021298F" w:rsidP="00760009">
            <w:pPr>
              <w:rPr>
                <w:rFonts w:ascii="Arial" w:eastAsia="Times New Roman" w:hAnsi="Arial" w:cs="Arial"/>
                <w:color w:val="000000"/>
                <w:sz w:val="15"/>
                <w:szCs w:val="15"/>
                <w:lang w:eastAsia="zh-CN"/>
              </w:rPr>
            </w:pPr>
            <w:r>
              <w:rPr>
                <w:rFonts w:ascii="Arial" w:eastAsia="Times New Roman" w:hAnsi="Arial" w:cs="Arial"/>
                <w:color w:val="000000"/>
                <w:sz w:val="15"/>
                <w:szCs w:val="15"/>
                <w:lang w:eastAsia="zh-CN"/>
              </w:rPr>
              <w:t>Enercon</w:t>
            </w:r>
          </w:p>
        </w:tc>
        <w:tc>
          <w:tcPr>
            <w:tcW w:w="1318" w:type="dxa"/>
            <w:shd w:val="clear" w:color="auto" w:fill="EDFFB7"/>
            <w:noWrap/>
            <w:vAlign w:val="center"/>
            <w:hideMark/>
          </w:tcPr>
          <w:p w14:paraId="7A3800D8" w14:textId="77777777" w:rsidR="0021298F" w:rsidRDefault="0021298F" w:rsidP="00760009">
            <w:pPr>
              <w:rPr>
                <w:rFonts w:ascii="Arial" w:eastAsia="Times New Roman" w:hAnsi="Arial" w:cs="Arial"/>
                <w:color w:val="000000"/>
                <w:sz w:val="15"/>
                <w:szCs w:val="15"/>
                <w:lang w:eastAsia="zh-CN"/>
              </w:rPr>
            </w:pPr>
            <w:r>
              <w:rPr>
                <w:rFonts w:ascii="Arial" w:eastAsia="Times New Roman" w:hAnsi="Arial" w:cs="Arial"/>
                <w:color w:val="000000"/>
                <w:sz w:val="15"/>
                <w:szCs w:val="15"/>
                <w:lang w:eastAsia="zh-CN"/>
              </w:rPr>
              <w:t>EnergyPro</w:t>
            </w:r>
          </w:p>
        </w:tc>
        <w:tc>
          <w:tcPr>
            <w:tcW w:w="1358" w:type="dxa"/>
            <w:shd w:val="clear" w:color="auto" w:fill="EDFFB7"/>
            <w:noWrap/>
            <w:vAlign w:val="center"/>
            <w:hideMark/>
          </w:tcPr>
          <w:p w14:paraId="518552FB" w14:textId="77777777" w:rsidR="0021298F" w:rsidRDefault="0021298F" w:rsidP="00760009">
            <w:pPr>
              <w:rPr>
                <w:rFonts w:ascii="Arial" w:eastAsia="Times New Roman" w:hAnsi="Arial" w:cs="Arial"/>
                <w:color w:val="000000"/>
                <w:sz w:val="15"/>
                <w:szCs w:val="15"/>
                <w:lang w:eastAsia="zh-CN"/>
              </w:rPr>
            </w:pPr>
            <w:r>
              <w:rPr>
                <w:rFonts w:ascii="Arial" w:eastAsia="Times New Roman" w:hAnsi="Arial" w:cs="Arial"/>
                <w:color w:val="000000"/>
                <w:sz w:val="15"/>
                <w:szCs w:val="15"/>
                <w:lang w:eastAsia="zh-CN"/>
              </w:rPr>
              <w:t>Naturgy</w:t>
            </w:r>
          </w:p>
        </w:tc>
        <w:tc>
          <w:tcPr>
            <w:tcW w:w="694" w:type="dxa"/>
            <w:shd w:val="clear" w:color="auto" w:fill="EDFFB7"/>
            <w:noWrap/>
            <w:vAlign w:val="center"/>
            <w:hideMark/>
          </w:tcPr>
          <w:p w14:paraId="02CD5269" w14:textId="77777777" w:rsidR="0021298F" w:rsidRDefault="0021298F" w:rsidP="00760009">
            <w:pPr>
              <w:jc w:val="right"/>
              <w:rPr>
                <w:rFonts w:ascii="Arial" w:eastAsia="Times New Roman" w:hAnsi="Arial" w:cs="Arial"/>
                <w:color w:val="000000"/>
                <w:sz w:val="15"/>
                <w:szCs w:val="15"/>
                <w:lang w:eastAsia="zh-CN"/>
              </w:rPr>
            </w:pPr>
            <w:r>
              <w:rPr>
                <w:rFonts w:ascii="Arial" w:eastAsia="Times New Roman" w:hAnsi="Arial" w:cs="Arial"/>
                <w:color w:val="000000"/>
                <w:sz w:val="15"/>
                <w:szCs w:val="15"/>
                <w:lang w:eastAsia="zh-CN"/>
              </w:rPr>
              <w:t>9.2</w:t>
            </w:r>
          </w:p>
        </w:tc>
        <w:tc>
          <w:tcPr>
            <w:tcW w:w="1250" w:type="dxa"/>
            <w:shd w:val="clear" w:color="auto" w:fill="EDFFB7"/>
            <w:noWrap/>
            <w:vAlign w:val="center"/>
            <w:hideMark/>
          </w:tcPr>
          <w:p w14:paraId="19DF36DA" w14:textId="77777777" w:rsidR="0021298F" w:rsidRDefault="0021298F" w:rsidP="00760009">
            <w:pPr>
              <w:jc w:val="right"/>
              <w:rPr>
                <w:rFonts w:ascii="Arial" w:eastAsia="Times New Roman" w:hAnsi="Arial" w:cs="Arial"/>
                <w:color w:val="000000"/>
                <w:sz w:val="15"/>
                <w:szCs w:val="15"/>
                <w:lang w:eastAsia="zh-CN"/>
              </w:rPr>
            </w:pPr>
            <w:r>
              <w:rPr>
                <w:rFonts w:ascii="Arial" w:eastAsia="Times New Roman" w:hAnsi="Arial" w:cs="Arial"/>
                <w:color w:val="000000"/>
                <w:sz w:val="15"/>
                <w:szCs w:val="15"/>
                <w:lang w:eastAsia="zh-CN"/>
              </w:rPr>
              <w:t>100%</w:t>
            </w:r>
          </w:p>
        </w:tc>
        <w:tc>
          <w:tcPr>
            <w:tcW w:w="617" w:type="dxa"/>
            <w:shd w:val="clear" w:color="auto" w:fill="EDFFB7"/>
            <w:noWrap/>
            <w:vAlign w:val="center"/>
            <w:hideMark/>
          </w:tcPr>
          <w:p w14:paraId="2347FF39" w14:textId="77777777" w:rsidR="0021298F" w:rsidRDefault="0021298F" w:rsidP="00760009">
            <w:pPr>
              <w:jc w:val="right"/>
              <w:rPr>
                <w:rFonts w:ascii="Arial" w:eastAsia="Times New Roman" w:hAnsi="Arial" w:cs="Arial"/>
                <w:color w:val="000000"/>
                <w:sz w:val="15"/>
                <w:szCs w:val="15"/>
                <w:lang w:eastAsia="zh-CN"/>
              </w:rPr>
            </w:pPr>
            <w:r>
              <w:rPr>
                <w:rFonts w:ascii="Arial" w:eastAsia="Times New Roman" w:hAnsi="Arial" w:cs="Arial"/>
                <w:color w:val="000000"/>
                <w:sz w:val="15"/>
                <w:szCs w:val="15"/>
                <w:lang w:eastAsia="zh-CN"/>
              </w:rPr>
              <w:t>9.2</w:t>
            </w:r>
          </w:p>
        </w:tc>
      </w:tr>
      <w:tr w:rsidR="0021298F" w14:paraId="5989398B" w14:textId="77777777" w:rsidTr="00760009">
        <w:trPr>
          <w:trHeight w:val="338"/>
        </w:trPr>
        <w:tc>
          <w:tcPr>
            <w:tcW w:w="1560" w:type="dxa"/>
            <w:shd w:val="clear" w:color="auto" w:fill="FFFFFF"/>
            <w:noWrap/>
            <w:vAlign w:val="center"/>
            <w:hideMark/>
          </w:tcPr>
          <w:p w14:paraId="38057480" w14:textId="77777777" w:rsidR="0021298F" w:rsidRDefault="0021298F" w:rsidP="00760009">
            <w:pPr>
              <w:rPr>
                <w:rFonts w:ascii="Arial" w:eastAsia="Times New Roman" w:hAnsi="Arial" w:cs="Arial"/>
                <w:color w:val="000000"/>
                <w:sz w:val="15"/>
                <w:szCs w:val="15"/>
                <w:lang w:eastAsia="zh-CN"/>
              </w:rPr>
            </w:pPr>
            <w:r>
              <w:rPr>
                <w:rFonts w:ascii="Arial" w:eastAsia="Times New Roman" w:hAnsi="Arial" w:cs="Arial"/>
                <w:color w:val="000000"/>
                <w:sz w:val="15"/>
                <w:szCs w:val="15"/>
                <w:lang w:eastAsia="zh-CN"/>
              </w:rPr>
              <w:t>Monaincha</w:t>
            </w:r>
          </w:p>
        </w:tc>
        <w:tc>
          <w:tcPr>
            <w:tcW w:w="983" w:type="dxa"/>
            <w:shd w:val="clear" w:color="auto" w:fill="EDFFB7"/>
            <w:vAlign w:val="center"/>
            <w:hideMark/>
          </w:tcPr>
          <w:p w14:paraId="44532E4A" w14:textId="77777777" w:rsidR="0021298F" w:rsidRDefault="0021298F" w:rsidP="00760009">
            <w:pPr>
              <w:rPr>
                <w:rFonts w:ascii="Arial" w:eastAsia="Times New Roman" w:hAnsi="Arial" w:cs="Arial"/>
                <w:color w:val="000000"/>
                <w:sz w:val="15"/>
                <w:szCs w:val="15"/>
                <w:lang w:eastAsia="zh-CN"/>
              </w:rPr>
            </w:pPr>
            <w:r>
              <w:rPr>
                <w:rFonts w:ascii="Arial" w:eastAsia="Times New Roman" w:hAnsi="Arial" w:cs="Arial"/>
                <w:color w:val="000000"/>
                <w:sz w:val="15"/>
                <w:szCs w:val="15"/>
                <w:lang w:eastAsia="zh-CN"/>
              </w:rPr>
              <w:t>Republic of Ireland</w:t>
            </w:r>
          </w:p>
        </w:tc>
        <w:tc>
          <w:tcPr>
            <w:tcW w:w="1444" w:type="dxa"/>
            <w:shd w:val="clear" w:color="auto" w:fill="EDFFB7"/>
            <w:noWrap/>
            <w:vAlign w:val="center"/>
            <w:hideMark/>
          </w:tcPr>
          <w:p w14:paraId="462393EA" w14:textId="77777777" w:rsidR="0021298F" w:rsidRDefault="0021298F" w:rsidP="00760009">
            <w:pPr>
              <w:rPr>
                <w:rFonts w:ascii="Arial" w:eastAsia="Times New Roman" w:hAnsi="Arial" w:cs="Arial"/>
                <w:color w:val="000000"/>
                <w:sz w:val="15"/>
                <w:szCs w:val="15"/>
                <w:lang w:eastAsia="zh-CN"/>
              </w:rPr>
            </w:pPr>
            <w:r>
              <w:rPr>
                <w:rFonts w:ascii="Arial" w:eastAsia="Times New Roman" w:hAnsi="Arial" w:cs="Arial"/>
                <w:color w:val="000000"/>
                <w:sz w:val="15"/>
                <w:szCs w:val="15"/>
                <w:lang w:eastAsia="zh-CN"/>
              </w:rPr>
              <w:t>Nordex</w:t>
            </w:r>
          </w:p>
        </w:tc>
        <w:tc>
          <w:tcPr>
            <w:tcW w:w="1318" w:type="dxa"/>
            <w:shd w:val="clear" w:color="auto" w:fill="EDFFB7"/>
            <w:noWrap/>
            <w:vAlign w:val="center"/>
            <w:hideMark/>
          </w:tcPr>
          <w:p w14:paraId="5DEE5957" w14:textId="77777777" w:rsidR="0021298F" w:rsidRDefault="0021298F" w:rsidP="00760009">
            <w:pPr>
              <w:rPr>
                <w:rFonts w:ascii="Arial" w:eastAsia="Times New Roman" w:hAnsi="Arial" w:cs="Arial"/>
                <w:color w:val="000000"/>
                <w:sz w:val="15"/>
                <w:szCs w:val="15"/>
                <w:lang w:eastAsia="zh-CN"/>
              </w:rPr>
            </w:pPr>
            <w:r>
              <w:rPr>
                <w:rFonts w:ascii="Arial" w:eastAsia="Times New Roman" w:hAnsi="Arial" w:cs="Arial"/>
                <w:color w:val="000000"/>
                <w:sz w:val="15"/>
                <w:szCs w:val="15"/>
                <w:lang w:eastAsia="zh-CN"/>
              </w:rPr>
              <w:t>Statkraft</w:t>
            </w:r>
          </w:p>
        </w:tc>
        <w:tc>
          <w:tcPr>
            <w:tcW w:w="1358" w:type="dxa"/>
            <w:shd w:val="clear" w:color="auto" w:fill="EDFFB7"/>
            <w:noWrap/>
            <w:vAlign w:val="center"/>
            <w:hideMark/>
          </w:tcPr>
          <w:p w14:paraId="1BE63693" w14:textId="77777777" w:rsidR="0021298F" w:rsidRDefault="0021298F" w:rsidP="00760009">
            <w:pPr>
              <w:rPr>
                <w:rFonts w:ascii="Arial" w:eastAsia="Times New Roman" w:hAnsi="Arial" w:cs="Arial"/>
                <w:color w:val="000000"/>
                <w:sz w:val="15"/>
                <w:szCs w:val="15"/>
                <w:lang w:eastAsia="zh-CN"/>
              </w:rPr>
            </w:pPr>
            <w:r>
              <w:rPr>
                <w:rFonts w:ascii="Arial" w:eastAsia="Times New Roman" w:hAnsi="Arial" w:cs="Arial"/>
                <w:color w:val="000000"/>
                <w:sz w:val="15"/>
                <w:szCs w:val="15"/>
                <w:lang w:eastAsia="zh-CN"/>
              </w:rPr>
              <w:t>Bord Gáis</w:t>
            </w:r>
          </w:p>
        </w:tc>
        <w:tc>
          <w:tcPr>
            <w:tcW w:w="694" w:type="dxa"/>
            <w:shd w:val="clear" w:color="auto" w:fill="EDFFB7"/>
            <w:noWrap/>
            <w:vAlign w:val="center"/>
            <w:hideMark/>
          </w:tcPr>
          <w:p w14:paraId="69C86251" w14:textId="77777777" w:rsidR="0021298F" w:rsidRDefault="0021298F" w:rsidP="00760009">
            <w:pPr>
              <w:jc w:val="right"/>
              <w:rPr>
                <w:rFonts w:ascii="Arial" w:eastAsia="Times New Roman" w:hAnsi="Arial" w:cs="Arial"/>
                <w:color w:val="000000"/>
                <w:sz w:val="15"/>
                <w:szCs w:val="15"/>
                <w:lang w:eastAsia="zh-CN"/>
              </w:rPr>
            </w:pPr>
            <w:r>
              <w:rPr>
                <w:rFonts w:ascii="Arial" w:eastAsia="Times New Roman" w:hAnsi="Arial" w:cs="Arial"/>
                <w:color w:val="000000"/>
                <w:sz w:val="15"/>
                <w:szCs w:val="15"/>
                <w:lang w:eastAsia="zh-CN"/>
              </w:rPr>
              <w:t>36.0</w:t>
            </w:r>
          </w:p>
        </w:tc>
        <w:tc>
          <w:tcPr>
            <w:tcW w:w="1250" w:type="dxa"/>
            <w:shd w:val="clear" w:color="auto" w:fill="EDFFB7"/>
            <w:noWrap/>
            <w:vAlign w:val="center"/>
            <w:hideMark/>
          </w:tcPr>
          <w:p w14:paraId="4770B11D" w14:textId="77777777" w:rsidR="0021298F" w:rsidRDefault="0021298F" w:rsidP="00760009">
            <w:pPr>
              <w:jc w:val="right"/>
              <w:rPr>
                <w:rFonts w:ascii="Arial" w:eastAsia="Times New Roman" w:hAnsi="Arial" w:cs="Arial"/>
                <w:color w:val="000000"/>
                <w:sz w:val="15"/>
                <w:szCs w:val="15"/>
                <w:lang w:eastAsia="zh-CN"/>
              </w:rPr>
            </w:pPr>
            <w:r>
              <w:rPr>
                <w:rFonts w:ascii="Arial" w:eastAsia="Times New Roman" w:hAnsi="Arial" w:cs="Arial"/>
                <w:color w:val="000000"/>
                <w:sz w:val="15"/>
                <w:szCs w:val="15"/>
                <w:lang w:eastAsia="zh-CN"/>
              </w:rPr>
              <w:t>100%</w:t>
            </w:r>
          </w:p>
        </w:tc>
        <w:tc>
          <w:tcPr>
            <w:tcW w:w="617" w:type="dxa"/>
            <w:shd w:val="clear" w:color="auto" w:fill="EDFFB7"/>
            <w:noWrap/>
            <w:vAlign w:val="center"/>
            <w:hideMark/>
          </w:tcPr>
          <w:p w14:paraId="494790C2" w14:textId="77777777" w:rsidR="0021298F" w:rsidRDefault="0021298F" w:rsidP="00760009">
            <w:pPr>
              <w:jc w:val="right"/>
              <w:rPr>
                <w:rFonts w:ascii="Arial" w:eastAsia="Times New Roman" w:hAnsi="Arial" w:cs="Arial"/>
                <w:color w:val="000000"/>
                <w:sz w:val="15"/>
                <w:szCs w:val="15"/>
                <w:lang w:eastAsia="zh-CN"/>
              </w:rPr>
            </w:pPr>
            <w:r>
              <w:rPr>
                <w:rFonts w:ascii="Arial" w:eastAsia="Times New Roman" w:hAnsi="Arial" w:cs="Arial"/>
                <w:color w:val="000000"/>
                <w:sz w:val="15"/>
                <w:szCs w:val="15"/>
                <w:lang w:eastAsia="zh-CN"/>
              </w:rPr>
              <w:t>36.0</w:t>
            </w:r>
          </w:p>
        </w:tc>
      </w:tr>
      <w:tr w:rsidR="0021298F" w14:paraId="76680516" w14:textId="77777777" w:rsidTr="00760009">
        <w:trPr>
          <w:trHeight w:val="338"/>
        </w:trPr>
        <w:tc>
          <w:tcPr>
            <w:tcW w:w="1560" w:type="dxa"/>
            <w:shd w:val="clear" w:color="auto" w:fill="FFFFFF"/>
            <w:noWrap/>
            <w:vAlign w:val="center"/>
            <w:hideMark/>
          </w:tcPr>
          <w:p w14:paraId="007165E3" w14:textId="77777777" w:rsidR="0021298F" w:rsidRDefault="0021298F" w:rsidP="00760009">
            <w:pPr>
              <w:rPr>
                <w:rFonts w:ascii="Arial" w:eastAsia="Times New Roman" w:hAnsi="Arial" w:cs="Arial"/>
                <w:color w:val="000000"/>
                <w:sz w:val="15"/>
                <w:szCs w:val="15"/>
                <w:lang w:eastAsia="zh-CN"/>
              </w:rPr>
            </w:pPr>
            <w:r>
              <w:rPr>
                <w:rFonts w:ascii="Arial" w:eastAsia="Times New Roman" w:hAnsi="Arial" w:cs="Arial"/>
                <w:color w:val="000000"/>
                <w:sz w:val="15"/>
                <w:szCs w:val="15"/>
                <w:lang w:eastAsia="zh-CN"/>
              </w:rPr>
              <w:t>Pasilly</w:t>
            </w:r>
          </w:p>
        </w:tc>
        <w:tc>
          <w:tcPr>
            <w:tcW w:w="983" w:type="dxa"/>
            <w:shd w:val="clear" w:color="auto" w:fill="EDFFB7"/>
            <w:vAlign w:val="center"/>
            <w:hideMark/>
          </w:tcPr>
          <w:p w14:paraId="195E6785" w14:textId="77777777" w:rsidR="0021298F" w:rsidRDefault="0021298F" w:rsidP="00760009">
            <w:pPr>
              <w:rPr>
                <w:rFonts w:ascii="Arial" w:eastAsia="Times New Roman" w:hAnsi="Arial" w:cs="Arial"/>
                <w:color w:val="000000"/>
                <w:sz w:val="15"/>
                <w:szCs w:val="15"/>
                <w:lang w:eastAsia="zh-CN"/>
              </w:rPr>
            </w:pPr>
            <w:r>
              <w:rPr>
                <w:rFonts w:ascii="Arial" w:eastAsia="Times New Roman" w:hAnsi="Arial" w:cs="Arial"/>
                <w:color w:val="000000"/>
                <w:sz w:val="15"/>
                <w:szCs w:val="15"/>
                <w:lang w:eastAsia="zh-CN"/>
              </w:rPr>
              <w:t>France</w:t>
            </w:r>
          </w:p>
        </w:tc>
        <w:tc>
          <w:tcPr>
            <w:tcW w:w="1444" w:type="dxa"/>
            <w:shd w:val="clear" w:color="auto" w:fill="EDFFB7"/>
            <w:noWrap/>
            <w:vAlign w:val="center"/>
            <w:hideMark/>
          </w:tcPr>
          <w:p w14:paraId="55B619AE" w14:textId="77777777" w:rsidR="0021298F" w:rsidRDefault="0021298F" w:rsidP="00760009">
            <w:pPr>
              <w:rPr>
                <w:rFonts w:ascii="Arial" w:eastAsia="Times New Roman" w:hAnsi="Arial" w:cs="Arial"/>
                <w:color w:val="000000"/>
                <w:sz w:val="15"/>
                <w:szCs w:val="15"/>
                <w:lang w:eastAsia="zh-CN"/>
              </w:rPr>
            </w:pPr>
            <w:r>
              <w:rPr>
                <w:rFonts w:ascii="Arial" w:eastAsia="Times New Roman" w:hAnsi="Arial" w:cs="Arial"/>
                <w:color w:val="000000"/>
                <w:sz w:val="15"/>
                <w:szCs w:val="15"/>
                <w:lang w:eastAsia="zh-CN"/>
              </w:rPr>
              <w:t>Siemens Gamesa</w:t>
            </w:r>
          </w:p>
        </w:tc>
        <w:tc>
          <w:tcPr>
            <w:tcW w:w="1318" w:type="dxa"/>
            <w:shd w:val="clear" w:color="auto" w:fill="EDFFB7"/>
            <w:noWrap/>
            <w:vAlign w:val="center"/>
            <w:hideMark/>
          </w:tcPr>
          <w:p w14:paraId="46040EAD" w14:textId="77777777" w:rsidR="0021298F" w:rsidRDefault="0021298F" w:rsidP="00760009">
            <w:pPr>
              <w:rPr>
                <w:rFonts w:ascii="Arial" w:eastAsia="Times New Roman" w:hAnsi="Arial" w:cs="Arial"/>
                <w:color w:val="000000"/>
                <w:sz w:val="15"/>
                <w:szCs w:val="15"/>
                <w:lang w:eastAsia="zh-CN"/>
              </w:rPr>
            </w:pPr>
            <w:r>
              <w:rPr>
                <w:rFonts w:ascii="Arial" w:eastAsia="Times New Roman" w:hAnsi="Arial" w:cs="Arial"/>
                <w:color w:val="000000"/>
                <w:sz w:val="15"/>
                <w:szCs w:val="15"/>
                <w:lang w:eastAsia="zh-CN"/>
              </w:rPr>
              <w:t>Greensolver</w:t>
            </w:r>
          </w:p>
        </w:tc>
        <w:tc>
          <w:tcPr>
            <w:tcW w:w="1358" w:type="dxa"/>
            <w:shd w:val="clear" w:color="auto" w:fill="EDFFB7"/>
            <w:noWrap/>
            <w:vAlign w:val="center"/>
            <w:hideMark/>
          </w:tcPr>
          <w:p w14:paraId="24B3D891" w14:textId="77777777" w:rsidR="0021298F" w:rsidRDefault="0021298F" w:rsidP="00760009">
            <w:pPr>
              <w:rPr>
                <w:rFonts w:ascii="Arial" w:eastAsia="Times New Roman" w:hAnsi="Arial" w:cs="Arial"/>
                <w:color w:val="000000"/>
                <w:sz w:val="15"/>
                <w:szCs w:val="15"/>
                <w:lang w:eastAsia="zh-CN"/>
              </w:rPr>
            </w:pPr>
            <w:r>
              <w:rPr>
                <w:rFonts w:ascii="Arial" w:eastAsia="Times New Roman" w:hAnsi="Arial" w:cs="Arial"/>
                <w:color w:val="000000"/>
                <w:sz w:val="15"/>
                <w:szCs w:val="15"/>
                <w:lang w:eastAsia="zh-CN"/>
              </w:rPr>
              <w:t>Sorégies</w:t>
            </w:r>
          </w:p>
        </w:tc>
        <w:tc>
          <w:tcPr>
            <w:tcW w:w="694" w:type="dxa"/>
            <w:shd w:val="clear" w:color="auto" w:fill="EDFFB7"/>
            <w:noWrap/>
            <w:vAlign w:val="center"/>
            <w:hideMark/>
          </w:tcPr>
          <w:p w14:paraId="228804B9" w14:textId="77777777" w:rsidR="0021298F" w:rsidRDefault="0021298F" w:rsidP="00760009">
            <w:pPr>
              <w:jc w:val="right"/>
              <w:rPr>
                <w:rFonts w:ascii="Arial" w:eastAsia="Times New Roman" w:hAnsi="Arial" w:cs="Arial"/>
                <w:color w:val="000000"/>
                <w:sz w:val="15"/>
                <w:szCs w:val="15"/>
                <w:lang w:eastAsia="zh-CN"/>
              </w:rPr>
            </w:pPr>
            <w:r>
              <w:rPr>
                <w:rFonts w:ascii="Arial" w:eastAsia="Times New Roman" w:hAnsi="Arial" w:cs="Arial"/>
                <w:color w:val="000000"/>
                <w:sz w:val="15"/>
                <w:szCs w:val="15"/>
                <w:lang w:eastAsia="zh-CN"/>
              </w:rPr>
              <w:t>20.0</w:t>
            </w:r>
          </w:p>
        </w:tc>
        <w:tc>
          <w:tcPr>
            <w:tcW w:w="1250" w:type="dxa"/>
            <w:shd w:val="clear" w:color="auto" w:fill="EDFFB7"/>
            <w:noWrap/>
            <w:vAlign w:val="center"/>
            <w:hideMark/>
          </w:tcPr>
          <w:p w14:paraId="572A0313" w14:textId="77777777" w:rsidR="0021298F" w:rsidRDefault="0021298F" w:rsidP="00760009">
            <w:pPr>
              <w:jc w:val="right"/>
              <w:rPr>
                <w:rFonts w:ascii="Arial" w:eastAsia="Times New Roman" w:hAnsi="Arial" w:cs="Arial"/>
                <w:color w:val="000000"/>
                <w:sz w:val="15"/>
                <w:szCs w:val="15"/>
                <w:lang w:eastAsia="zh-CN"/>
              </w:rPr>
            </w:pPr>
            <w:r>
              <w:rPr>
                <w:rFonts w:ascii="Arial" w:eastAsia="Times New Roman" w:hAnsi="Arial" w:cs="Arial"/>
                <w:color w:val="000000"/>
                <w:sz w:val="15"/>
                <w:szCs w:val="15"/>
                <w:lang w:eastAsia="zh-CN"/>
              </w:rPr>
              <w:t>100%</w:t>
            </w:r>
          </w:p>
        </w:tc>
        <w:tc>
          <w:tcPr>
            <w:tcW w:w="617" w:type="dxa"/>
            <w:shd w:val="clear" w:color="auto" w:fill="EDFFB7"/>
            <w:noWrap/>
            <w:vAlign w:val="center"/>
            <w:hideMark/>
          </w:tcPr>
          <w:p w14:paraId="01C4CFE4" w14:textId="77777777" w:rsidR="0021298F" w:rsidRDefault="0021298F" w:rsidP="00760009">
            <w:pPr>
              <w:jc w:val="right"/>
              <w:rPr>
                <w:rFonts w:ascii="Arial" w:eastAsia="Times New Roman" w:hAnsi="Arial" w:cs="Arial"/>
                <w:color w:val="000000"/>
                <w:sz w:val="15"/>
                <w:szCs w:val="15"/>
                <w:lang w:eastAsia="zh-CN"/>
              </w:rPr>
            </w:pPr>
            <w:r>
              <w:rPr>
                <w:rFonts w:ascii="Arial" w:eastAsia="Times New Roman" w:hAnsi="Arial" w:cs="Arial"/>
                <w:color w:val="000000"/>
                <w:sz w:val="15"/>
                <w:szCs w:val="15"/>
                <w:lang w:eastAsia="zh-CN"/>
              </w:rPr>
              <w:t>20.0</w:t>
            </w:r>
          </w:p>
        </w:tc>
      </w:tr>
      <w:tr w:rsidR="0021298F" w14:paraId="0EE845AA" w14:textId="77777777" w:rsidTr="00760009">
        <w:trPr>
          <w:trHeight w:val="338"/>
        </w:trPr>
        <w:tc>
          <w:tcPr>
            <w:tcW w:w="1560" w:type="dxa"/>
            <w:shd w:val="clear" w:color="auto" w:fill="FFFFFF"/>
            <w:noWrap/>
            <w:vAlign w:val="center"/>
            <w:hideMark/>
          </w:tcPr>
          <w:p w14:paraId="0F982418" w14:textId="77777777" w:rsidR="0021298F" w:rsidRDefault="0021298F" w:rsidP="00760009">
            <w:pPr>
              <w:rPr>
                <w:rFonts w:ascii="Arial" w:eastAsia="Times New Roman" w:hAnsi="Arial" w:cs="Arial"/>
                <w:color w:val="000000"/>
                <w:sz w:val="15"/>
                <w:szCs w:val="15"/>
                <w:lang w:eastAsia="zh-CN"/>
              </w:rPr>
            </w:pPr>
            <w:r>
              <w:rPr>
                <w:rFonts w:ascii="Arial" w:eastAsia="Times New Roman" w:hAnsi="Arial" w:cs="Arial"/>
                <w:color w:val="000000"/>
                <w:sz w:val="15"/>
                <w:szCs w:val="15"/>
                <w:lang w:eastAsia="zh-CN"/>
              </w:rPr>
              <w:t>Raheenleagh</w:t>
            </w:r>
          </w:p>
        </w:tc>
        <w:tc>
          <w:tcPr>
            <w:tcW w:w="983" w:type="dxa"/>
            <w:shd w:val="clear" w:color="auto" w:fill="EDFFB7"/>
            <w:vAlign w:val="center"/>
            <w:hideMark/>
          </w:tcPr>
          <w:p w14:paraId="5AAD63F1" w14:textId="77777777" w:rsidR="0021298F" w:rsidRDefault="0021298F" w:rsidP="00760009">
            <w:pPr>
              <w:rPr>
                <w:rFonts w:ascii="Arial" w:eastAsia="Times New Roman" w:hAnsi="Arial" w:cs="Arial"/>
                <w:color w:val="000000"/>
                <w:sz w:val="15"/>
                <w:szCs w:val="15"/>
                <w:lang w:eastAsia="zh-CN"/>
              </w:rPr>
            </w:pPr>
            <w:r>
              <w:rPr>
                <w:rFonts w:ascii="Arial" w:eastAsia="Times New Roman" w:hAnsi="Arial" w:cs="Arial"/>
                <w:color w:val="000000"/>
                <w:sz w:val="15"/>
                <w:szCs w:val="15"/>
                <w:lang w:eastAsia="zh-CN"/>
              </w:rPr>
              <w:t>Republic of Ireland</w:t>
            </w:r>
          </w:p>
        </w:tc>
        <w:tc>
          <w:tcPr>
            <w:tcW w:w="1444" w:type="dxa"/>
            <w:shd w:val="clear" w:color="auto" w:fill="EDFFB7"/>
            <w:noWrap/>
            <w:vAlign w:val="center"/>
            <w:hideMark/>
          </w:tcPr>
          <w:p w14:paraId="48DFE95F" w14:textId="77777777" w:rsidR="0021298F" w:rsidRDefault="0021298F" w:rsidP="00760009">
            <w:pPr>
              <w:rPr>
                <w:rFonts w:ascii="Arial" w:eastAsia="Times New Roman" w:hAnsi="Arial" w:cs="Arial"/>
                <w:color w:val="000000"/>
                <w:sz w:val="15"/>
                <w:szCs w:val="15"/>
                <w:lang w:eastAsia="zh-CN"/>
              </w:rPr>
            </w:pPr>
            <w:r>
              <w:rPr>
                <w:rFonts w:ascii="Arial" w:eastAsia="Times New Roman" w:hAnsi="Arial" w:cs="Arial"/>
                <w:color w:val="000000"/>
                <w:sz w:val="15"/>
                <w:szCs w:val="15"/>
                <w:lang w:eastAsia="zh-CN"/>
              </w:rPr>
              <w:t>Siemens Gamesa</w:t>
            </w:r>
          </w:p>
        </w:tc>
        <w:tc>
          <w:tcPr>
            <w:tcW w:w="1318" w:type="dxa"/>
            <w:shd w:val="clear" w:color="auto" w:fill="EDFFB7"/>
            <w:noWrap/>
            <w:vAlign w:val="center"/>
            <w:hideMark/>
          </w:tcPr>
          <w:p w14:paraId="5108ACAA" w14:textId="77777777" w:rsidR="0021298F" w:rsidRDefault="0021298F" w:rsidP="00760009">
            <w:pPr>
              <w:rPr>
                <w:rFonts w:ascii="Arial" w:eastAsia="Times New Roman" w:hAnsi="Arial" w:cs="Arial"/>
                <w:color w:val="000000"/>
                <w:sz w:val="15"/>
                <w:szCs w:val="15"/>
                <w:lang w:eastAsia="zh-CN"/>
              </w:rPr>
            </w:pPr>
            <w:r>
              <w:rPr>
                <w:rFonts w:ascii="Arial" w:eastAsia="Times New Roman" w:hAnsi="Arial" w:cs="Arial"/>
                <w:color w:val="000000"/>
                <w:sz w:val="15"/>
                <w:szCs w:val="15"/>
                <w:lang w:eastAsia="zh-CN"/>
              </w:rPr>
              <w:t>ESB</w:t>
            </w:r>
          </w:p>
        </w:tc>
        <w:tc>
          <w:tcPr>
            <w:tcW w:w="1358" w:type="dxa"/>
            <w:shd w:val="clear" w:color="auto" w:fill="EDFFB7"/>
            <w:noWrap/>
            <w:vAlign w:val="center"/>
            <w:hideMark/>
          </w:tcPr>
          <w:p w14:paraId="54D4D6B7" w14:textId="77777777" w:rsidR="0021298F" w:rsidRDefault="0021298F" w:rsidP="00760009">
            <w:pPr>
              <w:rPr>
                <w:rFonts w:ascii="Arial" w:eastAsia="Times New Roman" w:hAnsi="Arial" w:cs="Arial"/>
                <w:color w:val="000000"/>
                <w:sz w:val="15"/>
                <w:szCs w:val="15"/>
                <w:lang w:eastAsia="zh-CN"/>
              </w:rPr>
            </w:pPr>
            <w:r>
              <w:rPr>
                <w:rFonts w:ascii="Arial" w:eastAsia="Times New Roman" w:hAnsi="Arial" w:cs="Arial"/>
                <w:color w:val="000000"/>
                <w:sz w:val="15"/>
                <w:szCs w:val="15"/>
                <w:lang w:eastAsia="zh-CN"/>
              </w:rPr>
              <w:t>ESB</w:t>
            </w:r>
          </w:p>
        </w:tc>
        <w:tc>
          <w:tcPr>
            <w:tcW w:w="694" w:type="dxa"/>
            <w:shd w:val="clear" w:color="auto" w:fill="EDFFB7"/>
            <w:noWrap/>
            <w:vAlign w:val="center"/>
            <w:hideMark/>
          </w:tcPr>
          <w:p w14:paraId="043E05F9" w14:textId="77777777" w:rsidR="0021298F" w:rsidRDefault="0021298F" w:rsidP="00760009">
            <w:pPr>
              <w:jc w:val="right"/>
              <w:rPr>
                <w:rFonts w:ascii="Arial" w:eastAsia="Times New Roman" w:hAnsi="Arial" w:cs="Arial"/>
                <w:color w:val="000000"/>
                <w:sz w:val="15"/>
                <w:szCs w:val="15"/>
                <w:lang w:eastAsia="zh-CN"/>
              </w:rPr>
            </w:pPr>
            <w:r>
              <w:rPr>
                <w:rFonts w:ascii="Arial" w:eastAsia="Times New Roman" w:hAnsi="Arial" w:cs="Arial"/>
                <w:color w:val="000000"/>
                <w:sz w:val="15"/>
                <w:szCs w:val="15"/>
                <w:lang w:eastAsia="zh-CN"/>
              </w:rPr>
              <w:t>35.2</w:t>
            </w:r>
          </w:p>
        </w:tc>
        <w:tc>
          <w:tcPr>
            <w:tcW w:w="1250" w:type="dxa"/>
            <w:shd w:val="clear" w:color="auto" w:fill="EDFFB7"/>
            <w:noWrap/>
            <w:vAlign w:val="center"/>
            <w:hideMark/>
          </w:tcPr>
          <w:p w14:paraId="5A77CC9D" w14:textId="77777777" w:rsidR="0021298F" w:rsidRDefault="0021298F" w:rsidP="00760009">
            <w:pPr>
              <w:jc w:val="right"/>
              <w:rPr>
                <w:rFonts w:ascii="Arial" w:eastAsia="Times New Roman" w:hAnsi="Arial" w:cs="Arial"/>
                <w:color w:val="000000"/>
                <w:sz w:val="15"/>
                <w:szCs w:val="15"/>
                <w:lang w:eastAsia="zh-CN"/>
              </w:rPr>
            </w:pPr>
            <w:r>
              <w:rPr>
                <w:rFonts w:ascii="Arial" w:eastAsia="Times New Roman" w:hAnsi="Arial" w:cs="Arial"/>
                <w:color w:val="000000"/>
                <w:sz w:val="15"/>
                <w:szCs w:val="15"/>
                <w:lang w:eastAsia="zh-CN"/>
              </w:rPr>
              <w:t>50%</w:t>
            </w:r>
          </w:p>
        </w:tc>
        <w:tc>
          <w:tcPr>
            <w:tcW w:w="617" w:type="dxa"/>
            <w:shd w:val="clear" w:color="auto" w:fill="EDFFB7"/>
            <w:noWrap/>
            <w:vAlign w:val="center"/>
            <w:hideMark/>
          </w:tcPr>
          <w:p w14:paraId="40F194DA" w14:textId="77777777" w:rsidR="0021298F" w:rsidRDefault="0021298F" w:rsidP="00760009">
            <w:pPr>
              <w:jc w:val="right"/>
              <w:rPr>
                <w:rFonts w:ascii="Arial" w:eastAsia="Times New Roman" w:hAnsi="Arial" w:cs="Arial"/>
                <w:color w:val="000000"/>
                <w:sz w:val="15"/>
                <w:szCs w:val="15"/>
                <w:lang w:eastAsia="zh-CN"/>
              </w:rPr>
            </w:pPr>
            <w:r>
              <w:rPr>
                <w:rFonts w:ascii="Arial" w:eastAsia="Times New Roman" w:hAnsi="Arial" w:cs="Arial"/>
                <w:color w:val="000000"/>
                <w:sz w:val="15"/>
                <w:szCs w:val="15"/>
                <w:lang w:eastAsia="zh-CN"/>
              </w:rPr>
              <w:t>17.6</w:t>
            </w:r>
          </w:p>
        </w:tc>
      </w:tr>
      <w:tr w:rsidR="0021298F" w14:paraId="7E6764AC" w14:textId="77777777" w:rsidTr="00760009">
        <w:trPr>
          <w:trHeight w:val="338"/>
        </w:trPr>
        <w:tc>
          <w:tcPr>
            <w:tcW w:w="1560" w:type="dxa"/>
            <w:shd w:val="clear" w:color="auto" w:fill="FFFFFF"/>
            <w:noWrap/>
            <w:vAlign w:val="center"/>
          </w:tcPr>
          <w:p w14:paraId="7FC555C2" w14:textId="77777777" w:rsidR="0021298F" w:rsidRDefault="0021298F" w:rsidP="00760009">
            <w:pPr>
              <w:rPr>
                <w:rFonts w:ascii="Arial" w:eastAsia="Times New Roman" w:hAnsi="Arial" w:cs="Arial"/>
                <w:color w:val="000000"/>
                <w:sz w:val="15"/>
                <w:szCs w:val="15"/>
                <w:lang w:eastAsia="zh-CN"/>
              </w:rPr>
            </w:pPr>
            <w:r>
              <w:rPr>
                <w:rFonts w:ascii="Arial" w:eastAsia="Times New Roman" w:hAnsi="Arial" w:cs="Arial"/>
                <w:color w:val="000000"/>
                <w:sz w:val="15"/>
                <w:szCs w:val="15"/>
                <w:lang w:eastAsia="zh-CN"/>
              </w:rPr>
              <w:t>Saint Martin</w:t>
            </w:r>
          </w:p>
        </w:tc>
        <w:tc>
          <w:tcPr>
            <w:tcW w:w="983" w:type="dxa"/>
            <w:shd w:val="clear" w:color="auto" w:fill="EDFFB7"/>
            <w:vAlign w:val="center"/>
          </w:tcPr>
          <w:p w14:paraId="5077ECDC" w14:textId="77777777" w:rsidR="0021298F" w:rsidRDefault="0021298F" w:rsidP="00760009">
            <w:pPr>
              <w:rPr>
                <w:rFonts w:ascii="Arial" w:eastAsia="Times New Roman" w:hAnsi="Arial" w:cs="Arial"/>
                <w:color w:val="000000"/>
                <w:sz w:val="15"/>
                <w:szCs w:val="15"/>
                <w:lang w:eastAsia="zh-CN"/>
              </w:rPr>
            </w:pPr>
            <w:r>
              <w:rPr>
                <w:rFonts w:ascii="Arial" w:eastAsia="Times New Roman" w:hAnsi="Arial" w:cs="Arial"/>
                <w:color w:val="000000"/>
                <w:sz w:val="15"/>
                <w:szCs w:val="15"/>
                <w:lang w:eastAsia="zh-CN"/>
              </w:rPr>
              <w:t>France</w:t>
            </w:r>
          </w:p>
        </w:tc>
        <w:tc>
          <w:tcPr>
            <w:tcW w:w="1444" w:type="dxa"/>
            <w:shd w:val="clear" w:color="auto" w:fill="EDFFB7"/>
            <w:noWrap/>
            <w:vAlign w:val="center"/>
          </w:tcPr>
          <w:p w14:paraId="23C697A7" w14:textId="77777777" w:rsidR="0021298F" w:rsidRDefault="0021298F" w:rsidP="00760009">
            <w:pPr>
              <w:rPr>
                <w:rFonts w:ascii="Arial" w:eastAsia="Times New Roman" w:hAnsi="Arial" w:cs="Arial"/>
                <w:color w:val="000000"/>
                <w:sz w:val="15"/>
                <w:szCs w:val="15"/>
                <w:lang w:eastAsia="zh-CN"/>
              </w:rPr>
            </w:pPr>
            <w:r>
              <w:rPr>
                <w:rFonts w:ascii="Arial" w:eastAsia="Times New Roman" w:hAnsi="Arial" w:cs="Arial"/>
                <w:color w:val="000000"/>
                <w:sz w:val="15"/>
                <w:szCs w:val="15"/>
                <w:lang w:eastAsia="zh-CN"/>
              </w:rPr>
              <w:t>Senvion</w:t>
            </w:r>
          </w:p>
        </w:tc>
        <w:tc>
          <w:tcPr>
            <w:tcW w:w="1318" w:type="dxa"/>
            <w:shd w:val="clear" w:color="auto" w:fill="EDFFB7"/>
            <w:noWrap/>
            <w:vAlign w:val="center"/>
          </w:tcPr>
          <w:p w14:paraId="14B4B272" w14:textId="77777777" w:rsidR="0021298F" w:rsidRDefault="0021298F" w:rsidP="00760009">
            <w:pPr>
              <w:rPr>
                <w:rFonts w:ascii="Arial" w:eastAsia="Times New Roman" w:hAnsi="Arial" w:cs="Arial"/>
                <w:color w:val="000000"/>
                <w:sz w:val="15"/>
                <w:szCs w:val="15"/>
                <w:lang w:eastAsia="zh-CN"/>
              </w:rPr>
            </w:pPr>
            <w:r>
              <w:rPr>
                <w:rFonts w:ascii="Arial" w:eastAsia="Times New Roman" w:hAnsi="Arial" w:cs="Arial"/>
                <w:color w:val="000000"/>
                <w:sz w:val="15"/>
                <w:szCs w:val="15"/>
                <w:lang w:eastAsia="zh-CN"/>
              </w:rPr>
              <w:t>Greensolver</w:t>
            </w:r>
          </w:p>
        </w:tc>
        <w:tc>
          <w:tcPr>
            <w:tcW w:w="1358" w:type="dxa"/>
            <w:shd w:val="clear" w:color="auto" w:fill="EDFFB7"/>
            <w:noWrap/>
            <w:vAlign w:val="center"/>
          </w:tcPr>
          <w:p w14:paraId="732E6B8B" w14:textId="77777777" w:rsidR="0021298F" w:rsidRDefault="0021298F" w:rsidP="00760009">
            <w:pPr>
              <w:rPr>
                <w:rFonts w:ascii="Arial" w:eastAsia="Times New Roman" w:hAnsi="Arial" w:cs="Arial"/>
                <w:color w:val="000000"/>
                <w:sz w:val="15"/>
                <w:szCs w:val="15"/>
                <w:lang w:eastAsia="zh-CN"/>
              </w:rPr>
            </w:pPr>
            <w:r>
              <w:rPr>
                <w:rFonts w:ascii="Arial" w:eastAsia="Times New Roman" w:hAnsi="Arial" w:cs="Arial"/>
                <w:color w:val="000000"/>
                <w:sz w:val="15"/>
                <w:szCs w:val="15"/>
                <w:lang w:eastAsia="zh-CN"/>
              </w:rPr>
              <w:t>Sorégies</w:t>
            </w:r>
          </w:p>
        </w:tc>
        <w:tc>
          <w:tcPr>
            <w:tcW w:w="694" w:type="dxa"/>
            <w:shd w:val="clear" w:color="auto" w:fill="EDFFB7"/>
            <w:noWrap/>
            <w:vAlign w:val="center"/>
          </w:tcPr>
          <w:p w14:paraId="56E0B32C" w14:textId="77777777" w:rsidR="0021298F" w:rsidRDefault="0021298F" w:rsidP="00760009">
            <w:pPr>
              <w:jc w:val="right"/>
              <w:rPr>
                <w:rFonts w:ascii="Arial" w:eastAsia="Times New Roman" w:hAnsi="Arial" w:cs="Arial"/>
                <w:color w:val="000000"/>
                <w:sz w:val="15"/>
                <w:szCs w:val="15"/>
                <w:lang w:eastAsia="zh-CN"/>
              </w:rPr>
            </w:pPr>
            <w:r>
              <w:rPr>
                <w:rFonts w:ascii="Arial" w:eastAsia="Times New Roman" w:hAnsi="Arial" w:cs="Arial"/>
                <w:color w:val="000000"/>
                <w:sz w:val="15"/>
                <w:szCs w:val="15"/>
                <w:lang w:eastAsia="zh-CN"/>
              </w:rPr>
              <w:t>10.3</w:t>
            </w:r>
          </w:p>
        </w:tc>
        <w:tc>
          <w:tcPr>
            <w:tcW w:w="1250" w:type="dxa"/>
            <w:shd w:val="clear" w:color="auto" w:fill="EDFFB7"/>
            <w:noWrap/>
            <w:vAlign w:val="center"/>
          </w:tcPr>
          <w:p w14:paraId="05468C9C" w14:textId="77777777" w:rsidR="0021298F" w:rsidRDefault="0021298F" w:rsidP="00760009">
            <w:pPr>
              <w:jc w:val="right"/>
              <w:rPr>
                <w:rFonts w:ascii="Arial" w:eastAsia="Times New Roman" w:hAnsi="Arial" w:cs="Arial"/>
                <w:color w:val="000000"/>
                <w:sz w:val="15"/>
                <w:szCs w:val="15"/>
                <w:lang w:eastAsia="zh-CN"/>
              </w:rPr>
            </w:pPr>
            <w:r>
              <w:rPr>
                <w:rFonts w:ascii="Arial" w:eastAsia="Times New Roman" w:hAnsi="Arial" w:cs="Arial"/>
                <w:color w:val="000000"/>
                <w:sz w:val="15"/>
                <w:szCs w:val="15"/>
                <w:lang w:eastAsia="zh-CN"/>
              </w:rPr>
              <w:t>100%</w:t>
            </w:r>
          </w:p>
        </w:tc>
        <w:tc>
          <w:tcPr>
            <w:tcW w:w="617" w:type="dxa"/>
            <w:shd w:val="clear" w:color="auto" w:fill="EDFFB7"/>
            <w:noWrap/>
            <w:vAlign w:val="center"/>
          </w:tcPr>
          <w:p w14:paraId="7E8CE62E" w14:textId="77777777" w:rsidR="0021298F" w:rsidRDefault="0021298F" w:rsidP="00760009">
            <w:pPr>
              <w:jc w:val="right"/>
              <w:rPr>
                <w:rFonts w:ascii="Arial" w:eastAsia="Times New Roman" w:hAnsi="Arial" w:cs="Arial"/>
                <w:color w:val="000000"/>
                <w:sz w:val="15"/>
                <w:szCs w:val="15"/>
                <w:lang w:eastAsia="zh-CN"/>
              </w:rPr>
            </w:pPr>
            <w:r>
              <w:rPr>
                <w:rFonts w:ascii="Arial" w:eastAsia="Times New Roman" w:hAnsi="Arial" w:cs="Arial"/>
                <w:color w:val="000000"/>
                <w:sz w:val="15"/>
                <w:szCs w:val="15"/>
                <w:lang w:eastAsia="zh-CN"/>
              </w:rPr>
              <w:t>10.3</w:t>
            </w:r>
          </w:p>
        </w:tc>
      </w:tr>
      <w:tr w:rsidR="0021298F" w14:paraId="52B53153" w14:textId="77777777" w:rsidTr="00760009">
        <w:trPr>
          <w:trHeight w:val="338"/>
        </w:trPr>
        <w:tc>
          <w:tcPr>
            <w:tcW w:w="1560" w:type="dxa"/>
            <w:shd w:val="clear" w:color="auto" w:fill="FFFFFF"/>
            <w:noWrap/>
            <w:vAlign w:val="center"/>
            <w:hideMark/>
          </w:tcPr>
          <w:p w14:paraId="5F8E2553" w14:textId="77777777" w:rsidR="0021298F" w:rsidRDefault="0021298F" w:rsidP="00760009">
            <w:pPr>
              <w:rPr>
                <w:rFonts w:ascii="Arial" w:eastAsia="Times New Roman" w:hAnsi="Arial" w:cs="Arial"/>
                <w:color w:val="000000"/>
                <w:sz w:val="15"/>
                <w:szCs w:val="15"/>
                <w:lang w:eastAsia="zh-CN"/>
              </w:rPr>
            </w:pPr>
            <w:r>
              <w:rPr>
                <w:rFonts w:ascii="Arial" w:eastAsia="Times New Roman" w:hAnsi="Arial" w:cs="Arial"/>
                <w:color w:val="000000"/>
                <w:sz w:val="15"/>
                <w:szCs w:val="15"/>
                <w:lang w:eastAsia="zh-CN"/>
              </w:rPr>
              <w:t>Sliabh Bawn</w:t>
            </w:r>
          </w:p>
        </w:tc>
        <w:tc>
          <w:tcPr>
            <w:tcW w:w="983" w:type="dxa"/>
            <w:shd w:val="clear" w:color="auto" w:fill="EDFFB7"/>
            <w:vAlign w:val="center"/>
            <w:hideMark/>
          </w:tcPr>
          <w:p w14:paraId="6B3AD151" w14:textId="77777777" w:rsidR="0021298F" w:rsidRDefault="0021298F" w:rsidP="00760009">
            <w:pPr>
              <w:rPr>
                <w:rFonts w:ascii="Arial" w:eastAsia="Times New Roman" w:hAnsi="Arial" w:cs="Arial"/>
                <w:color w:val="000000"/>
                <w:sz w:val="15"/>
                <w:szCs w:val="15"/>
                <w:lang w:eastAsia="zh-CN"/>
              </w:rPr>
            </w:pPr>
            <w:r>
              <w:rPr>
                <w:rFonts w:ascii="Arial" w:eastAsia="Times New Roman" w:hAnsi="Arial" w:cs="Arial"/>
                <w:color w:val="000000"/>
                <w:sz w:val="15"/>
                <w:szCs w:val="15"/>
                <w:lang w:eastAsia="zh-CN"/>
              </w:rPr>
              <w:t>Republic of Ireland</w:t>
            </w:r>
          </w:p>
        </w:tc>
        <w:tc>
          <w:tcPr>
            <w:tcW w:w="1444" w:type="dxa"/>
            <w:shd w:val="clear" w:color="auto" w:fill="EDFFB7"/>
            <w:noWrap/>
            <w:vAlign w:val="center"/>
            <w:hideMark/>
          </w:tcPr>
          <w:p w14:paraId="4A7D0D68" w14:textId="77777777" w:rsidR="0021298F" w:rsidRDefault="0021298F" w:rsidP="00760009">
            <w:pPr>
              <w:rPr>
                <w:rFonts w:ascii="Arial" w:eastAsia="Times New Roman" w:hAnsi="Arial" w:cs="Arial"/>
                <w:color w:val="000000"/>
                <w:sz w:val="15"/>
                <w:szCs w:val="15"/>
                <w:lang w:eastAsia="zh-CN"/>
              </w:rPr>
            </w:pPr>
            <w:r>
              <w:rPr>
                <w:rFonts w:ascii="Arial" w:eastAsia="Times New Roman" w:hAnsi="Arial" w:cs="Arial"/>
                <w:color w:val="000000"/>
                <w:sz w:val="15"/>
                <w:szCs w:val="15"/>
                <w:lang w:eastAsia="zh-CN"/>
              </w:rPr>
              <w:t>Siemens Gamesa</w:t>
            </w:r>
          </w:p>
        </w:tc>
        <w:tc>
          <w:tcPr>
            <w:tcW w:w="1318" w:type="dxa"/>
            <w:shd w:val="clear" w:color="auto" w:fill="EDFFB7"/>
            <w:noWrap/>
            <w:vAlign w:val="center"/>
            <w:hideMark/>
          </w:tcPr>
          <w:p w14:paraId="3A7827B9" w14:textId="77777777" w:rsidR="0021298F" w:rsidRDefault="0021298F" w:rsidP="00760009">
            <w:pPr>
              <w:rPr>
                <w:rFonts w:ascii="Arial" w:eastAsia="Times New Roman" w:hAnsi="Arial" w:cs="Arial"/>
                <w:color w:val="000000"/>
                <w:sz w:val="15"/>
                <w:szCs w:val="15"/>
                <w:lang w:eastAsia="zh-CN"/>
              </w:rPr>
            </w:pPr>
            <w:r>
              <w:rPr>
                <w:rFonts w:ascii="Arial" w:eastAsia="Times New Roman" w:hAnsi="Arial" w:cs="Arial"/>
                <w:color w:val="000000"/>
                <w:sz w:val="15"/>
                <w:szCs w:val="15"/>
                <w:lang w:eastAsia="zh-CN"/>
              </w:rPr>
              <w:t>Bord na Mona</w:t>
            </w:r>
          </w:p>
        </w:tc>
        <w:tc>
          <w:tcPr>
            <w:tcW w:w="1358" w:type="dxa"/>
            <w:shd w:val="clear" w:color="auto" w:fill="EDFFB7"/>
            <w:noWrap/>
            <w:vAlign w:val="center"/>
            <w:hideMark/>
          </w:tcPr>
          <w:p w14:paraId="2E98AEFD" w14:textId="77777777" w:rsidR="0021298F" w:rsidRDefault="0021298F" w:rsidP="00760009">
            <w:pPr>
              <w:rPr>
                <w:rFonts w:ascii="Arial" w:eastAsia="Times New Roman" w:hAnsi="Arial" w:cs="Arial"/>
                <w:color w:val="000000"/>
                <w:sz w:val="15"/>
                <w:szCs w:val="15"/>
                <w:lang w:eastAsia="zh-CN"/>
              </w:rPr>
            </w:pPr>
            <w:r>
              <w:rPr>
                <w:rFonts w:ascii="Arial" w:eastAsia="Times New Roman" w:hAnsi="Arial" w:cs="Arial"/>
                <w:color w:val="000000"/>
                <w:sz w:val="15"/>
                <w:szCs w:val="15"/>
                <w:lang w:eastAsia="zh-CN"/>
              </w:rPr>
              <w:t>Supplier Lite</w:t>
            </w:r>
          </w:p>
        </w:tc>
        <w:tc>
          <w:tcPr>
            <w:tcW w:w="694" w:type="dxa"/>
            <w:shd w:val="clear" w:color="auto" w:fill="EDFFB7"/>
            <w:noWrap/>
            <w:vAlign w:val="center"/>
            <w:hideMark/>
          </w:tcPr>
          <w:p w14:paraId="327DDE07" w14:textId="77777777" w:rsidR="0021298F" w:rsidRDefault="0021298F" w:rsidP="00760009">
            <w:pPr>
              <w:jc w:val="right"/>
              <w:rPr>
                <w:rFonts w:ascii="Arial" w:eastAsia="Times New Roman" w:hAnsi="Arial" w:cs="Arial"/>
                <w:color w:val="000000"/>
                <w:sz w:val="15"/>
                <w:szCs w:val="15"/>
                <w:lang w:eastAsia="zh-CN"/>
              </w:rPr>
            </w:pPr>
            <w:r>
              <w:rPr>
                <w:rFonts w:ascii="Arial" w:eastAsia="Times New Roman" w:hAnsi="Arial" w:cs="Arial"/>
                <w:color w:val="000000"/>
                <w:sz w:val="15"/>
                <w:szCs w:val="15"/>
                <w:lang w:eastAsia="zh-CN"/>
              </w:rPr>
              <w:t>64.0</w:t>
            </w:r>
          </w:p>
        </w:tc>
        <w:tc>
          <w:tcPr>
            <w:tcW w:w="1250" w:type="dxa"/>
            <w:shd w:val="clear" w:color="auto" w:fill="EDFFB7"/>
            <w:noWrap/>
            <w:vAlign w:val="center"/>
            <w:hideMark/>
          </w:tcPr>
          <w:p w14:paraId="21BB7C46" w14:textId="77777777" w:rsidR="0021298F" w:rsidRDefault="0021298F" w:rsidP="00760009">
            <w:pPr>
              <w:jc w:val="right"/>
              <w:rPr>
                <w:rFonts w:ascii="Arial" w:eastAsia="Times New Roman" w:hAnsi="Arial" w:cs="Arial"/>
                <w:color w:val="000000"/>
                <w:sz w:val="15"/>
                <w:szCs w:val="15"/>
                <w:lang w:eastAsia="zh-CN"/>
              </w:rPr>
            </w:pPr>
            <w:r>
              <w:rPr>
                <w:rFonts w:ascii="Arial" w:eastAsia="Times New Roman" w:hAnsi="Arial" w:cs="Arial"/>
                <w:color w:val="000000"/>
                <w:sz w:val="15"/>
                <w:szCs w:val="15"/>
                <w:lang w:eastAsia="zh-CN"/>
              </w:rPr>
              <w:t>25%</w:t>
            </w:r>
          </w:p>
        </w:tc>
        <w:tc>
          <w:tcPr>
            <w:tcW w:w="617" w:type="dxa"/>
            <w:shd w:val="clear" w:color="auto" w:fill="EDFFB7"/>
            <w:noWrap/>
            <w:vAlign w:val="center"/>
            <w:hideMark/>
          </w:tcPr>
          <w:p w14:paraId="309B5914" w14:textId="77777777" w:rsidR="0021298F" w:rsidRDefault="0021298F" w:rsidP="00760009">
            <w:pPr>
              <w:jc w:val="right"/>
              <w:rPr>
                <w:rFonts w:ascii="Arial" w:eastAsia="Times New Roman" w:hAnsi="Arial" w:cs="Arial"/>
                <w:color w:val="000000"/>
                <w:sz w:val="15"/>
                <w:szCs w:val="15"/>
                <w:lang w:eastAsia="zh-CN"/>
              </w:rPr>
            </w:pPr>
            <w:r>
              <w:rPr>
                <w:rFonts w:ascii="Arial" w:eastAsia="Times New Roman" w:hAnsi="Arial" w:cs="Arial"/>
                <w:color w:val="000000"/>
                <w:sz w:val="15"/>
                <w:szCs w:val="15"/>
                <w:lang w:eastAsia="zh-CN"/>
              </w:rPr>
              <w:t>16.0</w:t>
            </w:r>
          </w:p>
        </w:tc>
      </w:tr>
      <w:tr w:rsidR="0021298F" w14:paraId="432177A4" w14:textId="77777777" w:rsidTr="00760009">
        <w:trPr>
          <w:trHeight w:val="338"/>
        </w:trPr>
        <w:tc>
          <w:tcPr>
            <w:tcW w:w="1560" w:type="dxa"/>
            <w:shd w:val="clear" w:color="auto" w:fill="FFFFFF"/>
            <w:noWrap/>
            <w:vAlign w:val="center"/>
            <w:hideMark/>
          </w:tcPr>
          <w:p w14:paraId="0C322DEC" w14:textId="77777777" w:rsidR="0021298F" w:rsidRDefault="0021298F" w:rsidP="00760009">
            <w:pPr>
              <w:rPr>
                <w:rFonts w:ascii="Arial" w:eastAsia="Times New Roman" w:hAnsi="Arial" w:cs="Arial"/>
                <w:color w:val="000000"/>
                <w:sz w:val="15"/>
                <w:szCs w:val="15"/>
                <w:lang w:eastAsia="zh-CN"/>
              </w:rPr>
            </w:pPr>
            <w:r>
              <w:rPr>
                <w:rFonts w:ascii="Arial" w:eastAsia="Times New Roman" w:hAnsi="Arial" w:cs="Arial"/>
                <w:color w:val="000000"/>
                <w:sz w:val="15"/>
                <w:szCs w:val="15"/>
                <w:lang w:eastAsia="zh-CN"/>
              </w:rPr>
              <w:t>Sommette</w:t>
            </w:r>
          </w:p>
        </w:tc>
        <w:tc>
          <w:tcPr>
            <w:tcW w:w="983" w:type="dxa"/>
            <w:shd w:val="clear" w:color="auto" w:fill="EDFFB7"/>
            <w:vAlign w:val="center"/>
            <w:hideMark/>
          </w:tcPr>
          <w:p w14:paraId="7C18785E" w14:textId="77777777" w:rsidR="0021298F" w:rsidRDefault="0021298F" w:rsidP="00760009">
            <w:pPr>
              <w:rPr>
                <w:rFonts w:ascii="Arial" w:eastAsia="Times New Roman" w:hAnsi="Arial" w:cs="Arial"/>
                <w:color w:val="000000"/>
                <w:sz w:val="15"/>
                <w:szCs w:val="15"/>
                <w:lang w:eastAsia="zh-CN"/>
              </w:rPr>
            </w:pPr>
            <w:r>
              <w:rPr>
                <w:rFonts w:ascii="Arial" w:eastAsia="Times New Roman" w:hAnsi="Arial" w:cs="Arial"/>
                <w:color w:val="000000"/>
                <w:sz w:val="15"/>
                <w:szCs w:val="15"/>
                <w:lang w:eastAsia="zh-CN"/>
              </w:rPr>
              <w:t>France</w:t>
            </w:r>
          </w:p>
        </w:tc>
        <w:tc>
          <w:tcPr>
            <w:tcW w:w="1444" w:type="dxa"/>
            <w:shd w:val="clear" w:color="auto" w:fill="EDFFB7"/>
            <w:noWrap/>
            <w:vAlign w:val="center"/>
            <w:hideMark/>
          </w:tcPr>
          <w:p w14:paraId="51CEB2D8" w14:textId="77777777" w:rsidR="0021298F" w:rsidRDefault="0021298F" w:rsidP="00760009">
            <w:pPr>
              <w:rPr>
                <w:rFonts w:ascii="Arial" w:eastAsia="Times New Roman" w:hAnsi="Arial" w:cs="Arial"/>
                <w:color w:val="000000"/>
                <w:sz w:val="15"/>
                <w:szCs w:val="15"/>
                <w:lang w:eastAsia="zh-CN"/>
              </w:rPr>
            </w:pPr>
            <w:r>
              <w:rPr>
                <w:rFonts w:ascii="Arial" w:eastAsia="Times New Roman" w:hAnsi="Arial" w:cs="Arial"/>
                <w:color w:val="000000"/>
                <w:sz w:val="15"/>
                <w:szCs w:val="15"/>
                <w:lang w:eastAsia="zh-CN"/>
              </w:rPr>
              <w:t>Nordex</w:t>
            </w:r>
          </w:p>
        </w:tc>
        <w:tc>
          <w:tcPr>
            <w:tcW w:w="1318" w:type="dxa"/>
            <w:shd w:val="clear" w:color="auto" w:fill="EDFFB7"/>
            <w:noWrap/>
            <w:vAlign w:val="center"/>
            <w:hideMark/>
          </w:tcPr>
          <w:p w14:paraId="01AFFCB0" w14:textId="77777777" w:rsidR="0021298F" w:rsidRDefault="0021298F" w:rsidP="00760009">
            <w:pPr>
              <w:rPr>
                <w:rFonts w:ascii="Arial" w:eastAsia="Times New Roman" w:hAnsi="Arial" w:cs="Arial"/>
                <w:color w:val="000000"/>
                <w:sz w:val="15"/>
                <w:szCs w:val="15"/>
                <w:lang w:eastAsia="zh-CN"/>
              </w:rPr>
            </w:pPr>
            <w:r>
              <w:rPr>
                <w:rFonts w:ascii="Arial" w:eastAsia="Times New Roman" w:hAnsi="Arial" w:cs="Arial"/>
                <w:color w:val="000000"/>
                <w:sz w:val="15"/>
                <w:szCs w:val="15"/>
                <w:lang w:eastAsia="zh-CN"/>
              </w:rPr>
              <w:t>Greensolver</w:t>
            </w:r>
          </w:p>
        </w:tc>
        <w:tc>
          <w:tcPr>
            <w:tcW w:w="1358" w:type="dxa"/>
            <w:shd w:val="clear" w:color="auto" w:fill="EDFFB7"/>
            <w:noWrap/>
            <w:vAlign w:val="center"/>
            <w:hideMark/>
          </w:tcPr>
          <w:p w14:paraId="577D94D9" w14:textId="77777777" w:rsidR="0021298F" w:rsidRDefault="0021298F" w:rsidP="00760009">
            <w:pPr>
              <w:rPr>
                <w:rFonts w:ascii="Arial" w:eastAsia="Times New Roman" w:hAnsi="Arial" w:cs="Arial"/>
                <w:color w:val="000000"/>
                <w:sz w:val="15"/>
                <w:szCs w:val="15"/>
                <w:lang w:eastAsia="zh-CN"/>
              </w:rPr>
            </w:pPr>
            <w:r>
              <w:rPr>
                <w:rFonts w:ascii="Arial" w:eastAsia="Times New Roman" w:hAnsi="Arial" w:cs="Arial"/>
                <w:color w:val="000000"/>
                <w:sz w:val="15"/>
                <w:szCs w:val="15"/>
                <w:lang w:eastAsia="zh-CN"/>
              </w:rPr>
              <w:t>Sorégies</w:t>
            </w:r>
          </w:p>
        </w:tc>
        <w:tc>
          <w:tcPr>
            <w:tcW w:w="694" w:type="dxa"/>
            <w:shd w:val="clear" w:color="auto" w:fill="EDFFB7"/>
            <w:noWrap/>
            <w:vAlign w:val="center"/>
            <w:hideMark/>
          </w:tcPr>
          <w:p w14:paraId="07C4296C" w14:textId="77777777" w:rsidR="0021298F" w:rsidRDefault="0021298F" w:rsidP="00760009">
            <w:pPr>
              <w:jc w:val="right"/>
              <w:rPr>
                <w:rFonts w:ascii="Arial" w:eastAsia="Times New Roman" w:hAnsi="Arial" w:cs="Arial"/>
                <w:color w:val="000000"/>
                <w:sz w:val="15"/>
                <w:szCs w:val="15"/>
                <w:lang w:eastAsia="zh-CN"/>
              </w:rPr>
            </w:pPr>
            <w:r>
              <w:rPr>
                <w:rFonts w:ascii="Arial" w:eastAsia="Times New Roman" w:hAnsi="Arial" w:cs="Arial"/>
                <w:color w:val="000000"/>
                <w:sz w:val="15"/>
                <w:szCs w:val="15"/>
                <w:lang w:eastAsia="zh-CN"/>
              </w:rPr>
              <w:t>21.6</w:t>
            </w:r>
          </w:p>
        </w:tc>
        <w:tc>
          <w:tcPr>
            <w:tcW w:w="1250" w:type="dxa"/>
            <w:shd w:val="clear" w:color="auto" w:fill="EDFFB7"/>
            <w:noWrap/>
            <w:vAlign w:val="center"/>
            <w:hideMark/>
          </w:tcPr>
          <w:p w14:paraId="0B75BD86" w14:textId="77777777" w:rsidR="0021298F" w:rsidRDefault="0021298F" w:rsidP="00760009">
            <w:pPr>
              <w:jc w:val="right"/>
              <w:rPr>
                <w:rFonts w:ascii="Arial" w:eastAsia="Times New Roman" w:hAnsi="Arial" w:cs="Arial"/>
                <w:color w:val="000000"/>
                <w:sz w:val="15"/>
                <w:szCs w:val="15"/>
                <w:lang w:eastAsia="zh-CN"/>
              </w:rPr>
            </w:pPr>
            <w:r>
              <w:rPr>
                <w:rFonts w:ascii="Arial" w:eastAsia="Times New Roman" w:hAnsi="Arial" w:cs="Arial"/>
                <w:color w:val="000000"/>
                <w:sz w:val="15"/>
                <w:szCs w:val="15"/>
                <w:lang w:eastAsia="zh-CN"/>
              </w:rPr>
              <w:t>100%</w:t>
            </w:r>
          </w:p>
        </w:tc>
        <w:tc>
          <w:tcPr>
            <w:tcW w:w="617" w:type="dxa"/>
            <w:shd w:val="clear" w:color="auto" w:fill="EDFFB7"/>
            <w:noWrap/>
            <w:vAlign w:val="center"/>
            <w:hideMark/>
          </w:tcPr>
          <w:p w14:paraId="3EF47461" w14:textId="77777777" w:rsidR="0021298F" w:rsidRDefault="0021298F" w:rsidP="00760009">
            <w:pPr>
              <w:jc w:val="right"/>
              <w:rPr>
                <w:rFonts w:ascii="Arial" w:eastAsia="Times New Roman" w:hAnsi="Arial" w:cs="Arial"/>
                <w:color w:val="000000"/>
                <w:sz w:val="15"/>
                <w:szCs w:val="15"/>
                <w:lang w:eastAsia="zh-CN"/>
              </w:rPr>
            </w:pPr>
            <w:r>
              <w:rPr>
                <w:rFonts w:ascii="Arial" w:eastAsia="Times New Roman" w:hAnsi="Arial" w:cs="Arial"/>
                <w:color w:val="000000"/>
                <w:sz w:val="15"/>
                <w:szCs w:val="15"/>
                <w:lang w:eastAsia="zh-CN"/>
              </w:rPr>
              <w:t>21.6</w:t>
            </w:r>
          </w:p>
        </w:tc>
      </w:tr>
      <w:tr w:rsidR="0021298F" w14:paraId="1C050E67" w14:textId="77777777" w:rsidTr="00760009">
        <w:trPr>
          <w:trHeight w:val="338"/>
        </w:trPr>
        <w:tc>
          <w:tcPr>
            <w:tcW w:w="1560" w:type="dxa"/>
            <w:shd w:val="clear" w:color="auto" w:fill="FFFFFF"/>
            <w:noWrap/>
            <w:vAlign w:val="center"/>
            <w:hideMark/>
          </w:tcPr>
          <w:p w14:paraId="75F7B693" w14:textId="77777777" w:rsidR="0021298F" w:rsidRDefault="0021298F" w:rsidP="00760009">
            <w:pPr>
              <w:rPr>
                <w:rFonts w:ascii="Arial" w:eastAsia="Times New Roman" w:hAnsi="Arial" w:cs="Arial"/>
                <w:color w:val="000000"/>
                <w:sz w:val="15"/>
                <w:szCs w:val="15"/>
                <w:lang w:eastAsia="zh-CN"/>
              </w:rPr>
            </w:pPr>
            <w:r>
              <w:rPr>
                <w:rFonts w:ascii="Arial" w:eastAsia="Times New Roman" w:hAnsi="Arial" w:cs="Arial"/>
                <w:color w:val="000000"/>
                <w:sz w:val="15"/>
                <w:szCs w:val="15"/>
                <w:lang w:eastAsia="zh-CN"/>
              </w:rPr>
              <w:t>Tullynamoyle II</w:t>
            </w:r>
          </w:p>
        </w:tc>
        <w:tc>
          <w:tcPr>
            <w:tcW w:w="983" w:type="dxa"/>
            <w:shd w:val="clear" w:color="auto" w:fill="EDFFB7"/>
            <w:vAlign w:val="center"/>
            <w:hideMark/>
          </w:tcPr>
          <w:p w14:paraId="3B242A1A" w14:textId="77777777" w:rsidR="0021298F" w:rsidRDefault="0021298F" w:rsidP="00760009">
            <w:pPr>
              <w:rPr>
                <w:rFonts w:ascii="Arial" w:eastAsia="Times New Roman" w:hAnsi="Arial" w:cs="Arial"/>
                <w:color w:val="000000"/>
                <w:sz w:val="15"/>
                <w:szCs w:val="15"/>
                <w:lang w:eastAsia="zh-CN"/>
              </w:rPr>
            </w:pPr>
            <w:r>
              <w:rPr>
                <w:rFonts w:ascii="Arial" w:eastAsia="Times New Roman" w:hAnsi="Arial" w:cs="Arial"/>
                <w:color w:val="000000"/>
                <w:sz w:val="15"/>
                <w:szCs w:val="15"/>
                <w:lang w:eastAsia="zh-CN"/>
              </w:rPr>
              <w:t>Republic of Ireland</w:t>
            </w:r>
          </w:p>
        </w:tc>
        <w:tc>
          <w:tcPr>
            <w:tcW w:w="1444" w:type="dxa"/>
            <w:shd w:val="clear" w:color="auto" w:fill="EDFFB7"/>
            <w:noWrap/>
            <w:vAlign w:val="center"/>
            <w:hideMark/>
          </w:tcPr>
          <w:p w14:paraId="756FF54B" w14:textId="77777777" w:rsidR="0021298F" w:rsidRDefault="0021298F" w:rsidP="00760009">
            <w:pPr>
              <w:rPr>
                <w:rFonts w:ascii="Arial" w:eastAsia="Times New Roman" w:hAnsi="Arial" w:cs="Arial"/>
                <w:color w:val="000000"/>
                <w:sz w:val="15"/>
                <w:szCs w:val="15"/>
                <w:lang w:eastAsia="zh-CN"/>
              </w:rPr>
            </w:pPr>
            <w:r>
              <w:rPr>
                <w:rFonts w:ascii="Arial" w:eastAsia="Times New Roman" w:hAnsi="Arial" w:cs="Arial"/>
                <w:color w:val="000000"/>
                <w:sz w:val="15"/>
                <w:szCs w:val="15"/>
                <w:lang w:eastAsia="zh-CN"/>
              </w:rPr>
              <w:t>Enercon</w:t>
            </w:r>
          </w:p>
        </w:tc>
        <w:tc>
          <w:tcPr>
            <w:tcW w:w="1318" w:type="dxa"/>
            <w:shd w:val="clear" w:color="auto" w:fill="EDFFB7"/>
            <w:noWrap/>
            <w:vAlign w:val="center"/>
            <w:hideMark/>
          </w:tcPr>
          <w:p w14:paraId="632233E2" w14:textId="77777777" w:rsidR="0021298F" w:rsidRDefault="0021298F" w:rsidP="00760009">
            <w:pPr>
              <w:rPr>
                <w:rFonts w:ascii="Arial" w:eastAsia="Times New Roman" w:hAnsi="Arial" w:cs="Arial"/>
                <w:sz w:val="15"/>
                <w:szCs w:val="15"/>
                <w:lang w:eastAsia="zh-CN"/>
              </w:rPr>
            </w:pPr>
            <w:r>
              <w:rPr>
                <w:rFonts w:ascii="Arial" w:eastAsia="Times New Roman" w:hAnsi="Arial" w:cs="Arial"/>
                <w:sz w:val="15"/>
                <w:szCs w:val="15"/>
                <w:lang w:eastAsia="zh-CN"/>
              </w:rPr>
              <w:t>Statkraft</w:t>
            </w:r>
          </w:p>
        </w:tc>
        <w:tc>
          <w:tcPr>
            <w:tcW w:w="1358" w:type="dxa"/>
            <w:shd w:val="clear" w:color="auto" w:fill="EDFFB7"/>
            <w:noWrap/>
            <w:vAlign w:val="center"/>
            <w:hideMark/>
          </w:tcPr>
          <w:p w14:paraId="322D45D6" w14:textId="77777777" w:rsidR="0021298F" w:rsidRDefault="0021298F" w:rsidP="00760009">
            <w:pPr>
              <w:rPr>
                <w:rFonts w:ascii="Arial" w:eastAsia="Times New Roman" w:hAnsi="Arial" w:cs="Arial"/>
                <w:color w:val="000000"/>
                <w:sz w:val="15"/>
                <w:szCs w:val="15"/>
                <w:lang w:eastAsia="zh-CN"/>
              </w:rPr>
            </w:pPr>
            <w:r>
              <w:rPr>
                <w:rFonts w:ascii="Arial" w:eastAsia="Times New Roman" w:hAnsi="Arial" w:cs="Arial"/>
                <w:color w:val="000000"/>
                <w:sz w:val="15"/>
                <w:szCs w:val="15"/>
                <w:lang w:eastAsia="zh-CN"/>
              </w:rPr>
              <w:t>Bord Gáis</w:t>
            </w:r>
          </w:p>
        </w:tc>
        <w:tc>
          <w:tcPr>
            <w:tcW w:w="694" w:type="dxa"/>
            <w:shd w:val="clear" w:color="auto" w:fill="EDFFB7"/>
            <w:noWrap/>
            <w:vAlign w:val="center"/>
            <w:hideMark/>
          </w:tcPr>
          <w:p w14:paraId="0DDCE954" w14:textId="77777777" w:rsidR="0021298F" w:rsidRDefault="0021298F" w:rsidP="00760009">
            <w:pPr>
              <w:jc w:val="right"/>
              <w:rPr>
                <w:rFonts w:ascii="Arial" w:eastAsia="Times New Roman" w:hAnsi="Arial" w:cs="Arial"/>
                <w:color w:val="000000"/>
                <w:sz w:val="15"/>
                <w:szCs w:val="15"/>
                <w:lang w:eastAsia="zh-CN"/>
              </w:rPr>
            </w:pPr>
            <w:r>
              <w:rPr>
                <w:rFonts w:ascii="Arial" w:eastAsia="Times New Roman" w:hAnsi="Arial" w:cs="Arial"/>
                <w:color w:val="000000"/>
                <w:sz w:val="15"/>
                <w:szCs w:val="15"/>
                <w:lang w:eastAsia="zh-CN"/>
              </w:rPr>
              <w:t>11.5</w:t>
            </w:r>
          </w:p>
        </w:tc>
        <w:tc>
          <w:tcPr>
            <w:tcW w:w="1250" w:type="dxa"/>
            <w:shd w:val="clear" w:color="auto" w:fill="EDFFB7"/>
            <w:noWrap/>
            <w:vAlign w:val="center"/>
            <w:hideMark/>
          </w:tcPr>
          <w:p w14:paraId="6EEFF309" w14:textId="77777777" w:rsidR="0021298F" w:rsidRDefault="0021298F" w:rsidP="00760009">
            <w:pPr>
              <w:jc w:val="right"/>
              <w:rPr>
                <w:rFonts w:ascii="Arial" w:eastAsia="Times New Roman" w:hAnsi="Arial" w:cs="Arial"/>
                <w:color w:val="000000"/>
                <w:sz w:val="15"/>
                <w:szCs w:val="15"/>
                <w:lang w:eastAsia="zh-CN"/>
              </w:rPr>
            </w:pPr>
            <w:r>
              <w:rPr>
                <w:rFonts w:ascii="Arial" w:eastAsia="Times New Roman" w:hAnsi="Arial" w:cs="Arial"/>
                <w:color w:val="000000"/>
                <w:sz w:val="15"/>
                <w:szCs w:val="15"/>
                <w:lang w:eastAsia="zh-CN"/>
              </w:rPr>
              <w:t>100%</w:t>
            </w:r>
          </w:p>
        </w:tc>
        <w:tc>
          <w:tcPr>
            <w:tcW w:w="617" w:type="dxa"/>
            <w:tcBorders>
              <w:top w:val="nil"/>
              <w:left w:val="nil"/>
              <w:bottom w:val="single" w:sz="4" w:space="0" w:color="auto"/>
              <w:right w:val="nil"/>
            </w:tcBorders>
            <w:shd w:val="clear" w:color="auto" w:fill="EDFFB7"/>
            <w:noWrap/>
            <w:vAlign w:val="center"/>
            <w:hideMark/>
          </w:tcPr>
          <w:p w14:paraId="064B90F7" w14:textId="77777777" w:rsidR="0021298F" w:rsidRDefault="0021298F" w:rsidP="00760009">
            <w:pPr>
              <w:jc w:val="right"/>
              <w:rPr>
                <w:rFonts w:ascii="Arial" w:eastAsia="Times New Roman" w:hAnsi="Arial" w:cs="Arial"/>
                <w:color w:val="000000"/>
                <w:sz w:val="15"/>
                <w:szCs w:val="15"/>
                <w:lang w:eastAsia="zh-CN"/>
              </w:rPr>
            </w:pPr>
            <w:r>
              <w:rPr>
                <w:rFonts w:ascii="Arial" w:eastAsia="Times New Roman" w:hAnsi="Arial" w:cs="Arial"/>
                <w:color w:val="000000"/>
                <w:sz w:val="15"/>
                <w:szCs w:val="15"/>
                <w:lang w:eastAsia="zh-CN"/>
              </w:rPr>
              <w:t>11.5</w:t>
            </w:r>
          </w:p>
        </w:tc>
      </w:tr>
      <w:tr w:rsidR="0021298F" w14:paraId="5AF462F3" w14:textId="77777777" w:rsidTr="00760009">
        <w:trPr>
          <w:trHeight w:val="418"/>
        </w:trPr>
        <w:tc>
          <w:tcPr>
            <w:tcW w:w="1560" w:type="dxa"/>
            <w:noWrap/>
            <w:vAlign w:val="center"/>
            <w:hideMark/>
          </w:tcPr>
          <w:p w14:paraId="09064184" w14:textId="77777777" w:rsidR="0021298F" w:rsidRDefault="0021298F" w:rsidP="00760009">
            <w:pPr>
              <w:rPr>
                <w:rFonts w:ascii="Arial" w:eastAsia="Times New Roman" w:hAnsi="Arial" w:cs="Arial"/>
                <w:b/>
                <w:bCs/>
                <w:color w:val="000000"/>
                <w:sz w:val="15"/>
                <w:szCs w:val="15"/>
                <w:lang w:eastAsia="zh-CN"/>
              </w:rPr>
            </w:pPr>
            <w:r>
              <w:rPr>
                <w:rFonts w:ascii="Arial" w:eastAsia="Times New Roman" w:hAnsi="Arial" w:cs="Arial"/>
                <w:b/>
                <w:bCs/>
                <w:color w:val="000000"/>
                <w:sz w:val="15"/>
                <w:szCs w:val="15"/>
                <w:lang w:eastAsia="zh-CN"/>
              </w:rPr>
              <w:t>Total Operating Portfolio</w:t>
            </w:r>
          </w:p>
        </w:tc>
        <w:tc>
          <w:tcPr>
            <w:tcW w:w="983" w:type="dxa"/>
            <w:shd w:val="clear" w:color="auto" w:fill="EDFFB7"/>
            <w:vAlign w:val="center"/>
          </w:tcPr>
          <w:p w14:paraId="500C0BFD" w14:textId="77777777" w:rsidR="0021298F" w:rsidRDefault="0021298F" w:rsidP="00760009">
            <w:pPr>
              <w:rPr>
                <w:rFonts w:ascii="Arial" w:eastAsia="Times New Roman" w:hAnsi="Arial" w:cs="Arial"/>
                <w:color w:val="000000"/>
                <w:sz w:val="16"/>
                <w:szCs w:val="16"/>
                <w:lang w:eastAsia="zh-CN"/>
              </w:rPr>
            </w:pPr>
          </w:p>
        </w:tc>
        <w:tc>
          <w:tcPr>
            <w:tcW w:w="1444" w:type="dxa"/>
            <w:shd w:val="clear" w:color="auto" w:fill="EDFFB7"/>
            <w:noWrap/>
            <w:vAlign w:val="center"/>
            <w:hideMark/>
          </w:tcPr>
          <w:p w14:paraId="7934DB19" w14:textId="77777777" w:rsidR="0021298F" w:rsidRDefault="0021298F" w:rsidP="00760009">
            <w:pPr>
              <w:rPr>
                <w:rFonts w:ascii="Arial" w:eastAsia="Times New Roman" w:hAnsi="Arial" w:cs="Arial"/>
                <w:color w:val="000000"/>
                <w:sz w:val="16"/>
                <w:szCs w:val="16"/>
                <w:lang w:eastAsia="zh-CN"/>
              </w:rPr>
            </w:pPr>
          </w:p>
        </w:tc>
        <w:tc>
          <w:tcPr>
            <w:tcW w:w="1318" w:type="dxa"/>
            <w:shd w:val="clear" w:color="auto" w:fill="EDFFB7"/>
            <w:noWrap/>
            <w:vAlign w:val="center"/>
            <w:hideMark/>
          </w:tcPr>
          <w:p w14:paraId="7BC64763" w14:textId="77777777" w:rsidR="0021298F" w:rsidRDefault="0021298F" w:rsidP="00760009">
            <w:pPr>
              <w:rPr>
                <w:sz w:val="20"/>
                <w:szCs w:val="20"/>
                <w:lang w:eastAsia="en-GB"/>
              </w:rPr>
            </w:pPr>
          </w:p>
        </w:tc>
        <w:tc>
          <w:tcPr>
            <w:tcW w:w="1358" w:type="dxa"/>
            <w:shd w:val="clear" w:color="auto" w:fill="EDFFB7"/>
            <w:noWrap/>
            <w:vAlign w:val="center"/>
            <w:hideMark/>
          </w:tcPr>
          <w:p w14:paraId="00ADA42B" w14:textId="77777777" w:rsidR="0021298F" w:rsidRDefault="0021298F" w:rsidP="00760009">
            <w:pPr>
              <w:rPr>
                <w:sz w:val="20"/>
                <w:szCs w:val="20"/>
                <w:lang w:eastAsia="en-GB"/>
              </w:rPr>
            </w:pPr>
          </w:p>
        </w:tc>
        <w:tc>
          <w:tcPr>
            <w:tcW w:w="694" w:type="dxa"/>
            <w:shd w:val="clear" w:color="auto" w:fill="EDFFB7"/>
            <w:noWrap/>
            <w:vAlign w:val="center"/>
            <w:hideMark/>
          </w:tcPr>
          <w:p w14:paraId="207FBB32" w14:textId="77777777" w:rsidR="0021298F" w:rsidRDefault="0021298F" w:rsidP="00760009">
            <w:pPr>
              <w:rPr>
                <w:sz w:val="20"/>
                <w:szCs w:val="20"/>
                <w:lang w:eastAsia="en-GB"/>
              </w:rPr>
            </w:pPr>
          </w:p>
        </w:tc>
        <w:tc>
          <w:tcPr>
            <w:tcW w:w="1250" w:type="dxa"/>
            <w:shd w:val="clear" w:color="auto" w:fill="EDFFB7"/>
            <w:noWrap/>
            <w:vAlign w:val="center"/>
            <w:hideMark/>
          </w:tcPr>
          <w:p w14:paraId="5F3D4222" w14:textId="77777777" w:rsidR="0021298F" w:rsidRDefault="0021298F" w:rsidP="00760009">
            <w:pPr>
              <w:rPr>
                <w:sz w:val="20"/>
                <w:szCs w:val="20"/>
                <w:lang w:eastAsia="en-GB"/>
              </w:rPr>
            </w:pPr>
          </w:p>
        </w:tc>
        <w:tc>
          <w:tcPr>
            <w:tcW w:w="617" w:type="dxa"/>
            <w:tcBorders>
              <w:top w:val="single" w:sz="4" w:space="0" w:color="auto"/>
              <w:left w:val="nil"/>
              <w:bottom w:val="nil"/>
              <w:right w:val="nil"/>
            </w:tcBorders>
            <w:shd w:val="clear" w:color="auto" w:fill="EDFFB7"/>
            <w:noWrap/>
            <w:vAlign w:val="center"/>
            <w:hideMark/>
          </w:tcPr>
          <w:p w14:paraId="4C1EF6F1" w14:textId="77777777" w:rsidR="0021298F" w:rsidRDefault="0021298F" w:rsidP="00760009">
            <w:pPr>
              <w:rPr>
                <w:rFonts w:ascii="Arial" w:eastAsia="Times New Roman" w:hAnsi="Arial" w:cs="Arial"/>
                <w:b/>
                <w:bCs/>
                <w:sz w:val="16"/>
                <w:szCs w:val="16"/>
                <w:lang w:eastAsia="zh-CN"/>
              </w:rPr>
            </w:pPr>
            <w:r>
              <w:rPr>
                <w:rFonts w:ascii="Arial" w:eastAsia="Times New Roman" w:hAnsi="Arial" w:cs="Arial"/>
                <w:b/>
                <w:bCs/>
                <w:sz w:val="16"/>
                <w:szCs w:val="16"/>
                <w:lang w:eastAsia="zh-CN"/>
              </w:rPr>
              <w:t>556.7</w:t>
            </w:r>
          </w:p>
        </w:tc>
      </w:tr>
      <w:tr w:rsidR="0021298F" w14:paraId="74FC78DC" w14:textId="77777777" w:rsidTr="00760009">
        <w:trPr>
          <w:trHeight w:val="224"/>
        </w:trPr>
        <w:tc>
          <w:tcPr>
            <w:tcW w:w="1560" w:type="dxa"/>
            <w:noWrap/>
            <w:vAlign w:val="center"/>
            <w:hideMark/>
          </w:tcPr>
          <w:p w14:paraId="6C84F797" w14:textId="77777777" w:rsidR="0021298F" w:rsidRDefault="0021298F" w:rsidP="00760009">
            <w:pPr>
              <w:rPr>
                <w:rFonts w:ascii="Arial" w:eastAsia="Times New Roman" w:hAnsi="Arial" w:cs="Arial"/>
                <w:color w:val="000000"/>
                <w:sz w:val="15"/>
                <w:szCs w:val="15"/>
                <w:lang w:eastAsia="zh-CN"/>
              </w:rPr>
            </w:pPr>
            <w:r>
              <w:rPr>
                <w:rFonts w:ascii="Arial" w:eastAsia="Times New Roman" w:hAnsi="Arial" w:cs="Arial"/>
                <w:color w:val="000000"/>
                <w:sz w:val="15"/>
                <w:szCs w:val="15"/>
                <w:lang w:eastAsia="zh-CN"/>
              </w:rPr>
              <w:t xml:space="preserve">Contracted to acquire </w:t>
            </w:r>
            <w:r>
              <w:rPr>
                <w:rFonts w:ascii="Arial" w:eastAsia="Times New Roman" w:hAnsi="Arial" w:cs="Arial"/>
                <w:color w:val="000000"/>
                <w:sz w:val="15"/>
                <w:szCs w:val="15"/>
                <w:vertAlign w:val="superscript"/>
                <w:lang w:eastAsia="zh-CN"/>
              </w:rPr>
              <w:t>(2)</w:t>
            </w:r>
          </w:p>
        </w:tc>
        <w:tc>
          <w:tcPr>
            <w:tcW w:w="983" w:type="dxa"/>
            <w:shd w:val="clear" w:color="auto" w:fill="EDFFB7"/>
            <w:vAlign w:val="center"/>
          </w:tcPr>
          <w:p w14:paraId="441B4A99" w14:textId="77777777" w:rsidR="0021298F" w:rsidRDefault="0021298F" w:rsidP="00760009">
            <w:pPr>
              <w:rPr>
                <w:rFonts w:ascii="Arial" w:eastAsia="Times New Roman" w:hAnsi="Arial" w:cs="Arial"/>
                <w:color w:val="000000"/>
                <w:sz w:val="16"/>
                <w:szCs w:val="16"/>
                <w:lang w:eastAsia="zh-CN"/>
              </w:rPr>
            </w:pPr>
          </w:p>
        </w:tc>
        <w:tc>
          <w:tcPr>
            <w:tcW w:w="1444" w:type="dxa"/>
            <w:shd w:val="clear" w:color="auto" w:fill="EDFFB7"/>
            <w:noWrap/>
            <w:vAlign w:val="center"/>
          </w:tcPr>
          <w:p w14:paraId="6609BB67" w14:textId="77777777" w:rsidR="0021298F" w:rsidRDefault="0021298F" w:rsidP="00760009">
            <w:pPr>
              <w:rPr>
                <w:rFonts w:ascii="Arial" w:eastAsia="Times New Roman" w:hAnsi="Arial" w:cs="Arial"/>
                <w:color w:val="000000"/>
                <w:sz w:val="16"/>
                <w:szCs w:val="16"/>
                <w:lang w:eastAsia="zh-CN"/>
              </w:rPr>
            </w:pPr>
          </w:p>
        </w:tc>
        <w:tc>
          <w:tcPr>
            <w:tcW w:w="1318" w:type="dxa"/>
            <w:shd w:val="clear" w:color="auto" w:fill="EDFFB7"/>
            <w:noWrap/>
            <w:vAlign w:val="center"/>
          </w:tcPr>
          <w:p w14:paraId="1E6746DF" w14:textId="77777777" w:rsidR="0021298F" w:rsidRDefault="0021298F" w:rsidP="00760009">
            <w:pPr>
              <w:rPr>
                <w:rFonts w:ascii="Arial" w:eastAsia="Times New Roman" w:hAnsi="Arial" w:cs="Arial"/>
                <w:color w:val="000000"/>
                <w:sz w:val="16"/>
                <w:szCs w:val="16"/>
                <w:lang w:eastAsia="zh-CN"/>
              </w:rPr>
            </w:pPr>
          </w:p>
        </w:tc>
        <w:tc>
          <w:tcPr>
            <w:tcW w:w="1358" w:type="dxa"/>
            <w:shd w:val="clear" w:color="auto" w:fill="EDFFB7"/>
            <w:noWrap/>
            <w:vAlign w:val="center"/>
          </w:tcPr>
          <w:p w14:paraId="7B16946D" w14:textId="77777777" w:rsidR="0021298F" w:rsidRDefault="0021298F" w:rsidP="00760009">
            <w:pPr>
              <w:rPr>
                <w:rFonts w:ascii="Arial" w:eastAsia="Times New Roman" w:hAnsi="Arial" w:cs="Arial"/>
                <w:color w:val="000000"/>
                <w:sz w:val="16"/>
                <w:szCs w:val="16"/>
                <w:lang w:eastAsia="zh-CN"/>
              </w:rPr>
            </w:pPr>
          </w:p>
        </w:tc>
        <w:tc>
          <w:tcPr>
            <w:tcW w:w="694" w:type="dxa"/>
            <w:shd w:val="clear" w:color="auto" w:fill="EDFFB7"/>
            <w:noWrap/>
            <w:vAlign w:val="center"/>
          </w:tcPr>
          <w:p w14:paraId="2C491B60" w14:textId="77777777" w:rsidR="0021298F" w:rsidRDefault="0021298F" w:rsidP="00760009">
            <w:pPr>
              <w:rPr>
                <w:rFonts w:ascii="Arial" w:eastAsia="Times New Roman" w:hAnsi="Arial" w:cs="Arial"/>
                <w:color w:val="000000"/>
                <w:sz w:val="16"/>
                <w:szCs w:val="16"/>
                <w:lang w:eastAsia="zh-CN"/>
              </w:rPr>
            </w:pPr>
          </w:p>
        </w:tc>
        <w:tc>
          <w:tcPr>
            <w:tcW w:w="1250" w:type="dxa"/>
            <w:shd w:val="clear" w:color="auto" w:fill="EDFFB7"/>
            <w:noWrap/>
            <w:vAlign w:val="center"/>
          </w:tcPr>
          <w:p w14:paraId="0BABFC6F" w14:textId="77777777" w:rsidR="0021298F" w:rsidRDefault="0021298F" w:rsidP="00760009">
            <w:pPr>
              <w:rPr>
                <w:rFonts w:ascii="Arial" w:eastAsia="Times New Roman" w:hAnsi="Arial" w:cs="Arial"/>
                <w:color w:val="000000"/>
                <w:sz w:val="16"/>
                <w:szCs w:val="16"/>
                <w:lang w:eastAsia="zh-CN"/>
              </w:rPr>
            </w:pPr>
          </w:p>
        </w:tc>
        <w:tc>
          <w:tcPr>
            <w:tcW w:w="617" w:type="dxa"/>
            <w:tcBorders>
              <w:top w:val="nil"/>
              <w:left w:val="nil"/>
              <w:bottom w:val="single" w:sz="4" w:space="0" w:color="auto"/>
              <w:right w:val="nil"/>
            </w:tcBorders>
            <w:shd w:val="clear" w:color="auto" w:fill="EDFFB7"/>
            <w:noWrap/>
            <w:vAlign w:val="center"/>
            <w:hideMark/>
          </w:tcPr>
          <w:p w14:paraId="5FFFD788" w14:textId="77777777" w:rsidR="0021298F" w:rsidRDefault="0021298F" w:rsidP="00760009">
            <w:pPr>
              <w:rPr>
                <w:rFonts w:ascii="Arial" w:eastAsia="Times New Roman" w:hAnsi="Arial" w:cs="Arial"/>
                <w:sz w:val="16"/>
                <w:szCs w:val="16"/>
                <w:lang w:eastAsia="zh-CN"/>
              </w:rPr>
            </w:pPr>
            <w:r>
              <w:rPr>
                <w:rFonts w:ascii="Arial" w:eastAsia="Times New Roman" w:hAnsi="Arial" w:cs="Arial"/>
                <w:sz w:val="16"/>
                <w:szCs w:val="16"/>
                <w:lang w:eastAsia="zh-CN"/>
              </w:rPr>
              <w:t xml:space="preserve">  63.0</w:t>
            </w:r>
          </w:p>
        </w:tc>
      </w:tr>
      <w:tr w:rsidR="0021298F" w14:paraId="4229DD27" w14:textId="77777777" w:rsidTr="00760009">
        <w:trPr>
          <w:trHeight w:val="217"/>
        </w:trPr>
        <w:tc>
          <w:tcPr>
            <w:tcW w:w="1560" w:type="dxa"/>
            <w:noWrap/>
            <w:vAlign w:val="center"/>
          </w:tcPr>
          <w:p w14:paraId="14B584D0" w14:textId="77777777" w:rsidR="0021298F" w:rsidRDefault="0021298F" w:rsidP="00760009">
            <w:pPr>
              <w:rPr>
                <w:rFonts w:ascii="Arial" w:eastAsia="Times New Roman" w:hAnsi="Arial" w:cs="Arial"/>
                <w:color w:val="000000"/>
                <w:sz w:val="15"/>
                <w:szCs w:val="15"/>
                <w:lang w:eastAsia="zh-CN"/>
              </w:rPr>
            </w:pPr>
          </w:p>
        </w:tc>
        <w:tc>
          <w:tcPr>
            <w:tcW w:w="983" w:type="dxa"/>
            <w:shd w:val="clear" w:color="auto" w:fill="EDFFB7"/>
            <w:vAlign w:val="center"/>
          </w:tcPr>
          <w:p w14:paraId="12B4E0D4" w14:textId="77777777" w:rsidR="0021298F" w:rsidRDefault="0021298F" w:rsidP="00760009">
            <w:pPr>
              <w:rPr>
                <w:rFonts w:ascii="Arial" w:eastAsia="Times New Roman" w:hAnsi="Arial" w:cs="Arial"/>
                <w:color w:val="000000"/>
                <w:sz w:val="16"/>
                <w:szCs w:val="16"/>
                <w:lang w:eastAsia="zh-CN"/>
              </w:rPr>
            </w:pPr>
          </w:p>
        </w:tc>
        <w:tc>
          <w:tcPr>
            <w:tcW w:w="1444" w:type="dxa"/>
            <w:shd w:val="clear" w:color="auto" w:fill="EDFFB7"/>
            <w:noWrap/>
            <w:vAlign w:val="center"/>
          </w:tcPr>
          <w:p w14:paraId="4021E082" w14:textId="77777777" w:rsidR="0021298F" w:rsidRDefault="0021298F" w:rsidP="00760009">
            <w:pPr>
              <w:rPr>
                <w:rFonts w:ascii="Arial" w:eastAsia="Times New Roman" w:hAnsi="Arial" w:cs="Arial"/>
                <w:color w:val="000000"/>
                <w:sz w:val="16"/>
                <w:szCs w:val="16"/>
                <w:lang w:eastAsia="zh-CN"/>
              </w:rPr>
            </w:pPr>
          </w:p>
        </w:tc>
        <w:tc>
          <w:tcPr>
            <w:tcW w:w="1318" w:type="dxa"/>
            <w:shd w:val="clear" w:color="auto" w:fill="EDFFB7"/>
            <w:noWrap/>
            <w:vAlign w:val="center"/>
          </w:tcPr>
          <w:p w14:paraId="6EAEBD9B" w14:textId="77777777" w:rsidR="0021298F" w:rsidRDefault="0021298F" w:rsidP="00760009">
            <w:pPr>
              <w:rPr>
                <w:rFonts w:ascii="Arial" w:eastAsia="Times New Roman" w:hAnsi="Arial" w:cs="Arial"/>
                <w:color w:val="000000"/>
                <w:sz w:val="16"/>
                <w:szCs w:val="16"/>
                <w:lang w:eastAsia="zh-CN"/>
              </w:rPr>
            </w:pPr>
          </w:p>
        </w:tc>
        <w:tc>
          <w:tcPr>
            <w:tcW w:w="1358" w:type="dxa"/>
            <w:shd w:val="clear" w:color="auto" w:fill="EDFFB7"/>
            <w:noWrap/>
            <w:vAlign w:val="center"/>
          </w:tcPr>
          <w:p w14:paraId="40ACD01B" w14:textId="77777777" w:rsidR="0021298F" w:rsidRDefault="0021298F" w:rsidP="00760009">
            <w:pPr>
              <w:rPr>
                <w:rFonts w:ascii="Arial" w:eastAsia="Times New Roman" w:hAnsi="Arial" w:cs="Arial"/>
                <w:color w:val="000000"/>
                <w:sz w:val="16"/>
                <w:szCs w:val="16"/>
                <w:lang w:eastAsia="zh-CN"/>
              </w:rPr>
            </w:pPr>
          </w:p>
        </w:tc>
        <w:tc>
          <w:tcPr>
            <w:tcW w:w="694" w:type="dxa"/>
            <w:shd w:val="clear" w:color="auto" w:fill="EDFFB7"/>
            <w:noWrap/>
            <w:vAlign w:val="center"/>
          </w:tcPr>
          <w:p w14:paraId="40B86BC2" w14:textId="77777777" w:rsidR="0021298F" w:rsidRDefault="0021298F" w:rsidP="00760009">
            <w:pPr>
              <w:rPr>
                <w:rFonts w:ascii="Arial" w:eastAsia="Times New Roman" w:hAnsi="Arial" w:cs="Arial"/>
                <w:color w:val="000000"/>
                <w:sz w:val="16"/>
                <w:szCs w:val="16"/>
                <w:lang w:eastAsia="zh-CN"/>
              </w:rPr>
            </w:pPr>
          </w:p>
        </w:tc>
        <w:tc>
          <w:tcPr>
            <w:tcW w:w="1250" w:type="dxa"/>
            <w:shd w:val="clear" w:color="auto" w:fill="EDFFB7"/>
            <w:noWrap/>
            <w:vAlign w:val="center"/>
          </w:tcPr>
          <w:p w14:paraId="7E0AC40B" w14:textId="77777777" w:rsidR="0021298F" w:rsidRDefault="0021298F" w:rsidP="00760009">
            <w:pPr>
              <w:rPr>
                <w:rFonts w:ascii="Arial" w:eastAsia="Times New Roman" w:hAnsi="Arial" w:cs="Arial"/>
                <w:color w:val="000000"/>
                <w:sz w:val="16"/>
                <w:szCs w:val="16"/>
                <w:lang w:eastAsia="zh-CN"/>
              </w:rPr>
            </w:pPr>
          </w:p>
        </w:tc>
        <w:tc>
          <w:tcPr>
            <w:tcW w:w="617" w:type="dxa"/>
            <w:tcBorders>
              <w:top w:val="single" w:sz="4" w:space="0" w:color="auto"/>
              <w:left w:val="nil"/>
              <w:bottom w:val="nil"/>
              <w:right w:val="nil"/>
            </w:tcBorders>
            <w:shd w:val="clear" w:color="auto" w:fill="EDFFB7"/>
            <w:noWrap/>
            <w:vAlign w:val="center"/>
            <w:hideMark/>
          </w:tcPr>
          <w:p w14:paraId="7E0FE0A4" w14:textId="77777777" w:rsidR="0021298F" w:rsidRDefault="0021298F" w:rsidP="00760009">
            <w:pPr>
              <w:rPr>
                <w:rFonts w:ascii="Arial" w:eastAsia="Times New Roman" w:hAnsi="Arial" w:cs="Arial"/>
                <w:b/>
                <w:bCs/>
                <w:sz w:val="16"/>
                <w:szCs w:val="16"/>
                <w:lang w:eastAsia="zh-CN"/>
              </w:rPr>
            </w:pPr>
            <w:r>
              <w:rPr>
                <w:rFonts w:ascii="Arial" w:eastAsia="Times New Roman" w:hAnsi="Arial" w:cs="Arial"/>
                <w:b/>
                <w:bCs/>
                <w:sz w:val="16"/>
                <w:szCs w:val="16"/>
                <w:lang w:eastAsia="zh-CN"/>
              </w:rPr>
              <w:t>619.7</w:t>
            </w:r>
          </w:p>
        </w:tc>
      </w:tr>
    </w:tbl>
    <w:p w14:paraId="5B15F875" w14:textId="77777777" w:rsidR="0021298F" w:rsidRDefault="0021298F" w:rsidP="0021298F">
      <w:pPr>
        <w:jc w:val="both"/>
        <w:rPr>
          <w:rFonts w:ascii="Arial" w:eastAsia="Times New Roman" w:hAnsi="Arial" w:cs="Arial"/>
          <w:sz w:val="14"/>
          <w:szCs w:val="14"/>
        </w:rPr>
      </w:pPr>
      <w:r w:rsidRPr="00AE47CC">
        <w:rPr>
          <w:rFonts w:ascii="Arial" w:eastAsia="Times New Roman" w:hAnsi="Arial" w:cs="Arial"/>
          <w:sz w:val="14"/>
          <w:szCs w:val="14"/>
          <w:vertAlign w:val="superscript"/>
        </w:rPr>
        <w:t>[1]</w:t>
      </w:r>
      <w:r>
        <w:rPr>
          <w:rFonts w:ascii="Arial" w:eastAsia="Times New Roman" w:hAnsi="Arial" w:cs="Arial"/>
          <w:sz w:val="14"/>
          <w:szCs w:val="14"/>
        </w:rPr>
        <w:t xml:space="preserve"> Includes Beam Hill (14MW, Vestas turbines) wind farm and Beam Hill Extension wind farm (6.9MW, Enercon turbines)</w:t>
      </w:r>
    </w:p>
    <w:p w14:paraId="74E991CB" w14:textId="77777777" w:rsidR="0021298F" w:rsidRDefault="0021298F" w:rsidP="0021298F">
      <w:pPr>
        <w:jc w:val="both"/>
        <w:rPr>
          <w:rFonts w:ascii="Arial" w:eastAsia="Times New Roman" w:hAnsi="Arial" w:cs="Arial"/>
          <w:sz w:val="14"/>
          <w:szCs w:val="14"/>
        </w:rPr>
      </w:pPr>
      <w:r w:rsidRPr="00AE47CC">
        <w:rPr>
          <w:rFonts w:ascii="Arial" w:eastAsia="Times New Roman" w:hAnsi="Arial" w:cs="Arial"/>
          <w:sz w:val="14"/>
          <w:szCs w:val="14"/>
          <w:vertAlign w:val="superscript"/>
        </w:rPr>
        <w:t>[2]</w:t>
      </w:r>
      <w:r>
        <w:rPr>
          <w:rFonts w:ascii="Arial" w:eastAsia="Times New Roman" w:hAnsi="Arial" w:cs="Arial"/>
          <w:sz w:val="14"/>
          <w:szCs w:val="14"/>
        </w:rPr>
        <w:t xml:space="preserve"> Includes the commitment to acquire the 37.8MW Cloghan and the 25.2MW Taghart wind farms once operational, expected in H2 2022</w:t>
      </w:r>
    </w:p>
    <w:p w14:paraId="3F8B0B29" w14:textId="77777777" w:rsidR="0021298F" w:rsidRDefault="0021298F" w:rsidP="0021298F">
      <w:pPr>
        <w:jc w:val="both"/>
        <w:rPr>
          <w:rFonts w:ascii="Arial" w:eastAsia="Times New Roman" w:hAnsi="Arial" w:cs="Arial"/>
          <w:b/>
          <w:szCs w:val="26"/>
        </w:rPr>
      </w:pPr>
    </w:p>
    <w:p w14:paraId="54380BD2" w14:textId="77777777" w:rsidR="0021298F" w:rsidRDefault="0021298F" w:rsidP="0021298F">
      <w:pPr>
        <w:pStyle w:val="Heading4"/>
        <w:spacing w:before="0"/>
        <w:rPr>
          <w:rFonts w:ascii="Arial" w:eastAsia="Times New Roman" w:hAnsi="Arial" w:cs="Arial"/>
        </w:rPr>
      </w:pPr>
      <w:r>
        <w:rPr>
          <w:rFonts w:ascii="Arial" w:hAnsi="Arial" w:cs="Arial"/>
          <w:color w:val="auto"/>
        </w:rPr>
        <w:t>Portfolio Performance</w:t>
      </w:r>
    </w:p>
    <w:p w14:paraId="052A4EA9" w14:textId="77777777" w:rsidR="0021298F" w:rsidRDefault="0021298F" w:rsidP="0021298F">
      <w:pPr>
        <w:jc w:val="both"/>
        <w:rPr>
          <w:rFonts w:ascii="Arial" w:eastAsia="Times New Roman" w:hAnsi="Arial" w:cs="Arial"/>
        </w:rPr>
      </w:pPr>
      <w:r>
        <w:rPr>
          <w:rFonts w:ascii="Arial" w:hAnsi="Arial" w:cs="Arial"/>
        </w:rPr>
        <w:t xml:space="preserve">Portfolio generation for the year was 1,404GWh, 3 per cent below budget. </w:t>
      </w:r>
      <w:r>
        <w:rPr>
          <w:rFonts w:ascii="Arial" w:eastAsia="Times New Roman" w:hAnsi="Arial" w:cs="Arial"/>
        </w:rPr>
        <w:t xml:space="preserve">Wind resource was above budget and availability was in line with expectations, however significant levels of curtailment across the Irish portfolio were experienced throughout </w:t>
      </w:r>
      <w:r>
        <w:rPr>
          <w:rFonts w:ascii="Arial" w:eastAsia="Times New Roman" w:hAnsi="Arial" w:cs="Arial"/>
        </w:rPr>
        <w:lastRenderedPageBreak/>
        <w:t xml:space="preserve">the year. Removing the impact of curtailment and constraint, portfolio generation would have exceeded budget by c.7 per cent. </w:t>
      </w:r>
    </w:p>
    <w:p w14:paraId="431854EE" w14:textId="77777777" w:rsidR="0021298F" w:rsidRDefault="0021298F" w:rsidP="0021298F">
      <w:pPr>
        <w:jc w:val="both"/>
        <w:rPr>
          <w:rFonts w:ascii="Arial" w:eastAsia="Times New Roman" w:hAnsi="Arial" w:cs="Arial"/>
        </w:rPr>
      </w:pPr>
      <w:r>
        <w:rPr>
          <w:rFonts w:ascii="Arial" w:eastAsia="Times New Roman" w:hAnsi="Arial" w:cs="Arial"/>
        </w:rPr>
        <w:t>The portfolio benefits from stable cashflows contracted via both the Irish REFIT and French FIT schemes. 99% of the portfolio’s cashflows are contracted until 2028. We believe 2020 demonstrated the distinctive nature of the portfolio’s contracted cashflows and are pleased to continue to deliver stable returns in such unique circumstances.</w:t>
      </w:r>
    </w:p>
    <w:p w14:paraId="177EF665" w14:textId="77777777" w:rsidR="0021298F" w:rsidRDefault="0021298F" w:rsidP="0021298F">
      <w:pPr>
        <w:jc w:val="both"/>
        <w:rPr>
          <w:rFonts w:ascii="Arial" w:hAnsi="Arial" w:cs="Arial"/>
        </w:rPr>
      </w:pPr>
      <w:r>
        <w:rPr>
          <w:rFonts w:ascii="Arial" w:hAnsi="Arial" w:cs="Arial"/>
        </w:rPr>
        <w:t>The following table shows a breakdown of 2020 generation by wind farm:</w:t>
      </w:r>
    </w:p>
    <w:tbl>
      <w:tblPr>
        <w:tblW w:w="4947" w:type="pct"/>
        <w:tblLook w:val="04A0" w:firstRow="1" w:lastRow="0" w:firstColumn="1" w:lastColumn="0" w:noHBand="0" w:noVBand="1"/>
      </w:tblPr>
      <w:tblGrid>
        <w:gridCol w:w="2978"/>
        <w:gridCol w:w="1264"/>
        <w:gridCol w:w="1150"/>
        <w:gridCol w:w="1841"/>
        <w:gridCol w:w="1697"/>
      </w:tblGrid>
      <w:tr w:rsidR="0021298F" w14:paraId="7833A341" w14:textId="77777777" w:rsidTr="00760009">
        <w:trPr>
          <w:trHeight w:val="598"/>
        </w:trPr>
        <w:tc>
          <w:tcPr>
            <w:tcW w:w="1667" w:type="pct"/>
            <w:tcBorders>
              <w:top w:val="nil"/>
              <w:left w:val="nil"/>
              <w:bottom w:val="single" w:sz="4" w:space="0" w:color="auto"/>
              <w:right w:val="nil"/>
            </w:tcBorders>
            <w:noWrap/>
            <w:vAlign w:val="bottom"/>
            <w:hideMark/>
          </w:tcPr>
          <w:p w14:paraId="7CBF428D" w14:textId="77777777" w:rsidR="0021298F" w:rsidRDefault="0021298F" w:rsidP="00760009">
            <w:pPr>
              <w:rPr>
                <w:rFonts w:ascii="Arial" w:eastAsia="Times New Roman" w:hAnsi="Arial" w:cs="Arial"/>
                <w:b/>
                <w:bCs/>
                <w:color w:val="000000"/>
                <w:sz w:val="20"/>
                <w:szCs w:val="20"/>
                <w:lang w:eastAsia="zh-CN"/>
              </w:rPr>
            </w:pPr>
            <w:r>
              <w:rPr>
                <w:rFonts w:ascii="Arial" w:eastAsia="Times New Roman" w:hAnsi="Arial" w:cs="Arial"/>
                <w:b/>
                <w:bCs/>
                <w:color w:val="000000"/>
                <w:sz w:val="20"/>
                <w:szCs w:val="20"/>
                <w:lang w:eastAsia="zh-CN"/>
              </w:rPr>
              <w:t>Wind Farm</w:t>
            </w:r>
          </w:p>
        </w:tc>
        <w:tc>
          <w:tcPr>
            <w:tcW w:w="708" w:type="pct"/>
            <w:tcBorders>
              <w:top w:val="nil"/>
              <w:left w:val="nil"/>
              <w:bottom w:val="single" w:sz="4" w:space="0" w:color="auto"/>
              <w:right w:val="nil"/>
            </w:tcBorders>
            <w:vAlign w:val="bottom"/>
            <w:hideMark/>
          </w:tcPr>
          <w:p w14:paraId="50690E76" w14:textId="77777777" w:rsidR="0021298F" w:rsidRDefault="0021298F" w:rsidP="00760009">
            <w:pPr>
              <w:jc w:val="right"/>
              <w:rPr>
                <w:rFonts w:ascii="Arial" w:eastAsia="Times New Roman" w:hAnsi="Arial" w:cs="Arial"/>
                <w:b/>
                <w:bCs/>
                <w:color w:val="000000"/>
                <w:sz w:val="20"/>
                <w:szCs w:val="20"/>
                <w:lang w:eastAsia="zh-CN"/>
              </w:rPr>
            </w:pPr>
            <w:r>
              <w:rPr>
                <w:rFonts w:ascii="Arial" w:eastAsia="Times New Roman" w:hAnsi="Arial" w:cs="Arial"/>
                <w:b/>
                <w:bCs/>
                <w:color w:val="000000"/>
                <w:sz w:val="20"/>
                <w:szCs w:val="20"/>
                <w:lang w:eastAsia="zh-CN"/>
              </w:rPr>
              <w:t>Ownership Stake</w:t>
            </w:r>
          </w:p>
        </w:tc>
        <w:tc>
          <w:tcPr>
            <w:tcW w:w="644" w:type="pct"/>
            <w:tcBorders>
              <w:top w:val="nil"/>
              <w:left w:val="nil"/>
              <w:bottom w:val="single" w:sz="4" w:space="0" w:color="auto"/>
              <w:right w:val="nil"/>
            </w:tcBorders>
            <w:vAlign w:val="bottom"/>
            <w:hideMark/>
          </w:tcPr>
          <w:p w14:paraId="695CACCA" w14:textId="77777777" w:rsidR="0021298F" w:rsidRDefault="0021298F" w:rsidP="00760009">
            <w:pPr>
              <w:jc w:val="center"/>
              <w:rPr>
                <w:rFonts w:ascii="Arial" w:eastAsia="Times New Roman" w:hAnsi="Arial" w:cs="Arial"/>
                <w:b/>
                <w:bCs/>
                <w:color w:val="000000"/>
                <w:sz w:val="20"/>
                <w:szCs w:val="20"/>
                <w:lang w:eastAsia="zh-CN"/>
              </w:rPr>
            </w:pPr>
            <w:r>
              <w:rPr>
                <w:rFonts w:ascii="Arial" w:eastAsia="Times New Roman" w:hAnsi="Arial" w:cs="Arial"/>
                <w:b/>
                <w:bCs/>
                <w:color w:val="000000"/>
                <w:sz w:val="20"/>
                <w:szCs w:val="20"/>
                <w:lang w:eastAsia="zh-CN"/>
              </w:rPr>
              <w:t>Period</w:t>
            </w:r>
          </w:p>
        </w:tc>
        <w:tc>
          <w:tcPr>
            <w:tcW w:w="1031" w:type="pct"/>
            <w:tcBorders>
              <w:top w:val="nil"/>
              <w:left w:val="nil"/>
              <w:bottom w:val="single" w:sz="4" w:space="0" w:color="auto"/>
              <w:right w:val="nil"/>
            </w:tcBorders>
            <w:vAlign w:val="bottom"/>
            <w:hideMark/>
          </w:tcPr>
          <w:p w14:paraId="235DBF1D" w14:textId="77777777" w:rsidR="0021298F" w:rsidRDefault="0021298F" w:rsidP="00760009">
            <w:pPr>
              <w:jc w:val="right"/>
              <w:rPr>
                <w:rFonts w:ascii="Arial" w:eastAsia="Times New Roman" w:hAnsi="Arial" w:cs="Arial"/>
                <w:b/>
                <w:bCs/>
                <w:color w:val="000000"/>
                <w:sz w:val="20"/>
                <w:szCs w:val="20"/>
                <w:lang w:eastAsia="zh-CN"/>
              </w:rPr>
            </w:pPr>
            <w:r>
              <w:rPr>
                <w:rFonts w:ascii="Arial" w:eastAsia="Times New Roman" w:hAnsi="Arial" w:cs="Arial"/>
                <w:b/>
                <w:bCs/>
                <w:color w:val="000000"/>
                <w:sz w:val="20"/>
                <w:szCs w:val="20"/>
                <w:lang w:eastAsia="zh-CN"/>
              </w:rPr>
              <w:t>2020 Budget (GWh)</w:t>
            </w:r>
          </w:p>
        </w:tc>
        <w:tc>
          <w:tcPr>
            <w:tcW w:w="950" w:type="pct"/>
            <w:tcBorders>
              <w:top w:val="nil"/>
              <w:left w:val="nil"/>
              <w:bottom w:val="single" w:sz="4" w:space="0" w:color="auto"/>
              <w:right w:val="nil"/>
            </w:tcBorders>
            <w:vAlign w:val="bottom"/>
            <w:hideMark/>
          </w:tcPr>
          <w:p w14:paraId="5E798D6E" w14:textId="77777777" w:rsidR="0021298F" w:rsidRDefault="0021298F" w:rsidP="00760009">
            <w:pPr>
              <w:jc w:val="right"/>
              <w:rPr>
                <w:rFonts w:ascii="Arial" w:eastAsia="Times New Roman" w:hAnsi="Arial" w:cs="Arial"/>
                <w:b/>
                <w:bCs/>
                <w:color w:val="000000"/>
                <w:sz w:val="20"/>
                <w:szCs w:val="20"/>
                <w:lang w:eastAsia="zh-CN"/>
              </w:rPr>
            </w:pPr>
            <w:r>
              <w:rPr>
                <w:rFonts w:ascii="Arial" w:eastAsia="Times New Roman" w:hAnsi="Arial" w:cs="Arial"/>
                <w:b/>
                <w:bCs/>
                <w:color w:val="000000"/>
                <w:sz w:val="20"/>
                <w:szCs w:val="20"/>
                <w:lang w:eastAsia="zh-CN"/>
              </w:rPr>
              <w:t>2020 Actual (GWh)</w:t>
            </w:r>
          </w:p>
        </w:tc>
      </w:tr>
      <w:tr w:rsidR="0021298F" w14:paraId="12B8060C" w14:textId="77777777" w:rsidTr="00760009">
        <w:trPr>
          <w:trHeight w:val="291"/>
        </w:trPr>
        <w:tc>
          <w:tcPr>
            <w:tcW w:w="1667" w:type="pct"/>
            <w:noWrap/>
            <w:vAlign w:val="bottom"/>
            <w:hideMark/>
          </w:tcPr>
          <w:p w14:paraId="700ADCD6" w14:textId="77777777" w:rsidR="0021298F" w:rsidRDefault="0021298F" w:rsidP="00760009">
            <w:pPr>
              <w:rPr>
                <w:rFonts w:ascii="Arial" w:eastAsia="Times New Roman" w:hAnsi="Arial" w:cs="Arial"/>
                <w:color w:val="000000"/>
                <w:sz w:val="20"/>
                <w:szCs w:val="20"/>
                <w:lang w:eastAsia="zh-CN"/>
              </w:rPr>
            </w:pPr>
            <w:r>
              <w:rPr>
                <w:rFonts w:ascii="Arial" w:eastAsia="Times New Roman" w:hAnsi="Arial" w:cs="Arial"/>
                <w:color w:val="000000"/>
                <w:sz w:val="20"/>
                <w:szCs w:val="20"/>
                <w:lang w:eastAsia="zh-CN"/>
              </w:rPr>
              <w:t>An Cnoc</w:t>
            </w:r>
          </w:p>
        </w:tc>
        <w:tc>
          <w:tcPr>
            <w:tcW w:w="708" w:type="pct"/>
            <w:shd w:val="clear" w:color="auto" w:fill="EDFFB7"/>
            <w:noWrap/>
            <w:vAlign w:val="center"/>
            <w:hideMark/>
          </w:tcPr>
          <w:p w14:paraId="6BC6F10E" w14:textId="77777777" w:rsidR="0021298F" w:rsidRDefault="0021298F" w:rsidP="00760009">
            <w:pPr>
              <w:jc w:val="right"/>
              <w:rPr>
                <w:rFonts w:ascii="Arial" w:eastAsia="Times New Roman" w:hAnsi="Arial" w:cs="Arial"/>
                <w:color w:val="000000"/>
                <w:sz w:val="20"/>
                <w:szCs w:val="20"/>
                <w:lang w:eastAsia="zh-CN"/>
              </w:rPr>
            </w:pPr>
            <w:r>
              <w:rPr>
                <w:rFonts w:ascii="Arial" w:eastAsia="Times New Roman" w:hAnsi="Arial" w:cs="Arial"/>
                <w:color w:val="000000"/>
                <w:sz w:val="20"/>
                <w:szCs w:val="20"/>
                <w:lang w:eastAsia="zh-CN"/>
              </w:rPr>
              <w:t>100%</w:t>
            </w:r>
          </w:p>
        </w:tc>
        <w:tc>
          <w:tcPr>
            <w:tcW w:w="644" w:type="pct"/>
            <w:shd w:val="clear" w:color="auto" w:fill="EDFFB7"/>
            <w:noWrap/>
            <w:vAlign w:val="center"/>
            <w:hideMark/>
          </w:tcPr>
          <w:p w14:paraId="4A1A94E8" w14:textId="77777777" w:rsidR="0021298F" w:rsidRDefault="0021298F" w:rsidP="00760009">
            <w:pPr>
              <w:jc w:val="center"/>
              <w:rPr>
                <w:rFonts w:ascii="Arial" w:eastAsia="Times New Roman" w:hAnsi="Arial" w:cs="Arial"/>
                <w:color w:val="000000"/>
                <w:sz w:val="20"/>
                <w:szCs w:val="20"/>
                <w:lang w:eastAsia="zh-CN"/>
              </w:rPr>
            </w:pPr>
            <w:r>
              <w:rPr>
                <w:rFonts w:ascii="Arial" w:eastAsia="Times New Roman" w:hAnsi="Arial" w:cs="Arial"/>
                <w:color w:val="000000"/>
                <w:sz w:val="20"/>
                <w:szCs w:val="20"/>
                <w:lang w:eastAsia="zh-CN"/>
              </w:rPr>
              <w:t>Nov – Dec</w:t>
            </w:r>
          </w:p>
        </w:tc>
        <w:tc>
          <w:tcPr>
            <w:tcW w:w="1031" w:type="pct"/>
            <w:shd w:val="clear" w:color="auto" w:fill="EDFFB7"/>
            <w:noWrap/>
            <w:vAlign w:val="center"/>
            <w:hideMark/>
          </w:tcPr>
          <w:p w14:paraId="78CF54A1" w14:textId="77777777" w:rsidR="0021298F" w:rsidRDefault="0021298F" w:rsidP="00760009">
            <w:pPr>
              <w:jc w:val="right"/>
              <w:rPr>
                <w:rFonts w:ascii="Arial" w:eastAsia="Times New Roman" w:hAnsi="Arial" w:cs="Arial"/>
                <w:color w:val="000000"/>
                <w:sz w:val="20"/>
                <w:szCs w:val="20"/>
                <w:lang w:eastAsia="zh-CN"/>
              </w:rPr>
            </w:pPr>
            <w:r>
              <w:rPr>
                <w:rFonts w:ascii="Arial" w:eastAsia="Times New Roman" w:hAnsi="Arial" w:cs="Arial"/>
                <w:color w:val="000000"/>
                <w:sz w:val="20"/>
                <w:szCs w:val="20"/>
                <w:lang w:eastAsia="zh-CN"/>
              </w:rPr>
              <w:t>6.5</w:t>
            </w:r>
          </w:p>
        </w:tc>
        <w:tc>
          <w:tcPr>
            <w:tcW w:w="950" w:type="pct"/>
            <w:shd w:val="clear" w:color="auto" w:fill="EDFFB7"/>
            <w:noWrap/>
            <w:vAlign w:val="center"/>
            <w:hideMark/>
          </w:tcPr>
          <w:p w14:paraId="44EEA836" w14:textId="77777777" w:rsidR="0021298F" w:rsidRDefault="0021298F" w:rsidP="00760009">
            <w:pPr>
              <w:jc w:val="right"/>
              <w:rPr>
                <w:rFonts w:ascii="Arial" w:eastAsia="Times New Roman" w:hAnsi="Arial" w:cs="Arial"/>
                <w:color w:val="000000"/>
                <w:sz w:val="20"/>
                <w:szCs w:val="20"/>
                <w:lang w:eastAsia="zh-CN"/>
              </w:rPr>
            </w:pPr>
            <w:r>
              <w:rPr>
                <w:rFonts w:ascii="Arial" w:eastAsia="Times New Roman" w:hAnsi="Arial" w:cs="Arial"/>
                <w:color w:val="000000"/>
                <w:sz w:val="20"/>
                <w:szCs w:val="20"/>
                <w:lang w:eastAsia="zh-CN"/>
              </w:rPr>
              <w:t>6.1</w:t>
            </w:r>
          </w:p>
        </w:tc>
      </w:tr>
      <w:tr w:rsidR="0021298F" w14:paraId="15E08E9F" w14:textId="77777777" w:rsidTr="00760009">
        <w:trPr>
          <w:trHeight w:val="291"/>
        </w:trPr>
        <w:tc>
          <w:tcPr>
            <w:tcW w:w="1667" w:type="pct"/>
            <w:noWrap/>
            <w:vAlign w:val="bottom"/>
            <w:hideMark/>
          </w:tcPr>
          <w:p w14:paraId="38CCB973" w14:textId="77777777" w:rsidR="0021298F" w:rsidRDefault="0021298F" w:rsidP="00760009">
            <w:pPr>
              <w:rPr>
                <w:rFonts w:ascii="Arial" w:eastAsia="Times New Roman" w:hAnsi="Arial" w:cs="Arial"/>
                <w:color w:val="000000"/>
                <w:sz w:val="20"/>
                <w:szCs w:val="20"/>
                <w:lang w:eastAsia="zh-CN"/>
              </w:rPr>
            </w:pPr>
            <w:r>
              <w:rPr>
                <w:rFonts w:ascii="Arial" w:eastAsia="Times New Roman" w:hAnsi="Arial" w:cs="Arial"/>
                <w:color w:val="000000"/>
                <w:sz w:val="20"/>
                <w:szCs w:val="20"/>
                <w:lang w:eastAsia="zh-CN"/>
              </w:rPr>
              <w:t>Ballybane</w:t>
            </w:r>
          </w:p>
        </w:tc>
        <w:tc>
          <w:tcPr>
            <w:tcW w:w="708" w:type="pct"/>
            <w:shd w:val="clear" w:color="auto" w:fill="EDFFB7"/>
            <w:noWrap/>
            <w:vAlign w:val="center"/>
            <w:hideMark/>
          </w:tcPr>
          <w:p w14:paraId="20F3485F" w14:textId="77777777" w:rsidR="0021298F" w:rsidRDefault="0021298F" w:rsidP="00760009">
            <w:pPr>
              <w:jc w:val="right"/>
              <w:rPr>
                <w:rFonts w:ascii="Arial" w:eastAsia="Times New Roman" w:hAnsi="Arial" w:cs="Arial"/>
                <w:color w:val="000000"/>
                <w:sz w:val="20"/>
                <w:szCs w:val="20"/>
                <w:lang w:eastAsia="zh-CN"/>
              </w:rPr>
            </w:pPr>
            <w:r>
              <w:rPr>
                <w:rFonts w:ascii="Arial" w:eastAsia="Times New Roman" w:hAnsi="Arial" w:cs="Arial"/>
                <w:color w:val="000000"/>
                <w:sz w:val="20"/>
                <w:szCs w:val="20"/>
                <w:lang w:eastAsia="zh-CN"/>
              </w:rPr>
              <w:t>100%</w:t>
            </w:r>
          </w:p>
        </w:tc>
        <w:tc>
          <w:tcPr>
            <w:tcW w:w="644" w:type="pct"/>
            <w:shd w:val="clear" w:color="auto" w:fill="EDFFB7"/>
            <w:noWrap/>
            <w:hideMark/>
          </w:tcPr>
          <w:p w14:paraId="302C24F4" w14:textId="77777777" w:rsidR="0021298F" w:rsidRDefault="0021298F" w:rsidP="00760009">
            <w:pPr>
              <w:jc w:val="center"/>
              <w:rPr>
                <w:rFonts w:ascii="Arial" w:eastAsia="Times New Roman" w:hAnsi="Arial" w:cs="Arial"/>
                <w:color w:val="000000"/>
                <w:sz w:val="20"/>
                <w:szCs w:val="20"/>
                <w:lang w:eastAsia="zh-CN"/>
              </w:rPr>
            </w:pPr>
            <w:r>
              <w:rPr>
                <w:rFonts w:ascii="Arial" w:eastAsia="Times New Roman" w:hAnsi="Arial" w:cs="Arial"/>
                <w:color w:val="000000"/>
                <w:sz w:val="20"/>
                <w:szCs w:val="20"/>
                <w:lang w:eastAsia="zh-CN"/>
              </w:rPr>
              <w:t>Jan - Dec</w:t>
            </w:r>
          </w:p>
        </w:tc>
        <w:tc>
          <w:tcPr>
            <w:tcW w:w="1031" w:type="pct"/>
            <w:shd w:val="clear" w:color="auto" w:fill="EDFFB7"/>
            <w:noWrap/>
            <w:vAlign w:val="center"/>
            <w:hideMark/>
          </w:tcPr>
          <w:p w14:paraId="28926036" w14:textId="77777777" w:rsidR="0021298F" w:rsidRDefault="0021298F" w:rsidP="00760009">
            <w:pPr>
              <w:jc w:val="right"/>
              <w:rPr>
                <w:rFonts w:ascii="Arial" w:eastAsia="Times New Roman" w:hAnsi="Arial" w:cs="Arial"/>
                <w:color w:val="000000"/>
                <w:sz w:val="20"/>
                <w:szCs w:val="20"/>
                <w:lang w:eastAsia="zh-CN"/>
              </w:rPr>
            </w:pPr>
            <w:r>
              <w:rPr>
                <w:rFonts w:ascii="Arial" w:eastAsia="Times New Roman" w:hAnsi="Arial" w:cs="Arial"/>
                <w:color w:val="000000"/>
                <w:sz w:val="20"/>
                <w:szCs w:val="20"/>
                <w:lang w:eastAsia="zh-CN"/>
              </w:rPr>
              <w:t>117.5</w:t>
            </w:r>
          </w:p>
        </w:tc>
        <w:tc>
          <w:tcPr>
            <w:tcW w:w="950" w:type="pct"/>
            <w:shd w:val="clear" w:color="auto" w:fill="EDFFB7"/>
            <w:noWrap/>
            <w:hideMark/>
          </w:tcPr>
          <w:p w14:paraId="1281BA9B" w14:textId="77777777" w:rsidR="0021298F" w:rsidRDefault="0021298F" w:rsidP="00760009">
            <w:pPr>
              <w:jc w:val="right"/>
              <w:rPr>
                <w:rFonts w:ascii="Arial" w:eastAsia="Times New Roman" w:hAnsi="Arial" w:cs="Arial"/>
                <w:color w:val="000000"/>
                <w:sz w:val="20"/>
                <w:szCs w:val="20"/>
                <w:lang w:eastAsia="zh-CN"/>
              </w:rPr>
            </w:pPr>
            <w:r>
              <w:rPr>
                <w:rFonts w:ascii="Arial" w:eastAsia="Times New Roman" w:hAnsi="Arial" w:cs="Arial"/>
                <w:color w:val="000000"/>
                <w:sz w:val="20"/>
                <w:szCs w:val="20"/>
                <w:lang w:eastAsia="zh-CN"/>
              </w:rPr>
              <w:t>114.7</w:t>
            </w:r>
          </w:p>
        </w:tc>
      </w:tr>
      <w:tr w:rsidR="0021298F" w14:paraId="780F5153" w14:textId="77777777" w:rsidTr="00760009">
        <w:trPr>
          <w:trHeight w:val="291"/>
        </w:trPr>
        <w:tc>
          <w:tcPr>
            <w:tcW w:w="1667" w:type="pct"/>
            <w:noWrap/>
            <w:vAlign w:val="bottom"/>
            <w:hideMark/>
          </w:tcPr>
          <w:p w14:paraId="62CC3A15" w14:textId="77777777" w:rsidR="0021298F" w:rsidRDefault="0021298F" w:rsidP="00760009">
            <w:pPr>
              <w:rPr>
                <w:rFonts w:ascii="Arial" w:eastAsia="Times New Roman" w:hAnsi="Arial" w:cs="Arial"/>
                <w:color w:val="000000"/>
                <w:sz w:val="20"/>
                <w:szCs w:val="20"/>
                <w:lang w:eastAsia="zh-CN"/>
              </w:rPr>
            </w:pPr>
            <w:r>
              <w:rPr>
                <w:rFonts w:ascii="Arial" w:eastAsia="Times New Roman" w:hAnsi="Arial" w:cs="Arial"/>
                <w:color w:val="000000"/>
                <w:sz w:val="20"/>
                <w:szCs w:val="20"/>
                <w:lang w:eastAsia="zh-CN"/>
              </w:rPr>
              <w:t xml:space="preserve">Beam Hill </w:t>
            </w:r>
            <w:r>
              <w:rPr>
                <w:rFonts w:ascii="Arial" w:eastAsia="Times New Roman" w:hAnsi="Arial" w:cs="Arial"/>
                <w:color w:val="000000"/>
                <w:sz w:val="20"/>
                <w:szCs w:val="20"/>
                <w:vertAlign w:val="superscript"/>
                <w:lang w:eastAsia="zh-CN"/>
              </w:rPr>
              <w:t>(1)</w:t>
            </w:r>
          </w:p>
        </w:tc>
        <w:tc>
          <w:tcPr>
            <w:tcW w:w="708" w:type="pct"/>
            <w:shd w:val="clear" w:color="auto" w:fill="EDFFB7"/>
            <w:noWrap/>
            <w:vAlign w:val="center"/>
            <w:hideMark/>
          </w:tcPr>
          <w:p w14:paraId="4FDD2D0A" w14:textId="77777777" w:rsidR="0021298F" w:rsidRDefault="0021298F" w:rsidP="00760009">
            <w:pPr>
              <w:jc w:val="right"/>
              <w:rPr>
                <w:rFonts w:ascii="Arial" w:eastAsia="Times New Roman" w:hAnsi="Arial" w:cs="Arial"/>
                <w:color w:val="000000"/>
                <w:sz w:val="20"/>
                <w:szCs w:val="20"/>
                <w:lang w:eastAsia="zh-CN"/>
              </w:rPr>
            </w:pPr>
            <w:r>
              <w:rPr>
                <w:rFonts w:ascii="Arial" w:eastAsia="Times New Roman" w:hAnsi="Arial" w:cs="Arial"/>
                <w:color w:val="000000"/>
                <w:sz w:val="20"/>
                <w:szCs w:val="20"/>
                <w:lang w:eastAsia="zh-CN"/>
              </w:rPr>
              <w:t>100%</w:t>
            </w:r>
          </w:p>
        </w:tc>
        <w:tc>
          <w:tcPr>
            <w:tcW w:w="644" w:type="pct"/>
            <w:shd w:val="clear" w:color="auto" w:fill="EDFFB7"/>
            <w:noWrap/>
            <w:hideMark/>
          </w:tcPr>
          <w:p w14:paraId="7315CAAC" w14:textId="77777777" w:rsidR="0021298F" w:rsidRDefault="0021298F" w:rsidP="00760009">
            <w:pPr>
              <w:jc w:val="center"/>
              <w:rPr>
                <w:rFonts w:ascii="Arial" w:eastAsia="Times New Roman" w:hAnsi="Arial" w:cs="Arial"/>
                <w:color w:val="000000"/>
                <w:sz w:val="20"/>
                <w:szCs w:val="20"/>
                <w:lang w:eastAsia="zh-CN"/>
              </w:rPr>
            </w:pPr>
            <w:r>
              <w:rPr>
                <w:rFonts w:ascii="Arial" w:eastAsia="Times New Roman" w:hAnsi="Arial" w:cs="Arial"/>
                <w:color w:val="000000"/>
                <w:sz w:val="20"/>
                <w:szCs w:val="20"/>
                <w:lang w:eastAsia="zh-CN"/>
              </w:rPr>
              <w:t>Jan - Dec</w:t>
            </w:r>
          </w:p>
        </w:tc>
        <w:tc>
          <w:tcPr>
            <w:tcW w:w="1031" w:type="pct"/>
            <w:shd w:val="clear" w:color="auto" w:fill="EDFFB7"/>
            <w:noWrap/>
            <w:vAlign w:val="center"/>
            <w:hideMark/>
          </w:tcPr>
          <w:p w14:paraId="260D13DC" w14:textId="77777777" w:rsidR="0021298F" w:rsidRDefault="0021298F" w:rsidP="00760009">
            <w:pPr>
              <w:jc w:val="right"/>
              <w:rPr>
                <w:rFonts w:ascii="Arial" w:eastAsia="Times New Roman" w:hAnsi="Arial" w:cs="Arial"/>
                <w:color w:val="000000"/>
                <w:sz w:val="20"/>
                <w:szCs w:val="20"/>
                <w:lang w:eastAsia="zh-CN"/>
              </w:rPr>
            </w:pPr>
            <w:r>
              <w:rPr>
                <w:rFonts w:ascii="Arial" w:eastAsia="Times New Roman" w:hAnsi="Arial" w:cs="Arial"/>
                <w:color w:val="000000"/>
                <w:sz w:val="20"/>
                <w:szCs w:val="20"/>
                <w:lang w:eastAsia="zh-CN"/>
              </w:rPr>
              <w:t>37.9</w:t>
            </w:r>
          </w:p>
        </w:tc>
        <w:tc>
          <w:tcPr>
            <w:tcW w:w="950" w:type="pct"/>
            <w:shd w:val="clear" w:color="auto" w:fill="EDFFB7"/>
            <w:noWrap/>
            <w:hideMark/>
          </w:tcPr>
          <w:p w14:paraId="5EBF9DA3" w14:textId="77777777" w:rsidR="0021298F" w:rsidRDefault="0021298F" w:rsidP="00760009">
            <w:pPr>
              <w:jc w:val="right"/>
              <w:rPr>
                <w:rFonts w:ascii="Arial" w:eastAsia="Times New Roman" w:hAnsi="Arial" w:cs="Arial"/>
                <w:color w:val="000000"/>
                <w:sz w:val="20"/>
                <w:szCs w:val="20"/>
                <w:lang w:eastAsia="zh-CN"/>
              </w:rPr>
            </w:pPr>
            <w:r>
              <w:rPr>
                <w:rFonts w:ascii="Arial" w:eastAsia="Times New Roman" w:hAnsi="Arial" w:cs="Arial"/>
                <w:color w:val="000000"/>
                <w:sz w:val="20"/>
                <w:szCs w:val="20"/>
                <w:lang w:eastAsia="zh-CN"/>
              </w:rPr>
              <w:t>31.7</w:t>
            </w:r>
          </w:p>
        </w:tc>
      </w:tr>
      <w:tr w:rsidR="0021298F" w14:paraId="4BF12F4F" w14:textId="77777777" w:rsidTr="00760009">
        <w:trPr>
          <w:trHeight w:val="291"/>
        </w:trPr>
        <w:tc>
          <w:tcPr>
            <w:tcW w:w="1667" w:type="pct"/>
            <w:noWrap/>
            <w:vAlign w:val="bottom"/>
            <w:hideMark/>
          </w:tcPr>
          <w:p w14:paraId="7EAFD88E" w14:textId="77777777" w:rsidR="0021298F" w:rsidRDefault="0021298F" w:rsidP="00760009">
            <w:pPr>
              <w:rPr>
                <w:rFonts w:ascii="Arial" w:eastAsia="Times New Roman" w:hAnsi="Arial" w:cs="Arial"/>
                <w:color w:val="000000"/>
                <w:sz w:val="20"/>
                <w:szCs w:val="20"/>
                <w:lang w:eastAsia="zh-CN"/>
              </w:rPr>
            </w:pPr>
            <w:r>
              <w:rPr>
                <w:rFonts w:ascii="Arial" w:eastAsia="Times New Roman" w:hAnsi="Arial" w:cs="Arial"/>
                <w:color w:val="000000"/>
                <w:sz w:val="20"/>
                <w:szCs w:val="20"/>
                <w:lang w:eastAsia="zh-CN"/>
              </w:rPr>
              <w:t>Carrickallen</w:t>
            </w:r>
          </w:p>
        </w:tc>
        <w:tc>
          <w:tcPr>
            <w:tcW w:w="708" w:type="pct"/>
            <w:shd w:val="clear" w:color="auto" w:fill="EDFFB7"/>
            <w:noWrap/>
            <w:vAlign w:val="center"/>
            <w:hideMark/>
          </w:tcPr>
          <w:p w14:paraId="3B13C615" w14:textId="77777777" w:rsidR="0021298F" w:rsidRDefault="0021298F" w:rsidP="00760009">
            <w:pPr>
              <w:jc w:val="right"/>
              <w:rPr>
                <w:rFonts w:ascii="Arial" w:eastAsia="Times New Roman" w:hAnsi="Arial" w:cs="Arial"/>
                <w:color w:val="000000"/>
                <w:sz w:val="20"/>
                <w:szCs w:val="20"/>
                <w:lang w:eastAsia="zh-CN"/>
              </w:rPr>
            </w:pPr>
            <w:r>
              <w:rPr>
                <w:rFonts w:ascii="Arial" w:eastAsia="Times New Roman" w:hAnsi="Arial" w:cs="Arial"/>
                <w:color w:val="000000"/>
                <w:sz w:val="20"/>
                <w:szCs w:val="20"/>
                <w:lang w:eastAsia="zh-CN"/>
              </w:rPr>
              <w:t>50%</w:t>
            </w:r>
          </w:p>
        </w:tc>
        <w:tc>
          <w:tcPr>
            <w:tcW w:w="644" w:type="pct"/>
            <w:shd w:val="clear" w:color="auto" w:fill="EDFFB7"/>
            <w:noWrap/>
            <w:hideMark/>
          </w:tcPr>
          <w:p w14:paraId="00A2EF45" w14:textId="77777777" w:rsidR="0021298F" w:rsidRDefault="0021298F" w:rsidP="00760009">
            <w:pPr>
              <w:jc w:val="center"/>
              <w:rPr>
                <w:rFonts w:ascii="Arial" w:eastAsia="Times New Roman" w:hAnsi="Arial" w:cs="Arial"/>
                <w:color w:val="000000"/>
                <w:sz w:val="20"/>
                <w:szCs w:val="20"/>
                <w:lang w:eastAsia="zh-CN"/>
              </w:rPr>
            </w:pPr>
            <w:r>
              <w:rPr>
                <w:rFonts w:ascii="Arial" w:eastAsia="Times New Roman" w:hAnsi="Arial" w:cs="Arial"/>
                <w:color w:val="000000"/>
                <w:sz w:val="20"/>
                <w:szCs w:val="20"/>
                <w:lang w:eastAsia="zh-CN"/>
              </w:rPr>
              <w:t>Aug – Dec</w:t>
            </w:r>
          </w:p>
        </w:tc>
        <w:tc>
          <w:tcPr>
            <w:tcW w:w="1031" w:type="pct"/>
            <w:shd w:val="clear" w:color="auto" w:fill="EDFFB7"/>
            <w:noWrap/>
            <w:vAlign w:val="center"/>
            <w:hideMark/>
          </w:tcPr>
          <w:p w14:paraId="05C1E32A" w14:textId="77777777" w:rsidR="0021298F" w:rsidRDefault="0021298F" w:rsidP="00760009">
            <w:pPr>
              <w:jc w:val="right"/>
              <w:rPr>
                <w:rFonts w:ascii="Arial" w:eastAsia="Times New Roman" w:hAnsi="Arial" w:cs="Arial"/>
                <w:color w:val="000000"/>
                <w:sz w:val="20"/>
                <w:szCs w:val="20"/>
                <w:lang w:eastAsia="zh-CN"/>
              </w:rPr>
            </w:pPr>
            <w:r>
              <w:rPr>
                <w:rFonts w:ascii="Arial" w:eastAsia="Times New Roman" w:hAnsi="Arial" w:cs="Arial"/>
                <w:color w:val="000000"/>
                <w:sz w:val="20"/>
                <w:szCs w:val="20"/>
                <w:lang w:eastAsia="zh-CN"/>
              </w:rPr>
              <w:t>12.4</w:t>
            </w:r>
          </w:p>
        </w:tc>
        <w:tc>
          <w:tcPr>
            <w:tcW w:w="950" w:type="pct"/>
            <w:shd w:val="clear" w:color="auto" w:fill="EDFFB7"/>
            <w:noWrap/>
            <w:hideMark/>
          </w:tcPr>
          <w:p w14:paraId="7A348577" w14:textId="77777777" w:rsidR="0021298F" w:rsidRDefault="0021298F" w:rsidP="00760009">
            <w:pPr>
              <w:jc w:val="right"/>
              <w:rPr>
                <w:rFonts w:ascii="Arial" w:eastAsia="Times New Roman" w:hAnsi="Arial" w:cs="Arial"/>
                <w:color w:val="000000"/>
                <w:sz w:val="20"/>
                <w:szCs w:val="20"/>
                <w:lang w:eastAsia="zh-CN"/>
              </w:rPr>
            </w:pPr>
            <w:r>
              <w:rPr>
                <w:rFonts w:ascii="Arial" w:eastAsia="Times New Roman" w:hAnsi="Arial" w:cs="Arial"/>
                <w:color w:val="000000"/>
                <w:sz w:val="20"/>
                <w:szCs w:val="20"/>
                <w:lang w:eastAsia="zh-CN"/>
              </w:rPr>
              <w:t>13.1</w:t>
            </w:r>
          </w:p>
        </w:tc>
      </w:tr>
      <w:tr w:rsidR="0021298F" w14:paraId="694E945C" w14:textId="77777777" w:rsidTr="00760009">
        <w:trPr>
          <w:trHeight w:val="291"/>
        </w:trPr>
        <w:tc>
          <w:tcPr>
            <w:tcW w:w="1667" w:type="pct"/>
            <w:noWrap/>
            <w:vAlign w:val="bottom"/>
            <w:hideMark/>
          </w:tcPr>
          <w:p w14:paraId="7EB0B4B3" w14:textId="77777777" w:rsidR="0021298F" w:rsidRDefault="0021298F" w:rsidP="00760009">
            <w:pPr>
              <w:rPr>
                <w:rFonts w:ascii="Arial" w:eastAsia="Times New Roman" w:hAnsi="Arial" w:cs="Arial"/>
                <w:color w:val="000000"/>
                <w:sz w:val="20"/>
                <w:szCs w:val="20"/>
                <w:lang w:eastAsia="zh-CN"/>
              </w:rPr>
            </w:pPr>
            <w:r>
              <w:rPr>
                <w:rFonts w:ascii="Arial" w:eastAsia="Times New Roman" w:hAnsi="Arial" w:cs="Arial"/>
                <w:color w:val="000000"/>
                <w:sz w:val="20"/>
                <w:szCs w:val="20"/>
                <w:lang w:eastAsia="zh-CN"/>
              </w:rPr>
              <w:t xml:space="preserve">Cloosh Valley </w:t>
            </w:r>
          </w:p>
        </w:tc>
        <w:tc>
          <w:tcPr>
            <w:tcW w:w="708" w:type="pct"/>
            <w:shd w:val="clear" w:color="auto" w:fill="EDFFB7"/>
            <w:noWrap/>
            <w:vAlign w:val="center"/>
            <w:hideMark/>
          </w:tcPr>
          <w:p w14:paraId="5C113069" w14:textId="77777777" w:rsidR="0021298F" w:rsidRDefault="0021298F" w:rsidP="00760009">
            <w:pPr>
              <w:jc w:val="right"/>
              <w:rPr>
                <w:rFonts w:ascii="Arial" w:eastAsia="Times New Roman" w:hAnsi="Arial" w:cs="Arial"/>
                <w:color w:val="000000"/>
                <w:sz w:val="20"/>
                <w:szCs w:val="20"/>
                <w:lang w:eastAsia="zh-CN"/>
              </w:rPr>
            </w:pPr>
            <w:r>
              <w:rPr>
                <w:rFonts w:ascii="Arial" w:eastAsia="Times New Roman" w:hAnsi="Arial" w:cs="Arial"/>
                <w:color w:val="000000"/>
                <w:sz w:val="20"/>
                <w:szCs w:val="20"/>
                <w:lang w:eastAsia="zh-CN"/>
              </w:rPr>
              <w:t>75%</w:t>
            </w:r>
          </w:p>
        </w:tc>
        <w:tc>
          <w:tcPr>
            <w:tcW w:w="644" w:type="pct"/>
            <w:shd w:val="clear" w:color="auto" w:fill="EDFFB7"/>
            <w:noWrap/>
            <w:hideMark/>
          </w:tcPr>
          <w:p w14:paraId="1A7B0FE0" w14:textId="77777777" w:rsidR="0021298F" w:rsidRDefault="0021298F" w:rsidP="00760009">
            <w:pPr>
              <w:jc w:val="center"/>
              <w:rPr>
                <w:rFonts w:ascii="Arial" w:eastAsia="Times New Roman" w:hAnsi="Arial" w:cs="Arial"/>
                <w:color w:val="000000"/>
                <w:sz w:val="20"/>
                <w:szCs w:val="20"/>
                <w:lang w:eastAsia="zh-CN"/>
              </w:rPr>
            </w:pPr>
            <w:r>
              <w:rPr>
                <w:rFonts w:ascii="Arial" w:eastAsia="Times New Roman" w:hAnsi="Arial" w:cs="Arial"/>
                <w:color w:val="000000"/>
                <w:sz w:val="20"/>
                <w:szCs w:val="20"/>
                <w:lang w:eastAsia="zh-CN"/>
              </w:rPr>
              <w:t>Jan - Dec</w:t>
            </w:r>
          </w:p>
        </w:tc>
        <w:tc>
          <w:tcPr>
            <w:tcW w:w="1031" w:type="pct"/>
            <w:shd w:val="clear" w:color="auto" w:fill="EDFFB7"/>
            <w:noWrap/>
            <w:vAlign w:val="center"/>
            <w:hideMark/>
          </w:tcPr>
          <w:p w14:paraId="7E1CD525" w14:textId="77777777" w:rsidR="0021298F" w:rsidRDefault="0021298F" w:rsidP="00760009">
            <w:pPr>
              <w:jc w:val="right"/>
              <w:rPr>
                <w:rFonts w:ascii="Arial" w:eastAsia="Times New Roman" w:hAnsi="Arial" w:cs="Arial"/>
                <w:color w:val="000000"/>
                <w:sz w:val="20"/>
                <w:szCs w:val="20"/>
                <w:lang w:eastAsia="zh-CN"/>
              </w:rPr>
            </w:pPr>
            <w:r>
              <w:rPr>
                <w:rFonts w:ascii="Arial" w:eastAsia="Times New Roman" w:hAnsi="Arial" w:cs="Arial"/>
                <w:color w:val="000000"/>
                <w:sz w:val="20"/>
                <w:szCs w:val="20"/>
                <w:lang w:eastAsia="zh-CN"/>
              </w:rPr>
              <w:t>262.9</w:t>
            </w:r>
          </w:p>
        </w:tc>
        <w:tc>
          <w:tcPr>
            <w:tcW w:w="950" w:type="pct"/>
            <w:shd w:val="clear" w:color="auto" w:fill="EDFFB7"/>
            <w:noWrap/>
            <w:hideMark/>
          </w:tcPr>
          <w:p w14:paraId="3329E54D" w14:textId="77777777" w:rsidR="0021298F" w:rsidRDefault="0021298F" w:rsidP="00760009">
            <w:pPr>
              <w:jc w:val="right"/>
              <w:rPr>
                <w:rFonts w:ascii="Arial" w:eastAsia="Times New Roman" w:hAnsi="Arial" w:cs="Arial"/>
                <w:color w:val="000000"/>
                <w:sz w:val="20"/>
                <w:szCs w:val="20"/>
                <w:lang w:eastAsia="zh-CN"/>
              </w:rPr>
            </w:pPr>
            <w:r>
              <w:rPr>
                <w:rFonts w:ascii="Arial" w:eastAsia="Times New Roman" w:hAnsi="Arial" w:cs="Arial"/>
                <w:color w:val="000000"/>
                <w:sz w:val="20"/>
                <w:szCs w:val="20"/>
                <w:lang w:eastAsia="zh-CN"/>
              </w:rPr>
              <w:t>268.0</w:t>
            </w:r>
          </w:p>
        </w:tc>
      </w:tr>
      <w:tr w:rsidR="0021298F" w14:paraId="7AFC0FA1" w14:textId="77777777" w:rsidTr="00760009">
        <w:trPr>
          <w:trHeight w:val="291"/>
        </w:trPr>
        <w:tc>
          <w:tcPr>
            <w:tcW w:w="1667" w:type="pct"/>
            <w:noWrap/>
            <w:vAlign w:val="bottom"/>
            <w:hideMark/>
          </w:tcPr>
          <w:p w14:paraId="069E8204" w14:textId="77777777" w:rsidR="0021298F" w:rsidRDefault="0021298F" w:rsidP="00760009">
            <w:pPr>
              <w:rPr>
                <w:rFonts w:ascii="Arial" w:eastAsia="Times New Roman" w:hAnsi="Arial" w:cs="Arial"/>
                <w:color w:val="000000"/>
                <w:sz w:val="20"/>
                <w:szCs w:val="20"/>
                <w:lang w:eastAsia="zh-CN"/>
              </w:rPr>
            </w:pPr>
            <w:r>
              <w:rPr>
                <w:rFonts w:ascii="Arial" w:eastAsia="Times New Roman" w:hAnsi="Arial" w:cs="Arial"/>
                <w:color w:val="000000"/>
                <w:sz w:val="20"/>
                <w:szCs w:val="20"/>
                <w:lang w:eastAsia="zh-CN"/>
              </w:rPr>
              <w:t>Garranereagh</w:t>
            </w:r>
          </w:p>
        </w:tc>
        <w:tc>
          <w:tcPr>
            <w:tcW w:w="708" w:type="pct"/>
            <w:shd w:val="clear" w:color="auto" w:fill="EDFFB7"/>
            <w:noWrap/>
            <w:vAlign w:val="center"/>
            <w:hideMark/>
          </w:tcPr>
          <w:p w14:paraId="09EE78D9" w14:textId="77777777" w:rsidR="0021298F" w:rsidRDefault="0021298F" w:rsidP="00760009">
            <w:pPr>
              <w:jc w:val="right"/>
              <w:rPr>
                <w:rFonts w:ascii="Arial" w:eastAsia="Times New Roman" w:hAnsi="Arial" w:cs="Arial"/>
                <w:color w:val="000000"/>
                <w:sz w:val="20"/>
                <w:szCs w:val="20"/>
                <w:lang w:eastAsia="zh-CN"/>
              </w:rPr>
            </w:pPr>
            <w:r>
              <w:rPr>
                <w:rFonts w:ascii="Arial" w:eastAsia="Times New Roman" w:hAnsi="Arial" w:cs="Arial"/>
                <w:color w:val="000000"/>
                <w:sz w:val="20"/>
                <w:szCs w:val="20"/>
                <w:lang w:eastAsia="zh-CN"/>
              </w:rPr>
              <w:t>100%</w:t>
            </w:r>
          </w:p>
        </w:tc>
        <w:tc>
          <w:tcPr>
            <w:tcW w:w="644" w:type="pct"/>
            <w:shd w:val="clear" w:color="auto" w:fill="EDFFB7"/>
            <w:noWrap/>
            <w:hideMark/>
          </w:tcPr>
          <w:p w14:paraId="1C9EC273" w14:textId="77777777" w:rsidR="0021298F" w:rsidRDefault="0021298F" w:rsidP="00760009">
            <w:pPr>
              <w:jc w:val="center"/>
              <w:rPr>
                <w:rFonts w:ascii="Arial" w:eastAsia="Times New Roman" w:hAnsi="Arial" w:cs="Arial"/>
                <w:color w:val="000000"/>
                <w:sz w:val="20"/>
                <w:szCs w:val="20"/>
                <w:lang w:eastAsia="zh-CN"/>
              </w:rPr>
            </w:pPr>
            <w:r>
              <w:rPr>
                <w:rFonts w:ascii="Arial" w:eastAsia="Times New Roman" w:hAnsi="Arial" w:cs="Arial"/>
                <w:color w:val="000000"/>
                <w:sz w:val="20"/>
                <w:szCs w:val="20"/>
                <w:lang w:eastAsia="zh-CN"/>
              </w:rPr>
              <w:t>Jan - Dec</w:t>
            </w:r>
          </w:p>
        </w:tc>
        <w:tc>
          <w:tcPr>
            <w:tcW w:w="1031" w:type="pct"/>
            <w:shd w:val="clear" w:color="auto" w:fill="EDFFB7"/>
            <w:noWrap/>
            <w:vAlign w:val="center"/>
            <w:hideMark/>
          </w:tcPr>
          <w:p w14:paraId="1196704D" w14:textId="77777777" w:rsidR="0021298F" w:rsidRDefault="0021298F" w:rsidP="00760009">
            <w:pPr>
              <w:jc w:val="right"/>
              <w:rPr>
                <w:rFonts w:ascii="Arial" w:eastAsia="Times New Roman" w:hAnsi="Arial" w:cs="Arial"/>
                <w:color w:val="000000"/>
                <w:sz w:val="20"/>
                <w:szCs w:val="20"/>
                <w:lang w:eastAsia="zh-CN"/>
              </w:rPr>
            </w:pPr>
            <w:r>
              <w:rPr>
                <w:rFonts w:ascii="Arial" w:eastAsia="Times New Roman" w:hAnsi="Arial" w:cs="Arial"/>
                <w:color w:val="000000"/>
                <w:sz w:val="20"/>
                <w:szCs w:val="20"/>
                <w:lang w:eastAsia="zh-CN"/>
              </w:rPr>
              <w:t>24.5</w:t>
            </w:r>
          </w:p>
        </w:tc>
        <w:tc>
          <w:tcPr>
            <w:tcW w:w="950" w:type="pct"/>
            <w:shd w:val="clear" w:color="auto" w:fill="EDFFB7"/>
            <w:noWrap/>
            <w:hideMark/>
          </w:tcPr>
          <w:p w14:paraId="535EE821" w14:textId="77777777" w:rsidR="0021298F" w:rsidRDefault="0021298F" w:rsidP="00760009">
            <w:pPr>
              <w:jc w:val="right"/>
              <w:rPr>
                <w:rFonts w:ascii="Arial" w:eastAsia="Times New Roman" w:hAnsi="Arial" w:cs="Arial"/>
                <w:color w:val="000000"/>
                <w:sz w:val="20"/>
                <w:szCs w:val="20"/>
                <w:lang w:eastAsia="zh-CN"/>
              </w:rPr>
            </w:pPr>
            <w:r>
              <w:rPr>
                <w:rFonts w:ascii="Arial" w:eastAsia="Times New Roman" w:hAnsi="Arial" w:cs="Arial"/>
                <w:color w:val="000000"/>
                <w:sz w:val="20"/>
                <w:szCs w:val="20"/>
                <w:lang w:eastAsia="zh-CN"/>
              </w:rPr>
              <w:t>26.1</w:t>
            </w:r>
          </w:p>
        </w:tc>
      </w:tr>
      <w:tr w:rsidR="0021298F" w14:paraId="5C68DE09" w14:textId="77777777" w:rsidTr="00760009">
        <w:trPr>
          <w:trHeight w:val="291"/>
        </w:trPr>
        <w:tc>
          <w:tcPr>
            <w:tcW w:w="1667" w:type="pct"/>
            <w:noWrap/>
            <w:vAlign w:val="bottom"/>
            <w:hideMark/>
          </w:tcPr>
          <w:p w14:paraId="32F084EE" w14:textId="77777777" w:rsidR="0021298F" w:rsidRDefault="0021298F" w:rsidP="00760009">
            <w:pPr>
              <w:rPr>
                <w:rFonts w:ascii="Arial" w:eastAsia="Times New Roman" w:hAnsi="Arial" w:cs="Arial"/>
                <w:color w:val="000000"/>
                <w:sz w:val="20"/>
                <w:szCs w:val="20"/>
                <w:lang w:eastAsia="zh-CN"/>
              </w:rPr>
            </w:pPr>
            <w:r>
              <w:rPr>
                <w:rFonts w:ascii="Arial" w:eastAsia="Times New Roman" w:hAnsi="Arial" w:cs="Arial"/>
                <w:color w:val="000000"/>
                <w:sz w:val="20"/>
                <w:szCs w:val="20"/>
                <w:lang w:eastAsia="zh-CN"/>
              </w:rPr>
              <w:t>Glanaruddery</w:t>
            </w:r>
          </w:p>
        </w:tc>
        <w:tc>
          <w:tcPr>
            <w:tcW w:w="708" w:type="pct"/>
            <w:shd w:val="clear" w:color="auto" w:fill="EDFFB7"/>
            <w:noWrap/>
            <w:vAlign w:val="center"/>
            <w:hideMark/>
          </w:tcPr>
          <w:p w14:paraId="50287899" w14:textId="77777777" w:rsidR="0021298F" w:rsidRDefault="0021298F" w:rsidP="00760009">
            <w:pPr>
              <w:jc w:val="right"/>
              <w:rPr>
                <w:rFonts w:ascii="Arial" w:eastAsia="Times New Roman" w:hAnsi="Arial" w:cs="Arial"/>
                <w:color w:val="000000"/>
                <w:sz w:val="20"/>
                <w:szCs w:val="20"/>
                <w:lang w:eastAsia="zh-CN"/>
              </w:rPr>
            </w:pPr>
            <w:r>
              <w:rPr>
                <w:rFonts w:ascii="Arial" w:eastAsia="Times New Roman" w:hAnsi="Arial" w:cs="Arial"/>
                <w:color w:val="000000"/>
                <w:sz w:val="20"/>
                <w:szCs w:val="20"/>
                <w:lang w:eastAsia="zh-CN"/>
              </w:rPr>
              <w:t>100%</w:t>
            </w:r>
          </w:p>
        </w:tc>
        <w:tc>
          <w:tcPr>
            <w:tcW w:w="644" w:type="pct"/>
            <w:shd w:val="clear" w:color="auto" w:fill="EDFFB7"/>
            <w:noWrap/>
            <w:hideMark/>
          </w:tcPr>
          <w:p w14:paraId="3BA77321" w14:textId="77777777" w:rsidR="0021298F" w:rsidRDefault="0021298F" w:rsidP="00760009">
            <w:pPr>
              <w:jc w:val="center"/>
              <w:rPr>
                <w:rFonts w:ascii="Arial" w:eastAsia="Times New Roman" w:hAnsi="Arial" w:cs="Arial"/>
                <w:color w:val="000000"/>
                <w:sz w:val="20"/>
                <w:szCs w:val="20"/>
                <w:lang w:eastAsia="zh-CN"/>
              </w:rPr>
            </w:pPr>
            <w:r>
              <w:rPr>
                <w:rFonts w:ascii="Arial" w:eastAsia="Times New Roman" w:hAnsi="Arial" w:cs="Arial"/>
                <w:color w:val="000000"/>
                <w:sz w:val="20"/>
                <w:szCs w:val="20"/>
                <w:lang w:eastAsia="zh-CN"/>
              </w:rPr>
              <w:t>Jan - Dec</w:t>
            </w:r>
          </w:p>
        </w:tc>
        <w:tc>
          <w:tcPr>
            <w:tcW w:w="1031" w:type="pct"/>
            <w:shd w:val="clear" w:color="auto" w:fill="EDFFB7"/>
            <w:noWrap/>
            <w:vAlign w:val="center"/>
            <w:hideMark/>
          </w:tcPr>
          <w:p w14:paraId="21F881E5" w14:textId="77777777" w:rsidR="0021298F" w:rsidRDefault="0021298F" w:rsidP="00760009">
            <w:pPr>
              <w:jc w:val="right"/>
              <w:rPr>
                <w:rFonts w:ascii="Arial" w:eastAsia="Times New Roman" w:hAnsi="Arial" w:cs="Arial"/>
                <w:color w:val="000000"/>
                <w:sz w:val="20"/>
                <w:szCs w:val="20"/>
                <w:lang w:eastAsia="zh-CN"/>
              </w:rPr>
            </w:pPr>
            <w:r>
              <w:rPr>
                <w:rFonts w:ascii="Arial" w:eastAsia="Times New Roman" w:hAnsi="Arial" w:cs="Arial"/>
                <w:color w:val="000000"/>
                <w:sz w:val="20"/>
                <w:szCs w:val="20"/>
                <w:lang w:eastAsia="zh-CN"/>
              </w:rPr>
              <w:t>107.5</w:t>
            </w:r>
          </w:p>
        </w:tc>
        <w:tc>
          <w:tcPr>
            <w:tcW w:w="950" w:type="pct"/>
            <w:shd w:val="clear" w:color="auto" w:fill="EDFFB7"/>
            <w:noWrap/>
            <w:hideMark/>
          </w:tcPr>
          <w:p w14:paraId="559BFDEA" w14:textId="77777777" w:rsidR="0021298F" w:rsidRDefault="0021298F" w:rsidP="00760009">
            <w:pPr>
              <w:jc w:val="right"/>
              <w:rPr>
                <w:rFonts w:ascii="Arial" w:eastAsia="Times New Roman" w:hAnsi="Arial" w:cs="Arial"/>
                <w:color w:val="000000"/>
                <w:sz w:val="20"/>
                <w:szCs w:val="20"/>
                <w:lang w:eastAsia="zh-CN"/>
              </w:rPr>
            </w:pPr>
            <w:r>
              <w:rPr>
                <w:rFonts w:ascii="Arial" w:eastAsia="Times New Roman" w:hAnsi="Arial" w:cs="Arial"/>
                <w:color w:val="000000"/>
                <w:sz w:val="20"/>
                <w:szCs w:val="20"/>
                <w:lang w:eastAsia="zh-CN"/>
              </w:rPr>
              <w:t>105.4</w:t>
            </w:r>
          </w:p>
        </w:tc>
      </w:tr>
      <w:tr w:rsidR="0021298F" w14:paraId="3CF31D72" w14:textId="77777777" w:rsidTr="00760009">
        <w:trPr>
          <w:trHeight w:val="291"/>
        </w:trPr>
        <w:tc>
          <w:tcPr>
            <w:tcW w:w="1667" w:type="pct"/>
            <w:noWrap/>
            <w:vAlign w:val="bottom"/>
            <w:hideMark/>
          </w:tcPr>
          <w:p w14:paraId="3E1AEBEA" w14:textId="77777777" w:rsidR="0021298F" w:rsidRDefault="0021298F" w:rsidP="00760009">
            <w:pPr>
              <w:rPr>
                <w:rFonts w:ascii="Arial" w:eastAsia="Times New Roman" w:hAnsi="Arial" w:cs="Arial"/>
                <w:color w:val="000000"/>
                <w:sz w:val="20"/>
                <w:szCs w:val="20"/>
                <w:lang w:eastAsia="zh-CN"/>
              </w:rPr>
            </w:pPr>
            <w:r>
              <w:rPr>
                <w:rFonts w:ascii="Arial" w:eastAsia="Times New Roman" w:hAnsi="Arial" w:cs="Arial"/>
                <w:color w:val="000000"/>
                <w:sz w:val="20"/>
                <w:szCs w:val="20"/>
                <w:lang w:eastAsia="zh-CN"/>
              </w:rPr>
              <w:t>Gortahile</w:t>
            </w:r>
          </w:p>
        </w:tc>
        <w:tc>
          <w:tcPr>
            <w:tcW w:w="708" w:type="pct"/>
            <w:shd w:val="clear" w:color="auto" w:fill="EDFFB7"/>
            <w:noWrap/>
            <w:vAlign w:val="center"/>
            <w:hideMark/>
          </w:tcPr>
          <w:p w14:paraId="29D95862" w14:textId="77777777" w:rsidR="0021298F" w:rsidRDefault="0021298F" w:rsidP="00760009">
            <w:pPr>
              <w:jc w:val="right"/>
              <w:rPr>
                <w:rFonts w:ascii="Arial" w:eastAsia="Times New Roman" w:hAnsi="Arial" w:cs="Arial"/>
                <w:color w:val="000000"/>
                <w:sz w:val="20"/>
                <w:szCs w:val="20"/>
                <w:lang w:eastAsia="zh-CN"/>
              </w:rPr>
            </w:pPr>
            <w:r>
              <w:rPr>
                <w:rFonts w:ascii="Arial" w:eastAsia="Times New Roman" w:hAnsi="Arial" w:cs="Arial"/>
                <w:color w:val="000000"/>
                <w:sz w:val="20"/>
                <w:szCs w:val="20"/>
                <w:lang w:eastAsia="zh-CN"/>
              </w:rPr>
              <w:t>100%</w:t>
            </w:r>
          </w:p>
        </w:tc>
        <w:tc>
          <w:tcPr>
            <w:tcW w:w="644" w:type="pct"/>
            <w:shd w:val="clear" w:color="auto" w:fill="EDFFB7"/>
            <w:noWrap/>
            <w:hideMark/>
          </w:tcPr>
          <w:p w14:paraId="1220826B" w14:textId="77777777" w:rsidR="0021298F" w:rsidRDefault="0021298F" w:rsidP="00760009">
            <w:pPr>
              <w:jc w:val="center"/>
              <w:rPr>
                <w:rFonts w:ascii="Arial" w:eastAsia="Times New Roman" w:hAnsi="Arial" w:cs="Arial"/>
                <w:color w:val="000000"/>
                <w:sz w:val="20"/>
                <w:szCs w:val="20"/>
                <w:lang w:eastAsia="zh-CN"/>
              </w:rPr>
            </w:pPr>
            <w:r>
              <w:rPr>
                <w:rFonts w:ascii="Arial" w:eastAsia="Times New Roman" w:hAnsi="Arial" w:cs="Arial"/>
                <w:color w:val="000000"/>
                <w:sz w:val="20"/>
                <w:szCs w:val="20"/>
                <w:lang w:eastAsia="zh-CN"/>
              </w:rPr>
              <w:t>Jan - Dec</w:t>
            </w:r>
          </w:p>
        </w:tc>
        <w:tc>
          <w:tcPr>
            <w:tcW w:w="1031" w:type="pct"/>
            <w:shd w:val="clear" w:color="auto" w:fill="EDFFB7"/>
            <w:noWrap/>
            <w:vAlign w:val="center"/>
            <w:hideMark/>
          </w:tcPr>
          <w:p w14:paraId="0437FC0C" w14:textId="77777777" w:rsidR="0021298F" w:rsidRDefault="0021298F" w:rsidP="00760009">
            <w:pPr>
              <w:jc w:val="right"/>
              <w:rPr>
                <w:rFonts w:ascii="Arial" w:eastAsia="Times New Roman" w:hAnsi="Arial" w:cs="Arial"/>
                <w:color w:val="000000"/>
                <w:sz w:val="20"/>
                <w:szCs w:val="20"/>
                <w:lang w:eastAsia="zh-CN"/>
              </w:rPr>
            </w:pPr>
            <w:r>
              <w:rPr>
                <w:rFonts w:ascii="Arial" w:eastAsia="Times New Roman" w:hAnsi="Arial" w:cs="Arial"/>
                <w:color w:val="000000"/>
                <w:sz w:val="20"/>
                <w:szCs w:val="20"/>
                <w:lang w:eastAsia="zh-CN"/>
              </w:rPr>
              <w:t>61.3</w:t>
            </w:r>
          </w:p>
        </w:tc>
        <w:tc>
          <w:tcPr>
            <w:tcW w:w="950" w:type="pct"/>
            <w:shd w:val="clear" w:color="auto" w:fill="EDFFB7"/>
            <w:noWrap/>
            <w:hideMark/>
          </w:tcPr>
          <w:p w14:paraId="72CCFC2C" w14:textId="77777777" w:rsidR="0021298F" w:rsidRDefault="0021298F" w:rsidP="00760009">
            <w:pPr>
              <w:jc w:val="right"/>
              <w:rPr>
                <w:rFonts w:ascii="Arial" w:eastAsia="Times New Roman" w:hAnsi="Arial" w:cs="Arial"/>
                <w:color w:val="000000"/>
                <w:sz w:val="20"/>
                <w:szCs w:val="20"/>
                <w:lang w:eastAsia="zh-CN"/>
              </w:rPr>
            </w:pPr>
            <w:r>
              <w:rPr>
                <w:rFonts w:ascii="Arial" w:eastAsia="Times New Roman" w:hAnsi="Arial" w:cs="Arial"/>
                <w:color w:val="000000"/>
                <w:sz w:val="20"/>
                <w:szCs w:val="20"/>
                <w:lang w:eastAsia="zh-CN"/>
              </w:rPr>
              <w:t>66.2</w:t>
            </w:r>
          </w:p>
        </w:tc>
      </w:tr>
      <w:tr w:rsidR="0021298F" w14:paraId="3D0345F1" w14:textId="77777777" w:rsidTr="00760009">
        <w:trPr>
          <w:trHeight w:val="291"/>
        </w:trPr>
        <w:tc>
          <w:tcPr>
            <w:tcW w:w="1667" w:type="pct"/>
            <w:noWrap/>
            <w:vAlign w:val="bottom"/>
            <w:hideMark/>
          </w:tcPr>
          <w:p w14:paraId="55BD62D3" w14:textId="77777777" w:rsidR="0021298F" w:rsidRDefault="0021298F" w:rsidP="00760009">
            <w:pPr>
              <w:rPr>
                <w:rFonts w:ascii="Arial" w:eastAsia="Times New Roman" w:hAnsi="Arial" w:cs="Arial"/>
                <w:color w:val="000000"/>
                <w:sz w:val="20"/>
                <w:szCs w:val="20"/>
                <w:lang w:eastAsia="zh-CN"/>
              </w:rPr>
            </w:pPr>
            <w:r>
              <w:rPr>
                <w:rFonts w:ascii="Arial" w:eastAsia="Times New Roman" w:hAnsi="Arial" w:cs="Arial"/>
                <w:color w:val="000000"/>
                <w:sz w:val="20"/>
                <w:szCs w:val="20"/>
                <w:lang w:eastAsia="zh-CN"/>
              </w:rPr>
              <w:t>Killala</w:t>
            </w:r>
          </w:p>
        </w:tc>
        <w:tc>
          <w:tcPr>
            <w:tcW w:w="708" w:type="pct"/>
            <w:shd w:val="clear" w:color="auto" w:fill="EDFFB7"/>
            <w:noWrap/>
            <w:vAlign w:val="center"/>
            <w:hideMark/>
          </w:tcPr>
          <w:p w14:paraId="5D850C45" w14:textId="77777777" w:rsidR="0021298F" w:rsidRDefault="0021298F" w:rsidP="00760009">
            <w:pPr>
              <w:jc w:val="right"/>
              <w:rPr>
                <w:rFonts w:ascii="Arial" w:eastAsia="Times New Roman" w:hAnsi="Arial" w:cs="Arial"/>
                <w:color w:val="000000"/>
                <w:sz w:val="20"/>
                <w:szCs w:val="20"/>
                <w:lang w:eastAsia="zh-CN"/>
              </w:rPr>
            </w:pPr>
            <w:r>
              <w:rPr>
                <w:rFonts w:ascii="Arial" w:eastAsia="Times New Roman" w:hAnsi="Arial" w:cs="Arial"/>
                <w:color w:val="000000"/>
                <w:sz w:val="20"/>
                <w:szCs w:val="20"/>
                <w:lang w:eastAsia="zh-CN"/>
              </w:rPr>
              <w:t>100%</w:t>
            </w:r>
          </w:p>
        </w:tc>
        <w:tc>
          <w:tcPr>
            <w:tcW w:w="644" w:type="pct"/>
            <w:shd w:val="clear" w:color="auto" w:fill="EDFFB7"/>
            <w:noWrap/>
            <w:hideMark/>
          </w:tcPr>
          <w:p w14:paraId="5434A82E" w14:textId="77777777" w:rsidR="0021298F" w:rsidRDefault="0021298F" w:rsidP="00760009">
            <w:pPr>
              <w:jc w:val="center"/>
              <w:rPr>
                <w:rFonts w:ascii="Arial" w:eastAsia="Times New Roman" w:hAnsi="Arial" w:cs="Arial"/>
                <w:color w:val="000000"/>
                <w:sz w:val="20"/>
                <w:szCs w:val="20"/>
                <w:lang w:eastAsia="zh-CN"/>
              </w:rPr>
            </w:pPr>
            <w:r>
              <w:rPr>
                <w:rFonts w:ascii="Arial" w:eastAsia="Times New Roman" w:hAnsi="Arial" w:cs="Arial"/>
                <w:color w:val="000000"/>
                <w:sz w:val="20"/>
                <w:szCs w:val="20"/>
                <w:lang w:eastAsia="zh-CN"/>
              </w:rPr>
              <w:t>Jan - Dec</w:t>
            </w:r>
          </w:p>
        </w:tc>
        <w:tc>
          <w:tcPr>
            <w:tcW w:w="1031" w:type="pct"/>
            <w:shd w:val="clear" w:color="auto" w:fill="EDFFB7"/>
            <w:noWrap/>
            <w:vAlign w:val="center"/>
            <w:hideMark/>
          </w:tcPr>
          <w:p w14:paraId="0324C2E2" w14:textId="77777777" w:rsidR="0021298F" w:rsidRDefault="0021298F" w:rsidP="00760009">
            <w:pPr>
              <w:jc w:val="right"/>
              <w:rPr>
                <w:rFonts w:ascii="Arial" w:eastAsia="Times New Roman" w:hAnsi="Arial" w:cs="Arial"/>
                <w:color w:val="000000"/>
                <w:sz w:val="20"/>
                <w:szCs w:val="20"/>
                <w:lang w:eastAsia="zh-CN"/>
              </w:rPr>
            </w:pPr>
            <w:r>
              <w:rPr>
                <w:rFonts w:ascii="Arial" w:eastAsia="Times New Roman" w:hAnsi="Arial" w:cs="Arial"/>
                <w:color w:val="000000"/>
                <w:sz w:val="20"/>
                <w:szCs w:val="20"/>
                <w:lang w:eastAsia="zh-CN"/>
              </w:rPr>
              <w:t>46.6</w:t>
            </w:r>
          </w:p>
        </w:tc>
        <w:tc>
          <w:tcPr>
            <w:tcW w:w="950" w:type="pct"/>
            <w:shd w:val="clear" w:color="auto" w:fill="EDFFB7"/>
            <w:noWrap/>
            <w:hideMark/>
          </w:tcPr>
          <w:p w14:paraId="3455073C" w14:textId="77777777" w:rsidR="0021298F" w:rsidRDefault="0021298F" w:rsidP="00760009">
            <w:pPr>
              <w:jc w:val="right"/>
              <w:rPr>
                <w:rFonts w:ascii="Arial" w:eastAsia="Times New Roman" w:hAnsi="Arial" w:cs="Arial"/>
                <w:color w:val="000000"/>
                <w:sz w:val="20"/>
                <w:szCs w:val="20"/>
                <w:lang w:eastAsia="zh-CN"/>
              </w:rPr>
            </w:pPr>
            <w:r>
              <w:rPr>
                <w:rFonts w:ascii="Arial" w:eastAsia="Times New Roman" w:hAnsi="Arial" w:cs="Arial"/>
                <w:color w:val="000000"/>
                <w:sz w:val="20"/>
                <w:szCs w:val="20"/>
                <w:lang w:eastAsia="zh-CN"/>
              </w:rPr>
              <w:t>44.1</w:t>
            </w:r>
          </w:p>
        </w:tc>
      </w:tr>
      <w:tr w:rsidR="0021298F" w14:paraId="3294BB28" w14:textId="77777777" w:rsidTr="00760009">
        <w:trPr>
          <w:trHeight w:val="291"/>
        </w:trPr>
        <w:tc>
          <w:tcPr>
            <w:tcW w:w="1667" w:type="pct"/>
            <w:noWrap/>
            <w:vAlign w:val="bottom"/>
            <w:hideMark/>
          </w:tcPr>
          <w:p w14:paraId="419F016C" w14:textId="77777777" w:rsidR="0021298F" w:rsidRDefault="0021298F" w:rsidP="00760009">
            <w:pPr>
              <w:rPr>
                <w:rFonts w:ascii="Arial" w:eastAsia="Times New Roman" w:hAnsi="Arial" w:cs="Arial"/>
                <w:color w:val="000000"/>
                <w:sz w:val="20"/>
                <w:szCs w:val="20"/>
                <w:lang w:eastAsia="zh-CN"/>
              </w:rPr>
            </w:pPr>
            <w:r>
              <w:rPr>
                <w:rFonts w:ascii="Arial" w:eastAsia="Times New Roman" w:hAnsi="Arial" w:cs="Arial"/>
                <w:color w:val="000000"/>
                <w:sz w:val="20"/>
                <w:szCs w:val="20"/>
                <w:lang w:eastAsia="zh-CN"/>
              </w:rPr>
              <w:t>Killhills</w:t>
            </w:r>
          </w:p>
        </w:tc>
        <w:tc>
          <w:tcPr>
            <w:tcW w:w="708" w:type="pct"/>
            <w:shd w:val="clear" w:color="auto" w:fill="EDFFB7"/>
            <w:noWrap/>
            <w:vAlign w:val="center"/>
            <w:hideMark/>
          </w:tcPr>
          <w:p w14:paraId="0C066208" w14:textId="77777777" w:rsidR="0021298F" w:rsidRDefault="0021298F" w:rsidP="00760009">
            <w:pPr>
              <w:jc w:val="right"/>
              <w:rPr>
                <w:rFonts w:ascii="Arial" w:eastAsia="Times New Roman" w:hAnsi="Arial" w:cs="Arial"/>
                <w:color w:val="000000"/>
                <w:sz w:val="20"/>
                <w:szCs w:val="20"/>
                <w:vertAlign w:val="superscript"/>
                <w:lang w:eastAsia="zh-CN"/>
              </w:rPr>
            </w:pPr>
            <w:r>
              <w:rPr>
                <w:rFonts w:ascii="Arial" w:eastAsia="Times New Roman" w:hAnsi="Arial" w:cs="Arial"/>
                <w:color w:val="000000"/>
                <w:sz w:val="20"/>
                <w:szCs w:val="20"/>
                <w:lang w:eastAsia="zh-CN"/>
              </w:rPr>
              <w:t>100%</w:t>
            </w:r>
          </w:p>
        </w:tc>
        <w:tc>
          <w:tcPr>
            <w:tcW w:w="644" w:type="pct"/>
            <w:shd w:val="clear" w:color="auto" w:fill="EDFFB7"/>
            <w:noWrap/>
            <w:hideMark/>
          </w:tcPr>
          <w:p w14:paraId="6BEB7F8E" w14:textId="77777777" w:rsidR="0021298F" w:rsidRDefault="0021298F" w:rsidP="00760009">
            <w:pPr>
              <w:jc w:val="center"/>
              <w:rPr>
                <w:rFonts w:ascii="Arial" w:eastAsia="Times New Roman" w:hAnsi="Arial" w:cs="Arial"/>
                <w:color w:val="000000"/>
                <w:sz w:val="20"/>
                <w:szCs w:val="20"/>
                <w:lang w:eastAsia="zh-CN"/>
              </w:rPr>
            </w:pPr>
            <w:r>
              <w:rPr>
                <w:rFonts w:ascii="Arial" w:eastAsia="Times New Roman" w:hAnsi="Arial" w:cs="Arial"/>
                <w:color w:val="000000"/>
                <w:sz w:val="20"/>
                <w:szCs w:val="20"/>
                <w:lang w:eastAsia="zh-CN"/>
              </w:rPr>
              <w:t>Jan - Dec</w:t>
            </w:r>
          </w:p>
        </w:tc>
        <w:tc>
          <w:tcPr>
            <w:tcW w:w="1031" w:type="pct"/>
            <w:shd w:val="clear" w:color="auto" w:fill="EDFFB7"/>
            <w:noWrap/>
            <w:vAlign w:val="center"/>
            <w:hideMark/>
          </w:tcPr>
          <w:p w14:paraId="448962B2" w14:textId="77777777" w:rsidR="0021298F" w:rsidRDefault="0021298F" w:rsidP="00760009">
            <w:pPr>
              <w:jc w:val="right"/>
              <w:rPr>
                <w:rFonts w:ascii="Arial" w:eastAsia="Times New Roman" w:hAnsi="Arial" w:cs="Arial"/>
                <w:color w:val="000000"/>
                <w:sz w:val="20"/>
                <w:szCs w:val="20"/>
                <w:lang w:eastAsia="zh-CN"/>
              </w:rPr>
            </w:pPr>
            <w:r>
              <w:rPr>
                <w:rFonts w:ascii="Arial" w:eastAsia="Times New Roman" w:hAnsi="Arial" w:cs="Arial"/>
                <w:color w:val="000000"/>
                <w:sz w:val="20"/>
                <w:szCs w:val="20"/>
                <w:lang w:eastAsia="zh-CN"/>
              </w:rPr>
              <w:t>89.1</w:t>
            </w:r>
          </w:p>
        </w:tc>
        <w:tc>
          <w:tcPr>
            <w:tcW w:w="950" w:type="pct"/>
            <w:shd w:val="clear" w:color="auto" w:fill="EDFFB7"/>
            <w:noWrap/>
            <w:hideMark/>
          </w:tcPr>
          <w:p w14:paraId="659C2718" w14:textId="77777777" w:rsidR="0021298F" w:rsidRDefault="0021298F" w:rsidP="00760009">
            <w:pPr>
              <w:jc w:val="right"/>
              <w:rPr>
                <w:rFonts w:ascii="Arial" w:eastAsia="Times New Roman" w:hAnsi="Arial" w:cs="Arial"/>
                <w:color w:val="000000"/>
                <w:sz w:val="20"/>
                <w:szCs w:val="20"/>
                <w:lang w:eastAsia="zh-CN"/>
              </w:rPr>
            </w:pPr>
            <w:r>
              <w:rPr>
                <w:rFonts w:ascii="Arial" w:eastAsia="Times New Roman" w:hAnsi="Arial" w:cs="Arial"/>
                <w:color w:val="000000"/>
                <w:sz w:val="20"/>
                <w:szCs w:val="20"/>
                <w:lang w:eastAsia="zh-CN"/>
              </w:rPr>
              <w:t>87.9</w:t>
            </w:r>
          </w:p>
        </w:tc>
      </w:tr>
      <w:tr w:rsidR="0021298F" w14:paraId="14AA1839" w14:textId="77777777" w:rsidTr="00760009">
        <w:trPr>
          <w:trHeight w:val="291"/>
        </w:trPr>
        <w:tc>
          <w:tcPr>
            <w:tcW w:w="1667" w:type="pct"/>
            <w:noWrap/>
            <w:vAlign w:val="bottom"/>
            <w:hideMark/>
          </w:tcPr>
          <w:p w14:paraId="0EDCB58A" w14:textId="77777777" w:rsidR="0021298F" w:rsidRDefault="0021298F" w:rsidP="00760009">
            <w:pPr>
              <w:rPr>
                <w:rFonts w:ascii="Arial" w:eastAsia="Times New Roman" w:hAnsi="Arial" w:cs="Arial"/>
                <w:color w:val="000000"/>
                <w:sz w:val="20"/>
                <w:szCs w:val="20"/>
                <w:lang w:eastAsia="zh-CN"/>
              </w:rPr>
            </w:pPr>
            <w:r>
              <w:rPr>
                <w:rFonts w:ascii="Arial" w:eastAsia="Times New Roman" w:hAnsi="Arial" w:cs="Arial"/>
                <w:color w:val="000000"/>
                <w:sz w:val="20"/>
                <w:szCs w:val="20"/>
                <w:lang w:eastAsia="zh-CN"/>
              </w:rPr>
              <w:t>Knockacummer</w:t>
            </w:r>
          </w:p>
        </w:tc>
        <w:tc>
          <w:tcPr>
            <w:tcW w:w="708" w:type="pct"/>
            <w:shd w:val="clear" w:color="auto" w:fill="EDFFB7"/>
            <w:noWrap/>
            <w:vAlign w:val="center"/>
            <w:hideMark/>
          </w:tcPr>
          <w:p w14:paraId="442D37F7" w14:textId="77777777" w:rsidR="0021298F" w:rsidRDefault="0021298F" w:rsidP="00760009">
            <w:pPr>
              <w:jc w:val="right"/>
              <w:rPr>
                <w:rFonts w:ascii="Arial" w:eastAsia="Times New Roman" w:hAnsi="Arial" w:cs="Arial"/>
                <w:color w:val="000000"/>
                <w:sz w:val="20"/>
                <w:szCs w:val="20"/>
                <w:lang w:eastAsia="zh-CN"/>
              </w:rPr>
            </w:pPr>
            <w:r>
              <w:rPr>
                <w:rFonts w:ascii="Arial" w:eastAsia="Times New Roman" w:hAnsi="Arial" w:cs="Arial"/>
                <w:color w:val="000000"/>
                <w:sz w:val="20"/>
                <w:szCs w:val="20"/>
                <w:lang w:eastAsia="zh-CN"/>
              </w:rPr>
              <w:t>100%</w:t>
            </w:r>
          </w:p>
        </w:tc>
        <w:tc>
          <w:tcPr>
            <w:tcW w:w="644" w:type="pct"/>
            <w:shd w:val="clear" w:color="auto" w:fill="EDFFB7"/>
            <w:noWrap/>
            <w:hideMark/>
          </w:tcPr>
          <w:p w14:paraId="15C8C77D" w14:textId="77777777" w:rsidR="0021298F" w:rsidRDefault="0021298F" w:rsidP="00760009">
            <w:pPr>
              <w:jc w:val="center"/>
              <w:rPr>
                <w:rFonts w:ascii="Arial" w:eastAsia="Times New Roman" w:hAnsi="Arial" w:cs="Arial"/>
                <w:color w:val="000000"/>
                <w:sz w:val="20"/>
                <w:szCs w:val="20"/>
                <w:lang w:eastAsia="zh-CN"/>
              </w:rPr>
            </w:pPr>
            <w:r>
              <w:rPr>
                <w:rFonts w:ascii="Arial" w:eastAsia="Times New Roman" w:hAnsi="Arial" w:cs="Arial"/>
                <w:color w:val="000000"/>
                <w:sz w:val="20"/>
                <w:szCs w:val="20"/>
                <w:lang w:eastAsia="zh-CN"/>
              </w:rPr>
              <w:t>Jan - Dec</w:t>
            </w:r>
          </w:p>
        </w:tc>
        <w:tc>
          <w:tcPr>
            <w:tcW w:w="1031" w:type="pct"/>
            <w:shd w:val="clear" w:color="auto" w:fill="EDFFB7"/>
            <w:noWrap/>
            <w:vAlign w:val="center"/>
            <w:hideMark/>
          </w:tcPr>
          <w:p w14:paraId="5299C832" w14:textId="77777777" w:rsidR="0021298F" w:rsidRDefault="0021298F" w:rsidP="00760009">
            <w:pPr>
              <w:jc w:val="right"/>
              <w:rPr>
                <w:rFonts w:ascii="Arial" w:eastAsia="Times New Roman" w:hAnsi="Arial" w:cs="Arial"/>
                <w:color w:val="000000"/>
                <w:sz w:val="20"/>
                <w:szCs w:val="20"/>
                <w:lang w:eastAsia="zh-CN"/>
              </w:rPr>
            </w:pPr>
            <w:r>
              <w:rPr>
                <w:rFonts w:ascii="Arial" w:eastAsia="Times New Roman" w:hAnsi="Arial" w:cs="Arial"/>
                <w:color w:val="000000"/>
                <w:sz w:val="20"/>
                <w:szCs w:val="20"/>
                <w:lang w:eastAsia="zh-CN"/>
              </w:rPr>
              <w:t>295.3</w:t>
            </w:r>
          </w:p>
        </w:tc>
        <w:tc>
          <w:tcPr>
            <w:tcW w:w="950" w:type="pct"/>
            <w:shd w:val="clear" w:color="auto" w:fill="EDFFB7"/>
            <w:noWrap/>
            <w:hideMark/>
          </w:tcPr>
          <w:p w14:paraId="70A2126F" w14:textId="77777777" w:rsidR="0021298F" w:rsidRDefault="0021298F" w:rsidP="00760009">
            <w:pPr>
              <w:jc w:val="right"/>
              <w:rPr>
                <w:rFonts w:ascii="Arial" w:eastAsia="Times New Roman" w:hAnsi="Arial" w:cs="Arial"/>
                <w:color w:val="000000"/>
                <w:sz w:val="20"/>
                <w:szCs w:val="20"/>
                <w:lang w:eastAsia="zh-CN"/>
              </w:rPr>
            </w:pPr>
            <w:r>
              <w:rPr>
                <w:rFonts w:ascii="Arial" w:eastAsia="Times New Roman" w:hAnsi="Arial" w:cs="Arial"/>
                <w:color w:val="000000"/>
                <w:sz w:val="20"/>
                <w:szCs w:val="20"/>
                <w:lang w:eastAsia="zh-CN"/>
              </w:rPr>
              <w:t>267.2</w:t>
            </w:r>
          </w:p>
        </w:tc>
      </w:tr>
      <w:tr w:rsidR="0021298F" w14:paraId="5FCAA7A5" w14:textId="77777777" w:rsidTr="00760009">
        <w:trPr>
          <w:trHeight w:val="291"/>
        </w:trPr>
        <w:tc>
          <w:tcPr>
            <w:tcW w:w="1667" w:type="pct"/>
            <w:noWrap/>
            <w:vAlign w:val="bottom"/>
            <w:hideMark/>
          </w:tcPr>
          <w:p w14:paraId="5C700BC3" w14:textId="77777777" w:rsidR="0021298F" w:rsidRDefault="0021298F" w:rsidP="00760009">
            <w:pPr>
              <w:rPr>
                <w:rFonts w:ascii="Arial" w:eastAsia="Times New Roman" w:hAnsi="Arial" w:cs="Arial"/>
                <w:color w:val="000000"/>
                <w:sz w:val="20"/>
                <w:szCs w:val="20"/>
                <w:lang w:eastAsia="zh-CN"/>
              </w:rPr>
            </w:pPr>
            <w:r>
              <w:rPr>
                <w:rFonts w:ascii="Arial" w:eastAsia="Times New Roman" w:hAnsi="Arial" w:cs="Arial"/>
                <w:color w:val="000000"/>
                <w:sz w:val="20"/>
                <w:szCs w:val="20"/>
                <w:lang w:eastAsia="zh-CN"/>
              </w:rPr>
              <w:t>Knocknalour</w:t>
            </w:r>
          </w:p>
        </w:tc>
        <w:tc>
          <w:tcPr>
            <w:tcW w:w="708" w:type="pct"/>
            <w:shd w:val="clear" w:color="auto" w:fill="EDFFB7"/>
            <w:noWrap/>
            <w:vAlign w:val="center"/>
            <w:hideMark/>
          </w:tcPr>
          <w:p w14:paraId="51801580" w14:textId="77777777" w:rsidR="0021298F" w:rsidRDefault="0021298F" w:rsidP="00760009">
            <w:pPr>
              <w:jc w:val="right"/>
              <w:rPr>
                <w:rFonts w:ascii="Arial" w:eastAsia="Times New Roman" w:hAnsi="Arial" w:cs="Arial"/>
                <w:color w:val="000000"/>
                <w:sz w:val="20"/>
                <w:szCs w:val="20"/>
                <w:lang w:eastAsia="zh-CN"/>
              </w:rPr>
            </w:pPr>
            <w:r>
              <w:rPr>
                <w:rFonts w:ascii="Arial" w:eastAsia="Times New Roman" w:hAnsi="Arial" w:cs="Arial"/>
                <w:color w:val="000000"/>
                <w:sz w:val="20"/>
                <w:szCs w:val="20"/>
                <w:lang w:eastAsia="zh-CN"/>
              </w:rPr>
              <w:t>100%</w:t>
            </w:r>
          </w:p>
        </w:tc>
        <w:tc>
          <w:tcPr>
            <w:tcW w:w="644" w:type="pct"/>
            <w:shd w:val="clear" w:color="auto" w:fill="EDFFB7"/>
            <w:noWrap/>
            <w:hideMark/>
          </w:tcPr>
          <w:p w14:paraId="39C5AB4A" w14:textId="77777777" w:rsidR="0021298F" w:rsidRDefault="0021298F" w:rsidP="00760009">
            <w:pPr>
              <w:jc w:val="center"/>
              <w:rPr>
                <w:rFonts w:ascii="Arial" w:eastAsia="Times New Roman" w:hAnsi="Arial" w:cs="Arial"/>
                <w:color w:val="000000"/>
                <w:sz w:val="20"/>
                <w:szCs w:val="20"/>
                <w:lang w:eastAsia="zh-CN"/>
              </w:rPr>
            </w:pPr>
            <w:r>
              <w:rPr>
                <w:rFonts w:ascii="Arial" w:eastAsia="Times New Roman" w:hAnsi="Arial" w:cs="Arial"/>
                <w:color w:val="000000"/>
                <w:sz w:val="20"/>
                <w:szCs w:val="20"/>
                <w:lang w:eastAsia="zh-CN"/>
              </w:rPr>
              <w:t>Jan - Dec</w:t>
            </w:r>
          </w:p>
        </w:tc>
        <w:tc>
          <w:tcPr>
            <w:tcW w:w="1031" w:type="pct"/>
            <w:shd w:val="clear" w:color="auto" w:fill="EDFFB7"/>
            <w:noWrap/>
            <w:vAlign w:val="center"/>
            <w:hideMark/>
          </w:tcPr>
          <w:p w14:paraId="6F48FCEA" w14:textId="77777777" w:rsidR="0021298F" w:rsidRDefault="0021298F" w:rsidP="00760009">
            <w:pPr>
              <w:jc w:val="right"/>
              <w:rPr>
                <w:rFonts w:ascii="Arial" w:eastAsia="Times New Roman" w:hAnsi="Arial" w:cs="Arial"/>
                <w:color w:val="000000"/>
                <w:sz w:val="20"/>
                <w:szCs w:val="20"/>
                <w:lang w:eastAsia="zh-CN"/>
              </w:rPr>
            </w:pPr>
            <w:r>
              <w:rPr>
                <w:rFonts w:ascii="Arial" w:eastAsia="Times New Roman" w:hAnsi="Arial" w:cs="Arial"/>
                <w:color w:val="000000"/>
                <w:sz w:val="20"/>
                <w:szCs w:val="20"/>
                <w:lang w:eastAsia="zh-CN"/>
              </w:rPr>
              <w:t>21.2</w:t>
            </w:r>
          </w:p>
        </w:tc>
        <w:tc>
          <w:tcPr>
            <w:tcW w:w="950" w:type="pct"/>
            <w:shd w:val="clear" w:color="auto" w:fill="EDFFB7"/>
            <w:noWrap/>
            <w:hideMark/>
          </w:tcPr>
          <w:p w14:paraId="5E1B7E57" w14:textId="77777777" w:rsidR="0021298F" w:rsidRDefault="0021298F" w:rsidP="00760009">
            <w:pPr>
              <w:jc w:val="right"/>
              <w:rPr>
                <w:rFonts w:ascii="Arial" w:eastAsia="Times New Roman" w:hAnsi="Arial" w:cs="Arial"/>
                <w:color w:val="000000"/>
                <w:sz w:val="20"/>
                <w:szCs w:val="20"/>
                <w:lang w:eastAsia="zh-CN"/>
              </w:rPr>
            </w:pPr>
            <w:r>
              <w:rPr>
                <w:rFonts w:ascii="Arial" w:eastAsia="Times New Roman" w:hAnsi="Arial" w:cs="Arial"/>
                <w:color w:val="000000"/>
                <w:sz w:val="20"/>
                <w:szCs w:val="20"/>
                <w:lang w:eastAsia="zh-CN"/>
              </w:rPr>
              <w:t>21.1</w:t>
            </w:r>
          </w:p>
        </w:tc>
      </w:tr>
      <w:tr w:rsidR="0021298F" w14:paraId="7824EAC3" w14:textId="77777777" w:rsidTr="00760009">
        <w:trPr>
          <w:trHeight w:val="291"/>
        </w:trPr>
        <w:tc>
          <w:tcPr>
            <w:tcW w:w="1667" w:type="pct"/>
            <w:noWrap/>
            <w:vAlign w:val="bottom"/>
            <w:hideMark/>
          </w:tcPr>
          <w:p w14:paraId="7C8E4F30" w14:textId="77777777" w:rsidR="0021298F" w:rsidRDefault="0021298F" w:rsidP="00760009">
            <w:pPr>
              <w:rPr>
                <w:rFonts w:ascii="Arial" w:eastAsia="Times New Roman" w:hAnsi="Arial" w:cs="Arial"/>
                <w:color w:val="000000"/>
                <w:sz w:val="20"/>
                <w:szCs w:val="20"/>
                <w:lang w:eastAsia="zh-CN"/>
              </w:rPr>
            </w:pPr>
            <w:r>
              <w:rPr>
                <w:rFonts w:ascii="Arial" w:eastAsia="Times New Roman" w:hAnsi="Arial" w:cs="Arial"/>
                <w:color w:val="000000"/>
                <w:sz w:val="20"/>
                <w:szCs w:val="20"/>
                <w:lang w:eastAsia="zh-CN"/>
              </w:rPr>
              <w:t>Letteragh</w:t>
            </w:r>
          </w:p>
        </w:tc>
        <w:tc>
          <w:tcPr>
            <w:tcW w:w="708" w:type="pct"/>
            <w:shd w:val="clear" w:color="auto" w:fill="EDFFB7"/>
            <w:noWrap/>
            <w:vAlign w:val="center"/>
            <w:hideMark/>
          </w:tcPr>
          <w:p w14:paraId="7A80D401" w14:textId="77777777" w:rsidR="0021298F" w:rsidRDefault="0021298F" w:rsidP="00760009">
            <w:pPr>
              <w:jc w:val="right"/>
              <w:rPr>
                <w:rFonts w:ascii="Arial" w:eastAsia="Times New Roman" w:hAnsi="Arial" w:cs="Arial"/>
                <w:color w:val="000000"/>
                <w:sz w:val="20"/>
                <w:szCs w:val="20"/>
                <w:lang w:eastAsia="zh-CN"/>
              </w:rPr>
            </w:pPr>
            <w:r>
              <w:rPr>
                <w:rFonts w:ascii="Arial" w:eastAsia="Times New Roman" w:hAnsi="Arial" w:cs="Arial"/>
                <w:color w:val="000000"/>
                <w:sz w:val="20"/>
                <w:szCs w:val="20"/>
                <w:lang w:eastAsia="zh-CN"/>
              </w:rPr>
              <w:t>100%</w:t>
            </w:r>
          </w:p>
        </w:tc>
        <w:tc>
          <w:tcPr>
            <w:tcW w:w="644" w:type="pct"/>
            <w:shd w:val="clear" w:color="auto" w:fill="EDFFB7"/>
            <w:noWrap/>
            <w:hideMark/>
          </w:tcPr>
          <w:p w14:paraId="3B521609" w14:textId="77777777" w:rsidR="0021298F" w:rsidRDefault="0021298F" w:rsidP="00760009">
            <w:pPr>
              <w:jc w:val="center"/>
              <w:rPr>
                <w:rFonts w:ascii="Arial" w:eastAsia="Times New Roman" w:hAnsi="Arial" w:cs="Arial"/>
                <w:color w:val="000000"/>
                <w:sz w:val="20"/>
                <w:szCs w:val="20"/>
                <w:lang w:eastAsia="zh-CN"/>
              </w:rPr>
            </w:pPr>
            <w:r>
              <w:rPr>
                <w:rFonts w:ascii="Arial" w:eastAsia="Times New Roman" w:hAnsi="Arial" w:cs="Arial"/>
                <w:color w:val="000000"/>
                <w:sz w:val="20"/>
                <w:szCs w:val="20"/>
                <w:lang w:eastAsia="zh-CN"/>
              </w:rPr>
              <w:t>Mar – Dec</w:t>
            </w:r>
          </w:p>
        </w:tc>
        <w:tc>
          <w:tcPr>
            <w:tcW w:w="1031" w:type="pct"/>
            <w:shd w:val="clear" w:color="auto" w:fill="EDFFB7"/>
            <w:noWrap/>
            <w:vAlign w:val="center"/>
            <w:hideMark/>
          </w:tcPr>
          <w:p w14:paraId="572431DB" w14:textId="77777777" w:rsidR="0021298F" w:rsidRDefault="0021298F" w:rsidP="00760009">
            <w:pPr>
              <w:jc w:val="right"/>
              <w:rPr>
                <w:rFonts w:ascii="Arial" w:eastAsia="Times New Roman" w:hAnsi="Arial" w:cs="Arial"/>
                <w:color w:val="000000"/>
                <w:sz w:val="20"/>
                <w:szCs w:val="20"/>
                <w:lang w:eastAsia="zh-CN"/>
              </w:rPr>
            </w:pPr>
            <w:r>
              <w:rPr>
                <w:rFonts w:ascii="Arial" w:eastAsia="Times New Roman" w:hAnsi="Arial" w:cs="Arial"/>
                <w:color w:val="000000"/>
                <w:sz w:val="20"/>
                <w:szCs w:val="20"/>
                <w:lang w:eastAsia="zh-CN"/>
              </w:rPr>
              <w:t>36.9</w:t>
            </w:r>
          </w:p>
        </w:tc>
        <w:tc>
          <w:tcPr>
            <w:tcW w:w="950" w:type="pct"/>
            <w:shd w:val="clear" w:color="auto" w:fill="EDFFB7"/>
            <w:noWrap/>
            <w:hideMark/>
          </w:tcPr>
          <w:p w14:paraId="22998F8D" w14:textId="77777777" w:rsidR="0021298F" w:rsidRDefault="0021298F" w:rsidP="00760009">
            <w:pPr>
              <w:jc w:val="right"/>
              <w:rPr>
                <w:rFonts w:ascii="Arial" w:eastAsia="Times New Roman" w:hAnsi="Arial" w:cs="Arial"/>
                <w:color w:val="000000"/>
                <w:sz w:val="20"/>
                <w:szCs w:val="20"/>
                <w:lang w:eastAsia="zh-CN"/>
              </w:rPr>
            </w:pPr>
            <w:r>
              <w:rPr>
                <w:rFonts w:ascii="Arial" w:eastAsia="Times New Roman" w:hAnsi="Arial" w:cs="Arial"/>
                <w:color w:val="000000"/>
                <w:sz w:val="20"/>
                <w:szCs w:val="20"/>
                <w:lang w:eastAsia="zh-CN"/>
              </w:rPr>
              <w:t>37.2</w:t>
            </w:r>
          </w:p>
        </w:tc>
      </w:tr>
      <w:tr w:rsidR="0021298F" w14:paraId="3CDECF9F" w14:textId="77777777" w:rsidTr="00760009">
        <w:trPr>
          <w:trHeight w:val="291"/>
        </w:trPr>
        <w:tc>
          <w:tcPr>
            <w:tcW w:w="1667" w:type="pct"/>
            <w:noWrap/>
            <w:vAlign w:val="bottom"/>
            <w:hideMark/>
          </w:tcPr>
          <w:p w14:paraId="3B4F332D" w14:textId="77777777" w:rsidR="0021298F" w:rsidRDefault="0021298F" w:rsidP="00760009">
            <w:pPr>
              <w:rPr>
                <w:rFonts w:ascii="Arial" w:eastAsia="Times New Roman" w:hAnsi="Arial" w:cs="Arial"/>
                <w:color w:val="000000"/>
                <w:sz w:val="20"/>
                <w:szCs w:val="20"/>
                <w:lang w:eastAsia="zh-CN"/>
              </w:rPr>
            </w:pPr>
            <w:r>
              <w:rPr>
                <w:rFonts w:ascii="Arial" w:eastAsia="Times New Roman" w:hAnsi="Arial" w:cs="Arial"/>
                <w:color w:val="000000"/>
                <w:sz w:val="20"/>
                <w:szCs w:val="20"/>
                <w:lang w:eastAsia="zh-CN"/>
              </w:rPr>
              <w:t>Lisdowney</w:t>
            </w:r>
          </w:p>
        </w:tc>
        <w:tc>
          <w:tcPr>
            <w:tcW w:w="708" w:type="pct"/>
            <w:shd w:val="clear" w:color="auto" w:fill="EDFFB7"/>
            <w:noWrap/>
            <w:vAlign w:val="center"/>
            <w:hideMark/>
          </w:tcPr>
          <w:p w14:paraId="686B1465" w14:textId="77777777" w:rsidR="0021298F" w:rsidRDefault="0021298F" w:rsidP="00760009">
            <w:pPr>
              <w:jc w:val="right"/>
              <w:rPr>
                <w:rFonts w:ascii="Arial" w:eastAsia="Times New Roman" w:hAnsi="Arial" w:cs="Arial"/>
                <w:color w:val="000000"/>
                <w:sz w:val="20"/>
                <w:szCs w:val="20"/>
                <w:lang w:eastAsia="zh-CN"/>
              </w:rPr>
            </w:pPr>
            <w:r>
              <w:rPr>
                <w:rFonts w:ascii="Arial" w:eastAsia="Times New Roman" w:hAnsi="Arial" w:cs="Arial"/>
                <w:color w:val="000000"/>
                <w:sz w:val="20"/>
                <w:szCs w:val="20"/>
                <w:lang w:eastAsia="zh-CN"/>
              </w:rPr>
              <w:t>100%</w:t>
            </w:r>
          </w:p>
        </w:tc>
        <w:tc>
          <w:tcPr>
            <w:tcW w:w="644" w:type="pct"/>
            <w:shd w:val="clear" w:color="auto" w:fill="EDFFB7"/>
            <w:noWrap/>
            <w:hideMark/>
          </w:tcPr>
          <w:p w14:paraId="6EFA58BB" w14:textId="77777777" w:rsidR="0021298F" w:rsidRDefault="0021298F" w:rsidP="00760009">
            <w:pPr>
              <w:jc w:val="center"/>
              <w:rPr>
                <w:rFonts w:ascii="Arial" w:eastAsia="Times New Roman" w:hAnsi="Arial" w:cs="Arial"/>
                <w:color w:val="000000"/>
                <w:sz w:val="20"/>
                <w:szCs w:val="20"/>
                <w:lang w:eastAsia="zh-CN"/>
              </w:rPr>
            </w:pPr>
            <w:r>
              <w:rPr>
                <w:rFonts w:ascii="Arial" w:eastAsia="Times New Roman" w:hAnsi="Arial" w:cs="Arial"/>
                <w:color w:val="000000"/>
                <w:sz w:val="20"/>
                <w:szCs w:val="20"/>
                <w:lang w:eastAsia="zh-CN"/>
              </w:rPr>
              <w:t>Jan - Dec</w:t>
            </w:r>
          </w:p>
        </w:tc>
        <w:tc>
          <w:tcPr>
            <w:tcW w:w="1031" w:type="pct"/>
            <w:shd w:val="clear" w:color="auto" w:fill="EDFFB7"/>
            <w:noWrap/>
            <w:vAlign w:val="center"/>
            <w:hideMark/>
          </w:tcPr>
          <w:p w14:paraId="152AE94F" w14:textId="77777777" w:rsidR="0021298F" w:rsidRDefault="0021298F" w:rsidP="00760009">
            <w:pPr>
              <w:jc w:val="right"/>
              <w:rPr>
                <w:rFonts w:ascii="Arial" w:eastAsia="Times New Roman" w:hAnsi="Arial" w:cs="Arial"/>
                <w:color w:val="000000"/>
                <w:sz w:val="20"/>
                <w:szCs w:val="20"/>
                <w:lang w:eastAsia="zh-CN"/>
              </w:rPr>
            </w:pPr>
            <w:r>
              <w:rPr>
                <w:rFonts w:ascii="Arial" w:eastAsia="Times New Roman" w:hAnsi="Arial" w:cs="Arial"/>
                <w:color w:val="000000"/>
                <w:sz w:val="20"/>
                <w:szCs w:val="20"/>
                <w:lang w:eastAsia="zh-CN"/>
              </w:rPr>
              <w:t>30.3</w:t>
            </w:r>
          </w:p>
        </w:tc>
        <w:tc>
          <w:tcPr>
            <w:tcW w:w="950" w:type="pct"/>
            <w:shd w:val="clear" w:color="auto" w:fill="EDFFB7"/>
            <w:noWrap/>
            <w:hideMark/>
          </w:tcPr>
          <w:p w14:paraId="2A453A6A" w14:textId="77777777" w:rsidR="0021298F" w:rsidRDefault="0021298F" w:rsidP="00760009">
            <w:pPr>
              <w:jc w:val="right"/>
              <w:rPr>
                <w:rFonts w:ascii="Arial" w:eastAsia="Times New Roman" w:hAnsi="Arial" w:cs="Arial"/>
                <w:color w:val="000000"/>
                <w:sz w:val="20"/>
                <w:szCs w:val="20"/>
                <w:lang w:eastAsia="zh-CN"/>
              </w:rPr>
            </w:pPr>
            <w:r>
              <w:rPr>
                <w:rFonts w:ascii="Arial" w:eastAsia="Times New Roman" w:hAnsi="Arial" w:cs="Arial"/>
                <w:color w:val="000000"/>
                <w:sz w:val="20"/>
                <w:szCs w:val="20"/>
                <w:lang w:eastAsia="zh-CN"/>
              </w:rPr>
              <w:t>30.8</w:t>
            </w:r>
          </w:p>
        </w:tc>
      </w:tr>
      <w:tr w:rsidR="0021298F" w14:paraId="71DB418F" w14:textId="77777777" w:rsidTr="00760009">
        <w:trPr>
          <w:trHeight w:val="291"/>
        </w:trPr>
        <w:tc>
          <w:tcPr>
            <w:tcW w:w="1667" w:type="pct"/>
            <w:noWrap/>
            <w:vAlign w:val="bottom"/>
            <w:hideMark/>
          </w:tcPr>
          <w:p w14:paraId="4ACFDBCE" w14:textId="77777777" w:rsidR="0021298F" w:rsidRDefault="0021298F" w:rsidP="00760009">
            <w:pPr>
              <w:rPr>
                <w:rFonts w:ascii="Arial" w:eastAsia="Times New Roman" w:hAnsi="Arial" w:cs="Arial"/>
                <w:color w:val="000000"/>
                <w:sz w:val="20"/>
                <w:szCs w:val="20"/>
                <w:lang w:eastAsia="zh-CN"/>
              </w:rPr>
            </w:pPr>
            <w:r>
              <w:rPr>
                <w:rFonts w:ascii="Arial" w:eastAsia="Times New Roman" w:hAnsi="Arial" w:cs="Arial"/>
                <w:color w:val="000000"/>
                <w:sz w:val="20"/>
                <w:szCs w:val="20"/>
                <w:lang w:eastAsia="zh-CN"/>
              </w:rPr>
              <w:t>Monaincha</w:t>
            </w:r>
          </w:p>
        </w:tc>
        <w:tc>
          <w:tcPr>
            <w:tcW w:w="708" w:type="pct"/>
            <w:shd w:val="clear" w:color="auto" w:fill="EDFFB7"/>
            <w:noWrap/>
            <w:vAlign w:val="center"/>
            <w:hideMark/>
          </w:tcPr>
          <w:p w14:paraId="23304DE5" w14:textId="77777777" w:rsidR="0021298F" w:rsidRDefault="0021298F" w:rsidP="00760009">
            <w:pPr>
              <w:jc w:val="right"/>
              <w:rPr>
                <w:rFonts w:ascii="Arial" w:eastAsia="Times New Roman" w:hAnsi="Arial" w:cs="Arial"/>
                <w:color w:val="000000"/>
                <w:sz w:val="20"/>
                <w:szCs w:val="20"/>
                <w:lang w:eastAsia="zh-CN"/>
              </w:rPr>
            </w:pPr>
            <w:r>
              <w:rPr>
                <w:rFonts w:ascii="Arial" w:eastAsia="Times New Roman" w:hAnsi="Arial" w:cs="Arial"/>
                <w:color w:val="000000"/>
                <w:sz w:val="20"/>
                <w:szCs w:val="20"/>
                <w:lang w:eastAsia="zh-CN"/>
              </w:rPr>
              <w:t>100%</w:t>
            </w:r>
          </w:p>
        </w:tc>
        <w:tc>
          <w:tcPr>
            <w:tcW w:w="644" w:type="pct"/>
            <w:shd w:val="clear" w:color="auto" w:fill="EDFFB7"/>
            <w:noWrap/>
            <w:hideMark/>
          </w:tcPr>
          <w:p w14:paraId="0F291ECA" w14:textId="77777777" w:rsidR="0021298F" w:rsidRDefault="0021298F" w:rsidP="00760009">
            <w:pPr>
              <w:jc w:val="center"/>
              <w:rPr>
                <w:rFonts w:ascii="Arial" w:eastAsia="Times New Roman" w:hAnsi="Arial" w:cs="Arial"/>
                <w:color w:val="000000"/>
                <w:sz w:val="20"/>
                <w:szCs w:val="20"/>
                <w:lang w:eastAsia="zh-CN"/>
              </w:rPr>
            </w:pPr>
            <w:r>
              <w:rPr>
                <w:rFonts w:ascii="Arial" w:eastAsia="Times New Roman" w:hAnsi="Arial" w:cs="Arial"/>
                <w:color w:val="000000"/>
                <w:sz w:val="20"/>
                <w:szCs w:val="20"/>
                <w:lang w:eastAsia="zh-CN"/>
              </w:rPr>
              <w:t>Jan - Dec</w:t>
            </w:r>
          </w:p>
        </w:tc>
        <w:tc>
          <w:tcPr>
            <w:tcW w:w="1031" w:type="pct"/>
            <w:shd w:val="clear" w:color="auto" w:fill="EDFFB7"/>
            <w:noWrap/>
            <w:vAlign w:val="center"/>
            <w:hideMark/>
          </w:tcPr>
          <w:p w14:paraId="378EE1A2" w14:textId="77777777" w:rsidR="0021298F" w:rsidRDefault="0021298F" w:rsidP="00760009">
            <w:pPr>
              <w:jc w:val="right"/>
              <w:rPr>
                <w:rFonts w:ascii="Arial" w:eastAsia="Times New Roman" w:hAnsi="Arial" w:cs="Arial"/>
                <w:color w:val="000000"/>
                <w:sz w:val="20"/>
                <w:szCs w:val="20"/>
                <w:lang w:eastAsia="zh-CN"/>
              </w:rPr>
            </w:pPr>
            <w:r>
              <w:rPr>
                <w:rFonts w:ascii="Arial" w:eastAsia="Times New Roman" w:hAnsi="Arial" w:cs="Arial"/>
                <w:color w:val="000000"/>
                <w:sz w:val="20"/>
                <w:szCs w:val="20"/>
                <w:lang w:eastAsia="zh-CN"/>
              </w:rPr>
              <w:t>99.5</w:t>
            </w:r>
          </w:p>
        </w:tc>
        <w:tc>
          <w:tcPr>
            <w:tcW w:w="950" w:type="pct"/>
            <w:shd w:val="clear" w:color="auto" w:fill="EDFFB7"/>
            <w:noWrap/>
            <w:hideMark/>
          </w:tcPr>
          <w:p w14:paraId="7F72CACE" w14:textId="77777777" w:rsidR="0021298F" w:rsidRDefault="0021298F" w:rsidP="00760009">
            <w:pPr>
              <w:jc w:val="right"/>
              <w:rPr>
                <w:rFonts w:ascii="Arial" w:eastAsia="Times New Roman" w:hAnsi="Arial" w:cs="Arial"/>
                <w:color w:val="000000"/>
                <w:sz w:val="20"/>
                <w:szCs w:val="20"/>
                <w:lang w:eastAsia="zh-CN"/>
              </w:rPr>
            </w:pPr>
            <w:r>
              <w:rPr>
                <w:rFonts w:ascii="Arial" w:eastAsia="Times New Roman" w:hAnsi="Arial" w:cs="Arial"/>
                <w:color w:val="000000"/>
                <w:sz w:val="20"/>
                <w:szCs w:val="20"/>
                <w:lang w:eastAsia="zh-CN"/>
              </w:rPr>
              <w:t>96.7</w:t>
            </w:r>
          </w:p>
        </w:tc>
      </w:tr>
      <w:tr w:rsidR="0021298F" w14:paraId="2645207D" w14:textId="77777777" w:rsidTr="00760009">
        <w:trPr>
          <w:trHeight w:val="291"/>
        </w:trPr>
        <w:tc>
          <w:tcPr>
            <w:tcW w:w="1667" w:type="pct"/>
            <w:noWrap/>
            <w:vAlign w:val="bottom"/>
            <w:hideMark/>
          </w:tcPr>
          <w:p w14:paraId="036F0D8E" w14:textId="77777777" w:rsidR="0021298F" w:rsidRDefault="0021298F" w:rsidP="00760009">
            <w:pPr>
              <w:rPr>
                <w:rFonts w:ascii="Arial" w:eastAsia="Times New Roman" w:hAnsi="Arial" w:cs="Arial"/>
                <w:color w:val="000000"/>
                <w:sz w:val="20"/>
                <w:szCs w:val="20"/>
                <w:lang w:eastAsia="zh-CN"/>
              </w:rPr>
            </w:pPr>
            <w:r>
              <w:rPr>
                <w:rFonts w:ascii="Arial" w:eastAsia="Times New Roman" w:hAnsi="Arial" w:cs="Arial"/>
                <w:color w:val="000000"/>
                <w:sz w:val="20"/>
                <w:szCs w:val="20"/>
                <w:lang w:eastAsia="zh-CN"/>
              </w:rPr>
              <w:t>Pasilly</w:t>
            </w:r>
          </w:p>
        </w:tc>
        <w:tc>
          <w:tcPr>
            <w:tcW w:w="708" w:type="pct"/>
            <w:shd w:val="clear" w:color="auto" w:fill="EDFFB7"/>
            <w:noWrap/>
            <w:vAlign w:val="center"/>
            <w:hideMark/>
          </w:tcPr>
          <w:p w14:paraId="5667A4C6" w14:textId="77777777" w:rsidR="0021298F" w:rsidRDefault="0021298F" w:rsidP="00760009">
            <w:pPr>
              <w:jc w:val="right"/>
              <w:rPr>
                <w:rFonts w:ascii="Arial" w:eastAsia="Times New Roman" w:hAnsi="Arial" w:cs="Arial"/>
                <w:color w:val="000000"/>
                <w:sz w:val="20"/>
                <w:szCs w:val="20"/>
                <w:lang w:eastAsia="zh-CN"/>
              </w:rPr>
            </w:pPr>
            <w:r>
              <w:rPr>
                <w:rFonts w:ascii="Arial" w:eastAsia="Times New Roman" w:hAnsi="Arial" w:cs="Arial"/>
                <w:color w:val="000000"/>
                <w:sz w:val="20"/>
                <w:szCs w:val="20"/>
                <w:lang w:eastAsia="zh-CN"/>
              </w:rPr>
              <w:t>100%</w:t>
            </w:r>
          </w:p>
        </w:tc>
        <w:tc>
          <w:tcPr>
            <w:tcW w:w="644" w:type="pct"/>
            <w:shd w:val="clear" w:color="auto" w:fill="EDFFB7"/>
            <w:noWrap/>
            <w:hideMark/>
          </w:tcPr>
          <w:p w14:paraId="612935DD" w14:textId="77777777" w:rsidR="0021298F" w:rsidRDefault="0021298F" w:rsidP="00760009">
            <w:pPr>
              <w:jc w:val="center"/>
              <w:rPr>
                <w:rFonts w:ascii="Arial" w:eastAsia="Times New Roman" w:hAnsi="Arial" w:cs="Arial"/>
                <w:color w:val="000000"/>
                <w:sz w:val="20"/>
                <w:szCs w:val="20"/>
                <w:lang w:eastAsia="zh-CN"/>
              </w:rPr>
            </w:pPr>
            <w:r>
              <w:rPr>
                <w:rFonts w:ascii="Arial" w:eastAsia="Times New Roman" w:hAnsi="Arial" w:cs="Arial"/>
                <w:color w:val="000000"/>
                <w:sz w:val="20"/>
                <w:szCs w:val="20"/>
                <w:lang w:eastAsia="zh-CN"/>
              </w:rPr>
              <w:t>Jul – Dec</w:t>
            </w:r>
          </w:p>
        </w:tc>
        <w:tc>
          <w:tcPr>
            <w:tcW w:w="1031" w:type="pct"/>
            <w:shd w:val="clear" w:color="auto" w:fill="EDFFB7"/>
            <w:noWrap/>
            <w:vAlign w:val="center"/>
            <w:hideMark/>
          </w:tcPr>
          <w:p w14:paraId="05045BBF" w14:textId="77777777" w:rsidR="0021298F" w:rsidRDefault="0021298F" w:rsidP="00760009">
            <w:pPr>
              <w:jc w:val="right"/>
              <w:rPr>
                <w:rFonts w:ascii="Arial" w:eastAsia="Times New Roman" w:hAnsi="Arial" w:cs="Arial"/>
                <w:color w:val="000000"/>
                <w:sz w:val="20"/>
                <w:szCs w:val="20"/>
                <w:lang w:eastAsia="zh-CN"/>
              </w:rPr>
            </w:pPr>
            <w:r>
              <w:rPr>
                <w:rFonts w:ascii="Arial" w:eastAsia="Times New Roman" w:hAnsi="Arial" w:cs="Arial"/>
                <w:color w:val="000000"/>
                <w:sz w:val="20"/>
                <w:szCs w:val="20"/>
                <w:lang w:eastAsia="zh-CN"/>
              </w:rPr>
              <w:t>18.9</w:t>
            </w:r>
          </w:p>
        </w:tc>
        <w:tc>
          <w:tcPr>
            <w:tcW w:w="950" w:type="pct"/>
            <w:shd w:val="clear" w:color="auto" w:fill="EDFFB7"/>
            <w:noWrap/>
            <w:hideMark/>
          </w:tcPr>
          <w:p w14:paraId="1340568D" w14:textId="77777777" w:rsidR="0021298F" w:rsidRDefault="0021298F" w:rsidP="00760009">
            <w:pPr>
              <w:jc w:val="right"/>
              <w:rPr>
                <w:rFonts w:ascii="Arial" w:eastAsia="Times New Roman" w:hAnsi="Arial" w:cs="Arial"/>
                <w:color w:val="000000"/>
                <w:sz w:val="20"/>
                <w:szCs w:val="20"/>
                <w:lang w:eastAsia="zh-CN"/>
              </w:rPr>
            </w:pPr>
            <w:r>
              <w:rPr>
                <w:rFonts w:ascii="Arial" w:eastAsia="Times New Roman" w:hAnsi="Arial" w:cs="Arial"/>
                <w:color w:val="000000"/>
                <w:sz w:val="20"/>
                <w:szCs w:val="20"/>
                <w:lang w:eastAsia="zh-CN"/>
              </w:rPr>
              <w:t>19.5</w:t>
            </w:r>
          </w:p>
        </w:tc>
      </w:tr>
      <w:tr w:rsidR="0021298F" w14:paraId="59AC6825" w14:textId="77777777" w:rsidTr="00760009">
        <w:trPr>
          <w:trHeight w:val="291"/>
        </w:trPr>
        <w:tc>
          <w:tcPr>
            <w:tcW w:w="1667" w:type="pct"/>
            <w:noWrap/>
            <w:vAlign w:val="bottom"/>
            <w:hideMark/>
          </w:tcPr>
          <w:p w14:paraId="44FC16E7" w14:textId="77777777" w:rsidR="0021298F" w:rsidRDefault="0021298F" w:rsidP="00760009">
            <w:pPr>
              <w:rPr>
                <w:rFonts w:ascii="Arial" w:eastAsia="Times New Roman" w:hAnsi="Arial" w:cs="Arial"/>
                <w:color w:val="000000"/>
                <w:sz w:val="20"/>
                <w:szCs w:val="20"/>
                <w:lang w:eastAsia="zh-CN"/>
              </w:rPr>
            </w:pPr>
            <w:r>
              <w:rPr>
                <w:rFonts w:ascii="Arial" w:eastAsia="Times New Roman" w:hAnsi="Arial" w:cs="Arial"/>
                <w:color w:val="000000"/>
                <w:sz w:val="20"/>
                <w:szCs w:val="20"/>
                <w:lang w:eastAsia="zh-CN"/>
              </w:rPr>
              <w:t>Raheenleagh</w:t>
            </w:r>
          </w:p>
        </w:tc>
        <w:tc>
          <w:tcPr>
            <w:tcW w:w="708" w:type="pct"/>
            <w:shd w:val="clear" w:color="auto" w:fill="EDFFB7"/>
            <w:noWrap/>
            <w:vAlign w:val="center"/>
            <w:hideMark/>
          </w:tcPr>
          <w:p w14:paraId="16077E4D" w14:textId="77777777" w:rsidR="0021298F" w:rsidRDefault="0021298F" w:rsidP="00760009">
            <w:pPr>
              <w:jc w:val="right"/>
              <w:rPr>
                <w:rFonts w:ascii="Arial" w:eastAsia="Times New Roman" w:hAnsi="Arial" w:cs="Arial"/>
                <w:color w:val="000000"/>
                <w:sz w:val="20"/>
                <w:szCs w:val="20"/>
                <w:lang w:eastAsia="zh-CN"/>
              </w:rPr>
            </w:pPr>
            <w:r>
              <w:rPr>
                <w:rFonts w:ascii="Arial" w:eastAsia="Times New Roman" w:hAnsi="Arial" w:cs="Arial"/>
                <w:color w:val="000000"/>
                <w:sz w:val="20"/>
                <w:szCs w:val="20"/>
                <w:lang w:eastAsia="zh-CN"/>
              </w:rPr>
              <w:t>50%</w:t>
            </w:r>
          </w:p>
        </w:tc>
        <w:tc>
          <w:tcPr>
            <w:tcW w:w="644" w:type="pct"/>
            <w:shd w:val="clear" w:color="auto" w:fill="EDFFB7"/>
            <w:noWrap/>
            <w:hideMark/>
          </w:tcPr>
          <w:p w14:paraId="38851668" w14:textId="77777777" w:rsidR="0021298F" w:rsidRDefault="0021298F" w:rsidP="00760009">
            <w:pPr>
              <w:jc w:val="center"/>
              <w:rPr>
                <w:rFonts w:ascii="Arial" w:eastAsia="Times New Roman" w:hAnsi="Arial" w:cs="Arial"/>
                <w:color w:val="000000"/>
                <w:sz w:val="20"/>
                <w:szCs w:val="20"/>
                <w:lang w:eastAsia="zh-CN"/>
              </w:rPr>
            </w:pPr>
            <w:r>
              <w:rPr>
                <w:rFonts w:ascii="Arial" w:eastAsia="Times New Roman" w:hAnsi="Arial" w:cs="Arial"/>
                <w:color w:val="000000"/>
                <w:sz w:val="20"/>
                <w:szCs w:val="20"/>
                <w:lang w:eastAsia="zh-CN"/>
              </w:rPr>
              <w:t>Jan - Dec</w:t>
            </w:r>
          </w:p>
        </w:tc>
        <w:tc>
          <w:tcPr>
            <w:tcW w:w="1031" w:type="pct"/>
            <w:shd w:val="clear" w:color="auto" w:fill="EDFFB7"/>
            <w:noWrap/>
            <w:vAlign w:val="center"/>
            <w:hideMark/>
          </w:tcPr>
          <w:p w14:paraId="64B963BA" w14:textId="77777777" w:rsidR="0021298F" w:rsidRDefault="0021298F" w:rsidP="00760009">
            <w:pPr>
              <w:jc w:val="right"/>
              <w:rPr>
                <w:rFonts w:ascii="Arial" w:eastAsia="Times New Roman" w:hAnsi="Arial" w:cs="Arial"/>
                <w:color w:val="000000"/>
                <w:sz w:val="20"/>
                <w:szCs w:val="20"/>
                <w:lang w:eastAsia="zh-CN"/>
              </w:rPr>
            </w:pPr>
            <w:r>
              <w:rPr>
                <w:rFonts w:ascii="Arial" w:eastAsia="Times New Roman" w:hAnsi="Arial" w:cs="Arial"/>
                <w:color w:val="000000"/>
                <w:sz w:val="20"/>
                <w:szCs w:val="20"/>
                <w:lang w:eastAsia="zh-CN"/>
              </w:rPr>
              <w:t>62.9</w:t>
            </w:r>
          </w:p>
        </w:tc>
        <w:tc>
          <w:tcPr>
            <w:tcW w:w="950" w:type="pct"/>
            <w:shd w:val="clear" w:color="auto" w:fill="EDFFB7"/>
            <w:noWrap/>
            <w:hideMark/>
          </w:tcPr>
          <w:p w14:paraId="3733CF81" w14:textId="77777777" w:rsidR="0021298F" w:rsidRDefault="0021298F" w:rsidP="00760009">
            <w:pPr>
              <w:jc w:val="right"/>
              <w:rPr>
                <w:rFonts w:ascii="Arial" w:eastAsia="Times New Roman" w:hAnsi="Arial" w:cs="Arial"/>
                <w:color w:val="000000"/>
                <w:sz w:val="20"/>
                <w:szCs w:val="20"/>
                <w:lang w:eastAsia="zh-CN"/>
              </w:rPr>
            </w:pPr>
            <w:r>
              <w:rPr>
                <w:rFonts w:ascii="Arial" w:eastAsia="Times New Roman" w:hAnsi="Arial" w:cs="Arial"/>
                <w:color w:val="000000"/>
                <w:sz w:val="20"/>
                <w:szCs w:val="20"/>
                <w:lang w:eastAsia="zh-CN"/>
              </w:rPr>
              <w:t>62.3</w:t>
            </w:r>
          </w:p>
        </w:tc>
      </w:tr>
      <w:tr w:rsidR="0021298F" w14:paraId="651433E3" w14:textId="77777777" w:rsidTr="00760009">
        <w:trPr>
          <w:trHeight w:val="291"/>
        </w:trPr>
        <w:tc>
          <w:tcPr>
            <w:tcW w:w="1667" w:type="pct"/>
            <w:noWrap/>
            <w:vAlign w:val="bottom"/>
          </w:tcPr>
          <w:p w14:paraId="46243CF1" w14:textId="77777777" w:rsidR="0021298F" w:rsidRDefault="0021298F" w:rsidP="00760009">
            <w:pPr>
              <w:rPr>
                <w:rFonts w:ascii="Arial" w:eastAsia="Times New Roman" w:hAnsi="Arial" w:cs="Arial"/>
                <w:color w:val="000000"/>
                <w:sz w:val="20"/>
                <w:szCs w:val="20"/>
                <w:lang w:eastAsia="zh-CN"/>
              </w:rPr>
            </w:pPr>
            <w:r>
              <w:rPr>
                <w:rFonts w:ascii="Arial" w:eastAsia="Times New Roman" w:hAnsi="Arial" w:cs="Arial"/>
                <w:color w:val="000000"/>
                <w:sz w:val="20"/>
                <w:szCs w:val="20"/>
                <w:lang w:eastAsia="zh-CN"/>
              </w:rPr>
              <w:t>Saint Martin</w:t>
            </w:r>
          </w:p>
        </w:tc>
        <w:tc>
          <w:tcPr>
            <w:tcW w:w="708" w:type="pct"/>
            <w:shd w:val="clear" w:color="auto" w:fill="EDFFB7"/>
            <w:noWrap/>
            <w:vAlign w:val="center"/>
          </w:tcPr>
          <w:p w14:paraId="7742B9CC" w14:textId="77777777" w:rsidR="0021298F" w:rsidRDefault="0021298F" w:rsidP="00760009">
            <w:pPr>
              <w:jc w:val="right"/>
              <w:rPr>
                <w:rFonts w:ascii="Arial" w:eastAsia="Times New Roman" w:hAnsi="Arial" w:cs="Arial"/>
                <w:color w:val="000000"/>
                <w:sz w:val="20"/>
                <w:szCs w:val="20"/>
                <w:lang w:eastAsia="zh-CN"/>
              </w:rPr>
            </w:pPr>
            <w:r>
              <w:rPr>
                <w:rFonts w:ascii="Arial" w:eastAsia="Times New Roman" w:hAnsi="Arial" w:cs="Arial"/>
                <w:color w:val="000000"/>
                <w:sz w:val="20"/>
                <w:szCs w:val="20"/>
                <w:lang w:eastAsia="zh-CN"/>
              </w:rPr>
              <w:t>100%</w:t>
            </w:r>
          </w:p>
        </w:tc>
        <w:tc>
          <w:tcPr>
            <w:tcW w:w="644" w:type="pct"/>
            <w:shd w:val="clear" w:color="auto" w:fill="EDFFB7"/>
            <w:noWrap/>
          </w:tcPr>
          <w:p w14:paraId="55DEB58D" w14:textId="77777777" w:rsidR="0021298F" w:rsidRDefault="0021298F" w:rsidP="00760009">
            <w:pPr>
              <w:jc w:val="center"/>
              <w:rPr>
                <w:rFonts w:ascii="Arial" w:eastAsia="Times New Roman" w:hAnsi="Arial" w:cs="Arial"/>
                <w:color w:val="000000"/>
                <w:sz w:val="20"/>
                <w:szCs w:val="20"/>
                <w:lang w:eastAsia="zh-CN"/>
              </w:rPr>
            </w:pPr>
            <w:r>
              <w:rPr>
                <w:rFonts w:ascii="Arial" w:eastAsia="Times New Roman" w:hAnsi="Arial" w:cs="Arial"/>
                <w:color w:val="000000"/>
                <w:sz w:val="20"/>
                <w:szCs w:val="20"/>
                <w:lang w:eastAsia="zh-CN"/>
              </w:rPr>
              <w:t>Jul – Dec</w:t>
            </w:r>
          </w:p>
        </w:tc>
        <w:tc>
          <w:tcPr>
            <w:tcW w:w="1031" w:type="pct"/>
            <w:shd w:val="clear" w:color="auto" w:fill="EDFFB7"/>
            <w:noWrap/>
            <w:vAlign w:val="center"/>
          </w:tcPr>
          <w:p w14:paraId="5BE7D888" w14:textId="77777777" w:rsidR="0021298F" w:rsidRDefault="0021298F" w:rsidP="00760009">
            <w:pPr>
              <w:jc w:val="right"/>
              <w:rPr>
                <w:rFonts w:ascii="Arial" w:eastAsia="Times New Roman" w:hAnsi="Arial" w:cs="Arial"/>
                <w:color w:val="000000"/>
                <w:sz w:val="20"/>
                <w:szCs w:val="20"/>
                <w:lang w:eastAsia="zh-CN"/>
              </w:rPr>
            </w:pPr>
            <w:r>
              <w:rPr>
                <w:rFonts w:ascii="Arial" w:eastAsia="Times New Roman" w:hAnsi="Arial" w:cs="Arial"/>
                <w:color w:val="000000"/>
                <w:sz w:val="20"/>
                <w:szCs w:val="20"/>
                <w:lang w:eastAsia="zh-CN"/>
              </w:rPr>
              <w:t>10.0</w:t>
            </w:r>
          </w:p>
        </w:tc>
        <w:tc>
          <w:tcPr>
            <w:tcW w:w="950" w:type="pct"/>
            <w:shd w:val="clear" w:color="auto" w:fill="EDFFB7"/>
            <w:noWrap/>
          </w:tcPr>
          <w:p w14:paraId="686AD257" w14:textId="77777777" w:rsidR="0021298F" w:rsidRDefault="0021298F" w:rsidP="00760009">
            <w:pPr>
              <w:jc w:val="right"/>
              <w:rPr>
                <w:rFonts w:ascii="Arial" w:eastAsia="Times New Roman" w:hAnsi="Arial" w:cs="Arial"/>
                <w:color w:val="000000"/>
                <w:sz w:val="20"/>
                <w:szCs w:val="20"/>
                <w:lang w:eastAsia="zh-CN"/>
              </w:rPr>
            </w:pPr>
            <w:r>
              <w:rPr>
                <w:rFonts w:ascii="Arial" w:eastAsia="Times New Roman" w:hAnsi="Arial" w:cs="Arial"/>
                <w:color w:val="000000"/>
                <w:sz w:val="20"/>
                <w:szCs w:val="20"/>
                <w:lang w:eastAsia="zh-CN"/>
              </w:rPr>
              <w:t>10.4</w:t>
            </w:r>
          </w:p>
        </w:tc>
      </w:tr>
      <w:tr w:rsidR="0021298F" w14:paraId="3CED8588" w14:textId="77777777" w:rsidTr="00760009">
        <w:trPr>
          <w:trHeight w:val="291"/>
        </w:trPr>
        <w:tc>
          <w:tcPr>
            <w:tcW w:w="1667" w:type="pct"/>
            <w:noWrap/>
            <w:vAlign w:val="bottom"/>
            <w:hideMark/>
          </w:tcPr>
          <w:p w14:paraId="531774F7" w14:textId="77777777" w:rsidR="0021298F" w:rsidRDefault="0021298F" w:rsidP="00760009">
            <w:pPr>
              <w:rPr>
                <w:rFonts w:ascii="Arial" w:eastAsia="Times New Roman" w:hAnsi="Arial" w:cs="Arial"/>
                <w:color w:val="000000"/>
                <w:sz w:val="20"/>
                <w:szCs w:val="20"/>
                <w:lang w:eastAsia="zh-CN"/>
              </w:rPr>
            </w:pPr>
            <w:r>
              <w:rPr>
                <w:rFonts w:ascii="Arial" w:eastAsia="Times New Roman" w:hAnsi="Arial" w:cs="Arial"/>
                <w:color w:val="000000"/>
                <w:sz w:val="20"/>
                <w:szCs w:val="20"/>
                <w:lang w:eastAsia="zh-CN"/>
              </w:rPr>
              <w:t>Sliabh Bawn</w:t>
            </w:r>
          </w:p>
        </w:tc>
        <w:tc>
          <w:tcPr>
            <w:tcW w:w="708" w:type="pct"/>
            <w:shd w:val="clear" w:color="auto" w:fill="EDFFB7"/>
            <w:noWrap/>
            <w:vAlign w:val="center"/>
            <w:hideMark/>
          </w:tcPr>
          <w:p w14:paraId="45EEF7FB" w14:textId="77777777" w:rsidR="0021298F" w:rsidRDefault="0021298F" w:rsidP="00760009">
            <w:pPr>
              <w:jc w:val="right"/>
              <w:rPr>
                <w:rFonts w:ascii="Arial" w:eastAsia="Times New Roman" w:hAnsi="Arial" w:cs="Arial"/>
                <w:color w:val="000000"/>
                <w:sz w:val="20"/>
                <w:szCs w:val="20"/>
                <w:lang w:eastAsia="zh-CN"/>
              </w:rPr>
            </w:pPr>
            <w:r>
              <w:rPr>
                <w:rFonts w:ascii="Arial" w:eastAsia="Times New Roman" w:hAnsi="Arial" w:cs="Arial"/>
                <w:color w:val="000000"/>
                <w:sz w:val="20"/>
                <w:szCs w:val="20"/>
                <w:lang w:eastAsia="zh-CN"/>
              </w:rPr>
              <w:t>25%</w:t>
            </w:r>
          </w:p>
        </w:tc>
        <w:tc>
          <w:tcPr>
            <w:tcW w:w="644" w:type="pct"/>
            <w:shd w:val="clear" w:color="auto" w:fill="EDFFB7"/>
            <w:noWrap/>
            <w:hideMark/>
          </w:tcPr>
          <w:p w14:paraId="7BAC2043" w14:textId="77777777" w:rsidR="0021298F" w:rsidRDefault="0021298F" w:rsidP="00760009">
            <w:pPr>
              <w:jc w:val="center"/>
              <w:rPr>
                <w:rFonts w:ascii="Arial" w:eastAsia="Times New Roman" w:hAnsi="Arial" w:cs="Arial"/>
                <w:color w:val="000000"/>
                <w:sz w:val="20"/>
                <w:szCs w:val="20"/>
                <w:lang w:eastAsia="zh-CN"/>
              </w:rPr>
            </w:pPr>
            <w:r>
              <w:rPr>
                <w:rFonts w:ascii="Arial" w:eastAsia="Times New Roman" w:hAnsi="Arial" w:cs="Arial"/>
                <w:color w:val="000000"/>
                <w:sz w:val="20"/>
                <w:szCs w:val="20"/>
                <w:lang w:eastAsia="zh-CN"/>
              </w:rPr>
              <w:t>Jan - Dec</w:t>
            </w:r>
          </w:p>
        </w:tc>
        <w:tc>
          <w:tcPr>
            <w:tcW w:w="1031" w:type="pct"/>
            <w:shd w:val="clear" w:color="auto" w:fill="EDFFB7"/>
            <w:noWrap/>
            <w:vAlign w:val="center"/>
            <w:hideMark/>
          </w:tcPr>
          <w:p w14:paraId="155EA081" w14:textId="77777777" w:rsidR="0021298F" w:rsidRDefault="0021298F" w:rsidP="00760009">
            <w:pPr>
              <w:jc w:val="right"/>
              <w:rPr>
                <w:rFonts w:ascii="Arial" w:eastAsia="Times New Roman" w:hAnsi="Arial" w:cs="Arial"/>
                <w:color w:val="000000"/>
                <w:sz w:val="20"/>
                <w:szCs w:val="20"/>
                <w:lang w:eastAsia="zh-CN"/>
              </w:rPr>
            </w:pPr>
            <w:r>
              <w:rPr>
                <w:rFonts w:ascii="Arial" w:eastAsia="Times New Roman" w:hAnsi="Arial" w:cs="Arial"/>
                <w:color w:val="000000"/>
                <w:sz w:val="20"/>
                <w:szCs w:val="20"/>
                <w:lang w:eastAsia="zh-CN"/>
              </w:rPr>
              <w:t>45.0</w:t>
            </w:r>
          </w:p>
        </w:tc>
        <w:tc>
          <w:tcPr>
            <w:tcW w:w="950" w:type="pct"/>
            <w:shd w:val="clear" w:color="auto" w:fill="EDFFB7"/>
            <w:noWrap/>
            <w:hideMark/>
          </w:tcPr>
          <w:p w14:paraId="6A403992" w14:textId="77777777" w:rsidR="0021298F" w:rsidRDefault="0021298F" w:rsidP="00760009">
            <w:pPr>
              <w:jc w:val="right"/>
              <w:rPr>
                <w:rFonts w:ascii="Arial" w:eastAsia="Times New Roman" w:hAnsi="Arial" w:cs="Arial"/>
                <w:color w:val="000000"/>
                <w:sz w:val="20"/>
                <w:szCs w:val="20"/>
                <w:lang w:eastAsia="zh-CN"/>
              </w:rPr>
            </w:pPr>
            <w:r>
              <w:rPr>
                <w:rFonts w:ascii="Arial" w:eastAsia="Times New Roman" w:hAnsi="Arial" w:cs="Arial"/>
                <w:color w:val="000000"/>
                <w:sz w:val="20"/>
                <w:szCs w:val="20"/>
                <w:lang w:eastAsia="zh-CN"/>
              </w:rPr>
              <w:t>44.6</w:t>
            </w:r>
          </w:p>
        </w:tc>
      </w:tr>
      <w:tr w:rsidR="0021298F" w14:paraId="6ED46943" w14:textId="77777777" w:rsidTr="00760009">
        <w:trPr>
          <w:trHeight w:val="291"/>
        </w:trPr>
        <w:tc>
          <w:tcPr>
            <w:tcW w:w="1667" w:type="pct"/>
            <w:noWrap/>
            <w:vAlign w:val="bottom"/>
            <w:hideMark/>
          </w:tcPr>
          <w:p w14:paraId="7F289708" w14:textId="77777777" w:rsidR="0021298F" w:rsidRDefault="0021298F" w:rsidP="00760009">
            <w:pPr>
              <w:rPr>
                <w:rFonts w:ascii="Arial" w:eastAsia="Times New Roman" w:hAnsi="Arial" w:cs="Arial"/>
                <w:color w:val="000000"/>
                <w:sz w:val="20"/>
                <w:szCs w:val="20"/>
                <w:lang w:eastAsia="zh-CN"/>
              </w:rPr>
            </w:pPr>
            <w:r>
              <w:rPr>
                <w:rFonts w:ascii="Arial" w:eastAsia="Times New Roman" w:hAnsi="Arial" w:cs="Arial"/>
                <w:color w:val="000000"/>
                <w:sz w:val="20"/>
                <w:szCs w:val="20"/>
                <w:lang w:eastAsia="zh-CN"/>
              </w:rPr>
              <w:t>Sommette</w:t>
            </w:r>
          </w:p>
        </w:tc>
        <w:tc>
          <w:tcPr>
            <w:tcW w:w="708" w:type="pct"/>
            <w:shd w:val="clear" w:color="auto" w:fill="EDFFB7"/>
            <w:noWrap/>
            <w:vAlign w:val="center"/>
            <w:hideMark/>
          </w:tcPr>
          <w:p w14:paraId="53370BEF" w14:textId="77777777" w:rsidR="0021298F" w:rsidRDefault="0021298F" w:rsidP="00760009">
            <w:pPr>
              <w:jc w:val="right"/>
              <w:rPr>
                <w:rFonts w:ascii="Arial" w:eastAsia="Times New Roman" w:hAnsi="Arial" w:cs="Arial"/>
                <w:color w:val="000000"/>
                <w:sz w:val="20"/>
                <w:szCs w:val="20"/>
                <w:lang w:eastAsia="zh-CN"/>
              </w:rPr>
            </w:pPr>
            <w:r>
              <w:rPr>
                <w:rFonts w:ascii="Arial" w:eastAsia="Times New Roman" w:hAnsi="Arial" w:cs="Arial"/>
                <w:color w:val="000000"/>
                <w:sz w:val="20"/>
                <w:szCs w:val="20"/>
                <w:lang w:eastAsia="zh-CN"/>
              </w:rPr>
              <w:t>100%</w:t>
            </w:r>
          </w:p>
        </w:tc>
        <w:tc>
          <w:tcPr>
            <w:tcW w:w="644" w:type="pct"/>
            <w:shd w:val="clear" w:color="auto" w:fill="EDFFB7"/>
            <w:noWrap/>
            <w:hideMark/>
          </w:tcPr>
          <w:p w14:paraId="01D1BDC0" w14:textId="77777777" w:rsidR="0021298F" w:rsidRDefault="0021298F" w:rsidP="00760009">
            <w:pPr>
              <w:jc w:val="center"/>
              <w:rPr>
                <w:rFonts w:ascii="Arial" w:eastAsia="Times New Roman" w:hAnsi="Arial" w:cs="Arial"/>
                <w:color w:val="000000"/>
                <w:sz w:val="20"/>
                <w:szCs w:val="20"/>
                <w:lang w:eastAsia="zh-CN"/>
              </w:rPr>
            </w:pPr>
            <w:r>
              <w:rPr>
                <w:rFonts w:ascii="Arial" w:eastAsia="Times New Roman" w:hAnsi="Arial" w:cs="Arial"/>
                <w:color w:val="000000"/>
                <w:sz w:val="20"/>
                <w:szCs w:val="20"/>
                <w:lang w:eastAsia="zh-CN"/>
              </w:rPr>
              <w:t>Jul – Dec</w:t>
            </w:r>
          </w:p>
        </w:tc>
        <w:tc>
          <w:tcPr>
            <w:tcW w:w="1031" w:type="pct"/>
            <w:shd w:val="clear" w:color="auto" w:fill="EDFFB7"/>
            <w:noWrap/>
            <w:vAlign w:val="center"/>
            <w:hideMark/>
          </w:tcPr>
          <w:p w14:paraId="66690DC5" w14:textId="77777777" w:rsidR="0021298F" w:rsidRDefault="0021298F" w:rsidP="00760009">
            <w:pPr>
              <w:jc w:val="right"/>
              <w:rPr>
                <w:rFonts w:ascii="Arial" w:eastAsia="Times New Roman" w:hAnsi="Arial" w:cs="Arial"/>
                <w:color w:val="000000"/>
                <w:sz w:val="20"/>
                <w:szCs w:val="20"/>
                <w:lang w:eastAsia="zh-CN"/>
              </w:rPr>
            </w:pPr>
            <w:r>
              <w:rPr>
                <w:rFonts w:ascii="Arial" w:eastAsia="Times New Roman" w:hAnsi="Arial" w:cs="Arial"/>
                <w:color w:val="000000"/>
                <w:sz w:val="20"/>
                <w:szCs w:val="20"/>
                <w:lang w:eastAsia="zh-CN"/>
              </w:rPr>
              <w:t>27.0</w:t>
            </w:r>
          </w:p>
        </w:tc>
        <w:tc>
          <w:tcPr>
            <w:tcW w:w="950" w:type="pct"/>
            <w:shd w:val="clear" w:color="auto" w:fill="EDFFB7"/>
            <w:noWrap/>
            <w:hideMark/>
          </w:tcPr>
          <w:p w14:paraId="6742200C" w14:textId="77777777" w:rsidR="0021298F" w:rsidRDefault="0021298F" w:rsidP="00760009">
            <w:pPr>
              <w:jc w:val="right"/>
              <w:rPr>
                <w:rFonts w:ascii="Arial" w:eastAsia="Times New Roman" w:hAnsi="Arial" w:cs="Arial"/>
                <w:color w:val="000000"/>
                <w:sz w:val="20"/>
                <w:szCs w:val="20"/>
                <w:lang w:eastAsia="zh-CN"/>
              </w:rPr>
            </w:pPr>
            <w:r>
              <w:rPr>
                <w:rFonts w:ascii="Arial" w:eastAsia="Times New Roman" w:hAnsi="Arial" w:cs="Arial"/>
                <w:color w:val="000000"/>
                <w:sz w:val="20"/>
                <w:szCs w:val="20"/>
                <w:lang w:eastAsia="zh-CN"/>
              </w:rPr>
              <w:t>29.1</w:t>
            </w:r>
          </w:p>
        </w:tc>
      </w:tr>
      <w:tr w:rsidR="0021298F" w14:paraId="23474A41" w14:textId="77777777" w:rsidTr="00760009">
        <w:trPr>
          <w:trHeight w:val="291"/>
        </w:trPr>
        <w:tc>
          <w:tcPr>
            <w:tcW w:w="1667" w:type="pct"/>
            <w:noWrap/>
            <w:vAlign w:val="bottom"/>
            <w:hideMark/>
          </w:tcPr>
          <w:p w14:paraId="65D727AC" w14:textId="77777777" w:rsidR="0021298F" w:rsidRDefault="0021298F" w:rsidP="00760009">
            <w:pPr>
              <w:rPr>
                <w:rFonts w:ascii="Arial" w:eastAsia="Times New Roman" w:hAnsi="Arial" w:cs="Arial"/>
                <w:color w:val="000000"/>
                <w:sz w:val="20"/>
                <w:szCs w:val="20"/>
                <w:lang w:eastAsia="zh-CN"/>
              </w:rPr>
            </w:pPr>
            <w:r>
              <w:rPr>
                <w:rFonts w:ascii="Arial" w:eastAsia="Times New Roman" w:hAnsi="Arial" w:cs="Arial"/>
                <w:color w:val="000000"/>
                <w:sz w:val="20"/>
                <w:szCs w:val="20"/>
                <w:lang w:eastAsia="zh-CN"/>
              </w:rPr>
              <w:t>Tullynamoyle II</w:t>
            </w:r>
          </w:p>
        </w:tc>
        <w:tc>
          <w:tcPr>
            <w:tcW w:w="708" w:type="pct"/>
            <w:shd w:val="clear" w:color="auto" w:fill="EDFFB7"/>
            <w:noWrap/>
            <w:vAlign w:val="center"/>
            <w:hideMark/>
          </w:tcPr>
          <w:p w14:paraId="0A19E6E7" w14:textId="77777777" w:rsidR="0021298F" w:rsidRDefault="0021298F" w:rsidP="00760009">
            <w:pPr>
              <w:jc w:val="right"/>
              <w:rPr>
                <w:rFonts w:ascii="Arial" w:eastAsia="Times New Roman" w:hAnsi="Arial" w:cs="Arial"/>
                <w:color w:val="000000"/>
                <w:sz w:val="20"/>
                <w:szCs w:val="20"/>
                <w:lang w:eastAsia="zh-CN"/>
              </w:rPr>
            </w:pPr>
            <w:r>
              <w:rPr>
                <w:rFonts w:ascii="Arial" w:eastAsia="Times New Roman" w:hAnsi="Arial" w:cs="Arial"/>
                <w:color w:val="000000"/>
                <w:sz w:val="20"/>
                <w:szCs w:val="20"/>
                <w:lang w:eastAsia="zh-CN"/>
              </w:rPr>
              <w:t>100%</w:t>
            </w:r>
          </w:p>
        </w:tc>
        <w:tc>
          <w:tcPr>
            <w:tcW w:w="644" w:type="pct"/>
            <w:shd w:val="clear" w:color="auto" w:fill="EDFFB7"/>
            <w:noWrap/>
            <w:hideMark/>
          </w:tcPr>
          <w:p w14:paraId="1EBBD13C" w14:textId="77777777" w:rsidR="0021298F" w:rsidRDefault="0021298F" w:rsidP="00760009">
            <w:pPr>
              <w:jc w:val="center"/>
              <w:rPr>
                <w:rFonts w:ascii="Arial" w:eastAsia="Times New Roman" w:hAnsi="Arial" w:cs="Arial"/>
                <w:color w:val="000000"/>
                <w:sz w:val="20"/>
                <w:szCs w:val="20"/>
                <w:lang w:eastAsia="zh-CN"/>
              </w:rPr>
            </w:pPr>
            <w:r>
              <w:rPr>
                <w:rFonts w:ascii="Arial" w:eastAsia="Times New Roman" w:hAnsi="Arial" w:cs="Arial"/>
                <w:color w:val="000000"/>
                <w:sz w:val="20"/>
                <w:szCs w:val="20"/>
                <w:lang w:eastAsia="zh-CN"/>
              </w:rPr>
              <w:t>Jan - Dec</w:t>
            </w:r>
          </w:p>
        </w:tc>
        <w:tc>
          <w:tcPr>
            <w:tcW w:w="1031" w:type="pct"/>
            <w:shd w:val="clear" w:color="auto" w:fill="EDFFB7"/>
            <w:noWrap/>
            <w:vAlign w:val="center"/>
            <w:hideMark/>
          </w:tcPr>
          <w:p w14:paraId="2656AFCF" w14:textId="77777777" w:rsidR="0021298F" w:rsidRDefault="0021298F" w:rsidP="00760009">
            <w:pPr>
              <w:jc w:val="right"/>
              <w:rPr>
                <w:rFonts w:ascii="Arial" w:eastAsia="Times New Roman" w:hAnsi="Arial" w:cs="Arial"/>
                <w:color w:val="000000"/>
                <w:sz w:val="20"/>
                <w:szCs w:val="20"/>
                <w:lang w:eastAsia="zh-CN"/>
              </w:rPr>
            </w:pPr>
            <w:r>
              <w:rPr>
                <w:rFonts w:ascii="Arial" w:eastAsia="Times New Roman" w:hAnsi="Arial" w:cs="Arial"/>
                <w:color w:val="000000"/>
                <w:sz w:val="20"/>
                <w:szCs w:val="20"/>
                <w:lang w:eastAsia="zh-CN"/>
              </w:rPr>
              <w:t>26.5</w:t>
            </w:r>
          </w:p>
        </w:tc>
        <w:tc>
          <w:tcPr>
            <w:tcW w:w="950" w:type="pct"/>
            <w:shd w:val="clear" w:color="auto" w:fill="EDFFB7"/>
            <w:noWrap/>
            <w:hideMark/>
          </w:tcPr>
          <w:p w14:paraId="66A356D6" w14:textId="77777777" w:rsidR="0021298F" w:rsidRDefault="0021298F" w:rsidP="00760009">
            <w:pPr>
              <w:jc w:val="right"/>
              <w:rPr>
                <w:rFonts w:ascii="Arial" w:eastAsia="Times New Roman" w:hAnsi="Arial" w:cs="Arial"/>
                <w:color w:val="000000"/>
                <w:sz w:val="20"/>
                <w:szCs w:val="20"/>
                <w:lang w:eastAsia="zh-CN"/>
              </w:rPr>
            </w:pPr>
            <w:r>
              <w:rPr>
                <w:rFonts w:ascii="Arial" w:eastAsia="Times New Roman" w:hAnsi="Arial" w:cs="Arial"/>
                <w:color w:val="000000"/>
                <w:sz w:val="20"/>
                <w:szCs w:val="20"/>
                <w:lang w:eastAsia="zh-CN"/>
              </w:rPr>
              <w:t>21.4</w:t>
            </w:r>
          </w:p>
        </w:tc>
      </w:tr>
      <w:tr w:rsidR="0021298F" w14:paraId="4D64B469" w14:textId="77777777" w:rsidTr="00760009">
        <w:trPr>
          <w:trHeight w:val="322"/>
        </w:trPr>
        <w:tc>
          <w:tcPr>
            <w:tcW w:w="1667" w:type="pct"/>
            <w:tcBorders>
              <w:top w:val="single" w:sz="4" w:space="0" w:color="auto"/>
              <w:left w:val="nil"/>
              <w:bottom w:val="single" w:sz="8" w:space="0" w:color="auto"/>
              <w:right w:val="nil"/>
            </w:tcBorders>
            <w:noWrap/>
            <w:vAlign w:val="bottom"/>
            <w:hideMark/>
          </w:tcPr>
          <w:p w14:paraId="00F8526B" w14:textId="77777777" w:rsidR="0021298F" w:rsidRDefault="0021298F" w:rsidP="00760009">
            <w:pPr>
              <w:rPr>
                <w:rFonts w:ascii="Arial" w:eastAsia="Times New Roman" w:hAnsi="Arial" w:cs="Arial"/>
                <w:b/>
                <w:bCs/>
                <w:color w:val="000000"/>
                <w:sz w:val="20"/>
                <w:szCs w:val="20"/>
                <w:lang w:eastAsia="zh-CN"/>
              </w:rPr>
            </w:pPr>
            <w:r>
              <w:rPr>
                <w:rFonts w:ascii="Arial" w:eastAsia="Times New Roman" w:hAnsi="Arial" w:cs="Arial"/>
                <w:b/>
                <w:bCs/>
                <w:color w:val="000000"/>
                <w:sz w:val="20"/>
                <w:szCs w:val="20"/>
                <w:lang w:eastAsia="zh-CN"/>
              </w:rPr>
              <w:t>Total</w:t>
            </w:r>
          </w:p>
        </w:tc>
        <w:tc>
          <w:tcPr>
            <w:tcW w:w="708" w:type="pct"/>
            <w:tcBorders>
              <w:top w:val="single" w:sz="4" w:space="0" w:color="auto"/>
              <w:left w:val="nil"/>
              <w:bottom w:val="single" w:sz="8" w:space="0" w:color="auto"/>
              <w:right w:val="nil"/>
            </w:tcBorders>
            <w:shd w:val="clear" w:color="auto" w:fill="EDFFB7"/>
            <w:noWrap/>
            <w:vAlign w:val="center"/>
            <w:hideMark/>
          </w:tcPr>
          <w:p w14:paraId="517E8C31" w14:textId="77777777" w:rsidR="0021298F" w:rsidRDefault="0021298F" w:rsidP="00760009">
            <w:pPr>
              <w:jc w:val="right"/>
              <w:rPr>
                <w:rFonts w:ascii="Arial" w:eastAsia="Times New Roman" w:hAnsi="Arial" w:cs="Arial"/>
                <w:color w:val="000000"/>
                <w:sz w:val="20"/>
                <w:szCs w:val="20"/>
                <w:lang w:eastAsia="zh-CN"/>
              </w:rPr>
            </w:pPr>
            <w:r>
              <w:rPr>
                <w:rFonts w:ascii="Arial" w:eastAsia="Times New Roman" w:hAnsi="Arial" w:cs="Arial"/>
                <w:color w:val="000000"/>
                <w:sz w:val="20"/>
                <w:szCs w:val="20"/>
                <w:lang w:eastAsia="zh-CN"/>
              </w:rPr>
              <w:t> </w:t>
            </w:r>
          </w:p>
        </w:tc>
        <w:tc>
          <w:tcPr>
            <w:tcW w:w="644" w:type="pct"/>
            <w:tcBorders>
              <w:top w:val="single" w:sz="4" w:space="0" w:color="auto"/>
              <w:left w:val="nil"/>
              <w:bottom w:val="single" w:sz="8" w:space="0" w:color="auto"/>
              <w:right w:val="nil"/>
            </w:tcBorders>
            <w:shd w:val="clear" w:color="auto" w:fill="EDFFB7"/>
            <w:noWrap/>
            <w:vAlign w:val="center"/>
            <w:hideMark/>
          </w:tcPr>
          <w:p w14:paraId="7ED50BEA" w14:textId="77777777" w:rsidR="0021298F" w:rsidRDefault="0021298F" w:rsidP="00760009">
            <w:pPr>
              <w:jc w:val="center"/>
              <w:rPr>
                <w:rFonts w:ascii="Arial" w:eastAsia="Times New Roman" w:hAnsi="Arial" w:cs="Arial"/>
                <w:color w:val="000000"/>
                <w:sz w:val="20"/>
                <w:szCs w:val="20"/>
                <w:lang w:eastAsia="zh-CN"/>
              </w:rPr>
            </w:pPr>
            <w:r>
              <w:rPr>
                <w:rFonts w:ascii="Arial" w:eastAsia="Times New Roman" w:hAnsi="Arial" w:cs="Arial"/>
                <w:color w:val="000000"/>
                <w:sz w:val="20"/>
                <w:szCs w:val="20"/>
                <w:lang w:eastAsia="zh-CN"/>
              </w:rPr>
              <w:t> </w:t>
            </w:r>
          </w:p>
        </w:tc>
        <w:tc>
          <w:tcPr>
            <w:tcW w:w="1031" w:type="pct"/>
            <w:tcBorders>
              <w:top w:val="single" w:sz="4" w:space="0" w:color="auto"/>
              <w:left w:val="nil"/>
              <w:bottom w:val="single" w:sz="8" w:space="0" w:color="auto"/>
              <w:right w:val="nil"/>
            </w:tcBorders>
            <w:shd w:val="clear" w:color="auto" w:fill="EDFFB7"/>
            <w:noWrap/>
            <w:vAlign w:val="center"/>
            <w:hideMark/>
          </w:tcPr>
          <w:p w14:paraId="4E370CB0" w14:textId="77777777" w:rsidR="0021298F" w:rsidRDefault="0021298F" w:rsidP="00760009">
            <w:pPr>
              <w:jc w:val="right"/>
              <w:rPr>
                <w:rFonts w:ascii="Arial" w:eastAsia="Times New Roman" w:hAnsi="Arial" w:cs="Arial"/>
                <w:b/>
                <w:bCs/>
                <w:color w:val="000000"/>
                <w:sz w:val="20"/>
                <w:szCs w:val="20"/>
                <w:lang w:eastAsia="zh-CN"/>
              </w:rPr>
            </w:pPr>
            <w:r>
              <w:rPr>
                <w:rFonts w:ascii="Arial" w:eastAsia="Times New Roman" w:hAnsi="Arial" w:cs="Arial"/>
                <w:b/>
                <w:bCs/>
                <w:color w:val="000000"/>
                <w:sz w:val="20"/>
                <w:szCs w:val="20"/>
                <w:lang w:eastAsia="zh-CN"/>
              </w:rPr>
              <w:t>1,439.7</w:t>
            </w:r>
          </w:p>
        </w:tc>
        <w:tc>
          <w:tcPr>
            <w:tcW w:w="950" w:type="pct"/>
            <w:tcBorders>
              <w:top w:val="single" w:sz="4" w:space="0" w:color="auto"/>
              <w:left w:val="nil"/>
              <w:bottom w:val="single" w:sz="8" w:space="0" w:color="auto"/>
              <w:right w:val="nil"/>
            </w:tcBorders>
            <w:shd w:val="clear" w:color="auto" w:fill="EDFFB7"/>
            <w:noWrap/>
            <w:vAlign w:val="center"/>
            <w:hideMark/>
          </w:tcPr>
          <w:p w14:paraId="30EE9F5E" w14:textId="77777777" w:rsidR="0021298F" w:rsidRDefault="0021298F" w:rsidP="00760009">
            <w:pPr>
              <w:jc w:val="right"/>
              <w:rPr>
                <w:rFonts w:ascii="Arial" w:eastAsia="Times New Roman" w:hAnsi="Arial" w:cs="Arial"/>
                <w:b/>
                <w:bCs/>
                <w:color w:val="000000"/>
                <w:sz w:val="20"/>
                <w:szCs w:val="20"/>
                <w:lang w:eastAsia="zh-CN"/>
              </w:rPr>
            </w:pPr>
            <w:r>
              <w:rPr>
                <w:rFonts w:ascii="Arial" w:eastAsia="Times New Roman" w:hAnsi="Arial" w:cs="Arial"/>
                <w:b/>
                <w:bCs/>
                <w:color w:val="000000"/>
                <w:sz w:val="20"/>
                <w:szCs w:val="20"/>
                <w:lang w:eastAsia="zh-CN"/>
              </w:rPr>
              <w:t>1,403.6</w:t>
            </w:r>
          </w:p>
        </w:tc>
      </w:tr>
    </w:tbl>
    <w:p w14:paraId="2B6A0320" w14:textId="77777777" w:rsidR="0021298F" w:rsidRDefault="0021298F" w:rsidP="0021298F">
      <w:pPr>
        <w:pStyle w:val="ListParagraph"/>
        <w:spacing w:after="100" w:afterAutospacing="1"/>
        <w:ind w:left="405"/>
        <w:rPr>
          <w:rFonts w:ascii="Arial" w:eastAsia="Times New Roman" w:hAnsi="Arial" w:cs="Arial"/>
          <w:sz w:val="16"/>
          <w:szCs w:val="16"/>
        </w:rPr>
      </w:pPr>
    </w:p>
    <w:p w14:paraId="1D06BA72" w14:textId="77777777" w:rsidR="0021298F" w:rsidRDefault="0021298F" w:rsidP="0021298F">
      <w:pPr>
        <w:pStyle w:val="ListParagraph"/>
        <w:numPr>
          <w:ilvl w:val="0"/>
          <w:numId w:val="35"/>
        </w:numPr>
        <w:jc w:val="both"/>
        <w:rPr>
          <w:rFonts w:ascii="Arial" w:eastAsia="Times New Roman" w:hAnsi="Arial" w:cs="Arial"/>
          <w:sz w:val="14"/>
          <w:szCs w:val="14"/>
        </w:rPr>
      </w:pPr>
      <w:r>
        <w:rPr>
          <w:rFonts w:ascii="Arial" w:eastAsia="Times New Roman" w:hAnsi="Arial" w:cs="Arial"/>
          <w:sz w:val="16"/>
          <w:szCs w:val="16"/>
        </w:rPr>
        <w:t>Includes generation from Beam Hill wind farm (Jan – Dec 2020) and Beam Hill Extension wind farm (Dec 2020)</w:t>
      </w:r>
    </w:p>
    <w:p w14:paraId="262B5665" w14:textId="77777777" w:rsidR="0021298F" w:rsidRDefault="0021298F" w:rsidP="0021298F">
      <w:pPr>
        <w:jc w:val="both"/>
        <w:rPr>
          <w:rFonts w:ascii="Arial" w:eastAsia="Times New Roman" w:hAnsi="Arial" w:cs="Arial"/>
          <w:bCs/>
          <w:sz w:val="18"/>
          <w:szCs w:val="18"/>
        </w:rPr>
      </w:pPr>
    </w:p>
    <w:p w14:paraId="679E3642" w14:textId="77777777" w:rsidR="0021298F" w:rsidRDefault="0021298F" w:rsidP="0021298F">
      <w:pPr>
        <w:jc w:val="both"/>
        <w:rPr>
          <w:rFonts w:ascii="Arial" w:eastAsia="Times New Roman" w:hAnsi="Arial" w:cs="Arial"/>
        </w:rPr>
      </w:pPr>
      <w:r>
        <w:rPr>
          <w:rFonts w:ascii="Arial" w:eastAsia="Times New Roman" w:hAnsi="Arial" w:cs="Arial"/>
        </w:rPr>
        <w:t>The Irish portfolio continued to experience high levels of curtailment and constraint during the year through a combination of high wind speeds, a decrease in electricity demand due to the COVID-19 pandemic and delayed grid upgrades. These rescheduled grid works are ongoing at present and are expected to cause further grid disruptions until 2022, after which curtailment is expected to revert to our long-term forecast. With this in mind, we have adjusted the short-term constraint and curtailment forecast in our valuation model.</w:t>
      </w:r>
    </w:p>
    <w:p w14:paraId="3B946C73" w14:textId="77777777" w:rsidR="0021298F" w:rsidRDefault="0021298F" w:rsidP="0021298F">
      <w:pPr>
        <w:jc w:val="both"/>
        <w:rPr>
          <w:rFonts w:ascii="Arial" w:eastAsia="Times New Roman" w:hAnsi="Arial" w:cs="Arial"/>
          <w:b/>
          <w:szCs w:val="26"/>
        </w:rPr>
      </w:pPr>
    </w:p>
    <w:p w14:paraId="481155E3" w14:textId="77777777" w:rsidR="0021298F" w:rsidRDefault="0021298F" w:rsidP="0021298F">
      <w:pPr>
        <w:jc w:val="both"/>
        <w:rPr>
          <w:rFonts w:ascii="Arial" w:hAnsi="Arial" w:cs="Arial"/>
          <w:b/>
        </w:rPr>
      </w:pPr>
      <w:r>
        <w:rPr>
          <w:rFonts w:ascii="Arial" w:eastAsia="Times New Roman" w:hAnsi="Arial" w:cs="Arial"/>
        </w:rPr>
        <w:t xml:space="preserve">We are pleased with Eirgrid’s decision to increase System Non-Synchronous Penetration (SNSP) to 70 per cent and to set a plan to increase this further to 75 per cent in 2021. We expect this and other measures to reduce future curtailment levels and their impact on the portfolio. In addition, the Investment Manager has been actively involved in the industry consultation on the EU Clean Energy Package with a </w:t>
      </w:r>
      <w:r>
        <w:rPr>
          <w:rFonts w:ascii="Arial" w:eastAsia="Times New Roman" w:hAnsi="Arial" w:cs="Arial"/>
        </w:rPr>
        <w:lastRenderedPageBreak/>
        <w:t>view to achieving compensation for curtailed volumes for renewable generators in Ireland. A final consultation is due to take place in early 2021.</w:t>
      </w:r>
    </w:p>
    <w:p w14:paraId="5C18C4B3" w14:textId="77777777" w:rsidR="0021298F" w:rsidRDefault="0021298F" w:rsidP="0021298F">
      <w:pPr>
        <w:jc w:val="both"/>
        <w:rPr>
          <w:rFonts w:ascii="Arial" w:eastAsia="Times New Roman" w:hAnsi="Arial" w:cs="Arial"/>
        </w:rPr>
      </w:pPr>
      <w:r>
        <w:rPr>
          <w:rFonts w:ascii="Arial" w:eastAsia="Times New Roman" w:hAnsi="Arial" w:cs="Arial"/>
        </w:rPr>
        <w:t>As a result of COVID-19 pandemic restrictions, the Investment Manager and outsourced O&amp;M contractors have adapted portfolio management procedures in line with government guidelines. However, the portfolio was able to operate with negligible impact on availability and production.</w:t>
      </w:r>
    </w:p>
    <w:p w14:paraId="3D3EDBB2" w14:textId="77777777" w:rsidR="0021298F" w:rsidRDefault="0021298F" w:rsidP="0021298F">
      <w:pPr>
        <w:jc w:val="both"/>
        <w:rPr>
          <w:rFonts w:ascii="Arial" w:eastAsia="Times New Roman" w:hAnsi="Arial" w:cs="Arial"/>
        </w:rPr>
      </w:pPr>
    </w:p>
    <w:p w14:paraId="2F7F1F3F" w14:textId="77777777" w:rsidR="0021298F" w:rsidRDefault="0021298F" w:rsidP="0021298F">
      <w:pPr>
        <w:jc w:val="both"/>
        <w:rPr>
          <w:rFonts w:ascii="Arial" w:eastAsia="Times New Roman" w:hAnsi="Arial" w:cs="Arial"/>
        </w:rPr>
      </w:pPr>
      <w:r>
        <w:rPr>
          <w:rFonts w:ascii="Arial" w:eastAsia="Times New Roman" w:hAnsi="Arial" w:cs="Arial"/>
        </w:rPr>
        <w:t>In particular, the Investment Manager has continued to effectively manage the portfolio with some key achievements during the year:</w:t>
      </w:r>
    </w:p>
    <w:p w14:paraId="3ADE76B9" w14:textId="77777777" w:rsidR="0021298F" w:rsidRDefault="0021298F" w:rsidP="0021298F">
      <w:pPr>
        <w:pStyle w:val="ListParagraph"/>
        <w:numPr>
          <w:ilvl w:val="0"/>
          <w:numId w:val="41"/>
        </w:numPr>
        <w:spacing w:after="200" w:line="276" w:lineRule="auto"/>
        <w:jc w:val="both"/>
        <w:rPr>
          <w:rFonts w:ascii="Arial" w:eastAsia="Times New Roman" w:hAnsi="Arial" w:cs="Arial"/>
        </w:rPr>
      </w:pPr>
      <w:r>
        <w:rPr>
          <w:rFonts w:ascii="Arial" w:eastAsia="Times New Roman" w:hAnsi="Arial" w:cs="Arial"/>
        </w:rPr>
        <w:t>Realising revenue enhancement through:</w:t>
      </w:r>
    </w:p>
    <w:p w14:paraId="037D71F3" w14:textId="77777777" w:rsidR="0021298F" w:rsidRDefault="0021298F" w:rsidP="0021298F">
      <w:pPr>
        <w:pStyle w:val="ListParagraph"/>
        <w:numPr>
          <w:ilvl w:val="1"/>
          <w:numId w:val="41"/>
        </w:numPr>
        <w:spacing w:after="200" w:line="276" w:lineRule="auto"/>
        <w:jc w:val="both"/>
        <w:rPr>
          <w:rFonts w:ascii="Arial" w:eastAsia="Times New Roman" w:hAnsi="Arial" w:cs="Arial"/>
        </w:rPr>
      </w:pPr>
      <w:r>
        <w:rPr>
          <w:rFonts w:ascii="Arial" w:eastAsia="Times New Roman" w:hAnsi="Arial" w:cs="Arial"/>
        </w:rPr>
        <w:t xml:space="preserve">technology installation at relevant wind farms enabling them to provide DS3 services to Eirgrid. This resulted </w:t>
      </w:r>
      <w:r w:rsidRPr="00AE47CC">
        <w:rPr>
          <w:rFonts w:ascii="Arial" w:eastAsia="Times New Roman" w:hAnsi="Arial" w:cs="Arial"/>
        </w:rPr>
        <w:t xml:space="preserve">in </w:t>
      </w:r>
      <w:r>
        <w:rPr>
          <w:rFonts w:ascii="Arial" w:eastAsia="Times New Roman" w:hAnsi="Arial" w:cs="Arial"/>
        </w:rPr>
        <w:t>a c.€1</w:t>
      </w:r>
      <w:r w:rsidRPr="00AE47CC">
        <w:rPr>
          <w:rFonts w:ascii="Arial" w:eastAsia="Times New Roman" w:hAnsi="Arial" w:cs="Arial"/>
        </w:rPr>
        <w:t xml:space="preserve"> million</w:t>
      </w:r>
      <w:r>
        <w:rPr>
          <w:rFonts w:ascii="Arial" w:eastAsia="Times New Roman" w:hAnsi="Arial" w:cs="Arial"/>
        </w:rPr>
        <w:t xml:space="preserve"> increase in revenues across the portfolio. The increased DS3 revenues offset the impact of curtailed generation on the portfolio as they increase in periods of high renewables generation on the system;</w:t>
      </w:r>
    </w:p>
    <w:p w14:paraId="7E89297A" w14:textId="77777777" w:rsidR="0021298F" w:rsidRDefault="0021298F" w:rsidP="0021298F">
      <w:pPr>
        <w:pStyle w:val="ListParagraph"/>
        <w:numPr>
          <w:ilvl w:val="1"/>
          <w:numId w:val="41"/>
        </w:numPr>
        <w:spacing w:after="200" w:line="276" w:lineRule="auto"/>
        <w:jc w:val="both"/>
        <w:rPr>
          <w:rFonts w:ascii="Arial" w:eastAsia="Times New Roman" w:hAnsi="Arial" w:cs="Arial"/>
        </w:rPr>
      </w:pPr>
      <w:r>
        <w:rPr>
          <w:rFonts w:ascii="Arial" w:eastAsia="Times New Roman" w:hAnsi="Arial" w:cs="Arial"/>
        </w:rPr>
        <w:t>increasing the energy yield at Glanaruddery by c.1 per cent through upgraded turbine software;</w:t>
      </w:r>
    </w:p>
    <w:p w14:paraId="6F0921FB" w14:textId="77777777" w:rsidR="0021298F" w:rsidRDefault="0021298F" w:rsidP="0021298F">
      <w:pPr>
        <w:pStyle w:val="ListParagraph"/>
        <w:numPr>
          <w:ilvl w:val="1"/>
          <w:numId w:val="41"/>
        </w:numPr>
        <w:spacing w:after="200" w:line="276" w:lineRule="auto"/>
        <w:jc w:val="both"/>
        <w:rPr>
          <w:rFonts w:ascii="Arial" w:eastAsia="Times New Roman" w:hAnsi="Arial" w:cs="Arial"/>
        </w:rPr>
      </w:pPr>
      <w:r>
        <w:rPr>
          <w:rFonts w:ascii="Arial" w:eastAsia="Times New Roman" w:hAnsi="Arial" w:cs="Arial"/>
        </w:rPr>
        <w:t>finalising agreements for targeted forestry felling of c.40 hectares across 2 locations to increase energy yield and reduce turbine wear.</w:t>
      </w:r>
    </w:p>
    <w:p w14:paraId="4C699358" w14:textId="77777777" w:rsidR="0021298F" w:rsidRDefault="0021298F" w:rsidP="0021298F">
      <w:pPr>
        <w:pStyle w:val="ListParagraph"/>
        <w:numPr>
          <w:ilvl w:val="0"/>
          <w:numId w:val="41"/>
        </w:numPr>
        <w:spacing w:after="200" w:line="276" w:lineRule="auto"/>
        <w:jc w:val="both"/>
        <w:rPr>
          <w:rFonts w:ascii="Arial" w:eastAsia="Times New Roman" w:hAnsi="Arial" w:cs="Arial"/>
        </w:rPr>
      </w:pPr>
      <w:r>
        <w:rPr>
          <w:rFonts w:ascii="Arial" w:eastAsia="Times New Roman" w:hAnsi="Arial" w:cs="Arial"/>
        </w:rPr>
        <w:t>Reducing operating expenditure through reducing PPA balancing fees achieving savings of c.75 per cent.</w:t>
      </w:r>
    </w:p>
    <w:p w14:paraId="094665DF" w14:textId="77777777" w:rsidR="0021298F" w:rsidRDefault="0021298F" w:rsidP="0021298F">
      <w:pPr>
        <w:pStyle w:val="ListParagraph"/>
        <w:numPr>
          <w:ilvl w:val="0"/>
          <w:numId w:val="41"/>
        </w:numPr>
        <w:spacing w:after="200" w:line="276" w:lineRule="auto"/>
        <w:jc w:val="both"/>
        <w:rPr>
          <w:rFonts w:ascii="Arial" w:eastAsia="Times New Roman" w:hAnsi="Arial" w:cs="Arial"/>
        </w:rPr>
      </w:pPr>
      <w:r>
        <w:rPr>
          <w:rFonts w:ascii="Arial" w:eastAsia="Times New Roman" w:hAnsi="Arial" w:cs="Arial"/>
        </w:rPr>
        <w:t>Overseeing the safe and timely construction of a sixth turbine at Killala.</w:t>
      </w:r>
    </w:p>
    <w:p w14:paraId="6CBED9C0" w14:textId="77777777" w:rsidR="0021298F" w:rsidRDefault="0021298F" w:rsidP="0021298F">
      <w:pPr>
        <w:pStyle w:val="ListParagraph"/>
        <w:numPr>
          <w:ilvl w:val="0"/>
          <w:numId w:val="41"/>
        </w:numPr>
        <w:spacing w:after="200" w:line="276" w:lineRule="auto"/>
        <w:jc w:val="both"/>
        <w:rPr>
          <w:rFonts w:ascii="Arial" w:eastAsia="Times New Roman" w:hAnsi="Arial" w:cs="Arial"/>
        </w:rPr>
      </w:pPr>
      <w:r>
        <w:rPr>
          <w:rFonts w:ascii="Arial" w:eastAsia="Times New Roman" w:hAnsi="Arial" w:cs="Arial"/>
        </w:rPr>
        <w:t>Improving governance through:</w:t>
      </w:r>
    </w:p>
    <w:p w14:paraId="70B48E5D" w14:textId="77777777" w:rsidR="0021298F" w:rsidRPr="00B652F1" w:rsidRDefault="0021298F" w:rsidP="0021298F">
      <w:pPr>
        <w:pStyle w:val="ListParagraph"/>
        <w:numPr>
          <w:ilvl w:val="1"/>
          <w:numId w:val="41"/>
        </w:numPr>
        <w:spacing w:after="200" w:line="276" w:lineRule="auto"/>
        <w:jc w:val="both"/>
        <w:rPr>
          <w:rFonts w:ascii="Arial" w:eastAsia="Times New Roman" w:hAnsi="Arial" w:cs="Arial"/>
        </w:rPr>
      </w:pPr>
      <w:r>
        <w:rPr>
          <w:rFonts w:ascii="Arial" w:eastAsia="Times New Roman" w:hAnsi="Arial" w:cs="Arial"/>
        </w:rPr>
        <w:t xml:space="preserve">consolidating asset-level technical and commercial management services to high </w:t>
      </w:r>
      <w:r w:rsidRPr="00B652F1">
        <w:rPr>
          <w:rFonts w:ascii="Arial" w:eastAsia="Times New Roman" w:hAnsi="Arial" w:cs="Arial"/>
        </w:rPr>
        <w:t>quality, local providers in both Ireland and France;</w:t>
      </w:r>
    </w:p>
    <w:p w14:paraId="59C66A1D" w14:textId="77777777" w:rsidR="0021298F" w:rsidRPr="001E34C8" w:rsidRDefault="0021298F" w:rsidP="0021298F">
      <w:pPr>
        <w:pStyle w:val="ListParagraph"/>
        <w:numPr>
          <w:ilvl w:val="1"/>
          <w:numId w:val="41"/>
        </w:numPr>
        <w:spacing w:after="200" w:line="276" w:lineRule="auto"/>
        <w:jc w:val="both"/>
        <w:rPr>
          <w:rFonts w:ascii="Arial" w:eastAsia="Times New Roman" w:hAnsi="Arial" w:cs="Arial"/>
        </w:rPr>
      </w:pPr>
      <w:r>
        <w:rPr>
          <w:rFonts w:ascii="Arial" w:eastAsia="Times New Roman" w:hAnsi="Arial" w:cs="Arial"/>
        </w:rPr>
        <w:t>maintaining active</w:t>
      </w:r>
      <w:r w:rsidRPr="001E34C8">
        <w:rPr>
          <w:rFonts w:ascii="Arial" w:eastAsia="Times New Roman" w:hAnsi="Arial" w:cs="Arial"/>
        </w:rPr>
        <w:t xml:space="preserve"> communication </w:t>
      </w:r>
      <w:r>
        <w:rPr>
          <w:rFonts w:ascii="Arial" w:eastAsia="Times New Roman" w:hAnsi="Arial" w:cs="Arial"/>
        </w:rPr>
        <w:t>channels with</w:t>
      </w:r>
      <w:r w:rsidRPr="001E34C8">
        <w:rPr>
          <w:rFonts w:ascii="Arial" w:eastAsia="Times New Roman" w:hAnsi="Arial" w:cs="Arial"/>
        </w:rPr>
        <w:t xml:space="preserve"> senior management of key turbine and electrical maintenance suppliers</w:t>
      </w:r>
      <w:r>
        <w:rPr>
          <w:rFonts w:ascii="Arial" w:eastAsia="Times New Roman" w:hAnsi="Arial" w:cs="Arial"/>
        </w:rPr>
        <w:t xml:space="preserve"> to maximise service standards of maintenance contracts</w:t>
      </w:r>
      <w:r w:rsidRPr="001E34C8">
        <w:rPr>
          <w:rFonts w:ascii="Arial" w:eastAsia="Times New Roman" w:hAnsi="Arial" w:cs="Arial"/>
        </w:rPr>
        <w:t>.</w:t>
      </w:r>
    </w:p>
    <w:p w14:paraId="2BE1BCC5" w14:textId="77777777" w:rsidR="0021298F" w:rsidRDefault="0021298F" w:rsidP="0021298F">
      <w:pPr>
        <w:pStyle w:val="ListParagraph"/>
        <w:numPr>
          <w:ilvl w:val="0"/>
          <w:numId w:val="41"/>
        </w:numPr>
        <w:spacing w:after="200" w:line="276" w:lineRule="auto"/>
        <w:jc w:val="both"/>
        <w:rPr>
          <w:rFonts w:ascii="Arial" w:eastAsia="Times New Roman" w:hAnsi="Arial" w:cs="Arial"/>
        </w:rPr>
      </w:pPr>
      <w:r>
        <w:rPr>
          <w:rFonts w:ascii="Arial" w:eastAsia="Times New Roman" w:hAnsi="Arial" w:cs="Arial"/>
        </w:rPr>
        <w:t>Successfully managing the safe and expedient return to operation of a turbine at Lisdowney that was struck by lightning in March. Repair costs and lost revenue were claimed through maintenance contract warranties and insurance.</w:t>
      </w:r>
    </w:p>
    <w:p w14:paraId="0E138A11" w14:textId="77777777" w:rsidR="0021298F" w:rsidRPr="002A7937" w:rsidRDefault="0021298F" w:rsidP="0021298F">
      <w:pPr>
        <w:jc w:val="both"/>
        <w:rPr>
          <w:rFonts w:cs="Arial"/>
          <w:caps/>
        </w:rPr>
      </w:pPr>
      <w:r>
        <w:rPr>
          <w:rFonts w:ascii="Arial" w:eastAsia="Times New Roman" w:hAnsi="Arial" w:cs="Arial"/>
        </w:rPr>
        <w:t>The integration of 3 new French assets was achieved seamlessly. Despite travel restrictions from the COVID-19 pandemic, our team safely carried out on-site audits of each wind farm and established relationships with key local partners. Bringing our industry-leading management approach of the Irish and UK portfolios, we have worked closely with our external partners to align business processes and build a platform to scale our business in France. A particular focus has been to establish strong environmental management practices, ensuring effective implementation of new legislation.</w:t>
      </w:r>
    </w:p>
    <w:p w14:paraId="1EA46001" w14:textId="77777777" w:rsidR="0021298F" w:rsidRDefault="0021298F" w:rsidP="0021298F">
      <w:pPr>
        <w:jc w:val="both"/>
        <w:rPr>
          <w:rFonts w:ascii="Arial" w:eastAsia="Times New Roman" w:hAnsi="Arial" w:cs="Arial"/>
          <w:b/>
          <w:szCs w:val="26"/>
        </w:rPr>
      </w:pPr>
    </w:p>
    <w:p w14:paraId="2303D830" w14:textId="77777777" w:rsidR="0021298F" w:rsidRDefault="0021298F" w:rsidP="0021298F">
      <w:pPr>
        <w:jc w:val="both"/>
        <w:rPr>
          <w:rFonts w:ascii="Arial" w:eastAsia="Times New Roman" w:hAnsi="Arial" w:cs="Arial"/>
        </w:rPr>
      </w:pPr>
      <w:r>
        <w:rPr>
          <w:rFonts w:ascii="Arial" w:eastAsia="Times New Roman" w:hAnsi="Arial" w:cs="Arial"/>
        </w:rPr>
        <w:t>Many Irish wind farms will go through a revaluation of business rates in the next 24 months. With different local counties implementing different approaches and a current dispute between the Valuation Office and wind farm owners regarding their respective rateable values, there is currently little clarity on the impact this could have on the portfolio and the Group. The Investment Manager is continuing to monitor the situation and will seek to minimise any potential downside impacts.</w:t>
      </w:r>
    </w:p>
    <w:p w14:paraId="65896A66" w14:textId="77777777" w:rsidR="0021298F" w:rsidRDefault="0021298F" w:rsidP="0021298F">
      <w:pPr>
        <w:jc w:val="both"/>
        <w:rPr>
          <w:rFonts w:ascii="Arial" w:eastAsia="Times New Roman" w:hAnsi="Arial" w:cs="Arial"/>
        </w:rPr>
      </w:pPr>
      <w:r>
        <w:rPr>
          <w:rFonts w:ascii="Arial" w:eastAsia="Times New Roman" w:hAnsi="Arial" w:cs="Arial"/>
        </w:rPr>
        <w:lastRenderedPageBreak/>
        <w:t xml:space="preserve">During the year, An Bord Pleanála determined, through a Section 5 declaration, that the underground grid connections with respect to Knockacummer and Raheenleagh wind farms did not constitute exempted development. Such determinations have been made with respect to a number of wind farms over the last few years. As was common practice in the industry at the time the wind farms were constructed, planning permission was not obtained for the grid connection. Instead Section 5 declarations were obtained either from the local County Council or An Bord Pleanála to confirm that planning permission was not required. The recent An Bord Pleanála determinations are therefore at odds with those pre-existing declarations. In September 2020, the Investment Manager, with assistance of legal advice, initiated judicial review proceedings with the High Court for Knockacummer and Raheenleagh wind farms, challenging An Bord Pleanála’s determinations on various grounds. The High Court granted both wind farms leave to initiate judicial review proceedings and granted a stay on the An Bord Pleanála decisions. The review is currently ongoing and the Investment Manager will continue to actively monitor these proceedings as well as other Section 5 declarations across the Irish wind industry, while in parallel, continuing to explore further options to regularise the planning status of the grid connections. </w:t>
      </w:r>
    </w:p>
    <w:p w14:paraId="63C3B766" w14:textId="77777777" w:rsidR="0021298F" w:rsidRDefault="0021298F" w:rsidP="0021298F">
      <w:pPr>
        <w:jc w:val="both"/>
        <w:rPr>
          <w:rFonts w:ascii="Arial" w:eastAsia="Times New Roman" w:hAnsi="Arial" w:cs="Arial"/>
        </w:rPr>
      </w:pPr>
    </w:p>
    <w:p w14:paraId="665FB6EB" w14:textId="77777777" w:rsidR="0021298F" w:rsidRPr="006E2DEE" w:rsidRDefault="0021298F" w:rsidP="0021298F">
      <w:pPr>
        <w:pStyle w:val="Heading4"/>
        <w:spacing w:before="0"/>
        <w:rPr>
          <w:rFonts w:ascii="Arial" w:hAnsi="Arial" w:cs="Arial"/>
          <w:i w:val="0"/>
          <w:iCs w:val="0"/>
        </w:rPr>
      </w:pPr>
      <w:r w:rsidRPr="006E2DEE">
        <w:rPr>
          <w:rFonts w:ascii="Arial" w:hAnsi="Arial" w:cs="Arial"/>
          <w:i w:val="0"/>
          <w:iCs w:val="0"/>
          <w:color w:val="auto"/>
        </w:rPr>
        <w:t>Health and Safety</w:t>
      </w:r>
    </w:p>
    <w:p w14:paraId="00F940AC" w14:textId="77777777" w:rsidR="0021298F" w:rsidRDefault="0021298F" w:rsidP="0021298F">
      <w:pPr>
        <w:jc w:val="both"/>
        <w:rPr>
          <w:rFonts w:ascii="Arial" w:hAnsi="Arial" w:cs="Arial"/>
        </w:rPr>
      </w:pPr>
      <w:r>
        <w:rPr>
          <w:rFonts w:ascii="Arial" w:hAnsi="Arial" w:cs="Arial"/>
        </w:rPr>
        <w:t>Health and safety is of paramount importance to both the Company and the Investment Manager. The Investment Manager also has its own health and safety forum where best practices are discussed and key learnings from incidents from across the industry are shared.</w:t>
      </w:r>
    </w:p>
    <w:p w14:paraId="7532BE27" w14:textId="77777777" w:rsidR="0021298F" w:rsidRDefault="0021298F" w:rsidP="0021298F">
      <w:pPr>
        <w:jc w:val="both"/>
        <w:rPr>
          <w:rFonts w:ascii="Arial" w:eastAsia="Times New Roman" w:hAnsi="Arial" w:cs="Arial"/>
          <w:szCs w:val="26"/>
        </w:rPr>
      </w:pPr>
    </w:p>
    <w:p w14:paraId="36B5DCCD" w14:textId="77777777" w:rsidR="0021298F" w:rsidRDefault="0021298F" w:rsidP="0021298F">
      <w:pPr>
        <w:jc w:val="both"/>
        <w:rPr>
          <w:rFonts w:ascii="Arial" w:eastAsia="Times New Roman" w:hAnsi="Arial" w:cs="Arial"/>
          <w:szCs w:val="26"/>
        </w:rPr>
      </w:pPr>
      <w:r>
        <w:rPr>
          <w:rFonts w:ascii="Arial" w:eastAsia="Times New Roman" w:hAnsi="Arial" w:cs="Arial"/>
          <w:szCs w:val="26"/>
        </w:rPr>
        <w:t xml:space="preserve">There were no major incidents in the year. Independent health and safety audits were conducted across 9 wind farms and independent electrical safety audits were performed across 4 wind farms in the year. 155 recommendations surfaced during these audits, of which 137 have already been implemented. Separately, the wind farm operators carried out 95 individual audits across the portfolio. </w:t>
      </w:r>
    </w:p>
    <w:p w14:paraId="79E4626F" w14:textId="77777777" w:rsidR="0021298F" w:rsidRDefault="0021298F" w:rsidP="0021298F">
      <w:pPr>
        <w:jc w:val="both"/>
        <w:rPr>
          <w:rFonts w:ascii="Arial" w:hAnsi="Arial" w:cs="Arial"/>
        </w:rPr>
      </w:pPr>
    </w:p>
    <w:p w14:paraId="49A144D8" w14:textId="77777777" w:rsidR="0021298F" w:rsidRDefault="0021298F" w:rsidP="0021298F">
      <w:pPr>
        <w:jc w:val="both"/>
        <w:rPr>
          <w:rFonts w:ascii="Arial" w:hAnsi="Arial" w:cs="Arial"/>
          <w:b/>
        </w:rPr>
      </w:pPr>
      <w:r>
        <w:rPr>
          <w:rFonts w:ascii="Arial" w:hAnsi="Arial" w:cs="Arial"/>
          <w:b/>
        </w:rPr>
        <w:t>Environmental, Social and Governance</w:t>
      </w:r>
    </w:p>
    <w:p w14:paraId="4ADAEA82" w14:textId="77777777" w:rsidR="0021298F" w:rsidRDefault="0021298F" w:rsidP="0021298F">
      <w:pPr>
        <w:jc w:val="both"/>
        <w:rPr>
          <w:rStyle w:val="normaltextrun"/>
          <w:color w:val="000000"/>
          <w:shd w:val="clear" w:color="auto" w:fill="FFFFFF"/>
        </w:rPr>
      </w:pPr>
      <w:r>
        <w:rPr>
          <w:rFonts w:ascii="Arial" w:hAnsi="Arial" w:cs="Arial"/>
        </w:rPr>
        <w:t xml:space="preserve">The focus of the Board and the Investment Manager to recognise the </w:t>
      </w:r>
      <w:r>
        <w:rPr>
          <w:rStyle w:val="normaltextrun"/>
          <w:rFonts w:ascii="Arial" w:hAnsi="Arial" w:cs="Arial"/>
          <w:color w:val="000000"/>
          <w:shd w:val="clear" w:color="auto" w:fill="FFFFFF"/>
        </w:rPr>
        <w:t>fundamental importance of adequate management of ESG matters continued during the year. During the year the Group achieved the following:</w:t>
      </w:r>
    </w:p>
    <w:p w14:paraId="4B636779" w14:textId="77777777" w:rsidR="0021298F" w:rsidRDefault="0021298F" w:rsidP="0021298F">
      <w:pPr>
        <w:pStyle w:val="ListParagraph"/>
        <w:numPr>
          <w:ilvl w:val="0"/>
          <w:numId w:val="36"/>
        </w:numPr>
        <w:jc w:val="both"/>
        <w:rPr>
          <w:rStyle w:val="normaltextrun"/>
          <w:rFonts w:ascii="Arial" w:hAnsi="Arial" w:cs="Arial"/>
          <w:szCs w:val="22"/>
        </w:rPr>
      </w:pPr>
      <w:r>
        <w:rPr>
          <w:rFonts w:ascii="Arial" w:hAnsi="Arial" w:cs="Arial"/>
          <w:b/>
          <w:bCs/>
        </w:rPr>
        <w:t xml:space="preserve">Environmental - </w:t>
      </w:r>
      <w:r>
        <w:rPr>
          <w:rStyle w:val="normaltextrun"/>
          <w:rFonts w:ascii="Arial" w:hAnsi="Arial" w:cs="Arial"/>
          <w:color w:val="000000"/>
          <w:shd w:val="clear" w:color="auto" w:fill="FFFFFF"/>
        </w:rPr>
        <w:t>significantly increased generation capacity, supporting Ireland and France’s transition towards a net zero carbon emissions economy;</w:t>
      </w:r>
    </w:p>
    <w:p w14:paraId="3F857C87" w14:textId="77777777" w:rsidR="0021298F" w:rsidRPr="00BF3F4F" w:rsidRDefault="0021298F" w:rsidP="0021298F">
      <w:pPr>
        <w:pStyle w:val="ListParagraph"/>
        <w:numPr>
          <w:ilvl w:val="0"/>
          <w:numId w:val="36"/>
        </w:numPr>
        <w:jc w:val="both"/>
        <w:rPr>
          <w:rFonts w:ascii="Arial" w:hAnsi="Arial" w:cs="Arial"/>
          <w:b/>
          <w:sz w:val="26"/>
          <w:szCs w:val="26"/>
        </w:rPr>
      </w:pPr>
      <w:r w:rsidRPr="00A022C3">
        <w:rPr>
          <w:rFonts w:ascii="Arial" w:hAnsi="Arial" w:cs="Arial"/>
          <w:b/>
          <w:bCs/>
        </w:rPr>
        <w:t xml:space="preserve">Social - </w:t>
      </w:r>
      <w:r w:rsidRPr="00A022C3">
        <w:rPr>
          <w:rStyle w:val="normaltextrun"/>
          <w:rFonts w:ascii="Arial" w:hAnsi="Arial" w:cs="Arial"/>
          <w:color w:val="000000"/>
          <w:shd w:val="clear" w:color="auto" w:fill="FFFFFF"/>
        </w:rPr>
        <w:t>active engagement with</w:t>
      </w:r>
      <w:r w:rsidRPr="00BF3F4F">
        <w:rPr>
          <w:rStyle w:val="normaltextrun"/>
          <w:rFonts w:ascii="Arial" w:hAnsi="Arial" w:cs="Arial"/>
          <w:color w:val="000000"/>
          <w:shd w:val="clear" w:color="auto" w:fill="FFFFFF"/>
        </w:rPr>
        <w:t xml:space="preserve">, and support provided to, local communities surrounding the areas in which the wind farms are located, with particular concern for how they have been impacted by the COVID-19 pandemic. Specific response funds </w:t>
      </w:r>
    </w:p>
    <w:p w14:paraId="7F070C46" w14:textId="77777777" w:rsidR="0021298F" w:rsidRPr="001D0749" w:rsidRDefault="0021298F" w:rsidP="0021298F">
      <w:pPr>
        <w:pStyle w:val="ListParagraph"/>
        <w:numPr>
          <w:ilvl w:val="0"/>
          <w:numId w:val="36"/>
        </w:numPr>
        <w:jc w:val="both"/>
        <w:rPr>
          <w:rStyle w:val="normaltextrun"/>
        </w:rPr>
      </w:pPr>
      <w:r w:rsidRPr="00BF3F4F">
        <w:rPr>
          <w:rStyle w:val="normaltextrun"/>
          <w:rFonts w:ascii="Arial" w:hAnsi="Arial" w:cs="Arial"/>
          <w:color w:val="000000"/>
          <w:shd w:val="clear" w:color="auto" w:fill="FFFFFF"/>
        </w:rPr>
        <w:t>were made available to some local communities. For example, at Glanaruddery, these funds were used to purchase a van to make food deliveries to locals, who were self-isolating and unable to leave their homes; </w:t>
      </w:r>
    </w:p>
    <w:p w14:paraId="4C6ED356" w14:textId="77777777" w:rsidR="0021298F" w:rsidRDefault="0021298F" w:rsidP="0021298F">
      <w:pPr>
        <w:pStyle w:val="ListParagraph"/>
        <w:numPr>
          <w:ilvl w:val="0"/>
          <w:numId w:val="36"/>
        </w:numPr>
        <w:jc w:val="both"/>
      </w:pPr>
      <w:r>
        <w:rPr>
          <w:rStyle w:val="normaltextrun"/>
          <w:rFonts w:ascii="Arial" w:hAnsi="Arial" w:cs="Arial"/>
          <w:b/>
          <w:bCs/>
          <w:color w:val="000000"/>
          <w:shd w:val="clear" w:color="auto" w:fill="FFFFFF"/>
        </w:rPr>
        <w:t xml:space="preserve">Governance - </w:t>
      </w:r>
      <w:r>
        <w:rPr>
          <w:rStyle w:val="normaltextrun"/>
          <w:rFonts w:ascii="Arial" w:hAnsi="Arial" w:cs="Arial"/>
          <w:color w:val="000000"/>
          <w:shd w:val="clear" w:color="auto" w:fill="FFFFFF"/>
        </w:rPr>
        <w:t xml:space="preserve">adoption of an ESG Policy which sets out the Group’s ESG objectives and a plan to systematise the Investment Manager’s approach to ESG management. </w:t>
      </w:r>
    </w:p>
    <w:p w14:paraId="52AE7876" w14:textId="77777777" w:rsidR="0021298F" w:rsidRDefault="0021298F" w:rsidP="0021298F">
      <w:pPr>
        <w:jc w:val="both"/>
        <w:rPr>
          <w:rFonts w:ascii="Arial" w:hAnsi="Arial" w:cs="Arial"/>
          <w:b/>
        </w:rPr>
      </w:pPr>
    </w:p>
    <w:p w14:paraId="0A502821" w14:textId="77777777" w:rsidR="0021298F" w:rsidRDefault="0021298F" w:rsidP="0021298F">
      <w:pPr>
        <w:jc w:val="both"/>
        <w:rPr>
          <w:rFonts w:ascii="Arial" w:hAnsi="Arial" w:cs="Arial"/>
        </w:rPr>
      </w:pPr>
      <w:r>
        <w:rPr>
          <w:rFonts w:ascii="Arial" w:hAnsi="Arial" w:cs="Arial"/>
        </w:rPr>
        <w:t xml:space="preserve">Further details of the Group’s ESG initiatives can be found in the latest ESG report, available on the Company’s website </w:t>
      </w:r>
      <w:hyperlink r:id="rId15" w:history="1">
        <w:r w:rsidRPr="00AE47CC">
          <w:rPr>
            <w:rStyle w:val="Hyperlink"/>
            <w:rFonts w:ascii="Arial" w:hAnsi="Arial" w:cs="Arial"/>
          </w:rPr>
          <w:t>www.greencoat-renewables.com</w:t>
        </w:r>
      </w:hyperlink>
      <w:r>
        <w:rPr>
          <w:rFonts w:ascii="Arial" w:hAnsi="Arial" w:cs="Arial"/>
        </w:rPr>
        <w:t>.</w:t>
      </w:r>
    </w:p>
    <w:p w14:paraId="4020249F" w14:textId="77777777" w:rsidR="0021298F" w:rsidRDefault="0021298F" w:rsidP="0021298F">
      <w:pPr>
        <w:pStyle w:val="Heading4"/>
        <w:rPr>
          <w:rFonts w:ascii="Arial" w:hAnsi="Arial" w:cs="Arial"/>
          <w:color w:val="auto"/>
        </w:rPr>
      </w:pPr>
      <w:r>
        <w:rPr>
          <w:rFonts w:ascii="Arial" w:hAnsi="Arial" w:cs="Arial"/>
          <w:color w:val="auto"/>
        </w:rPr>
        <w:lastRenderedPageBreak/>
        <w:t xml:space="preserve">Acquisitions </w:t>
      </w:r>
    </w:p>
    <w:p w14:paraId="2C29CF2A" w14:textId="77777777" w:rsidR="0021298F" w:rsidRDefault="0021298F" w:rsidP="0021298F">
      <w:pPr>
        <w:jc w:val="both"/>
        <w:rPr>
          <w:rFonts w:ascii="Arial" w:hAnsi="Arial" w:cs="Arial"/>
        </w:rPr>
      </w:pPr>
      <w:r>
        <w:rPr>
          <w:rFonts w:ascii="Arial" w:hAnsi="Arial" w:cs="Arial"/>
        </w:rPr>
        <w:t xml:space="preserve">2020 was another active year in the secondary renewables market and was, most notably, a year in which the Group made its first investments outside of Ireland. This provides the Group with significant opportunity to grow and diversify its portfolio through further investments in continental Europe. </w:t>
      </w:r>
    </w:p>
    <w:p w14:paraId="5AFD4B35" w14:textId="77777777" w:rsidR="0021298F" w:rsidRDefault="0021298F" w:rsidP="0021298F">
      <w:pPr>
        <w:jc w:val="both"/>
        <w:rPr>
          <w:rFonts w:ascii="Arial" w:hAnsi="Arial" w:cs="Arial"/>
        </w:rPr>
      </w:pPr>
    </w:p>
    <w:p w14:paraId="423B1F00" w14:textId="77777777" w:rsidR="0021298F" w:rsidRDefault="0021298F" w:rsidP="0021298F">
      <w:pPr>
        <w:jc w:val="both"/>
        <w:rPr>
          <w:rFonts w:ascii="Arial" w:hAnsi="Arial" w:cs="Arial"/>
        </w:rPr>
      </w:pPr>
      <w:r>
        <w:rPr>
          <w:rFonts w:ascii="Arial" w:hAnsi="Arial" w:cs="Arial"/>
        </w:rPr>
        <w:t xml:space="preserve">We continued to see many opportunities for value accretive acquisitions in our target jurisdictions, and during the year priced and assessed 64 wind farms totalling 1,970MW. Of the wind farms priced, 7 investments were made by the Group, 33 were acquired by other buyers, 4 are no longer being pursued by the Group and 20 are subject to continuing discussions. </w:t>
      </w:r>
    </w:p>
    <w:p w14:paraId="7121084E" w14:textId="77777777" w:rsidR="0021298F" w:rsidRDefault="0021298F" w:rsidP="0021298F">
      <w:pPr>
        <w:jc w:val="both"/>
        <w:rPr>
          <w:rFonts w:ascii="Arial" w:hAnsi="Arial" w:cs="Arial"/>
        </w:rPr>
      </w:pPr>
    </w:p>
    <w:p w14:paraId="1B489937" w14:textId="77777777" w:rsidR="0021298F" w:rsidRDefault="0021298F" w:rsidP="0021298F">
      <w:pPr>
        <w:jc w:val="both"/>
        <w:rPr>
          <w:rFonts w:ascii="Arial" w:hAnsi="Arial" w:cs="Arial"/>
        </w:rPr>
      </w:pPr>
      <w:r>
        <w:rPr>
          <w:rFonts w:ascii="Arial" w:eastAsia="Times New Roman" w:hAnsi="Arial" w:cs="Arial"/>
        </w:rPr>
        <w:t>The following table lists the investments in the year (including acquisition costs, excluding acquired cash and including the Group’s proportionate share of acquired SPV level debt):</w:t>
      </w:r>
    </w:p>
    <w:tbl>
      <w:tblPr>
        <w:tblStyle w:val="TableGrid"/>
        <w:tblW w:w="9154" w:type="dxa"/>
        <w:tblLook w:val="04A0" w:firstRow="1" w:lastRow="0" w:firstColumn="1" w:lastColumn="0" w:noHBand="0" w:noVBand="1"/>
      </w:tblPr>
      <w:tblGrid>
        <w:gridCol w:w="4473"/>
        <w:gridCol w:w="2218"/>
        <w:gridCol w:w="2463"/>
      </w:tblGrid>
      <w:tr w:rsidR="0021298F" w14:paraId="1DDFEFAF" w14:textId="77777777" w:rsidTr="00760009">
        <w:trPr>
          <w:cnfStyle w:val="100000000000" w:firstRow="1" w:lastRow="0" w:firstColumn="0" w:lastColumn="0" w:oddVBand="0" w:evenVBand="0" w:oddHBand="0" w:evenHBand="0" w:firstRowFirstColumn="0" w:firstRowLastColumn="0" w:lastRowFirstColumn="0" w:lastRowLastColumn="0"/>
          <w:trHeight w:val="236"/>
        </w:trPr>
        <w:tc>
          <w:tcPr>
            <w:cnfStyle w:val="001000000000" w:firstRow="0" w:lastRow="0" w:firstColumn="1" w:lastColumn="0" w:oddVBand="0" w:evenVBand="0" w:oddHBand="0" w:evenHBand="0" w:firstRowFirstColumn="0" w:firstRowLastColumn="0" w:lastRowFirstColumn="0" w:lastRowLastColumn="0"/>
            <w:tcW w:w="0" w:type="dxa"/>
            <w:tcBorders>
              <w:top w:val="nil"/>
              <w:left w:val="nil"/>
              <w:bottom w:val="single" w:sz="4" w:space="0" w:color="auto"/>
              <w:right w:val="nil"/>
            </w:tcBorders>
          </w:tcPr>
          <w:p w14:paraId="4B2A96A4" w14:textId="77777777" w:rsidR="0021298F" w:rsidRDefault="0021298F" w:rsidP="00760009">
            <w:pPr>
              <w:jc w:val="both"/>
              <w:rPr>
                <w:rFonts w:ascii="Arial" w:eastAsia="Times New Roman" w:hAnsi="Arial" w:cs="Arial"/>
                <w:b/>
                <w:bCs/>
              </w:rPr>
            </w:pPr>
          </w:p>
        </w:tc>
        <w:tc>
          <w:tcPr>
            <w:tcW w:w="0" w:type="dxa"/>
            <w:tcBorders>
              <w:top w:val="nil"/>
              <w:left w:val="nil"/>
              <w:bottom w:val="single" w:sz="4" w:space="0" w:color="auto"/>
              <w:right w:val="nil"/>
            </w:tcBorders>
            <w:hideMark/>
          </w:tcPr>
          <w:p w14:paraId="3BE1EC3E" w14:textId="77777777" w:rsidR="0021298F" w:rsidRDefault="0021298F" w:rsidP="00760009">
            <w:pPr>
              <w:cnfStyle w:val="100000000000" w:firstRow="1" w:lastRow="0" w:firstColumn="0" w:lastColumn="0" w:oddVBand="0" w:evenVBand="0" w:oddHBand="0" w:evenHBand="0" w:firstRowFirstColumn="0" w:firstRowLastColumn="0" w:lastRowFirstColumn="0" w:lastRowLastColumn="0"/>
              <w:rPr>
                <w:rFonts w:ascii="Arial" w:eastAsia="Times New Roman" w:hAnsi="Arial" w:cs="Arial"/>
                <w:b/>
                <w:bCs/>
              </w:rPr>
            </w:pPr>
            <w:r>
              <w:rPr>
                <w:rFonts w:ascii="Arial" w:eastAsia="Times New Roman" w:hAnsi="Arial" w:cs="Arial"/>
                <w:b/>
                <w:bCs/>
              </w:rPr>
              <w:t>MW (net)</w:t>
            </w:r>
          </w:p>
        </w:tc>
        <w:tc>
          <w:tcPr>
            <w:tcW w:w="0" w:type="dxa"/>
            <w:tcBorders>
              <w:top w:val="nil"/>
              <w:left w:val="nil"/>
              <w:bottom w:val="single" w:sz="4" w:space="0" w:color="auto"/>
              <w:right w:val="nil"/>
            </w:tcBorders>
            <w:hideMark/>
          </w:tcPr>
          <w:p w14:paraId="6530D81E" w14:textId="77777777" w:rsidR="0021298F" w:rsidRDefault="0021298F" w:rsidP="00760009">
            <w:pPr>
              <w:cnfStyle w:val="100000000000" w:firstRow="1" w:lastRow="0" w:firstColumn="0" w:lastColumn="0" w:oddVBand="0" w:evenVBand="0" w:oddHBand="0" w:evenHBand="0" w:firstRowFirstColumn="0" w:firstRowLastColumn="0" w:lastRowFirstColumn="0" w:lastRowLastColumn="0"/>
              <w:rPr>
                <w:rFonts w:ascii="Arial" w:eastAsia="Times New Roman" w:hAnsi="Arial" w:cs="Arial"/>
                <w:b/>
                <w:bCs/>
              </w:rPr>
            </w:pPr>
            <w:r>
              <w:rPr>
                <w:rFonts w:ascii="Arial" w:eastAsia="Times New Roman" w:hAnsi="Arial" w:cs="Arial"/>
                <w:b/>
                <w:bCs/>
              </w:rPr>
              <w:t>€m</w:t>
            </w:r>
          </w:p>
        </w:tc>
      </w:tr>
      <w:tr w:rsidR="0021298F" w14:paraId="0EF3061C" w14:textId="77777777" w:rsidTr="00760009">
        <w:trPr>
          <w:trHeight w:val="64"/>
        </w:trPr>
        <w:tc>
          <w:tcPr>
            <w:cnfStyle w:val="001000000000" w:firstRow="0" w:lastRow="0" w:firstColumn="1" w:lastColumn="0" w:oddVBand="0" w:evenVBand="0" w:oddHBand="0" w:evenHBand="0" w:firstRowFirstColumn="0" w:firstRowLastColumn="0" w:lastRowFirstColumn="0" w:lastRowLastColumn="0"/>
            <w:tcW w:w="0" w:type="dxa"/>
            <w:tcBorders>
              <w:top w:val="single" w:sz="4" w:space="0" w:color="auto"/>
              <w:left w:val="nil"/>
              <w:bottom w:val="single" w:sz="4" w:space="0" w:color="auto"/>
              <w:right w:val="nil"/>
            </w:tcBorders>
            <w:hideMark/>
          </w:tcPr>
          <w:p w14:paraId="32FADEEC" w14:textId="77777777" w:rsidR="0021298F" w:rsidRDefault="0021298F" w:rsidP="00760009">
            <w:pPr>
              <w:jc w:val="both"/>
              <w:rPr>
                <w:rFonts w:ascii="Arial" w:eastAsia="Times New Roman" w:hAnsi="Arial" w:cs="Arial"/>
              </w:rPr>
            </w:pPr>
            <w:r>
              <w:rPr>
                <w:rFonts w:ascii="Arial" w:eastAsia="Times New Roman" w:hAnsi="Arial" w:cs="Arial"/>
              </w:rPr>
              <w:t>Pasilly</w:t>
            </w:r>
          </w:p>
          <w:p w14:paraId="5D46CF1C" w14:textId="77777777" w:rsidR="0021298F" w:rsidRDefault="0021298F" w:rsidP="00760009">
            <w:pPr>
              <w:jc w:val="both"/>
              <w:rPr>
                <w:rFonts w:ascii="Arial" w:eastAsia="Times New Roman" w:hAnsi="Arial" w:cs="Arial"/>
              </w:rPr>
            </w:pPr>
            <w:r>
              <w:rPr>
                <w:rFonts w:ascii="Arial" w:eastAsia="Times New Roman" w:hAnsi="Arial" w:cs="Arial"/>
              </w:rPr>
              <w:t>Sommette</w:t>
            </w:r>
          </w:p>
          <w:p w14:paraId="00845B0A" w14:textId="77777777" w:rsidR="0021298F" w:rsidRDefault="0021298F" w:rsidP="00760009">
            <w:pPr>
              <w:jc w:val="both"/>
              <w:rPr>
                <w:rFonts w:ascii="Arial" w:eastAsia="Times New Roman" w:hAnsi="Arial" w:cs="Arial"/>
              </w:rPr>
            </w:pPr>
            <w:r>
              <w:rPr>
                <w:rFonts w:ascii="Arial" w:eastAsia="Times New Roman" w:hAnsi="Arial" w:cs="Arial"/>
              </w:rPr>
              <w:t>Saint Martin</w:t>
            </w:r>
          </w:p>
        </w:tc>
        <w:tc>
          <w:tcPr>
            <w:tcW w:w="0" w:type="dxa"/>
            <w:tcBorders>
              <w:top w:val="single" w:sz="4" w:space="0" w:color="auto"/>
              <w:left w:val="nil"/>
              <w:bottom w:val="single" w:sz="4" w:space="0" w:color="auto"/>
              <w:right w:val="nil"/>
            </w:tcBorders>
            <w:vAlign w:val="center"/>
            <w:hideMark/>
          </w:tcPr>
          <w:p w14:paraId="70A53764" w14:textId="77777777" w:rsidR="0021298F" w:rsidRDefault="0021298F" w:rsidP="00760009">
            <w:pPr>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Pr>
                <w:rFonts w:ascii="Arial" w:hAnsi="Arial" w:cs="Arial"/>
                <w:color w:val="000000"/>
              </w:rPr>
              <w:t>51.9</w:t>
            </w:r>
          </w:p>
        </w:tc>
        <w:tc>
          <w:tcPr>
            <w:tcW w:w="0" w:type="dxa"/>
            <w:tcBorders>
              <w:top w:val="single" w:sz="4" w:space="0" w:color="auto"/>
              <w:left w:val="nil"/>
              <w:bottom w:val="single" w:sz="4" w:space="0" w:color="auto"/>
              <w:right w:val="nil"/>
            </w:tcBorders>
            <w:shd w:val="clear" w:color="auto" w:fill="EDFFB7"/>
            <w:vAlign w:val="center"/>
            <w:hideMark/>
          </w:tcPr>
          <w:p w14:paraId="0D4AF058" w14:textId="77777777" w:rsidR="0021298F" w:rsidRDefault="0021298F" w:rsidP="00760009">
            <w:pPr>
              <w:cnfStyle w:val="000000000000" w:firstRow="0" w:lastRow="0" w:firstColumn="0" w:lastColumn="0" w:oddVBand="0" w:evenVBand="0" w:oddHBand="0" w:evenHBand="0" w:firstRowFirstColumn="0" w:firstRowLastColumn="0" w:lastRowFirstColumn="0" w:lastRowLastColumn="0"/>
              <w:rPr>
                <w:rFonts w:ascii="Arial" w:hAnsi="Arial" w:cs="Arial"/>
                <w:color w:val="000000"/>
                <w:szCs w:val="22"/>
              </w:rPr>
            </w:pPr>
            <w:r>
              <w:rPr>
                <w:rFonts w:ascii="Arial" w:hAnsi="Arial" w:cs="Arial"/>
                <w:color w:val="000000"/>
              </w:rPr>
              <w:t>91.1</w:t>
            </w:r>
          </w:p>
        </w:tc>
      </w:tr>
      <w:tr w:rsidR="0021298F" w14:paraId="5D044D16" w14:textId="77777777" w:rsidTr="00760009">
        <w:trPr>
          <w:trHeight w:val="64"/>
        </w:trPr>
        <w:tc>
          <w:tcPr>
            <w:cnfStyle w:val="001000000000" w:firstRow="0" w:lastRow="0" w:firstColumn="1" w:lastColumn="0" w:oddVBand="0" w:evenVBand="0" w:oddHBand="0" w:evenHBand="0" w:firstRowFirstColumn="0" w:firstRowLastColumn="0" w:lastRowFirstColumn="0" w:lastRowLastColumn="0"/>
            <w:tcW w:w="0" w:type="dxa"/>
            <w:tcBorders>
              <w:top w:val="single" w:sz="4" w:space="0" w:color="auto"/>
              <w:bottom w:val="single" w:sz="4" w:space="0" w:color="auto"/>
            </w:tcBorders>
            <w:hideMark/>
          </w:tcPr>
          <w:p w14:paraId="1C3E251C" w14:textId="77777777" w:rsidR="0021298F" w:rsidRDefault="0021298F" w:rsidP="00760009">
            <w:pPr>
              <w:jc w:val="both"/>
              <w:rPr>
                <w:rFonts w:ascii="Arial" w:eastAsia="Times New Roman" w:hAnsi="Arial" w:cs="Arial"/>
              </w:rPr>
            </w:pPr>
            <w:r>
              <w:rPr>
                <w:rFonts w:ascii="Arial" w:eastAsia="Times New Roman" w:hAnsi="Arial" w:cs="Arial"/>
              </w:rPr>
              <w:t>Letteragh</w:t>
            </w:r>
          </w:p>
        </w:tc>
        <w:tc>
          <w:tcPr>
            <w:tcW w:w="0" w:type="dxa"/>
            <w:tcBorders>
              <w:top w:val="single" w:sz="4" w:space="0" w:color="auto"/>
              <w:bottom w:val="single" w:sz="4" w:space="0" w:color="auto"/>
            </w:tcBorders>
            <w:hideMark/>
          </w:tcPr>
          <w:p w14:paraId="17225AD9" w14:textId="77777777" w:rsidR="0021298F" w:rsidRDefault="0021298F" w:rsidP="00760009">
            <w:pPr>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Pr>
                <w:rFonts w:ascii="Arial" w:hAnsi="Arial" w:cs="Arial"/>
                <w:color w:val="000000"/>
              </w:rPr>
              <w:t>14.1</w:t>
            </w:r>
          </w:p>
        </w:tc>
        <w:tc>
          <w:tcPr>
            <w:tcW w:w="0" w:type="dxa"/>
            <w:tcBorders>
              <w:top w:val="single" w:sz="4" w:space="0" w:color="auto"/>
              <w:bottom w:val="single" w:sz="4" w:space="0" w:color="auto"/>
            </w:tcBorders>
            <w:shd w:val="clear" w:color="auto" w:fill="EDFFB7"/>
            <w:hideMark/>
          </w:tcPr>
          <w:p w14:paraId="1C03E8BD" w14:textId="77777777" w:rsidR="0021298F" w:rsidRDefault="0021298F" w:rsidP="00760009">
            <w:pPr>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Pr>
                <w:rFonts w:ascii="Arial" w:hAnsi="Arial" w:cs="Arial"/>
                <w:color w:val="000000"/>
              </w:rPr>
              <w:t>34.5</w:t>
            </w:r>
          </w:p>
        </w:tc>
      </w:tr>
      <w:tr w:rsidR="0021298F" w14:paraId="0D5C6742" w14:textId="77777777" w:rsidTr="00760009">
        <w:trPr>
          <w:trHeight w:val="64"/>
        </w:trPr>
        <w:tc>
          <w:tcPr>
            <w:cnfStyle w:val="001000000000" w:firstRow="0" w:lastRow="0" w:firstColumn="1" w:lastColumn="0" w:oddVBand="0" w:evenVBand="0" w:oddHBand="0" w:evenHBand="0" w:firstRowFirstColumn="0" w:firstRowLastColumn="0" w:lastRowFirstColumn="0" w:lastRowLastColumn="0"/>
            <w:tcW w:w="0" w:type="dxa"/>
            <w:tcBorders>
              <w:top w:val="single" w:sz="4" w:space="0" w:color="auto"/>
              <w:bottom w:val="single" w:sz="4" w:space="0" w:color="auto"/>
            </w:tcBorders>
            <w:hideMark/>
          </w:tcPr>
          <w:p w14:paraId="090E2833" w14:textId="77777777" w:rsidR="0021298F" w:rsidRDefault="0021298F" w:rsidP="00760009">
            <w:pPr>
              <w:jc w:val="both"/>
              <w:rPr>
                <w:rFonts w:ascii="Arial" w:eastAsia="Times New Roman" w:hAnsi="Arial" w:cs="Arial"/>
              </w:rPr>
            </w:pPr>
            <w:r>
              <w:rPr>
                <w:rFonts w:ascii="Arial" w:eastAsia="Times New Roman" w:hAnsi="Arial" w:cs="Arial"/>
              </w:rPr>
              <w:t>An Cnoc</w:t>
            </w:r>
          </w:p>
        </w:tc>
        <w:tc>
          <w:tcPr>
            <w:tcW w:w="0" w:type="dxa"/>
            <w:tcBorders>
              <w:top w:val="single" w:sz="4" w:space="0" w:color="auto"/>
              <w:bottom w:val="single" w:sz="4" w:space="0" w:color="auto"/>
            </w:tcBorders>
            <w:hideMark/>
          </w:tcPr>
          <w:p w14:paraId="7F28F2E2" w14:textId="77777777" w:rsidR="0021298F" w:rsidRDefault="0021298F" w:rsidP="00760009">
            <w:pPr>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Pr>
                <w:rFonts w:ascii="Arial" w:hAnsi="Arial" w:cs="Arial"/>
                <w:color w:val="000000"/>
              </w:rPr>
              <w:t>11.5</w:t>
            </w:r>
          </w:p>
        </w:tc>
        <w:tc>
          <w:tcPr>
            <w:tcW w:w="0" w:type="dxa"/>
            <w:tcBorders>
              <w:top w:val="single" w:sz="4" w:space="0" w:color="auto"/>
              <w:bottom w:val="single" w:sz="4" w:space="0" w:color="auto"/>
            </w:tcBorders>
            <w:shd w:val="clear" w:color="auto" w:fill="EDFFB7"/>
            <w:hideMark/>
          </w:tcPr>
          <w:p w14:paraId="60FAB771" w14:textId="77777777" w:rsidR="0021298F" w:rsidRDefault="0021298F" w:rsidP="00760009">
            <w:pPr>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Pr>
                <w:rFonts w:ascii="Arial" w:hAnsi="Arial" w:cs="Arial"/>
                <w:color w:val="000000"/>
              </w:rPr>
              <w:t>22.6</w:t>
            </w:r>
          </w:p>
        </w:tc>
      </w:tr>
      <w:tr w:rsidR="0021298F" w14:paraId="2F058E01" w14:textId="77777777" w:rsidTr="00760009">
        <w:trPr>
          <w:trHeight w:val="236"/>
        </w:trPr>
        <w:tc>
          <w:tcPr>
            <w:cnfStyle w:val="001000000000" w:firstRow="0" w:lastRow="0" w:firstColumn="1" w:lastColumn="0" w:oddVBand="0" w:evenVBand="0" w:oddHBand="0" w:evenHBand="0" w:firstRowFirstColumn="0" w:firstRowLastColumn="0" w:lastRowFirstColumn="0" w:lastRowLastColumn="0"/>
            <w:tcW w:w="0" w:type="dxa"/>
            <w:tcBorders>
              <w:top w:val="single" w:sz="4" w:space="0" w:color="auto"/>
              <w:bottom w:val="single" w:sz="4" w:space="0" w:color="auto"/>
            </w:tcBorders>
            <w:hideMark/>
          </w:tcPr>
          <w:p w14:paraId="2CF21676" w14:textId="77777777" w:rsidR="0021298F" w:rsidRDefault="0021298F" w:rsidP="00760009">
            <w:pPr>
              <w:jc w:val="both"/>
              <w:rPr>
                <w:rFonts w:ascii="Arial" w:eastAsia="Times New Roman" w:hAnsi="Arial" w:cs="Arial"/>
              </w:rPr>
            </w:pPr>
            <w:r>
              <w:rPr>
                <w:rFonts w:ascii="Arial" w:eastAsia="Times New Roman" w:hAnsi="Arial" w:cs="Arial"/>
              </w:rPr>
              <w:t>Carrickallen (50% interest)</w:t>
            </w:r>
          </w:p>
        </w:tc>
        <w:tc>
          <w:tcPr>
            <w:tcW w:w="0" w:type="dxa"/>
            <w:tcBorders>
              <w:top w:val="single" w:sz="4" w:space="0" w:color="auto"/>
              <w:bottom w:val="single" w:sz="4" w:space="0" w:color="auto"/>
            </w:tcBorders>
            <w:hideMark/>
          </w:tcPr>
          <w:p w14:paraId="5E546B48" w14:textId="77777777" w:rsidR="0021298F" w:rsidRDefault="0021298F" w:rsidP="00760009">
            <w:pPr>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Pr>
                <w:rFonts w:ascii="Arial" w:hAnsi="Arial" w:cs="Arial"/>
                <w:color w:val="000000"/>
              </w:rPr>
              <w:t>10.3</w:t>
            </w:r>
          </w:p>
        </w:tc>
        <w:tc>
          <w:tcPr>
            <w:tcW w:w="0" w:type="dxa"/>
            <w:tcBorders>
              <w:top w:val="single" w:sz="4" w:space="0" w:color="auto"/>
              <w:bottom w:val="single" w:sz="4" w:space="0" w:color="auto"/>
            </w:tcBorders>
            <w:shd w:val="clear" w:color="auto" w:fill="EDFFB7"/>
            <w:hideMark/>
          </w:tcPr>
          <w:p w14:paraId="67A48EC2" w14:textId="77777777" w:rsidR="0021298F" w:rsidRDefault="0021298F" w:rsidP="00760009">
            <w:pPr>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Pr>
                <w:rFonts w:ascii="Arial" w:hAnsi="Arial" w:cs="Arial"/>
                <w:color w:val="000000"/>
              </w:rPr>
              <w:t>21.2</w:t>
            </w:r>
          </w:p>
        </w:tc>
      </w:tr>
      <w:tr w:rsidR="0021298F" w14:paraId="4FE59E64" w14:textId="77777777" w:rsidTr="00760009">
        <w:trPr>
          <w:trHeight w:val="236"/>
        </w:trPr>
        <w:tc>
          <w:tcPr>
            <w:cnfStyle w:val="001000000000" w:firstRow="0" w:lastRow="0" w:firstColumn="1" w:lastColumn="0" w:oddVBand="0" w:evenVBand="0" w:oddHBand="0" w:evenHBand="0" w:firstRowFirstColumn="0" w:firstRowLastColumn="0" w:lastRowFirstColumn="0" w:lastRowLastColumn="0"/>
            <w:tcW w:w="0" w:type="dxa"/>
            <w:tcBorders>
              <w:top w:val="single" w:sz="4" w:space="0" w:color="auto"/>
              <w:bottom w:val="single" w:sz="4" w:space="0" w:color="auto"/>
            </w:tcBorders>
            <w:hideMark/>
          </w:tcPr>
          <w:p w14:paraId="03259AED" w14:textId="77777777" w:rsidR="0021298F" w:rsidRDefault="0021298F" w:rsidP="00760009">
            <w:pPr>
              <w:jc w:val="both"/>
              <w:rPr>
                <w:rFonts w:ascii="Arial" w:eastAsia="Times New Roman" w:hAnsi="Arial" w:cs="Arial"/>
              </w:rPr>
            </w:pPr>
            <w:r>
              <w:rPr>
                <w:rFonts w:ascii="Arial" w:eastAsia="Times New Roman" w:hAnsi="Arial" w:cs="Arial"/>
              </w:rPr>
              <w:t>Beam Hill Extension</w:t>
            </w:r>
          </w:p>
        </w:tc>
        <w:tc>
          <w:tcPr>
            <w:tcW w:w="0" w:type="dxa"/>
            <w:tcBorders>
              <w:top w:val="single" w:sz="4" w:space="0" w:color="auto"/>
              <w:bottom w:val="single" w:sz="4" w:space="0" w:color="auto"/>
            </w:tcBorders>
            <w:hideMark/>
          </w:tcPr>
          <w:p w14:paraId="54B5326A" w14:textId="77777777" w:rsidR="0021298F" w:rsidRDefault="0021298F" w:rsidP="00760009">
            <w:pPr>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Pr>
                <w:rFonts w:ascii="Arial" w:hAnsi="Arial" w:cs="Arial"/>
                <w:color w:val="000000"/>
              </w:rPr>
              <w:t>6.9</w:t>
            </w:r>
          </w:p>
        </w:tc>
        <w:tc>
          <w:tcPr>
            <w:tcW w:w="0" w:type="dxa"/>
            <w:tcBorders>
              <w:top w:val="single" w:sz="4" w:space="0" w:color="auto"/>
              <w:bottom w:val="single" w:sz="4" w:space="0" w:color="auto"/>
            </w:tcBorders>
            <w:shd w:val="clear" w:color="auto" w:fill="EDFFB7"/>
            <w:hideMark/>
          </w:tcPr>
          <w:p w14:paraId="465BEED1" w14:textId="77777777" w:rsidR="0021298F" w:rsidRDefault="0021298F" w:rsidP="00760009">
            <w:pPr>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Pr>
                <w:rFonts w:ascii="Arial" w:hAnsi="Arial" w:cs="Arial"/>
                <w:color w:val="000000"/>
              </w:rPr>
              <w:t>12.4</w:t>
            </w:r>
          </w:p>
        </w:tc>
      </w:tr>
      <w:tr w:rsidR="0021298F" w14:paraId="0F1D601D" w14:textId="77777777" w:rsidTr="00760009">
        <w:trPr>
          <w:trHeight w:val="236"/>
        </w:trPr>
        <w:tc>
          <w:tcPr>
            <w:cnfStyle w:val="001000000000" w:firstRow="0" w:lastRow="0" w:firstColumn="1" w:lastColumn="0" w:oddVBand="0" w:evenVBand="0" w:oddHBand="0" w:evenHBand="0" w:firstRowFirstColumn="0" w:firstRowLastColumn="0" w:lastRowFirstColumn="0" w:lastRowLastColumn="0"/>
            <w:tcW w:w="0" w:type="dxa"/>
            <w:tcBorders>
              <w:top w:val="single" w:sz="4" w:space="0" w:color="auto"/>
              <w:left w:val="nil"/>
              <w:bottom w:val="single" w:sz="4" w:space="0" w:color="auto"/>
              <w:right w:val="nil"/>
            </w:tcBorders>
            <w:hideMark/>
          </w:tcPr>
          <w:p w14:paraId="36FA53B2" w14:textId="77777777" w:rsidR="0021298F" w:rsidRDefault="0021298F" w:rsidP="00760009">
            <w:pPr>
              <w:jc w:val="both"/>
              <w:rPr>
                <w:rFonts w:ascii="Arial" w:eastAsia="Times New Roman" w:hAnsi="Arial" w:cs="Arial"/>
              </w:rPr>
            </w:pPr>
            <w:r>
              <w:rPr>
                <w:rFonts w:ascii="Arial" w:eastAsia="Times New Roman" w:hAnsi="Arial" w:cs="Arial"/>
                <w:b/>
              </w:rPr>
              <w:t>Total</w:t>
            </w:r>
          </w:p>
        </w:tc>
        <w:tc>
          <w:tcPr>
            <w:tcW w:w="0" w:type="dxa"/>
            <w:tcBorders>
              <w:top w:val="single" w:sz="4" w:space="0" w:color="auto"/>
              <w:left w:val="nil"/>
              <w:bottom w:val="single" w:sz="4" w:space="0" w:color="auto"/>
              <w:right w:val="nil"/>
            </w:tcBorders>
            <w:hideMark/>
          </w:tcPr>
          <w:p w14:paraId="3C69A6AF" w14:textId="77777777" w:rsidR="0021298F" w:rsidRDefault="0021298F" w:rsidP="00760009">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rPr>
            </w:pPr>
            <w:r>
              <w:rPr>
                <w:rFonts w:ascii="Arial" w:eastAsia="Times New Roman" w:hAnsi="Arial" w:cs="Arial"/>
                <w:b/>
              </w:rPr>
              <w:t>94.7</w:t>
            </w:r>
          </w:p>
        </w:tc>
        <w:tc>
          <w:tcPr>
            <w:tcW w:w="0" w:type="dxa"/>
            <w:tcBorders>
              <w:top w:val="single" w:sz="4" w:space="0" w:color="auto"/>
              <w:left w:val="nil"/>
              <w:bottom w:val="single" w:sz="4" w:space="0" w:color="auto"/>
              <w:right w:val="nil"/>
            </w:tcBorders>
            <w:shd w:val="clear" w:color="auto" w:fill="EDFFB7"/>
            <w:hideMark/>
          </w:tcPr>
          <w:p w14:paraId="3C2C6B4E" w14:textId="77777777" w:rsidR="0021298F" w:rsidRDefault="0021298F" w:rsidP="00760009">
            <w:pPr>
              <w:cnfStyle w:val="000000000000" w:firstRow="0" w:lastRow="0" w:firstColumn="0" w:lastColumn="0" w:oddVBand="0" w:evenVBand="0" w:oddHBand="0" w:evenHBand="0" w:firstRowFirstColumn="0" w:firstRowLastColumn="0" w:lastRowFirstColumn="0" w:lastRowLastColumn="0"/>
              <w:rPr>
                <w:rFonts w:ascii="Arial" w:hAnsi="Arial" w:cs="Arial"/>
                <w:color w:val="000000"/>
                <w:szCs w:val="22"/>
              </w:rPr>
            </w:pPr>
            <w:r>
              <w:rPr>
                <w:rFonts w:ascii="Arial" w:eastAsia="Times New Roman" w:hAnsi="Arial" w:cs="Arial"/>
                <w:b/>
              </w:rPr>
              <w:t>181.8</w:t>
            </w:r>
          </w:p>
        </w:tc>
      </w:tr>
    </w:tbl>
    <w:p w14:paraId="74FCE4AA" w14:textId="77777777" w:rsidR="0021298F" w:rsidRDefault="0021298F" w:rsidP="0021298F">
      <w:pPr>
        <w:jc w:val="both"/>
        <w:rPr>
          <w:rFonts w:ascii="Arial" w:hAnsi="Arial" w:cs="Arial"/>
        </w:rPr>
      </w:pPr>
    </w:p>
    <w:p w14:paraId="24DD4D70" w14:textId="77777777" w:rsidR="0021298F" w:rsidRDefault="0021298F" w:rsidP="0021298F">
      <w:pPr>
        <w:jc w:val="both"/>
        <w:rPr>
          <w:rFonts w:ascii="Arial" w:hAnsi="Arial" w:cs="Arial"/>
          <w:i/>
          <w:iCs/>
        </w:rPr>
      </w:pPr>
      <w:r>
        <w:rPr>
          <w:rFonts w:ascii="Arial" w:hAnsi="Arial" w:cs="Arial"/>
          <w:i/>
          <w:iCs/>
        </w:rPr>
        <w:t>Ireland</w:t>
      </w:r>
    </w:p>
    <w:p w14:paraId="58F088F1" w14:textId="77777777" w:rsidR="0021298F" w:rsidRDefault="0021298F" w:rsidP="0021298F">
      <w:pPr>
        <w:jc w:val="both"/>
        <w:rPr>
          <w:rFonts w:ascii="Arial" w:hAnsi="Arial" w:cs="Arial"/>
        </w:rPr>
      </w:pPr>
      <w:r>
        <w:rPr>
          <w:rFonts w:ascii="Arial" w:hAnsi="Arial" w:cs="Arial"/>
        </w:rPr>
        <w:t>In December 2020, the Company announced its first investment supported by the Irish government’s RESS framework. The Group agreed to acquire the 37.8MW Cloghan wind farm and the 25.2MW Taghart wind farm, both of which benefit from 15-year fixed price contracts secured under the 2020 RESS 1 auction. The transaction is expected to complete in late 2022 after the wind farms become fully operational. By committing to acquire assets at an earlier stage of development, the Group has been able to access improved returns and enhanced deal flow, while not taking construction risk. We see this investment model being important for the Group’s future growth.</w:t>
      </w:r>
      <w:r>
        <w:t xml:space="preserve"> </w:t>
      </w:r>
    </w:p>
    <w:p w14:paraId="1EC27BCA" w14:textId="77777777" w:rsidR="0021298F" w:rsidRDefault="0021298F" w:rsidP="0021298F">
      <w:pPr>
        <w:jc w:val="both"/>
        <w:rPr>
          <w:rFonts w:ascii="Arial" w:hAnsi="Arial" w:cs="Arial"/>
        </w:rPr>
      </w:pPr>
    </w:p>
    <w:p w14:paraId="2613BFFD" w14:textId="77777777" w:rsidR="0021298F" w:rsidRPr="00660DCB" w:rsidRDefault="0021298F" w:rsidP="0021298F">
      <w:pPr>
        <w:rPr>
          <w:rFonts w:ascii="Arial" w:hAnsi="Arial" w:cs="Arial"/>
          <w:b/>
        </w:rPr>
      </w:pPr>
      <w:r>
        <w:rPr>
          <w:rFonts w:ascii="Arial" w:hAnsi="Arial" w:cs="Arial"/>
        </w:rPr>
        <w:t xml:space="preserve">In January 2021, the Group increased its investment in Killala wind farm following successful construction and commissioning of its sixth 3.4MW turbine. Killala now has a generating capacity of 20.4MW and the net generating capacity of the Group is 560MW. </w:t>
      </w:r>
    </w:p>
    <w:p w14:paraId="5EB90AF3" w14:textId="77777777" w:rsidR="0021298F" w:rsidRDefault="0021298F" w:rsidP="0021298F">
      <w:pPr>
        <w:jc w:val="both"/>
        <w:rPr>
          <w:rFonts w:ascii="Arial" w:eastAsia="Times New Roman" w:hAnsi="Arial" w:cs="Arial"/>
          <w:b/>
          <w:szCs w:val="26"/>
        </w:rPr>
      </w:pPr>
    </w:p>
    <w:p w14:paraId="7BE5F566" w14:textId="77777777" w:rsidR="0021298F" w:rsidRDefault="0021298F" w:rsidP="0021298F">
      <w:pPr>
        <w:autoSpaceDE w:val="0"/>
        <w:autoSpaceDN w:val="0"/>
        <w:adjustRightInd w:val="0"/>
        <w:contextualSpacing/>
        <w:jc w:val="both"/>
        <w:rPr>
          <w:rFonts w:ascii="Arial" w:hAnsi="Arial" w:cs="Arial"/>
        </w:rPr>
      </w:pPr>
      <w:r>
        <w:rPr>
          <w:rFonts w:ascii="Arial" w:hAnsi="Arial" w:cs="Arial"/>
        </w:rPr>
        <w:t>In February 2021, the Company also announced its agreement to acquire the 89.9MW Cordal wind farm for €190 million from Cubico Investments. Cordal is located in County Kerry and has revenues contracted under the REFIT 2 scheme.</w:t>
      </w:r>
      <w:r w:rsidRPr="004D4DE3">
        <w:rPr>
          <w:rFonts w:ascii="Arial" w:hAnsi="Arial" w:cs="Arial"/>
        </w:rPr>
        <w:t xml:space="preserve"> </w:t>
      </w:r>
      <w:r>
        <w:rPr>
          <w:rFonts w:ascii="Arial" w:hAnsi="Arial" w:cs="Arial"/>
        </w:rPr>
        <w:t>The Group expects to complete the acquisition in April 2021.</w:t>
      </w:r>
    </w:p>
    <w:p w14:paraId="40044430" w14:textId="77777777" w:rsidR="0021298F" w:rsidRDefault="0021298F" w:rsidP="0021298F">
      <w:pPr>
        <w:jc w:val="both"/>
        <w:rPr>
          <w:rFonts w:ascii="Arial" w:hAnsi="Arial" w:cs="Arial"/>
          <w:i/>
          <w:iCs/>
        </w:rPr>
      </w:pPr>
    </w:p>
    <w:p w14:paraId="7EB8C245" w14:textId="77777777" w:rsidR="0021298F" w:rsidRDefault="0021298F" w:rsidP="0021298F">
      <w:pPr>
        <w:jc w:val="both"/>
        <w:rPr>
          <w:rFonts w:ascii="Arial" w:hAnsi="Arial" w:cs="Arial"/>
          <w:i/>
          <w:iCs/>
        </w:rPr>
      </w:pPr>
      <w:r>
        <w:rPr>
          <w:rFonts w:ascii="Arial" w:hAnsi="Arial" w:cs="Arial"/>
          <w:i/>
          <w:iCs/>
        </w:rPr>
        <w:t>France</w:t>
      </w:r>
    </w:p>
    <w:p w14:paraId="1101D34C" w14:textId="77777777" w:rsidR="0021298F" w:rsidRDefault="0021298F" w:rsidP="0021298F">
      <w:pPr>
        <w:jc w:val="both"/>
        <w:rPr>
          <w:rFonts w:ascii="Arial" w:hAnsi="Arial" w:cs="Arial"/>
        </w:rPr>
      </w:pPr>
      <w:r>
        <w:rPr>
          <w:rFonts w:ascii="Arial" w:hAnsi="Arial" w:cs="Arial"/>
        </w:rPr>
        <w:t xml:space="preserve">In June 2020, the Group diversified its portfolio and made its first investments in continental Europe, acquiring 3 wind farms in France for a net enterprise value of €95 million. This portfolio consisted of the 20.0MW Pasilly wind farm in the Burgundy region, the 21.6MW Sommette wind farm in the Picardy region and the 10.3MW Saint </w:t>
      </w:r>
      <w:r>
        <w:rPr>
          <w:rFonts w:ascii="Arial" w:hAnsi="Arial" w:cs="Arial"/>
        </w:rPr>
        <w:lastRenderedPageBreak/>
        <w:t>Martin wind farm in the Saint Martin-L’Ars region. The Group retained €66.9 million of project level debt as part of the transaction. This transaction has enabled the Group to gain exposure to the French FIT subsidy scheme and increase its levels of contracted cashflows</w:t>
      </w:r>
      <w:r w:rsidRPr="002D1716">
        <w:rPr>
          <w:rFonts w:ascii="Arial" w:hAnsi="Arial" w:cs="Arial"/>
        </w:rPr>
        <w:t>.</w:t>
      </w:r>
    </w:p>
    <w:p w14:paraId="0E13B266" w14:textId="77777777" w:rsidR="0021298F" w:rsidRDefault="0021298F" w:rsidP="0021298F">
      <w:pPr>
        <w:jc w:val="both"/>
        <w:rPr>
          <w:rFonts w:ascii="Arial" w:hAnsi="Arial" w:cs="Arial"/>
        </w:rPr>
      </w:pPr>
    </w:p>
    <w:p w14:paraId="24AFB7D7" w14:textId="77777777" w:rsidR="0021298F" w:rsidRDefault="0021298F" w:rsidP="0021298F">
      <w:pPr>
        <w:jc w:val="both"/>
        <w:rPr>
          <w:rFonts w:ascii="Arial" w:hAnsi="Arial" w:cs="Arial"/>
          <w:i/>
          <w:iCs/>
        </w:rPr>
      </w:pPr>
      <w:r>
        <w:rPr>
          <w:rFonts w:ascii="Arial" w:hAnsi="Arial" w:cs="Arial"/>
          <w:i/>
          <w:iCs/>
        </w:rPr>
        <w:t>The Nordics</w:t>
      </w:r>
    </w:p>
    <w:p w14:paraId="042C8335" w14:textId="77777777" w:rsidR="0021298F" w:rsidRDefault="0021298F" w:rsidP="0021298F">
      <w:pPr>
        <w:jc w:val="both"/>
        <w:rPr>
          <w:rFonts w:ascii="Arial" w:eastAsia="Times New Roman" w:hAnsi="Arial" w:cs="Arial"/>
        </w:rPr>
      </w:pPr>
      <w:r>
        <w:rPr>
          <w:rFonts w:ascii="Arial" w:hAnsi="Arial" w:cs="Arial"/>
        </w:rPr>
        <w:t>In February 2021, the Company announced its first investment in the Nordics. The Group agreed to acquire the 43.2MW Kokkoneva wind farm in Finland for an estimated consideration of €60 million, with the investment expected to complete in Q2 2022 when the wind farm is expected to be fully operational. The project benefits from a 10 year base load PPA with Gasum, the state-owned gas utility in Finland</w:t>
      </w:r>
      <w:r w:rsidRPr="00AE47CC">
        <w:rPr>
          <w:rFonts w:ascii="Arial" w:hAnsi="Arial" w:cs="Arial"/>
        </w:rPr>
        <w:t>, who have stated their intention to offer renewably-sourced energy to their customer base.</w:t>
      </w:r>
      <w:r>
        <w:rPr>
          <w:rFonts w:ascii="Arial" w:hAnsi="Arial" w:cs="Arial"/>
        </w:rPr>
        <w:t xml:space="preserve"> The overall market for corporate PPAs is increasing substantially across Europe, but particularly in the Nordics due to the ability to generate low cost renewable electricity. This model of acquiring subsidy-free renewable energy assets and using a corporate PPA to provide contracted cashflow is very attractive to the Group and we look to execute further transactions on this basis.</w:t>
      </w:r>
    </w:p>
    <w:p w14:paraId="3AB24266" w14:textId="77777777" w:rsidR="0021298F" w:rsidRDefault="0021298F" w:rsidP="0021298F">
      <w:pPr>
        <w:pStyle w:val="Heading4"/>
        <w:rPr>
          <w:rFonts w:ascii="Arial" w:hAnsi="Arial" w:cs="Arial"/>
        </w:rPr>
      </w:pPr>
      <w:r>
        <w:rPr>
          <w:rFonts w:ascii="Arial" w:hAnsi="Arial" w:cs="Arial"/>
          <w:color w:val="auto"/>
        </w:rPr>
        <w:t>Gearing</w:t>
      </w:r>
    </w:p>
    <w:p w14:paraId="63AA1B18" w14:textId="77777777" w:rsidR="0021298F" w:rsidRDefault="0021298F" w:rsidP="0021298F">
      <w:pPr>
        <w:jc w:val="both"/>
        <w:rPr>
          <w:rFonts w:ascii="Arial" w:hAnsi="Arial" w:cs="Arial"/>
        </w:rPr>
      </w:pPr>
      <w:r>
        <w:rPr>
          <w:rFonts w:ascii="Arial" w:hAnsi="Arial" w:cs="Arial"/>
        </w:rPr>
        <w:t>In April 2020, the Group successfully placed a new €300 million revolving credit facility drawing funds from CIBC, RBC and Santander to retire and refinance its existing facility. The new facility has a refreshed 3-year tenor and lower margin and commitment fee.</w:t>
      </w:r>
    </w:p>
    <w:p w14:paraId="0FDE51F8" w14:textId="77777777" w:rsidR="0021298F" w:rsidRDefault="0021298F" w:rsidP="0021298F">
      <w:pPr>
        <w:jc w:val="both"/>
        <w:rPr>
          <w:rFonts w:ascii="Arial" w:hAnsi="Arial" w:cs="Arial"/>
        </w:rPr>
      </w:pPr>
    </w:p>
    <w:p w14:paraId="5EFB604C" w14:textId="77777777" w:rsidR="0021298F" w:rsidRDefault="0021298F" w:rsidP="0021298F">
      <w:pPr>
        <w:jc w:val="both"/>
        <w:rPr>
          <w:rFonts w:ascii="Arial" w:hAnsi="Arial" w:cs="Arial"/>
        </w:rPr>
      </w:pPr>
      <w:r>
        <w:rPr>
          <w:rFonts w:ascii="Arial" w:hAnsi="Arial" w:cs="Arial"/>
        </w:rPr>
        <w:t xml:space="preserve">In October 2020, the Group successfully executed the next phase of managing its capital structure, by successfully placing €200 million of 5-year term loans with CBA, NAB and Natwest (together with associated interest rate swaps). The proceeds of these loans were utilised to repay the Group’s drawn revolving credit facility and is anticipated to be the first of similar term debt tranches placed by the Group in the future. These term facilities were placed at very competitive margins and have enabled the Group to establish and maintain a strong and supportive lending syndicate. </w:t>
      </w:r>
    </w:p>
    <w:p w14:paraId="6CAA2F34" w14:textId="77777777" w:rsidR="0021298F" w:rsidRDefault="0021298F" w:rsidP="0021298F">
      <w:pPr>
        <w:jc w:val="both"/>
        <w:rPr>
          <w:rFonts w:ascii="Arial" w:hAnsi="Arial" w:cs="Arial"/>
        </w:rPr>
      </w:pPr>
    </w:p>
    <w:p w14:paraId="57E1D7CC" w14:textId="77777777" w:rsidR="0021298F" w:rsidRDefault="0021298F" w:rsidP="0021298F">
      <w:pPr>
        <w:jc w:val="both"/>
        <w:rPr>
          <w:rFonts w:ascii="Arial" w:hAnsi="Arial" w:cs="Arial"/>
        </w:rPr>
      </w:pPr>
      <w:r>
        <w:rPr>
          <w:rFonts w:ascii="Arial" w:hAnsi="Arial" w:cs="Arial"/>
        </w:rPr>
        <w:t xml:space="preserve">As at 31 December 2020, the Group and wind farm SPVs had €427.9 million outstanding debt, equating to 36 per cent of GAV (limit 60 per cent). This comprised €15 million drawn under the Group’s revolving credit facility, €200 million of 5-year term debt and €212.9 million of the Group’s proportionate share of long-term project finance debt (including the fair value of associated interest rate swaps) at SPV level. </w:t>
      </w:r>
    </w:p>
    <w:p w14:paraId="0E209B55" w14:textId="77777777" w:rsidR="0021298F" w:rsidRDefault="0021298F" w:rsidP="0021298F">
      <w:pPr>
        <w:jc w:val="both"/>
        <w:rPr>
          <w:rFonts w:ascii="Arial" w:hAnsi="Arial" w:cs="Arial"/>
        </w:rPr>
      </w:pPr>
    </w:p>
    <w:p w14:paraId="13F3C6C7" w14:textId="77777777" w:rsidR="0021298F" w:rsidRDefault="0021298F" w:rsidP="0021298F">
      <w:pPr>
        <w:jc w:val="both"/>
        <w:rPr>
          <w:rFonts w:ascii="Arial" w:hAnsi="Arial" w:cs="Arial"/>
        </w:rPr>
      </w:pPr>
      <w:r>
        <w:rPr>
          <w:rFonts w:ascii="Arial" w:hAnsi="Arial" w:cs="Arial"/>
        </w:rPr>
        <w:t>Average gearing during the year was 39 per cent of GAV (Group and wind farm SPV level) and the weighted average cost of debt at 31 December 2020 was 0.74 per cent, significantly lower than last year. Further detail on the Group’s debt facilities can be found in note 13 of the Financial Statements.</w:t>
      </w:r>
    </w:p>
    <w:p w14:paraId="0A1D6AEE" w14:textId="77777777" w:rsidR="0021298F" w:rsidRDefault="0021298F" w:rsidP="0021298F">
      <w:pPr>
        <w:jc w:val="both"/>
        <w:rPr>
          <w:rFonts w:ascii="Arial" w:eastAsia="Times New Roman" w:hAnsi="Arial" w:cs="Arial"/>
          <w:b/>
          <w:szCs w:val="26"/>
        </w:rPr>
      </w:pPr>
    </w:p>
    <w:p w14:paraId="259BED80" w14:textId="77777777" w:rsidR="0021298F" w:rsidRDefault="0021298F" w:rsidP="0021298F">
      <w:pPr>
        <w:pStyle w:val="Heading4"/>
        <w:spacing w:before="0"/>
        <w:rPr>
          <w:rFonts w:ascii="Arial" w:hAnsi="Arial" w:cs="Arial"/>
        </w:rPr>
      </w:pPr>
      <w:r>
        <w:rPr>
          <w:rFonts w:ascii="Arial" w:hAnsi="Arial" w:cs="Arial"/>
          <w:color w:val="auto"/>
        </w:rPr>
        <w:t>Equity Issuance</w:t>
      </w:r>
    </w:p>
    <w:p w14:paraId="69F31473" w14:textId="77777777" w:rsidR="0021298F" w:rsidRDefault="0021298F" w:rsidP="0021298F">
      <w:pPr>
        <w:jc w:val="both"/>
        <w:rPr>
          <w:rFonts w:ascii="Arial" w:eastAsia="Times New Roman" w:hAnsi="Arial" w:cs="Arial"/>
        </w:rPr>
      </w:pPr>
      <w:r>
        <w:rPr>
          <w:rFonts w:ascii="Arial" w:eastAsia="Times New Roman" w:hAnsi="Arial" w:cs="Arial"/>
        </w:rPr>
        <w:t>In December 2020, the Company issued 111 million new shares at an issue price of 113 cent per share raising gross proceeds of €125 million in an oversubscribed and NAV-accretive share placing. This was the first tranche of the Company’s programme to issue 350 million new shares announced in November 2020.</w:t>
      </w:r>
    </w:p>
    <w:p w14:paraId="2D646E86" w14:textId="77777777" w:rsidR="0021298F" w:rsidRDefault="0021298F" w:rsidP="0021298F">
      <w:pPr>
        <w:jc w:val="both"/>
        <w:rPr>
          <w:rFonts w:ascii="Arial" w:eastAsia="Times New Roman" w:hAnsi="Arial" w:cs="Arial"/>
        </w:rPr>
      </w:pPr>
    </w:p>
    <w:p w14:paraId="00F0CFFE" w14:textId="77777777" w:rsidR="0021298F" w:rsidRDefault="0021298F" w:rsidP="0021298F">
      <w:pPr>
        <w:jc w:val="both"/>
        <w:rPr>
          <w:rFonts w:ascii="Arial" w:eastAsia="Times New Roman" w:hAnsi="Arial" w:cs="Arial"/>
        </w:rPr>
      </w:pPr>
      <w:r>
        <w:rPr>
          <w:rFonts w:ascii="Arial" w:eastAsia="Times New Roman" w:hAnsi="Arial" w:cs="Arial"/>
        </w:rPr>
        <w:t>Net proceeds from the equity raise were used to repay the Group’s drawn revolving credit facility, in line with the Company’s strategy.</w:t>
      </w:r>
    </w:p>
    <w:p w14:paraId="3167F76D" w14:textId="77777777" w:rsidR="0021298F" w:rsidRDefault="0021298F" w:rsidP="0021298F">
      <w:pPr>
        <w:jc w:val="both"/>
        <w:rPr>
          <w:rFonts w:ascii="Arial" w:eastAsia="Times New Roman" w:hAnsi="Arial" w:cs="Arial"/>
        </w:rPr>
      </w:pPr>
    </w:p>
    <w:p w14:paraId="7C8BD441" w14:textId="77777777" w:rsidR="0021298F" w:rsidRDefault="0021298F" w:rsidP="0021298F">
      <w:pPr>
        <w:pStyle w:val="Heading4"/>
        <w:spacing w:before="0"/>
        <w:rPr>
          <w:rFonts w:ascii="Arial" w:eastAsia="Times New Roman" w:hAnsi="Arial" w:cs="Arial"/>
        </w:rPr>
      </w:pPr>
      <w:r>
        <w:rPr>
          <w:rFonts w:ascii="Arial" w:hAnsi="Arial" w:cs="Arial"/>
          <w:color w:val="auto"/>
        </w:rPr>
        <w:t>Financial Performance</w:t>
      </w:r>
    </w:p>
    <w:p w14:paraId="1B5ACE25" w14:textId="77777777" w:rsidR="0021298F" w:rsidRDefault="0021298F" w:rsidP="0021298F">
      <w:pPr>
        <w:jc w:val="both"/>
        <w:rPr>
          <w:rFonts w:ascii="Arial" w:eastAsia="Times New Roman" w:hAnsi="Arial" w:cs="Arial"/>
        </w:rPr>
      </w:pPr>
      <w:r>
        <w:rPr>
          <w:rFonts w:ascii="Arial" w:eastAsia="Times New Roman" w:hAnsi="Arial" w:cs="Arial"/>
        </w:rPr>
        <w:t xml:space="preserve">Despite below budget wind generation, dividend cover remained robust. Net cash generated by the Group and wind farm SPVs was €66.4 million (gross of SPV level debt repayment) or €52.4 million (net of SPV level debt repayment), providing dividend cover of 1.7x (gross) or 1.4x (net). </w:t>
      </w:r>
    </w:p>
    <w:p w14:paraId="05A31B5D" w14:textId="77777777" w:rsidR="0021298F" w:rsidRDefault="0021298F" w:rsidP="0021298F">
      <w:pPr>
        <w:jc w:val="both"/>
        <w:rPr>
          <w:rFonts w:ascii="Arial" w:eastAsia="Times New Roman" w:hAnsi="Arial" w:cs="Arial"/>
        </w:rPr>
      </w:pPr>
    </w:p>
    <w:p w14:paraId="5D5D81EB" w14:textId="77777777" w:rsidR="0021298F" w:rsidRDefault="0021298F" w:rsidP="0021298F">
      <w:pPr>
        <w:jc w:val="both"/>
        <w:rPr>
          <w:rFonts w:ascii="Arial" w:eastAsia="Times New Roman" w:hAnsi="Arial" w:cs="Arial"/>
        </w:rPr>
      </w:pPr>
      <w:r>
        <w:rPr>
          <w:rFonts w:ascii="Arial" w:eastAsia="Times New Roman" w:hAnsi="Arial" w:cs="Arial"/>
        </w:rPr>
        <w:t>Cash balances (Group and wind farm SPVs) increased by €4.5 million from €34.5 million to €39.0 million over the year.</w:t>
      </w:r>
    </w:p>
    <w:tbl>
      <w:tblPr>
        <w:tblW w:w="5000" w:type="pct"/>
        <w:tblLook w:val="04A0" w:firstRow="1" w:lastRow="0" w:firstColumn="1" w:lastColumn="0" w:noHBand="0" w:noVBand="1"/>
      </w:tblPr>
      <w:tblGrid>
        <w:gridCol w:w="5991"/>
        <w:gridCol w:w="1610"/>
        <w:gridCol w:w="1425"/>
      </w:tblGrid>
      <w:tr w:rsidR="0021298F" w14:paraId="2CCB494A" w14:textId="77777777" w:rsidTr="00760009">
        <w:trPr>
          <w:trHeight w:val="657"/>
        </w:trPr>
        <w:tc>
          <w:tcPr>
            <w:tcW w:w="3063" w:type="pct"/>
            <w:tcBorders>
              <w:top w:val="nil"/>
              <w:left w:val="nil"/>
              <w:bottom w:val="single" w:sz="4" w:space="0" w:color="000000"/>
              <w:right w:val="nil"/>
            </w:tcBorders>
            <w:vAlign w:val="bottom"/>
          </w:tcPr>
          <w:p w14:paraId="674E0AFB" w14:textId="77777777" w:rsidR="0021298F" w:rsidRDefault="0021298F" w:rsidP="00760009">
            <w:pPr>
              <w:rPr>
                <w:rFonts w:ascii="Arial" w:eastAsia="Times New Roman" w:hAnsi="Arial" w:cs="Arial"/>
                <w:b/>
                <w:bCs/>
                <w:color w:val="000000"/>
                <w:lang w:eastAsia="en-GB"/>
              </w:rPr>
            </w:pPr>
            <w:bookmarkStart w:id="2" w:name="_Hlk63331367"/>
            <w:r>
              <w:rPr>
                <w:rFonts w:ascii="Arial" w:eastAsia="Times New Roman" w:hAnsi="Arial" w:cs="Arial"/>
                <w:b/>
                <w:bCs/>
                <w:color w:val="000000"/>
                <w:lang w:eastAsia="en-GB"/>
              </w:rPr>
              <w:t>Group and wind farm SPV cashflows</w:t>
            </w:r>
          </w:p>
        </w:tc>
        <w:tc>
          <w:tcPr>
            <w:tcW w:w="1937" w:type="pct"/>
            <w:gridSpan w:val="2"/>
            <w:tcBorders>
              <w:top w:val="nil"/>
              <w:left w:val="nil"/>
              <w:bottom w:val="single" w:sz="4" w:space="0" w:color="auto"/>
              <w:right w:val="nil"/>
            </w:tcBorders>
            <w:vAlign w:val="bottom"/>
            <w:hideMark/>
          </w:tcPr>
          <w:p w14:paraId="38082DA1" w14:textId="77777777" w:rsidR="0021298F" w:rsidRDefault="0021298F" w:rsidP="00760009">
            <w:pPr>
              <w:jc w:val="center"/>
              <w:rPr>
                <w:rFonts w:ascii="Arial" w:eastAsia="Times New Roman" w:hAnsi="Arial" w:cs="Arial"/>
                <w:color w:val="000000"/>
                <w:lang w:eastAsia="en-GB"/>
              </w:rPr>
            </w:pPr>
            <w:r>
              <w:rPr>
                <w:rFonts w:ascii="Arial" w:eastAsia="Times New Roman" w:hAnsi="Arial" w:cs="Arial"/>
                <w:b/>
                <w:bCs/>
                <w:color w:val="000000"/>
                <w:lang w:eastAsia="en-GB"/>
              </w:rPr>
              <w:t xml:space="preserve">For the year ended </w:t>
            </w:r>
            <w:r>
              <w:rPr>
                <w:rFonts w:ascii="Arial" w:eastAsia="Times New Roman" w:hAnsi="Arial" w:cs="Arial"/>
                <w:b/>
                <w:bCs/>
                <w:color w:val="000000"/>
                <w:lang w:eastAsia="en-GB"/>
              </w:rPr>
              <w:br/>
              <w:t>31 December 2020</w:t>
            </w:r>
          </w:p>
        </w:tc>
      </w:tr>
      <w:bookmarkEnd w:id="2"/>
      <w:tr w:rsidR="0021298F" w14:paraId="0D2CB6B3" w14:textId="77777777" w:rsidTr="00760009">
        <w:trPr>
          <w:trHeight w:val="300"/>
        </w:trPr>
        <w:tc>
          <w:tcPr>
            <w:tcW w:w="3063" w:type="pct"/>
            <w:shd w:val="clear" w:color="auto" w:fill="FFFFFF"/>
            <w:noWrap/>
            <w:vAlign w:val="center"/>
            <w:hideMark/>
          </w:tcPr>
          <w:p w14:paraId="0DC76085" w14:textId="77777777" w:rsidR="0021298F" w:rsidRDefault="0021298F" w:rsidP="00760009">
            <w:pPr>
              <w:rPr>
                <w:rFonts w:ascii="Arial" w:eastAsia="Times New Roman" w:hAnsi="Arial" w:cs="Arial"/>
                <w:color w:val="000000"/>
                <w:lang w:eastAsia="en-GB"/>
              </w:rPr>
            </w:pPr>
            <w:r>
              <w:rPr>
                <w:rFonts w:ascii="Arial" w:eastAsia="Times New Roman" w:hAnsi="Arial" w:cs="Arial"/>
                <w:color w:val="000000"/>
                <w:lang w:eastAsia="en-GB"/>
              </w:rPr>
              <w:t> </w:t>
            </w:r>
          </w:p>
        </w:tc>
        <w:tc>
          <w:tcPr>
            <w:tcW w:w="1020" w:type="pct"/>
            <w:tcBorders>
              <w:top w:val="single" w:sz="4" w:space="0" w:color="auto"/>
              <w:left w:val="nil"/>
              <w:bottom w:val="nil"/>
              <w:right w:val="nil"/>
            </w:tcBorders>
            <w:shd w:val="clear" w:color="auto" w:fill="EDFFB7"/>
            <w:noWrap/>
            <w:vAlign w:val="center"/>
            <w:hideMark/>
          </w:tcPr>
          <w:p w14:paraId="34CE907B" w14:textId="77777777" w:rsidR="0021298F" w:rsidRDefault="0021298F" w:rsidP="00760009">
            <w:pPr>
              <w:jc w:val="right"/>
              <w:rPr>
                <w:rFonts w:ascii="Arial" w:eastAsia="Times New Roman" w:hAnsi="Arial" w:cs="Arial"/>
                <w:b/>
                <w:bCs/>
                <w:color w:val="000000"/>
                <w:lang w:eastAsia="en-GB"/>
              </w:rPr>
            </w:pPr>
            <w:r>
              <w:rPr>
                <w:rFonts w:ascii="Arial" w:eastAsia="Times New Roman" w:hAnsi="Arial" w:cs="Arial"/>
                <w:b/>
                <w:bCs/>
                <w:color w:val="000000"/>
                <w:lang w:eastAsia="en-GB"/>
              </w:rPr>
              <w:t xml:space="preserve">Net </w:t>
            </w:r>
            <w:r>
              <w:rPr>
                <w:rFonts w:ascii="Arial" w:eastAsia="Times New Roman" w:hAnsi="Arial" w:cs="Arial"/>
                <w:b/>
                <w:bCs/>
                <w:color w:val="000000"/>
                <w:vertAlign w:val="superscript"/>
                <w:lang w:eastAsia="en-GB"/>
              </w:rPr>
              <w:t>(1)</w:t>
            </w:r>
          </w:p>
          <w:p w14:paraId="73898111" w14:textId="77777777" w:rsidR="0021298F" w:rsidRDefault="0021298F" w:rsidP="00760009">
            <w:pPr>
              <w:jc w:val="right"/>
              <w:rPr>
                <w:rFonts w:ascii="Arial" w:eastAsia="Times New Roman" w:hAnsi="Arial" w:cs="Arial"/>
                <w:b/>
                <w:bCs/>
                <w:color w:val="000000"/>
                <w:lang w:eastAsia="en-GB"/>
              </w:rPr>
            </w:pPr>
            <w:r>
              <w:rPr>
                <w:rFonts w:ascii="Arial" w:eastAsia="Times New Roman" w:hAnsi="Arial" w:cs="Arial"/>
                <w:b/>
                <w:bCs/>
                <w:color w:val="000000"/>
                <w:lang w:eastAsia="en-GB"/>
              </w:rPr>
              <w:t>€'000</w:t>
            </w:r>
          </w:p>
        </w:tc>
        <w:tc>
          <w:tcPr>
            <w:tcW w:w="917" w:type="pct"/>
            <w:tcBorders>
              <w:top w:val="single" w:sz="4" w:space="0" w:color="auto"/>
              <w:left w:val="nil"/>
              <w:bottom w:val="nil"/>
              <w:right w:val="nil"/>
            </w:tcBorders>
            <w:shd w:val="clear" w:color="auto" w:fill="EDFFB7"/>
            <w:noWrap/>
            <w:vAlign w:val="bottom"/>
            <w:hideMark/>
          </w:tcPr>
          <w:p w14:paraId="7D2966D4" w14:textId="77777777" w:rsidR="0021298F" w:rsidRDefault="0021298F" w:rsidP="00760009">
            <w:pPr>
              <w:jc w:val="right"/>
              <w:rPr>
                <w:rFonts w:ascii="Arial" w:eastAsia="Times New Roman" w:hAnsi="Arial" w:cs="Arial"/>
                <w:b/>
                <w:bCs/>
                <w:color w:val="000000"/>
                <w:vertAlign w:val="superscript"/>
                <w:lang w:eastAsia="en-GB"/>
              </w:rPr>
            </w:pPr>
            <w:r>
              <w:rPr>
                <w:rFonts w:ascii="Arial" w:eastAsia="Times New Roman" w:hAnsi="Arial" w:cs="Arial"/>
                <w:color w:val="000000"/>
                <w:lang w:eastAsia="en-GB"/>
              </w:rPr>
              <w:t> </w:t>
            </w:r>
            <w:r>
              <w:rPr>
                <w:rFonts w:ascii="Arial" w:eastAsia="Times New Roman" w:hAnsi="Arial" w:cs="Arial"/>
                <w:b/>
                <w:bCs/>
                <w:color w:val="000000"/>
                <w:lang w:eastAsia="en-GB"/>
              </w:rPr>
              <w:t xml:space="preserve">Gross </w:t>
            </w:r>
            <w:r>
              <w:rPr>
                <w:rFonts w:ascii="Arial" w:eastAsia="Times New Roman" w:hAnsi="Arial" w:cs="Arial"/>
                <w:b/>
                <w:bCs/>
                <w:color w:val="000000"/>
                <w:vertAlign w:val="superscript"/>
                <w:lang w:eastAsia="en-GB"/>
              </w:rPr>
              <w:t>(1)</w:t>
            </w:r>
          </w:p>
          <w:p w14:paraId="385AC462" w14:textId="77777777" w:rsidR="0021298F" w:rsidRDefault="0021298F" w:rsidP="00760009">
            <w:pPr>
              <w:jc w:val="right"/>
              <w:rPr>
                <w:rFonts w:ascii="Arial" w:eastAsia="Times New Roman" w:hAnsi="Arial" w:cs="Arial"/>
                <w:color w:val="000000"/>
                <w:lang w:eastAsia="en-GB"/>
              </w:rPr>
            </w:pPr>
            <w:r>
              <w:rPr>
                <w:rFonts w:ascii="Arial" w:eastAsia="Times New Roman" w:hAnsi="Arial" w:cs="Arial"/>
                <w:b/>
                <w:bCs/>
                <w:color w:val="000000"/>
                <w:lang w:eastAsia="en-GB"/>
              </w:rPr>
              <w:t>€'000</w:t>
            </w:r>
          </w:p>
        </w:tc>
      </w:tr>
      <w:tr w:rsidR="0021298F" w14:paraId="0C27B7E5" w14:textId="77777777" w:rsidTr="00760009">
        <w:trPr>
          <w:trHeight w:val="57"/>
        </w:trPr>
        <w:tc>
          <w:tcPr>
            <w:tcW w:w="3063" w:type="pct"/>
            <w:shd w:val="clear" w:color="auto" w:fill="FFFFFF"/>
            <w:noWrap/>
            <w:vAlign w:val="center"/>
            <w:hideMark/>
          </w:tcPr>
          <w:p w14:paraId="0769B55E" w14:textId="77777777" w:rsidR="0021298F" w:rsidRDefault="0021298F" w:rsidP="00760009">
            <w:pPr>
              <w:rPr>
                <w:rFonts w:ascii="Arial" w:eastAsia="Times New Roman" w:hAnsi="Arial" w:cs="Arial"/>
                <w:color w:val="000000"/>
                <w:lang w:eastAsia="en-GB"/>
              </w:rPr>
            </w:pPr>
            <w:r>
              <w:rPr>
                <w:rFonts w:ascii="Arial" w:eastAsia="Times New Roman" w:hAnsi="Arial" w:cs="Arial"/>
                <w:color w:val="000000"/>
                <w:lang w:eastAsia="en-GB"/>
              </w:rPr>
              <w:t> </w:t>
            </w:r>
          </w:p>
        </w:tc>
        <w:tc>
          <w:tcPr>
            <w:tcW w:w="1020" w:type="pct"/>
            <w:shd w:val="clear" w:color="auto" w:fill="EDFFB7"/>
            <w:noWrap/>
            <w:vAlign w:val="center"/>
            <w:hideMark/>
          </w:tcPr>
          <w:p w14:paraId="7D5F7D6F" w14:textId="77777777" w:rsidR="0021298F" w:rsidRDefault="0021298F" w:rsidP="00760009">
            <w:pPr>
              <w:rPr>
                <w:rFonts w:ascii="Arial" w:eastAsia="Times New Roman" w:hAnsi="Arial" w:cs="Arial"/>
                <w:color w:val="000000"/>
                <w:lang w:eastAsia="en-GB"/>
              </w:rPr>
            </w:pPr>
            <w:r>
              <w:rPr>
                <w:rFonts w:ascii="Arial" w:eastAsia="Times New Roman" w:hAnsi="Arial" w:cs="Arial"/>
                <w:color w:val="000000"/>
                <w:lang w:eastAsia="en-GB"/>
              </w:rPr>
              <w:t> </w:t>
            </w:r>
          </w:p>
        </w:tc>
        <w:tc>
          <w:tcPr>
            <w:tcW w:w="917" w:type="pct"/>
            <w:shd w:val="clear" w:color="auto" w:fill="EDFFB7"/>
            <w:noWrap/>
            <w:vAlign w:val="bottom"/>
            <w:hideMark/>
          </w:tcPr>
          <w:p w14:paraId="535C048F" w14:textId="77777777" w:rsidR="0021298F" w:rsidRDefault="0021298F" w:rsidP="00760009">
            <w:pPr>
              <w:rPr>
                <w:rFonts w:ascii="Arial" w:eastAsia="Times New Roman" w:hAnsi="Arial" w:cs="Arial"/>
                <w:color w:val="000000"/>
                <w:lang w:eastAsia="en-GB"/>
              </w:rPr>
            </w:pPr>
            <w:r>
              <w:rPr>
                <w:rFonts w:ascii="Arial" w:eastAsia="Times New Roman" w:hAnsi="Arial" w:cs="Arial"/>
                <w:color w:val="000000"/>
                <w:lang w:eastAsia="en-GB"/>
              </w:rPr>
              <w:t> </w:t>
            </w:r>
          </w:p>
        </w:tc>
      </w:tr>
      <w:tr w:rsidR="0021298F" w14:paraId="7EEA054B" w14:textId="77777777" w:rsidTr="00760009">
        <w:trPr>
          <w:trHeight w:val="285"/>
        </w:trPr>
        <w:tc>
          <w:tcPr>
            <w:tcW w:w="3063" w:type="pct"/>
            <w:shd w:val="clear" w:color="auto" w:fill="FFFFFF"/>
            <w:noWrap/>
            <w:vAlign w:val="center"/>
            <w:hideMark/>
          </w:tcPr>
          <w:p w14:paraId="6AC68CC7" w14:textId="77777777" w:rsidR="0021298F" w:rsidRDefault="0021298F" w:rsidP="00760009">
            <w:pPr>
              <w:rPr>
                <w:rFonts w:ascii="Arial" w:eastAsia="Times New Roman" w:hAnsi="Arial" w:cs="Arial"/>
                <w:color w:val="000000"/>
                <w:lang w:eastAsia="en-GB"/>
              </w:rPr>
            </w:pPr>
            <w:r>
              <w:rPr>
                <w:rFonts w:ascii="Arial" w:eastAsia="Times New Roman" w:hAnsi="Arial" w:cs="Arial"/>
                <w:color w:val="000000"/>
                <w:lang w:eastAsia="en-GB"/>
              </w:rPr>
              <w:t>Net cash generation</w:t>
            </w:r>
          </w:p>
        </w:tc>
        <w:tc>
          <w:tcPr>
            <w:tcW w:w="1020" w:type="pct"/>
            <w:shd w:val="clear" w:color="auto" w:fill="EDFFB7"/>
            <w:noWrap/>
            <w:vAlign w:val="center"/>
            <w:hideMark/>
          </w:tcPr>
          <w:p w14:paraId="5E139E29" w14:textId="77777777" w:rsidR="0021298F" w:rsidRDefault="0021298F" w:rsidP="00760009">
            <w:pPr>
              <w:jc w:val="right"/>
              <w:rPr>
                <w:rFonts w:ascii="Arial" w:eastAsia="Times New Roman" w:hAnsi="Arial" w:cs="Arial"/>
                <w:color w:val="000000"/>
                <w:lang w:eastAsia="en-GB"/>
              </w:rPr>
            </w:pPr>
            <w:r>
              <w:rPr>
                <w:rFonts w:ascii="Arial" w:eastAsia="Times New Roman" w:hAnsi="Arial" w:cs="Arial"/>
                <w:color w:val="000000"/>
                <w:lang w:eastAsia="en-GB"/>
              </w:rPr>
              <w:t>52,415</w:t>
            </w:r>
          </w:p>
        </w:tc>
        <w:tc>
          <w:tcPr>
            <w:tcW w:w="917" w:type="pct"/>
            <w:shd w:val="clear" w:color="auto" w:fill="EDFFB7"/>
            <w:noWrap/>
            <w:vAlign w:val="center"/>
            <w:hideMark/>
          </w:tcPr>
          <w:p w14:paraId="31A76C14" w14:textId="77777777" w:rsidR="0021298F" w:rsidRDefault="0021298F" w:rsidP="00760009">
            <w:pPr>
              <w:jc w:val="right"/>
              <w:rPr>
                <w:rFonts w:ascii="Arial" w:eastAsia="Times New Roman" w:hAnsi="Arial" w:cs="Arial"/>
                <w:color w:val="000000"/>
                <w:lang w:eastAsia="en-GB"/>
              </w:rPr>
            </w:pPr>
            <w:r>
              <w:rPr>
                <w:rFonts w:ascii="Arial" w:eastAsia="Times New Roman" w:hAnsi="Arial" w:cs="Arial"/>
                <w:color w:val="000000"/>
                <w:lang w:eastAsia="en-GB"/>
              </w:rPr>
              <w:t>66,424</w:t>
            </w:r>
          </w:p>
        </w:tc>
      </w:tr>
      <w:tr w:rsidR="0021298F" w14:paraId="1C852DA6" w14:textId="77777777" w:rsidTr="00760009">
        <w:trPr>
          <w:trHeight w:val="285"/>
        </w:trPr>
        <w:tc>
          <w:tcPr>
            <w:tcW w:w="3063" w:type="pct"/>
            <w:shd w:val="clear" w:color="auto" w:fill="FFFFFF"/>
            <w:noWrap/>
            <w:vAlign w:val="center"/>
            <w:hideMark/>
          </w:tcPr>
          <w:p w14:paraId="72D9F9C4" w14:textId="77777777" w:rsidR="0021298F" w:rsidRDefault="0021298F" w:rsidP="00760009">
            <w:pPr>
              <w:rPr>
                <w:rFonts w:ascii="Arial" w:eastAsia="Times New Roman" w:hAnsi="Arial" w:cs="Arial"/>
                <w:color w:val="000000"/>
                <w:lang w:eastAsia="en-GB"/>
              </w:rPr>
            </w:pPr>
            <w:r>
              <w:rPr>
                <w:rFonts w:ascii="Arial" w:eastAsia="Times New Roman" w:hAnsi="Arial" w:cs="Arial"/>
                <w:color w:val="000000"/>
                <w:lang w:eastAsia="en-GB"/>
              </w:rPr>
              <w:t>Dividends paid</w:t>
            </w:r>
          </w:p>
        </w:tc>
        <w:tc>
          <w:tcPr>
            <w:tcW w:w="1020" w:type="pct"/>
            <w:shd w:val="clear" w:color="auto" w:fill="EDFFB7"/>
            <w:noWrap/>
            <w:vAlign w:val="center"/>
            <w:hideMark/>
          </w:tcPr>
          <w:p w14:paraId="2F4FC738" w14:textId="77777777" w:rsidR="0021298F" w:rsidRDefault="0021298F" w:rsidP="00760009">
            <w:pPr>
              <w:jc w:val="right"/>
              <w:rPr>
                <w:rFonts w:ascii="Arial" w:eastAsia="Times New Roman" w:hAnsi="Arial" w:cs="Arial"/>
                <w:color w:val="000000"/>
                <w:lang w:eastAsia="en-GB"/>
              </w:rPr>
            </w:pPr>
            <w:r>
              <w:rPr>
                <w:rFonts w:ascii="Arial" w:eastAsia="Times New Roman" w:hAnsi="Arial" w:cs="Arial"/>
                <w:color w:val="000000"/>
                <w:lang w:eastAsia="en-GB"/>
              </w:rPr>
              <w:t>(38,168)</w:t>
            </w:r>
          </w:p>
        </w:tc>
        <w:tc>
          <w:tcPr>
            <w:tcW w:w="917" w:type="pct"/>
            <w:shd w:val="clear" w:color="auto" w:fill="EDFFB7"/>
            <w:noWrap/>
            <w:vAlign w:val="center"/>
            <w:hideMark/>
          </w:tcPr>
          <w:p w14:paraId="229A824B" w14:textId="77777777" w:rsidR="0021298F" w:rsidRDefault="0021298F" w:rsidP="00760009">
            <w:pPr>
              <w:jc w:val="right"/>
              <w:rPr>
                <w:rFonts w:ascii="Arial" w:eastAsia="Times New Roman" w:hAnsi="Arial" w:cs="Arial"/>
                <w:color w:val="000000"/>
                <w:lang w:eastAsia="en-GB"/>
              </w:rPr>
            </w:pPr>
            <w:r>
              <w:rPr>
                <w:rFonts w:ascii="Arial" w:eastAsia="Times New Roman" w:hAnsi="Arial" w:cs="Arial"/>
                <w:color w:val="000000"/>
                <w:lang w:eastAsia="en-GB"/>
              </w:rPr>
              <w:t>(38,168)</w:t>
            </w:r>
          </w:p>
        </w:tc>
      </w:tr>
      <w:tr w:rsidR="0021298F" w14:paraId="0B5D6E21" w14:textId="77777777" w:rsidTr="00760009">
        <w:trPr>
          <w:trHeight w:val="57"/>
        </w:trPr>
        <w:tc>
          <w:tcPr>
            <w:tcW w:w="3063" w:type="pct"/>
            <w:shd w:val="clear" w:color="auto" w:fill="FFFFFF"/>
            <w:noWrap/>
            <w:vAlign w:val="center"/>
            <w:hideMark/>
          </w:tcPr>
          <w:p w14:paraId="3C34E7D6" w14:textId="77777777" w:rsidR="0021298F" w:rsidRDefault="0021298F" w:rsidP="00760009">
            <w:pPr>
              <w:rPr>
                <w:rFonts w:ascii="Arial" w:eastAsia="Times New Roman" w:hAnsi="Arial" w:cs="Arial"/>
                <w:color w:val="000000"/>
                <w:lang w:eastAsia="en-GB"/>
              </w:rPr>
            </w:pPr>
            <w:r>
              <w:rPr>
                <w:rFonts w:ascii="Arial" w:eastAsia="Times New Roman" w:hAnsi="Arial" w:cs="Arial"/>
                <w:color w:val="000000"/>
                <w:lang w:eastAsia="en-GB"/>
              </w:rPr>
              <w:t> </w:t>
            </w:r>
          </w:p>
        </w:tc>
        <w:tc>
          <w:tcPr>
            <w:tcW w:w="1020" w:type="pct"/>
            <w:shd w:val="clear" w:color="auto" w:fill="EDFFB7"/>
            <w:noWrap/>
            <w:vAlign w:val="center"/>
          </w:tcPr>
          <w:p w14:paraId="54AECEDD" w14:textId="77777777" w:rsidR="0021298F" w:rsidRDefault="0021298F" w:rsidP="00760009">
            <w:pPr>
              <w:jc w:val="right"/>
              <w:rPr>
                <w:rFonts w:ascii="Arial" w:eastAsia="Times New Roman" w:hAnsi="Arial" w:cs="Arial"/>
                <w:color w:val="000000"/>
                <w:lang w:eastAsia="en-GB"/>
              </w:rPr>
            </w:pPr>
          </w:p>
        </w:tc>
        <w:tc>
          <w:tcPr>
            <w:tcW w:w="917" w:type="pct"/>
            <w:shd w:val="clear" w:color="auto" w:fill="EDFFB7"/>
            <w:noWrap/>
            <w:vAlign w:val="center"/>
            <w:hideMark/>
          </w:tcPr>
          <w:p w14:paraId="5142D11F" w14:textId="77777777" w:rsidR="0021298F" w:rsidRDefault="0021298F" w:rsidP="00760009">
            <w:pPr>
              <w:rPr>
                <w:rFonts w:ascii="Arial" w:eastAsia="Times New Roman" w:hAnsi="Arial" w:cs="Arial"/>
                <w:color w:val="000000"/>
                <w:lang w:eastAsia="en-GB"/>
              </w:rPr>
            </w:pPr>
          </w:p>
        </w:tc>
      </w:tr>
      <w:tr w:rsidR="0021298F" w14:paraId="314EBCE3" w14:textId="77777777" w:rsidTr="00760009">
        <w:trPr>
          <w:trHeight w:val="57"/>
        </w:trPr>
        <w:tc>
          <w:tcPr>
            <w:tcW w:w="3063" w:type="pct"/>
            <w:shd w:val="clear" w:color="auto" w:fill="FFFFFF"/>
            <w:noWrap/>
            <w:vAlign w:val="center"/>
            <w:hideMark/>
          </w:tcPr>
          <w:p w14:paraId="1A568FA1" w14:textId="77777777" w:rsidR="0021298F" w:rsidRDefault="0021298F" w:rsidP="00760009">
            <w:pPr>
              <w:rPr>
                <w:rFonts w:ascii="Arial" w:eastAsia="Times New Roman" w:hAnsi="Arial" w:cs="Arial"/>
                <w:color w:val="000000"/>
                <w:lang w:eastAsia="en-GB"/>
              </w:rPr>
            </w:pPr>
            <w:r>
              <w:rPr>
                <w:rFonts w:ascii="Arial" w:eastAsia="Times New Roman" w:hAnsi="Arial" w:cs="Arial"/>
                <w:color w:val="000000"/>
                <w:lang w:eastAsia="en-GB"/>
              </w:rPr>
              <w:t>SPV level Capex &amp; PSO cashflow</w:t>
            </w:r>
            <w:r>
              <w:rPr>
                <w:rFonts w:ascii="Arial" w:eastAsia="Times New Roman" w:hAnsi="Arial" w:cs="Arial"/>
                <w:color w:val="000000"/>
                <w:vertAlign w:val="superscript"/>
                <w:lang w:eastAsia="en-GB"/>
              </w:rPr>
              <w:t xml:space="preserve"> (2)</w:t>
            </w:r>
          </w:p>
        </w:tc>
        <w:tc>
          <w:tcPr>
            <w:tcW w:w="1020" w:type="pct"/>
            <w:shd w:val="clear" w:color="auto" w:fill="EDFFB7"/>
            <w:noWrap/>
            <w:vAlign w:val="center"/>
            <w:hideMark/>
          </w:tcPr>
          <w:p w14:paraId="05D0CA57" w14:textId="77777777" w:rsidR="0021298F" w:rsidRDefault="0021298F" w:rsidP="00760009">
            <w:pPr>
              <w:jc w:val="right"/>
              <w:rPr>
                <w:rFonts w:ascii="Arial" w:eastAsia="Times New Roman" w:hAnsi="Arial" w:cs="Arial"/>
                <w:color w:val="000000"/>
                <w:lang w:eastAsia="en-GB"/>
              </w:rPr>
            </w:pPr>
            <w:r>
              <w:rPr>
                <w:rFonts w:ascii="Arial" w:eastAsia="Times New Roman" w:hAnsi="Arial" w:cs="Arial"/>
                <w:color w:val="000000"/>
                <w:lang w:eastAsia="en-GB"/>
              </w:rPr>
              <w:t>(19,594)</w:t>
            </w:r>
          </w:p>
        </w:tc>
        <w:tc>
          <w:tcPr>
            <w:tcW w:w="917" w:type="pct"/>
            <w:shd w:val="clear" w:color="auto" w:fill="EDFFB7"/>
            <w:noWrap/>
            <w:vAlign w:val="center"/>
            <w:hideMark/>
          </w:tcPr>
          <w:p w14:paraId="35EF1D95" w14:textId="77777777" w:rsidR="0021298F" w:rsidRDefault="0021298F" w:rsidP="00760009">
            <w:pPr>
              <w:jc w:val="right"/>
              <w:rPr>
                <w:rFonts w:ascii="Arial" w:eastAsia="Times New Roman" w:hAnsi="Arial" w:cs="Arial"/>
                <w:color w:val="000000"/>
                <w:lang w:eastAsia="en-GB"/>
              </w:rPr>
            </w:pPr>
            <w:r>
              <w:rPr>
                <w:rFonts w:ascii="Arial" w:eastAsia="Times New Roman" w:hAnsi="Arial" w:cs="Arial"/>
                <w:color w:val="000000"/>
                <w:lang w:eastAsia="en-GB"/>
              </w:rPr>
              <w:t>(19,594)</w:t>
            </w:r>
          </w:p>
        </w:tc>
      </w:tr>
      <w:tr w:rsidR="0021298F" w14:paraId="33D7ED51" w14:textId="77777777" w:rsidTr="00760009">
        <w:trPr>
          <w:trHeight w:val="57"/>
        </w:trPr>
        <w:tc>
          <w:tcPr>
            <w:tcW w:w="3063" w:type="pct"/>
            <w:shd w:val="clear" w:color="auto" w:fill="FFFFFF"/>
            <w:noWrap/>
            <w:vAlign w:val="center"/>
            <w:hideMark/>
          </w:tcPr>
          <w:p w14:paraId="34B12F8D" w14:textId="77777777" w:rsidR="0021298F" w:rsidRDefault="0021298F" w:rsidP="00760009">
            <w:pPr>
              <w:rPr>
                <w:rFonts w:ascii="Arial" w:eastAsia="Times New Roman" w:hAnsi="Arial" w:cs="Arial"/>
                <w:color w:val="000000"/>
                <w:lang w:eastAsia="en-GB"/>
              </w:rPr>
            </w:pPr>
            <w:r>
              <w:rPr>
                <w:rFonts w:ascii="Arial" w:eastAsia="Times New Roman" w:hAnsi="Arial" w:cs="Arial"/>
                <w:color w:val="000000"/>
                <w:lang w:eastAsia="en-GB"/>
              </w:rPr>
              <w:t>SPV level debt repayment</w:t>
            </w:r>
          </w:p>
        </w:tc>
        <w:tc>
          <w:tcPr>
            <w:tcW w:w="1020" w:type="pct"/>
            <w:shd w:val="clear" w:color="auto" w:fill="EDFFB7"/>
            <w:noWrap/>
            <w:vAlign w:val="center"/>
            <w:hideMark/>
          </w:tcPr>
          <w:p w14:paraId="0C79FAF5" w14:textId="77777777" w:rsidR="0021298F" w:rsidRDefault="0021298F" w:rsidP="00760009">
            <w:pPr>
              <w:jc w:val="right"/>
              <w:rPr>
                <w:rFonts w:ascii="Arial" w:eastAsia="Times New Roman" w:hAnsi="Arial" w:cs="Arial"/>
                <w:color w:val="000000"/>
                <w:lang w:eastAsia="en-GB"/>
              </w:rPr>
            </w:pPr>
            <w:r>
              <w:rPr>
                <w:rFonts w:ascii="Arial" w:eastAsia="Times New Roman" w:hAnsi="Arial" w:cs="Arial"/>
                <w:color w:val="000000"/>
                <w:lang w:eastAsia="en-GB"/>
              </w:rPr>
              <w:t>-</w:t>
            </w:r>
          </w:p>
        </w:tc>
        <w:tc>
          <w:tcPr>
            <w:tcW w:w="917" w:type="pct"/>
            <w:shd w:val="clear" w:color="auto" w:fill="EDFFB7"/>
            <w:noWrap/>
            <w:vAlign w:val="center"/>
            <w:hideMark/>
          </w:tcPr>
          <w:p w14:paraId="3E9D4E76" w14:textId="77777777" w:rsidR="0021298F" w:rsidRDefault="0021298F" w:rsidP="00760009">
            <w:pPr>
              <w:jc w:val="right"/>
              <w:rPr>
                <w:rFonts w:ascii="Arial" w:eastAsia="Times New Roman" w:hAnsi="Arial" w:cs="Arial"/>
                <w:color w:val="000000"/>
                <w:lang w:eastAsia="en-GB"/>
              </w:rPr>
            </w:pPr>
            <w:r>
              <w:rPr>
                <w:rFonts w:ascii="Arial" w:eastAsia="Times New Roman" w:hAnsi="Arial" w:cs="Arial"/>
                <w:color w:val="000000"/>
                <w:lang w:eastAsia="en-GB"/>
              </w:rPr>
              <w:t>(14,009)</w:t>
            </w:r>
          </w:p>
        </w:tc>
      </w:tr>
      <w:tr w:rsidR="0021298F" w14:paraId="03D0006D" w14:textId="77777777" w:rsidTr="00760009">
        <w:trPr>
          <w:trHeight w:val="57"/>
        </w:trPr>
        <w:tc>
          <w:tcPr>
            <w:tcW w:w="3063" w:type="pct"/>
            <w:shd w:val="clear" w:color="auto" w:fill="FFFFFF"/>
            <w:noWrap/>
            <w:vAlign w:val="center"/>
          </w:tcPr>
          <w:p w14:paraId="7DB81E34" w14:textId="77777777" w:rsidR="0021298F" w:rsidRDefault="0021298F" w:rsidP="00760009">
            <w:pPr>
              <w:rPr>
                <w:rFonts w:ascii="Arial" w:eastAsia="Times New Roman" w:hAnsi="Arial" w:cs="Arial"/>
                <w:color w:val="000000"/>
                <w:lang w:eastAsia="en-GB"/>
              </w:rPr>
            </w:pPr>
          </w:p>
        </w:tc>
        <w:tc>
          <w:tcPr>
            <w:tcW w:w="1020" w:type="pct"/>
            <w:shd w:val="clear" w:color="auto" w:fill="EDFFB7"/>
            <w:noWrap/>
            <w:vAlign w:val="center"/>
          </w:tcPr>
          <w:p w14:paraId="1B6BB2AB" w14:textId="77777777" w:rsidR="0021298F" w:rsidRDefault="0021298F" w:rsidP="00760009">
            <w:pPr>
              <w:jc w:val="right"/>
              <w:rPr>
                <w:rFonts w:ascii="Arial" w:eastAsia="Times New Roman" w:hAnsi="Arial" w:cs="Arial"/>
                <w:color w:val="000000"/>
                <w:lang w:eastAsia="en-GB"/>
              </w:rPr>
            </w:pPr>
          </w:p>
        </w:tc>
        <w:tc>
          <w:tcPr>
            <w:tcW w:w="917" w:type="pct"/>
            <w:shd w:val="clear" w:color="auto" w:fill="EDFFB7"/>
            <w:noWrap/>
            <w:vAlign w:val="center"/>
          </w:tcPr>
          <w:p w14:paraId="0DB214AE" w14:textId="77777777" w:rsidR="0021298F" w:rsidRDefault="0021298F" w:rsidP="00760009">
            <w:pPr>
              <w:jc w:val="right"/>
              <w:rPr>
                <w:rFonts w:ascii="Arial" w:eastAsia="Times New Roman" w:hAnsi="Arial" w:cs="Arial"/>
                <w:color w:val="000000"/>
                <w:lang w:eastAsia="en-GB"/>
              </w:rPr>
            </w:pPr>
          </w:p>
        </w:tc>
      </w:tr>
      <w:tr w:rsidR="0021298F" w14:paraId="136696D6" w14:textId="77777777" w:rsidTr="00760009">
        <w:trPr>
          <w:trHeight w:val="330"/>
        </w:trPr>
        <w:tc>
          <w:tcPr>
            <w:tcW w:w="3063" w:type="pct"/>
            <w:shd w:val="clear" w:color="auto" w:fill="FFFFFF"/>
            <w:noWrap/>
            <w:vAlign w:val="center"/>
            <w:hideMark/>
          </w:tcPr>
          <w:p w14:paraId="5DAD0553" w14:textId="77777777" w:rsidR="0021298F" w:rsidRDefault="0021298F" w:rsidP="00760009">
            <w:pPr>
              <w:rPr>
                <w:rFonts w:ascii="Arial" w:eastAsia="Times New Roman" w:hAnsi="Arial" w:cs="Arial"/>
                <w:color w:val="000000"/>
                <w:lang w:eastAsia="en-GB"/>
              </w:rPr>
            </w:pPr>
            <w:r>
              <w:rPr>
                <w:rFonts w:ascii="Arial" w:eastAsia="Times New Roman" w:hAnsi="Arial" w:cs="Arial"/>
                <w:color w:val="000000"/>
                <w:lang w:eastAsia="en-GB"/>
              </w:rPr>
              <w:t xml:space="preserve">Acquisitions </w:t>
            </w:r>
            <w:r>
              <w:rPr>
                <w:rFonts w:ascii="Arial" w:eastAsia="Times New Roman" w:hAnsi="Arial" w:cs="Arial"/>
                <w:color w:val="000000"/>
                <w:vertAlign w:val="superscript"/>
                <w:lang w:eastAsia="en-GB"/>
              </w:rPr>
              <w:t>(3)</w:t>
            </w:r>
          </w:p>
        </w:tc>
        <w:tc>
          <w:tcPr>
            <w:tcW w:w="1020" w:type="pct"/>
            <w:shd w:val="clear" w:color="auto" w:fill="EDFFB7"/>
            <w:noWrap/>
            <w:vAlign w:val="center"/>
            <w:hideMark/>
          </w:tcPr>
          <w:p w14:paraId="51B2360A" w14:textId="77777777" w:rsidR="0021298F" w:rsidRDefault="0021298F" w:rsidP="00760009">
            <w:pPr>
              <w:jc w:val="right"/>
              <w:rPr>
                <w:rFonts w:ascii="Arial" w:eastAsia="Times New Roman" w:hAnsi="Arial" w:cs="Arial"/>
                <w:lang w:eastAsia="en-GB"/>
              </w:rPr>
            </w:pPr>
            <w:r>
              <w:rPr>
                <w:rFonts w:ascii="Arial" w:eastAsia="Times New Roman" w:hAnsi="Arial" w:cs="Arial"/>
                <w:lang w:eastAsia="en-GB"/>
              </w:rPr>
              <w:t>(114,438)</w:t>
            </w:r>
          </w:p>
        </w:tc>
        <w:tc>
          <w:tcPr>
            <w:tcW w:w="917" w:type="pct"/>
            <w:shd w:val="clear" w:color="auto" w:fill="EDFFB7"/>
            <w:noWrap/>
            <w:vAlign w:val="center"/>
            <w:hideMark/>
          </w:tcPr>
          <w:p w14:paraId="3CD00542" w14:textId="77777777" w:rsidR="0021298F" w:rsidRDefault="0021298F" w:rsidP="00760009">
            <w:pPr>
              <w:jc w:val="right"/>
              <w:rPr>
                <w:rFonts w:ascii="Arial" w:eastAsia="Times New Roman" w:hAnsi="Arial" w:cs="Arial"/>
                <w:lang w:eastAsia="en-GB"/>
              </w:rPr>
            </w:pPr>
            <w:r>
              <w:rPr>
                <w:rFonts w:ascii="Arial" w:eastAsia="Times New Roman" w:hAnsi="Arial" w:cs="Arial"/>
                <w:lang w:eastAsia="en-GB"/>
              </w:rPr>
              <w:t>(114,438)</w:t>
            </w:r>
          </w:p>
        </w:tc>
      </w:tr>
      <w:tr w:rsidR="0021298F" w14:paraId="5A5F02CF" w14:textId="77777777" w:rsidTr="00760009">
        <w:trPr>
          <w:trHeight w:val="285"/>
        </w:trPr>
        <w:tc>
          <w:tcPr>
            <w:tcW w:w="3063" w:type="pct"/>
            <w:shd w:val="clear" w:color="auto" w:fill="FFFFFF"/>
            <w:noWrap/>
            <w:vAlign w:val="center"/>
            <w:hideMark/>
          </w:tcPr>
          <w:p w14:paraId="61B54BC2" w14:textId="77777777" w:rsidR="0021298F" w:rsidRDefault="0021298F" w:rsidP="00760009">
            <w:pPr>
              <w:rPr>
                <w:rFonts w:ascii="Arial" w:eastAsia="Times New Roman" w:hAnsi="Arial" w:cs="Arial"/>
                <w:color w:val="000000"/>
                <w:lang w:eastAsia="en-GB"/>
              </w:rPr>
            </w:pPr>
            <w:r>
              <w:rPr>
                <w:rFonts w:ascii="Arial" w:eastAsia="Times New Roman" w:hAnsi="Arial" w:cs="Arial"/>
                <w:color w:val="000000"/>
                <w:lang w:eastAsia="en-GB"/>
              </w:rPr>
              <w:t>Acquisition costs</w:t>
            </w:r>
          </w:p>
        </w:tc>
        <w:tc>
          <w:tcPr>
            <w:tcW w:w="1020" w:type="pct"/>
            <w:shd w:val="clear" w:color="auto" w:fill="EDFFB7"/>
            <w:noWrap/>
            <w:vAlign w:val="center"/>
            <w:hideMark/>
          </w:tcPr>
          <w:p w14:paraId="03283E47" w14:textId="77777777" w:rsidR="0021298F" w:rsidRDefault="0021298F" w:rsidP="00760009">
            <w:pPr>
              <w:jc w:val="right"/>
              <w:rPr>
                <w:rFonts w:ascii="Arial" w:eastAsia="Times New Roman" w:hAnsi="Arial" w:cs="Arial"/>
                <w:lang w:eastAsia="en-GB"/>
              </w:rPr>
            </w:pPr>
            <w:r>
              <w:rPr>
                <w:rFonts w:ascii="Arial" w:eastAsia="Times New Roman" w:hAnsi="Arial" w:cs="Arial"/>
                <w:lang w:eastAsia="en-GB"/>
              </w:rPr>
              <w:t>(1,518)</w:t>
            </w:r>
          </w:p>
        </w:tc>
        <w:tc>
          <w:tcPr>
            <w:tcW w:w="917" w:type="pct"/>
            <w:shd w:val="clear" w:color="auto" w:fill="EDFFB7"/>
            <w:noWrap/>
            <w:vAlign w:val="center"/>
            <w:hideMark/>
          </w:tcPr>
          <w:p w14:paraId="39E9D361" w14:textId="77777777" w:rsidR="0021298F" w:rsidRDefault="0021298F" w:rsidP="00760009">
            <w:pPr>
              <w:jc w:val="right"/>
              <w:rPr>
                <w:rFonts w:ascii="Arial" w:eastAsia="Times New Roman" w:hAnsi="Arial" w:cs="Arial"/>
                <w:lang w:eastAsia="en-GB"/>
              </w:rPr>
            </w:pPr>
            <w:r>
              <w:rPr>
                <w:rFonts w:ascii="Arial" w:eastAsia="Times New Roman" w:hAnsi="Arial" w:cs="Arial"/>
                <w:lang w:eastAsia="en-GB"/>
              </w:rPr>
              <w:t>(1,518)</w:t>
            </w:r>
          </w:p>
        </w:tc>
      </w:tr>
      <w:tr w:rsidR="0021298F" w14:paraId="430C287C" w14:textId="77777777" w:rsidTr="00760009">
        <w:trPr>
          <w:trHeight w:val="57"/>
        </w:trPr>
        <w:tc>
          <w:tcPr>
            <w:tcW w:w="3063" w:type="pct"/>
            <w:shd w:val="clear" w:color="auto" w:fill="FFFFFF"/>
            <w:noWrap/>
            <w:vAlign w:val="center"/>
            <w:hideMark/>
          </w:tcPr>
          <w:p w14:paraId="09FBB67D" w14:textId="77777777" w:rsidR="0021298F" w:rsidRDefault="0021298F" w:rsidP="00760009">
            <w:pPr>
              <w:rPr>
                <w:rFonts w:ascii="Arial" w:eastAsia="Times New Roman" w:hAnsi="Arial" w:cs="Arial"/>
                <w:color w:val="000000"/>
                <w:lang w:eastAsia="en-GB"/>
              </w:rPr>
            </w:pPr>
            <w:r>
              <w:rPr>
                <w:rFonts w:ascii="Arial" w:eastAsia="Times New Roman" w:hAnsi="Arial" w:cs="Arial"/>
                <w:color w:val="000000"/>
                <w:lang w:eastAsia="en-GB"/>
              </w:rPr>
              <w:t> </w:t>
            </w:r>
          </w:p>
        </w:tc>
        <w:tc>
          <w:tcPr>
            <w:tcW w:w="1020" w:type="pct"/>
            <w:shd w:val="clear" w:color="auto" w:fill="EDFFB7"/>
            <w:noWrap/>
            <w:vAlign w:val="center"/>
          </w:tcPr>
          <w:p w14:paraId="1894937B" w14:textId="77777777" w:rsidR="0021298F" w:rsidRDefault="0021298F" w:rsidP="00760009">
            <w:pPr>
              <w:jc w:val="right"/>
              <w:rPr>
                <w:rFonts w:ascii="Arial" w:eastAsia="Times New Roman" w:hAnsi="Arial" w:cs="Arial"/>
                <w:lang w:eastAsia="en-GB"/>
              </w:rPr>
            </w:pPr>
          </w:p>
        </w:tc>
        <w:tc>
          <w:tcPr>
            <w:tcW w:w="917" w:type="pct"/>
            <w:shd w:val="clear" w:color="auto" w:fill="EDFFB7"/>
            <w:noWrap/>
            <w:vAlign w:val="center"/>
            <w:hideMark/>
          </w:tcPr>
          <w:p w14:paraId="16EAA6C2" w14:textId="77777777" w:rsidR="0021298F" w:rsidRDefault="0021298F" w:rsidP="00760009">
            <w:pPr>
              <w:rPr>
                <w:rFonts w:ascii="Arial" w:eastAsia="Times New Roman" w:hAnsi="Arial" w:cs="Arial"/>
                <w:lang w:eastAsia="en-GB"/>
              </w:rPr>
            </w:pPr>
          </w:p>
        </w:tc>
      </w:tr>
      <w:tr w:rsidR="0021298F" w14:paraId="29DE4802" w14:textId="77777777" w:rsidTr="00760009">
        <w:trPr>
          <w:trHeight w:val="285"/>
        </w:trPr>
        <w:tc>
          <w:tcPr>
            <w:tcW w:w="3063" w:type="pct"/>
            <w:shd w:val="clear" w:color="auto" w:fill="FFFFFF"/>
            <w:noWrap/>
            <w:vAlign w:val="center"/>
            <w:hideMark/>
          </w:tcPr>
          <w:p w14:paraId="4479E5E1" w14:textId="77777777" w:rsidR="0021298F" w:rsidRDefault="0021298F" w:rsidP="00760009">
            <w:pPr>
              <w:rPr>
                <w:rFonts w:ascii="Arial" w:eastAsia="Times New Roman" w:hAnsi="Arial" w:cs="Arial"/>
                <w:color w:val="000000"/>
                <w:lang w:eastAsia="en-GB"/>
              </w:rPr>
            </w:pPr>
            <w:r>
              <w:rPr>
                <w:rFonts w:ascii="Arial" w:eastAsia="Times New Roman" w:hAnsi="Arial" w:cs="Arial"/>
                <w:color w:val="000000"/>
                <w:lang w:eastAsia="en-GB"/>
              </w:rPr>
              <w:t>Equity issuance</w:t>
            </w:r>
          </w:p>
        </w:tc>
        <w:tc>
          <w:tcPr>
            <w:tcW w:w="1020" w:type="pct"/>
            <w:shd w:val="clear" w:color="auto" w:fill="EDFFB7"/>
            <w:noWrap/>
            <w:vAlign w:val="center"/>
            <w:hideMark/>
          </w:tcPr>
          <w:p w14:paraId="1374B17F" w14:textId="77777777" w:rsidR="0021298F" w:rsidRDefault="0021298F" w:rsidP="00760009">
            <w:pPr>
              <w:jc w:val="right"/>
              <w:rPr>
                <w:rFonts w:ascii="Arial" w:eastAsia="Times New Roman" w:hAnsi="Arial" w:cs="Arial"/>
                <w:lang w:eastAsia="en-GB"/>
              </w:rPr>
            </w:pPr>
            <w:r>
              <w:rPr>
                <w:rFonts w:ascii="Arial" w:eastAsia="Times New Roman" w:hAnsi="Arial" w:cs="Arial"/>
                <w:lang w:eastAsia="en-GB"/>
              </w:rPr>
              <w:t>125,000</w:t>
            </w:r>
          </w:p>
        </w:tc>
        <w:tc>
          <w:tcPr>
            <w:tcW w:w="917" w:type="pct"/>
            <w:shd w:val="clear" w:color="auto" w:fill="EDFFB7"/>
            <w:noWrap/>
            <w:vAlign w:val="center"/>
            <w:hideMark/>
          </w:tcPr>
          <w:p w14:paraId="7ECA16EC" w14:textId="77777777" w:rsidR="0021298F" w:rsidRDefault="0021298F" w:rsidP="00760009">
            <w:pPr>
              <w:jc w:val="right"/>
              <w:rPr>
                <w:rFonts w:ascii="Arial" w:eastAsia="Times New Roman" w:hAnsi="Arial" w:cs="Arial"/>
                <w:lang w:eastAsia="en-GB"/>
              </w:rPr>
            </w:pPr>
            <w:r>
              <w:rPr>
                <w:rFonts w:ascii="Arial" w:eastAsia="Times New Roman" w:hAnsi="Arial" w:cs="Arial"/>
                <w:lang w:eastAsia="en-GB"/>
              </w:rPr>
              <w:t>125,000</w:t>
            </w:r>
          </w:p>
        </w:tc>
      </w:tr>
      <w:tr w:rsidR="0021298F" w14:paraId="5C0775AF" w14:textId="77777777" w:rsidTr="00760009">
        <w:trPr>
          <w:trHeight w:val="285"/>
        </w:trPr>
        <w:tc>
          <w:tcPr>
            <w:tcW w:w="3063" w:type="pct"/>
            <w:shd w:val="clear" w:color="auto" w:fill="FFFFFF"/>
            <w:noWrap/>
            <w:vAlign w:val="center"/>
            <w:hideMark/>
          </w:tcPr>
          <w:p w14:paraId="4F7D3A56" w14:textId="77777777" w:rsidR="0021298F" w:rsidRDefault="0021298F" w:rsidP="00760009">
            <w:pPr>
              <w:rPr>
                <w:rFonts w:ascii="Arial" w:eastAsia="Times New Roman" w:hAnsi="Arial" w:cs="Arial"/>
                <w:color w:val="000000"/>
                <w:lang w:eastAsia="en-GB"/>
              </w:rPr>
            </w:pPr>
            <w:r>
              <w:rPr>
                <w:rFonts w:ascii="Arial" w:eastAsia="Times New Roman" w:hAnsi="Arial" w:cs="Arial"/>
                <w:color w:val="000000"/>
                <w:lang w:eastAsia="en-GB"/>
              </w:rPr>
              <w:t>Equity issuance costs</w:t>
            </w:r>
          </w:p>
        </w:tc>
        <w:tc>
          <w:tcPr>
            <w:tcW w:w="1020" w:type="pct"/>
            <w:shd w:val="clear" w:color="auto" w:fill="EDFFB7"/>
            <w:noWrap/>
            <w:vAlign w:val="center"/>
            <w:hideMark/>
          </w:tcPr>
          <w:p w14:paraId="1233C545" w14:textId="77777777" w:rsidR="0021298F" w:rsidRDefault="0021298F" w:rsidP="00760009">
            <w:pPr>
              <w:jc w:val="right"/>
              <w:rPr>
                <w:rFonts w:ascii="Arial" w:eastAsia="Times New Roman" w:hAnsi="Arial" w:cs="Arial"/>
                <w:lang w:eastAsia="en-GB"/>
              </w:rPr>
            </w:pPr>
            <w:r>
              <w:rPr>
                <w:rFonts w:ascii="Arial" w:eastAsia="Times New Roman" w:hAnsi="Arial" w:cs="Arial"/>
                <w:lang w:eastAsia="en-GB"/>
              </w:rPr>
              <w:t>(2,071)</w:t>
            </w:r>
          </w:p>
        </w:tc>
        <w:tc>
          <w:tcPr>
            <w:tcW w:w="917" w:type="pct"/>
            <w:shd w:val="clear" w:color="auto" w:fill="EDFFB7"/>
            <w:noWrap/>
            <w:vAlign w:val="center"/>
            <w:hideMark/>
          </w:tcPr>
          <w:p w14:paraId="67239B3E" w14:textId="77777777" w:rsidR="0021298F" w:rsidRDefault="0021298F" w:rsidP="00760009">
            <w:pPr>
              <w:jc w:val="right"/>
              <w:rPr>
                <w:rFonts w:ascii="Arial" w:eastAsia="Times New Roman" w:hAnsi="Arial" w:cs="Arial"/>
                <w:lang w:eastAsia="en-GB"/>
              </w:rPr>
            </w:pPr>
            <w:r>
              <w:rPr>
                <w:rFonts w:ascii="Arial" w:eastAsia="Times New Roman" w:hAnsi="Arial" w:cs="Arial"/>
                <w:lang w:eastAsia="en-GB"/>
              </w:rPr>
              <w:t>(2,071)</w:t>
            </w:r>
          </w:p>
        </w:tc>
      </w:tr>
      <w:tr w:rsidR="0021298F" w14:paraId="616DFD10" w14:textId="77777777" w:rsidTr="00760009">
        <w:trPr>
          <w:trHeight w:val="57"/>
        </w:trPr>
        <w:tc>
          <w:tcPr>
            <w:tcW w:w="3063" w:type="pct"/>
            <w:shd w:val="clear" w:color="auto" w:fill="FFFFFF"/>
            <w:noWrap/>
            <w:vAlign w:val="center"/>
            <w:hideMark/>
          </w:tcPr>
          <w:p w14:paraId="253AA473" w14:textId="77777777" w:rsidR="0021298F" w:rsidRDefault="0021298F" w:rsidP="00760009">
            <w:pPr>
              <w:rPr>
                <w:rFonts w:ascii="Arial" w:eastAsia="Times New Roman" w:hAnsi="Arial" w:cs="Arial"/>
                <w:color w:val="000000"/>
                <w:lang w:eastAsia="en-GB"/>
              </w:rPr>
            </w:pPr>
            <w:r>
              <w:rPr>
                <w:rFonts w:ascii="Arial" w:eastAsia="Times New Roman" w:hAnsi="Arial" w:cs="Arial"/>
                <w:color w:val="000000"/>
                <w:lang w:eastAsia="en-GB"/>
              </w:rPr>
              <w:t> </w:t>
            </w:r>
          </w:p>
        </w:tc>
        <w:tc>
          <w:tcPr>
            <w:tcW w:w="1020" w:type="pct"/>
            <w:shd w:val="clear" w:color="auto" w:fill="EDFFB7"/>
            <w:noWrap/>
            <w:vAlign w:val="center"/>
          </w:tcPr>
          <w:p w14:paraId="55C39C81" w14:textId="77777777" w:rsidR="0021298F" w:rsidRDefault="0021298F" w:rsidP="00760009">
            <w:pPr>
              <w:jc w:val="right"/>
              <w:rPr>
                <w:rFonts w:ascii="Arial" w:eastAsia="Times New Roman" w:hAnsi="Arial" w:cs="Arial"/>
                <w:lang w:eastAsia="en-GB"/>
              </w:rPr>
            </w:pPr>
          </w:p>
        </w:tc>
        <w:tc>
          <w:tcPr>
            <w:tcW w:w="917" w:type="pct"/>
            <w:shd w:val="clear" w:color="auto" w:fill="EDFFB7"/>
            <w:noWrap/>
            <w:vAlign w:val="center"/>
            <w:hideMark/>
          </w:tcPr>
          <w:p w14:paraId="4C57DAB4" w14:textId="77777777" w:rsidR="0021298F" w:rsidRDefault="0021298F" w:rsidP="00760009">
            <w:pPr>
              <w:rPr>
                <w:rFonts w:ascii="Arial" w:eastAsia="Times New Roman" w:hAnsi="Arial" w:cs="Arial"/>
                <w:lang w:eastAsia="en-GB"/>
              </w:rPr>
            </w:pPr>
          </w:p>
        </w:tc>
      </w:tr>
      <w:tr w:rsidR="0021298F" w14:paraId="69A59DA5" w14:textId="77777777" w:rsidTr="00760009">
        <w:trPr>
          <w:trHeight w:val="285"/>
        </w:trPr>
        <w:tc>
          <w:tcPr>
            <w:tcW w:w="3063" w:type="pct"/>
            <w:shd w:val="clear" w:color="auto" w:fill="FFFFFF"/>
            <w:noWrap/>
            <w:vAlign w:val="center"/>
            <w:hideMark/>
          </w:tcPr>
          <w:p w14:paraId="53922833" w14:textId="77777777" w:rsidR="0021298F" w:rsidRDefault="0021298F" w:rsidP="00760009">
            <w:pPr>
              <w:rPr>
                <w:rFonts w:ascii="Arial" w:eastAsia="Times New Roman" w:hAnsi="Arial" w:cs="Arial"/>
                <w:color w:val="000000"/>
                <w:lang w:eastAsia="en-GB"/>
              </w:rPr>
            </w:pPr>
            <w:r>
              <w:rPr>
                <w:rFonts w:ascii="Arial" w:eastAsia="Times New Roman" w:hAnsi="Arial" w:cs="Arial"/>
                <w:color w:val="000000"/>
                <w:lang w:eastAsia="en-GB"/>
              </w:rPr>
              <w:t>Net drawdown under debt facilities</w:t>
            </w:r>
          </w:p>
        </w:tc>
        <w:tc>
          <w:tcPr>
            <w:tcW w:w="1020" w:type="pct"/>
            <w:shd w:val="clear" w:color="auto" w:fill="EDFFB7"/>
            <w:noWrap/>
            <w:vAlign w:val="center"/>
            <w:hideMark/>
          </w:tcPr>
          <w:p w14:paraId="291D211E" w14:textId="77777777" w:rsidR="0021298F" w:rsidRDefault="0021298F" w:rsidP="00760009">
            <w:pPr>
              <w:jc w:val="right"/>
              <w:rPr>
                <w:rFonts w:ascii="Arial" w:eastAsia="Times New Roman" w:hAnsi="Arial" w:cs="Arial"/>
                <w:lang w:eastAsia="en-GB"/>
              </w:rPr>
            </w:pPr>
            <w:r>
              <w:rPr>
                <w:rFonts w:ascii="Arial" w:eastAsia="Times New Roman" w:hAnsi="Arial" w:cs="Arial"/>
                <w:lang w:eastAsia="en-GB"/>
              </w:rPr>
              <w:t>9,000</w:t>
            </w:r>
          </w:p>
        </w:tc>
        <w:tc>
          <w:tcPr>
            <w:tcW w:w="917" w:type="pct"/>
            <w:shd w:val="clear" w:color="auto" w:fill="EDFFB7"/>
            <w:noWrap/>
            <w:vAlign w:val="center"/>
            <w:hideMark/>
          </w:tcPr>
          <w:p w14:paraId="5D8C47A6" w14:textId="77777777" w:rsidR="0021298F" w:rsidRDefault="0021298F" w:rsidP="00760009">
            <w:pPr>
              <w:jc w:val="right"/>
              <w:rPr>
                <w:rFonts w:ascii="Arial" w:eastAsia="Times New Roman" w:hAnsi="Arial" w:cs="Arial"/>
                <w:lang w:eastAsia="en-GB"/>
              </w:rPr>
            </w:pPr>
            <w:r>
              <w:rPr>
                <w:rFonts w:ascii="Arial" w:eastAsia="Times New Roman" w:hAnsi="Arial" w:cs="Arial"/>
                <w:lang w:eastAsia="en-GB"/>
              </w:rPr>
              <w:t>9,000</w:t>
            </w:r>
          </w:p>
        </w:tc>
      </w:tr>
      <w:tr w:rsidR="0021298F" w14:paraId="1F9AFE92" w14:textId="77777777" w:rsidTr="00760009">
        <w:trPr>
          <w:trHeight w:val="285"/>
        </w:trPr>
        <w:tc>
          <w:tcPr>
            <w:tcW w:w="3063" w:type="pct"/>
            <w:shd w:val="clear" w:color="auto" w:fill="FFFFFF"/>
            <w:noWrap/>
            <w:vAlign w:val="center"/>
            <w:hideMark/>
          </w:tcPr>
          <w:p w14:paraId="119DA3D4" w14:textId="77777777" w:rsidR="0021298F" w:rsidRDefault="0021298F" w:rsidP="00760009">
            <w:pPr>
              <w:rPr>
                <w:rFonts w:ascii="Arial" w:eastAsia="Times New Roman" w:hAnsi="Arial" w:cs="Arial"/>
                <w:color w:val="000000"/>
                <w:lang w:eastAsia="en-GB"/>
              </w:rPr>
            </w:pPr>
            <w:r>
              <w:rPr>
                <w:rFonts w:ascii="Arial" w:eastAsia="Times New Roman" w:hAnsi="Arial" w:cs="Arial"/>
                <w:color w:val="000000"/>
                <w:lang w:eastAsia="en-GB"/>
              </w:rPr>
              <w:t>Upfront finance costs</w:t>
            </w:r>
          </w:p>
        </w:tc>
        <w:tc>
          <w:tcPr>
            <w:tcW w:w="1020" w:type="pct"/>
            <w:shd w:val="clear" w:color="auto" w:fill="EDFFB7"/>
            <w:noWrap/>
            <w:vAlign w:val="center"/>
            <w:hideMark/>
          </w:tcPr>
          <w:p w14:paraId="67A2AA2B" w14:textId="77777777" w:rsidR="0021298F" w:rsidRDefault="0021298F" w:rsidP="00760009">
            <w:pPr>
              <w:jc w:val="right"/>
              <w:rPr>
                <w:rFonts w:ascii="Arial" w:eastAsia="Times New Roman" w:hAnsi="Arial" w:cs="Arial"/>
                <w:lang w:eastAsia="en-GB"/>
              </w:rPr>
            </w:pPr>
            <w:r>
              <w:rPr>
                <w:rFonts w:ascii="Arial" w:eastAsia="Times New Roman" w:hAnsi="Arial" w:cs="Arial"/>
                <w:lang w:eastAsia="en-GB"/>
              </w:rPr>
              <w:t>(6,149)</w:t>
            </w:r>
          </w:p>
        </w:tc>
        <w:tc>
          <w:tcPr>
            <w:tcW w:w="917" w:type="pct"/>
            <w:shd w:val="clear" w:color="auto" w:fill="EDFFB7"/>
            <w:noWrap/>
            <w:vAlign w:val="center"/>
            <w:hideMark/>
          </w:tcPr>
          <w:p w14:paraId="66672FA0" w14:textId="77777777" w:rsidR="0021298F" w:rsidRDefault="0021298F" w:rsidP="00760009">
            <w:pPr>
              <w:jc w:val="right"/>
              <w:rPr>
                <w:rFonts w:ascii="Arial" w:eastAsia="Times New Roman" w:hAnsi="Arial" w:cs="Arial"/>
                <w:lang w:eastAsia="en-GB"/>
              </w:rPr>
            </w:pPr>
            <w:r>
              <w:rPr>
                <w:rFonts w:ascii="Arial" w:eastAsia="Times New Roman" w:hAnsi="Arial" w:cs="Arial"/>
                <w:lang w:eastAsia="en-GB"/>
              </w:rPr>
              <w:t>(6,149)</w:t>
            </w:r>
          </w:p>
        </w:tc>
      </w:tr>
      <w:tr w:rsidR="0021298F" w14:paraId="6B014095" w14:textId="77777777" w:rsidTr="00760009">
        <w:trPr>
          <w:trHeight w:val="57"/>
        </w:trPr>
        <w:tc>
          <w:tcPr>
            <w:tcW w:w="3063" w:type="pct"/>
            <w:noWrap/>
            <w:vAlign w:val="center"/>
            <w:hideMark/>
          </w:tcPr>
          <w:p w14:paraId="1824DAAB" w14:textId="77777777" w:rsidR="0021298F" w:rsidRDefault="0021298F" w:rsidP="00760009">
            <w:pPr>
              <w:rPr>
                <w:rFonts w:ascii="Arial" w:eastAsia="Times New Roman" w:hAnsi="Arial" w:cs="Arial"/>
                <w:lang w:eastAsia="en-GB"/>
              </w:rPr>
            </w:pPr>
          </w:p>
        </w:tc>
        <w:tc>
          <w:tcPr>
            <w:tcW w:w="1020" w:type="pct"/>
            <w:shd w:val="clear" w:color="auto" w:fill="EDFFB7"/>
            <w:noWrap/>
            <w:vAlign w:val="center"/>
          </w:tcPr>
          <w:p w14:paraId="58E58B5D" w14:textId="77777777" w:rsidR="0021298F" w:rsidRDefault="0021298F" w:rsidP="00760009">
            <w:pPr>
              <w:jc w:val="right"/>
              <w:rPr>
                <w:rFonts w:ascii="Arial" w:eastAsia="Times New Roman" w:hAnsi="Arial" w:cs="Arial"/>
                <w:lang w:eastAsia="en-GB"/>
              </w:rPr>
            </w:pPr>
          </w:p>
        </w:tc>
        <w:tc>
          <w:tcPr>
            <w:tcW w:w="917" w:type="pct"/>
            <w:shd w:val="clear" w:color="auto" w:fill="EDFFB7"/>
            <w:noWrap/>
            <w:vAlign w:val="center"/>
            <w:hideMark/>
          </w:tcPr>
          <w:p w14:paraId="7920664B" w14:textId="77777777" w:rsidR="0021298F" w:rsidRDefault="0021298F" w:rsidP="00760009">
            <w:pPr>
              <w:rPr>
                <w:rFonts w:ascii="Arial" w:eastAsia="Times New Roman" w:hAnsi="Arial" w:cs="Arial"/>
                <w:lang w:eastAsia="en-GB"/>
              </w:rPr>
            </w:pPr>
          </w:p>
        </w:tc>
      </w:tr>
      <w:tr w:rsidR="0021298F" w14:paraId="25633A61" w14:textId="77777777" w:rsidTr="00760009">
        <w:trPr>
          <w:trHeight w:val="285"/>
        </w:trPr>
        <w:tc>
          <w:tcPr>
            <w:tcW w:w="3063" w:type="pct"/>
            <w:tcBorders>
              <w:top w:val="single" w:sz="4" w:space="0" w:color="auto"/>
              <w:left w:val="nil"/>
              <w:bottom w:val="nil"/>
              <w:right w:val="nil"/>
            </w:tcBorders>
            <w:noWrap/>
            <w:vAlign w:val="center"/>
            <w:hideMark/>
          </w:tcPr>
          <w:p w14:paraId="2A177F5A" w14:textId="77777777" w:rsidR="0021298F" w:rsidRDefault="0021298F" w:rsidP="00760009">
            <w:pPr>
              <w:rPr>
                <w:rFonts w:ascii="Arial" w:eastAsia="Times New Roman" w:hAnsi="Arial" w:cs="Arial"/>
                <w:b/>
                <w:color w:val="000000"/>
                <w:lang w:eastAsia="en-GB"/>
              </w:rPr>
            </w:pPr>
            <w:r>
              <w:rPr>
                <w:rFonts w:ascii="Arial" w:eastAsia="Times New Roman" w:hAnsi="Arial" w:cs="Arial"/>
                <w:b/>
                <w:color w:val="000000"/>
                <w:lang w:eastAsia="en-GB"/>
              </w:rPr>
              <w:t xml:space="preserve">Movement in cash (Group and wind farm SPVs) </w:t>
            </w:r>
          </w:p>
        </w:tc>
        <w:tc>
          <w:tcPr>
            <w:tcW w:w="1020" w:type="pct"/>
            <w:tcBorders>
              <w:top w:val="single" w:sz="4" w:space="0" w:color="auto"/>
              <w:left w:val="nil"/>
              <w:bottom w:val="nil"/>
              <w:right w:val="nil"/>
            </w:tcBorders>
            <w:shd w:val="clear" w:color="auto" w:fill="EDFFB7"/>
            <w:noWrap/>
            <w:vAlign w:val="center"/>
            <w:hideMark/>
          </w:tcPr>
          <w:p w14:paraId="627D76D6" w14:textId="77777777" w:rsidR="0021298F" w:rsidRDefault="0021298F" w:rsidP="00760009">
            <w:pPr>
              <w:jc w:val="right"/>
              <w:rPr>
                <w:rFonts w:ascii="Arial" w:eastAsia="Times New Roman" w:hAnsi="Arial" w:cs="Arial"/>
                <w:b/>
                <w:color w:val="000000"/>
                <w:lang w:eastAsia="en-GB"/>
              </w:rPr>
            </w:pPr>
            <w:r>
              <w:rPr>
                <w:rFonts w:ascii="Arial" w:eastAsia="Times New Roman" w:hAnsi="Arial" w:cs="Arial"/>
                <w:b/>
                <w:color w:val="000000"/>
                <w:lang w:eastAsia="en-GB"/>
              </w:rPr>
              <w:t>4,477</w:t>
            </w:r>
          </w:p>
        </w:tc>
        <w:tc>
          <w:tcPr>
            <w:tcW w:w="917" w:type="pct"/>
            <w:tcBorders>
              <w:top w:val="single" w:sz="4" w:space="0" w:color="auto"/>
              <w:left w:val="nil"/>
              <w:bottom w:val="nil"/>
              <w:right w:val="nil"/>
            </w:tcBorders>
            <w:shd w:val="clear" w:color="auto" w:fill="EDFFB7"/>
            <w:noWrap/>
            <w:vAlign w:val="center"/>
            <w:hideMark/>
          </w:tcPr>
          <w:p w14:paraId="0244D31A" w14:textId="77777777" w:rsidR="0021298F" w:rsidRDefault="0021298F" w:rsidP="00760009">
            <w:pPr>
              <w:jc w:val="right"/>
              <w:rPr>
                <w:rFonts w:ascii="Arial" w:eastAsia="Times New Roman" w:hAnsi="Arial" w:cs="Arial"/>
                <w:b/>
                <w:color w:val="000000"/>
                <w:lang w:eastAsia="en-GB"/>
              </w:rPr>
            </w:pPr>
            <w:r>
              <w:rPr>
                <w:rFonts w:ascii="Arial" w:eastAsia="Times New Roman" w:hAnsi="Arial" w:cs="Arial"/>
                <w:b/>
                <w:color w:val="000000"/>
                <w:lang w:eastAsia="en-GB"/>
              </w:rPr>
              <w:t>4,477</w:t>
            </w:r>
          </w:p>
        </w:tc>
      </w:tr>
      <w:tr w:rsidR="0021298F" w14:paraId="7C862D7F" w14:textId="77777777" w:rsidTr="00760009">
        <w:trPr>
          <w:trHeight w:val="407"/>
        </w:trPr>
        <w:tc>
          <w:tcPr>
            <w:tcW w:w="3063" w:type="pct"/>
            <w:tcBorders>
              <w:top w:val="nil"/>
              <w:left w:val="nil"/>
              <w:bottom w:val="single" w:sz="4" w:space="0" w:color="auto"/>
              <w:right w:val="nil"/>
            </w:tcBorders>
            <w:noWrap/>
            <w:vAlign w:val="center"/>
            <w:hideMark/>
          </w:tcPr>
          <w:p w14:paraId="6AC35BFA" w14:textId="77777777" w:rsidR="0021298F" w:rsidRDefault="0021298F" w:rsidP="00760009">
            <w:pPr>
              <w:rPr>
                <w:rFonts w:ascii="Arial" w:eastAsia="Times New Roman" w:hAnsi="Arial" w:cs="Arial"/>
                <w:color w:val="000000"/>
                <w:lang w:eastAsia="en-GB"/>
              </w:rPr>
            </w:pPr>
            <w:r>
              <w:rPr>
                <w:rFonts w:ascii="Arial" w:eastAsia="Times New Roman" w:hAnsi="Arial" w:cs="Arial"/>
                <w:color w:val="000000"/>
                <w:lang w:eastAsia="en-GB"/>
              </w:rPr>
              <w:t>Opening cash balance (Group and wind farm SPVs)</w:t>
            </w:r>
          </w:p>
        </w:tc>
        <w:tc>
          <w:tcPr>
            <w:tcW w:w="1020" w:type="pct"/>
            <w:tcBorders>
              <w:top w:val="nil"/>
              <w:left w:val="nil"/>
              <w:bottom w:val="single" w:sz="4" w:space="0" w:color="auto"/>
              <w:right w:val="nil"/>
            </w:tcBorders>
            <w:shd w:val="clear" w:color="auto" w:fill="EDFFB7"/>
            <w:noWrap/>
            <w:vAlign w:val="center"/>
            <w:hideMark/>
          </w:tcPr>
          <w:p w14:paraId="63AC7443" w14:textId="77777777" w:rsidR="0021298F" w:rsidRDefault="0021298F" w:rsidP="00760009">
            <w:pPr>
              <w:jc w:val="right"/>
              <w:rPr>
                <w:rFonts w:ascii="Arial" w:eastAsia="Times New Roman" w:hAnsi="Arial" w:cs="Arial"/>
                <w:color w:val="000000"/>
                <w:lang w:eastAsia="en-GB"/>
              </w:rPr>
            </w:pPr>
            <w:r>
              <w:rPr>
                <w:rFonts w:ascii="Arial" w:eastAsia="Times New Roman" w:hAnsi="Arial" w:cs="Arial"/>
                <w:color w:val="000000"/>
                <w:lang w:eastAsia="en-GB"/>
              </w:rPr>
              <w:t>34,547</w:t>
            </w:r>
          </w:p>
        </w:tc>
        <w:tc>
          <w:tcPr>
            <w:tcW w:w="917" w:type="pct"/>
            <w:tcBorders>
              <w:top w:val="nil"/>
              <w:left w:val="nil"/>
              <w:bottom w:val="single" w:sz="4" w:space="0" w:color="auto"/>
              <w:right w:val="nil"/>
            </w:tcBorders>
            <w:shd w:val="clear" w:color="auto" w:fill="EDFFB7"/>
            <w:noWrap/>
            <w:vAlign w:val="center"/>
            <w:hideMark/>
          </w:tcPr>
          <w:p w14:paraId="69F52480" w14:textId="77777777" w:rsidR="0021298F" w:rsidRDefault="0021298F" w:rsidP="00760009">
            <w:pPr>
              <w:jc w:val="right"/>
              <w:rPr>
                <w:rFonts w:ascii="Arial" w:eastAsia="Times New Roman" w:hAnsi="Arial" w:cs="Arial"/>
                <w:color w:val="000000"/>
                <w:lang w:eastAsia="en-GB"/>
              </w:rPr>
            </w:pPr>
            <w:r>
              <w:rPr>
                <w:rFonts w:ascii="Arial" w:eastAsia="Times New Roman" w:hAnsi="Arial" w:cs="Arial"/>
                <w:color w:val="000000"/>
                <w:lang w:eastAsia="en-GB"/>
              </w:rPr>
              <w:t>34,547</w:t>
            </w:r>
          </w:p>
        </w:tc>
      </w:tr>
      <w:tr w:rsidR="0021298F" w14:paraId="79BF841D" w14:textId="77777777" w:rsidTr="00760009">
        <w:trPr>
          <w:trHeight w:val="285"/>
        </w:trPr>
        <w:tc>
          <w:tcPr>
            <w:tcW w:w="3063" w:type="pct"/>
            <w:noWrap/>
            <w:vAlign w:val="center"/>
            <w:hideMark/>
          </w:tcPr>
          <w:p w14:paraId="428C49A9" w14:textId="77777777" w:rsidR="0021298F" w:rsidRDefault="0021298F" w:rsidP="00760009">
            <w:pPr>
              <w:rPr>
                <w:rFonts w:ascii="Arial" w:eastAsia="Times New Roman" w:hAnsi="Arial" w:cs="Arial"/>
                <w:b/>
                <w:color w:val="000000"/>
                <w:lang w:eastAsia="en-GB"/>
              </w:rPr>
            </w:pPr>
            <w:r>
              <w:rPr>
                <w:rFonts w:ascii="Arial" w:eastAsia="Times New Roman" w:hAnsi="Arial" w:cs="Arial"/>
                <w:b/>
                <w:color w:val="000000"/>
                <w:lang w:eastAsia="en-GB"/>
              </w:rPr>
              <w:t xml:space="preserve">Closing cash balance (Group and wind farm SPVs) </w:t>
            </w:r>
          </w:p>
        </w:tc>
        <w:tc>
          <w:tcPr>
            <w:tcW w:w="1020" w:type="pct"/>
            <w:shd w:val="clear" w:color="auto" w:fill="EDFFB7"/>
            <w:noWrap/>
            <w:vAlign w:val="center"/>
            <w:hideMark/>
          </w:tcPr>
          <w:p w14:paraId="1AF2C139" w14:textId="77777777" w:rsidR="0021298F" w:rsidRDefault="0021298F" w:rsidP="00760009">
            <w:pPr>
              <w:jc w:val="right"/>
              <w:rPr>
                <w:rFonts w:ascii="Arial" w:eastAsia="Times New Roman" w:hAnsi="Arial" w:cs="Arial"/>
                <w:b/>
                <w:color w:val="000000"/>
                <w:lang w:eastAsia="en-GB"/>
              </w:rPr>
            </w:pPr>
            <w:r>
              <w:rPr>
                <w:rFonts w:ascii="Arial" w:eastAsia="Times New Roman" w:hAnsi="Arial" w:cs="Arial"/>
                <w:b/>
                <w:color w:val="000000"/>
                <w:lang w:eastAsia="en-GB"/>
              </w:rPr>
              <w:t>39,024</w:t>
            </w:r>
          </w:p>
        </w:tc>
        <w:tc>
          <w:tcPr>
            <w:tcW w:w="917" w:type="pct"/>
            <w:shd w:val="clear" w:color="auto" w:fill="EDFFB7"/>
            <w:noWrap/>
            <w:vAlign w:val="center"/>
            <w:hideMark/>
          </w:tcPr>
          <w:p w14:paraId="6DEB5F9A" w14:textId="77777777" w:rsidR="0021298F" w:rsidRDefault="0021298F" w:rsidP="00760009">
            <w:pPr>
              <w:jc w:val="right"/>
              <w:rPr>
                <w:rFonts w:ascii="Arial" w:eastAsia="Times New Roman" w:hAnsi="Arial" w:cs="Arial"/>
                <w:b/>
                <w:color w:val="000000"/>
                <w:lang w:eastAsia="en-GB"/>
              </w:rPr>
            </w:pPr>
            <w:r>
              <w:rPr>
                <w:rFonts w:ascii="Arial" w:eastAsia="Times New Roman" w:hAnsi="Arial" w:cs="Arial"/>
                <w:b/>
                <w:color w:val="000000"/>
                <w:lang w:eastAsia="en-GB"/>
              </w:rPr>
              <w:t>39,024</w:t>
            </w:r>
          </w:p>
        </w:tc>
      </w:tr>
      <w:tr w:rsidR="0021298F" w14:paraId="014C0918" w14:textId="77777777" w:rsidTr="00760009">
        <w:trPr>
          <w:trHeight w:val="57"/>
        </w:trPr>
        <w:tc>
          <w:tcPr>
            <w:tcW w:w="3063" w:type="pct"/>
            <w:noWrap/>
            <w:vAlign w:val="center"/>
            <w:hideMark/>
          </w:tcPr>
          <w:p w14:paraId="433C3F66" w14:textId="77777777" w:rsidR="0021298F" w:rsidRDefault="0021298F" w:rsidP="00760009">
            <w:pPr>
              <w:rPr>
                <w:rFonts w:ascii="Arial" w:eastAsia="Times New Roman" w:hAnsi="Arial" w:cs="Arial"/>
                <w:b/>
                <w:color w:val="000000"/>
                <w:lang w:eastAsia="en-GB"/>
              </w:rPr>
            </w:pPr>
          </w:p>
        </w:tc>
        <w:tc>
          <w:tcPr>
            <w:tcW w:w="1020" w:type="pct"/>
            <w:shd w:val="clear" w:color="auto" w:fill="EDFFB7"/>
            <w:noWrap/>
            <w:vAlign w:val="center"/>
          </w:tcPr>
          <w:p w14:paraId="7959176C" w14:textId="77777777" w:rsidR="0021298F" w:rsidRDefault="0021298F" w:rsidP="00760009">
            <w:pPr>
              <w:jc w:val="right"/>
              <w:rPr>
                <w:rFonts w:ascii="Arial" w:eastAsia="Times New Roman" w:hAnsi="Arial" w:cs="Arial"/>
                <w:color w:val="000000"/>
                <w:lang w:eastAsia="en-GB"/>
              </w:rPr>
            </w:pPr>
          </w:p>
        </w:tc>
        <w:tc>
          <w:tcPr>
            <w:tcW w:w="917" w:type="pct"/>
            <w:shd w:val="clear" w:color="auto" w:fill="EDFFB7"/>
            <w:noWrap/>
            <w:vAlign w:val="center"/>
            <w:hideMark/>
          </w:tcPr>
          <w:p w14:paraId="69E49599" w14:textId="77777777" w:rsidR="0021298F" w:rsidRDefault="0021298F" w:rsidP="00760009">
            <w:pPr>
              <w:rPr>
                <w:rFonts w:ascii="Arial" w:eastAsia="Times New Roman" w:hAnsi="Arial" w:cs="Arial"/>
                <w:color w:val="000000"/>
                <w:lang w:eastAsia="en-GB"/>
              </w:rPr>
            </w:pPr>
          </w:p>
        </w:tc>
      </w:tr>
      <w:tr w:rsidR="0021298F" w14:paraId="68F71BF6" w14:textId="77777777" w:rsidTr="00760009">
        <w:trPr>
          <w:trHeight w:val="285"/>
        </w:trPr>
        <w:tc>
          <w:tcPr>
            <w:tcW w:w="3063" w:type="pct"/>
            <w:noWrap/>
            <w:vAlign w:val="center"/>
            <w:hideMark/>
          </w:tcPr>
          <w:p w14:paraId="5D059085" w14:textId="77777777" w:rsidR="0021298F" w:rsidRDefault="0021298F" w:rsidP="00760009">
            <w:pPr>
              <w:rPr>
                <w:rFonts w:ascii="Arial" w:eastAsia="Times New Roman" w:hAnsi="Arial" w:cs="Arial"/>
                <w:color w:val="000000"/>
                <w:lang w:eastAsia="en-GB"/>
              </w:rPr>
            </w:pPr>
            <w:r>
              <w:rPr>
                <w:rFonts w:ascii="Arial" w:eastAsia="Times New Roman" w:hAnsi="Arial" w:cs="Arial"/>
                <w:color w:val="000000"/>
                <w:lang w:eastAsia="en-GB"/>
              </w:rPr>
              <w:t xml:space="preserve">Net cash generation </w:t>
            </w:r>
            <w:r>
              <w:rPr>
                <w:rFonts w:ascii="Arial" w:eastAsia="Times New Roman" w:hAnsi="Arial" w:cs="Arial"/>
                <w:color w:val="000000"/>
                <w:vertAlign w:val="superscript"/>
                <w:lang w:eastAsia="en-GB"/>
              </w:rPr>
              <w:t>(2)</w:t>
            </w:r>
          </w:p>
        </w:tc>
        <w:tc>
          <w:tcPr>
            <w:tcW w:w="1020" w:type="pct"/>
            <w:shd w:val="clear" w:color="auto" w:fill="EDFFB7"/>
            <w:noWrap/>
            <w:vAlign w:val="center"/>
            <w:hideMark/>
          </w:tcPr>
          <w:p w14:paraId="39861E00" w14:textId="77777777" w:rsidR="0021298F" w:rsidRDefault="0021298F" w:rsidP="00760009">
            <w:pPr>
              <w:jc w:val="right"/>
              <w:rPr>
                <w:rFonts w:ascii="Arial" w:eastAsia="Times New Roman" w:hAnsi="Arial" w:cs="Arial"/>
                <w:color w:val="000000"/>
                <w:lang w:eastAsia="en-GB"/>
              </w:rPr>
            </w:pPr>
            <w:r>
              <w:rPr>
                <w:rFonts w:ascii="Arial" w:eastAsia="Times New Roman" w:hAnsi="Arial" w:cs="Arial"/>
                <w:color w:val="000000"/>
                <w:lang w:eastAsia="en-GB"/>
              </w:rPr>
              <w:t>52,415</w:t>
            </w:r>
          </w:p>
        </w:tc>
        <w:tc>
          <w:tcPr>
            <w:tcW w:w="917" w:type="pct"/>
            <w:shd w:val="clear" w:color="auto" w:fill="EDFFB7"/>
            <w:noWrap/>
            <w:vAlign w:val="center"/>
            <w:hideMark/>
          </w:tcPr>
          <w:p w14:paraId="6939C994" w14:textId="77777777" w:rsidR="0021298F" w:rsidRDefault="0021298F" w:rsidP="00760009">
            <w:pPr>
              <w:jc w:val="right"/>
              <w:rPr>
                <w:rFonts w:ascii="Arial" w:eastAsia="Times New Roman" w:hAnsi="Arial" w:cs="Arial"/>
                <w:color w:val="000000"/>
                <w:lang w:eastAsia="en-GB"/>
              </w:rPr>
            </w:pPr>
            <w:r>
              <w:rPr>
                <w:rFonts w:ascii="Arial" w:eastAsia="Times New Roman" w:hAnsi="Arial" w:cs="Arial"/>
                <w:color w:val="000000"/>
                <w:lang w:eastAsia="en-GB"/>
              </w:rPr>
              <w:t>66,424</w:t>
            </w:r>
          </w:p>
        </w:tc>
      </w:tr>
      <w:tr w:rsidR="0021298F" w14:paraId="6FCA2CA0" w14:textId="77777777" w:rsidTr="00760009">
        <w:trPr>
          <w:trHeight w:val="285"/>
        </w:trPr>
        <w:tc>
          <w:tcPr>
            <w:tcW w:w="3063" w:type="pct"/>
            <w:noWrap/>
            <w:vAlign w:val="center"/>
            <w:hideMark/>
          </w:tcPr>
          <w:p w14:paraId="6AF8AD77" w14:textId="77777777" w:rsidR="0021298F" w:rsidRDefault="0021298F" w:rsidP="00760009">
            <w:pPr>
              <w:rPr>
                <w:rFonts w:ascii="Arial" w:eastAsia="Times New Roman" w:hAnsi="Arial" w:cs="Arial"/>
                <w:color w:val="000000"/>
                <w:lang w:eastAsia="en-GB"/>
              </w:rPr>
            </w:pPr>
            <w:r>
              <w:rPr>
                <w:rFonts w:ascii="Arial" w:eastAsia="Times New Roman" w:hAnsi="Arial" w:cs="Arial"/>
                <w:color w:val="000000"/>
                <w:lang w:eastAsia="en-GB"/>
              </w:rPr>
              <w:t>Dividends</w:t>
            </w:r>
          </w:p>
        </w:tc>
        <w:tc>
          <w:tcPr>
            <w:tcW w:w="1020" w:type="pct"/>
            <w:shd w:val="clear" w:color="auto" w:fill="EDFFB7"/>
            <w:noWrap/>
            <w:vAlign w:val="center"/>
            <w:hideMark/>
          </w:tcPr>
          <w:p w14:paraId="6123AD28" w14:textId="77777777" w:rsidR="0021298F" w:rsidRDefault="0021298F" w:rsidP="00760009">
            <w:pPr>
              <w:jc w:val="right"/>
              <w:rPr>
                <w:rFonts w:ascii="Arial" w:eastAsia="Times New Roman" w:hAnsi="Arial" w:cs="Arial"/>
                <w:color w:val="000000"/>
                <w:lang w:eastAsia="en-GB"/>
              </w:rPr>
            </w:pPr>
            <w:r>
              <w:rPr>
                <w:rFonts w:ascii="Arial" w:eastAsia="Times New Roman" w:hAnsi="Arial" w:cs="Arial"/>
                <w:color w:val="000000"/>
                <w:lang w:eastAsia="en-GB"/>
              </w:rPr>
              <w:t>38,168</w:t>
            </w:r>
          </w:p>
        </w:tc>
        <w:tc>
          <w:tcPr>
            <w:tcW w:w="917" w:type="pct"/>
            <w:shd w:val="clear" w:color="auto" w:fill="EDFFB7"/>
            <w:noWrap/>
            <w:vAlign w:val="center"/>
            <w:hideMark/>
          </w:tcPr>
          <w:p w14:paraId="30B6CC59" w14:textId="77777777" w:rsidR="0021298F" w:rsidRDefault="0021298F" w:rsidP="00760009">
            <w:pPr>
              <w:jc w:val="right"/>
              <w:rPr>
                <w:rFonts w:ascii="Arial" w:eastAsia="Times New Roman" w:hAnsi="Arial" w:cs="Arial"/>
                <w:color w:val="000000"/>
                <w:lang w:eastAsia="en-GB"/>
              </w:rPr>
            </w:pPr>
            <w:r>
              <w:rPr>
                <w:rFonts w:ascii="Arial" w:eastAsia="Times New Roman" w:hAnsi="Arial" w:cs="Arial"/>
                <w:color w:val="000000"/>
                <w:lang w:eastAsia="en-GB"/>
              </w:rPr>
              <w:t>38,168</w:t>
            </w:r>
          </w:p>
        </w:tc>
      </w:tr>
      <w:tr w:rsidR="0021298F" w14:paraId="0C666E2B" w14:textId="77777777" w:rsidTr="00760009">
        <w:trPr>
          <w:trHeight w:val="300"/>
        </w:trPr>
        <w:tc>
          <w:tcPr>
            <w:tcW w:w="3063" w:type="pct"/>
            <w:tcBorders>
              <w:top w:val="nil"/>
              <w:left w:val="nil"/>
              <w:bottom w:val="single" w:sz="8" w:space="0" w:color="auto"/>
              <w:right w:val="nil"/>
            </w:tcBorders>
            <w:noWrap/>
            <w:vAlign w:val="center"/>
            <w:hideMark/>
          </w:tcPr>
          <w:p w14:paraId="3A1EDC1A" w14:textId="77777777" w:rsidR="0021298F" w:rsidRDefault="0021298F" w:rsidP="00760009">
            <w:pPr>
              <w:rPr>
                <w:rFonts w:ascii="Arial" w:eastAsia="Times New Roman" w:hAnsi="Arial" w:cs="Arial"/>
                <w:color w:val="000000"/>
                <w:lang w:eastAsia="en-GB"/>
              </w:rPr>
            </w:pPr>
            <w:r>
              <w:rPr>
                <w:rFonts w:ascii="Arial" w:eastAsia="Times New Roman" w:hAnsi="Arial" w:cs="Arial"/>
                <w:color w:val="000000"/>
                <w:lang w:eastAsia="en-GB"/>
              </w:rPr>
              <w:t>Dividend cover</w:t>
            </w:r>
          </w:p>
        </w:tc>
        <w:tc>
          <w:tcPr>
            <w:tcW w:w="1020" w:type="pct"/>
            <w:tcBorders>
              <w:top w:val="nil"/>
              <w:left w:val="nil"/>
              <w:bottom w:val="single" w:sz="8" w:space="0" w:color="auto"/>
              <w:right w:val="nil"/>
            </w:tcBorders>
            <w:shd w:val="clear" w:color="auto" w:fill="EDFFB7"/>
            <w:noWrap/>
            <w:vAlign w:val="center"/>
            <w:hideMark/>
          </w:tcPr>
          <w:p w14:paraId="4CEEB387" w14:textId="77777777" w:rsidR="0021298F" w:rsidRDefault="0021298F" w:rsidP="00760009">
            <w:pPr>
              <w:jc w:val="right"/>
              <w:rPr>
                <w:rFonts w:ascii="Arial" w:eastAsia="Times New Roman" w:hAnsi="Arial" w:cs="Arial"/>
                <w:color w:val="000000"/>
                <w:lang w:eastAsia="en-GB"/>
              </w:rPr>
            </w:pPr>
            <w:r>
              <w:rPr>
                <w:rFonts w:ascii="Arial" w:eastAsia="Times New Roman" w:hAnsi="Arial" w:cs="Arial"/>
                <w:color w:val="000000"/>
                <w:lang w:eastAsia="en-GB"/>
              </w:rPr>
              <w:t>1.4x</w:t>
            </w:r>
          </w:p>
        </w:tc>
        <w:tc>
          <w:tcPr>
            <w:tcW w:w="917" w:type="pct"/>
            <w:tcBorders>
              <w:top w:val="nil"/>
              <w:left w:val="nil"/>
              <w:bottom w:val="single" w:sz="8" w:space="0" w:color="auto"/>
              <w:right w:val="nil"/>
            </w:tcBorders>
            <w:shd w:val="clear" w:color="auto" w:fill="EDFFB7"/>
            <w:noWrap/>
            <w:vAlign w:val="center"/>
            <w:hideMark/>
          </w:tcPr>
          <w:p w14:paraId="7C6A12F6" w14:textId="77777777" w:rsidR="0021298F" w:rsidRDefault="0021298F" w:rsidP="00760009">
            <w:pPr>
              <w:jc w:val="right"/>
              <w:rPr>
                <w:rFonts w:ascii="Arial" w:eastAsia="Times New Roman" w:hAnsi="Arial" w:cs="Arial"/>
                <w:color w:val="000000"/>
                <w:lang w:eastAsia="en-GB"/>
              </w:rPr>
            </w:pPr>
            <w:r>
              <w:rPr>
                <w:rFonts w:ascii="Arial" w:eastAsia="Times New Roman" w:hAnsi="Arial" w:cs="Arial"/>
                <w:color w:val="000000"/>
                <w:lang w:eastAsia="en-GB"/>
              </w:rPr>
              <w:t>1.7x</w:t>
            </w:r>
          </w:p>
        </w:tc>
      </w:tr>
    </w:tbl>
    <w:p w14:paraId="509D1268" w14:textId="77777777" w:rsidR="0021298F" w:rsidRDefault="0021298F" w:rsidP="0021298F">
      <w:pPr>
        <w:jc w:val="both"/>
        <w:rPr>
          <w:rFonts w:ascii="Arial" w:eastAsia="Times New Roman" w:hAnsi="Arial" w:cs="Arial"/>
          <w:vertAlign w:val="superscript"/>
        </w:rPr>
      </w:pPr>
    </w:p>
    <w:p w14:paraId="34D7EEC2" w14:textId="77777777" w:rsidR="0021298F" w:rsidRDefault="0021298F" w:rsidP="0021298F">
      <w:pPr>
        <w:jc w:val="both"/>
        <w:rPr>
          <w:rFonts w:ascii="Arial" w:eastAsia="Times New Roman" w:hAnsi="Arial" w:cs="Arial"/>
          <w:vertAlign w:val="superscript"/>
        </w:rPr>
      </w:pPr>
      <w:r w:rsidRPr="00841DE0">
        <w:rPr>
          <w:rFonts w:ascii="Arial" w:eastAsia="Times New Roman" w:hAnsi="Arial" w:cs="Arial"/>
          <w:vertAlign w:val="superscript"/>
        </w:rPr>
        <w:t>(1)</w:t>
      </w:r>
      <w:r>
        <w:rPr>
          <w:rFonts w:ascii="Arial" w:eastAsia="Times New Roman" w:hAnsi="Arial" w:cs="Arial"/>
          <w:vertAlign w:val="superscript"/>
        </w:rPr>
        <w:t xml:space="preserve"> </w:t>
      </w:r>
      <w:r>
        <w:rPr>
          <w:rFonts w:ascii="Arial" w:eastAsia="Times New Roman" w:hAnsi="Arial" w:cs="Arial"/>
          <w:sz w:val="16"/>
        </w:rPr>
        <w:t>The dividend cover tables above are shown as 2 scenarios: the first reflects cash generation net of the Group’s share of SPV level debt repayment (€14,009k), and the second shows net cash generation gross of SPV level debt repayments.</w:t>
      </w:r>
      <w:r>
        <w:rPr>
          <w:rFonts w:ascii="Arial" w:eastAsia="Times New Roman" w:hAnsi="Arial" w:cs="Arial"/>
          <w:vertAlign w:val="superscript"/>
        </w:rPr>
        <w:t xml:space="preserve"> </w:t>
      </w:r>
    </w:p>
    <w:p w14:paraId="5AEF4D2F" w14:textId="77777777" w:rsidR="0021298F" w:rsidRDefault="0021298F" w:rsidP="0021298F">
      <w:pPr>
        <w:jc w:val="both"/>
        <w:rPr>
          <w:rFonts w:ascii="Arial" w:eastAsia="Times New Roman" w:hAnsi="Arial" w:cs="Arial"/>
          <w:sz w:val="16"/>
        </w:rPr>
      </w:pPr>
      <w:r w:rsidRPr="00841DE0">
        <w:rPr>
          <w:rFonts w:ascii="Arial" w:eastAsia="Times New Roman" w:hAnsi="Arial" w:cs="Arial"/>
          <w:vertAlign w:val="superscript"/>
        </w:rPr>
        <w:t>(2)</w:t>
      </w:r>
      <w:r>
        <w:rPr>
          <w:rFonts w:ascii="Arial" w:eastAsia="Times New Roman" w:hAnsi="Arial" w:cs="Arial"/>
          <w:vertAlign w:val="superscript"/>
        </w:rPr>
        <w:t xml:space="preserve"> </w:t>
      </w:r>
      <w:r>
        <w:rPr>
          <w:rFonts w:ascii="Arial" w:eastAsia="Times New Roman" w:hAnsi="Arial" w:cs="Arial"/>
          <w:sz w:val="16"/>
        </w:rPr>
        <w:t>Cashflows reflect residual capital expenditure from acquired SPVs (covered by the vendor of the SPVs) and REFIT working capital movements with the PSO relating to wind farm SPVs.</w:t>
      </w:r>
    </w:p>
    <w:p w14:paraId="2970F392" w14:textId="77777777" w:rsidR="0021298F" w:rsidRDefault="0021298F" w:rsidP="0021298F">
      <w:pPr>
        <w:jc w:val="both"/>
        <w:rPr>
          <w:rFonts w:ascii="Arial" w:eastAsia="Times New Roman" w:hAnsi="Arial" w:cs="Arial"/>
          <w:sz w:val="16"/>
          <w:szCs w:val="16"/>
        </w:rPr>
      </w:pPr>
      <w:r w:rsidRPr="00841DE0">
        <w:rPr>
          <w:rFonts w:ascii="Arial" w:eastAsia="Times New Roman" w:hAnsi="Arial" w:cs="Arial"/>
          <w:vertAlign w:val="superscript"/>
        </w:rPr>
        <w:t>(3)</w:t>
      </w:r>
      <w:r>
        <w:rPr>
          <w:rFonts w:ascii="Arial" w:eastAsia="Times New Roman" w:hAnsi="Arial" w:cs="Arial"/>
          <w:vertAlign w:val="superscript"/>
        </w:rPr>
        <w:t xml:space="preserve"> </w:t>
      </w:r>
      <w:r>
        <w:rPr>
          <w:rFonts w:ascii="Arial" w:eastAsia="Times New Roman" w:hAnsi="Arial" w:cs="Arial"/>
          <w:sz w:val="16"/>
          <w:szCs w:val="16"/>
        </w:rPr>
        <w:t>Acquisition consideration is net of the acquired SPV cash (€8,551k).</w:t>
      </w:r>
    </w:p>
    <w:p w14:paraId="6D3CE64D" w14:textId="77777777" w:rsidR="0021298F" w:rsidRDefault="0021298F" w:rsidP="0021298F">
      <w:pPr>
        <w:jc w:val="both"/>
        <w:rPr>
          <w:rFonts w:ascii="Arial" w:eastAsia="Times New Roman" w:hAnsi="Arial" w:cs="Arial"/>
          <w:b/>
          <w:szCs w:val="26"/>
        </w:rPr>
      </w:pPr>
    </w:p>
    <w:p w14:paraId="545C1600" w14:textId="77777777" w:rsidR="0021298F" w:rsidRDefault="0021298F" w:rsidP="0021298F">
      <w:pPr>
        <w:jc w:val="both"/>
        <w:rPr>
          <w:rFonts w:ascii="Arial" w:eastAsia="Times New Roman" w:hAnsi="Arial" w:cs="Arial"/>
        </w:rPr>
      </w:pPr>
      <w:r>
        <w:rPr>
          <w:rFonts w:ascii="Arial" w:eastAsia="Times New Roman" w:hAnsi="Arial" w:cs="Arial"/>
        </w:rPr>
        <w:t>The following 2 tables provide further detail in relation to net cash generation figures of €66.4 million (gross) and €52.4 million (net):</w:t>
      </w:r>
    </w:p>
    <w:tbl>
      <w:tblPr>
        <w:tblW w:w="5000" w:type="pct"/>
        <w:jc w:val="center"/>
        <w:tblLook w:val="04A0" w:firstRow="1" w:lastRow="0" w:firstColumn="1" w:lastColumn="0" w:noHBand="0" w:noVBand="1"/>
      </w:tblPr>
      <w:tblGrid>
        <w:gridCol w:w="5176"/>
        <w:gridCol w:w="1926"/>
        <w:gridCol w:w="1924"/>
      </w:tblGrid>
      <w:tr w:rsidR="0021298F" w:rsidRPr="008F09BD" w14:paraId="27C420F5" w14:textId="77777777" w:rsidTr="00760009">
        <w:trPr>
          <w:trHeight w:val="600"/>
          <w:jc w:val="center"/>
        </w:trPr>
        <w:tc>
          <w:tcPr>
            <w:tcW w:w="2867" w:type="pct"/>
            <w:tcBorders>
              <w:top w:val="nil"/>
              <w:left w:val="nil"/>
              <w:bottom w:val="single" w:sz="4" w:space="0" w:color="auto"/>
              <w:right w:val="nil"/>
            </w:tcBorders>
            <w:noWrap/>
            <w:vAlign w:val="bottom"/>
          </w:tcPr>
          <w:p w14:paraId="6BC4EBEB" w14:textId="77777777" w:rsidR="0021298F" w:rsidRDefault="0021298F" w:rsidP="00760009">
            <w:pPr>
              <w:rPr>
                <w:rFonts w:ascii="Arial" w:eastAsia="Times New Roman" w:hAnsi="Arial" w:cs="Arial"/>
                <w:b/>
                <w:bCs/>
                <w:color w:val="000000"/>
                <w:lang w:eastAsia="en-GB"/>
              </w:rPr>
            </w:pPr>
          </w:p>
          <w:p w14:paraId="7C9B821D" w14:textId="77777777" w:rsidR="0021298F" w:rsidRDefault="0021298F" w:rsidP="00760009">
            <w:pPr>
              <w:rPr>
                <w:rFonts w:ascii="Arial" w:eastAsia="Times New Roman" w:hAnsi="Arial" w:cs="Arial"/>
                <w:b/>
              </w:rPr>
            </w:pPr>
            <w:r>
              <w:rPr>
                <w:rFonts w:ascii="Arial" w:eastAsia="Times New Roman" w:hAnsi="Arial" w:cs="Arial"/>
                <w:b/>
              </w:rPr>
              <w:t>Net Cash Generation – Breakdown</w:t>
            </w:r>
            <w:r>
              <w:rPr>
                <w:rFonts w:ascii="Arial" w:eastAsia="Times New Roman" w:hAnsi="Arial" w:cs="Arial"/>
                <w:color w:val="000000"/>
                <w:lang w:eastAsia="en-GB"/>
              </w:rPr>
              <w:t> </w:t>
            </w:r>
          </w:p>
        </w:tc>
        <w:tc>
          <w:tcPr>
            <w:tcW w:w="2133" w:type="pct"/>
            <w:gridSpan w:val="2"/>
            <w:tcBorders>
              <w:top w:val="nil"/>
              <w:left w:val="nil"/>
              <w:bottom w:val="single" w:sz="4" w:space="0" w:color="auto"/>
              <w:right w:val="nil"/>
            </w:tcBorders>
            <w:vAlign w:val="bottom"/>
          </w:tcPr>
          <w:p w14:paraId="74DB9A87" w14:textId="77777777" w:rsidR="0021298F" w:rsidRPr="001E34C8" w:rsidRDefault="0021298F" w:rsidP="00760009">
            <w:pPr>
              <w:jc w:val="center"/>
              <w:rPr>
                <w:rFonts w:ascii="Arial" w:eastAsia="Times New Roman" w:hAnsi="Arial" w:cs="Arial"/>
                <w:b/>
              </w:rPr>
            </w:pPr>
            <w:r>
              <w:rPr>
                <w:rFonts w:ascii="Arial" w:eastAsia="Times New Roman" w:hAnsi="Arial" w:cs="Arial"/>
                <w:b/>
                <w:bCs/>
                <w:color w:val="000000"/>
                <w:lang w:eastAsia="en-GB"/>
              </w:rPr>
              <w:t xml:space="preserve">For the year ended </w:t>
            </w:r>
            <w:r>
              <w:rPr>
                <w:rFonts w:ascii="Arial" w:eastAsia="Times New Roman" w:hAnsi="Arial" w:cs="Arial"/>
                <w:b/>
                <w:bCs/>
                <w:color w:val="000000"/>
                <w:lang w:eastAsia="en-GB"/>
              </w:rPr>
              <w:br/>
              <w:t>31 December 2020</w:t>
            </w:r>
          </w:p>
        </w:tc>
      </w:tr>
      <w:tr w:rsidR="0021298F" w14:paraId="1794CD0D" w14:textId="77777777" w:rsidTr="00760009">
        <w:trPr>
          <w:trHeight w:val="300"/>
          <w:jc w:val="center"/>
        </w:trPr>
        <w:tc>
          <w:tcPr>
            <w:tcW w:w="2867" w:type="pct"/>
            <w:noWrap/>
            <w:vAlign w:val="bottom"/>
            <w:hideMark/>
          </w:tcPr>
          <w:p w14:paraId="2A3130D8" w14:textId="77777777" w:rsidR="0021298F" w:rsidRDefault="0021298F" w:rsidP="00760009">
            <w:pPr>
              <w:rPr>
                <w:rFonts w:ascii="Arial" w:eastAsia="Times New Roman" w:hAnsi="Arial" w:cs="Arial"/>
                <w:b/>
                <w:bCs/>
                <w:color w:val="000000"/>
                <w:lang w:eastAsia="en-GB"/>
              </w:rPr>
            </w:pPr>
          </w:p>
        </w:tc>
        <w:tc>
          <w:tcPr>
            <w:tcW w:w="1067" w:type="pct"/>
            <w:vAlign w:val="center"/>
            <w:hideMark/>
          </w:tcPr>
          <w:p w14:paraId="3C2BA024" w14:textId="77777777" w:rsidR="0021298F" w:rsidRDefault="0021298F" w:rsidP="00760009">
            <w:pPr>
              <w:jc w:val="right"/>
              <w:rPr>
                <w:rFonts w:ascii="Arial" w:eastAsia="Times New Roman" w:hAnsi="Arial" w:cs="Arial"/>
                <w:b/>
                <w:bCs/>
                <w:color w:val="000000"/>
                <w:lang w:eastAsia="en-GB"/>
              </w:rPr>
            </w:pPr>
            <w:r>
              <w:rPr>
                <w:rFonts w:ascii="Arial" w:eastAsia="Times New Roman" w:hAnsi="Arial" w:cs="Arial"/>
                <w:b/>
                <w:bCs/>
                <w:color w:val="000000"/>
                <w:lang w:eastAsia="en-GB"/>
              </w:rPr>
              <w:t>Net</w:t>
            </w:r>
          </w:p>
          <w:p w14:paraId="70AB5E77" w14:textId="77777777" w:rsidR="0021298F" w:rsidRDefault="0021298F" w:rsidP="00760009">
            <w:pPr>
              <w:jc w:val="right"/>
              <w:rPr>
                <w:rFonts w:ascii="Arial" w:eastAsia="Times New Roman" w:hAnsi="Arial" w:cs="Arial"/>
                <w:b/>
                <w:bCs/>
                <w:color w:val="000000"/>
                <w:lang w:eastAsia="en-GB"/>
              </w:rPr>
            </w:pPr>
            <w:r>
              <w:rPr>
                <w:rFonts w:ascii="Arial" w:eastAsia="Times New Roman" w:hAnsi="Arial" w:cs="Arial"/>
                <w:b/>
                <w:bCs/>
                <w:color w:val="000000"/>
                <w:lang w:eastAsia="en-GB"/>
              </w:rPr>
              <w:t>€'000</w:t>
            </w:r>
          </w:p>
        </w:tc>
        <w:tc>
          <w:tcPr>
            <w:tcW w:w="1066" w:type="pct"/>
            <w:shd w:val="clear" w:color="auto" w:fill="EDFFB7"/>
            <w:noWrap/>
            <w:vAlign w:val="center"/>
            <w:hideMark/>
          </w:tcPr>
          <w:p w14:paraId="7953EFD1" w14:textId="77777777" w:rsidR="0021298F" w:rsidRDefault="0021298F" w:rsidP="00760009">
            <w:pPr>
              <w:jc w:val="right"/>
              <w:rPr>
                <w:rFonts w:ascii="Arial" w:eastAsia="Times New Roman" w:hAnsi="Arial" w:cs="Arial"/>
                <w:b/>
                <w:bCs/>
                <w:color w:val="000000"/>
                <w:lang w:eastAsia="en-GB"/>
              </w:rPr>
            </w:pPr>
            <w:r>
              <w:rPr>
                <w:rFonts w:ascii="Arial" w:eastAsia="Times New Roman" w:hAnsi="Arial" w:cs="Arial"/>
                <w:b/>
                <w:bCs/>
                <w:color w:val="000000"/>
                <w:lang w:eastAsia="en-GB"/>
              </w:rPr>
              <w:t>Gross</w:t>
            </w:r>
          </w:p>
          <w:p w14:paraId="2424170B" w14:textId="77777777" w:rsidR="0021298F" w:rsidRDefault="0021298F" w:rsidP="00760009">
            <w:pPr>
              <w:jc w:val="right"/>
              <w:rPr>
                <w:rFonts w:ascii="Arial" w:eastAsia="Times New Roman" w:hAnsi="Arial" w:cs="Arial"/>
                <w:b/>
                <w:bCs/>
                <w:color w:val="000000"/>
                <w:lang w:eastAsia="en-GB"/>
              </w:rPr>
            </w:pPr>
            <w:r>
              <w:rPr>
                <w:rFonts w:ascii="Arial" w:eastAsia="Times New Roman" w:hAnsi="Arial" w:cs="Arial"/>
                <w:b/>
                <w:bCs/>
                <w:color w:val="000000"/>
                <w:lang w:eastAsia="en-GB"/>
              </w:rPr>
              <w:t>€'000</w:t>
            </w:r>
          </w:p>
        </w:tc>
      </w:tr>
      <w:tr w:rsidR="0021298F" w14:paraId="570C4583" w14:textId="77777777" w:rsidTr="00760009">
        <w:trPr>
          <w:trHeight w:val="285"/>
          <w:jc w:val="center"/>
        </w:trPr>
        <w:tc>
          <w:tcPr>
            <w:tcW w:w="2867" w:type="pct"/>
            <w:noWrap/>
            <w:vAlign w:val="bottom"/>
            <w:hideMark/>
          </w:tcPr>
          <w:p w14:paraId="428B2D36" w14:textId="77777777" w:rsidR="0021298F" w:rsidRDefault="0021298F" w:rsidP="00760009">
            <w:pPr>
              <w:rPr>
                <w:rFonts w:ascii="Arial" w:eastAsia="Times New Roman" w:hAnsi="Arial" w:cs="Arial"/>
                <w:color w:val="000000"/>
                <w:vertAlign w:val="superscript"/>
                <w:lang w:eastAsia="en-GB"/>
              </w:rPr>
            </w:pPr>
            <w:r>
              <w:rPr>
                <w:rFonts w:ascii="Arial" w:eastAsia="Times New Roman" w:hAnsi="Arial" w:cs="Arial"/>
                <w:color w:val="000000"/>
                <w:lang w:eastAsia="en-GB"/>
              </w:rPr>
              <w:lastRenderedPageBreak/>
              <w:t>Revenue</w:t>
            </w:r>
          </w:p>
        </w:tc>
        <w:tc>
          <w:tcPr>
            <w:tcW w:w="1067" w:type="pct"/>
            <w:vAlign w:val="center"/>
            <w:hideMark/>
          </w:tcPr>
          <w:p w14:paraId="70524103" w14:textId="77777777" w:rsidR="0021298F" w:rsidRDefault="0021298F" w:rsidP="00760009">
            <w:pPr>
              <w:jc w:val="right"/>
              <w:rPr>
                <w:rFonts w:ascii="Arial" w:eastAsia="Times New Roman" w:hAnsi="Arial" w:cs="Arial"/>
                <w:color w:val="000000"/>
                <w:lang w:eastAsia="en-GB"/>
              </w:rPr>
            </w:pPr>
            <w:r>
              <w:rPr>
                <w:rFonts w:ascii="Arial" w:eastAsia="Times New Roman" w:hAnsi="Arial" w:cs="Arial"/>
                <w:color w:val="000000"/>
                <w:lang w:eastAsia="en-GB"/>
              </w:rPr>
              <w:t>118,648</w:t>
            </w:r>
          </w:p>
        </w:tc>
        <w:tc>
          <w:tcPr>
            <w:tcW w:w="1066" w:type="pct"/>
            <w:shd w:val="clear" w:color="auto" w:fill="EDFFB7"/>
            <w:noWrap/>
            <w:vAlign w:val="center"/>
            <w:hideMark/>
          </w:tcPr>
          <w:p w14:paraId="1E950C79" w14:textId="77777777" w:rsidR="0021298F" w:rsidRDefault="0021298F" w:rsidP="00760009">
            <w:pPr>
              <w:jc w:val="right"/>
              <w:rPr>
                <w:rFonts w:ascii="Arial" w:eastAsia="Times New Roman" w:hAnsi="Arial" w:cs="Arial"/>
                <w:color w:val="000000"/>
                <w:lang w:eastAsia="en-GB"/>
              </w:rPr>
            </w:pPr>
            <w:r>
              <w:rPr>
                <w:rFonts w:ascii="Arial" w:eastAsia="Times New Roman" w:hAnsi="Arial" w:cs="Arial"/>
                <w:color w:val="000000"/>
                <w:lang w:eastAsia="en-GB"/>
              </w:rPr>
              <w:t>118,648</w:t>
            </w:r>
          </w:p>
        </w:tc>
      </w:tr>
      <w:tr w:rsidR="0021298F" w14:paraId="56EDCA35" w14:textId="77777777" w:rsidTr="00760009">
        <w:trPr>
          <w:trHeight w:val="285"/>
          <w:jc w:val="center"/>
        </w:trPr>
        <w:tc>
          <w:tcPr>
            <w:tcW w:w="2867" w:type="pct"/>
            <w:noWrap/>
            <w:vAlign w:val="bottom"/>
            <w:hideMark/>
          </w:tcPr>
          <w:p w14:paraId="0CD39E57" w14:textId="77777777" w:rsidR="0021298F" w:rsidRDefault="0021298F" w:rsidP="00760009">
            <w:pPr>
              <w:rPr>
                <w:rFonts w:ascii="Arial" w:eastAsia="Times New Roman" w:hAnsi="Arial" w:cs="Arial"/>
                <w:color w:val="000000"/>
                <w:lang w:eastAsia="en-GB"/>
              </w:rPr>
            </w:pPr>
            <w:r>
              <w:rPr>
                <w:rFonts w:ascii="Arial" w:eastAsia="Times New Roman" w:hAnsi="Arial" w:cs="Arial"/>
                <w:color w:val="000000"/>
                <w:lang w:eastAsia="en-GB"/>
              </w:rPr>
              <w:t>Operating expenses</w:t>
            </w:r>
          </w:p>
        </w:tc>
        <w:tc>
          <w:tcPr>
            <w:tcW w:w="1067" w:type="pct"/>
            <w:vAlign w:val="center"/>
            <w:hideMark/>
          </w:tcPr>
          <w:p w14:paraId="2D6E2ABA" w14:textId="77777777" w:rsidR="0021298F" w:rsidRDefault="0021298F" w:rsidP="00760009">
            <w:pPr>
              <w:jc w:val="right"/>
              <w:rPr>
                <w:rFonts w:ascii="Arial" w:eastAsia="Times New Roman" w:hAnsi="Arial" w:cs="Arial"/>
                <w:color w:val="000000"/>
                <w:lang w:eastAsia="en-GB"/>
              </w:rPr>
            </w:pPr>
            <w:r>
              <w:rPr>
                <w:rFonts w:ascii="Arial" w:eastAsia="Times New Roman" w:hAnsi="Arial" w:cs="Arial"/>
                <w:color w:val="000000"/>
                <w:lang w:eastAsia="en-GB"/>
              </w:rPr>
              <w:t>(35,167)</w:t>
            </w:r>
          </w:p>
        </w:tc>
        <w:tc>
          <w:tcPr>
            <w:tcW w:w="1066" w:type="pct"/>
            <w:shd w:val="clear" w:color="auto" w:fill="EDFFB7"/>
            <w:noWrap/>
            <w:vAlign w:val="center"/>
            <w:hideMark/>
          </w:tcPr>
          <w:p w14:paraId="7669E11B" w14:textId="77777777" w:rsidR="0021298F" w:rsidRDefault="0021298F" w:rsidP="00760009">
            <w:pPr>
              <w:jc w:val="right"/>
              <w:rPr>
                <w:rFonts w:ascii="Arial" w:eastAsia="Times New Roman" w:hAnsi="Arial" w:cs="Arial"/>
                <w:color w:val="000000"/>
                <w:lang w:eastAsia="en-GB"/>
              </w:rPr>
            </w:pPr>
            <w:r>
              <w:rPr>
                <w:rFonts w:ascii="Arial" w:eastAsia="Times New Roman" w:hAnsi="Arial" w:cs="Arial"/>
                <w:color w:val="000000"/>
                <w:lang w:eastAsia="en-GB"/>
              </w:rPr>
              <w:t>(35,167)</w:t>
            </w:r>
          </w:p>
        </w:tc>
      </w:tr>
      <w:tr w:rsidR="0021298F" w14:paraId="1B9524FF" w14:textId="77777777" w:rsidTr="00760009">
        <w:trPr>
          <w:trHeight w:val="285"/>
          <w:jc w:val="center"/>
        </w:trPr>
        <w:tc>
          <w:tcPr>
            <w:tcW w:w="2867" w:type="pct"/>
            <w:tcBorders>
              <w:top w:val="nil"/>
              <w:left w:val="nil"/>
              <w:bottom w:val="single" w:sz="4" w:space="0" w:color="auto"/>
              <w:right w:val="nil"/>
            </w:tcBorders>
            <w:noWrap/>
            <w:vAlign w:val="bottom"/>
            <w:hideMark/>
          </w:tcPr>
          <w:p w14:paraId="7B7347C4" w14:textId="77777777" w:rsidR="0021298F" w:rsidRDefault="0021298F" w:rsidP="00760009">
            <w:pPr>
              <w:rPr>
                <w:rFonts w:ascii="Arial" w:eastAsia="Times New Roman" w:hAnsi="Arial" w:cs="Arial"/>
                <w:color w:val="000000"/>
                <w:lang w:eastAsia="en-GB"/>
              </w:rPr>
            </w:pPr>
            <w:r>
              <w:rPr>
                <w:rFonts w:ascii="Arial" w:eastAsia="Times New Roman" w:hAnsi="Arial" w:cs="Arial"/>
                <w:color w:val="000000"/>
                <w:lang w:eastAsia="en-GB"/>
              </w:rPr>
              <w:t>Tax / VAT</w:t>
            </w:r>
          </w:p>
        </w:tc>
        <w:tc>
          <w:tcPr>
            <w:tcW w:w="1067" w:type="pct"/>
            <w:tcBorders>
              <w:top w:val="nil"/>
              <w:left w:val="nil"/>
              <w:bottom w:val="single" w:sz="4" w:space="0" w:color="auto"/>
              <w:right w:val="nil"/>
            </w:tcBorders>
            <w:vAlign w:val="center"/>
            <w:hideMark/>
          </w:tcPr>
          <w:p w14:paraId="1095155B" w14:textId="77777777" w:rsidR="0021298F" w:rsidRDefault="0021298F" w:rsidP="00760009">
            <w:pPr>
              <w:jc w:val="right"/>
              <w:rPr>
                <w:rFonts w:ascii="Arial" w:eastAsia="Times New Roman" w:hAnsi="Arial" w:cs="Arial"/>
                <w:color w:val="000000"/>
                <w:lang w:eastAsia="en-GB"/>
              </w:rPr>
            </w:pPr>
            <w:r>
              <w:rPr>
                <w:rFonts w:ascii="Arial" w:eastAsia="Times New Roman" w:hAnsi="Arial" w:cs="Arial"/>
                <w:color w:val="000000"/>
                <w:lang w:eastAsia="en-GB"/>
              </w:rPr>
              <w:t>644</w:t>
            </w:r>
          </w:p>
        </w:tc>
        <w:tc>
          <w:tcPr>
            <w:tcW w:w="1066" w:type="pct"/>
            <w:tcBorders>
              <w:top w:val="nil"/>
              <w:left w:val="nil"/>
              <w:bottom w:val="single" w:sz="4" w:space="0" w:color="auto"/>
              <w:right w:val="nil"/>
            </w:tcBorders>
            <w:shd w:val="clear" w:color="auto" w:fill="EDFFB7"/>
            <w:noWrap/>
            <w:vAlign w:val="center"/>
            <w:hideMark/>
          </w:tcPr>
          <w:p w14:paraId="4260EDF2" w14:textId="77777777" w:rsidR="0021298F" w:rsidRDefault="0021298F" w:rsidP="00760009">
            <w:pPr>
              <w:jc w:val="right"/>
              <w:rPr>
                <w:rFonts w:ascii="Arial" w:eastAsia="Times New Roman" w:hAnsi="Arial" w:cs="Arial"/>
                <w:color w:val="000000"/>
                <w:lang w:eastAsia="en-GB"/>
              </w:rPr>
            </w:pPr>
            <w:r>
              <w:rPr>
                <w:rFonts w:ascii="Arial" w:eastAsia="Times New Roman" w:hAnsi="Arial" w:cs="Arial"/>
                <w:color w:val="000000"/>
                <w:lang w:eastAsia="en-GB"/>
              </w:rPr>
              <w:t>644</w:t>
            </w:r>
          </w:p>
        </w:tc>
      </w:tr>
      <w:tr w:rsidR="0021298F" w14:paraId="5BE646D0" w14:textId="77777777" w:rsidTr="00760009">
        <w:trPr>
          <w:trHeight w:val="300"/>
          <w:jc w:val="center"/>
        </w:trPr>
        <w:tc>
          <w:tcPr>
            <w:tcW w:w="2867" w:type="pct"/>
            <w:tcBorders>
              <w:top w:val="single" w:sz="4" w:space="0" w:color="auto"/>
              <w:left w:val="nil"/>
              <w:bottom w:val="nil"/>
              <w:right w:val="nil"/>
            </w:tcBorders>
            <w:noWrap/>
            <w:vAlign w:val="bottom"/>
            <w:hideMark/>
          </w:tcPr>
          <w:p w14:paraId="43B91A6F" w14:textId="77777777" w:rsidR="0021298F" w:rsidRDefault="0021298F" w:rsidP="00760009">
            <w:pPr>
              <w:rPr>
                <w:rFonts w:ascii="Arial" w:eastAsia="Times New Roman" w:hAnsi="Arial" w:cs="Arial"/>
                <w:b/>
                <w:bCs/>
                <w:color w:val="000000"/>
                <w:lang w:eastAsia="en-GB"/>
              </w:rPr>
            </w:pPr>
            <w:r>
              <w:rPr>
                <w:rFonts w:ascii="Arial" w:eastAsia="Times New Roman" w:hAnsi="Arial" w:cs="Arial"/>
                <w:b/>
                <w:bCs/>
                <w:color w:val="000000"/>
                <w:lang w:eastAsia="en-GB"/>
              </w:rPr>
              <w:t>Wind farm operating cashflow</w:t>
            </w:r>
          </w:p>
        </w:tc>
        <w:tc>
          <w:tcPr>
            <w:tcW w:w="1067" w:type="pct"/>
            <w:tcBorders>
              <w:top w:val="single" w:sz="4" w:space="0" w:color="auto"/>
              <w:left w:val="nil"/>
              <w:bottom w:val="nil"/>
              <w:right w:val="nil"/>
            </w:tcBorders>
            <w:vAlign w:val="center"/>
            <w:hideMark/>
          </w:tcPr>
          <w:p w14:paraId="2F37FF53" w14:textId="77777777" w:rsidR="0021298F" w:rsidRDefault="0021298F" w:rsidP="00760009">
            <w:pPr>
              <w:jc w:val="right"/>
              <w:rPr>
                <w:rFonts w:ascii="Arial" w:eastAsia="Times New Roman" w:hAnsi="Arial" w:cs="Arial"/>
                <w:b/>
                <w:bCs/>
                <w:color w:val="000000"/>
                <w:lang w:eastAsia="en-GB"/>
              </w:rPr>
            </w:pPr>
            <w:r>
              <w:rPr>
                <w:rFonts w:ascii="Arial" w:eastAsia="Times New Roman" w:hAnsi="Arial" w:cs="Arial"/>
                <w:b/>
                <w:bCs/>
                <w:color w:val="000000"/>
                <w:lang w:eastAsia="en-GB"/>
              </w:rPr>
              <w:t>84,125</w:t>
            </w:r>
          </w:p>
        </w:tc>
        <w:tc>
          <w:tcPr>
            <w:tcW w:w="1066" w:type="pct"/>
            <w:tcBorders>
              <w:top w:val="single" w:sz="4" w:space="0" w:color="auto"/>
              <w:left w:val="nil"/>
              <w:bottom w:val="nil"/>
              <w:right w:val="nil"/>
            </w:tcBorders>
            <w:shd w:val="clear" w:color="auto" w:fill="EDFFB7"/>
            <w:noWrap/>
            <w:vAlign w:val="center"/>
            <w:hideMark/>
          </w:tcPr>
          <w:p w14:paraId="124AD551" w14:textId="77777777" w:rsidR="0021298F" w:rsidRDefault="0021298F" w:rsidP="00760009">
            <w:pPr>
              <w:jc w:val="right"/>
              <w:rPr>
                <w:rFonts w:ascii="Arial" w:eastAsia="Times New Roman" w:hAnsi="Arial" w:cs="Arial"/>
                <w:b/>
                <w:bCs/>
                <w:color w:val="000000"/>
                <w:lang w:eastAsia="en-GB"/>
              </w:rPr>
            </w:pPr>
            <w:r>
              <w:rPr>
                <w:rFonts w:ascii="Arial" w:eastAsia="Times New Roman" w:hAnsi="Arial" w:cs="Arial"/>
                <w:b/>
                <w:bCs/>
                <w:color w:val="000000"/>
                <w:lang w:eastAsia="en-GB"/>
              </w:rPr>
              <w:t>84,125</w:t>
            </w:r>
          </w:p>
        </w:tc>
      </w:tr>
      <w:tr w:rsidR="0021298F" w14:paraId="072D4DB9" w14:textId="77777777" w:rsidTr="00760009">
        <w:trPr>
          <w:trHeight w:val="285"/>
          <w:jc w:val="center"/>
        </w:trPr>
        <w:tc>
          <w:tcPr>
            <w:tcW w:w="2867" w:type="pct"/>
            <w:noWrap/>
            <w:vAlign w:val="bottom"/>
            <w:hideMark/>
          </w:tcPr>
          <w:p w14:paraId="2C3770DB" w14:textId="77777777" w:rsidR="0021298F" w:rsidRDefault="0021298F" w:rsidP="00760009">
            <w:pPr>
              <w:rPr>
                <w:rFonts w:ascii="Arial" w:eastAsia="Times New Roman" w:hAnsi="Arial" w:cs="Arial"/>
                <w:color w:val="000000"/>
                <w:lang w:eastAsia="en-GB"/>
              </w:rPr>
            </w:pPr>
            <w:r>
              <w:rPr>
                <w:rFonts w:ascii="Arial" w:eastAsia="Times New Roman" w:hAnsi="Arial" w:cs="Arial"/>
                <w:color w:val="000000"/>
                <w:lang w:eastAsia="en-GB"/>
              </w:rPr>
              <w:t>SPV level debt interest</w:t>
            </w:r>
          </w:p>
        </w:tc>
        <w:tc>
          <w:tcPr>
            <w:tcW w:w="1067" w:type="pct"/>
            <w:vAlign w:val="center"/>
            <w:hideMark/>
          </w:tcPr>
          <w:p w14:paraId="65F14C7C" w14:textId="77777777" w:rsidR="0021298F" w:rsidRDefault="0021298F" w:rsidP="00760009">
            <w:pPr>
              <w:jc w:val="right"/>
              <w:rPr>
                <w:rFonts w:ascii="Arial" w:eastAsia="Times New Roman" w:hAnsi="Arial" w:cs="Arial"/>
                <w:color w:val="000000"/>
                <w:lang w:eastAsia="en-GB"/>
              </w:rPr>
            </w:pPr>
            <w:r>
              <w:rPr>
                <w:rFonts w:ascii="Arial" w:eastAsia="Times New Roman" w:hAnsi="Arial" w:cs="Arial"/>
                <w:color w:val="000000"/>
                <w:lang w:eastAsia="en-GB"/>
              </w:rPr>
              <w:t>(6,602)</w:t>
            </w:r>
          </w:p>
        </w:tc>
        <w:tc>
          <w:tcPr>
            <w:tcW w:w="1066" w:type="pct"/>
            <w:shd w:val="clear" w:color="auto" w:fill="EDFFB7"/>
            <w:noWrap/>
            <w:vAlign w:val="center"/>
            <w:hideMark/>
          </w:tcPr>
          <w:p w14:paraId="75102376" w14:textId="77777777" w:rsidR="0021298F" w:rsidRDefault="0021298F" w:rsidP="00760009">
            <w:pPr>
              <w:jc w:val="right"/>
              <w:rPr>
                <w:rFonts w:ascii="Arial" w:eastAsia="Times New Roman" w:hAnsi="Arial" w:cs="Arial"/>
                <w:color w:val="000000"/>
                <w:lang w:eastAsia="en-GB"/>
              </w:rPr>
            </w:pPr>
            <w:r>
              <w:rPr>
                <w:rFonts w:ascii="Arial" w:eastAsia="Times New Roman" w:hAnsi="Arial" w:cs="Arial"/>
                <w:color w:val="000000"/>
                <w:lang w:eastAsia="en-GB"/>
              </w:rPr>
              <w:t>(6,602)</w:t>
            </w:r>
          </w:p>
        </w:tc>
      </w:tr>
      <w:tr w:rsidR="0021298F" w14:paraId="5822D6B1" w14:textId="77777777" w:rsidTr="00760009">
        <w:trPr>
          <w:trHeight w:val="285"/>
          <w:jc w:val="center"/>
        </w:trPr>
        <w:tc>
          <w:tcPr>
            <w:tcW w:w="2867" w:type="pct"/>
            <w:tcBorders>
              <w:top w:val="nil"/>
              <w:left w:val="nil"/>
              <w:bottom w:val="single" w:sz="4" w:space="0" w:color="auto"/>
              <w:right w:val="nil"/>
            </w:tcBorders>
            <w:noWrap/>
            <w:vAlign w:val="bottom"/>
            <w:hideMark/>
          </w:tcPr>
          <w:p w14:paraId="700B5C64" w14:textId="77777777" w:rsidR="0021298F" w:rsidRDefault="0021298F" w:rsidP="00760009">
            <w:pPr>
              <w:rPr>
                <w:rFonts w:ascii="Arial" w:eastAsia="Times New Roman" w:hAnsi="Arial" w:cs="Arial"/>
                <w:color w:val="000000"/>
                <w:lang w:eastAsia="en-GB"/>
              </w:rPr>
            </w:pPr>
            <w:r>
              <w:rPr>
                <w:rFonts w:ascii="Arial" w:eastAsia="Times New Roman" w:hAnsi="Arial" w:cs="Arial"/>
                <w:color w:val="000000"/>
                <w:lang w:eastAsia="en-GB"/>
              </w:rPr>
              <w:t>SPV level debt repayment</w:t>
            </w:r>
          </w:p>
        </w:tc>
        <w:tc>
          <w:tcPr>
            <w:tcW w:w="1067" w:type="pct"/>
            <w:tcBorders>
              <w:top w:val="nil"/>
              <w:left w:val="nil"/>
              <w:bottom w:val="single" w:sz="4" w:space="0" w:color="auto"/>
              <w:right w:val="nil"/>
            </w:tcBorders>
            <w:vAlign w:val="center"/>
            <w:hideMark/>
          </w:tcPr>
          <w:p w14:paraId="7EE44C47" w14:textId="77777777" w:rsidR="0021298F" w:rsidRDefault="0021298F" w:rsidP="00760009">
            <w:pPr>
              <w:jc w:val="right"/>
              <w:rPr>
                <w:rFonts w:ascii="Arial" w:eastAsia="Times New Roman" w:hAnsi="Arial" w:cs="Arial"/>
                <w:color w:val="000000"/>
                <w:lang w:eastAsia="en-GB"/>
              </w:rPr>
            </w:pPr>
            <w:r>
              <w:rPr>
                <w:rFonts w:ascii="Arial" w:eastAsia="Times New Roman" w:hAnsi="Arial" w:cs="Arial"/>
                <w:color w:val="000000"/>
                <w:lang w:eastAsia="en-GB"/>
              </w:rPr>
              <w:t>(14,009)</w:t>
            </w:r>
          </w:p>
        </w:tc>
        <w:tc>
          <w:tcPr>
            <w:tcW w:w="1066" w:type="pct"/>
            <w:tcBorders>
              <w:top w:val="nil"/>
              <w:left w:val="nil"/>
              <w:bottom w:val="single" w:sz="4" w:space="0" w:color="auto"/>
              <w:right w:val="nil"/>
            </w:tcBorders>
            <w:shd w:val="clear" w:color="auto" w:fill="EDFFB7"/>
            <w:noWrap/>
            <w:vAlign w:val="center"/>
            <w:hideMark/>
          </w:tcPr>
          <w:p w14:paraId="174F4BFD" w14:textId="77777777" w:rsidR="0021298F" w:rsidRDefault="0021298F" w:rsidP="00760009">
            <w:pPr>
              <w:jc w:val="right"/>
              <w:rPr>
                <w:rFonts w:ascii="Arial" w:eastAsia="Times New Roman" w:hAnsi="Arial" w:cs="Arial"/>
                <w:color w:val="000000"/>
                <w:lang w:eastAsia="en-GB"/>
              </w:rPr>
            </w:pPr>
            <w:r>
              <w:rPr>
                <w:rFonts w:ascii="Arial" w:eastAsia="Times New Roman" w:hAnsi="Arial" w:cs="Arial"/>
                <w:color w:val="000000"/>
                <w:lang w:eastAsia="en-GB"/>
              </w:rPr>
              <w:t>-</w:t>
            </w:r>
          </w:p>
        </w:tc>
      </w:tr>
      <w:tr w:rsidR="0021298F" w14:paraId="2996207B" w14:textId="77777777" w:rsidTr="00760009">
        <w:trPr>
          <w:trHeight w:val="285"/>
          <w:jc w:val="center"/>
        </w:trPr>
        <w:tc>
          <w:tcPr>
            <w:tcW w:w="2867" w:type="pct"/>
            <w:tcBorders>
              <w:top w:val="single" w:sz="4" w:space="0" w:color="auto"/>
              <w:left w:val="nil"/>
              <w:bottom w:val="nil"/>
              <w:right w:val="nil"/>
            </w:tcBorders>
            <w:noWrap/>
            <w:vAlign w:val="bottom"/>
            <w:hideMark/>
          </w:tcPr>
          <w:p w14:paraId="4B931D77" w14:textId="77777777" w:rsidR="0021298F" w:rsidRDefault="0021298F" w:rsidP="00760009">
            <w:pPr>
              <w:rPr>
                <w:rFonts w:ascii="Arial" w:eastAsia="Times New Roman" w:hAnsi="Arial" w:cs="Arial"/>
                <w:b/>
                <w:bCs/>
                <w:color w:val="000000"/>
                <w:lang w:eastAsia="en-GB"/>
              </w:rPr>
            </w:pPr>
            <w:r>
              <w:rPr>
                <w:rFonts w:ascii="Arial" w:eastAsia="Times New Roman" w:hAnsi="Arial" w:cs="Arial"/>
                <w:b/>
                <w:bCs/>
                <w:color w:val="000000"/>
                <w:lang w:eastAsia="en-GB"/>
              </w:rPr>
              <w:t>Wind farm cashflow</w:t>
            </w:r>
          </w:p>
        </w:tc>
        <w:tc>
          <w:tcPr>
            <w:tcW w:w="1067" w:type="pct"/>
            <w:tcBorders>
              <w:top w:val="single" w:sz="4" w:space="0" w:color="auto"/>
              <w:left w:val="nil"/>
              <w:bottom w:val="nil"/>
              <w:right w:val="nil"/>
            </w:tcBorders>
            <w:vAlign w:val="center"/>
            <w:hideMark/>
          </w:tcPr>
          <w:p w14:paraId="65DE3DE9" w14:textId="77777777" w:rsidR="0021298F" w:rsidRDefault="0021298F" w:rsidP="00760009">
            <w:pPr>
              <w:jc w:val="right"/>
              <w:rPr>
                <w:rFonts w:ascii="Arial" w:eastAsia="Times New Roman" w:hAnsi="Arial" w:cs="Arial"/>
                <w:b/>
                <w:bCs/>
                <w:color w:val="000000"/>
                <w:lang w:eastAsia="en-GB"/>
              </w:rPr>
            </w:pPr>
            <w:r>
              <w:rPr>
                <w:rFonts w:ascii="Arial" w:eastAsia="Times New Roman" w:hAnsi="Arial" w:cs="Arial"/>
                <w:b/>
                <w:bCs/>
                <w:color w:val="000000"/>
                <w:lang w:eastAsia="en-GB"/>
              </w:rPr>
              <w:t>63,514</w:t>
            </w:r>
          </w:p>
        </w:tc>
        <w:tc>
          <w:tcPr>
            <w:tcW w:w="1066" w:type="pct"/>
            <w:tcBorders>
              <w:top w:val="single" w:sz="4" w:space="0" w:color="auto"/>
              <w:left w:val="nil"/>
              <w:bottom w:val="nil"/>
              <w:right w:val="nil"/>
            </w:tcBorders>
            <w:shd w:val="clear" w:color="auto" w:fill="EDFFB7"/>
            <w:noWrap/>
            <w:vAlign w:val="center"/>
            <w:hideMark/>
          </w:tcPr>
          <w:p w14:paraId="19FA1220" w14:textId="77777777" w:rsidR="0021298F" w:rsidRDefault="0021298F" w:rsidP="00760009">
            <w:pPr>
              <w:jc w:val="right"/>
              <w:rPr>
                <w:rFonts w:ascii="Arial" w:eastAsia="Times New Roman" w:hAnsi="Arial" w:cs="Arial"/>
                <w:b/>
                <w:bCs/>
                <w:color w:val="000000"/>
                <w:lang w:eastAsia="en-GB"/>
              </w:rPr>
            </w:pPr>
            <w:r>
              <w:rPr>
                <w:rFonts w:ascii="Arial" w:eastAsia="Times New Roman" w:hAnsi="Arial" w:cs="Arial"/>
                <w:b/>
                <w:bCs/>
                <w:color w:val="000000"/>
                <w:lang w:eastAsia="en-GB"/>
              </w:rPr>
              <w:t>77,523</w:t>
            </w:r>
          </w:p>
        </w:tc>
      </w:tr>
      <w:tr w:rsidR="0021298F" w14:paraId="25C48E00" w14:textId="77777777" w:rsidTr="00760009">
        <w:trPr>
          <w:trHeight w:val="285"/>
          <w:jc w:val="center"/>
        </w:trPr>
        <w:tc>
          <w:tcPr>
            <w:tcW w:w="2867" w:type="pct"/>
            <w:noWrap/>
            <w:vAlign w:val="bottom"/>
            <w:hideMark/>
          </w:tcPr>
          <w:p w14:paraId="7F68D3C4" w14:textId="77777777" w:rsidR="0021298F" w:rsidRDefault="0021298F" w:rsidP="00760009">
            <w:pPr>
              <w:rPr>
                <w:rFonts w:ascii="Arial" w:eastAsia="Times New Roman" w:hAnsi="Arial" w:cs="Arial"/>
                <w:color w:val="000000"/>
                <w:lang w:eastAsia="en-GB"/>
              </w:rPr>
            </w:pPr>
            <w:r>
              <w:rPr>
                <w:rFonts w:ascii="Arial" w:eastAsia="Times New Roman" w:hAnsi="Arial" w:cs="Arial"/>
                <w:color w:val="000000"/>
                <w:lang w:eastAsia="en-GB"/>
              </w:rPr>
              <w:t>Management fee</w:t>
            </w:r>
          </w:p>
        </w:tc>
        <w:tc>
          <w:tcPr>
            <w:tcW w:w="1067" w:type="pct"/>
            <w:vAlign w:val="center"/>
            <w:hideMark/>
          </w:tcPr>
          <w:p w14:paraId="7390F22C" w14:textId="77777777" w:rsidR="0021298F" w:rsidRDefault="0021298F" w:rsidP="00760009">
            <w:pPr>
              <w:jc w:val="right"/>
              <w:rPr>
                <w:rFonts w:ascii="Arial" w:eastAsia="Times New Roman" w:hAnsi="Arial" w:cs="Arial"/>
                <w:color w:val="000000"/>
                <w:lang w:eastAsia="en-GB"/>
              </w:rPr>
            </w:pPr>
            <w:r>
              <w:rPr>
                <w:rFonts w:ascii="Arial" w:eastAsia="Times New Roman" w:hAnsi="Arial" w:cs="Arial"/>
                <w:color w:val="000000"/>
                <w:lang w:eastAsia="en-GB"/>
              </w:rPr>
              <w:t>(6,246)</w:t>
            </w:r>
          </w:p>
        </w:tc>
        <w:tc>
          <w:tcPr>
            <w:tcW w:w="1066" w:type="pct"/>
            <w:shd w:val="clear" w:color="auto" w:fill="EDFFB7"/>
            <w:noWrap/>
            <w:vAlign w:val="center"/>
            <w:hideMark/>
          </w:tcPr>
          <w:p w14:paraId="1AA77873" w14:textId="77777777" w:rsidR="0021298F" w:rsidRDefault="0021298F" w:rsidP="00760009">
            <w:pPr>
              <w:jc w:val="right"/>
              <w:rPr>
                <w:rFonts w:ascii="Arial" w:eastAsia="Times New Roman" w:hAnsi="Arial" w:cs="Arial"/>
                <w:color w:val="000000"/>
                <w:lang w:eastAsia="en-GB"/>
              </w:rPr>
            </w:pPr>
            <w:r>
              <w:rPr>
                <w:rFonts w:ascii="Arial" w:eastAsia="Times New Roman" w:hAnsi="Arial" w:cs="Arial"/>
                <w:color w:val="000000"/>
                <w:lang w:eastAsia="en-GB"/>
              </w:rPr>
              <w:t>(6,246)</w:t>
            </w:r>
          </w:p>
        </w:tc>
      </w:tr>
      <w:tr w:rsidR="0021298F" w14:paraId="7D5DA479" w14:textId="77777777" w:rsidTr="00760009">
        <w:trPr>
          <w:trHeight w:val="285"/>
          <w:jc w:val="center"/>
        </w:trPr>
        <w:tc>
          <w:tcPr>
            <w:tcW w:w="2867" w:type="pct"/>
            <w:noWrap/>
            <w:vAlign w:val="bottom"/>
            <w:hideMark/>
          </w:tcPr>
          <w:p w14:paraId="00884EA6" w14:textId="77777777" w:rsidR="0021298F" w:rsidRDefault="0021298F" w:rsidP="00760009">
            <w:pPr>
              <w:rPr>
                <w:rFonts w:ascii="Arial" w:eastAsia="Times New Roman" w:hAnsi="Arial" w:cs="Arial"/>
                <w:color w:val="000000"/>
                <w:lang w:eastAsia="en-GB"/>
              </w:rPr>
            </w:pPr>
            <w:r>
              <w:rPr>
                <w:rFonts w:ascii="Arial" w:eastAsia="Times New Roman" w:hAnsi="Arial" w:cs="Arial"/>
                <w:color w:val="000000"/>
                <w:lang w:eastAsia="en-GB"/>
              </w:rPr>
              <w:t>Operating expenses</w:t>
            </w:r>
          </w:p>
        </w:tc>
        <w:tc>
          <w:tcPr>
            <w:tcW w:w="1067" w:type="pct"/>
            <w:vAlign w:val="center"/>
            <w:hideMark/>
          </w:tcPr>
          <w:p w14:paraId="083DF613" w14:textId="77777777" w:rsidR="0021298F" w:rsidRDefault="0021298F" w:rsidP="00760009">
            <w:pPr>
              <w:jc w:val="right"/>
              <w:rPr>
                <w:rFonts w:ascii="Arial" w:eastAsia="Times New Roman" w:hAnsi="Arial" w:cs="Arial"/>
                <w:color w:val="000000"/>
                <w:lang w:eastAsia="en-GB"/>
              </w:rPr>
            </w:pPr>
            <w:r>
              <w:rPr>
                <w:rFonts w:ascii="Arial" w:eastAsia="Times New Roman" w:hAnsi="Arial" w:cs="Arial"/>
                <w:color w:val="000000"/>
                <w:lang w:eastAsia="en-GB"/>
              </w:rPr>
              <w:t>(1,642)</w:t>
            </w:r>
          </w:p>
        </w:tc>
        <w:tc>
          <w:tcPr>
            <w:tcW w:w="1066" w:type="pct"/>
            <w:shd w:val="clear" w:color="auto" w:fill="EDFFB7"/>
            <w:noWrap/>
            <w:vAlign w:val="center"/>
            <w:hideMark/>
          </w:tcPr>
          <w:p w14:paraId="4C15DA1F" w14:textId="77777777" w:rsidR="0021298F" w:rsidRDefault="0021298F" w:rsidP="00760009">
            <w:pPr>
              <w:jc w:val="right"/>
              <w:rPr>
                <w:rFonts w:ascii="Arial" w:eastAsia="Times New Roman" w:hAnsi="Arial" w:cs="Arial"/>
                <w:color w:val="000000"/>
                <w:lang w:eastAsia="en-GB"/>
              </w:rPr>
            </w:pPr>
            <w:r>
              <w:rPr>
                <w:rFonts w:ascii="Arial" w:eastAsia="Times New Roman" w:hAnsi="Arial" w:cs="Arial"/>
                <w:color w:val="000000"/>
                <w:lang w:eastAsia="en-GB"/>
              </w:rPr>
              <w:t>(1,642)</w:t>
            </w:r>
          </w:p>
        </w:tc>
      </w:tr>
      <w:tr w:rsidR="0021298F" w14:paraId="311BC180" w14:textId="77777777" w:rsidTr="00760009">
        <w:trPr>
          <w:trHeight w:val="285"/>
          <w:jc w:val="center"/>
        </w:trPr>
        <w:tc>
          <w:tcPr>
            <w:tcW w:w="2867" w:type="pct"/>
            <w:noWrap/>
            <w:vAlign w:val="bottom"/>
            <w:hideMark/>
          </w:tcPr>
          <w:p w14:paraId="0C7BA9F3" w14:textId="77777777" w:rsidR="0021298F" w:rsidRDefault="0021298F" w:rsidP="00760009">
            <w:pPr>
              <w:rPr>
                <w:rFonts w:ascii="Arial" w:eastAsia="Times New Roman" w:hAnsi="Arial" w:cs="Arial"/>
                <w:color w:val="000000"/>
                <w:lang w:eastAsia="en-GB"/>
              </w:rPr>
            </w:pPr>
            <w:r>
              <w:rPr>
                <w:rFonts w:ascii="Arial" w:eastAsia="Times New Roman" w:hAnsi="Arial" w:cs="Arial"/>
                <w:color w:val="000000"/>
                <w:lang w:eastAsia="en-GB"/>
              </w:rPr>
              <w:t>Ongoing finance costs</w:t>
            </w:r>
          </w:p>
        </w:tc>
        <w:tc>
          <w:tcPr>
            <w:tcW w:w="1067" w:type="pct"/>
            <w:vAlign w:val="center"/>
            <w:hideMark/>
          </w:tcPr>
          <w:p w14:paraId="7F3389A5" w14:textId="77777777" w:rsidR="0021298F" w:rsidRDefault="0021298F" w:rsidP="00760009">
            <w:pPr>
              <w:jc w:val="right"/>
              <w:rPr>
                <w:rFonts w:ascii="Arial" w:eastAsia="Times New Roman" w:hAnsi="Arial" w:cs="Arial"/>
                <w:color w:val="000000"/>
                <w:lang w:eastAsia="en-GB"/>
              </w:rPr>
            </w:pPr>
            <w:r>
              <w:rPr>
                <w:rFonts w:ascii="Arial" w:eastAsia="Times New Roman" w:hAnsi="Arial" w:cs="Arial"/>
                <w:color w:val="000000"/>
                <w:lang w:eastAsia="en-GB"/>
              </w:rPr>
              <w:t>(2,822)</w:t>
            </w:r>
          </w:p>
        </w:tc>
        <w:tc>
          <w:tcPr>
            <w:tcW w:w="1066" w:type="pct"/>
            <w:shd w:val="clear" w:color="auto" w:fill="EDFFB7"/>
            <w:noWrap/>
            <w:vAlign w:val="center"/>
            <w:hideMark/>
          </w:tcPr>
          <w:p w14:paraId="77346BE2" w14:textId="77777777" w:rsidR="0021298F" w:rsidRDefault="0021298F" w:rsidP="00760009">
            <w:pPr>
              <w:jc w:val="right"/>
              <w:rPr>
                <w:rFonts w:ascii="Arial" w:eastAsia="Times New Roman" w:hAnsi="Arial" w:cs="Arial"/>
                <w:color w:val="000000"/>
                <w:lang w:eastAsia="en-GB"/>
              </w:rPr>
            </w:pPr>
            <w:r>
              <w:rPr>
                <w:rFonts w:ascii="Arial" w:eastAsia="Times New Roman" w:hAnsi="Arial" w:cs="Arial"/>
                <w:color w:val="000000"/>
                <w:lang w:eastAsia="en-GB"/>
              </w:rPr>
              <w:t>(2,822)</w:t>
            </w:r>
          </w:p>
        </w:tc>
      </w:tr>
      <w:tr w:rsidR="0021298F" w14:paraId="785FAA3E" w14:textId="77777777" w:rsidTr="00760009">
        <w:trPr>
          <w:trHeight w:val="285"/>
          <w:jc w:val="center"/>
        </w:trPr>
        <w:tc>
          <w:tcPr>
            <w:tcW w:w="2867" w:type="pct"/>
            <w:noWrap/>
            <w:vAlign w:val="bottom"/>
            <w:hideMark/>
          </w:tcPr>
          <w:p w14:paraId="10DB23D8" w14:textId="77777777" w:rsidR="0021298F" w:rsidRDefault="0021298F" w:rsidP="00760009">
            <w:pPr>
              <w:rPr>
                <w:rFonts w:ascii="Arial" w:eastAsia="Times New Roman" w:hAnsi="Arial" w:cs="Arial"/>
                <w:color w:val="000000"/>
                <w:lang w:eastAsia="en-GB"/>
              </w:rPr>
            </w:pPr>
            <w:r>
              <w:rPr>
                <w:rFonts w:ascii="Arial" w:eastAsia="Times New Roman" w:hAnsi="Arial" w:cs="Arial"/>
                <w:color w:val="000000"/>
                <w:lang w:eastAsia="en-GB"/>
              </w:rPr>
              <w:t>VAT</w:t>
            </w:r>
          </w:p>
        </w:tc>
        <w:tc>
          <w:tcPr>
            <w:tcW w:w="1067" w:type="pct"/>
            <w:vAlign w:val="center"/>
            <w:hideMark/>
          </w:tcPr>
          <w:p w14:paraId="41FACEDD" w14:textId="77777777" w:rsidR="0021298F" w:rsidRDefault="0021298F" w:rsidP="00760009">
            <w:pPr>
              <w:jc w:val="right"/>
              <w:rPr>
                <w:rFonts w:ascii="Arial" w:eastAsia="Times New Roman" w:hAnsi="Arial" w:cs="Arial"/>
                <w:color w:val="000000"/>
                <w:lang w:eastAsia="en-GB"/>
              </w:rPr>
            </w:pPr>
            <w:r>
              <w:rPr>
                <w:rFonts w:ascii="Arial" w:eastAsia="Times New Roman" w:hAnsi="Arial" w:cs="Arial"/>
                <w:color w:val="000000"/>
                <w:lang w:eastAsia="en-GB"/>
              </w:rPr>
              <w:t>(352)</w:t>
            </w:r>
          </w:p>
        </w:tc>
        <w:tc>
          <w:tcPr>
            <w:tcW w:w="1066" w:type="pct"/>
            <w:shd w:val="clear" w:color="auto" w:fill="EDFFB7"/>
            <w:noWrap/>
            <w:vAlign w:val="center"/>
            <w:hideMark/>
          </w:tcPr>
          <w:p w14:paraId="4DDED35E" w14:textId="77777777" w:rsidR="0021298F" w:rsidRDefault="0021298F" w:rsidP="00760009">
            <w:pPr>
              <w:jc w:val="right"/>
              <w:rPr>
                <w:rFonts w:ascii="Arial" w:eastAsia="Times New Roman" w:hAnsi="Arial" w:cs="Arial"/>
                <w:color w:val="000000"/>
                <w:lang w:eastAsia="en-GB"/>
              </w:rPr>
            </w:pPr>
            <w:r>
              <w:rPr>
                <w:rFonts w:ascii="Arial" w:eastAsia="Times New Roman" w:hAnsi="Arial" w:cs="Arial"/>
                <w:color w:val="000000"/>
                <w:lang w:eastAsia="en-GB"/>
              </w:rPr>
              <w:t>(352)</w:t>
            </w:r>
          </w:p>
        </w:tc>
      </w:tr>
      <w:tr w:rsidR="0021298F" w14:paraId="07FCFDFA" w14:textId="77777777" w:rsidTr="00760009">
        <w:trPr>
          <w:trHeight w:val="285"/>
          <w:jc w:val="center"/>
        </w:trPr>
        <w:tc>
          <w:tcPr>
            <w:tcW w:w="2867" w:type="pct"/>
            <w:tcBorders>
              <w:top w:val="nil"/>
              <w:left w:val="nil"/>
              <w:bottom w:val="single" w:sz="4" w:space="0" w:color="auto"/>
              <w:right w:val="nil"/>
            </w:tcBorders>
            <w:noWrap/>
            <w:vAlign w:val="bottom"/>
            <w:hideMark/>
          </w:tcPr>
          <w:p w14:paraId="0912F859" w14:textId="77777777" w:rsidR="0021298F" w:rsidRDefault="0021298F" w:rsidP="00760009">
            <w:pPr>
              <w:rPr>
                <w:rFonts w:ascii="Arial" w:eastAsia="Times New Roman" w:hAnsi="Arial" w:cs="Arial"/>
                <w:color w:val="000000"/>
                <w:lang w:eastAsia="en-GB"/>
              </w:rPr>
            </w:pPr>
            <w:r>
              <w:rPr>
                <w:rFonts w:ascii="Arial" w:eastAsia="Times New Roman" w:hAnsi="Arial" w:cs="Arial"/>
                <w:color w:val="000000"/>
                <w:lang w:eastAsia="en-GB"/>
              </w:rPr>
              <w:t xml:space="preserve">Other </w:t>
            </w:r>
          </w:p>
        </w:tc>
        <w:tc>
          <w:tcPr>
            <w:tcW w:w="1067" w:type="pct"/>
            <w:tcBorders>
              <w:top w:val="nil"/>
              <w:left w:val="nil"/>
              <w:bottom w:val="single" w:sz="4" w:space="0" w:color="auto"/>
              <w:right w:val="nil"/>
            </w:tcBorders>
            <w:vAlign w:val="center"/>
            <w:hideMark/>
          </w:tcPr>
          <w:p w14:paraId="37CE307F" w14:textId="77777777" w:rsidR="0021298F" w:rsidRDefault="0021298F" w:rsidP="00760009">
            <w:pPr>
              <w:jc w:val="right"/>
              <w:rPr>
                <w:rFonts w:ascii="Arial" w:eastAsia="Times New Roman" w:hAnsi="Arial" w:cs="Arial"/>
                <w:color w:val="000000"/>
                <w:lang w:eastAsia="en-GB"/>
              </w:rPr>
            </w:pPr>
            <w:r>
              <w:rPr>
                <w:rFonts w:ascii="Arial" w:eastAsia="Times New Roman" w:hAnsi="Arial" w:cs="Arial"/>
                <w:color w:val="000000"/>
                <w:lang w:eastAsia="en-GB"/>
              </w:rPr>
              <w:t>(37)</w:t>
            </w:r>
          </w:p>
        </w:tc>
        <w:tc>
          <w:tcPr>
            <w:tcW w:w="1066" w:type="pct"/>
            <w:tcBorders>
              <w:top w:val="nil"/>
              <w:left w:val="nil"/>
              <w:bottom w:val="single" w:sz="4" w:space="0" w:color="auto"/>
              <w:right w:val="nil"/>
            </w:tcBorders>
            <w:shd w:val="clear" w:color="auto" w:fill="EDFFB7"/>
            <w:noWrap/>
            <w:vAlign w:val="center"/>
            <w:hideMark/>
          </w:tcPr>
          <w:p w14:paraId="7C273A85" w14:textId="77777777" w:rsidR="0021298F" w:rsidRDefault="0021298F" w:rsidP="00760009">
            <w:pPr>
              <w:jc w:val="right"/>
              <w:rPr>
                <w:rFonts w:ascii="Arial" w:eastAsia="Times New Roman" w:hAnsi="Arial" w:cs="Arial"/>
                <w:color w:val="000000"/>
                <w:lang w:eastAsia="en-GB"/>
              </w:rPr>
            </w:pPr>
            <w:r>
              <w:rPr>
                <w:rFonts w:ascii="Arial" w:eastAsia="Times New Roman" w:hAnsi="Arial" w:cs="Arial"/>
                <w:color w:val="000000"/>
                <w:lang w:eastAsia="en-GB"/>
              </w:rPr>
              <w:t>(37)</w:t>
            </w:r>
          </w:p>
        </w:tc>
      </w:tr>
      <w:tr w:rsidR="0021298F" w14:paraId="5E26F3EF" w14:textId="77777777" w:rsidTr="00760009">
        <w:trPr>
          <w:trHeight w:val="300"/>
          <w:jc w:val="center"/>
        </w:trPr>
        <w:tc>
          <w:tcPr>
            <w:tcW w:w="2867" w:type="pct"/>
            <w:noWrap/>
            <w:vAlign w:val="bottom"/>
            <w:hideMark/>
          </w:tcPr>
          <w:p w14:paraId="0FA80477" w14:textId="77777777" w:rsidR="0021298F" w:rsidRDefault="0021298F" w:rsidP="00760009">
            <w:pPr>
              <w:rPr>
                <w:rFonts w:ascii="Arial" w:eastAsia="Times New Roman" w:hAnsi="Arial" w:cs="Arial"/>
                <w:b/>
                <w:bCs/>
                <w:color w:val="000000"/>
                <w:lang w:eastAsia="en-GB"/>
              </w:rPr>
            </w:pPr>
            <w:r>
              <w:rPr>
                <w:rFonts w:ascii="Arial" w:eastAsia="Times New Roman" w:hAnsi="Arial" w:cs="Arial"/>
                <w:b/>
                <w:bCs/>
                <w:color w:val="000000"/>
                <w:lang w:eastAsia="en-GB"/>
              </w:rPr>
              <w:t>Group cashflow</w:t>
            </w:r>
          </w:p>
        </w:tc>
        <w:tc>
          <w:tcPr>
            <w:tcW w:w="1067" w:type="pct"/>
            <w:vAlign w:val="center"/>
            <w:hideMark/>
          </w:tcPr>
          <w:p w14:paraId="3BBFF5E3" w14:textId="77777777" w:rsidR="0021298F" w:rsidRDefault="0021298F" w:rsidP="00760009">
            <w:pPr>
              <w:jc w:val="right"/>
              <w:rPr>
                <w:rFonts w:ascii="Arial" w:eastAsia="Times New Roman" w:hAnsi="Arial" w:cs="Arial"/>
                <w:b/>
                <w:bCs/>
                <w:color w:val="000000"/>
                <w:lang w:eastAsia="en-GB"/>
              </w:rPr>
            </w:pPr>
            <w:r>
              <w:rPr>
                <w:rFonts w:ascii="Arial" w:eastAsia="Times New Roman" w:hAnsi="Arial" w:cs="Arial"/>
                <w:b/>
                <w:bCs/>
                <w:color w:val="000000"/>
                <w:lang w:eastAsia="en-GB"/>
              </w:rPr>
              <w:t>(11,099)</w:t>
            </w:r>
          </w:p>
        </w:tc>
        <w:tc>
          <w:tcPr>
            <w:tcW w:w="1066" w:type="pct"/>
            <w:shd w:val="clear" w:color="auto" w:fill="EDFFB7"/>
            <w:noWrap/>
            <w:vAlign w:val="center"/>
            <w:hideMark/>
          </w:tcPr>
          <w:p w14:paraId="4E48E932" w14:textId="77777777" w:rsidR="0021298F" w:rsidRDefault="0021298F" w:rsidP="00760009">
            <w:pPr>
              <w:jc w:val="right"/>
              <w:rPr>
                <w:rFonts w:ascii="Arial" w:eastAsia="Times New Roman" w:hAnsi="Arial" w:cs="Arial"/>
                <w:b/>
                <w:bCs/>
                <w:color w:val="000000"/>
                <w:lang w:eastAsia="en-GB"/>
              </w:rPr>
            </w:pPr>
            <w:r>
              <w:rPr>
                <w:rFonts w:ascii="Arial" w:eastAsia="Times New Roman" w:hAnsi="Arial" w:cs="Arial"/>
                <w:b/>
                <w:bCs/>
                <w:color w:val="000000"/>
                <w:lang w:eastAsia="en-GB"/>
              </w:rPr>
              <w:t>(11,099)</w:t>
            </w:r>
          </w:p>
        </w:tc>
      </w:tr>
      <w:tr w:rsidR="0021298F" w14:paraId="448E77DE" w14:textId="77777777" w:rsidTr="00760009">
        <w:trPr>
          <w:trHeight w:val="317"/>
          <w:jc w:val="center"/>
        </w:trPr>
        <w:tc>
          <w:tcPr>
            <w:tcW w:w="2867" w:type="pct"/>
            <w:tcBorders>
              <w:top w:val="nil"/>
              <w:left w:val="nil"/>
              <w:bottom w:val="single" w:sz="4" w:space="0" w:color="auto"/>
              <w:right w:val="nil"/>
            </w:tcBorders>
            <w:noWrap/>
            <w:vAlign w:val="bottom"/>
            <w:hideMark/>
          </w:tcPr>
          <w:p w14:paraId="176910B0" w14:textId="77777777" w:rsidR="0021298F" w:rsidRDefault="0021298F" w:rsidP="00760009">
            <w:pPr>
              <w:rPr>
                <w:rFonts w:ascii="Arial" w:eastAsia="Times New Roman" w:hAnsi="Arial" w:cs="Arial"/>
                <w:b/>
                <w:bCs/>
                <w:color w:val="000000"/>
                <w:lang w:eastAsia="en-GB"/>
              </w:rPr>
            </w:pPr>
          </w:p>
        </w:tc>
        <w:tc>
          <w:tcPr>
            <w:tcW w:w="1067" w:type="pct"/>
            <w:tcBorders>
              <w:top w:val="nil"/>
              <w:left w:val="nil"/>
              <w:bottom w:val="single" w:sz="4" w:space="0" w:color="auto"/>
              <w:right w:val="nil"/>
            </w:tcBorders>
            <w:vAlign w:val="center"/>
          </w:tcPr>
          <w:p w14:paraId="34B1E2E4" w14:textId="77777777" w:rsidR="0021298F" w:rsidRDefault="0021298F" w:rsidP="00760009">
            <w:pPr>
              <w:jc w:val="right"/>
              <w:rPr>
                <w:rFonts w:ascii="Arial" w:eastAsia="Times New Roman" w:hAnsi="Arial" w:cs="Arial"/>
                <w:color w:val="000000"/>
                <w:lang w:eastAsia="en-GB"/>
              </w:rPr>
            </w:pPr>
          </w:p>
        </w:tc>
        <w:tc>
          <w:tcPr>
            <w:tcW w:w="1066" w:type="pct"/>
            <w:tcBorders>
              <w:top w:val="nil"/>
              <w:left w:val="nil"/>
              <w:bottom w:val="single" w:sz="4" w:space="0" w:color="auto"/>
              <w:right w:val="nil"/>
            </w:tcBorders>
            <w:shd w:val="clear" w:color="auto" w:fill="EDFFB7"/>
            <w:noWrap/>
            <w:vAlign w:val="center"/>
          </w:tcPr>
          <w:p w14:paraId="275A0C16" w14:textId="77777777" w:rsidR="0021298F" w:rsidRDefault="0021298F" w:rsidP="00760009">
            <w:pPr>
              <w:jc w:val="right"/>
              <w:rPr>
                <w:rFonts w:ascii="Arial" w:eastAsia="Times New Roman" w:hAnsi="Arial" w:cs="Arial"/>
                <w:color w:val="000000"/>
                <w:lang w:eastAsia="en-GB"/>
              </w:rPr>
            </w:pPr>
          </w:p>
        </w:tc>
      </w:tr>
      <w:tr w:rsidR="0021298F" w14:paraId="1A791C85" w14:textId="77777777" w:rsidTr="00760009">
        <w:trPr>
          <w:trHeight w:val="300"/>
          <w:jc w:val="center"/>
        </w:trPr>
        <w:tc>
          <w:tcPr>
            <w:tcW w:w="2867" w:type="pct"/>
            <w:tcBorders>
              <w:top w:val="single" w:sz="4" w:space="0" w:color="auto"/>
              <w:left w:val="nil"/>
              <w:bottom w:val="single" w:sz="4" w:space="0" w:color="auto"/>
              <w:right w:val="nil"/>
            </w:tcBorders>
            <w:noWrap/>
            <w:vAlign w:val="bottom"/>
            <w:hideMark/>
          </w:tcPr>
          <w:p w14:paraId="28994B41" w14:textId="77777777" w:rsidR="0021298F" w:rsidRDefault="0021298F" w:rsidP="00760009">
            <w:pPr>
              <w:rPr>
                <w:rFonts w:ascii="Arial" w:eastAsia="Times New Roman" w:hAnsi="Arial" w:cs="Arial"/>
                <w:b/>
                <w:color w:val="000000"/>
                <w:lang w:eastAsia="en-GB"/>
              </w:rPr>
            </w:pPr>
            <w:r>
              <w:rPr>
                <w:rFonts w:ascii="Arial" w:eastAsia="Times New Roman" w:hAnsi="Arial" w:cs="Arial"/>
                <w:b/>
                <w:color w:val="000000"/>
                <w:lang w:eastAsia="en-GB"/>
              </w:rPr>
              <w:t>Net cash generation</w:t>
            </w:r>
          </w:p>
        </w:tc>
        <w:tc>
          <w:tcPr>
            <w:tcW w:w="1067" w:type="pct"/>
            <w:tcBorders>
              <w:top w:val="single" w:sz="4" w:space="0" w:color="auto"/>
              <w:left w:val="nil"/>
              <w:bottom w:val="single" w:sz="4" w:space="0" w:color="auto"/>
              <w:right w:val="nil"/>
            </w:tcBorders>
            <w:vAlign w:val="center"/>
            <w:hideMark/>
          </w:tcPr>
          <w:p w14:paraId="1BE8BAA8" w14:textId="77777777" w:rsidR="0021298F" w:rsidRDefault="0021298F" w:rsidP="00760009">
            <w:pPr>
              <w:jc w:val="right"/>
              <w:rPr>
                <w:rFonts w:ascii="Arial" w:eastAsia="Times New Roman" w:hAnsi="Arial" w:cs="Arial"/>
                <w:b/>
                <w:bCs/>
                <w:color w:val="000000"/>
                <w:lang w:eastAsia="en-GB"/>
              </w:rPr>
            </w:pPr>
            <w:r>
              <w:rPr>
                <w:rFonts w:ascii="Arial" w:eastAsia="Times New Roman" w:hAnsi="Arial" w:cs="Arial"/>
                <w:b/>
                <w:bCs/>
                <w:color w:val="000000"/>
                <w:lang w:eastAsia="en-GB"/>
              </w:rPr>
              <w:t>52,415</w:t>
            </w:r>
          </w:p>
        </w:tc>
        <w:tc>
          <w:tcPr>
            <w:tcW w:w="1066" w:type="pct"/>
            <w:tcBorders>
              <w:top w:val="single" w:sz="4" w:space="0" w:color="auto"/>
              <w:left w:val="nil"/>
              <w:bottom w:val="single" w:sz="4" w:space="0" w:color="auto"/>
              <w:right w:val="nil"/>
            </w:tcBorders>
            <w:shd w:val="clear" w:color="auto" w:fill="EDFFB7"/>
            <w:noWrap/>
            <w:vAlign w:val="center"/>
            <w:hideMark/>
          </w:tcPr>
          <w:p w14:paraId="4A4D81CB" w14:textId="77777777" w:rsidR="0021298F" w:rsidRDefault="0021298F" w:rsidP="00760009">
            <w:pPr>
              <w:jc w:val="right"/>
              <w:rPr>
                <w:rFonts w:ascii="Arial" w:eastAsia="Times New Roman" w:hAnsi="Arial" w:cs="Arial"/>
                <w:b/>
                <w:bCs/>
                <w:color w:val="000000"/>
                <w:lang w:eastAsia="en-GB"/>
              </w:rPr>
            </w:pPr>
            <w:r>
              <w:rPr>
                <w:rFonts w:ascii="Arial" w:eastAsia="Times New Roman" w:hAnsi="Arial" w:cs="Arial"/>
                <w:b/>
                <w:bCs/>
                <w:color w:val="000000"/>
                <w:lang w:eastAsia="en-GB"/>
              </w:rPr>
              <w:t>66,424</w:t>
            </w:r>
          </w:p>
        </w:tc>
      </w:tr>
    </w:tbl>
    <w:p w14:paraId="3347D0A4" w14:textId="77777777" w:rsidR="0021298F" w:rsidRDefault="0021298F" w:rsidP="0021298F">
      <w:pPr>
        <w:jc w:val="both"/>
      </w:pPr>
    </w:p>
    <w:tbl>
      <w:tblPr>
        <w:tblW w:w="5000" w:type="pct"/>
        <w:tblLook w:val="04A0" w:firstRow="1" w:lastRow="0" w:firstColumn="1" w:lastColumn="0" w:noHBand="0" w:noVBand="1"/>
      </w:tblPr>
      <w:tblGrid>
        <w:gridCol w:w="5494"/>
        <w:gridCol w:w="1767"/>
        <w:gridCol w:w="1765"/>
      </w:tblGrid>
      <w:tr w:rsidR="0021298F" w14:paraId="0EFFC046" w14:textId="77777777" w:rsidTr="00760009">
        <w:trPr>
          <w:trHeight w:val="600"/>
        </w:trPr>
        <w:tc>
          <w:tcPr>
            <w:tcW w:w="2857" w:type="pct"/>
            <w:tcBorders>
              <w:top w:val="nil"/>
              <w:left w:val="nil"/>
              <w:bottom w:val="single" w:sz="4" w:space="0" w:color="auto"/>
              <w:right w:val="nil"/>
            </w:tcBorders>
            <w:vAlign w:val="bottom"/>
            <w:hideMark/>
          </w:tcPr>
          <w:p w14:paraId="651BF180" w14:textId="77777777" w:rsidR="0021298F" w:rsidRDefault="0021298F" w:rsidP="00760009">
            <w:pPr>
              <w:rPr>
                <w:rFonts w:ascii="Arial" w:eastAsia="Times New Roman" w:hAnsi="Arial" w:cs="Arial"/>
                <w:b/>
                <w:bCs/>
                <w:color w:val="000000"/>
                <w:lang w:eastAsia="zh-CN"/>
              </w:rPr>
            </w:pPr>
            <w:r>
              <w:rPr>
                <w:rFonts w:ascii="Arial" w:eastAsia="Times New Roman" w:hAnsi="Arial" w:cs="Arial"/>
                <w:b/>
                <w:bCs/>
                <w:color w:val="000000"/>
                <w:lang w:eastAsia="zh-CN"/>
              </w:rPr>
              <w:t xml:space="preserve">Net Cash Generation - Reconciliation to Net Cash Flows from Operating Activities </w:t>
            </w:r>
          </w:p>
        </w:tc>
        <w:tc>
          <w:tcPr>
            <w:tcW w:w="2143" w:type="pct"/>
            <w:gridSpan w:val="2"/>
            <w:tcBorders>
              <w:top w:val="nil"/>
              <w:left w:val="nil"/>
              <w:bottom w:val="single" w:sz="4" w:space="0" w:color="auto"/>
              <w:right w:val="nil"/>
            </w:tcBorders>
            <w:hideMark/>
          </w:tcPr>
          <w:p w14:paraId="7C0CB81A" w14:textId="77777777" w:rsidR="0021298F" w:rsidRDefault="0021298F" w:rsidP="00760009">
            <w:pPr>
              <w:jc w:val="center"/>
              <w:rPr>
                <w:rFonts w:ascii="Arial" w:eastAsia="Times New Roman" w:hAnsi="Arial" w:cs="Arial"/>
                <w:b/>
                <w:bCs/>
                <w:color w:val="000000"/>
                <w:lang w:eastAsia="zh-CN"/>
              </w:rPr>
            </w:pPr>
            <w:r>
              <w:rPr>
                <w:rFonts w:ascii="Arial" w:eastAsia="Times New Roman" w:hAnsi="Arial" w:cs="Arial"/>
                <w:b/>
                <w:bCs/>
                <w:color w:val="000000"/>
                <w:lang w:eastAsia="zh-CN"/>
              </w:rPr>
              <w:t xml:space="preserve">For the year ended </w:t>
            </w:r>
            <w:r>
              <w:rPr>
                <w:rFonts w:ascii="Arial" w:eastAsia="Times New Roman" w:hAnsi="Arial" w:cs="Arial"/>
                <w:b/>
                <w:bCs/>
                <w:color w:val="000000"/>
                <w:lang w:eastAsia="zh-CN"/>
              </w:rPr>
              <w:br/>
              <w:t>31 December 2020</w:t>
            </w:r>
          </w:p>
        </w:tc>
      </w:tr>
      <w:tr w:rsidR="0021298F" w14:paraId="20C438AD" w14:textId="77777777" w:rsidTr="00760009">
        <w:trPr>
          <w:trHeight w:val="300"/>
        </w:trPr>
        <w:tc>
          <w:tcPr>
            <w:tcW w:w="2857" w:type="pct"/>
            <w:noWrap/>
            <w:vAlign w:val="bottom"/>
            <w:hideMark/>
          </w:tcPr>
          <w:p w14:paraId="047FF69B" w14:textId="77777777" w:rsidR="0021298F" w:rsidRDefault="0021298F" w:rsidP="00760009">
            <w:pPr>
              <w:rPr>
                <w:rFonts w:ascii="Arial" w:eastAsia="Times New Roman" w:hAnsi="Arial" w:cs="Arial"/>
                <w:b/>
                <w:bCs/>
                <w:color w:val="000000"/>
                <w:lang w:eastAsia="zh-CN"/>
              </w:rPr>
            </w:pPr>
          </w:p>
        </w:tc>
        <w:tc>
          <w:tcPr>
            <w:tcW w:w="1072" w:type="pct"/>
            <w:vAlign w:val="center"/>
            <w:hideMark/>
          </w:tcPr>
          <w:p w14:paraId="3C243C20" w14:textId="77777777" w:rsidR="0021298F" w:rsidRDefault="0021298F" w:rsidP="00760009">
            <w:pPr>
              <w:jc w:val="right"/>
              <w:rPr>
                <w:rFonts w:ascii="Arial" w:eastAsia="Times New Roman" w:hAnsi="Arial" w:cs="Arial"/>
                <w:b/>
                <w:bCs/>
                <w:color w:val="000000"/>
                <w:lang w:eastAsia="zh-CN"/>
              </w:rPr>
            </w:pPr>
            <w:r>
              <w:rPr>
                <w:rFonts w:ascii="Arial" w:eastAsia="Times New Roman" w:hAnsi="Arial" w:cs="Arial"/>
                <w:b/>
                <w:bCs/>
                <w:color w:val="000000"/>
                <w:lang w:eastAsia="zh-CN"/>
              </w:rPr>
              <w:t>Net</w:t>
            </w:r>
          </w:p>
          <w:p w14:paraId="55236AB8" w14:textId="77777777" w:rsidR="0021298F" w:rsidRDefault="0021298F" w:rsidP="00760009">
            <w:pPr>
              <w:jc w:val="right"/>
              <w:rPr>
                <w:rFonts w:ascii="Arial" w:eastAsia="Times New Roman" w:hAnsi="Arial" w:cs="Arial"/>
                <w:b/>
                <w:bCs/>
                <w:color w:val="000000"/>
                <w:lang w:eastAsia="zh-CN"/>
              </w:rPr>
            </w:pPr>
            <w:r>
              <w:rPr>
                <w:rFonts w:ascii="Arial" w:eastAsia="Times New Roman" w:hAnsi="Arial" w:cs="Arial"/>
                <w:b/>
                <w:bCs/>
                <w:color w:val="000000"/>
                <w:lang w:eastAsia="zh-CN"/>
              </w:rPr>
              <w:t>€'000</w:t>
            </w:r>
          </w:p>
        </w:tc>
        <w:tc>
          <w:tcPr>
            <w:tcW w:w="1071" w:type="pct"/>
            <w:shd w:val="clear" w:color="auto" w:fill="EDFFB7"/>
            <w:noWrap/>
            <w:vAlign w:val="center"/>
            <w:hideMark/>
          </w:tcPr>
          <w:p w14:paraId="4AC1FF8B" w14:textId="77777777" w:rsidR="0021298F" w:rsidRDefault="0021298F" w:rsidP="00760009">
            <w:pPr>
              <w:jc w:val="right"/>
              <w:rPr>
                <w:rFonts w:ascii="Arial" w:eastAsia="Times New Roman" w:hAnsi="Arial" w:cs="Arial"/>
                <w:b/>
                <w:bCs/>
                <w:color w:val="000000"/>
                <w:lang w:eastAsia="zh-CN"/>
              </w:rPr>
            </w:pPr>
            <w:r>
              <w:rPr>
                <w:rFonts w:ascii="Arial" w:eastAsia="Times New Roman" w:hAnsi="Arial" w:cs="Arial"/>
                <w:b/>
                <w:bCs/>
                <w:color w:val="000000"/>
                <w:lang w:eastAsia="zh-CN"/>
              </w:rPr>
              <w:t>Gross</w:t>
            </w:r>
          </w:p>
          <w:p w14:paraId="0F754427" w14:textId="77777777" w:rsidR="0021298F" w:rsidRDefault="0021298F" w:rsidP="00760009">
            <w:pPr>
              <w:jc w:val="right"/>
              <w:rPr>
                <w:rFonts w:ascii="Arial" w:eastAsia="Times New Roman" w:hAnsi="Arial" w:cs="Arial"/>
                <w:b/>
                <w:bCs/>
                <w:color w:val="000000"/>
                <w:lang w:eastAsia="zh-CN"/>
              </w:rPr>
            </w:pPr>
            <w:r>
              <w:rPr>
                <w:rFonts w:ascii="Arial" w:eastAsia="Times New Roman" w:hAnsi="Arial" w:cs="Arial"/>
                <w:b/>
                <w:bCs/>
                <w:color w:val="000000"/>
                <w:lang w:eastAsia="zh-CN"/>
              </w:rPr>
              <w:t>€'000</w:t>
            </w:r>
          </w:p>
        </w:tc>
      </w:tr>
      <w:tr w:rsidR="0021298F" w14:paraId="2CD96A17" w14:textId="77777777" w:rsidTr="00760009">
        <w:trPr>
          <w:trHeight w:val="330"/>
        </w:trPr>
        <w:tc>
          <w:tcPr>
            <w:tcW w:w="2857" w:type="pct"/>
            <w:noWrap/>
            <w:vAlign w:val="bottom"/>
            <w:hideMark/>
          </w:tcPr>
          <w:p w14:paraId="22BF1AA5" w14:textId="77777777" w:rsidR="0021298F" w:rsidRDefault="0021298F" w:rsidP="00760009">
            <w:pPr>
              <w:rPr>
                <w:rFonts w:ascii="Arial" w:eastAsia="Times New Roman" w:hAnsi="Arial" w:cs="Arial"/>
                <w:color w:val="000000"/>
                <w:lang w:eastAsia="zh-CN"/>
              </w:rPr>
            </w:pPr>
            <w:r>
              <w:rPr>
                <w:rFonts w:ascii="Arial" w:eastAsia="Times New Roman" w:hAnsi="Arial" w:cs="Arial"/>
                <w:color w:val="000000"/>
                <w:lang w:eastAsia="zh-CN"/>
              </w:rPr>
              <w:t xml:space="preserve">Net cash flows from operating activities </w:t>
            </w:r>
            <w:r>
              <w:rPr>
                <w:rFonts w:ascii="Arial" w:eastAsia="Times New Roman" w:hAnsi="Arial" w:cs="Arial"/>
                <w:color w:val="000000"/>
                <w:vertAlign w:val="superscript"/>
                <w:lang w:eastAsia="zh-CN"/>
              </w:rPr>
              <w:t>(1)</w:t>
            </w:r>
          </w:p>
        </w:tc>
        <w:tc>
          <w:tcPr>
            <w:tcW w:w="1072" w:type="pct"/>
          </w:tcPr>
          <w:p w14:paraId="186DDE98" w14:textId="77777777" w:rsidR="0021298F" w:rsidRDefault="0021298F" w:rsidP="00760009">
            <w:pPr>
              <w:jc w:val="right"/>
              <w:rPr>
                <w:rFonts w:ascii="Arial" w:eastAsia="Times New Roman" w:hAnsi="Arial" w:cs="Arial"/>
                <w:lang w:eastAsia="zh-CN"/>
              </w:rPr>
            </w:pPr>
            <w:r>
              <w:rPr>
                <w:rFonts w:ascii="Arial" w:eastAsia="Times New Roman" w:hAnsi="Arial" w:cs="Arial"/>
                <w:lang w:eastAsia="zh-CN"/>
              </w:rPr>
              <w:t>18,424</w:t>
            </w:r>
          </w:p>
        </w:tc>
        <w:tc>
          <w:tcPr>
            <w:tcW w:w="1071" w:type="pct"/>
            <w:shd w:val="clear" w:color="auto" w:fill="EDFFB7"/>
            <w:noWrap/>
          </w:tcPr>
          <w:p w14:paraId="4A013EF7" w14:textId="77777777" w:rsidR="0021298F" w:rsidRDefault="0021298F" w:rsidP="00760009">
            <w:pPr>
              <w:jc w:val="right"/>
              <w:rPr>
                <w:rFonts w:ascii="Arial" w:eastAsia="Times New Roman" w:hAnsi="Arial" w:cs="Arial"/>
                <w:lang w:eastAsia="zh-CN"/>
              </w:rPr>
            </w:pPr>
            <w:r>
              <w:rPr>
                <w:rFonts w:ascii="Arial" w:eastAsia="Times New Roman" w:hAnsi="Arial" w:cs="Arial"/>
                <w:lang w:eastAsia="zh-CN"/>
              </w:rPr>
              <w:t>18,424</w:t>
            </w:r>
          </w:p>
        </w:tc>
      </w:tr>
      <w:tr w:rsidR="0021298F" w14:paraId="60C787FE" w14:textId="77777777" w:rsidTr="00760009">
        <w:trPr>
          <w:trHeight w:val="330"/>
        </w:trPr>
        <w:tc>
          <w:tcPr>
            <w:tcW w:w="2857" w:type="pct"/>
            <w:noWrap/>
            <w:vAlign w:val="bottom"/>
            <w:hideMark/>
          </w:tcPr>
          <w:p w14:paraId="2BC7BE76" w14:textId="77777777" w:rsidR="0021298F" w:rsidRDefault="0021298F" w:rsidP="00760009">
            <w:pPr>
              <w:rPr>
                <w:rFonts w:ascii="Arial" w:eastAsia="Times New Roman" w:hAnsi="Arial" w:cs="Arial"/>
                <w:color w:val="000000"/>
                <w:lang w:eastAsia="zh-CN"/>
              </w:rPr>
            </w:pPr>
            <w:r>
              <w:rPr>
                <w:rFonts w:ascii="Arial" w:eastAsia="Times New Roman" w:hAnsi="Arial" w:cs="Arial"/>
                <w:color w:val="000000"/>
                <w:lang w:eastAsia="zh-CN"/>
              </w:rPr>
              <w:t xml:space="preserve">Movement in cash balances of wind farm SPVs </w:t>
            </w:r>
            <w:r>
              <w:rPr>
                <w:rFonts w:ascii="Arial" w:eastAsia="Times New Roman" w:hAnsi="Arial" w:cs="Arial"/>
                <w:color w:val="000000"/>
                <w:vertAlign w:val="superscript"/>
                <w:lang w:eastAsia="zh-CN"/>
              </w:rPr>
              <w:t>(2)</w:t>
            </w:r>
          </w:p>
        </w:tc>
        <w:tc>
          <w:tcPr>
            <w:tcW w:w="1072" w:type="pct"/>
          </w:tcPr>
          <w:p w14:paraId="28E280FF" w14:textId="77777777" w:rsidR="0021298F" w:rsidRDefault="0021298F" w:rsidP="00760009">
            <w:pPr>
              <w:jc w:val="right"/>
              <w:rPr>
                <w:rFonts w:ascii="Arial" w:eastAsia="Times New Roman" w:hAnsi="Arial" w:cs="Arial"/>
                <w:color w:val="000000"/>
                <w:lang w:eastAsia="zh-CN"/>
              </w:rPr>
            </w:pPr>
            <w:r>
              <w:rPr>
                <w:rFonts w:ascii="Arial" w:eastAsia="Times New Roman" w:hAnsi="Arial" w:cs="Arial"/>
                <w:color w:val="000000"/>
                <w:lang w:eastAsia="zh-CN"/>
              </w:rPr>
              <w:t>(14,798)</w:t>
            </w:r>
          </w:p>
        </w:tc>
        <w:tc>
          <w:tcPr>
            <w:tcW w:w="1071" w:type="pct"/>
            <w:shd w:val="clear" w:color="auto" w:fill="EDFFB7"/>
            <w:noWrap/>
          </w:tcPr>
          <w:p w14:paraId="147B7F18" w14:textId="77777777" w:rsidR="0021298F" w:rsidRDefault="0021298F" w:rsidP="00760009">
            <w:pPr>
              <w:jc w:val="right"/>
              <w:rPr>
                <w:rFonts w:ascii="Arial" w:eastAsia="Times New Roman" w:hAnsi="Arial" w:cs="Arial"/>
                <w:color w:val="000000"/>
                <w:lang w:eastAsia="zh-CN"/>
              </w:rPr>
            </w:pPr>
            <w:r>
              <w:rPr>
                <w:rFonts w:ascii="Arial" w:eastAsia="Times New Roman" w:hAnsi="Arial" w:cs="Arial"/>
                <w:color w:val="000000"/>
                <w:lang w:eastAsia="zh-CN"/>
              </w:rPr>
              <w:t>(14,798)</w:t>
            </w:r>
          </w:p>
        </w:tc>
      </w:tr>
      <w:tr w:rsidR="0021298F" w14:paraId="2219ABA8" w14:textId="77777777" w:rsidTr="00760009">
        <w:trPr>
          <w:trHeight w:val="330"/>
        </w:trPr>
        <w:tc>
          <w:tcPr>
            <w:tcW w:w="2857" w:type="pct"/>
            <w:noWrap/>
            <w:vAlign w:val="bottom"/>
            <w:hideMark/>
          </w:tcPr>
          <w:p w14:paraId="61B91807" w14:textId="77777777" w:rsidR="0021298F" w:rsidRDefault="0021298F" w:rsidP="00760009">
            <w:pPr>
              <w:rPr>
                <w:rFonts w:ascii="Arial" w:eastAsia="Times New Roman" w:hAnsi="Arial" w:cs="Arial"/>
                <w:color w:val="000000"/>
                <w:lang w:eastAsia="zh-CN"/>
              </w:rPr>
            </w:pPr>
            <w:r>
              <w:rPr>
                <w:rFonts w:ascii="Arial" w:eastAsia="Times New Roman" w:hAnsi="Arial" w:cs="Arial"/>
                <w:color w:val="000000"/>
                <w:lang w:eastAsia="zh-CN"/>
              </w:rPr>
              <w:t xml:space="preserve">SPV capex &amp; PSO cashflow </w:t>
            </w:r>
            <w:r w:rsidRPr="00C90445">
              <w:rPr>
                <w:rFonts w:ascii="Arial" w:eastAsia="Times New Roman" w:hAnsi="Arial" w:cs="Arial"/>
                <w:color w:val="000000"/>
                <w:vertAlign w:val="superscript"/>
                <w:lang w:eastAsia="zh-CN"/>
              </w:rPr>
              <w:t>(3)</w:t>
            </w:r>
            <w:r>
              <w:rPr>
                <w:rFonts w:ascii="Arial" w:eastAsia="Times New Roman" w:hAnsi="Arial" w:cs="Arial"/>
                <w:color w:val="000000"/>
                <w:lang w:eastAsia="zh-CN"/>
              </w:rPr>
              <w:t xml:space="preserve"> </w:t>
            </w:r>
          </w:p>
        </w:tc>
        <w:tc>
          <w:tcPr>
            <w:tcW w:w="1072" w:type="pct"/>
          </w:tcPr>
          <w:p w14:paraId="14DBAEF2" w14:textId="77777777" w:rsidR="0021298F" w:rsidRDefault="0021298F" w:rsidP="00760009">
            <w:pPr>
              <w:jc w:val="right"/>
              <w:rPr>
                <w:rFonts w:ascii="Arial" w:eastAsia="Times New Roman" w:hAnsi="Arial" w:cs="Arial"/>
                <w:color w:val="000000"/>
                <w:lang w:eastAsia="zh-CN"/>
              </w:rPr>
            </w:pPr>
            <w:r>
              <w:rPr>
                <w:rFonts w:ascii="Arial" w:eastAsia="Times New Roman" w:hAnsi="Arial" w:cs="Arial"/>
                <w:color w:val="000000"/>
                <w:lang w:eastAsia="zh-CN"/>
              </w:rPr>
              <w:t>19,169</w:t>
            </w:r>
          </w:p>
        </w:tc>
        <w:tc>
          <w:tcPr>
            <w:tcW w:w="1071" w:type="pct"/>
            <w:shd w:val="clear" w:color="auto" w:fill="EDFFB7"/>
            <w:noWrap/>
          </w:tcPr>
          <w:p w14:paraId="4AD32AB1" w14:textId="77777777" w:rsidR="0021298F" w:rsidRDefault="0021298F" w:rsidP="00760009">
            <w:pPr>
              <w:jc w:val="right"/>
              <w:rPr>
                <w:rFonts w:ascii="Arial" w:eastAsia="Times New Roman" w:hAnsi="Arial" w:cs="Arial"/>
                <w:color w:val="000000"/>
                <w:lang w:eastAsia="zh-CN"/>
              </w:rPr>
            </w:pPr>
            <w:r>
              <w:rPr>
                <w:rFonts w:ascii="Arial" w:eastAsia="Times New Roman" w:hAnsi="Arial" w:cs="Arial"/>
                <w:color w:val="000000"/>
                <w:lang w:eastAsia="zh-CN"/>
              </w:rPr>
              <w:t>19,169</w:t>
            </w:r>
          </w:p>
        </w:tc>
      </w:tr>
      <w:tr w:rsidR="0021298F" w14:paraId="47C901F3" w14:textId="77777777" w:rsidTr="00760009">
        <w:trPr>
          <w:trHeight w:val="330"/>
        </w:trPr>
        <w:tc>
          <w:tcPr>
            <w:tcW w:w="2857" w:type="pct"/>
            <w:noWrap/>
            <w:vAlign w:val="bottom"/>
          </w:tcPr>
          <w:p w14:paraId="4DDB2053" w14:textId="77777777" w:rsidR="0021298F" w:rsidRDefault="0021298F" w:rsidP="00760009">
            <w:pPr>
              <w:rPr>
                <w:rFonts w:ascii="Arial" w:eastAsia="Times New Roman" w:hAnsi="Arial" w:cs="Arial"/>
                <w:color w:val="000000"/>
                <w:lang w:eastAsia="zh-CN"/>
              </w:rPr>
            </w:pPr>
            <w:r>
              <w:rPr>
                <w:rFonts w:ascii="Arial" w:eastAsia="Times New Roman" w:hAnsi="Arial" w:cs="Arial"/>
                <w:color w:val="000000"/>
                <w:lang w:eastAsia="zh-CN"/>
              </w:rPr>
              <w:t xml:space="preserve">Repayment of debt at SPV level </w:t>
            </w:r>
            <w:r w:rsidRPr="00C90445">
              <w:rPr>
                <w:rFonts w:ascii="Arial" w:eastAsia="Times New Roman" w:hAnsi="Arial" w:cs="Arial"/>
                <w:color w:val="000000"/>
                <w:vertAlign w:val="superscript"/>
                <w:lang w:eastAsia="zh-CN"/>
              </w:rPr>
              <w:t>(</w:t>
            </w:r>
            <w:r>
              <w:rPr>
                <w:rFonts w:ascii="Arial" w:eastAsia="Times New Roman" w:hAnsi="Arial" w:cs="Arial"/>
                <w:color w:val="000000"/>
                <w:vertAlign w:val="superscript"/>
                <w:lang w:eastAsia="zh-CN"/>
              </w:rPr>
              <w:t>2</w:t>
            </w:r>
            <w:r w:rsidRPr="00C90445">
              <w:rPr>
                <w:rFonts w:ascii="Arial" w:eastAsia="Times New Roman" w:hAnsi="Arial" w:cs="Arial"/>
                <w:color w:val="000000"/>
                <w:vertAlign w:val="superscript"/>
                <w:lang w:eastAsia="zh-CN"/>
              </w:rPr>
              <w:t>)</w:t>
            </w:r>
          </w:p>
        </w:tc>
        <w:tc>
          <w:tcPr>
            <w:tcW w:w="1072" w:type="pct"/>
          </w:tcPr>
          <w:p w14:paraId="6A73F740" w14:textId="77777777" w:rsidR="0021298F" w:rsidRDefault="0021298F" w:rsidP="00760009">
            <w:pPr>
              <w:jc w:val="right"/>
              <w:rPr>
                <w:rFonts w:ascii="Arial" w:eastAsia="Times New Roman" w:hAnsi="Arial" w:cs="Arial"/>
                <w:color w:val="000000"/>
                <w:lang w:eastAsia="zh-CN"/>
              </w:rPr>
            </w:pPr>
            <w:r>
              <w:rPr>
                <w:rFonts w:ascii="Arial" w:eastAsia="Times New Roman" w:hAnsi="Arial" w:cs="Arial"/>
                <w:color w:val="000000"/>
                <w:lang w:eastAsia="zh-CN"/>
              </w:rPr>
              <w:t>-</w:t>
            </w:r>
          </w:p>
        </w:tc>
        <w:tc>
          <w:tcPr>
            <w:tcW w:w="1071" w:type="pct"/>
            <w:shd w:val="clear" w:color="auto" w:fill="EDFFB7"/>
            <w:noWrap/>
          </w:tcPr>
          <w:p w14:paraId="7DE1500D" w14:textId="77777777" w:rsidR="0021298F" w:rsidRDefault="0021298F" w:rsidP="00760009">
            <w:pPr>
              <w:jc w:val="right"/>
              <w:rPr>
                <w:rFonts w:ascii="Arial" w:eastAsia="Times New Roman" w:hAnsi="Arial" w:cs="Arial"/>
                <w:color w:val="000000"/>
                <w:lang w:eastAsia="zh-CN"/>
              </w:rPr>
            </w:pPr>
            <w:r>
              <w:rPr>
                <w:rFonts w:ascii="Arial" w:eastAsia="Times New Roman" w:hAnsi="Arial" w:cs="Arial"/>
                <w:color w:val="000000"/>
                <w:lang w:eastAsia="zh-CN"/>
              </w:rPr>
              <w:t>14,009</w:t>
            </w:r>
          </w:p>
        </w:tc>
      </w:tr>
      <w:tr w:rsidR="0021298F" w14:paraId="582ABDCB" w14:textId="77777777" w:rsidTr="00760009">
        <w:trPr>
          <w:trHeight w:val="330"/>
        </w:trPr>
        <w:tc>
          <w:tcPr>
            <w:tcW w:w="2857" w:type="pct"/>
            <w:noWrap/>
            <w:vAlign w:val="bottom"/>
            <w:hideMark/>
          </w:tcPr>
          <w:p w14:paraId="055CB19B" w14:textId="77777777" w:rsidR="0021298F" w:rsidRDefault="0021298F" w:rsidP="00760009">
            <w:pPr>
              <w:rPr>
                <w:rFonts w:ascii="Arial" w:eastAsia="Times New Roman" w:hAnsi="Arial" w:cs="Arial"/>
                <w:color w:val="000000"/>
                <w:lang w:eastAsia="zh-CN"/>
              </w:rPr>
            </w:pPr>
            <w:r>
              <w:rPr>
                <w:rFonts w:ascii="Arial" w:eastAsia="Times New Roman" w:hAnsi="Arial" w:cs="Arial"/>
                <w:color w:val="000000"/>
                <w:lang w:eastAsia="zh-CN"/>
              </w:rPr>
              <w:t xml:space="preserve">Repayment of shareholder loan investment </w:t>
            </w:r>
            <w:r>
              <w:rPr>
                <w:rFonts w:ascii="Arial" w:eastAsia="Times New Roman" w:hAnsi="Arial" w:cs="Arial"/>
                <w:color w:val="000000"/>
                <w:vertAlign w:val="superscript"/>
                <w:lang w:eastAsia="zh-CN"/>
              </w:rPr>
              <w:t>(1)</w:t>
            </w:r>
          </w:p>
        </w:tc>
        <w:tc>
          <w:tcPr>
            <w:tcW w:w="1072" w:type="pct"/>
          </w:tcPr>
          <w:p w14:paraId="5016311E" w14:textId="77777777" w:rsidR="0021298F" w:rsidRDefault="0021298F" w:rsidP="00760009">
            <w:pPr>
              <w:jc w:val="right"/>
              <w:rPr>
                <w:rFonts w:ascii="Arial" w:eastAsia="Times New Roman" w:hAnsi="Arial" w:cs="Arial"/>
                <w:color w:val="000000"/>
                <w:lang w:eastAsia="zh-CN"/>
              </w:rPr>
            </w:pPr>
            <w:r>
              <w:rPr>
                <w:rFonts w:ascii="Arial" w:eastAsia="Times New Roman" w:hAnsi="Arial" w:cs="Arial"/>
                <w:color w:val="000000"/>
                <w:lang w:eastAsia="zh-CN"/>
              </w:rPr>
              <w:t>32,442</w:t>
            </w:r>
          </w:p>
        </w:tc>
        <w:tc>
          <w:tcPr>
            <w:tcW w:w="1071" w:type="pct"/>
            <w:shd w:val="clear" w:color="auto" w:fill="EDFFB7"/>
            <w:noWrap/>
          </w:tcPr>
          <w:p w14:paraId="7E67335F" w14:textId="77777777" w:rsidR="0021298F" w:rsidRDefault="0021298F" w:rsidP="00760009">
            <w:pPr>
              <w:jc w:val="right"/>
              <w:rPr>
                <w:rFonts w:ascii="Arial" w:eastAsia="Times New Roman" w:hAnsi="Arial" w:cs="Arial"/>
                <w:color w:val="000000"/>
                <w:lang w:eastAsia="zh-CN"/>
              </w:rPr>
            </w:pPr>
            <w:r>
              <w:rPr>
                <w:rFonts w:ascii="Arial" w:eastAsia="Times New Roman" w:hAnsi="Arial" w:cs="Arial"/>
                <w:color w:val="000000"/>
                <w:lang w:eastAsia="zh-CN"/>
              </w:rPr>
              <w:t>32,442</w:t>
            </w:r>
          </w:p>
        </w:tc>
      </w:tr>
      <w:tr w:rsidR="0021298F" w14:paraId="3EC001B1" w14:textId="77777777" w:rsidTr="00760009">
        <w:trPr>
          <w:trHeight w:val="330"/>
        </w:trPr>
        <w:tc>
          <w:tcPr>
            <w:tcW w:w="2857" w:type="pct"/>
            <w:noWrap/>
            <w:vAlign w:val="bottom"/>
            <w:hideMark/>
          </w:tcPr>
          <w:p w14:paraId="7ABFFF5E" w14:textId="77777777" w:rsidR="0021298F" w:rsidRDefault="0021298F" w:rsidP="00760009">
            <w:pPr>
              <w:rPr>
                <w:rFonts w:ascii="Arial" w:eastAsia="Times New Roman" w:hAnsi="Arial" w:cs="Arial"/>
                <w:color w:val="000000"/>
                <w:lang w:eastAsia="zh-CN"/>
              </w:rPr>
            </w:pPr>
            <w:r>
              <w:rPr>
                <w:rFonts w:ascii="Arial" w:eastAsia="Times New Roman" w:hAnsi="Arial" w:cs="Arial"/>
                <w:color w:val="000000"/>
                <w:lang w:eastAsia="zh-CN"/>
              </w:rPr>
              <w:t xml:space="preserve">Finance costs </w:t>
            </w:r>
            <w:r>
              <w:rPr>
                <w:rFonts w:ascii="Arial" w:eastAsia="Times New Roman" w:hAnsi="Arial" w:cs="Arial"/>
                <w:color w:val="000000"/>
                <w:vertAlign w:val="superscript"/>
                <w:lang w:eastAsia="zh-CN"/>
              </w:rPr>
              <w:t>(1)</w:t>
            </w:r>
          </w:p>
        </w:tc>
        <w:tc>
          <w:tcPr>
            <w:tcW w:w="1072" w:type="pct"/>
          </w:tcPr>
          <w:p w14:paraId="32B4A532" w14:textId="77777777" w:rsidR="0021298F" w:rsidRDefault="0021298F" w:rsidP="00760009">
            <w:pPr>
              <w:jc w:val="right"/>
              <w:rPr>
                <w:rFonts w:ascii="Arial" w:eastAsia="Times New Roman" w:hAnsi="Arial" w:cs="Arial"/>
                <w:color w:val="000000"/>
                <w:lang w:eastAsia="zh-CN"/>
              </w:rPr>
            </w:pPr>
            <w:r>
              <w:rPr>
                <w:rFonts w:ascii="Arial" w:eastAsia="Times New Roman" w:hAnsi="Arial" w:cs="Arial"/>
                <w:color w:val="000000"/>
                <w:lang w:eastAsia="zh-CN"/>
              </w:rPr>
              <w:t>(8,971)</w:t>
            </w:r>
          </w:p>
        </w:tc>
        <w:tc>
          <w:tcPr>
            <w:tcW w:w="1071" w:type="pct"/>
            <w:shd w:val="clear" w:color="auto" w:fill="EDFFB7"/>
            <w:noWrap/>
          </w:tcPr>
          <w:p w14:paraId="5732464E" w14:textId="77777777" w:rsidR="0021298F" w:rsidRDefault="0021298F" w:rsidP="00760009">
            <w:pPr>
              <w:jc w:val="right"/>
              <w:rPr>
                <w:rFonts w:ascii="Arial" w:eastAsia="Times New Roman" w:hAnsi="Arial" w:cs="Arial"/>
                <w:color w:val="000000"/>
                <w:lang w:eastAsia="zh-CN"/>
              </w:rPr>
            </w:pPr>
            <w:r>
              <w:rPr>
                <w:rFonts w:ascii="Arial" w:eastAsia="Times New Roman" w:hAnsi="Arial" w:cs="Arial"/>
                <w:color w:val="000000"/>
                <w:lang w:eastAsia="zh-CN"/>
              </w:rPr>
              <w:t>(8,971)</w:t>
            </w:r>
          </w:p>
        </w:tc>
      </w:tr>
      <w:tr w:rsidR="0021298F" w14:paraId="35D2DE4D" w14:textId="77777777" w:rsidTr="00760009">
        <w:trPr>
          <w:trHeight w:val="330"/>
        </w:trPr>
        <w:tc>
          <w:tcPr>
            <w:tcW w:w="2857" w:type="pct"/>
            <w:tcBorders>
              <w:top w:val="nil"/>
              <w:left w:val="nil"/>
              <w:bottom w:val="single" w:sz="4" w:space="0" w:color="auto"/>
              <w:right w:val="nil"/>
            </w:tcBorders>
            <w:noWrap/>
            <w:vAlign w:val="bottom"/>
            <w:hideMark/>
          </w:tcPr>
          <w:p w14:paraId="670DB798" w14:textId="77777777" w:rsidR="0021298F" w:rsidRDefault="0021298F" w:rsidP="00760009">
            <w:pPr>
              <w:rPr>
                <w:rFonts w:ascii="Arial" w:eastAsia="Times New Roman" w:hAnsi="Arial" w:cs="Arial"/>
                <w:color w:val="000000"/>
                <w:lang w:eastAsia="zh-CN"/>
              </w:rPr>
            </w:pPr>
            <w:r>
              <w:rPr>
                <w:rFonts w:ascii="Arial" w:eastAsia="Times New Roman" w:hAnsi="Arial" w:cs="Arial"/>
                <w:color w:val="000000"/>
                <w:lang w:eastAsia="zh-CN"/>
              </w:rPr>
              <w:t xml:space="preserve">Upfront finance costs (cash) </w:t>
            </w:r>
            <w:r>
              <w:rPr>
                <w:rFonts w:ascii="Arial" w:eastAsia="Times New Roman" w:hAnsi="Arial" w:cs="Arial"/>
                <w:color w:val="000000"/>
                <w:vertAlign w:val="superscript"/>
                <w:lang w:eastAsia="zh-CN"/>
              </w:rPr>
              <w:t>(4)</w:t>
            </w:r>
          </w:p>
        </w:tc>
        <w:tc>
          <w:tcPr>
            <w:tcW w:w="1072" w:type="pct"/>
            <w:tcBorders>
              <w:top w:val="nil"/>
              <w:left w:val="nil"/>
              <w:bottom w:val="single" w:sz="4" w:space="0" w:color="auto"/>
              <w:right w:val="nil"/>
            </w:tcBorders>
          </w:tcPr>
          <w:p w14:paraId="14492953" w14:textId="77777777" w:rsidR="0021298F" w:rsidRDefault="0021298F" w:rsidP="00760009">
            <w:pPr>
              <w:jc w:val="right"/>
              <w:rPr>
                <w:rFonts w:ascii="Arial" w:eastAsia="Times New Roman" w:hAnsi="Arial" w:cs="Arial"/>
                <w:color w:val="000000"/>
                <w:lang w:eastAsia="zh-CN"/>
              </w:rPr>
            </w:pPr>
            <w:r>
              <w:rPr>
                <w:rFonts w:ascii="Arial" w:eastAsia="Times New Roman" w:hAnsi="Arial" w:cs="Arial"/>
                <w:color w:val="000000"/>
                <w:lang w:eastAsia="zh-CN"/>
              </w:rPr>
              <w:t>6,149</w:t>
            </w:r>
          </w:p>
        </w:tc>
        <w:tc>
          <w:tcPr>
            <w:tcW w:w="1071" w:type="pct"/>
            <w:tcBorders>
              <w:top w:val="nil"/>
              <w:left w:val="nil"/>
              <w:bottom w:val="single" w:sz="4" w:space="0" w:color="auto"/>
              <w:right w:val="nil"/>
            </w:tcBorders>
            <w:shd w:val="clear" w:color="auto" w:fill="EDFFB7"/>
            <w:noWrap/>
          </w:tcPr>
          <w:p w14:paraId="55C3063B" w14:textId="77777777" w:rsidR="0021298F" w:rsidRDefault="0021298F" w:rsidP="00760009">
            <w:pPr>
              <w:jc w:val="right"/>
              <w:rPr>
                <w:rFonts w:ascii="Arial" w:eastAsia="Times New Roman" w:hAnsi="Arial" w:cs="Arial"/>
                <w:color w:val="000000"/>
                <w:lang w:eastAsia="zh-CN"/>
              </w:rPr>
            </w:pPr>
            <w:r>
              <w:rPr>
                <w:rFonts w:ascii="Arial" w:eastAsia="Times New Roman" w:hAnsi="Arial" w:cs="Arial"/>
                <w:color w:val="000000"/>
                <w:lang w:eastAsia="zh-CN"/>
              </w:rPr>
              <w:t>6,149</w:t>
            </w:r>
          </w:p>
        </w:tc>
      </w:tr>
      <w:tr w:rsidR="0021298F" w14:paraId="2EE6D10D" w14:textId="77777777" w:rsidTr="00760009">
        <w:trPr>
          <w:trHeight w:val="300"/>
        </w:trPr>
        <w:tc>
          <w:tcPr>
            <w:tcW w:w="2857" w:type="pct"/>
            <w:tcBorders>
              <w:top w:val="nil"/>
              <w:left w:val="nil"/>
              <w:bottom w:val="single" w:sz="4" w:space="0" w:color="auto"/>
              <w:right w:val="nil"/>
            </w:tcBorders>
            <w:noWrap/>
            <w:vAlign w:val="bottom"/>
            <w:hideMark/>
          </w:tcPr>
          <w:p w14:paraId="75A6F3C8" w14:textId="77777777" w:rsidR="0021298F" w:rsidRDefault="0021298F" w:rsidP="00760009">
            <w:pPr>
              <w:rPr>
                <w:rFonts w:ascii="Arial" w:eastAsia="Times New Roman" w:hAnsi="Arial" w:cs="Arial"/>
                <w:b/>
                <w:bCs/>
                <w:color w:val="000000"/>
                <w:lang w:eastAsia="zh-CN"/>
              </w:rPr>
            </w:pPr>
            <w:r>
              <w:rPr>
                <w:rFonts w:ascii="Arial" w:eastAsia="Times New Roman" w:hAnsi="Arial" w:cs="Arial"/>
                <w:b/>
                <w:bCs/>
                <w:color w:val="000000"/>
                <w:lang w:eastAsia="zh-CN"/>
              </w:rPr>
              <w:t>Net cash generation</w:t>
            </w:r>
          </w:p>
        </w:tc>
        <w:tc>
          <w:tcPr>
            <w:tcW w:w="1072" w:type="pct"/>
            <w:tcBorders>
              <w:top w:val="nil"/>
              <w:left w:val="nil"/>
              <w:bottom w:val="single" w:sz="4" w:space="0" w:color="auto"/>
              <w:right w:val="nil"/>
            </w:tcBorders>
            <w:vAlign w:val="center"/>
            <w:hideMark/>
          </w:tcPr>
          <w:p w14:paraId="20E32842" w14:textId="77777777" w:rsidR="0021298F" w:rsidRDefault="0021298F" w:rsidP="00760009">
            <w:pPr>
              <w:jc w:val="right"/>
              <w:rPr>
                <w:rFonts w:ascii="Arial" w:eastAsia="Times New Roman" w:hAnsi="Arial" w:cs="Arial"/>
                <w:b/>
                <w:bCs/>
                <w:color w:val="000000"/>
                <w:lang w:eastAsia="zh-CN"/>
              </w:rPr>
            </w:pPr>
            <w:r>
              <w:rPr>
                <w:rFonts w:ascii="Arial" w:eastAsia="Times New Roman" w:hAnsi="Arial" w:cs="Arial"/>
                <w:b/>
                <w:bCs/>
                <w:color w:val="000000"/>
                <w:lang w:eastAsia="en-GB"/>
              </w:rPr>
              <w:t>52,415</w:t>
            </w:r>
          </w:p>
        </w:tc>
        <w:tc>
          <w:tcPr>
            <w:tcW w:w="1071" w:type="pct"/>
            <w:tcBorders>
              <w:top w:val="nil"/>
              <w:left w:val="nil"/>
              <w:bottom w:val="single" w:sz="4" w:space="0" w:color="auto"/>
              <w:right w:val="nil"/>
            </w:tcBorders>
            <w:shd w:val="clear" w:color="auto" w:fill="EDFFB7"/>
            <w:noWrap/>
            <w:vAlign w:val="center"/>
            <w:hideMark/>
          </w:tcPr>
          <w:p w14:paraId="458C3555" w14:textId="77777777" w:rsidR="0021298F" w:rsidRDefault="0021298F" w:rsidP="00760009">
            <w:pPr>
              <w:jc w:val="right"/>
              <w:rPr>
                <w:rFonts w:ascii="Arial" w:eastAsia="Times New Roman" w:hAnsi="Arial" w:cs="Arial"/>
                <w:b/>
                <w:bCs/>
                <w:color w:val="000000"/>
                <w:lang w:eastAsia="zh-CN"/>
              </w:rPr>
            </w:pPr>
            <w:r>
              <w:rPr>
                <w:rFonts w:ascii="Arial" w:eastAsia="Times New Roman" w:hAnsi="Arial" w:cs="Arial"/>
                <w:b/>
                <w:bCs/>
                <w:color w:val="000000"/>
                <w:lang w:eastAsia="en-GB"/>
              </w:rPr>
              <w:t>66,424</w:t>
            </w:r>
          </w:p>
        </w:tc>
      </w:tr>
    </w:tbl>
    <w:p w14:paraId="67EEAB06" w14:textId="77777777" w:rsidR="0021298F" w:rsidRPr="00C90445" w:rsidRDefault="0021298F" w:rsidP="0021298F">
      <w:pPr>
        <w:jc w:val="both"/>
        <w:rPr>
          <w:rFonts w:ascii="Arial" w:eastAsia="Times New Roman" w:hAnsi="Arial" w:cs="Arial"/>
          <w:vertAlign w:val="superscript"/>
        </w:rPr>
      </w:pPr>
      <w:r w:rsidRPr="00C90445">
        <w:rPr>
          <w:rFonts w:ascii="Arial" w:eastAsia="Times New Roman" w:hAnsi="Arial" w:cs="Arial"/>
          <w:sz w:val="16"/>
          <w:szCs w:val="14"/>
          <w:vertAlign w:val="superscript"/>
        </w:rPr>
        <w:t xml:space="preserve">(1) </w:t>
      </w:r>
      <w:r w:rsidRPr="00C90445">
        <w:rPr>
          <w:rFonts w:ascii="Arial" w:eastAsia="Times New Roman" w:hAnsi="Arial" w:cs="Arial"/>
          <w:sz w:val="16"/>
        </w:rPr>
        <w:t>Consolidated Statement of Cash Flows.</w:t>
      </w:r>
      <w:r w:rsidRPr="00C90445">
        <w:rPr>
          <w:rFonts w:ascii="Arial" w:eastAsia="Times New Roman" w:hAnsi="Arial" w:cs="Arial"/>
          <w:vertAlign w:val="superscript"/>
        </w:rPr>
        <w:t xml:space="preserve"> </w:t>
      </w:r>
    </w:p>
    <w:p w14:paraId="4A23F413" w14:textId="77777777" w:rsidR="0021298F" w:rsidRPr="00C90445" w:rsidRDefault="0021298F" w:rsidP="0021298F">
      <w:pPr>
        <w:jc w:val="both"/>
        <w:rPr>
          <w:rFonts w:ascii="Arial" w:eastAsia="Times New Roman" w:hAnsi="Arial" w:cs="Arial"/>
          <w:sz w:val="16"/>
        </w:rPr>
      </w:pPr>
      <w:r w:rsidRPr="00C90445">
        <w:rPr>
          <w:rFonts w:ascii="Arial" w:eastAsia="Times New Roman" w:hAnsi="Arial" w:cs="Arial"/>
          <w:sz w:val="16"/>
          <w:szCs w:val="16"/>
          <w:vertAlign w:val="superscript"/>
        </w:rPr>
        <w:t>(2)</w:t>
      </w:r>
      <w:r w:rsidRPr="00C90445">
        <w:rPr>
          <w:rFonts w:ascii="Arial" w:eastAsia="Times New Roman" w:hAnsi="Arial" w:cs="Arial"/>
          <w:vertAlign w:val="superscript"/>
        </w:rPr>
        <w:t xml:space="preserve"> </w:t>
      </w:r>
      <w:r w:rsidRPr="00C90445">
        <w:rPr>
          <w:rFonts w:ascii="Arial" w:eastAsia="Times New Roman" w:hAnsi="Arial" w:cs="Arial"/>
          <w:sz w:val="16"/>
        </w:rPr>
        <w:t>Note 9 to the Financial Statements (excludes acquired cash).</w:t>
      </w:r>
    </w:p>
    <w:p w14:paraId="60575025" w14:textId="77777777" w:rsidR="0021298F" w:rsidRPr="00C90445" w:rsidRDefault="0021298F" w:rsidP="0021298F">
      <w:pPr>
        <w:rPr>
          <w:rFonts w:ascii="Arial" w:eastAsia="Times New Roman" w:hAnsi="Arial" w:cs="Arial"/>
          <w:sz w:val="16"/>
          <w:szCs w:val="16"/>
        </w:rPr>
      </w:pPr>
      <w:r w:rsidRPr="00C90445">
        <w:rPr>
          <w:rFonts w:ascii="Arial" w:eastAsia="Times New Roman" w:hAnsi="Arial" w:cs="Arial"/>
          <w:sz w:val="16"/>
          <w:szCs w:val="16"/>
          <w:vertAlign w:val="superscript"/>
        </w:rPr>
        <w:t>(3)</w:t>
      </w:r>
      <w:r w:rsidRPr="00C90445">
        <w:rPr>
          <w:rFonts w:ascii="Arial" w:eastAsia="Times New Roman" w:hAnsi="Arial" w:cs="Arial"/>
          <w:vertAlign w:val="superscript"/>
        </w:rPr>
        <w:t xml:space="preserve"> </w:t>
      </w:r>
      <w:r w:rsidRPr="00C90445">
        <w:rPr>
          <w:rFonts w:ascii="Arial" w:eastAsia="Times New Roman" w:hAnsi="Arial" w:cs="Arial"/>
          <w:sz w:val="16"/>
          <w:szCs w:val="14"/>
        </w:rPr>
        <w:t>€19,</w:t>
      </w:r>
      <w:r>
        <w:rPr>
          <w:rFonts w:ascii="Arial" w:eastAsia="Times New Roman" w:hAnsi="Arial" w:cs="Arial"/>
          <w:sz w:val="16"/>
          <w:szCs w:val="14"/>
        </w:rPr>
        <w:t>953</w:t>
      </w:r>
      <w:r w:rsidRPr="00C90445">
        <w:rPr>
          <w:rFonts w:ascii="Arial" w:eastAsia="Times New Roman" w:hAnsi="Arial" w:cs="Arial"/>
          <w:sz w:val="16"/>
          <w:szCs w:val="14"/>
        </w:rPr>
        <w:t>k c</w:t>
      </w:r>
      <w:r w:rsidRPr="00C90445">
        <w:rPr>
          <w:rFonts w:ascii="Arial" w:eastAsia="Times New Roman" w:hAnsi="Arial" w:cs="Arial"/>
          <w:sz w:val="16"/>
          <w:szCs w:val="16"/>
        </w:rPr>
        <w:t>ashflows reflect residual capital expenditure from acquired SPVs and REFIT working capital movements with the PSO relating to wind farm SPVs</w:t>
      </w:r>
      <w:r>
        <w:rPr>
          <w:rFonts w:ascii="Arial" w:eastAsia="Times New Roman" w:hAnsi="Arial" w:cs="Arial"/>
          <w:sz w:val="16"/>
          <w:szCs w:val="16"/>
        </w:rPr>
        <w:t xml:space="preserve"> less €424k SPV working capital</w:t>
      </w:r>
      <w:r w:rsidRPr="00C90445">
        <w:rPr>
          <w:rFonts w:ascii="Arial" w:eastAsia="Times New Roman" w:hAnsi="Arial" w:cs="Arial"/>
          <w:sz w:val="16"/>
          <w:szCs w:val="16"/>
        </w:rPr>
        <w:t>.</w:t>
      </w:r>
    </w:p>
    <w:p w14:paraId="10AA9414" w14:textId="77777777" w:rsidR="0021298F" w:rsidRPr="00C90445" w:rsidRDefault="0021298F" w:rsidP="0021298F">
      <w:pPr>
        <w:rPr>
          <w:rFonts w:ascii="Arial" w:eastAsia="Times New Roman" w:hAnsi="Arial" w:cs="Arial"/>
          <w:sz w:val="16"/>
          <w:szCs w:val="16"/>
        </w:rPr>
      </w:pPr>
      <w:r w:rsidRPr="00C90445">
        <w:rPr>
          <w:rFonts w:ascii="Arial" w:eastAsia="Times New Roman" w:hAnsi="Arial" w:cs="Arial"/>
          <w:sz w:val="16"/>
          <w:szCs w:val="16"/>
          <w:vertAlign w:val="superscript"/>
        </w:rPr>
        <w:t>(4)</w:t>
      </w:r>
      <w:r w:rsidRPr="00C90445">
        <w:rPr>
          <w:rFonts w:ascii="Arial" w:eastAsia="Times New Roman" w:hAnsi="Arial" w:cs="Arial"/>
          <w:vertAlign w:val="superscript"/>
        </w:rPr>
        <w:t xml:space="preserve"> </w:t>
      </w:r>
      <w:r w:rsidRPr="00C90445">
        <w:rPr>
          <w:rFonts w:ascii="Arial" w:eastAsia="Times New Roman" w:hAnsi="Arial" w:cs="Arial"/>
          <w:sz w:val="16"/>
          <w:szCs w:val="16"/>
        </w:rPr>
        <w:t>€</w:t>
      </w:r>
      <w:r>
        <w:rPr>
          <w:rFonts w:ascii="Arial" w:eastAsia="Times New Roman" w:hAnsi="Arial" w:cs="Arial"/>
          <w:sz w:val="16"/>
          <w:szCs w:val="16"/>
        </w:rPr>
        <w:t>2,897k capitalised arrangement fees for the Group’s revolving credit facility plus €2,120k capitalised arrangement fees for the Group’s term debt facilities plus €1,139k professional fees (note 13 to the financial statements) less €7k movement in other finance costs payable (note 12 to the Financial Statements).</w:t>
      </w:r>
    </w:p>
    <w:p w14:paraId="7AFF87AC" w14:textId="77777777" w:rsidR="0021298F" w:rsidRDefault="0021298F" w:rsidP="0021298F">
      <w:pPr>
        <w:rPr>
          <w:rFonts w:ascii="Arial" w:eastAsia="Times New Roman" w:hAnsi="Arial" w:cs="Arial"/>
          <w:b/>
          <w:szCs w:val="26"/>
        </w:rPr>
      </w:pPr>
    </w:p>
    <w:p w14:paraId="3804CB78" w14:textId="77777777" w:rsidR="0021298F" w:rsidRPr="008B6C68" w:rsidRDefault="0021298F" w:rsidP="0021298F">
      <w:pPr>
        <w:pStyle w:val="Heading4"/>
        <w:spacing w:before="0"/>
        <w:rPr>
          <w:rFonts w:ascii="Arial" w:eastAsia="Times New Roman" w:hAnsi="Arial" w:cs="Arial"/>
        </w:rPr>
      </w:pPr>
      <w:r>
        <w:rPr>
          <w:rFonts w:ascii="Arial" w:hAnsi="Arial" w:cs="Arial"/>
          <w:color w:val="auto"/>
        </w:rPr>
        <w:t>Investment Performance</w:t>
      </w:r>
    </w:p>
    <w:p w14:paraId="2AFE8958" w14:textId="77777777" w:rsidR="0021298F" w:rsidRDefault="0021298F" w:rsidP="0021298F">
      <w:pPr>
        <w:jc w:val="both"/>
        <w:rPr>
          <w:rFonts w:ascii="Arial" w:eastAsia="Times New Roman" w:hAnsi="Arial" w:cs="Arial"/>
        </w:rPr>
      </w:pPr>
      <w:r>
        <w:rPr>
          <w:rFonts w:ascii="Arial" w:eastAsia="Times New Roman" w:hAnsi="Arial" w:cs="Arial"/>
        </w:rPr>
        <w:t>NAV at 31 December 2020 was €748.8 million (101.0 cent per share), which is a reduction from NAV at 31 December 2019, which was €650.0 million (103.1 cent per share). During the year, the 2.1 cent NAV per share decrease is attributable to:</w:t>
      </w:r>
    </w:p>
    <w:p w14:paraId="01E7CB24" w14:textId="77777777" w:rsidR="0021298F" w:rsidRDefault="0021298F" w:rsidP="0021298F">
      <w:pPr>
        <w:jc w:val="both"/>
        <w:rPr>
          <w:rFonts w:ascii="Arial" w:eastAsia="Times New Roman" w:hAnsi="Arial" w:cs="Arial"/>
        </w:rPr>
      </w:pPr>
    </w:p>
    <w:tbl>
      <w:tblPr>
        <w:tblW w:w="5000" w:type="pct"/>
        <w:tblLook w:val="04A0" w:firstRow="1" w:lastRow="0" w:firstColumn="1" w:lastColumn="0" w:noHBand="0" w:noVBand="1"/>
      </w:tblPr>
      <w:tblGrid>
        <w:gridCol w:w="6358"/>
        <w:gridCol w:w="2668"/>
      </w:tblGrid>
      <w:tr w:rsidR="0021298F" w:rsidRPr="004B197E" w14:paraId="0047BAB7" w14:textId="77777777" w:rsidTr="00760009">
        <w:trPr>
          <w:trHeight w:val="300"/>
        </w:trPr>
        <w:tc>
          <w:tcPr>
            <w:tcW w:w="3522" w:type="pct"/>
            <w:tcBorders>
              <w:top w:val="nil"/>
              <w:left w:val="nil"/>
              <w:bottom w:val="nil"/>
              <w:right w:val="nil"/>
            </w:tcBorders>
            <w:shd w:val="clear" w:color="auto" w:fill="auto"/>
            <w:noWrap/>
            <w:vAlign w:val="bottom"/>
            <w:hideMark/>
          </w:tcPr>
          <w:p w14:paraId="3468D336" w14:textId="77777777" w:rsidR="0021298F" w:rsidRPr="004B197E" w:rsidRDefault="0021298F" w:rsidP="00760009">
            <w:pPr>
              <w:rPr>
                <w:rFonts w:ascii="Times New Roman" w:eastAsia="Times New Roman" w:hAnsi="Times New Roman" w:cs="Times New Roman"/>
                <w:lang w:eastAsia="zh-CN"/>
              </w:rPr>
            </w:pPr>
          </w:p>
        </w:tc>
        <w:tc>
          <w:tcPr>
            <w:tcW w:w="1478" w:type="pct"/>
            <w:tcBorders>
              <w:top w:val="nil"/>
              <w:left w:val="nil"/>
              <w:bottom w:val="single" w:sz="4" w:space="0" w:color="auto"/>
              <w:right w:val="nil"/>
            </w:tcBorders>
            <w:shd w:val="clear" w:color="000000" w:fill="EDFFB7"/>
            <w:noWrap/>
            <w:vAlign w:val="center"/>
            <w:hideMark/>
          </w:tcPr>
          <w:p w14:paraId="347B7BC3" w14:textId="77777777" w:rsidR="0021298F" w:rsidRPr="004B197E" w:rsidRDefault="0021298F" w:rsidP="00760009">
            <w:pPr>
              <w:jc w:val="right"/>
              <w:rPr>
                <w:rFonts w:ascii="Arial" w:eastAsia="Times New Roman" w:hAnsi="Arial" w:cs="Arial"/>
                <w:b/>
                <w:bCs/>
                <w:color w:val="000000"/>
                <w:lang w:eastAsia="zh-CN"/>
              </w:rPr>
            </w:pPr>
            <w:r>
              <w:rPr>
                <w:rFonts w:ascii="Arial" w:eastAsia="Times New Roman" w:hAnsi="Arial" w:cs="Arial"/>
                <w:b/>
                <w:bCs/>
                <w:color w:val="000000"/>
                <w:lang w:eastAsia="zh-CN"/>
              </w:rPr>
              <w:t>cent per share</w:t>
            </w:r>
          </w:p>
        </w:tc>
      </w:tr>
      <w:tr w:rsidR="0021298F" w:rsidRPr="004B197E" w14:paraId="7E94DF86" w14:textId="77777777" w:rsidTr="00760009">
        <w:trPr>
          <w:trHeight w:val="300"/>
        </w:trPr>
        <w:tc>
          <w:tcPr>
            <w:tcW w:w="3522" w:type="pct"/>
            <w:tcBorders>
              <w:top w:val="single" w:sz="4" w:space="0" w:color="auto"/>
              <w:left w:val="nil"/>
              <w:bottom w:val="nil"/>
              <w:right w:val="nil"/>
            </w:tcBorders>
            <w:shd w:val="clear" w:color="auto" w:fill="auto"/>
            <w:vAlign w:val="center"/>
            <w:hideMark/>
          </w:tcPr>
          <w:p w14:paraId="5AD2ADE9" w14:textId="77777777" w:rsidR="0021298F" w:rsidRPr="004B197E" w:rsidRDefault="0021298F" w:rsidP="00760009">
            <w:pPr>
              <w:jc w:val="both"/>
              <w:rPr>
                <w:rFonts w:ascii="Arial" w:eastAsia="Times New Roman" w:hAnsi="Arial" w:cs="Arial"/>
                <w:b/>
                <w:bCs/>
                <w:color w:val="000000"/>
                <w:lang w:eastAsia="zh-CN"/>
              </w:rPr>
            </w:pPr>
            <w:r>
              <w:rPr>
                <w:rFonts w:ascii="Arial" w:eastAsia="Times New Roman" w:hAnsi="Arial" w:cs="Arial"/>
                <w:b/>
                <w:bCs/>
                <w:color w:val="000000"/>
                <w:lang w:eastAsia="zh-CN"/>
              </w:rPr>
              <w:t>NAV per share at 31 December 2019</w:t>
            </w:r>
          </w:p>
        </w:tc>
        <w:tc>
          <w:tcPr>
            <w:tcW w:w="1478" w:type="pct"/>
            <w:tcBorders>
              <w:top w:val="nil"/>
              <w:left w:val="nil"/>
              <w:bottom w:val="nil"/>
              <w:right w:val="nil"/>
            </w:tcBorders>
            <w:shd w:val="clear" w:color="000000" w:fill="EDFFB7"/>
            <w:vAlign w:val="center"/>
            <w:hideMark/>
          </w:tcPr>
          <w:p w14:paraId="5F669CA9" w14:textId="77777777" w:rsidR="0021298F" w:rsidRPr="004B197E" w:rsidRDefault="0021298F" w:rsidP="00760009">
            <w:pPr>
              <w:jc w:val="right"/>
              <w:rPr>
                <w:rFonts w:ascii="Arial" w:eastAsia="Times New Roman" w:hAnsi="Arial" w:cs="Arial"/>
                <w:b/>
                <w:bCs/>
                <w:color w:val="000000"/>
                <w:lang w:eastAsia="zh-CN"/>
              </w:rPr>
            </w:pPr>
            <w:r>
              <w:rPr>
                <w:rFonts w:ascii="Arial" w:eastAsia="Times New Roman" w:hAnsi="Arial" w:cs="Arial"/>
                <w:b/>
                <w:bCs/>
                <w:color w:val="000000"/>
                <w:lang w:eastAsia="zh-CN"/>
              </w:rPr>
              <w:t>103.1</w:t>
            </w:r>
          </w:p>
        </w:tc>
      </w:tr>
      <w:tr w:rsidR="0021298F" w:rsidRPr="004B197E" w14:paraId="0A506A8D" w14:textId="77777777" w:rsidTr="00760009">
        <w:trPr>
          <w:trHeight w:val="285"/>
        </w:trPr>
        <w:tc>
          <w:tcPr>
            <w:tcW w:w="3522" w:type="pct"/>
            <w:tcBorders>
              <w:top w:val="nil"/>
              <w:left w:val="nil"/>
              <w:bottom w:val="nil"/>
              <w:right w:val="nil"/>
            </w:tcBorders>
            <w:shd w:val="clear" w:color="auto" w:fill="auto"/>
            <w:vAlign w:val="center"/>
            <w:hideMark/>
          </w:tcPr>
          <w:p w14:paraId="3050199B" w14:textId="77777777" w:rsidR="0021298F" w:rsidRPr="004B197E" w:rsidRDefault="0021298F" w:rsidP="00760009">
            <w:pPr>
              <w:jc w:val="both"/>
              <w:rPr>
                <w:rFonts w:ascii="Arial" w:eastAsia="Times New Roman" w:hAnsi="Arial" w:cs="Arial"/>
                <w:color w:val="000000"/>
                <w:lang w:eastAsia="zh-CN"/>
              </w:rPr>
            </w:pPr>
            <w:r>
              <w:rPr>
                <w:rFonts w:ascii="Arial" w:eastAsia="Times New Roman" w:hAnsi="Arial" w:cs="Arial"/>
                <w:color w:val="000000"/>
                <w:lang w:eastAsia="zh-CN"/>
              </w:rPr>
              <w:t>Group and wind farm SPV net cash generated</w:t>
            </w:r>
          </w:p>
        </w:tc>
        <w:tc>
          <w:tcPr>
            <w:tcW w:w="1478" w:type="pct"/>
            <w:tcBorders>
              <w:top w:val="nil"/>
              <w:left w:val="nil"/>
              <w:bottom w:val="nil"/>
              <w:right w:val="nil"/>
            </w:tcBorders>
            <w:shd w:val="clear" w:color="000000" w:fill="EDFFB7"/>
            <w:vAlign w:val="center"/>
          </w:tcPr>
          <w:p w14:paraId="0BF327F4" w14:textId="77777777" w:rsidR="0021298F" w:rsidRPr="004B197E" w:rsidRDefault="0021298F" w:rsidP="00760009">
            <w:pPr>
              <w:jc w:val="right"/>
              <w:rPr>
                <w:rFonts w:ascii="Arial" w:eastAsia="Times New Roman" w:hAnsi="Arial" w:cs="Arial"/>
                <w:color w:val="000000"/>
                <w:lang w:eastAsia="zh-CN"/>
              </w:rPr>
            </w:pPr>
            <w:r>
              <w:rPr>
                <w:rFonts w:ascii="Arial" w:eastAsia="Times New Roman" w:hAnsi="Arial" w:cs="Arial"/>
                <w:color w:val="000000"/>
                <w:lang w:eastAsia="zh-CN"/>
              </w:rPr>
              <w:t>10.5</w:t>
            </w:r>
          </w:p>
        </w:tc>
      </w:tr>
      <w:tr w:rsidR="0021298F" w:rsidRPr="004B197E" w14:paraId="1519BAD2" w14:textId="77777777" w:rsidTr="00760009">
        <w:trPr>
          <w:trHeight w:val="285"/>
        </w:trPr>
        <w:tc>
          <w:tcPr>
            <w:tcW w:w="3522" w:type="pct"/>
            <w:tcBorders>
              <w:top w:val="nil"/>
              <w:left w:val="nil"/>
              <w:bottom w:val="nil"/>
              <w:right w:val="nil"/>
            </w:tcBorders>
            <w:shd w:val="clear" w:color="auto" w:fill="auto"/>
            <w:vAlign w:val="center"/>
            <w:hideMark/>
          </w:tcPr>
          <w:p w14:paraId="4A144B75" w14:textId="77777777" w:rsidR="0021298F" w:rsidRPr="004B197E" w:rsidRDefault="0021298F" w:rsidP="00760009">
            <w:pPr>
              <w:jc w:val="both"/>
              <w:rPr>
                <w:rFonts w:ascii="Arial" w:eastAsia="Times New Roman" w:hAnsi="Arial" w:cs="Arial"/>
                <w:color w:val="000000"/>
                <w:lang w:eastAsia="zh-CN"/>
              </w:rPr>
            </w:pPr>
            <w:r>
              <w:rPr>
                <w:rFonts w:ascii="Arial" w:eastAsia="Times New Roman" w:hAnsi="Arial" w:cs="Arial"/>
                <w:color w:val="000000"/>
                <w:lang w:eastAsia="zh-CN"/>
              </w:rPr>
              <w:t>Portfolio valuation depreciation</w:t>
            </w:r>
          </w:p>
        </w:tc>
        <w:tc>
          <w:tcPr>
            <w:tcW w:w="1478" w:type="pct"/>
            <w:tcBorders>
              <w:top w:val="nil"/>
              <w:left w:val="nil"/>
              <w:bottom w:val="nil"/>
              <w:right w:val="nil"/>
            </w:tcBorders>
            <w:shd w:val="clear" w:color="000000" w:fill="EDFFB7"/>
            <w:vAlign w:val="center"/>
          </w:tcPr>
          <w:p w14:paraId="079FB61A" w14:textId="77777777" w:rsidR="0021298F" w:rsidRPr="004B197E" w:rsidRDefault="0021298F" w:rsidP="00760009">
            <w:pPr>
              <w:jc w:val="right"/>
              <w:rPr>
                <w:rFonts w:ascii="Arial" w:eastAsia="Times New Roman" w:hAnsi="Arial" w:cs="Arial"/>
                <w:color w:val="000000"/>
                <w:lang w:eastAsia="zh-CN"/>
              </w:rPr>
            </w:pPr>
            <w:r>
              <w:rPr>
                <w:rFonts w:ascii="Arial" w:eastAsia="Times New Roman" w:hAnsi="Arial" w:cs="Arial"/>
                <w:color w:val="000000"/>
                <w:lang w:eastAsia="zh-CN"/>
              </w:rPr>
              <w:t>(4.5)</w:t>
            </w:r>
          </w:p>
        </w:tc>
      </w:tr>
      <w:tr w:rsidR="0021298F" w:rsidRPr="004B197E" w14:paraId="569A78C1" w14:textId="77777777" w:rsidTr="00760009">
        <w:trPr>
          <w:trHeight w:val="285"/>
        </w:trPr>
        <w:tc>
          <w:tcPr>
            <w:tcW w:w="3522" w:type="pct"/>
            <w:tcBorders>
              <w:top w:val="nil"/>
              <w:left w:val="nil"/>
              <w:bottom w:val="nil"/>
              <w:right w:val="nil"/>
            </w:tcBorders>
            <w:shd w:val="clear" w:color="auto" w:fill="auto"/>
            <w:vAlign w:val="center"/>
            <w:hideMark/>
          </w:tcPr>
          <w:p w14:paraId="1720C6AF" w14:textId="77777777" w:rsidR="0021298F" w:rsidRPr="004B197E" w:rsidRDefault="0021298F" w:rsidP="00760009">
            <w:pPr>
              <w:jc w:val="both"/>
              <w:rPr>
                <w:rFonts w:ascii="Arial" w:eastAsia="Times New Roman" w:hAnsi="Arial" w:cs="Arial"/>
                <w:color w:val="000000"/>
                <w:lang w:eastAsia="zh-CN"/>
              </w:rPr>
            </w:pPr>
            <w:r>
              <w:rPr>
                <w:rFonts w:ascii="Arial" w:eastAsia="Times New Roman" w:hAnsi="Arial" w:cs="Arial"/>
                <w:color w:val="000000"/>
                <w:lang w:eastAsia="zh-CN"/>
              </w:rPr>
              <w:t>Dividends paid to shareholders during the year</w:t>
            </w:r>
          </w:p>
        </w:tc>
        <w:tc>
          <w:tcPr>
            <w:tcW w:w="1478" w:type="pct"/>
            <w:tcBorders>
              <w:top w:val="nil"/>
              <w:left w:val="nil"/>
              <w:bottom w:val="nil"/>
              <w:right w:val="nil"/>
            </w:tcBorders>
            <w:shd w:val="clear" w:color="000000" w:fill="EDFFB7"/>
            <w:vAlign w:val="center"/>
          </w:tcPr>
          <w:p w14:paraId="5F72EA7C" w14:textId="77777777" w:rsidR="0021298F" w:rsidRPr="004B197E" w:rsidRDefault="0021298F" w:rsidP="00760009">
            <w:pPr>
              <w:jc w:val="right"/>
              <w:rPr>
                <w:rFonts w:ascii="Arial" w:eastAsia="Times New Roman" w:hAnsi="Arial" w:cs="Arial"/>
                <w:color w:val="000000"/>
                <w:lang w:eastAsia="zh-CN"/>
              </w:rPr>
            </w:pPr>
            <w:r>
              <w:rPr>
                <w:rFonts w:ascii="Arial" w:eastAsia="Times New Roman" w:hAnsi="Arial" w:cs="Arial"/>
                <w:color w:val="000000"/>
                <w:lang w:eastAsia="zh-CN"/>
              </w:rPr>
              <w:t>(6.1)</w:t>
            </w:r>
          </w:p>
        </w:tc>
      </w:tr>
      <w:tr w:rsidR="0021298F" w:rsidRPr="004B197E" w14:paraId="38C8AD7A" w14:textId="77777777" w:rsidTr="00760009">
        <w:trPr>
          <w:trHeight w:val="285"/>
        </w:trPr>
        <w:tc>
          <w:tcPr>
            <w:tcW w:w="3522" w:type="pct"/>
            <w:tcBorders>
              <w:top w:val="nil"/>
              <w:left w:val="nil"/>
              <w:bottom w:val="nil"/>
              <w:right w:val="nil"/>
            </w:tcBorders>
            <w:shd w:val="clear" w:color="auto" w:fill="auto"/>
            <w:vAlign w:val="center"/>
          </w:tcPr>
          <w:p w14:paraId="7F17588E" w14:textId="77777777" w:rsidR="0021298F" w:rsidRDefault="0021298F" w:rsidP="00760009">
            <w:pPr>
              <w:jc w:val="both"/>
              <w:rPr>
                <w:rFonts w:ascii="Arial" w:eastAsia="Times New Roman" w:hAnsi="Arial" w:cs="Arial"/>
                <w:color w:val="000000"/>
                <w:lang w:eastAsia="zh-CN"/>
              </w:rPr>
            </w:pPr>
            <w:r>
              <w:rPr>
                <w:rFonts w:ascii="Arial" w:eastAsia="Times New Roman" w:hAnsi="Arial" w:cs="Arial"/>
                <w:color w:val="000000"/>
                <w:lang w:eastAsia="zh-CN"/>
              </w:rPr>
              <w:t>NAV-accretive share issuance and equity raise</w:t>
            </w:r>
          </w:p>
        </w:tc>
        <w:tc>
          <w:tcPr>
            <w:tcW w:w="1478" w:type="pct"/>
            <w:tcBorders>
              <w:top w:val="nil"/>
              <w:left w:val="nil"/>
              <w:bottom w:val="nil"/>
              <w:right w:val="nil"/>
            </w:tcBorders>
            <w:shd w:val="clear" w:color="000000" w:fill="EDFFB7"/>
            <w:vAlign w:val="center"/>
          </w:tcPr>
          <w:p w14:paraId="3DAD34A0" w14:textId="77777777" w:rsidR="0021298F" w:rsidRDefault="0021298F" w:rsidP="00760009">
            <w:pPr>
              <w:jc w:val="right"/>
              <w:rPr>
                <w:rFonts w:ascii="Arial" w:eastAsia="Times New Roman" w:hAnsi="Arial" w:cs="Arial"/>
                <w:color w:val="000000"/>
                <w:lang w:eastAsia="zh-CN"/>
              </w:rPr>
            </w:pPr>
            <w:r>
              <w:rPr>
                <w:rFonts w:ascii="Arial" w:eastAsia="Times New Roman" w:hAnsi="Arial" w:cs="Arial"/>
                <w:color w:val="000000"/>
                <w:lang w:eastAsia="zh-CN"/>
              </w:rPr>
              <w:t>1.5</w:t>
            </w:r>
          </w:p>
        </w:tc>
      </w:tr>
      <w:tr w:rsidR="0021298F" w:rsidRPr="004B197E" w14:paraId="28AAEF0A" w14:textId="77777777" w:rsidTr="00760009">
        <w:trPr>
          <w:trHeight w:val="285"/>
        </w:trPr>
        <w:tc>
          <w:tcPr>
            <w:tcW w:w="3522" w:type="pct"/>
            <w:tcBorders>
              <w:top w:val="nil"/>
              <w:left w:val="nil"/>
              <w:bottom w:val="nil"/>
              <w:right w:val="nil"/>
            </w:tcBorders>
            <w:shd w:val="clear" w:color="auto" w:fill="auto"/>
            <w:vAlign w:val="center"/>
            <w:hideMark/>
          </w:tcPr>
          <w:p w14:paraId="05B3E283" w14:textId="77777777" w:rsidR="0021298F" w:rsidRPr="004B197E" w:rsidRDefault="0021298F" w:rsidP="00760009">
            <w:pPr>
              <w:jc w:val="both"/>
              <w:rPr>
                <w:rFonts w:ascii="Arial" w:eastAsia="Times New Roman" w:hAnsi="Arial" w:cs="Arial"/>
                <w:color w:val="000000"/>
                <w:lang w:eastAsia="zh-CN"/>
              </w:rPr>
            </w:pPr>
            <w:r>
              <w:rPr>
                <w:rFonts w:ascii="Arial" w:eastAsia="Times New Roman" w:hAnsi="Arial" w:cs="Arial"/>
                <w:color w:val="000000"/>
                <w:lang w:eastAsia="zh-CN"/>
              </w:rPr>
              <w:t>Changes to macroeconomic assumptions</w:t>
            </w:r>
          </w:p>
        </w:tc>
        <w:tc>
          <w:tcPr>
            <w:tcW w:w="1478" w:type="pct"/>
            <w:tcBorders>
              <w:top w:val="nil"/>
              <w:left w:val="nil"/>
              <w:bottom w:val="nil"/>
              <w:right w:val="nil"/>
            </w:tcBorders>
            <w:shd w:val="clear" w:color="000000" w:fill="EDFFB7"/>
            <w:vAlign w:val="center"/>
          </w:tcPr>
          <w:p w14:paraId="6105701D" w14:textId="77777777" w:rsidR="0021298F" w:rsidRPr="004B197E" w:rsidRDefault="0021298F" w:rsidP="00760009">
            <w:pPr>
              <w:jc w:val="right"/>
              <w:rPr>
                <w:rFonts w:ascii="Arial" w:eastAsia="Times New Roman" w:hAnsi="Arial" w:cs="Arial"/>
                <w:color w:val="000000"/>
                <w:lang w:eastAsia="zh-CN"/>
              </w:rPr>
            </w:pPr>
            <w:r>
              <w:rPr>
                <w:rFonts w:ascii="Arial" w:eastAsia="Times New Roman" w:hAnsi="Arial" w:cs="Arial"/>
                <w:color w:val="000000"/>
                <w:lang w:eastAsia="zh-CN"/>
              </w:rPr>
              <w:t>(4.0)</w:t>
            </w:r>
          </w:p>
        </w:tc>
      </w:tr>
      <w:tr w:rsidR="0021298F" w:rsidRPr="004B197E" w14:paraId="64DF99BE" w14:textId="77777777" w:rsidTr="00760009">
        <w:trPr>
          <w:trHeight w:val="285"/>
        </w:trPr>
        <w:tc>
          <w:tcPr>
            <w:tcW w:w="3522" w:type="pct"/>
            <w:tcBorders>
              <w:top w:val="nil"/>
              <w:left w:val="nil"/>
              <w:bottom w:val="nil"/>
              <w:right w:val="nil"/>
            </w:tcBorders>
            <w:shd w:val="clear" w:color="auto" w:fill="auto"/>
            <w:vAlign w:val="center"/>
          </w:tcPr>
          <w:p w14:paraId="40A118B1" w14:textId="77777777" w:rsidR="0021298F" w:rsidRDefault="0021298F" w:rsidP="00760009">
            <w:pPr>
              <w:jc w:val="both"/>
              <w:rPr>
                <w:rFonts w:ascii="Arial" w:eastAsia="Times New Roman" w:hAnsi="Arial" w:cs="Arial"/>
                <w:color w:val="000000"/>
                <w:lang w:eastAsia="zh-CN"/>
              </w:rPr>
            </w:pPr>
            <w:r>
              <w:rPr>
                <w:rFonts w:ascii="Arial" w:eastAsia="Times New Roman" w:hAnsi="Arial" w:cs="Arial"/>
                <w:color w:val="000000"/>
                <w:lang w:eastAsia="zh-CN"/>
              </w:rPr>
              <w:t>Reduction in discount rate for the Irish portfolio</w:t>
            </w:r>
          </w:p>
        </w:tc>
        <w:tc>
          <w:tcPr>
            <w:tcW w:w="1478" w:type="pct"/>
            <w:tcBorders>
              <w:top w:val="nil"/>
              <w:left w:val="nil"/>
              <w:bottom w:val="nil"/>
              <w:right w:val="nil"/>
            </w:tcBorders>
            <w:shd w:val="clear" w:color="000000" w:fill="EDFFB7"/>
            <w:vAlign w:val="center"/>
          </w:tcPr>
          <w:p w14:paraId="7F3D11C4" w14:textId="77777777" w:rsidR="0021298F" w:rsidRDefault="0021298F" w:rsidP="00760009">
            <w:pPr>
              <w:jc w:val="right"/>
              <w:rPr>
                <w:rFonts w:ascii="Arial" w:eastAsia="Times New Roman" w:hAnsi="Arial" w:cs="Arial"/>
                <w:color w:val="000000"/>
                <w:lang w:eastAsia="zh-CN"/>
              </w:rPr>
            </w:pPr>
            <w:r>
              <w:rPr>
                <w:rFonts w:ascii="Arial" w:eastAsia="Times New Roman" w:hAnsi="Arial" w:cs="Arial"/>
                <w:color w:val="000000"/>
                <w:lang w:eastAsia="zh-CN"/>
              </w:rPr>
              <w:t>2.0</w:t>
            </w:r>
          </w:p>
        </w:tc>
      </w:tr>
      <w:tr w:rsidR="0021298F" w:rsidRPr="004B197E" w14:paraId="474A679D" w14:textId="77777777" w:rsidTr="00760009">
        <w:trPr>
          <w:trHeight w:val="285"/>
        </w:trPr>
        <w:tc>
          <w:tcPr>
            <w:tcW w:w="3522" w:type="pct"/>
            <w:tcBorders>
              <w:top w:val="nil"/>
              <w:left w:val="nil"/>
              <w:bottom w:val="nil"/>
              <w:right w:val="nil"/>
            </w:tcBorders>
            <w:shd w:val="clear" w:color="auto" w:fill="auto"/>
            <w:vAlign w:val="center"/>
            <w:hideMark/>
          </w:tcPr>
          <w:p w14:paraId="7119EC81" w14:textId="77777777" w:rsidR="0021298F" w:rsidRPr="004B197E" w:rsidRDefault="0021298F" w:rsidP="00760009">
            <w:pPr>
              <w:jc w:val="both"/>
              <w:rPr>
                <w:rFonts w:ascii="Arial" w:eastAsia="Times New Roman" w:hAnsi="Arial" w:cs="Arial"/>
                <w:color w:val="000000"/>
                <w:lang w:eastAsia="zh-CN"/>
              </w:rPr>
            </w:pPr>
            <w:r>
              <w:rPr>
                <w:rFonts w:ascii="Arial" w:eastAsia="Times New Roman" w:hAnsi="Arial" w:cs="Arial"/>
                <w:color w:val="000000"/>
                <w:lang w:eastAsia="zh-CN"/>
              </w:rPr>
              <w:lastRenderedPageBreak/>
              <w:t>Adjustments to short term curtailment and other assumptions</w:t>
            </w:r>
          </w:p>
        </w:tc>
        <w:tc>
          <w:tcPr>
            <w:tcW w:w="1478" w:type="pct"/>
            <w:tcBorders>
              <w:top w:val="nil"/>
              <w:left w:val="nil"/>
              <w:bottom w:val="nil"/>
              <w:right w:val="nil"/>
            </w:tcBorders>
            <w:shd w:val="clear" w:color="000000" w:fill="EDFFB7"/>
            <w:vAlign w:val="center"/>
          </w:tcPr>
          <w:p w14:paraId="0A9312F1" w14:textId="77777777" w:rsidR="0021298F" w:rsidRPr="004B197E" w:rsidRDefault="0021298F" w:rsidP="00760009">
            <w:pPr>
              <w:jc w:val="right"/>
              <w:rPr>
                <w:rFonts w:ascii="Arial" w:eastAsia="Times New Roman" w:hAnsi="Arial" w:cs="Arial"/>
                <w:color w:val="000000"/>
                <w:lang w:eastAsia="zh-CN"/>
              </w:rPr>
            </w:pPr>
            <w:r>
              <w:rPr>
                <w:rFonts w:ascii="Arial" w:eastAsia="Times New Roman" w:hAnsi="Arial" w:cs="Arial"/>
                <w:color w:val="000000"/>
                <w:lang w:eastAsia="zh-CN"/>
              </w:rPr>
              <w:t>(1.5)</w:t>
            </w:r>
          </w:p>
        </w:tc>
      </w:tr>
      <w:tr w:rsidR="0021298F" w:rsidRPr="004B197E" w14:paraId="56981CCD" w14:textId="77777777" w:rsidTr="00760009">
        <w:trPr>
          <w:trHeight w:val="315"/>
        </w:trPr>
        <w:tc>
          <w:tcPr>
            <w:tcW w:w="3522" w:type="pct"/>
            <w:tcBorders>
              <w:top w:val="single" w:sz="4" w:space="0" w:color="auto"/>
              <w:left w:val="nil"/>
              <w:bottom w:val="single" w:sz="8" w:space="0" w:color="auto"/>
              <w:right w:val="nil"/>
            </w:tcBorders>
            <w:shd w:val="clear" w:color="auto" w:fill="auto"/>
            <w:vAlign w:val="center"/>
            <w:hideMark/>
          </w:tcPr>
          <w:p w14:paraId="0C75D77E" w14:textId="77777777" w:rsidR="0021298F" w:rsidRPr="004B197E" w:rsidRDefault="0021298F" w:rsidP="00760009">
            <w:pPr>
              <w:jc w:val="both"/>
              <w:rPr>
                <w:rFonts w:ascii="Arial" w:eastAsia="Times New Roman" w:hAnsi="Arial" w:cs="Arial"/>
                <w:b/>
                <w:bCs/>
                <w:color w:val="000000"/>
                <w:lang w:eastAsia="zh-CN"/>
              </w:rPr>
            </w:pPr>
            <w:r w:rsidRPr="004B197E">
              <w:rPr>
                <w:rFonts w:ascii="Arial" w:eastAsia="Times New Roman" w:hAnsi="Arial" w:cs="Arial"/>
                <w:b/>
                <w:bCs/>
                <w:color w:val="000000"/>
                <w:lang w:eastAsia="zh-CN"/>
              </w:rPr>
              <w:t>NAV</w:t>
            </w:r>
            <w:r>
              <w:rPr>
                <w:rFonts w:ascii="Arial" w:eastAsia="Times New Roman" w:hAnsi="Arial" w:cs="Arial"/>
                <w:b/>
                <w:bCs/>
                <w:color w:val="000000"/>
                <w:lang w:eastAsia="zh-CN"/>
              </w:rPr>
              <w:t xml:space="preserve"> per share</w:t>
            </w:r>
            <w:r w:rsidRPr="004B197E">
              <w:rPr>
                <w:rFonts w:ascii="Arial" w:eastAsia="Times New Roman" w:hAnsi="Arial" w:cs="Arial"/>
                <w:b/>
                <w:bCs/>
                <w:color w:val="000000"/>
                <w:lang w:eastAsia="zh-CN"/>
              </w:rPr>
              <w:t xml:space="preserve"> at 31 Dec</w:t>
            </w:r>
            <w:r>
              <w:rPr>
                <w:rFonts w:ascii="Arial" w:eastAsia="Times New Roman" w:hAnsi="Arial" w:cs="Arial"/>
                <w:b/>
                <w:bCs/>
                <w:color w:val="000000"/>
                <w:lang w:eastAsia="zh-CN"/>
              </w:rPr>
              <w:t>ember 2020</w:t>
            </w:r>
          </w:p>
        </w:tc>
        <w:tc>
          <w:tcPr>
            <w:tcW w:w="1478" w:type="pct"/>
            <w:tcBorders>
              <w:top w:val="single" w:sz="4" w:space="0" w:color="auto"/>
              <w:left w:val="nil"/>
              <w:bottom w:val="single" w:sz="8" w:space="0" w:color="auto"/>
              <w:right w:val="nil"/>
            </w:tcBorders>
            <w:shd w:val="clear" w:color="000000" w:fill="EDFFB7"/>
            <w:vAlign w:val="center"/>
          </w:tcPr>
          <w:p w14:paraId="1FD8AE01" w14:textId="77777777" w:rsidR="0021298F" w:rsidRPr="004B197E" w:rsidRDefault="0021298F" w:rsidP="00760009">
            <w:pPr>
              <w:jc w:val="right"/>
              <w:rPr>
                <w:rFonts w:ascii="Arial" w:eastAsia="Times New Roman" w:hAnsi="Arial" w:cs="Arial"/>
                <w:b/>
                <w:bCs/>
                <w:color w:val="000000"/>
                <w:lang w:eastAsia="zh-CN"/>
              </w:rPr>
            </w:pPr>
            <w:r>
              <w:rPr>
                <w:rFonts w:ascii="Arial" w:eastAsia="Times New Roman" w:hAnsi="Arial" w:cs="Arial"/>
                <w:b/>
                <w:bCs/>
                <w:color w:val="000000"/>
                <w:lang w:eastAsia="zh-CN"/>
              </w:rPr>
              <w:t>101.0</w:t>
            </w:r>
          </w:p>
        </w:tc>
      </w:tr>
    </w:tbl>
    <w:p w14:paraId="2495C668" w14:textId="77777777" w:rsidR="0021298F" w:rsidRDefault="0021298F" w:rsidP="0021298F">
      <w:pPr>
        <w:jc w:val="both"/>
        <w:rPr>
          <w:rFonts w:ascii="Arial" w:eastAsia="Times New Roman" w:hAnsi="Arial" w:cs="Arial"/>
        </w:rPr>
      </w:pPr>
    </w:p>
    <w:p w14:paraId="20E946C5" w14:textId="77777777" w:rsidR="0021298F" w:rsidRDefault="0021298F" w:rsidP="0021298F">
      <w:pPr>
        <w:jc w:val="both"/>
        <w:rPr>
          <w:rFonts w:ascii="Arial" w:eastAsia="Times New Roman" w:hAnsi="Arial" w:cs="Arial"/>
        </w:rPr>
      </w:pPr>
      <w:r>
        <w:rPr>
          <w:rFonts w:ascii="Arial" w:eastAsia="Times New Roman" w:hAnsi="Arial" w:cs="Arial"/>
        </w:rPr>
        <w:t xml:space="preserve">Total dividends of €38.2 million were paid in 2020. Total dividends of €39.9 million have been paid or declared with respect to 2020 (6.06 cent per share). The target dividend for 2021 is expected to remain flat at 6.06 cent per share despite negative CPI during 2020. </w:t>
      </w:r>
    </w:p>
    <w:p w14:paraId="304CB5E1" w14:textId="77777777" w:rsidR="0021298F" w:rsidRDefault="0021298F" w:rsidP="0021298F">
      <w:pPr>
        <w:pStyle w:val="Heading4"/>
        <w:spacing w:before="0"/>
        <w:rPr>
          <w:rFonts w:eastAsia="Times New Roman"/>
        </w:rPr>
      </w:pPr>
    </w:p>
    <w:tbl>
      <w:tblPr>
        <w:tblpPr w:leftFromText="180" w:rightFromText="180" w:bottomFromText="200" w:vertAnchor="text" w:horzAnchor="margin" w:tblpY="238"/>
        <w:tblW w:w="4966" w:type="pct"/>
        <w:tblLayout w:type="fixed"/>
        <w:tblLook w:val="04A0" w:firstRow="1" w:lastRow="0" w:firstColumn="1" w:lastColumn="0" w:noHBand="0" w:noVBand="1"/>
      </w:tblPr>
      <w:tblGrid>
        <w:gridCol w:w="5731"/>
        <w:gridCol w:w="1680"/>
        <w:gridCol w:w="751"/>
        <w:gridCol w:w="803"/>
      </w:tblGrid>
      <w:tr w:rsidR="0021298F" w14:paraId="32962D68" w14:textId="77777777" w:rsidTr="00760009">
        <w:trPr>
          <w:trHeight w:val="300"/>
        </w:trPr>
        <w:tc>
          <w:tcPr>
            <w:tcW w:w="3195" w:type="pct"/>
            <w:shd w:val="clear" w:color="auto" w:fill="FFFFFF"/>
            <w:noWrap/>
            <w:vAlign w:val="center"/>
          </w:tcPr>
          <w:p w14:paraId="09EA4911" w14:textId="77777777" w:rsidR="0021298F" w:rsidRDefault="0021298F" w:rsidP="00760009">
            <w:pPr>
              <w:rPr>
                <w:rFonts w:ascii="Arial" w:eastAsia="Times New Roman" w:hAnsi="Arial" w:cs="Arial"/>
                <w:color w:val="000000"/>
                <w:lang w:eastAsia="en-GB"/>
              </w:rPr>
            </w:pPr>
          </w:p>
        </w:tc>
        <w:tc>
          <w:tcPr>
            <w:tcW w:w="937" w:type="pct"/>
            <w:shd w:val="clear" w:color="auto" w:fill="auto"/>
            <w:noWrap/>
            <w:vAlign w:val="center"/>
          </w:tcPr>
          <w:p w14:paraId="7C01B9DC" w14:textId="77777777" w:rsidR="0021298F" w:rsidRDefault="0021298F" w:rsidP="00760009">
            <w:pPr>
              <w:jc w:val="right"/>
              <w:rPr>
                <w:rFonts w:ascii="Arial" w:eastAsia="Times New Roman" w:hAnsi="Arial" w:cs="Arial"/>
                <w:b/>
                <w:bCs/>
                <w:color w:val="000000"/>
                <w:lang w:eastAsia="en-GB"/>
              </w:rPr>
            </w:pPr>
            <w:r>
              <w:rPr>
                <w:rFonts w:ascii="Arial" w:eastAsia="Times New Roman" w:hAnsi="Arial" w:cs="Arial"/>
                <w:b/>
                <w:bCs/>
                <w:color w:val="000000"/>
                <w:lang w:eastAsia="en-GB"/>
              </w:rPr>
              <w:t>cent per share</w:t>
            </w:r>
          </w:p>
        </w:tc>
        <w:tc>
          <w:tcPr>
            <w:tcW w:w="419" w:type="pct"/>
            <w:shd w:val="clear" w:color="auto" w:fill="auto"/>
          </w:tcPr>
          <w:p w14:paraId="69441EF6" w14:textId="77777777" w:rsidR="0021298F" w:rsidRDefault="0021298F" w:rsidP="00760009">
            <w:pPr>
              <w:jc w:val="right"/>
              <w:rPr>
                <w:rFonts w:ascii="Arial" w:eastAsia="Times New Roman" w:hAnsi="Arial" w:cs="Arial"/>
                <w:b/>
                <w:bCs/>
                <w:color w:val="000000"/>
                <w:lang w:eastAsia="en-GB"/>
              </w:rPr>
            </w:pPr>
          </w:p>
        </w:tc>
        <w:tc>
          <w:tcPr>
            <w:tcW w:w="448" w:type="pct"/>
            <w:shd w:val="clear" w:color="auto" w:fill="auto"/>
            <w:noWrap/>
            <w:vAlign w:val="center"/>
          </w:tcPr>
          <w:p w14:paraId="7564AEE3" w14:textId="77777777" w:rsidR="0021298F" w:rsidRDefault="0021298F" w:rsidP="00760009">
            <w:pPr>
              <w:jc w:val="right"/>
              <w:rPr>
                <w:rFonts w:ascii="Arial" w:eastAsia="Times New Roman" w:hAnsi="Arial" w:cs="Arial"/>
                <w:b/>
                <w:bCs/>
                <w:color w:val="000000"/>
                <w:lang w:eastAsia="en-GB"/>
              </w:rPr>
            </w:pPr>
            <w:r>
              <w:rPr>
                <w:rFonts w:ascii="Arial" w:eastAsia="Times New Roman" w:hAnsi="Arial" w:cs="Arial"/>
                <w:b/>
                <w:bCs/>
                <w:color w:val="000000"/>
                <w:lang w:eastAsia="en-GB"/>
              </w:rPr>
              <w:t>per cent</w:t>
            </w:r>
          </w:p>
        </w:tc>
      </w:tr>
      <w:tr w:rsidR="0021298F" w14:paraId="4F4D459C" w14:textId="77777777" w:rsidTr="00760009">
        <w:trPr>
          <w:trHeight w:val="300"/>
        </w:trPr>
        <w:tc>
          <w:tcPr>
            <w:tcW w:w="3195" w:type="pct"/>
            <w:shd w:val="clear" w:color="auto" w:fill="FFFFFF"/>
            <w:noWrap/>
            <w:vAlign w:val="center"/>
            <w:hideMark/>
          </w:tcPr>
          <w:p w14:paraId="4658BAD5" w14:textId="77777777" w:rsidR="0021298F" w:rsidRDefault="0021298F" w:rsidP="00760009">
            <w:pPr>
              <w:rPr>
                <w:rFonts w:ascii="Arial" w:eastAsia="Times New Roman" w:hAnsi="Arial" w:cs="Arial"/>
                <w:color w:val="000000"/>
                <w:lang w:eastAsia="en-GB"/>
              </w:rPr>
            </w:pPr>
            <w:r>
              <w:rPr>
                <w:rFonts w:ascii="Arial" w:eastAsia="Times New Roman" w:hAnsi="Arial" w:cs="Arial"/>
                <w:color w:val="000000"/>
                <w:lang w:eastAsia="en-GB"/>
              </w:rPr>
              <w:t> </w:t>
            </w:r>
          </w:p>
        </w:tc>
        <w:tc>
          <w:tcPr>
            <w:tcW w:w="937" w:type="pct"/>
            <w:shd w:val="clear" w:color="auto" w:fill="EDFFB7"/>
            <w:noWrap/>
            <w:vAlign w:val="center"/>
            <w:hideMark/>
          </w:tcPr>
          <w:p w14:paraId="5504653B" w14:textId="77777777" w:rsidR="0021298F" w:rsidRDefault="0021298F" w:rsidP="00760009">
            <w:pPr>
              <w:jc w:val="right"/>
              <w:rPr>
                <w:rFonts w:ascii="Arial" w:eastAsia="Times New Roman" w:hAnsi="Arial" w:cs="Arial"/>
                <w:b/>
                <w:bCs/>
                <w:color w:val="000000"/>
                <w:lang w:eastAsia="en-GB"/>
              </w:rPr>
            </w:pPr>
            <w:r>
              <w:rPr>
                <w:rFonts w:ascii="Arial" w:eastAsia="Times New Roman" w:hAnsi="Arial" w:cs="Arial"/>
                <w:b/>
                <w:bCs/>
                <w:color w:val="000000"/>
                <w:lang w:eastAsia="en-GB"/>
              </w:rPr>
              <w:t> </w:t>
            </w:r>
          </w:p>
        </w:tc>
        <w:tc>
          <w:tcPr>
            <w:tcW w:w="419" w:type="pct"/>
            <w:shd w:val="clear" w:color="auto" w:fill="EDFFB7"/>
          </w:tcPr>
          <w:p w14:paraId="24AC58D5" w14:textId="77777777" w:rsidR="0021298F" w:rsidRDefault="0021298F" w:rsidP="00760009">
            <w:pPr>
              <w:jc w:val="right"/>
              <w:rPr>
                <w:rFonts w:ascii="Arial" w:eastAsia="Times New Roman" w:hAnsi="Arial" w:cs="Arial"/>
                <w:b/>
                <w:bCs/>
                <w:color w:val="000000"/>
                <w:lang w:eastAsia="en-GB"/>
              </w:rPr>
            </w:pPr>
          </w:p>
        </w:tc>
        <w:tc>
          <w:tcPr>
            <w:tcW w:w="448" w:type="pct"/>
            <w:shd w:val="clear" w:color="auto" w:fill="EDFFB7"/>
            <w:noWrap/>
            <w:vAlign w:val="center"/>
            <w:hideMark/>
          </w:tcPr>
          <w:p w14:paraId="02D8B967" w14:textId="77777777" w:rsidR="0021298F" w:rsidRDefault="0021298F" w:rsidP="00760009">
            <w:pPr>
              <w:jc w:val="right"/>
              <w:rPr>
                <w:rFonts w:ascii="Arial" w:eastAsia="Times New Roman" w:hAnsi="Arial" w:cs="Arial"/>
                <w:b/>
                <w:bCs/>
                <w:color w:val="000000"/>
                <w:lang w:eastAsia="en-GB"/>
              </w:rPr>
            </w:pPr>
            <w:r>
              <w:rPr>
                <w:rFonts w:ascii="Arial" w:eastAsia="Times New Roman" w:hAnsi="Arial" w:cs="Arial"/>
                <w:b/>
                <w:bCs/>
                <w:color w:val="000000"/>
                <w:lang w:eastAsia="en-GB"/>
              </w:rPr>
              <w:t> </w:t>
            </w:r>
          </w:p>
        </w:tc>
      </w:tr>
      <w:tr w:rsidR="0021298F" w14:paraId="6A34E916" w14:textId="77777777" w:rsidTr="00760009">
        <w:trPr>
          <w:trHeight w:val="285"/>
        </w:trPr>
        <w:tc>
          <w:tcPr>
            <w:tcW w:w="3195" w:type="pct"/>
            <w:shd w:val="clear" w:color="auto" w:fill="FFFFFF"/>
            <w:noWrap/>
            <w:vAlign w:val="bottom"/>
            <w:hideMark/>
          </w:tcPr>
          <w:p w14:paraId="62745D6B" w14:textId="77777777" w:rsidR="0021298F" w:rsidRDefault="0021298F" w:rsidP="00760009">
            <w:pPr>
              <w:rPr>
                <w:rFonts w:ascii="Arial" w:eastAsia="Times New Roman" w:hAnsi="Arial" w:cs="Arial"/>
                <w:color w:val="000000"/>
                <w:lang w:eastAsia="en-GB"/>
              </w:rPr>
            </w:pPr>
            <w:r>
              <w:rPr>
                <w:rFonts w:ascii="Arial" w:eastAsia="Times New Roman" w:hAnsi="Arial" w:cs="Arial"/>
                <w:color w:val="000000"/>
                <w:lang w:eastAsia="en-GB"/>
              </w:rPr>
              <w:t>NAV at 31 December 2019</w:t>
            </w:r>
          </w:p>
        </w:tc>
        <w:tc>
          <w:tcPr>
            <w:tcW w:w="937" w:type="pct"/>
            <w:shd w:val="clear" w:color="auto" w:fill="EDFFB7"/>
            <w:noWrap/>
            <w:vAlign w:val="center"/>
            <w:hideMark/>
          </w:tcPr>
          <w:p w14:paraId="2530CA5C" w14:textId="77777777" w:rsidR="0021298F" w:rsidRDefault="0021298F" w:rsidP="00760009">
            <w:pPr>
              <w:jc w:val="right"/>
              <w:rPr>
                <w:rFonts w:ascii="Arial" w:eastAsia="Times New Roman" w:hAnsi="Arial" w:cs="Arial"/>
                <w:color w:val="000000"/>
                <w:lang w:eastAsia="en-GB"/>
              </w:rPr>
            </w:pPr>
            <w:r>
              <w:rPr>
                <w:rFonts w:ascii="Arial" w:eastAsia="Times New Roman" w:hAnsi="Arial" w:cs="Arial"/>
                <w:color w:val="000000"/>
                <w:lang w:eastAsia="en-GB"/>
              </w:rPr>
              <w:t>103.1</w:t>
            </w:r>
          </w:p>
        </w:tc>
        <w:tc>
          <w:tcPr>
            <w:tcW w:w="419" w:type="pct"/>
            <w:shd w:val="clear" w:color="auto" w:fill="EDFFB7"/>
          </w:tcPr>
          <w:p w14:paraId="5BCFE1E5" w14:textId="77777777" w:rsidR="0021298F" w:rsidRDefault="0021298F" w:rsidP="00760009">
            <w:pPr>
              <w:ind w:left="-131" w:firstLine="131"/>
              <w:jc w:val="right"/>
              <w:rPr>
                <w:rFonts w:ascii="Arial" w:eastAsia="Times New Roman" w:hAnsi="Arial" w:cs="Arial"/>
                <w:color w:val="000000"/>
                <w:lang w:eastAsia="en-GB"/>
              </w:rPr>
            </w:pPr>
          </w:p>
        </w:tc>
        <w:tc>
          <w:tcPr>
            <w:tcW w:w="448" w:type="pct"/>
            <w:shd w:val="clear" w:color="auto" w:fill="EDFFB7"/>
            <w:noWrap/>
            <w:vAlign w:val="center"/>
            <w:hideMark/>
          </w:tcPr>
          <w:p w14:paraId="5119EA0E" w14:textId="77777777" w:rsidR="0021298F" w:rsidRDefault="0021298F" w:rsidP="00760009">
            <w:pPr>
              <w:jc w:val="right"/>
              <w:rPr>
                <w:rFonts w:ascii="Arial" w:eastAsia="Times New Roman" w:hAnsi="Arial" w:cs="Arial"/>
                <w:color w:val="000000"/>
                <w:lang w:eastAsia="en-GB"/>
              </w:rPr>
            </w:pPr>
            <w:r>
              <w:rPr>
                <w:rFonts w:ascii="Arial" w:eastAsia="Times New Roman" w:hAnsi="Arial" w:cs="Arial"/>
                <w:color w:val="000000"/>
                <w:lang w:eastAsia="en-GB"/>
              </w:rPr>
              <w:t> </w:t>
            </w:r>
          </w:p>
        </w:tc>
      </w:tr>
      <w:tr w:rsidR="0021298F" w14:paraId="0B397533" w14:textId="77777777" w:rsidTr="00760009">
        <w:trPr>
          <w:trHeight w:val="285"/>
        </w:trPr>
        <w:tc>
          <w:tcPr>
            <w:tcW w:w="3195" w:type="pct"/>
            <w:shd w:val="clear" w:color="auto" w:fill="FFFFFF"/>
            <w:noWrap/>
            <w:vAlign w:val="bottom"/>
            <w:hideMark/>
          </w:tcPr>
          <w:p w14:paraId="0ADECE35" w14:textId="77777777" w:rsidR="0021298F" w:rsidRDefault="0021298F" w:rsidP="00760009">
            <w:pPr>
              <w:rPr>
                <w:rFonts w:ascii="Arial" w:eastAsia="Times New Roman" w:hAnsi="Arial" w:cs="Arial"/>
                <w:color w:val="000000"/>
                <w:lang w:eastAsia="en-GB"/>
              </w:rPr>
            </w:pPr>
            <w:r>
              <w:rPr>
                <w:rFonts w:ascii="Arial" w:eastAsia="Times New Roman" w:hAnsi="Arial" w:cs="Arial"/>
                <w:color w:val="000000"/>
                <w:lang w:eastAsia="en-GB"/>
              </w:rPr>
              <w:t>Less February 2020 dividend</w:t>
            </w:r>
          </w:p>
        </w:tc>
        <w:tc>
          <w:tcPr>
            <w:tcW w:w="937" w:type="pct"/>
            <w:shd w:val="clear" w:color="auto" w:fill="EDFFB7"/>
            <w:noWrap/>
            <w:vAlign w:val="center"/>
            <w:hideMark/>
          </w:tcPr>
          <w:p w14:paraId="2099793C" w14:textId="77777777" w:rsidR="0021298F" w:rsidRDefault="0021298F" w:rsidP="00760009">
            <w:pPr>
              <w:jc w:val="right"/>
              <w:rPr>
                <w:rFonts w:ascii="Arial" w:eastAsia="Times New Roman" w:hAnsi="Arial" w:cs="Arial"/>
                <w:color w:val="000000"/>
                <w:lang w:eastAsia="en-GB"/>
              </w:rPr>
            </w:pPr>
            <w:r>
              <w:rPr>
                <w:rFonts w:ascii="Arial" w:eastAsia="Times New Roman" w:hAnsi="Arial" w:cs="Arial"/>
                <w:color w:val="000000"/>
                <w:lang w:eastAsia="en-GB"/>
              </w:rPr>
              <w:t>(1.5)</w:t>
            </w:r>
          </w:p>
        </w:tc>
        <w:tc>
          <w:tcPr>
            <w:tcW w:w="419" w:type="pct"/>
            <w:shd w:val="clear" w:color="auto" w:fill="EDFFB7"/>
          </w:tcPr>
          <w:p w14:paraId="3ACCAC31" w14:textId="77777777" w:rsidR="0021298F" w:rsidRDefault="0021298F" w:rsidP="00760009">
            <w:pPr>
              <w:ind w:left="-131" w:firstLine="131"/>
              <w:jc w:val="right"/>
              <w:rPr>
                <w:rFonts w:ascii="Arial" w:eastAsia="Times New Roman" w:hAnsi="Arial" w:cs="Arial"/>
                <w:color w:val="000000"/>
                <w:lang w:eastAsia="en-GB"/>
              </w:rPr>
            </w:pPr>
          </w:p>
        </w:tc>
        <w:tc>
          <w:tcPr>
            <w:tcW w:w="448" w:type="pct"/>
            <w:shd w:val="clear" w:color="auto" w:fill="EDFFB7"/>
            <w:noWrap/>
            <w:vAlign w:val="center"/>
            <w:hideMark/>
          </w:tcPr>
          <w:p w14:paraId="58F6B2E2" w14:textId="77777777" w:rsidR="0021298F" w:rsidRDefault="0021298F" w:rsidP="00760009">
            <w:pPr>
              <w:jc w:val="right"/>
              <w:rPr>
                <w:rFonts w:ascii="Arial" w:eastAsia="Times New Roman" w:hAnsi="Arial" w:cs="Arial"/>
                <w:color w:val="000000"/>
                <w:lang w:eastAsia="en-GB"/>
              </w:rPr>
            </w:pPr>
            <w:r>
              <w:rPr>
                <w:rFonts w:ascii="Arial" w:eastAsia="Times New Roman" w:hAnsi="Arial" w:cs="Arial"/>
                <w:color w:val="000000"/>
                <w:lang w:eastAsia="en-GB"/>
              </w:rPr>
              <w:t> </w:t>
            </w:r>
          </w:p>
        </w:tc>
      </w:tr>
      <w:tr w:rsidR="0021298F" w14:paraId="56E2A7F1" w14:textId="77777777" w:rsidTr="00760009">
        <w:trPr>
          <w:trHeight w:val="285"/>
        </w:trPr>
        <w:tc>
          <w:tcPr>
            <w:tcW w:w="3195" w:type="pct"/>
            <w:shd w:val="clear" w:color="auto" w:fill="FFFFFF"/>
            <w:noWrap/>
            <w:vAlign w:val="bottom"/>
            <w:hideMark/>
          </w:tcPr>
          <w:p w14:paraId="3651EAFD" w14:textId="77777777" w:rsidR="0021298F" w:rsidRDefault="0021298F" w:rsidP="00760009">
            <w:pPr>
              <w:rPr>
                <w:rFonts w:ascii="Arial" w:eastAsia="Times New Roman" w:hAnsi="Arial" w:cs="Arial"/>
                <w:color w:val="000000"/>
                <w:lang w:eastAsia="en-GB"/>
              </w:rPr>
            </w:pPr>
            <w:r>
              <w:rPr>
                <w:rFonts w:ascii="Arial" w:eastAsia="Times New Roman" w:hAnsi="Arial" w:cs="Arial"/>
                <w:color w:val="000000"/>
                <w:lang w:eastAsia="en-GB"/>
              </w:rPr>
              <w:t>NAV at 31 December 2019 (ex-dividend)</w:t>
            </w:r>
          </w:p>
        </w:tc>
        <w:tc>
          <w:tcPr>
            <w:tcW w:w="937" w:type="pct"/>
            <w:shd w:val="clear" w:color="auto" w:fill="EDFFB7"/>
            <w:noWrap/>
            <w:vAlign w:val="center"/>
            <w:hideMark/>
          </w:tcPr>
          <w:p w14:paraId="7FB0ADFE" w14:textId="77777777" w:rsidR="0021298F" w:rsidRDefault="0021298F" w:rsidP="00760009">
            <w:pPr>
              <w:jc w:val="right"/>
              <w:rPr>
                <w:rFonts w:ascii="Arial" w:eastAsia="Times New Roman" w:hAnsi="Arial" w:cs="Arial"/>
                <w:color w:val="000000"/>
                <w:lang w:eastAsia="en-GB"/>
              </w:rPr>
            </w:pPr>
            <w:r>
              <w:rPr>
                <w:rFonts w:ascii="Arial" w:eastAsia="Times New Roman" w:hAnsi="Arial" w:cs="Arial"/>
                <w:color w:val="000000"/>
                <w:lang w:eastAsia="en-GB"/>
              </w:rPr>
              <w:t>101.6</w:t>
            </w:r>
          </w:p>
        </w:tc>
        <w:tc>
          <w:tcPr>
            <w:tcW w:w="419" w:type="pct"/>
            <w:shd w:val="clear" w:color="auto" w:fill="EDFFB7"/>
          </w:tcPr>
          <w:p w14:paraId="380FF16B" w14:textId="77777777" w:rsidR="0021298F" w:rsidRDefault="0021298F" w:rsidP="00760009">
            <w:pPr>
              <w:ind w:left="-131" w:firstLine="131"/>
              <w:jc w:val="right"/>
              <w:rPr>
                <w:rFonts w:ascii="Arial" w:eastAsia="Times New Roman" w:hAnsi="Arial" w:cs="Arial"/>
                <w:color w:val="000000"/>
                <w:lang w:eastAsia="en-GB"/>
              </w:rPr>
            </w:pPr>
          </w:p>
        </w:tc>
        <w:tc>
          <w:tcPr>
            <w:tcW w:w="448" w:type="pct"/>
            <w:shd w:val="clear" w:color="auto" w:fill="EDFFB7"/>
            <w:noWrap/>
            <w:vAlign w:val="center"/>
            <w:hideMark/>
          </w:tcPr>
          <w:p w14:paraId="56AD715C" w14:textId="77777777" w:rsidR="0021298F" w:rsidRDefault="0021298F" w:rsidP="00760009">
            <w:pPr>
              <w:jc w:val="right"/>
              <w:rPr>
                <w:rFonts w:ascii="Arial" w:eastAsia="Times New Roman" w:hAnsi="Arial" w:cs="Arial"/>
                <w:color w:val="000000"/>
                <w:lang w:eastAsia="en-GB"/>
              </w:rPr>
            </w:pPr>
            <w:r>
              <w:rPr>
                <w:rFonts w:ascii="Arial" w:eastAsia="Times New Roman" w:hAnsi="Arial" w:cs="Arial"/>
                <w:color w:val="000000"/>
                <w:lang w:eastAsia="en-GB"/>
              </w:rPr>
              <w:t> </w:t>
            </w:r>
          </w:p>
        </w:tc>
      </w:tr>
      <w:tr w:rsidR="0021298F" w14:paraId="32DD546B" w14:textId="77777777" w:rsidTr="00760009">
        <w:trPr>
          <w:trHeight w:val="285"/>
        </w:trPr>
        <w:tc>
          <w:tcPr>
            <w:tcW w:w="3195" w:type="pct"/>
            <w:shd w:val="clear" w:color="auto" w:fill="FFFFFF"/>
            <w:noWrap/>
            <w:vAlign w:val="bottom"/>
            <w:hideMark/>
          </w:tcPr>
          <w:p w14:paraId="5051BA5E" w14:textId="77777777" w:rsidR="0021298F" w:rsidRDefault="0021298F" w:rsidP="00760009">
            <w:pPr>
              <w:rPr>
                <w:rFonts w:ascii="Arial" w:eastAsia="Times New Roman" w:hAnsi="Arial" w:cs="Arial"/>
                <w:color w:val="000000"/>
                <w:lang w:eastAsia="en-GB"/>
              </w:rPr>
            </w:pPr>
            <w:r>
              <w:rPr>
                <w:rFonts w:ascii="Arial" w:eastAsia="Times New Roman" w:hAnsi="Arial" w:cs="Arial"/>
                <w:color w:val="000000"/>
                <w:lang w:eastAsia="en-GB"/>
              </w:rPr>
              <w:t> </w:t>
            </w:r>
          </w:p>
        </w:tc>
        <w:tc>
          <w:tcPr>
            <w:tcW w:w="937" w:type="pct"/>
            <w:shd w:val="clear" w:color="auto" w:fill="EDFFB7"/>
            <w:noWrap/>
            <w:vAlign w:val="center"/>
            <w:hideMark/>
          </w:tcPr>
          <w:p w14:paraId="6A677E9D" w14:textId="77777777" w:rsidR="0021298F" w:rsidRDefault="0021298F" w:rsidP="00760009">
            <w:pPr>
              <w:jc w:val="right"/>
              <w:rPr>
                <w:rFonts w:ascii="Arial" w:eastAsia="Times New Roman" w:hAnsi="Arial" w:cs="Arial"/>
                <w:color w:val="000000"/>
                <w:lang w:eastAsia="en-GB"/>
              </w:rPr>
            </w:pPr>
            <w:r>
              <w:rPr>
                <w:rFonts w:ascii="Arial" w:eastAsia="Times New Roman" w:hAnsi="Arial" w:cs="Arial"/>
                <w:color w:val="000000"/>
                <w:lang w:eastAsia="en-GB"/>
              </w:rPr>
              <w:t> </w:t>
            </w:r>
          </w:p>
        </w:tc>
        <w:tc>
          <w:tcPr>
            <w:tcW w:w="419" w:type="pct"/>
            <w:shd w:val="clear" w:color="auto" w:fill="EDFFB7"/>
          </w:tcPr>
          <w:p w14:paraId="1F713E67" w14:textId="77777777" w:rsidR="0021298F" w:rsidRDefault="0021298F" w:rsidP="00760009">
            <w:pPr>
              <w:ind w:left="-131" w:firstLine="131"/>
              <w:jc w:val="right"/>
              <w:rPr>
                <w:rFonts w:ascii="Arial" w:eastAsia="Times New Roman" w:hAnsi="Arial" w:cs="Arial"/>
                <w:color w:val="000000"/>
                <w:lang w:eastAsia="en-GB"/>
              </w:rPr>
            </w:pPr>
          </w:p>
        </w:tc>
        <w:tc>
          <w:tcPr>
            <w:tcW w:w="448" w:type="pct"/>
            <w:shd w:val="clear" w:color="auto" w:fill="EDFFB7"/>
            <w:noWrap/>
            <w:vAlign w:val="center"/>
            <w:hideMark/>
          </w:tcPr>
          <w:p w14:paraId="5673C870" w14:textId="77777777" w:rsidR="0021298F" w:rsidRDefault="0021298F" w:rsidP="00760009">
            <w:pPr>
              <w:jc w:val="right"/>
              <w:rPr>
                <w:rFonts w:ascii="Arial" w:eastAsia="Times New Roman" w:hAnsi="Arial" w:cs="Arial"/>
                <w:color w:val="000000"/>
                <w:lang w:eastAsia="en-GB"/>
              </w:rPr>
            </w:pPr>
            <w:r>
              <w:rPr>
                <w:rFonts w:ascii="Arial" w:eastAsia="Times New Roman" w:hAnsi="Arial" w:cs="Arial"/>
                <w:color w:val="000000"/>
                <w:lang w:eastAsia="en-GB"/>
              </w:rPr>
              <w:t> </w:t>
            </w:r>
          </w:p>
        </w:tc>
      </w:tr>
      <w:tr w:rsidR="0021298F" w14:paraId="28B80187" w14:textId="77777777" w:rsidTr="00760009">
        <w:trPr>
          <w:trHeight w:val="285"/>
        </w:trPr>
        <w:tc>
          <w:tcPr>
            <w:tcW w:w="3195" w:type="pct"/>
            <w:shd w:val="clear" w:color="auto" w:fill="FFFFFF"/>
            <w:noWrap/>
            <w:vAlign w:val="bottom"/>
            <w:hideMark/>
          </w:tcPr>
          <w:p w14:paraId="6FFC5DA4" w14:textId="77777777" w:rsidR="0021298F" w:rsidRDefault="0021298F" w:rsidP="00760009">
            <w:pPr>
              <w:rPr>
                <w:rFonts w:ascii="Arial" w:eastAsia="Times New Roman" w:hAnsi="Arial" w:cs="Arial"/>
                <w:color w:val="000000"/>
                <w:lang w:eastAsia="en-GB"/>
              </w:rPr>
            </w:pPr>
            <w:r>
              <w:rPr>
                <w:rFonts w:ascii="Arial" w:eastAsia="Times New Roman" w:hAnsi="Arial" w:cs="Arial"/>
                <w:color w:val="000000"/>
                <w:lang w:eastAsia="en-GB"/>
              </w:rPr>
              <w:t>NAV at 31 December 2020</w:t>
            </w:r>
          </w:p>
        </w:tc>
        <w:tc>
          <w:tcPr>
            <w:tcW w:w="937" w:type="pct"/>
            <w:shd w:val="clear" w:color="auto" w:fill="EDFFB7"/>
            <w:noWrap/>
            <w:vAlign w:val="center"/>
            <w:hideMark/>
          </w:tcPr>
          <w:p w14:paraId="3FA15570" w14:textId="77777777" w:rsidR="0021298F" w:rsidRDefault="0021298F" w:rsidP="00760009">
            <w:pPr>
              <w:jc w:val="right"/>
              <w:rPr>
                <w:rFonts w:ascii="Arial" w:eastAsia="Times New Roman" w:hAnsi="Arial" w:cs="Arial"/>
                <w:color w:val="000000"/>
                <w:lang w:eastAsia="en-GB"/>
              </w:rPr>
            </w:pPr>
            <w:r>
              <w:rPr>
                <w:rFonts w:ascii="Arial" w:eastAsia="Times New Roman" w:hAnsi="Arial" w:cs="Arial"/>
                <w:color w:val="000000"/>
                <w:lang w:eastAsia="en-GB"/>
              </w:rPr>
              <w:t>101.0</w:t>
            </w:r>
          </w:p>
        </w:tc>
        <w:tc>
          <w:tcPr>
            <w:tcW w:w="419" w:type="pct"/>
            <w:shd w:val="clear" w:color="auto" w:fill="EDFFB7"/>
          </w:tcPr>
          <w:p w14:paraId="2B578314" w14:textId="77777777" w:rsidR="0021298F" w:rsidRDefault="0021298F" w:rsidP="00760009">
            <w:pPr>
              <w:ind w:left="-131" w:firstLine="131"/>
              <w:jc w:val="right"/>
              <w:rPr>
                <w:rFonts w:ascii="Arial" w:eastAsia="Times New Roman" w:hAnsi="Arial" w:cs="Arial"/>
                <w:color w:val="000000"/>
                <w:lang w:eastAsia="en-GB"/>
              </w:rPr>
            </w:pPr>
          </w:p>
        </w:tc>
        <w:tc>
          <w:tcPr>
            <w:tcW w:w="448" w:type="pct"/>
            <w:shd w:val="clear" w:color="auto" w:fill="EDFFB7"/>
            <w:noWrap/>
            <w:vAlign w:val="center"/>
            <w:hideMark/>
          </w:tcPr>
          <w:p w14:paraId="574C647D" w14:textId="77777777" w:rsidR="0021298F" w:rsidRDefault="0021298F" w:rsidP="00760009">
            <w:pPr>
              <w:jc w:val="right"/>
              <w:rPr>
                <w:rFonts w:ascii="Arial" w:eastAsia="Times New Roman" w:hAnsi="Arial" w:cs="Arial"/>
                <w:color w:val="000000"/>
                <w:lang w:eastAsia="en-GB"/>
              </w:rPr>
            </w:pPr>
            <w:r>
              <w:rPr>
                <w:rFonts w:ascii="Arial" w:eastAsia="Times New Roman" w:hAnsi="Arial" w:cs="Arial"/>
                <w:color w:val="000000"/>
                <w:lang w:eastAsia="en-GB"/>
              </w:rPr>
              <w:t> </w:t>
            </w:r>
          </w:p>
        </w:tc>
      </w:tr>
      <w:tr w:rsidR="0021298F" w14:paraId="09D692F2" w14:textId="77777777" w:rsidTr="00760009">
        <w:trPr>
          <w:trHeight w:val="285"/>
        </w:trPr>
        <w:tc>
          <w:tcPr>
            <w:tcW w:w="3195" w:type="pct"/>
            <w:shd w:val="clear" w:color="auto" w:fill="FFFFFF"/>
            <w:noWrap/>
            <w:vAlign w:val="bottom"/>
            <w:hideMark/>
          </w:tcPr>
          <w:p w14:paraId="361F6405" w14:textId="77777777" w:rsidR="0021298F" w:rsidRDefault="0021298F" w:rsidP="00760009">
            <w:pPr>
              <w:rPr>
                <w:rFonts w:ascii="Arial" w:eastAsia="Times New Roman" w:hAnsi="Arial" w:cs="Arial"/>
                <w:color w:val="000000"/>
                <w:lang w:eastAsia="en-GB"/>
              </w:rPr>
            </w:pPr>
            <w:r>
              <w:rPr>
                <w:rFonts w:ascii="Arial" w:eastAsia="Times New Roman" w:hAnsi="Arial" w:cs="Arial"/>
                <w:color w:val="000000"/>
                <w:lang w:eastAsia="en-GB"/>
              </w:rPr>
              <w:t>Less February 2021 dividend</w:t>
            </w:r>
          </w:p>
        </w:tc>
        <w:tc>
          <w:tcPr>
            <w:tcW w:w="937" w:type="pct"/>
            <w:shd w:val="clear" w:color="auto" w:fill="EDFFB7"/>
            <w:noWrap/>
            <w:vAlign w:val="center"/>
            <w:hideMark/>
          </w:tcPr>
          <w:p w14:paraId="6D4CF4B2" w14:textId="77777777" w:rsidR="0021298F" w:rsidRDefault="0021298F" w:rsidP="00760009">
            <w:pPr>
              <w:jc w:val="right"/>
              <w:rPr>
                <w:rFonts w:ascii="Arial" w:eastAsia="Times New Roman" w:hAnsi="Arial" w:cs="Arial"/>
                <w:color w:val="000000"/>
                <w:lang w:eastAsia="en-GB"/>
              </w:rPr>
            </w:pPr>
            <w:r>
              <w:rPr>
                <w:rFonts w:ascii="Arial" w:eastAsia="Times New Roman" w:hAnsi="Arial" w:cs="Arial"/>
                <w:color w:val="000000"/>
                <w:lang w:eastAsia="en-GB"/>
              </w:rPr>
              <w:t>(1.5)</w:t>
            </w:r>
          </w:p>
        </w:tc>
        <w:tc>
          <w:tcPr>
            <w:tcW w:w="419" w:type="pct"/>
            <w:shd w:val="clear" w:color="auto" w:fill="EDFFB7"/>
          </w:tcPr>
          <w:p w14:paraId="3C544B8C" w14:textId="77777777" w:rsidR="0021298F" w:rsidRDefault="0021298F" w:rsidP="00760009">
            <w:pPr>
              <w:ind w:left="-131" w:firstLine="131"/>
              <w:jc w:val="right"/>
              <w:rPr>
                <w:rFonts w:ascii="Arial" w:eastAsia="Times New Roman" w:hAnsi="Arial" w:cs="Arial"/>
                <w:color w:val="000000"/>
                <w:lang w:eastAsia="en-GB"/>
              </w:rPr>
            </w:pPr>
          </w:p>
        </w:tc>
        <w:tc>
          <w:tcPr>
            <w:tcW w:w="448" w:type="pct"/>
            <w:shd w:val="clear" w:color="auto" w:fill="EDFFB7"/>
            <w:noWrap/>
            <w:vAlign w:val="center"/>
            <w:hideMark/>
          </w:tcPr>
          <w:p w14:paraId="08E30F82" w14:textId="77777777" w:rsidR="0021298F" w:rsidRDefault="0021298F" w:rsidP="00760009">
            <w:pPr>
              <w:jc w:val="right"/>
              <w:rPr>
                <w:rFonts w:ascii="Arial" w:eastAsia="Times New Roman" w:hAnsi="Arial" w:cs="Arial"/>
                <w:color w:val="000000"/>
                <w:lang w:eastAsia="en-GB"/>
              </w:rPr>
            </w:pPr>
            <w:r>
              <w:rPr>
                <w:rFonts w:ascii="Arial" w:eastAsia="Times New Roman" w:hAnsi="Arial" w:cs="Arial"/>
                <w:color w:val="000000"/>
                <w:lang w:eastAsia="en-GB"/>
              </w:rPr>
              <w:t> </w:t>
            </w:r>
          </w:p>
        </w:tc>
      </w:tr>
      <w:tr w:rsidR="0021298F" w14:paraId="7D765C13" w14:textId="77777777" w:rsidTr="00760009">
        <w:trPr>
          <w:trHeight w:val="285"/>
        </w:trPr>
        <w:tc>
          <w:tcPr>
            <w:tcW w:w="3195" w:type="pct"/>
            <w:shd w:val="clear" w:color="auto" w:fill="FFFFFF"/>
            <w:noWrap/>
            <w:vAlign w:val="bottom"/>
            <w:hideMark/>
          </w:tcPr>
          <w:p w14:paraId="07D0018B" w14:textId="77777777" w:rsidR="0021298F" w:rsidRDefault="0021298F" w:rsidP="00760009">
            <w:pPr>
              <w:rPr>
                <w:rFonts w:ascii="Arial" w:eastAsia="Times New Roman" w:hAnsi="Arial" w:cs="Arial"/>
                <w:color w:val="000000"/>
                <w:lang w:eastAsia="en-GB"/>
              </w:rPr>
            </w:pPr>
            <w:r>
              <w:rPr>
                <w:rFonts w:ascii="Arial" w:eastAsia="Times New Roman" w:hAnsi="Arial" w:cs="Arial"/>
                <w:color w:val="000000"/>
                <w:lang w:eastAsia="en-GB"/>
              </w:rPr>
              <w:t>NAV at 31 December 2020 (ex-dividend)</w:t>
            </w:r>
          </w:p>
        </w:tc>
        <w:tc>
          <w:tcPr>
            <w:tcW w:w="937" w:type="pct"/>
            <w:shd w:val="clear" w:color="auto" w:fill="EDFFB7"/>
            <w:noWrap/>
            <w:vAlign w:val="center"/>
            <w:hideMark/>
          </w:tcPr>
          <w:p w14:paraId="51D7EABE" w14:textId="77777777" w:rsidR="0021298F" w:rsidRDefault="0021298F" w:rsidP="00760009">
            <w:pPr>
              <w:jc w:val="right"/>
              <w:rPr>
                <w:rFonts w:ascii="Arial" w:eastAsia="Times New Roman" w:hAnsi="Arial" w:cs="Arial"/>
                <w:color w:val="000000"/>
                <w:lang w:eastAsia="en-GB"/>
              </w:rPr>
            </w:pPr>
            <w:r>
              <w:rPr>
                <w:rFonts w:ascii="Arial" w:eastAsia="Times New Roman" w:hAnsi="Arial" w:cs="Arial"/>
                <w:color w:val="000000"/>
                <w:lang w:eastAsia="en-GB"/>
              </w:rPr>
              <w:t>99.5</w:t>
            </w:r>
          </w:p>
        </w:tc>
        <w:tc>
          <w:tcPr>
            <w:tcW w:w="419" w:type="pct"/>
            <w:shd w:val="clear" w:color="auto" w:fill="EDFFB7"/>
          </w:tcPr>
          <w:p w14:paraId="63554C2B" w14:textId="77777777" w:rsidR="0021298F" w:rsidRDefault="0021298F" w:rsidP="00760009">
            <w:pPr>
              <w:ind w:left="-131" w:firstLine="131"/>
              <w:jc w:val="right"/>
              <w:rPr>
                <w:rFonts w:ascii="Arial" w:eastAsia="Times New Roman" w:hAnsi="Arial" w:cs="Arial"/>
                <w:color w:val="000000"/>
                <w:lang w:eastAsia="en-GB"/>
              </w:rPr>
            </w:pPr>
          </w:p>
        </w:tc>
        <w:tc>
          <w:tcPr>
            <w:tcW w:w="448" w:type="pct"/>
            <w:shd w:val="clear" w:color="auto" w:fill="EDFFB7"/>
            <w:noWrap/>
            <w:vAlign w:val="center"/>
            <w:hideMark/>
          </w:tcPr>
          <w:p w14:paraId="5A5802F5" w14:textId="77777777" w:rsidR="0021298F" w:rsidRDefault="0021298F" w:rsidP="00760009">
            <w:pPr>
              <w:jc w:val="right"/>
              <w:rPr>
                <w:rFonts w:ascii="Arial" w:eastAsia="Times New Roman" w:hAnsi="Arial" w:cs="Arial"/>
                <w:color w:val="000000"/>
                <w:lang w:eastAsia="en-GB"/>
              </w:rPr>
            </w:pPr>
            <w:r>
              <w:rPr>
                <w:rFonts w:ascii="Arial" w:eastAsia="Times New Roman" w:hAnsi="Arial" w:cs="Arial"/>
                <w:color w:val="000000"/>
                <w:lang w:eastAsia="en-GB"/>
              </w:rPr>
              <w:t> </w:t>
            </w:r>
          </w:p>
        </w:tc>
      </w:tr>
      <w:tr w:rsidR="0021298F" w14:paraId="2585FB88" w14:textId="77777777" w:rsidTr="00760009">
        <w:trPr>
          <w:trHeight w:val="300"/>
        </w:trPr>
        <w:tc>
          <w:tcPr>
            <w:tcW w:w="3195" w:type="pct"/>
            <w:shd w:val="clear" w:color="auto" w:fill="FFFFFF"/>
            <w:noWrap/>
            <w:vAlign w:val="bottom"/>
          </w:tcPr>
          <w:p w14:paraId="40B73465" w14:textId="77777777" w:rsidR="0021298F" w:rsidRDefault="0021298F" w:rsidP="00760009">
            <w:pPr>
              <w:rPr>
                <w:rFonts w:ascii="Arial" w:eastAsia="Times New Roman" w:hAnsi="Arial" w:cs="Arial"/>
                <w:color w:val="000000"/>
                <w:lang w:eastAsia="en-GB"/>
              </w:rPr>
            </w:pPr>
          </w:p>
        </w:tc>
        <w:tc>
          <w:tcPr>
            <w:tcW w:w="937" w:type="pct"/>
            <w:shd w:val="clear" w:color="auto" w:fill="EDFFB7"/>
            <w:noWrap/>
            <w:vAlign w:val="center"/>
          </w:tcPr>
          <w:p w14:paraId="4F61EB52" w14:textId="77777777" w:rsidR="0021298F" w:rsidRDefault="0021298F" w:rsidP="00760009">
            <w:pPr>
              <w:jc w:val="right"/>
              <w:rPr>
                <w:rFonts w:ascii="Arial" w:eastAsia="Times New Roman" w:hAnsi="Arial" w:cs="Arial"/>
                <w:color w:val="000000"/>
                <w:lang w:eastAsia="en-GB"/>
              </w:rPr>
            </w:pPr>
          </w:p>
        </w:tc>
        <w:tc>
          <w:tcPr>
            <w:tcW w:w="419" w:type="pct"/>
            <w:shd w:val="clear" w:color="auto" w:fill="EDFFB7"/>
          </w:tcPr>
          <w:p w14:paraId="7A8D8074" w14:textId="77777777" w:rsidR="0021298F" w:rsidRDefault="0021298F" w:rsidP="00760009">
            <w:pPr>
              <w:ind w:left="-131" w:firstLine="131"/>
              <w:jc w:val="right"/>
              <w:rPr>
                <w:rFonts w:ascii="Arial" w:eastAsia="Times New Roman" w:hAnsi="Arial" w:cs="Arial"/>
                <w:color w:val="000000"/>
                <w:lang w:eastAsia="en-GB"/>
              </w:rPr>
            </w:pPr>
          </w:p>
        </w:tc>
        <w:tc>
          <w:tcPr>
            <w:tcW w:w="448" w:type="pct"/>
            <w:shd w:val="clear" w:color="auto" w:fill="EDFFB7"/>
            <w:noWrap/>
            <w:vAlign w:val="center"/>
          </w:tcPr>
          <w:p w14:paraId="2185CFEA" w14:textId="77777777" w:rsidR="0021298F" w:rsidRDefault="0021298F" w:rsidP="00760009">
            <w:pPr>
              <w:jc w:val="right"/>
              <w:rPr>
                <w:rFonts w:ascii="Arial" w:eastAsia="Times New Roman" w:hAnsi="Arial" w:cs="Arial"/>
                <w:color w:val="000000"/>
                <w:lang w:eastAsia="en-GB"/>
              </w:rPr>
            </w:pPr>
          </w:p>
        </w:tc>
      </w:tr>
      <w:tr w:rsidR="0021298F" w14:paraId="73FB3FBF" w14:textId="77777777" w:rsidTr="00760009">
        <w:trPr>
          <w:trHeight w:val="300"/>
        </w:trPr>
        <w:tc>
          <w:tcPr>
            <w:tcW w:w="3195" w:type="pct"/>
            <w:shd w:val="clear" w:color="auto" w:fill="FFFFFF"/>
            <w:noWrap/>
            <w:vAlign w:val="bottom"/>
            <w:hideMark/>
          </w:tcPr>
          <w:p w14:paraId="200F5ABD" w14:textId="77777777" w:rsidR="0021298F" w:rsidRDefault="0021298F" w:rsidP="00760009">
            <w:pPr>
              <w:rPr>
                <w:rFonts w:ascii="Arial" w:eastAsia="Times New Roman" w:hAnsi="Arial" w:cs="Arial"/>
                <w:color w:val="000000"/>
                <w:lang w:eastAsia="en-GB"/>
              </w:rPr>
            </w:pPr>
            <w:r>
              <w:rPr>
                <w:rFonts w:ascii="Arial" w:eastAsia="Times New Roman" w:hAnsi="Arial" w:cs="Arial"/>
                <w:color w:val="000000"/>
                <w:lang w:eastAsia="en-GB"/>
              </w:rPr>
              <w:t>Movement in NAV (ex-dividend)</w:t>
            </w:r>
          </w:p>
        </w:tc>
        <w:tc>
          <w:tcPr>
            <w:tcW w:w="937" w:type="pct"/>
            <w:shd w:val="clear" w:color="auto" w:fill="EDFFB7"/>
            <w:noWrap/>
            <w:vAlign w:val="center"/>
            <w:hideMark/>
          </w:tcPr>
          <w:p w14:paraId="0818BF55" w14:textId="77777777" w:rsidR="0021298F" w:rsidRDefault="0021298F" w:rsidP="00760009">
            <w:pPr>
              <w:jc w:val="right"/>
              <w:rPr>
                <w:rFonts w:ascii="Arial" w:eastAsia="Times New Roman" w:hAnsi="Arial" w:cs="Arial"/>
                <w:color w:val="000000"/>
                <w:lang w:eastAsia="en-GB"/>
              </w:rPr>
            </w:pPr>
            <w:r>
              <w:rPr>
                <w:rFonts w:ascii="Arial" w:eastAsia="Times New Roman" w:hAnsi="Arial" w:cs="Arial"/>
                <w:color w:val="000000"/>
                <w:lang w:eastAsia="en-GB"/>
              </w:rPr>
              <w:t>(2.1)</w:t>
            </w:r>
          </w:p>
        </w:tc>
        <w:tc>
          <w:tcPr>
            <w:tcW w:w="419" w:type="pct"/>
            <w:shd w:val="clear" w:color="auto" w:fill="EDFFB7"/>
          </w:tcPr>
          <w:p w14:paraId="3870DBF9" w14:textId="77777777" w:rsidR="0021298F" w:rsidRDefault="0021298F" w:rsidP="00760009">
            <w:pPr>
              <w:jc w:val="right"/>
              <w:rPr>
                <w:rFonts w:ascii="Arial" w:eastAsia="Times New Roman" w:hAnsi="Arial" w:cs="Arial"/>
                <w:color w:val="000000"/>
                <w:lang w:eastAsia="en-GB"/>
              </w:rPr>
            </w:pPr>
          </w:p>
        </w:tc>
        <w:tc>
          <w:tcPr>
            <w:tcW w:w="448" w:type="pct"/>
            <w:shd w:val="clear" w:color="auto" w:fill="EDFFB7"/>
            <w:noWrap/>
            <w:vAlign w:val="center"/>
            <w:hideMark/>
          </w:tcPr>
          <w:p w14:paraId="5CB3ACDB" w14:textId="77777777" w:rsidR="0021298F" w:rsidRDefault="0021298F" w:rsidP="00760009">
            <w:pPr>
              <w:jc w:val="right"/>
              <w:rPr>
                <w:rFonts w:ascii="Arial" w:eastAsia="Times New Roman" w:hAnsi="Arial" w:cs="Arial"/>
                <w:color w:val="000000"/>
                <w:lang w:eastAsia="en-GB"/>
              </w:rPr>
            </w:pPr>
            <w:r>
              <w:rPr>
                <w:rFonts w:ascii="Arial" w:eastAsia="Times New Roman" w:hAnsi="Arial" w:cs="Arial"/>
                <w:color w:val="000000"/>
                <w:lang w:eastAsia="en-GB"/>
              </w:rPr>
              <w:t>(2.1)</w:t>
            </w:r>
          </w:p>
        </w:tc>
      </w:tr>
      <w:tr w:rsidR="0021298F" w14:paraId="4841973B" w14:textId="77777777" w:rsidTr="00760009">
        <w:trPr>
          <w:trHeight w:val="285"/>
        </w:trPr>
        <w:tc>
          <w:tcPr>
            <w:tcW w:w="3195" w:type="pct"/>
            <w:tcBorders>
              <w:top w:val="nil"/>
              <w:left w:val="nil"/>
              <w:bottom w:val="single" w:sz="4" w:space="0" w:color="auto"/>
              <w:right w:val="nil"/>
            </w:tcBorders>
            <w:shd w:val="clear" w:color="auto" w:fill="FFFFFF"/>
            <w:noWrap/>
            <w:vAlign w:val="bottom"/>
            <w:hideMark/>
          </w:tcPr>
          <w:p w14:paraId="08C97BB3" w14:textId="77777777" w:rsidR="0021298F" w:rsidRDefault="0021298F" w:rsidP="00760009">
            <w:pPr>
              <w:rPr>
                <w:rFonts w:ascii="Arial" w:eastAsia="Times New Roman" w:hAnsi="Arial" w:cs="Arial"/>
                <w:color w:val="000000"/>
                <w:lang w:eastAsia="en-GB"/>
              </w:rPr>
            </w:pPr>
            <w:r>
              <w:rPr>
                <w:rFonts w:ascii="Arial" w:eastAsia="Times New Roman" w:hAnsi="Arial" w:cs="Arial"/>
                <w:color w:val="000000"/>
                <w:lang w:eastAsia="en-GB"/>
              </w:rPr>
              <w:t>Dividends with respect to the year</w:t>
            </w:r>
          </w:p>
        </w:tc>
        <w:tc>
          <w:tcPr>
            <w:tcW w:w="937" w:type="pct"/>
            <w:tcBorders>
              <w:top w:val="nil"/>
              <w:left w:val="nil"/>
              <w:bottom w:val="single" w:sz="4" w:space="0" w:color="auto"/>
              <w:right w:val="nil"/>
            </w:tcBorders>
            <w:shd w:val="clear" w:color="auto" w:fill="EDFFB7"/>
            <w:noWrap/>
            <w:vAlign w:val="center"/>
            <w:hideMark/>
          </w:tcPr>
          <w:p w14:paraId="349B3880" w14:textId="77777777" w:rsidR="0021298F" w:rsidRDefault="0021298F" w:rsidP="00760009">
            <w:pPr>
              <w:jc w:val="right"/>
              <w:rPr>
                <w:rFonts w:ascii="Arial" w:eastAsia="Times New Roman" w:hAnsi="Arial" w:cs="Arial"/>
                <w:color w:val="000000"/>
                <w:lang w:eastAsia="en-GB"/>
              </w:rPr>
            </w:pPr>
            <w:r>
              <w:rPr>
                <w:rFonts w:ascii="Arial" w:eastAsia="Times New Roman" w:hAnsi="Arial" w:cs="Arial"/>
                <w:color w:val="000000"/>
                <w:lang w:eastAsia="en-GB"/>
              </w:rPr>
              <w:t>6.1</w:t>
            </w:r>
          </w:p>
        </w:tc>
        <w:tc>
          <w:tcPr>
            <w:tcW w:w="419" w:type="pct"/>
            <w:tcBorders>
              <w:top w:val="nil"/>
              <w:left w:val="nil"/>
              <w:bottom w:val="single" w:sz="4" w:space="0" w:color="auto"/>
              <w:right w:val="nil"/>
            </w:tcBorders>
            <w:shd w:val="clear" w:color="auto" w:fill="EDFFB7"/>
          </w:tcPr>
          <w:p w14:paraId="41D3625D" w14:textId="77777777" w:rsidR="0021298F" w:rsidRDefault="0021298F" w:rsidP="00760009">
            <w:pPr>
              <w:jc w:val="right"/>
              <w:rPr>
                <w:rFonts w:ascii="Arial" w:eastAsia="Times New Roman" w:hAnsi="Arial" w:cs="Arial"/>
                <w:color w:val="000000"/>
                <w:lang w:eastAsia="en-GB"/>
              </w:rPr>
            </w:pPr>
          </w:p>
        </w:tc>
        <w:tc>
          <w:tcPr>
            <w:tcW w:w="448" w:type="pct"/>
            <w:tcBorders>
              <w:top w:val="nil"/>
              <w:left w:val="nil"/>
              <w:bottom w:val="single" w:sz="4" w:space="0" w:color="auto"/>
              <w:right w:val="nil"/>
            </w:tcBorders>
            <w:shd w:val="clear" w:color="auto" w:fill="EDFFB7"/>
            <w:noWrap/>
            <w:vAlign w:val="center"/>
            <w:hideMark/>
          </w:tcPr>
          <w:p w14:paraId="657157C9" w14:textId="77777777" w:rsidR="0021298F" w:rsidRDefault="0021298F" w:rsidP="00760009">
            <w:pPr>
              <w:jc w:val="right"/>
              <w:rPr>
                <w:rFonts w:ascii="Arial" w:eastAsia="Times New Roman" w:hAnsi="Arial" w:cs="Arial"/>
                <w:color w:val="000000"/>
                <w:lang w:eastAsia="en-GB"/>
              </w:rPr>
            </w:pPr>
            <w:r>
              <w:rPr>
                <w:rFonts w:ascii="Arial" w:eastAsia="Times New Roman" w:hAnsi="Arial" w:cs="Arial"/>
                <w:color w:val="000000"/>
                <w:lang w:eastAsia="en-GB"/>
              </w:rPr>
              <w:t>6.0</w:t>
            </w:r>
          </w:p>
        </w:tc>
      </w:tr>
      <w:tr w:rsidR="0021298F" w14:paraId="002C0A57" w14:textId="77777777" w:rsidTr="00760009">
        <w:trPr>
          <w:trHeight w:val="300"/>
        </w:trPr>
        <w:tc>
          <w:tcPr>
            <w:tcW w:w="3195" w:type="pct"/>
            <w:tcBorders>
              <w:top w:val="single" w:sz="4" w:space="0" w:color="auto"/>
              <w:left w:val="nil"/>
              <w:bottom w:val="single" w:sz="8" w:space="0" w:color="auto"/>
              <w:right w:val="nil"/>
            </w:tcBorders>
            <w:shd w:val="clear" w:color="auto" w:fill="FFFFFF"/>
            <w:noWrap/>
            <w:vAlign w:val="bottom"/>
            <w:hideMark/>
          </w:tcPr>
          <w:p w14:paraId="17538AC7" w14:textId="77777777" w:rsidR="0021298F" w:rsidRDefault="0021298F" w:rsidP="00760009">
            <w:pPr>
              <w:rPr>
                <w:rFonts w:ascii="Arial" w:eastAsia="Times New Roman" w:hAnsi="Arial" w:cs="Arial"/>
                <w:b/>
                <w:color w:val="000000"/>
                <w:lang w:eastAsia="en-GB"/>
              </w:rPr>
            </w:pPr>
            <w:r>
              <w:rPr>
                <w:rFonts w:ascii="Arial" w:eastAsia="Times New Roman" w:hAnsi="Arial" w:cs="Arial"/>
                <w:b/>
                <w:color w:val="000000"/>
                <w:lang w:eastAsia="en-GB"/>
              </w:rPr>
              <w:t xml:space="preserve">Total return on NAV </w:t>
            </w:r>
          </w:p>
        </w:tc>
        <w:tc>
          <w:tcPr>
            <w:tcW w:w="937" w:type="pct"/>
            <w:tcBorders>
              <w:top w:val="single" w:sz="4" w:space="0" w:color="auto"/>
              <w:left w:val="nil"/>
              <w:bottom w:val="single" w:sz="8" w:space="0" w:color="auto"/>
              <w:right w:val="nil"/>
            </w:tcBorders>
            <w:shd w:val="clear" w:color="auto" w:fill="EDFFB7"/>
            <w:noWrap/>
            <w:vAlign w:val="center"/>
            <w:hideMark/>
          </w:tcPr>
          <w:p w14:paraId="7AFFADAF" w14:textId="77777777" w:rsidR="0021298F" w:rsidRDefault="0021298F" w:rsidP="00760009">
            <w:pPr>
              <w:jc w:val="right"/>
              <w:rPr>
                <w:rFonts w:ascii="Arial" w:eastAsia="Times New Roman" w:hAnsi="Arial" w:cs="Arial"/>
                <w:b/>
                <w:color w:val="000000"/>
                <w:lang w:eastAsia="en-GB"/>
              </w:rPr>
            </w:pPr>
            <w:r>
              <w:rPr>
                <w:rFonts w:ascii="Arial" w:eastAsia="Times New Roman" w:hAnsi="Arial" w:cs="Arial"/>
                <w:b/>
                <w:color w:val="000000"/>
                <w:lang w:eastAsia="en-GB"/>
              </w:rPr>
              <w:t>4.0</w:t>
            </w:r>
          </w:p>
        </w:tc>
        <w:tc>
          <w:tcPr>
            <w:tcW w:w="419" w:type="pct"/>
            <w:tcBorders>
              <w:top w:val="single" w:sz="4" w:space="0" w:color="auto"/>
              <w:left w:val="nil"/>
              <w:bottom w:val="single" w:sz="8" w:space="0" w:color="auto"/>
              <w:right w:val="nil"/>
            </w:tcBorders>
            <w:shd w:val="clear" w:color="auto" w:fill="EDFFB7"/>
          </w:tcPr>
          <w:p w14:paraId="3DB71806" w14:textId="77777777" w:rsidR="0021298F" w:rsidRDefault="0021298F" w:rsidP="00760009">
            <w:pPr>
              <w:jc w:val="right"/>
              <w:rPr>
                <w:rFonts w:ascii="Arial" w:eastAsia="Times New Roman" w:hAnsi="Arial" w:cs="Arial"/>
                <w:b/>
                <w:color w:val="000000"/>
                <w:lang w:eastAsia="en-GB"/>
              </w:rPr>
            </w:pPr>
          </w:p>
        </w:tc>
        <w:tc>
          <w:tcPr>
            <w:tcW w:w="448" w:type="pct"/>
            <w:tcBorders>
              <w:top w:val="single" w:sz="4" w:space="0" w:color="auto"/>
              <w:left w:val="nil"/>
              <w:bottom w:val="single" w:sz="8" w:space="0" w:color="auto"/>
              <w:right w:val="nil"/>
            </w:tcBorders>
            <w:shd w:val="clear" w:color="auto" w:fill="EDFFB7"/>
            <w:noWrap/>
            <w:vAlign w:val="center"/>
            <w:hideMark/>
          </w:tcPr>
          <w:p w14:paraId="342164FD" w14:textId="77777777" w:rsidR="0021298F" w:rsidRDefault="0021298F" w:rsidP="00760009">
            <w:pPr>
              <w:jc w:val="right"/>
              <w:rPr>
                <w:rFonts w:ascii="Arial" w:eastAsia="Times New Roman" w:hAnsi="Arial" w:cs="Arial"/>
                <w:b/>
                <w:color w:val="000000"/>
                <w:lang w:eastAsia="en-GB"/>
              </w:rPr>
            </w:pPr>
            <w:r>
              <w:rPr>
                <w:rFonts w:ascii="Arial" w:eastAsia="Times New Roman" w:hAnsi="Arial" w:cs="Arial"/>
                <w:b/>
                <w:color w:val="000000"/>
                <w:lang w:eastAsia="en-GB"/>
              </w:rPr>
              <w:t>3.9</w:t>
            </w:r>
          </w:p>
        </w:tc>
      </w:tr>
    </w:tbl>
    <w:p w14:paraId="34956992" w14:textId="77777777" w:rsidR="0021298F" w:rsidRDefault="0021298F" w:rsidP="0021298F">
      <w:pPr>
        <w:autoSpaceDE w:val="0"/>
        <w:autoSpaceDN w:val="0"/>
        <w:adjustRightInd w:val="0"/>
        <w:jc w:val="both"/>
        <w:rPr>
          <w:rFonts w:ascii="Arial" w:eastAsia="Times New Roman" w:hAnsi="Arial" w:cs="Arial"/>
        </w:rPr>
      </w:pPr>
      <w:r>
        <w:rPr>
          <w:rFonts w:ascii="Arial" w:eastAsia="Times New Roman" w:hAnsi="Arial" w:cs="Arial"/>
        </w:rPr>
        <w:t xml:space="preserve">The share price at 31 December 2020 was 116.5 cent per share, representing a 15.3 per cent premium to NAV. </w:t>
      </w:r>
    </w:p>
    <w:p w14:paraId="62FFE832" w14:textId="77777777" w:rsidR="0021298F" w:rsidRDefault="0021298F" w:rsidP="0021298F">
      <w:pPr>
        <w:jc w:val="both"/>
        <w:rPr>
          <w:rFonts w:ascii="Arial" w:eastAsia="Times New Roman" w:hAnsi="Arial" w:cs="Arial"/>
          <w:b/>
          <w:szCs w:val="26"/>
        </w:rPr>
      </w:pPr>
    </w:p>
    <w:p w14:paraId="0E7BAC72" w14:textId="77777777" w:rsidR="0021298F" w:rsidRDefault="0021298F" w:rsidP="0021298F">
      <w:pPr>
        <w:autoSpaceDE w:val="0"/>
        <w:autoSpaceDN w:val="0"/>
        <w:adjustRightInd w:val="0"/>
        <w:jc w:val="both"/>
        <w:rPr>
          <w:rFonts w:ascii="Arial" w:eastAsia="Times New Roman" w:hAnsi="Arial" w:cs="Arial"/>
        </w:rPr>
      </w:pPr>
      <w:bookmarkStart w:id="3" w:name="_Hlk63331519"/>
      <w:r>
        <w:rPr>
          <w:rFonts w:ascii="Arial" w:eastAsia="Times New Roman" w:hAnsi="Arial" w:cs="Arial"/>
          <w:b/>
          <w:szCs w:val="26"/>
        </w:rPr>
        <w:t>Reconciliation of Statutory Net Assets to Reported NAV</w:t>
      </w:r>
    </w:p>
    <w:bookmarkEnd w:id="3"/>
    <w:tbl>
      <w:tblPr>
        <w:tblW w:w="4950" w:type="pct"/>
        <w:tblLook w:val="04A0" w:firstRow="1" w:lastRow="0" w:firstColumn="1" w:lastColumn="0" w:noHBand="0" w:noVBand="1"/>
      </w:tblPr>
      <w:tblGrid>
        <w:gridCol w:w="5188"/>
        <w:gridCol w:w="1925"/>
        <w:gridCol w:w="1823"/>
      </w:tblGrid>
      <w:tr w:rsidR="0021298F" w14:paraId="158DFDC5" w14:textId="77777777" w:rsidTr="00760009">
        <w:trPr>
          <w:trHeight w:val="444"/>
        </w:trPr>
        <w:tc>
          <w:tcPr>
            <w:tcW w:w="2903" w:type="pct"/>
            <w:tcBorders>
              <w:top w:val="nil"/>
              <w:left w:val="nil"/>
              <w:bottom w:val="single" w:sz="4" w:space="0" w:color="000000"/>
              <w:right w:val="nil"/>
            </w:tcBorders>
            <w:vAlign w:val="center"/>
            <w:hideMark/>
          </w:tcPr>
          <w:p w14:paraId="39934291" w14:textId="77777777" w:rsidR="0021298F" w:rsidRDefault="0021298F" w:rsidP="00760009">
            <w:pPr>
              <w:rPr>
                <w:rFonts w:ascii="Arial" w:eastAsia="Times New Roman" w:hAnsi="Arial" w:cs="Arial"/>
              </w:rPr>
            </w:pPr>
          </w:p>
        </w:tc>
        <w:tc>
          <w:tcPr>
            <w:tcW w:w="1077" w:type="pct"/>
            <w:tcBorders>
              <w:top w:val="nil"/>
              <w:left w:val="nil"/>
              <w:bottom w:val="single" w:sz="4" w:space="0" w:color="000000"/>
              <w:right w:val="nil"/>
            </w:tcBorders>
            <w:hideMark/>
          </w:tcPr>
          <w:p w14:paraId="616D9482" w14:textId="77777777" w:rsidR="0021298F" w:rsidRDefault="0021298F" w:rsidP="00760009">
            <w:pPr>
              <w:jc w:val="right"/>
              <w:rPr>
                <w:rFonts w:ascii="Arial" w:eastAsia="Times New Roman" w:hAnsi="Arial" w:cs="Arial"/>
                <w:b/>
                <w:bCs/>
                <w:color w:val="000000"/>
                <w:lang w:eastAsia="en-GB"/>
              </w:rPr>
            </w:pPr>
            <w:r>
              <w:rPr>
                <w:rFonts w:ascii="Arial" w:eastAsia="Times New Roman" w:hAnsi="Arial" w:cs="Arial"/>
                <w:b/>
                <w:bCs/>
                <w:color w:val="000000"/>
                <w:lang w:eastAsia="en-GB"/>
              </w:rPr>
              <w:t xml:space="preserve">As at </w:t>
            </w:r>
            <w:r>
              <w:rPr>
                <w:rFonts w:ascii="Arial" w:eastAsia="Times New Roman" w:hAnsi="Arial" w:cs="Arial"/>
                <w:b/>
                <w:bCs/>
                <w:color w:val="000000"/>
                <w:lang w:eastAsia="en-GB"/>
              </w:rPr>
              <w:br/>
              <w:t>31 December 2020</w:t>
            </w:r>
          </w:p>
        </w:tc>
        <w:tc>
          <w:tcPr>
            <w:tcW w:w="1020" w:type="pct"/>
            <w:tcBorders>
              <w:top w:val="nil"/>
              <w:left w:val="nil"/>
              <w:bottom w:val="single" w:sz="4" w:space="0" w:color="000000"/>
              <w:right w:val="nil"/>
            </w:tcBorders>
            <w:vAlign w:val="center"/>
            <w:hideMark/>
          </w:tcPr>
          <w:p w14:paraId="43E72547" w14:textId="77777777" w:rsidR="0021298F" w:rsidRDefault="0021298F" w:rsidP="00760009">
            <w:pPr>
              <w:jc w:val="right"/>
              <w:rPr>
                <w:rFonts w:ascii="Arial" w:eastAsia="Times New Roman" w:hAnsi="Arial" w:cs="Arial"/>
                <w:b/>
                <w:bCs/>
                <w:color w:val="000000"/>
                <w:lang w:eastAsia="en-GB"/>
              </w:rPr>
            </w:pPr>
            <w:r>
              <w:rPr>
                <w:rFonts w:ascii="Arial" w:eastAsia="Times New Roman" w:hAnsi="Arial" w:cs="Arial"/>
                <w:b/>
                <w:bCs/>
                <w:color w:val="000000"/>
                <w:lang w:eastAsia="en-GB"/>
              </w:rPr>
              <w:t xml:space="preserve">As at </w:t>
            </w:r>
            <w:r>
              <w:rPr>
                <w:rFonts w:ascii="Arial" w:eastAsia="Times New Roman" w:hAnsi="Arial" w:cs="Arial"/>
                <w:b/>
                <w:bCs/>
                <w:color w:val="000000"/>
                <w:lang w:eastAsia="en-GB"/>
              </w:rPr>
              <w:br/>
              <w:t>31 December 2019</w:t>
            </w:r>
          </w:p>
        </w:tc>
      </w:tr>
      <w:tr w:rsidR="0021298F" w14:paraId="6461567E" w14:textId="77777777" w:rsidTr="00760009">
        <w:trPr>
          <w:trHeight w:val="262"/>
        </w:trPr>
        <w:tc>
          <w:tcPr>
            <w:tcW w:w="2903" w:type="pct"/>
            <w:shd w:val="clear" w:color="auto" w:fill="FFFFFF"/>
            <w:noWrap/>
            <w:vAlign w:val="center"/>
            <w:hideMark/>
          </w:tcPr>
          <w:p w14:paraId="034D3467" w14:textId="77777777" w:rsidR="0021298F" w:rsidRDefault="0021298F" w:rsidP="00760009">
            <w:pPr>
              <w:jc w:val="both"/>
              <w:rPr>
                <w:rFonts w:ascii="Arial" w:eastAsia="Times New Roman" w:hAnsi="Arial" w:cs="Arial"/>
                <w:color w:val="000000"/>
                <w:lang w:eastAsia="en-GB"/>
              </w:rPr>
            </w:pPr>
            <w:r>
              <w:rPr>
                <w:rFonts w:ascii="Arial" w:eastAsia="Times New Roman" w:hAnsi="Arial" w:cs="Arial"/>
                <w:color w:val="000000"/>
                <w:lang w:eastAsia="en-GB"/>
              </w:rPr>
              <w:t> </w:t>
            </w:r>
          </w:p>
        </w:tc>
        <w:tc>
          <w:tcPr>
            <w:tcW w:w="1077" w:type="pct"/>
            <w:tcBorders>
              <w:top w:val="single" w:sz="4" w:space="0" w:color="000000"/>
              <w:left w:val="nil"/>
              <w:bottom w:val="nil"/>
              <w:right w:val="nil"/>
            </w:tcBorders>
            <w:shd w:val="clear" w:color="auto" w:fill="EDFFB7"/>
            <w:vAlign w:val="center"/>
            <w:hideMark/>
          </w:tcPr>
          <w:p w14:paraId="43E011FC" w14:textId="77777777" w:rsidR="0021298F" w:rsidRDefault="0021298F" w:rsidP="00760009">
            <w:pPr>
              <w:jc w:val="right"/>
              <w:rPr>
                <w:rFonts w:ascii="Arial" w:eastAsia="Times New Roman" w:hAnsi="Arial" w:cs="Arial"/>
                <w:b/>
                <w:bCs/>
                <w:color w:val="000000"/>
                <w:lang w:eastAsia="en-GB"/>
              </w:rPr>
            </w:pPr>
            <w:r>
              <w:rPr>
                <w:rFonts w:ascii="Arial" w:eastAsia="Times New Roman" w:hAnsi="Arial" w:cs="Arial"/>
                <w:b/>
                <w:bCs/>
                <w:color w:val="000000"/>
                <w:lang w:eastAsia="en-GB"/>
              </w:rPr>
              <w:t>€'000</w:t>
            </w:r>
          </w:p>
        </w:tc>
        <w:tc>
          <w:tcPr>
            <w:tcW w:w="1020" w:type="pct"/>
            <w:tcBorders>
              <w:top w:val="single" w:sz="4" w:space="0" w:color="000000"/>
              <w:left w:val="nil"/>
              <w:bottom w:val="nil"/>
              <w:right w:val="nil"/>
            </w:tcBorders>
            <w:shd w:val="clear" w:color="auto" w:fill="FFFFFF" w:themeFill="background1"/>
            <w:noWrap/>
            <w:vAlign w:val="center"/>
            <w:hideMark/>
          </w:tcPr>
          <w:p w14:paraId="061EBDBB" w14:textId="77777777" w:rsidR="0021298F" w:rsidRDefault="0021298F" w:rsidP="00760009">
            <w:pPr>
              <w:jc w:val="right"/>
              <w:rPr>
                <w:rFonts w:ascii="Arial" w:eastAsia="Times New Roman" w:hAnsi="Arial" w:cs="Arial"/>
                <w:b/>
                <w:bCs/>
                <w:color w:val="000000"/>
                <w:lang w:eastAsia="en-GB"/>
              </w:rPr>
            </w:pPr>
            <w:r>
              <w:rPr>
                <w:rFonts w:ascii="Arial" w:eastAsia="Times New Roman" w:hAnsi="Arial" w:cs="Arial"/>
                <w:b/>
                <w:bCs/>
                <w:color w:val="000000"/>
                <w:lang w:eastAsia="en-GB"/>
              </w:rPr>
              <w:t>€'000</w:t>
            </w:r>
          </w:p>
        </w:tc>
      </w:tr>
      <w:tr w:rsidR="0021298F" w14:paraId="7E2821BF" w14:textId="77777777" w:rsidTr="00760009">
        <w:trPr>
          <w:trHeight w:val="249"/>
        </w:trPr>
        <w:tc>
          <w:tcPr>
            <w:tcW w:w="2903" w:type="pct"/>
            <w:shd w:val="clear" w:color="auto" w:fill="FFFFFF"/>
            <w:noWrap/>
            <w:vAlign w:val="center"/>
            <w:hideMark/>
          </w:tcPr>
          <w:p w14:paraId="05401C62" w14:textId="77777777" w:rsidR="0021298F" w:rsidRDefault="0021298F" w:rsidP="00760009">
            <w:pPr>
              <w:jc w:val="both"/>
              <w:rPr>
                <w:rFonts w:ascii="Arial" w:eastAsia="Times New Roman" w:hAnsi="Arial" w:cs="Arial"/>
                <w:color w:val="000000"/>
                <w:lang w:eastAsia="en-GB"/>
              </w:rPr>
            </w:pPr>
            <w:r>
              <w:rPr>
                <w:rFonts w:ascii="Arial" w:eastAsia="Times New Roman" w:hAnsi="Arial" w:cs="Arial"/>
                <w:color w:val="000000"/>
                <w:lang w:eastAsia="en-GB"/>
              </w:rPr>
              <w:t> </w:t>
            </w:r>
          </w:p>
        </w:tc>
        <w:tc>
          <w:tcPr>
            <w:tcW w:w="1077" w:type="pct"/>
            <w:shd w:val="clear" w:color="auto" w:fill="EDFFB7"/>
            <w:vAlign w:val="center"/>
            <w:hideMark/>
          </w:tcPr>
          <w:p w14:paraId="078D91B4" w14:textId="77777777" w:rsidR="0021298F" w:rsidRDefault="0021298F" w:rsidP="00760009">
            <w:pPr>
              <w:jc w:val="right"/>
              <w:rPr>
                <w:rFonts w:ascii="Arial" w:eastAsia="Times New Roman" w:hAnsi="Arial" w:cs="Arial"/>
                <w:color w:val="000000"/>
                <w:lang w:eastAsia="en-GB"/>
              </w:rPr>
            </w:pPr>
            <w:r>
              <w:rPr>
                <w:rFonts w:ascii="Arial" w:eastAsia="Times New Roman" w:hAnsi="Arial" w:cs="Arial"/>
                <w:color w:val="000000"/>
                <w:lang w:eastAsia="en-GB"/>
              </w:rPr>
              <w:t> </w:t>
            </w:r>
          </w:p>
        </w:tc>
        <w:tc>
          <w:tcPr>
            <w:tcW w:w="1020" w:type="pct"/>
            <w:shd w:val="clear" w:color="auto" w:fill="FFFFFF" w:themeFill="background1"/>
            <w:noWrap/>
            <w:vAlign w:val="center"/>
            <w:hideMark/>
          </w:tcPr>
          <w:p w14:paraId="5D1B5F69" w14:textId="77777777" w:rsidR="0021298F" w:rsidRDefault="0021298F" w:rsidP="00760009">
            <w:pPr>
              <w:jc w:val="right"/>
              <w:rPr>
                <w:rFonts w:ascii="Arial" w:eastAsia="Times New Roman" w:hAnsi="Arial" w:cs="Arial"/>
                <w:color w:val="000000"/>
                <w:lang w:eastAsia="en-GB"/>
              </w:rPr>
            </w:pPr>
            <w:r>
              <w:rPr>
                <w:rFonts w:ascii="Arial" w:eastAsia="Times New Roman" w:hAnsi="Arial" w:cs="Arial"/>
                <w:color w:val="000000"/>
                <w:lang w:eastAsia="en-GB"/>
              </w:rPr>
              <w:t> </w:t>
            </w:r>
          </w:p>
        </w:tc>
      </w:tr>
      <w:tr w:rsidR="0021298F" w14:paraId="7466F0A4" w14:textId="77777777" w:rsidTr="00760009">
        <w:trPr>
          <w:trHeight w:val="249"/>
        </w:trPr>
        <w:tc>
          <w:tcPr>
            <w:tcW w:w="2903" w:type="pct"/>
            <w:shd w:val="clear" w:color="auto" w:fill="FFFFFF"/>
            <w:noWrap/>
            <w:vAlign w:val="center"/>
            <w:hideMark/>
          </w:tcPr>
          <w:p w14:paraId="64A39E16" w14:textId="77777777" w:rsidR="0021298F" w:rsidRDefault="0021298F" w:rsidP="00760009">
            <w:pPr>
              <w:jc w:val="both"/>
              <w:rPr>
                <w:rFonts w:ascii="Arial" w:eastAsia="Times New Roman" w:hAnsi="Arial" w:cs="Arial"/>
                <w:color w:val="000000"/>
                <w:lang w:eastAsia="en-GB"/>
              </w:rPr>
            </w:pPr>
            <w:r>
              <w:rPr>
                <w:rFonts w:ascii="Arial" w:eastAsia="Times New Roman" w:hAnsi="Arial" w:cs="Arial"/>
                <w:color w:val="000000"/>
                <w:lang w:eastAsia="en-GB"/>
              </w:rPr>
              <w:t>DCF valuation</w:t>
            </w:r>
          </w:p>
        </w:tc>
        <w:tc>
          <w:tcPr>
            <w:tcW w:w="1077" w:type="pct"/>
            <w:shd w:val="clear" w:color="auto" w:fill="EDFFB7"/>
            <w:vAlign w:val="center"/>
            <w:hideMark/>
          </w:tcPr>
          <w:p w14:paraId="73F49C03" w14:textId="77777777" w:rsidR="0021298F" w:rsidRDefault="0021298F" w:rsidP="00760009">
            <w:pPr>
              <w:jc w:val="right"/>
              <w:rPr>
                <w:rFonts w:ascii="Arial" w:eastAsia="Times New Roman" w:hAnsi="Arial" w:cs="Arial"/>
                <w:color w:val="000000"/>
                <w:lang w:eastAsia="en-GB"/>
              </w:rPr>
            </w:pPr>
            <w:r>
              <w:rPr>
                <w:rFonts w:ascii="Arial" w:eastAsia="Times New Roman" w:hAnsi="Arial" w:cs="Arial"/>
                <w:color w:val="000000"/>
                <w:lang w:eastAsia="en-GB"/>
              </w:rPr>
              <w:t>1,112,352</w:t>
            </w:r>
          </w:p>
        </w:tc>
        <w:tc>
          <w:tcPr>
            <w:tcW w:w="1020" w:type="pct"/>
            <w:shd w:val="clear" w:color="auto" w:fill="FFFFFF" w:themeFill="background1"/>
            <w:noWrap/>
            <w:vAlign w:val="center"/>
            <w:hideMark/>
          </w:tcPr>
          <w:p w14:paraId="0A12201F" w14:textId="77777777" w:rsidR="0021298F" w:rsidRDefault="0021298F" w:rsidP="00760009">
            <w:pPr>
              <w:jc w:val="right"/>
              <w:rPr>
                <w:rFonts w:ascii="Arial" w:eastAsia="Times New Roman" w:hAnsi="Arial" w:cs="Arial"/>
                <w:color w:val="000000"/>
                <w:lang w:eastAsia="en-GB"/>
              </w:rPr>
            </w:pPr>
            <w:r>
              <w:rPr>
                <w:rFonts w:ascii="Arial" w:eastAsia="Times New Roman" w:hAnsi="Arial" w:cs="Arial"/>
                <w:color w:val="000000"/>
                <w:lang w:eastAsia="en-GB"/>
              </w:rPr>
              <w:t>982,411</w:t>
            </w:r>
          </w:p>
        </w:tc>
      </w:tr>
      <w:tr w:rsidR="0021298F" w14:paraId="554B63EE" w14:textId="77777777" w:rsidTr="00760009">
        <w:trPr>
          <w:trHeight w:val="262"/>
        </w:trPr>
        <w:tc>
          <w:tcPr>
            <w:tcW w:w="2903" w:type="pct"/>
            <w:shd w:val="clear" w:color="auto" w:fill="FFFFFF"/>
            <w:noWrap/>
            <w:vAlign w:val="center"/>
            <w:hideMark/>
          </w:tcPr>
          <w:p w14:paraId="2C2ACA4D" w14:textId="77777777" w:rsidR="0021298F" w:rsidRDefault="0021298F" w:rsidP="00760009">
            <w:pPr>
              <w:jc w:val="both"/>
              <w:rPr>
                <w:rFonts w:ascii="Arial" w:eastAsia="Times New Roman" w:hAnsi="Arial" w:cs="Arial"/>
                <w:color w:val="000000"/>
                <w:lang w:eastAsia="en-GB"/>
              </w:rPr>
            </w:pPr>
            <w:r>
              <w:rPr>
                <w:rFonts w:ascii="Arial" w:eastAsia="Times New Roman" w:hAnsi="Arial" w:cs="Arial"/>
                <w:color w:val="000000"/>
                <w:lang w:eastAsia="en-GB"/>
              </w:rPr>
              <w:t>Other relevant assets (wind farm SPVs)</w:t>
            </w:r>
          </w:p>
        </w:tc>
        <w:tc>
          <w:tcPr>
            <w:tcW w:w="1077" w:type="pct"/>
            <w:shd w:val="clear" w:color="auto" w:fill="EDFFB7"/>
            <w:vAlign w:val="center"/>
            <w:hideMark/>
          </w:tcPr>
          <w:p w14:paraId="009FB63B" w14:textId="77777777" w:rsidR="0021298F" w:rsidRDefault="0021298F" w:rsidP="00760009">
            <w:pPr>
              <w:jc w:val="right"/>
              <w:rPr>
                <w:rFonts w:ascii="Arial" w:eastAsia="Times New Roman" w:hAnsi="Arial" w:cs="Arial"/>
                <w:color w:val="000000"/>
                <w:lang w:eastAsia="en-GB"/>
              </w:rPr>
            </w:pPr>
            <w:r>
              <w:rPr>
                <w:rFonts w:ascii="Arial" w:eastAsia="Times New Roman" w:hAnsi="Arial" w:cs="Arial"/>
                <w:color w:val="000000"/>
                <w:lang w:eastAsia="en-GB"/>
              </w:rPr>
              <w:t>22,370</w:t>
            </w:r>
          </w:p>
        </w:tc>
        <w:tc>
          <w:tcPr>
            <w:tcW w:w="1020" w:type="pct"/>
            <w:shd w:val="clear" w:color="auto" w:fill="FFFFFF" w:themeFill="background1"/>
            <w:noWrap/>
            <w:vAlign w:val="center"/>
            <w:hideMark/>
          </w:tcPr>
          <w:p w14:paraId="0A1EA923" w14:textId="77777777" w:rsidR="0021298F" w:rsidRDefault="0021298F" w:rsidP="00760009">
            <w:pPr>
              <w:jc w:val="right"/>
              <w:rPr>
                <w:rFonts w:ascii="Arial" w:eastAsia="Times New Roman" w:hAnsi="Arial" w:cs="Arial"/>
                <w:color w:val="000000"/>
                <w:lang w:eastAsia="en-GB"/>
              </w:rPr>
            </w:pPr>
            <w:r>
              <w:rPr>
                <w:rFonts w:ascii="Arial" w:eastAsia="Times New Roman" w:hAnsi="Arial" w:cs="Arial"/>
                <w:color w:val="000000"/>
                <w:lang w:eastAsia="en-GB"/>
              </w:rPr>
              <w:t>111</w:t>
            </w:r>
          </w:p>
        </w:tc>
      </w:tr>
      <w:tr w:rsidR="0021298F" w14:paraId="13791B9D" w14:textId="77777777" w:rsidTr="00760009">
        <w:trPr>
          <w:trHeight w:val="262"/>
        </w:trPr>
        <w:tc>
          <w:tcPr>
            <w:tcW w:w="2903" w:type="pct"/>
            <w:tcBorders>
              <w:top w:val="nil"/>
              <w:left w:val="nil"/>
              <w:bottom w:val="single" w:sz="4" w:space="0" w:color="auto"/>
              <w:right w:val="nil"/>
            </w:tcBorders>
            <w:shd w:val="clear" w:color="auto" w:fill="FFFFFF"/>
            <w:noWrap/>
            <w:vAlign w:val="center"/>
            <w:hideMark/>
          </w:tcPr>
          <w:p w14:paraId="484579FD" w14:textId="77777777" w:rsidR="0021298F" w:rsidRDefault="0021298F" w:rsidP="00760009">
            <w:pPr>
              <w:jc w:val="both"/>
              <w:rPr>
                <w:rFonts w:ascii="Arial" w:eastAsia="Times New Roman" w:hAnsi="Arial" w:cs="Arial"/>
                <w:color w:val="000000"/>
                <w:lang w:eastAsia="en-GB"/>
              </w:rPr>
            </w:pPr>
            <w:r>
              <w:rPr>
                <w:rFonts w:ascii="Arial" w:eastAsia="Times New Roman" w:hAnsi="Arial" w:cs="Arial"/>
                <w:color w:val="000000"/>
                <w:lang w:eastAsia="en-GB"/>
              </w:rPr>
              <w:t>Cash (wind farm SPVs)</w:t>
            </w:r>
          </w:p>
        </w:tc>
        <w:tc>
          <w:tcPr>
            <w:tcW w:w="1077" w:type="pct"/>
            <w:tcBorders>
              <w:top w:val="nil"/>
              <w:left w:val="nil"/>
              <w:bottom w:val="single" w:sz="4" w:space="0" w:color="auto"/>
              <w:right w:val="nil"/>
            </w:tcBorders>
            <w:shd w:val="clear" w:color="auto" w:fill="EDFFB7"/>
            <w:vAlign w:val="center"/>
            <w:hideMark/>
          </w:tcPr>
          <w:p w14:paraId="2C65BCDF" w14:textId="77777777" w:rsidR="0021298F" w:rsidRDefault="0021298F" w:rsidP="00760009">
            <w:pPr>
              <w:jc w:val="right"/>
              <w:rPr>
                <w:rFonts w:ascii="Arial" w:eastAsia="Times New Roman" w:hAnsi="Arial" w:cs="Arial"/>
                <w:color w:val="000000"/>
                <w:lang w:eastAsia="en-GB"/>
              </w:rPr>
            </w:pPr>
            <w:r>
              <w:rPr>
                <w:rFonts w:ascii="Arial" w:eastAsia="Times New Roman" w:hAnsi="Arial" w:cs="Arial"/>
                <w:color w:val="000000"/>
                <w:lang w:eastAsia="en-GB"/>
              </w:rPr>
              <w:t>22,507</w:t>
            </w:r>
          </w:p>
        </w:tc>
        <w:tc>
          <w:tcPr>
            <w:tcW w:w="1020" w:type="pct"/>
            <w:tcBorders>
              <w:top w:val="nil"/>
              <w:left w:val="nil"/>
              <w:bottom w:val="single" w:sz="4" w:space="0" w:color="auto"/>
              <w:right w:val="nil"/>
            </w:tcBorders>
            <w:shd w:val="clear" w:color="auto" w:fill="FFFFFF" w:themeFill="background1"/>
            <w:noWrap/>
            <w:vAlign w:val="center"/>
            <w:hideMark/>
          </w:tcPr>
          <w:p w14:paraId="560B884F" w14:textId="77777777" w:rsidR="0021298F" w:rsidRDefault="0021298F" w:rsidP="00760009">
            <w:pPr>
              <w:jc w:val="right"/>
              <w:rPr>
                <w:rFonts w:ascii="Arial" w:eastAsia="Times New Roman" w:hAnsi="Arial" w:cs="Arial"/>
                <w:color w:val="000000"/>
                <w:lang w:eastAsia="en-GB"/>
              </w:rPr>
            </w:pPr>
            <w:r>
              <w:rPr>
                <w:rFonts w:ascii="Arial" w:eastAsia="Times New Roman" w:hAnsi="Arial" w:cs="Arial"/>
                <w:color w:val="000000"/>
                <w:lang w:eastAsia="en-GB"/>
              </w:rPr>
              <w:t>28,527</w:t>
            </w:r>
          </w:p>
        </w:tc>
      </w:tr>
      <w:tr w:rsidR="0021298F" w14:paraId="15135B7E" w14:textId="77777777" w:rsidTr="00760009">
        <w:trPr>
          <w:trHeight w:val="262"/>
        </w:trPr>
        <w:tc>
          <w:tcPr>
            <w:tcW w:w="2903" w:type="pct"/>
            <w:tcBorders>
              <w:top w:val="single" w:sz="4" w:space="0" w:color="auto"/>
              <w:left w:val="nil"/>
              <w:bottom w:val="nil"/>
              <w:right w:val="nil"/>
            </w:tcBorders>
            <w:shd w:val="clear" w:color="auto" w:fill="FFFFFF"/>
            <w:noWrap/>
            <w:vAlign w:val="center"/>
            <w:hideMark/>
          </w:tcPr>
          <w:p w14:paraId="28251281" w14:textId="77777777" w:rsidR="0021298F" w:rsidRDefault="0021298F" w:rsidP="00760009">
            <w:pPr>
              <w:jc w:val="both"/>
              <w:rPr>
                <w:rFonts w:ascii="Arial" w:eastAsia="Times New Roman" w:hAnsi="Arial" w:cs="Arial"/>
                <w:b/>
                <w:bCs/>
                <w:color w:val="000000"/>
                <w:lang w:eastAsia="en-GB"/>
              </w:rPr>
            </w:pPr>
            <w:r>
              <w:rPr>
                <w:rFonts w:ascii="Arial" w:eastAsia="Times New Roman" w:hAnsi="Arial" w:cs="Arial"/>
                <w:b/>
                <w:bCs/>
                <w:color w:val="000000"/>
                <w:lang w:eastAsia="en-GB"/>
              </w:rPr>
              <w:t xml:space="preserve">Fair value of investments </w:t>
            </w:r>
            <w:r>
              <w:rPr>
                <w:rFonts w:ascii="Arial Bold" w:eastAsia="Times New Roman" w:hAnsi="Arial Bold" w:cs="Arial"/>
                <w:b/>
                <w:bCs/>
                <w:color w:val="000000"/>
                <w:vertAlign w:val="superscript"/>
                <w:lang w:eastAsia="en-GB"/>
              </w:rPr>
              <w:t>(1)</w:t>
            </w:r>
          </w:p>
        </w:tc>
        <w:tc>
          <w:tcPr>
            <w:tcW w:w="1077" w:type="pct"/>
            <w:tcBorders>
              <w:top w:val="single" w:sz="4" w:space="0" w:color="auto"/>
              <w:left w:val="nil"/>
              <w:bottom w:val="nil"/>
              <w:right w:val="nil"/>
            </w:tcBorders>
            <w:shd w:val="clear" w:color="auto" w:fill="EDFFB7"/>
            <w:vAlign w:val="center"/>
            <w:hideMark/>
          </w:tcPr>
          <w:p w14:paraId="3143A8BE" w14:textId="77777777" w:rsidR="0021298F" w:rsidRDefault="0021298F" w:rsidP="00760009">
            <w:pPr>
              <w:jc w:val="right"/>
              <w:rPr>
                <w:rFonts w:ascii="Arial" w:eastAsia="Times New Roman" w:hAnsi="Arial" w:cs="Arial"/>
                <w:b/>
                <w:bCs/>
                <w:color w:val="000000"/>
                <w:lang w:eastAsia="en-GB"/>
              </w:rPr>
            </w:pPr>
            <w:r>
              <w:rPr>
                <w:rFonts w:ascii="Arial" w:eastAsia="Times New Roman" w:hAnsi="Arial" w:cs="Arial"/>
                <w:b/>
                <w:bCs/>
                <w:color w:val="000000"/>
                <w:lang w:eastAsia="en-GB"/>
              </w:rPr>
              <w:t>1,157,229</w:t>
            </w:r>
          </w:p>
        </w:tc>
        <w:tc>
          <w:tcPr>
            <w:tcW w:w="1020" w:type="pct"/>
            <w:tcBorders>
              <w:top w:val="single" w:sz="4" w:space="0" w:color="auto"/>
              <w:left w:val="nil"/>
              <w:bottom w:val="nil"/>
              <w:right w:val="nil"/>
            </w:tcBorders>
            <w:shd w:val="clear" w:color="auto" w:fill="FFFFFF" w:themeFill="background1"/>
            <w:noWrap/>
            <w:vAlign w:val="center"/>
            <w:hideMark/>
          </w:tcPr>
          <w:p w14:paraId="0BAD5E9D" w14:textId="77777777" w:rsidR="0021298F" w:rsidRDefault="0021298F" w:rsidP="00760009">
            <w:pPr>
              <w:jc w:val="right"/>
              <w:rPr>
                <w:rFonts w:ascii="Arial" w:eastAsia="Times New Roman" w:hAnsi="Arial" w:cs="Arial"/>
                <w:b/>
                <w:bCs/>
                <w:color w:val="000000"/>
                <w:lang w:eastAsia="en-GB"/>
              </w:rPr>
            </w:pPr>
            <w:r>
              <w:rPr>
                <w:rFonts w:ascii="Arial" w:eastAsia="Times New Roman" w:hAnsi="Arial" w:cs="Arial"/>
                <w:b/>
                <w:bCs/>
                <w:color w:val="000000"/>
                <w:lang w:eastAsia="en-GB"/>
              </w:rPr>
              <w:t>1,011,049</w:t>
            </w:r>
          </w:p>
        </w:tc>
      </w:tr>
      <w:tr w:rsidR="0021298F" w14:paraId="7EC270EC" w14:textId="77777777" w:rsidTr="00760009">
        <w:trPr>
          <w:trHeight w:val="249"/>
        </w:trPr>
        <w:tc>
          <w:tcPr>
            <w:tcW w:w="2903" w:type="pct"/>
            <w:shd w:val="clear" w:color="auto" w:fill="FFFFFF"/>
            <w:noWrap/>
            <w:vAlign w:val="center"/>
            <w:hideMark/>
          </w:tcPr>
          <w:p w14:paraId="22A9BBEE" w14:textId="77777777" w:rsidR="0021298F" w:rsidRDefault="0021298F" w:rsidP="00760009">
            <w:pPr>
              <w:jc w:val="both"/>
              <w:rPr>
                <w:rFonts w:ascii="Arial" w:eastAsia="Times New Roman" w:hAnsi="Arial" w:cs="Arial"/>
                <w:color w:val="000000"/>
                <w:lang w:eastAsia="en-GB"/>
              </w:rPr>
            </w:pPr>
            <w:r>
              <w:rPr>
                <w:rFonts w:ascii="Arial" w:eastAsia="Times New Roman" w:hAnsi="Arial" w:cs="Arial"/>
                <w:color w:val="000000"/>
                <w:lang w:eastAsia="en-GB"/>
              </w:rPr>
              <w:t>Cash (Group)</w:t>
            </w:r>
          </w:p>
        </w:tc>
        <w:tc>
          <w:tcPr>
            <w:tcW w:w="1077" w:type="pct"/>
            <w:shd w:val="clear" w:color="auto" w:fill="EDFFB7"/>
            <w:vAlign w:val="center"/>
            <w:hideMark/>
          </w:tcPr>
          <w:p w14:paraId="649B540E" w14:textId="77777777" w:rsidR="0021298F" w:rsidRDefault="0021298F" w:rsidP="00760009">
            <w:pPr>
              <w:jc w:val="right"/>
              <w:rPr>
                <w:rFonts w:ascii="Arial" w:eastAsia="Times New Roman" w:hAnsi="Arial" w:cs="Arial"/>
                <w:bCs/>
                <w:color w:val="000000"/>
                <w:lang w:eastAsia="en-GB"/>
              </w:rPr>
            </w:pPr>
            <w:r>
              <w:rPr>
                <w:rFonts w:ascii="Arial" w:eastAsia="Times New Roman" w:hAnsi="Arial" w:cs="Arial"/>
                <w:bCs/>
                <w:color w:val="000000"/>
                <w:lang w:eastAsia="en-GB"/>
              </w:rPr>
              <w:t>16,517</w:t>
            </w:r>
          </w:p>
        </w:tc>
        <w:tc>
          <w:tcPr>
            <w:tcW w:w="1020" w:type="pct"/>
            <w:shd w:val="clear" w:color="auto" w:fill="FFFFFF" w:themeFill="background1"/>
            <w:noWrap/>
            <w:vAlign w:val="center"/>
            <w:hideMark/>
          </w:tcPr>
          <w:p w14:paraId="35F47893" w14:textId="77777777" w:rsidR="0021298F" w:rsidRDefault="0021298F" w:rsidP="00760009">
            <w:pPr>
              <w:jc w:val="right"/>
              <w:rPr>
                <w:rFonts w:ascii="Arial" w:eastAsia="Times New Roman" w:hAnsi="Arial" w:cs="Arial"/>
                <w:color w:val="000000"/>
                <w:lang w:eastAsia="en-GB"/>
              </w:rPr>
            </w:pPr>
            <w:r>
              <w:rPr>
                <w:rFonts w:ascii="Arial" w:eastAsia="Times New Roman" w:hAnsi="Arial" w:cs="Arial"/>
                <w:bCs/>
                <w:color w:val="000000"/>
                <w:lang w:eastAsia="en-GB"/>
              </w:rPr>
              <w:t>6,020</w:t>
            </w:r>
          </w:p>
        </w:tc>
      </w:tr>
      <w:tr w:rsidR="0021298F" w14:paraId="012A4440" w14:textId="77777777" w:rsidTr="00760009">
        <w:trPr>
          <w:trHeight w:val="249"/>
        </w:trPr>
        <w:tc>
          <w:tcPr>
            <w:tcW w:w="2903" w:type="pct"/>
            <w:tcBorders>
              <w:top w:val="nil"/>
              <w:left w:val="nil"/>
              <w:bottom w:val="single" w:sz="4" w:space="0" w:color="auto"/>
              <w:right w:val="nil"/>
            </w:tcBorders>
            <w:shd w:val="clear" w:color="auto" w:fill="FFFFFF"/>
            <w:noWrap/>
            <w:vAlign w:val="center"/>
            <w:hideMark/>
          </w:tcPr>
          <w:p w14:paraId="0472FF8E" w14:textId="77777777" w:rsidR="0021298F" w:rsidRDefault="0021298F" w:rsidP="00760009">
            <w:pPr>
              <w:jc w:val="both"/>
              <w:rPr>
                <w:rFonts w:ascii="Arial" w:eastAsia="Times New Roman" w:hAnsi="Arial" w:cs="Arial"/>
                <w:color w:val="000000"/>
                <w:lang w:eastAsia="en-GB"/>
              </w:rPr>
            </w:pPr>
            <w:r>
              <w:rPr>
                <w:rFonts w:ascii="Arial" w:eastAsia="Times New Roman" w:hAnsi="Arial" w:cs="Arial"/>
                <w:color w:val="000000"/>
                <w:lang w:eastAsia="en-GB"/>
              </w:rPr>
              <w:t xml:space="preserve">Other relevant assets / (liabilities) </w:t>
            </w:r>
            <w:r w:rsidRPr="000C1DAA">
              <w:rPr>
                <w:rFonts w:ascii="Arial" w:eastAsia="Times New Roman" w:hAnsi="Arial" w:cs="Arial"/>
                <w:color w:val="000000"/>
                <w:vertAlign w:val="superscript"/>
                <w:lang w:eastAsia="en-GB"/>
              </w:rPr>
              <w:t>(2)</w:t>
            </w:r>
          </w:p>
        </w:tc>
        <w:tc>
          <w:tcPr>
            <w:tcW w:w="1077" w:type="pct"/>
            <w:tcBorders>
              <w:top w:val="nil"/>
              <w:left w:val="nil"/>
              <w:bottom w:val="single" w:sz="4" w:space="0" w:color="auto"/>
              <w:right w:val="nil"/>
            </w:tcBorders>
            <w:shd w:val="clear" w:color="auto" w:fill="EDFFB7"/>
            <w:vAlign w:val="center"/>
            <w:hideMark/>
          </w:tcPr>
          <w:p w14:paraId="4AC29AC4" w14:textId="77777777" w:rsidR="0021298F" w:rsidRDefault="0021298F" w:rsidP="00760009">
            <w:pPr>
              <w:jc w:val="right"/>
              <w:rPr>
                <w:rFonts w:ascii="Arial" w:eastAsia="Times New Roman" w:hAnsi="Arial" w:cs="Arial"/>
                <w:bCs/>
                <w:color w:val="000000"/>
                <w:lang w:eastAsia="en-GB"/>
              </w:rPr>
            </w:pPr>
            <w:r>
              <w:rPr>
                <w:rFonts w:ascii="Arial" w:eastAsia="Times New Roman" w:hAnsi="Arial" w:cs="Arial"/>
                <w:bCs/>
                <w:color w:val="000000"/>
                <w:lang w:eastAsia="en-GB"/>
              </w:rPr>
              <w:t>2,944</w:t>
            </w:r>
          </w:p>
        </w:tc>
        <w:tc>
          <w:tcPr>
            <w:tcW w:w="1020" w:type="pct"/>
            <w:tcBorders>
              <w:top w:val="nil"/>
              <w:left w:val="nil"/>
              <w:bottom w:val="single" w:sz="4" w:space="0" w:color="auto"/>
              <w:right w:val="nil"/>
            </w:tcBorders>
            <w:shd w:val="clear" w:color="auto" w:fill="FFFFFF" w:themeFill="background1"/>
            <w:noWrap/>
            <w:vAlign w:val="center"/>
            <w:hideMark/>
          </w:tcPr>
          <w:p w14:paraId="26B8232D" w14:textId="77777777" w:rsidR="0021298F" w:rsidRDefault="0021298F" w:rsidP="00760009">
            <w:pPr>
              <w:jc w:val="right"/>
              <w:rPr>
                <w:rFonts w:ascii="Arial" w:eastAsia="Times New Roman" w:hAnsi="Arial" w:cs="Arial"/>
                <w:color w:val="000000"/>
                <w:lang w:eastAsia="en-GB"/>
              </w:rPr>
            </w:pPr>
            <w:r>
              <w:rPr>
                <w:rFonts w:ascii="Arial" w:eastAsia="Times New Roman" w:hAnsi="Arial" w:cs="Arial"/>
                <w:bCs/>
                <w:color w:val="000000"/>
                <w:lang w:eastAsia="en-GB"/>
              </w:rPr>
              <w:t>(127)</w:t>
            </w:r>
          </w:p>
        </w:tc>
      </w:tr>
      <w:tr w:rsidR="0021298F" w14:paraId="51B83D39" w14:textId="77777777" w:rsidTr="00760009">
        <w:trPr>
          <w:trHeight w:val="262"/>
        </w:trPr>
        <w:tc>
          <w:tcPr>
            <w:tcW w:w="2903" w:type="pct"/>
            <w:tcBorders>
              <w:top w:val="single" w:sz="4" w:space="0" w:color="auto"/>
              <w:left w:val="nil"/>
              <w:bottom w:val="nil"/>
              <w:right w:val="nil"/>
            </w:tcBorders>
            <w:shd w:val="clear" w:color="auto" w:fill="FFFFFF"/>
            <w:noWrap/>
            <w:vAlign w:val="center"/>
            <w:hideMark/>
          </w:tcPr>
          <w:p w14:paraId="4D8908FE" w14:textId="77777777" w:rsidR="0021298F" w:rsidRDefault="0021298F" w:rsidP="00760009">
            <w:pPr>
              <w:jc w:val="both"/>
              <w:rPr>
                <w:rFonts w:ascii="Arial" w:eastAsia="Times New Roman" w:hAnsi="Arial" w:cs="Arial"/>
                <w:b/>
                <w:bCs/>
                <w:color w:val="000000"/>
                <w:lang w:eastAsia="en-GB"/>
              </w:rPr>
            </w:pPr>
            <w:r>
              <w:rPr>
                <w:rFonts w:ascii="Arial" w:eastAsia="Times New Roman" w:hAnsi="Arial" w:cs="Arial"/>
                <w:b/>
                <w:bCs/>
                <w:color w:val="000000"/>
                <w:lang w:eastAsia="en-GB"/>
              </w:rPr>
              <w:t>GAV</w:t>
            </w:r>
          </w:p>
        </w:tc>
        <w:tc>
          <w:tcPr>
            <w:tcW w:w="1077" w:type="pct"/>
            <w:tcBorders>
              <w:top w:val="single" w:sz="4" w:space="0" w:color="auto"/>
              <w:left w:val="nil"/>
              <w:bottom w:val="nil"/>
              <w:right w:val="nil"/>
            </w:tcBorders>
            <w:shd w:val="clear" w:color="auto" w:fill="EDFFB7"/>
            <w:vAlign w:val="center"/>
            <w:hideMark/>
          </w:tcPr>
          <w:p w14:paraId="1D2AC587" w14:textId="77777777" w:rsidR="0021298F" w:rsidRDefault="0021298F" w:rsidP="00760009">
            <w:pPr>
              <w:jc w:val="right"/>
              <w:rPr>
                <w:rFonts w:ascii="Arial" w:eastAsia="Times New Roman" w:hAnsi="Arial" w:cs="Arial"/>
                <w:b/>
                <w:bCs/>
                <w:color w:val="000000"/>
                <w:lang w:eastAsia="en-GB"/>
              </w:rPr>
            </w:pPr>
            <w:r>
              <w:rPr>
                <w:rFonts w:ascii="Arial" w:eastAsia="Times New Roman" w:hAnsi="Arial" w:cs="Arial"/>
                <w:b/>
                <w:bCs/>
                <w:color w:val="000000"/>
                <w:lang w:eastAsia="en-GB"/>
              </w:rPr>
              <w:t>1,176,690</w:t>
            </w:r>
          </w:p>
        </w:tc>
        <w:tc>
          <w:tcPr>
            <w:tcW w:w="1020" w:type="pct"/>
            <w:tcBorders>
              <w:top w:val="single" w:sz="4" w:space="0" w:color="auto"/>
              <w:left w:val="nil"/>
              <w:bottom w:val="nil"/>
              <w:right w:val="nil"/>
            </w:tcBorders>
            <w:shd w:val="clear" w:color="auto" w:fill="FFFFFF" w:themeFill="background1"/>
            <w:noWrap/>
            <w:vAlign w:val="center"/>
            <w:hideMark/>
          </w:tcPr>
          <w:p w14:paraId="0CE89567" w14:textId="77777777" w:rsidR="0021298F" w:rsidRDefault="0021298F" w:rsidP="00760009">
            <w:pPr>
              <w:jc w:val="right"/>
              <w:rPr>
                <w:rFonts w:ascii="Arial" w:eastAsia="Times New Roman" w:hAnsi="Arial" w:cs="Arial"/>
                <w:b/>
                <w:bCs/>
                <w:color w:val="000000"/>
                <w:lang w:eastAsia="en-GB"/>
              </w:rPr>
            </w:pPr>
            <w:r>
              <w:rPr>
                <w:rFonts w:ascii="Arial" w:eastAsia="Times New Roman" w:hAnsi="Arial" w:cs="Arial"/>
                <w:b/>
                <w:bCs/>
                <w:color w:val="000000"/>
                <w:lang w:eastAsia="en-GB"/>
              </w:rPr>
              <w:t>1,016,942</w:t>
            </w:r>
          </w:p>
        </w:tc>
      </w:tr>
      <w:tr w:rsidR="0021298F" w14:paraId="1449FFD1" w14:textId="77777777" w:rsidTr="00760009">
        <w:trPr>
          <w:trHeight w:val="249"/>
        </w:trPr>
        <w:tc>
          <w:tcPr>
            <w:tcW w:w="2903" w:type="pct"/>
            <w:tcBorders>
              <w:top w:val="nil"/>
              <w:left w:val="nil"/>
              <w:bottom w:val="single" w:sz="4" w:space="0" w:color="auto"/>
              <w:right w:val="nil"/>
            </w:tcBorders>
            <w:shd w:val="clear" w:color="auto" w:fill="FFFFFF"/>
            <w:noWrap/>
            <w:vAlign w:val="center"/>
            <w:hideMark/>
          </w:tcPr>
          <w:p w14:paraId="2411A560" w14:textId="77777777" w:rsidR="0021298F" w:rsidRDefault="0021298F" w:rsidP="00760009">
            <w:pPr>
              <w:jc w:val="both"/>
              <w:rPr>
                <w:rFonts w:ascii="Arial" w:eastAsia="Times New Roman" w:hAnsi="Arial" w:cs="Arial"/>
                <w:color w:val="000000"/>
                <w:lang w:eastAsia="en-GB"/>
              </w:rPr>
            </w:pPr>
            <w:r>
              <w:rPr>
                <w:rFonts w:ascii="Arial" w:eastAsia="Times New Roman" w:hAnsi="Arial" w:cs="Arial"/>
                <w:color w:val="000000"/>
                <w:lang w:eastAsia="en-GB"/>
              </w:rPr>
              <w:t xml:space="preserve">Aggregate Group Debt </w:t>
            </w:r>
            <w:r>
              <w:rPr>
                <w:rFonts w:ascii="Arial" w:eastAsia="Times New Roman" w:hAnsi="Arial" w:cs="Arial"/>
                <w:color w:val="000000"/>
                <w:vertAlign w:val="superscript"/>
                <w:lang w:eastAsia="en-GB"/>
              </w:rPr>
              <w:t>(3)</w:t>
            </w:r>
          </w:p>
        </w:tc>
        <w:tc>
          <w:tcPr>
            <w:tcW w:w="1077" w:type="pct"/>
            <w:tcBorders>
              <w:top w:val="nil"/>
              <w:left w:val="nil"/>
              <w:bottom w:val="single" w:sz="4" w:space="0" w:color="auto"/>
              <w:right w:val="nil"/>
            </w:tcBorders>
            <w:shd w:val="clear" w:color="auto" w:fill="EDFFB7"/>
            <w:vAlign w:val="center"/>
            <w:hideMark/>
          </w:tcPr>
          <w:p w14:paraId="54021C68" w14:textId="77777777" w:rsidR="0021298F" w:rsidRDefault="0021298F" w:rsidP="00760009">
            <w:pPr>
              <w:jc w:val="right"/>
              <w:rPr>
                <w:rFonts w:ascii="Arial" w:eastAsia="Times New Roman" w:hAnsi="Arial" w:cs="Arial"/>
                <w:bCs/>
                <w:color w:val="000000"/>
                <w:lang w:eastAsia="en-GB"/>
              </w:rPr>
            </w:pPr>
            <w:r>
              <w:rPr>
                <w:rFonts w:ascii="Arial" w:eastAsia="Times New Roman" w:hAnsi="Arial" w:cs="Arial"/>
                <w:bCs/>
                <w:color w:val="000000"/>
                <w:lang w:eastAsia="en-GB"/>
              </w:rPr>
              <w:t>(427,877)</w:t>
            </w:r>
          </w:p>
        </w:tc>
        <w:tc>
          <w:tcPr>
            <w:tcW w:w="1020" w:type="pct"/>
            <w:tcBorders>
              <w:top w:val="nil"/>
              <w:left w:val="nil"/>
              <w:bottom w:val="single" w:sz="4" w:space="0" w:color="auto"/>
              <w:right w:val="nil"/>
            </w:tcBorders>
            <w:shd w:val="clear" w:color="auto" w:fill="FFFFFF" w:themeFill="background1"/>
            <w:noWrap/>
            <w:vAlign w:val="center"/>
            <w:hideMark/>
          </w:tcPr>
          <w:p w14:paraId="70089506" w14:textId="77777777" w:rsidR="0021298F" w:rsidRDefault="0021298F" w:rsidP="00760009">
            <w:pPr>
              <w:jc w:val="right"/>
              <w:rPr>
                <w:rFonts w:ascii="Arial" w:eastAsia="Times New Roman" w:hAnsi="Arial" w:cs="Arial"/>
                <w:color w:val="000000"/>
                <w:lang w:eastAsia="en-GB"/>
              </w:rPr>
            </w:pPr>
            <w:r>
              <w:rPr>
                <w:rFonts w:ascii="Arial" w:eastAsia="Times New Roman" w:hAnsi="Arial" w:cs="Arial"/>
                <w:bCs/>
                <w:color w:val="000000"/>
                <w:lang w:eastAsia="en-GB"/>
              </w:rPr>
              <w:t>(366,942)</w:t>
            </w:r>
          </w:p>
        </w:tc>
      </w:tr>
      <w:tr w:rsidR="0021298F" w14:paraId="30262B96" w14:textId="77777777" w:rsidTr="00760009">
        <w:trPr>
          <w:trHeight w:val="262"/>
        </w:trPr>
        <w:tc>
          <w:tcPr>
            <w:tcW w:w="2903" w:type="pct"/>
            <w:tcBorders>
              <w:top w:val="single" w:sz="4" w:space="0" w:color="auto"/>
              <w:left w:val="nil"/>
              <w:right w:val="nil"/>
            </w:tcBorders>
            <w:noWrap/>
            <w:vAlign w:val="bottom"/>
            <w:hideMark/>
          </w:tcPr>
          <w:p w14:paraId="75E7B97B" w14:textId="77777777" w:rsidR="0021298F" w:rsidRDefault="0021298F" w:rsidP="00760009">
            <w:pPr>
              <w:jc w:val="both"/>
              <w:rPr>
                <w:rFonts w:ascii="Arial" w:eastAsia="Times New Roman" w:hAnsi="Arial" w:cs="Arial"/>
                <w:b/>
                <w:bCs/>
                <w:color w:val="000000"/>
                <w:lang w:eastAsia="en-GB"/>
              </w:rPr>
            </w:pPr>
            <w:r>
              <w:rPr>
                <w:rFonts w:ascii="Arial" w:eastAsia="Times New Roman" w:hAnsi="Arial" w:cs="Arial"/>
                <w:b/>
                <w:bCs/>
                <w:color w:val="000000"/>
                <w:lang w:eastAsia="en-GB"/>
              </w:rPr>
              <w:t>NAV</w:t>
            </w:r>
          </w:p>
        </w:tc>
        <w:tc>
          <w:tcPr>
            <w:tcW w:w="1077" w:type="pct"/>
            <w:tcBorders>
              <w:top w:val="single" w:sz="4" w:space="0" w:color="auto"/>
              <w:left w:val="nil"/>
              <w:right w:val="nil"/>
            </w:tcBorders>
            <w:shd w:val="clear" w:color="auto" w:fill="EDFFB7"/>
            <w:vAlign w:val="center"/>
            <w:hideMark/>
          </w:tcPr>
          <w:p w14:paraId="55C3AB9A" w14:textId="77777777" w:rsidR="0021298F" w:rsidRDefault="0021298F" w:rsidP="00760009">
            <w:pPr>
              <w:jc w:val="right"/>
              <w:rPr>
                <w:rFonts w:ascii="Arial" w:eastAsia="Times New Roman" w:hAnsi="Arial" w:cs="Arial"/>
                <w:b/>
                <w:bCs/>
                <w:color w:val="000000"/>
                <w:lang w:eastAsia="en-GB"/>
              </w:rPr>
            </w:pPr>
            <w:r>
              <w:rPr>
                <w:rFonts w:ascii="Arial" w:eastAsia="Times New Roman" w:hAnsi="Arial" w:cs="Arial"/>
                <w:b/>
                <w:bCs/>
                <w:color w:val="000000"/>
                <w:lang w:eastAsia="en-GB"/>
              </w:rPr>
              <w:t>748,813</w:t>
            </w:r>
          </w:p>
        </w:tc>
        <w:tc>
          <w:tcPr>
            <w:tcW w:w="1020" w:type="pct"/>
            <w:tcBorders>
              <w:top w:val="single" w:sz="4" w:space="0" w:color="auto"/>
              <w:left w:val="nil"/>
              <w:right w:val="nil"/>
            </w:tcBorders>
            <w:shd w:val="clear" w:color="auto" w:fill="FFFFFF" w:themeFill="background1"/>
            <w:noWrap/>
            <w:vAlign w:val="center"/>
            <w:hideMark/>
          </w:tcPr>
          <w:p w14:paraId="4E9B1FF7" w14:textId="77777777" w:rsidR="0021298F" w:rsidRDefault="0021298F" w:rsidP="00760009">
            <w:pPr>
              <w:jc w:val="right"/>
              <w:rPr>
                <w:rFonts w:ascii="Arial" w:eastAsia="Times New Roman" w:hAnsi="Arial" w:cs="Arial"/>
                <w:b/>
                <w:bCs/>
                <w:color w:val="000000"/>
                <w:lang w:eastAsia="en-GB"/>
              </w:rPr>
            </w:pPr>
            <w:r>
              <w:rPr>
                <w:rFonts w:ascii="Arial" w:eastAsia="Times New Roman" w:hAnsi="Arial" w:cs="Arial"/>
                <w:b/>
                <w:bCs/>
                <w:color w:val="000000"/>
                <w:lang w:eastAsia="en-GB"/>
              </w:rPr>
              <w:t>650,000</w:t>
            </w:r>
          </w:p>
        </w:tc>
      </w:tr>
      <w:tr w:rsidR="0021298F" w14:paraId="202B4F23" w14:textId="77777777" w:rsidTr="00760009">
        <w:trPr>
          <w:trHeight w:val="262"/>
        </w:trPr>
        <w:tc>
          <w:tcPr>
            <w:tcW w:w="2903" w:type="pct"/>
            <w:tcBorders>
              <w:left w:val="nil"/>
              <w:right w:val="nil"/>
            </w:tcBorders>
            <w:noWrap/>
            <w:vAlign w:val="bottom"/>
          </w:tcPr>
          <w:p w14:paraId="4362DFB3" w14:textId="77777777" w:rsidR="0021298F" w:rsidRDefault="0021298F" w:rsidP="00760009">
            <w:pPr>
              <w:jc w:val="both"/>
              <w:rPr>
                <w:rFonts w:ascii="Arial" w:eastAsia="Times New Roman" w:hAnsi="Arial" w:cs="Arial"/>
                <w:b/>
                <w:bCs/>
                <w:color w:val="000000"/>
                <w:lang w:eastAsia="en-GB"/>
              </w:rPr>
            </w:pPr>
          </w:p>
        </w:tc>
        <w:tc>
          <w:tcPr>
            <w:tcW w:w="1077" w:type="pct"/>
            <w:tcBorders>
              <w:left w:val="nil"/>
              <w:right w:val="nil"/>
            </w:tcBorders>
            <w:shd w:val="clear" w:color="auto" w:fill="EDFFB7"/>
            <w:vAlign w:val="center"/>
          </w:tcPr>
          <w:p w14:paraId="432CB76F" w14:textId="77777777" w:rsidR="0021298F" w:rsidRDefault="0021298F" w:rsidP="00760009">
            <w:pPr>
              <w:jc w:val="right"/>
              <w:rPr>
                <w:rFonts w:ascii="Arial" w:eastAsia="Times New Roman" w:hAnsi="Arial" w:cs="Arial"/>
                <w:b/>
                <w:bCs/>
                <w:color w:val="000000"/>
                <w:lang w:eastAsia="en-GB"/>
              </w:rPr>
            </w:pPr>
          </w:p>
        </w:tc>
        <w:tc>
          <w:tcPr>
            <w:tcW w:w="1020" w:type="pct"/>
            <w:tcBorders>
              <w:left w:val="nil"/>
              <w:right w:val="nil"/>
            </w:tcBorders>
            <w:shd w:val="clear" w:color="auto" w:fill="FFFFFF" w:themeFill="background1"/>
            <w:noWrap/>
            <w:vAlign w:val="center"/>
          </w:tcPr>
          <w:p w14:paraId="2585FC43" w14:textId="77777777" w:rsidR="0021298F" w:rsidRDefault="0021298F" w:rsidP="00760009">
            <w:pPr>
              <w:jc w:val="right"/>
              <w:rPr>
                <w:rFonts w:ascii="Arial" w:eastAsia="Times New Roman" w:hAnsi="Arial" w:cs="Arial"/>
                <w:b/>
                <w:bCs/>
                <w:color w:val="000000"/>
                <w:lang w:eastAsia="en-GB"/>
              </w:rPr>
            </w:pPr>
          </w:p>
        </w:tc>
      </w:tr>
      <w:tr w:rsidR="0021298F" w14:paraId="5F9A6486" w14:textId="77777777" w:rsidTr="00760009">
        <w:trPr>
          <w:trHeight w:val="262"/>
        </w:trPr>
        <w:tc>
          <w:tcPr>
            <w:tcW w:w="2903" w:type="pct"/>
            <w:tcBorders>
              <w:left w:val="nil"/>
              <w:bottom w:val="single" w:sz="4" w:space="0" w:color="auto"/>
              <w:right w:val="nil"/>
            </w:tcBorders>
            <w:noWrap/>
            <w:vAlign w:val="bottom"/>
          </w:tcPr>
          <w:p w14:paraId="3887BF6B" w14:textId="77777777" w:rsidR="0021298F" w:rsidRPr="000C1DAA" w:rsidRDefault="0021298F" w:rsidP="00760009">
            <w:pPr>
              <w:jc w:val="both"/>
              <w:rPr>
                <w:rFonts w:ascii="Arial" w:eastAsia="Times New Roman" w:hAnsi="Arial" w:cs="Arial"/>
                <w:color w:val="000000"/>
                <w:lang w:eastAsia="en-GB"/>
              </w:rPr>
            </w:pPr>
            <w:r>
              <w:rPr>
                <w:rFonts w:ascii="Arial" w:eastAsia="Times New Roman" w:hAnsi="Arial" w:cs="Arial"/>
                <w:color w:val="000000"/>
                <w:lang w:eastAsia="en-GB"/>
              </w:rPr>
              <w:t>Reconciling items</w:t>
            </w:r>
          </w:p>
        </w:tc>
        <w:tc>
          <w:tcPr>
            <w:tcW w:w="1077" w:type="pct"/>
            <w:tcBorders>
              <w:left w:val="nil"/>
              <w:bottom w:val="single" w:sz="4" w:space="0" w:color="auto"/>
              <w:right w:val="nil"/>
            </w:tcBorders>
            <w:shd w:val="clear" w:color="auto" w:fill="EDFFB7"/>
            <w:vAlign w:val="center"/>
          </w:tcPr>
          <w:p w14:paraId="4AC72D35" w14:textId="77777777" w:rsidR="0021298F" w:rsidRDefault="0021298F" w:rsidP="00760009">
            <w:pPr>
              <w:jc w:val="right"/>
              <w:rPr>
                <w:rFonts w:ascii="Arial" w:eastAsia="Times New Roman" w:hAnsi="Arial" w:cs="Arial"/>
                <w:b/>
                <w:bCs/>
                <w:color w:val="000000"/>
                <w:lang w:eastAsia="en-GB"/>
              </w:rPr>
            </w:pPr>
            <w:r>
              <w:rPr>
                <w:rFonts w:ascii="Arial" w:eastAsia="Times New Roman" w:hAnsi="Arial" w:cs="Arial"/>
                <w:b/>
                <w:bCs/>
                <w:color w:val="000000"/>
                <w:lang w:eastAsia="en-GB"/>
              </w:rPr>
              <w:t>-</w:t>
            </w:r>
          </w:p>
        </w:tc>
        <w:tc>
          <w:tcPr>
            <w:tcW w:w="1020" w:type="pct"/>
            <w:tcBorders>
              <w:left w:val="nil"/>
              <w:bottom w:val="single" w:sz="4" w:space="0" w:color="auto"/>
              <w:right w:val="nil"/>
            </w:tcBorders>
            <w:shd w:val="clear" w:color="auto" w:fill="FFFFFF" w:themeFill="background1"/>
            <w:noWrap/>
            <w:vAlign w:val="center"/>
          </w:tcPr>
          <w:p w14:paraId="561E3314" w14:textId="77777777" w:rsidR="0021298F" w:rsidRDefault="0021298F" w:rsidP="00760009">
            <w:pPr>
              <w:jc w:val="right"/>
              <w:rPr>
                <w:rFonts w:ascii="Arial" w:eastAsia="Times New Roman" w:hAnsi="Arial" w:cs="Arial"/>
                <w:b/>
                <w:bCs/>
                <w:color w:val="000000"/>
                <w:lang w:eastAsia="en-GB"/>
              </w:rPr>
            </w:pPr>
            <w:r>
              <w:rPr>
                <w:rFonts w:ascii="Arial" w:eastAsia="Times New Roman" w:hAnsi="Arial" w:cs="Arial"/>
                <w:b/>
                <w:bCs/>
                <w:color w:val="000000"/>
                <w:lang w:eastAsia="en-GB"/>
              </w:rPr>
              <w:t>-</w:t>
            </w:r>
          </w:p>
        </w:tc>
      </w:tr>
      <w:tr w:rsidR="0021298F" w14:paraId="69F94482" w14:textId="77777777" w:rsidTr="00760009">
        <w:trPr>
          <w:trHeight w:val="262"/>
        </w:trPr>
        <w:tc>
          <w:tcPr>
            <w:tcW w:w="2903" w:type="pct"/>
            <w:tcBorders>
              <w:top w:val="single" w:sz="4" w:space="0" w:color="auto"/>
              <w:left w:val="nil"/>
              <w:bottom w:val="nil"/>
              <w:right w:val="nil"/>
            </w:tcBorders>
            <w:noWrap/>
            <w:vAlign w:val="bottom"/>
          </w:tcPr>
          <w:p w14:paraId="410F55DA" w14:textId="77777777" w:rsidR="0021298F" w:rsidRPr="000C1DAA" w:rsidRDefault="0021298F" w:rsidP="00760009">
            <w:pPr>
              <w:jc w:val="both"/>
              <w:rPr>
                <w:rFonts w:ascii="Arial" w:eastAsia="Times New Roman" w:hAnsi="Arial" w:cs="Arial"/>
                <w:b/>
                <w:bCs/>
                <w:color w:val="000000"/>
                <w:lang w:eastAsia="en-GB"/>
              </w:rPr>
            </w:pPr>
            <w:r w:rsidRPr="000C1DAA">
              <w:rPr>
                <w:rFonts w:ascii="Arial" w:eastAsia="Times New Roman" w:hAnsi="Arial" w:cs="Arial"/>
                <w:b/>
                <w:bCs/>
                <w:color w:val="000000"/>
                <w:lang w:eastAsia="en-GB"/>
              </w:rPr>
              <w:t>Statutory net assets</w:t>
            </w:r>
          </w:p>
        </w:tc>
        <w:tc>
          <w:tcPr>
            <w:tcW w:w="1077" w:type="pct"/>
            <w:tcBorders>
              <w:top w:val="single" w:sz="4" w:space="0" w:color="auto"/>
              <w:left w:val="nil"/>
              <w:bottom w:val="nil"/>
              <w:right w:val="nil"/>
            </w:tcBorders>
            <w:shd w:val="clear" w:color="auto" w:fill="EDFFB7"/>
            <w:vAlign w:val="center"/>
          </w:tcPr>
          <w:p w14:paraId="045D58A0" w14:textId="77777777" w:rsidR="0021298F" w:rsidRDefault="0021298F" w:rsidP="00760009">
            <w:pPr>
              <w:jc w:val="right"/>
              <w:rPr>
                <w:rFonts w:ascii="Arial" w:eastAsia="Times New Roman" w:hAnsi="Arial" w:cs="Arial"/>
                <w:b/>
                <w:bCs/>
                <w:color w:val="000000"/>
                <w:lang w:eastAsia="en-GB"/>
              </w:rPr>
            </w:pPr>
            <w:r>
              <w:rPr>
                <w:rFonts w:ascii="Arial" w:eastAsia="Times New Roman" w:hAnsi="Arial" w:cs="Arial"/>
                <w:b/>
                <w:bCs/>
                <w:color w:val="000000"/>
                <w:lang w:eastAsia="en-GB"/>
              </w:rPr>
              <w:t>748,813</w:t>
            </w:r>
          </w:p>
        </w:tc>
        <w:tc>
          <w:tcPr>
            <w:tcW w:w="1020" w:type="pct"/>
            <w:tcBorders>
              <w:top w:val="single" w:sz="4" w:space="0" w:color="auto"/>
              <w:left w:val="nil"/>
              <w:bottom w:val="nil"/>
              <w:right w:val="nil"/>
            </w:tcBorders>
            <w:shd w:val="clear" w:color="auto" w:fill="FFFFFF" w:themeFill="background1"/>
            <w:noWrap/>
            <w:vAlign w:val="center"/>
          </w:tcPr>
          <w:p w14:paraId="0C1DB018" w14:textId="77777777" w:rsidR="0021298F" w:rsidRDefault="0021298F" w:rsidP="00760009">
            <w:pPr>
              <w:jc w:val="right"/>
              <w:rPr>
                <w:rFonts w:ascii="Arial" w:eastAsia="Times New Roman" w:hAnsi="Arial" w:cs="Arial"/>
                <w:b/>
                <w:bCs/>
                <w:color w:val="000000"/>
                <w:lang w:eastAsia="en-GB"/>
              </w:rPr>
            </w:pPr>
            <w:r>
              <w:rPr>
                <w:rFonts w:ascii="Arial" w:eastAsia="Times New Roman" w:hAnsi="Arial" w:cs="Arial"/>
                <w:b/>
                <w:bCs/>
                <w:color w:val="000000"/>
                <w:lang w:eastAsia="en-GB"/>
              </w:rPr>
              <w:t>650,000</w:t>
            </w:r>
          </w:p>
        </w:tc>
      </w:tr>
      <w:tr w:rsidR="0021298F" w14:paraId="1B03F37B" w14:textId="77777777" w:rsidTr="00760009">
        <w:trPr>
          <w:trHeight w:val="262"/>
        </w:trPr>
        <w:tc>
          <w:tcPr>
            <w:tcW w:w="2903" w:type="pct"/>
            <w:noWrap/>
            <w:vAlign w:val="bottom"/>
          </w:tcPr>
          <w:p w14:paraId="1AC62D7C" w14:textId="77777777" w:rsidR="0021298F" w:rsidRDefault="0021298F" w:rsidP="00760009">
            <w:pPr>
              <w:jc w:val="both"/>
              <w:rPr>
                <w:rFonts w:ascii="Arial" w:eastAsia="Times New Roman" w:hAnsi="Arial" w:cs="Arial"/>
                <w:b/>
                <w:bCs/>
                <w:color w:val="000000"/>
                <w:lang w:eastAsia="en-GB"/>
              </w:rPr>
            </w:pPr>
            <w:r>
              <w:rPr>
                <w:rFonts w:ascii="Arial" w:eastAsia="Times New Roman" w:hAnsi="Arial" w:cs="Arial"/>
                <w:b/>
                <w:bCs/>
                <w:color w:val="000000"/>
                <w:lang w:eastAsia="en-GB"/>
              </w:rPr>
              <w:t xml:space="preserve"> </w:t>
            </w:r>
          </w:p>
        </w:tc>
        <w:tc>
          <w:tcPr>
            <w:tcW w:w="1077" w:type="pct"/>
            <w:shd w:val="clear" w:color="auto" w:fill="EDFFB7"/>
            <w:vAlign w:val="center"/>
          </w:tcPr>
          <w:p w14:paraId="3FCBA3FF" w14:textId="77777777" w:rsidR="0021298F" w:rsidRDefault="0021298F" w:rsidP="00760009">
            <w:pPr>
              <w:jc w:val="right"/>
              <w:rPr>
                <w:rFonts w:ascii="Arial" w:eastAsia="Times New Roman" w:hAnsi="Arial" w:cs="Arial"/>
                <w:b/>
                <w:bCs/>
                <w:color w:val="000000"/>
                <w:lang w:eastAsia="en-GB"/>
              </w:rPr>
            </w:pPr>
          </w:p>
        </w:tc>
        <w:tc>
          <w:tcPr>
            <w:tcW w:w="1020" w:type="pct"/>
            <w:shd w:val="clear" w:color="auto" w:fill="FFFFFF" w:themeFill="background1"/>
            <w:noWrap/>
            <w:vAlign w:val="center"/>
          </w:tcPr>
          <w:p w14:paraId="025F3F16" w14:textId="77777777" w:rsidR="0021298F" w:rsidRDefault="0021298F" w:rsidP="00760009">
            <w:pPr>
              <w:jc w:val="right"/>
              <w:rPr>
                <w:rFonts w:ascii="Arial" w:eastAsia="Times New Roman" w:hAnsi="Arial" w:cs="Arial"/>
                <w:b/>
                <w:bCs/>
                <w:color w:val="000000"/>
                <w:lang w:eastAsia="en-GB"/>
              </w:rPr>
            </w:pPr>
          </w:p>
        </w:tc>
      </w:tr>
      <w:tr w:rsidR="0021298F" w14:paraId="28AE7B5D" w14:textId="77777777" w:rsidTr="00760009">
        <w:trPr>
          <w:trHeight w:val="249"/>
        </w:trPr>
        <w:tc>
          <w:tcPr>
            <w:tcW w:w="2903" w:type="pct"/>
            <w:noWrap/>
            <w:vAlign w:val="bottom"/>
            <w:hideMark/>
          </w:tcPr>
          <w:p w14:paraId="01A069EA" w14:textId="77777777" w:rsidR="0021298F" w:rsidRDefault="0021298F" w:rsidP="00760009">
            <w:pPr>
              <w:jc w:val="both"/>
              <w:rPr>
                <w:rFonts w:ascii="Arial" w:eastAsia="Times New Roman" w:hAnsi="Arial" w:cs="Arial"/>
                <w:color w:val="000000"/>
                <w:lang w:eastAsia="en-GB"/>
              </w:rPr>
            </w:pPr>
            <w:r>
              <w:rPr>
                <w:rFonts w:ascii="Arial" w:eastAsia="Times New Roman" w:hAnsi="Arial" w:cs="Arial"/>
                <w:color w:val="000000"/>
                <w:lang w:eastAsia="en-GB"/>
              </w:rPr>
              <w:t>Shares in issue</w:t>
            </w:r>
          </w:p>
        </w:tc>
        <w:tc>
          <w:tcPr>
            <w:tcW w:w="1077" w:type="pct"/>
            <w:shd w:val="clear" w:color="auto" w:fill="EDFFB7"/>
            <w:vAlign w:val="center"/>
            <w:hideMark/>
          </w:tcPr>
          <w:p w14:paraId="020BF148" w14:textId="77777777" w:rsidR="0021298F" w:rsidRDefault="0021298F" w:rsidP="00760009">
            <w:pPr>
              <w:jc w:val="right"/>
              <w:rPr>
                <w:rFonts w:ascii="Arial" w:eastAsia="Times New Roman" w:hAnsi="Arial" w:cs="Arial"/>
                <w:color w:val="000000"/>
                <w:lang w:eastAsia="en-GB"/>
              </w:rPr>
            </w:pPr>
            <w:r>
              <w:rPr>
                <w:rFonts w:ascii="Arial" w:eastAsia="Times New Roman" w:hAnsi="Arial" w:cs="Arial"/>
                <w:color w:val="000000"/>
                <w:lang w:eastAsia="en-GB"/>
              </w:rPr>
              <w:t>741,238,938</w:t>
            </w:r>
          </w:p>
        </w:tc>
        <w:tc>
          <w:tcPr>
            <w:tcW w:w="1020" w:type="pct"/>
            <w:shd w:val="clear" w:color="auto" w:fill="FFFFFF" w:themeFill="background1"/>
            <w:noWrap/>
            <w:vAlign w:val="center"/>
            <w:hideMark/>
          </w:tcPr>
          <w:p w14:paraId="1F33FE46" w14:textId="77777777" w:rsidR="0021298F" w:rsidRDefault="0021298F" w:rsidP="00760009">
            <w:pPr>
              <w:jc w:val="right"/>
              <w:rPr>
                <w:rFonts w:ascii="Arial" w:eastAsia="Times New Roman" w:hAnsi="Arial" w:cs="Arial"/>
                <w:color w:val="000000"/>
                <w:lang w:eastAsia="en-GB"/>
              </w:rPr>
            </w:pPr>
            <w:r>
              <w:rPr>
                <w:rFonts w:ascii="Arial" w:eastAsia="Times New Roman" w:hAnsi="Arial" w:cs="Arial"/>
                <w:color w:val="000000"/>
                <w:lang w:eastAsia="en-GB"/>
              </w:rPr>
              <w:t>630,619,469</w:t>
            </w:r>
          </w:p>
        </w:tc>
      </w:tr>
      <w:tr w:rsidR="0021298F" w14:paraId="2F772A87" w14:textId="77777777" w:rsidTr="00760009">
        <w:trPr>
          <w:trHeight w:val="275"/>
        </w:trPr>
        <w:tc>
          <w:tcPr>
            <w:tcW w:w="2903" w:type="pct"/>
            <w:tcBorders>
              <w:top w:val="nil"/>
              <w:left w:val="nil"/>
              <w:bottom w:val="single" w:sz="8" w:space="0" w:color="auto"/>
              <w:right w:val="nil"/>
            </w:tcBorders>
            <w:noWrap/>
            <w:vAlign w:val="bottom"/>
            <w:hideMark/>
          </w:tcPr>
          <w:p w14:paraId="48BF6541" w14:textId="77777777" w:rsidR="0021298F" w:rsidRDefault="0021298F" w:rsidP="00760009">
            <w:pPr>
              <w:jc w:val="both"/>
              <w:rPr>
                <w:rFonts w:ascii="Arial" w:eastAsia="Times New Roman" w:hAnsi="Arial" w:cs="Arial"/>
                <w:b/>
                <w:bCs/>
                <w:color w:val="000000"/>
                <w:lang w:eastAsia="en-GB"/>
              </w:rPr>
            </w:pPr>
            <w:r>
              <w:rPr>
                <w:rFonts w:ascii="Arial" w:eastAsia="Times New Roman" w:hAnsi="Arial" w:cs="Arial"/>
                <w:b/>
                <w:bCs/>
                <w:color w:val="000000"/>
                <w:lang w:eastAsia="en-GB"/>
              </w:rPr>
              <w:t>NAV per share (cent)</w:t>
            </w:r>
          </w:p>
        </w:tc>
        <w:tc>
          <w:tcPr>
            <w:tcW w:w="1077" w:type="pct"/>
            <w:tcBorders>
              <w:top w:val="nil"/>
              <w:left w:val="nil"/>
              <w:bottom w:val="single" w:sz="8" w:space="0" w:color="auto"/>
              <w:right w:val="nil"/>
            </w:tcBorders>
            <w:shd w:val="clear" w:color="auto" w:fill="EDFFB7"/>
            <w:vAlign w:val="center"/>
            <w:hideMark/>
          </w:tcPr>
          <w:p w14:paraId="719C553A" w14:textId="77777777" w:rsidR="0021298F" w:rsidRDefault="0021298F" w:rsidP="00760009">
            <w:pPr>
              <w:jc w:val="right"/>
              <w:rPr>
                <w:rFonts w:ascii="Arial" w:eastAsia="Times New Roman" w:hAnsi="Arial" w:cs="Arial"/>
                <w:b/>
                <w:bCs/>
                <w:color w:val="000000"/>
                <w:lang w:eastAsia="en-GB"/>
              </w:rPr>
            </w:pPr>
            <w:r>
              <w:rPr>
                <w:rFonts w:ascii="Arial" w:eastAsia="Times New Roman" w:hAnsi="Arial" w:cs="Arial"/>
                <w:b/>
                <w:bCs/>
                <w:color w:val="000000"/>
                <w:lang w:eastAsia="en-GB"/>
              </w:rPr>
              <w:t>101.0</w:t>
            </w:r>
          </w:p>
        </w:tc>
        <w:tc>
          <w:tcPr>
            <w:tcW w:w="1020" w:type="pct"/>
            <w:tcBorders>
              <w:top w:val="nil"/>
              <w:left w:val="nil"/>
              <w:bottom w:val="single" w:sz="8" w:space="0" w:color="auto"/>
              <w:right w:val="nil"/>
            </w:tcBorders>
            <w:shd w:val="clear" w:color="auto" w:fill="FFFFFF" w:themeFill="background1"/>
            <w:noWrap/>
            <w:vAlign w:val="center"/>
            <w:hideMark/>
          </w:tcPr>
          <w:p w14:paraId="157E75BA" w14:textId="77777777" w:rsidR="0021298F" w:rsidRDefault="0021298F" w:rsidP="00760009">
            <w:pPr>
              <w:jc w:val="right"/>
              <w:rPr>
                <w:rFonts w:ascii="Arial" w:eastAsia="Times New Roman" w:hAnsi="Arial" w:cs="Arial"/>
                <w:b/>
                <w:bCs/>
                <w:color w:val="000000"/>
                <w:lang w:eastAsia="en-GB"/>
              </w:rPr>
            </w:pPr>
            <w:r>
              <w:rPr>
                <w:rFonts w:ascii="Arial" w:eastAsia="Times New Roman" w:hAnsi="Arial" w:cs="Arial"/>
                <w:b/>
                <w:bCs/>
                <w:color w:val="000000"/>
                <w:lang w:eastAsia="en-GB"/>
              </w:rPr>
              <w:t>103.1</w:t>
            </w:r>
          </w:p>
        </w:tc>
      </w:tr>
    </w:tbl>
    <w:p w14:paraId="09A73B3D" w14:textId="77777777" w:rsidR="0021298F" w:rsidRDefault="0021298F" w:rsidP="0021298F">
      <w:pPr>
        <w:ind w:firstLine="720"/>
        <w:jc w:val="both"/>
        <w:rPr>
          <w:rFonts w:ascii="Arial" w:eastAsia="Times New Roman" w:hAnsi="Arial" w:cs="Arial"/>
          <w:sz w:val="16"/>
        </w:rPr>
      </w:pPr>
    </w:p>
    <w:p w14:paraId="6F983D7E" w14:textId="77777777" w:rsidR="0021298F" w:rsidRDefault="0021298F" w:rsidP="0021298F">
      <w:pPr>
        <w:jc w:val="both"/>
        <w:rPr>
          <w:rFonts w:ascii="Arial" w:eastAsia="Times New Roman" w:hAnsi="Arial" w:cs="Arial"/>
          <w:sz w:val="16"/>
        </w:rPr>
      </w:pPr>
      <w:r w:rsidRPr="00AE47CC">
        <w:rPr>
          <w:rFonts w:ascii="Arial" w:eastAsia="Times New Roman" w:hAnsi="Arial" w:cs="Arial"/>
          <w:sz w:val="16"/>
          <w:vertAlign w:val="superscript"/>
        </w:rPr>
        <w:lastRenderedPageBreak/>
        <w:t>(1)</w:t>
      </w:r>
      <w:r>
        <w:rPr>
          <w:rFonts w:ascii="Arial" w:eastAsia="Times New Roman" w:hAnsi="Arial" w:cs="Arial"/>
          <w:sz w:val="16"/>
        </w:rPr>
        <w:t xml:space="preserve">  The fair value of investments are shown gross of €212.9 million debt and swap fair values held at wind farm SPV level that are not included in the equivalent figure in the Consolidated Statement of Financial Position. </w:t>
      </w:r>
    </w:p>
    <w:p w14:paraId="3E7BFCAA" w14:textId="77777777" w:rsidR="0021298F" w:rsidRDefault="0021298F" w:rsidP="0021298F">
      <w:pPr>
        <w:jc w:val="both"/>
        <w:rPr>
          <w:rFonts w:ascii="Arial" w:eastAsia="Times New Roman" w:hAnsi="Arial" w:cs="Arial"/>
          <w:sz w:val="16"/>
        </w:rPr>
      </w:pPr>
      <w:r w:rsidRPr="00AE47CC">
        <w:rPr>
          <w:rFonts w:ascii="Arial" w:eastAsia="Times New Roman" w:hAnsi="Arial" w:cs="Arial"/>
          <w:sz w:val="16"/>
          <w:vertAlign w:val="superscript"/>
        </w:rPr>
        <w:t>(2)</w:t>
      </w:r>
      <w:r>
        <w:rPr>
          <w:rFonts w:ascii="Arial" w:eastAsia="Times New Roman" w:hAnsi="Arial" w:cs="Arial"/>
          <w:sz w:val="16"/>
        </w:rPr>
        <w:t xml:space="preserve"> Other relevant net assets in 2020 are gross of €4.2 million of capitalised facility arrangement fees that are netted off against loans and borrowings (consistent with Note 13 to the financial statements).</w:t>
      </w:r>
    </w:p>
    <w:p w14:paraId="3598E332" w14:textId="77777777" w:rsidR="0021298F" w:rsidRDefault="0021298F" w:rsidP="0021298F">
      <w:pPr>
        <w:jc w:val="both"/>
        <w:rPr>
          <w:rFonts w:ascii="Arial" w:eastAsia="Times New Roman" w:hAnsi="Arial" w:cs="Arial"/>
          <w:sz w:val="16"/>
        </w:rPr>
      </w:pPr>
      <w:r w:rsidRPr="00AE47CC">
        <w:rPr>
          <w:rFonts w:ascii="Arial" w:eastAsia="Times New Roman" w:hAnsi="Arial" w:cs="Arial"/>
          <w:sz w:val="16"/>
          <w:vertAlign w:val="superscript"/>
        </w:rPr>
        <w:t>(</w:t>
      </w:r>
      <w:r>
        <w:rPr>
          <w:rFonts w:ascii="Arial" w:eastAsia="Times New Roman" w:hAnsi="Arial" w:cs="Arial"/>
          <w:sz w:val="16"/>
          <w:vertAlign w:val="superscript"/>
        </w:rPr>
        <w:t>3</w:t>
      </w:r>
      <w:r w:rsidRPr="00AE47CC">
        <w:rPr>
          <w:rFonts w:ascii="Arial" w:eastAsia="Times New Roman" w:hAnsi="Arial" w:cs="Arial"/>
          <w:sz w:val="16"/>
          <w:vertAlign w:val="superscript"/>
        </w:rPr>
        <w:t>)</w:t>
      </w:r>
      <w:r>
        <w:rPr>
          <w:rFonts w:ascii="Arial" w:eastAsia="Times New Roman" w:hAnsi="Arial" w:cs="Arial"/>
          <w:sz w:val="16"/>
        </w:rPr>
        <w:t xml:space="preserve"> Aggregate Group debt reflects €215.0 million relating to amounts drawn under the Group's revolving credit and term facilities (gross of €4.2 million of capitalised facility arrangement fees and consistent with Note 13 to the financial statements), and €212.9 million of debt and swap fair values held at wind farm SPV level. </w:t>
      </w:r>
    </w:p>
    <w:p w14:paraId="4550BC0C" w14:textId="77777777" w:rsidR="0021298F" w:rsidRDefault="0021298F" w:rsidP="0021298F">
      <w:pPr>
        <w:pStyle w:val="Heading4"/>
        <w:spacing w:before="0"/>
        <w:rPr>
          <w:rFonts w:ascii="Arial" w:hAnsi="Arial" w:cs="Arial"/>
          <w:color w:val="auto"/>
        </w:rPr>
      </w:pPr>
    </w:p>
    <w:p w14:paraId="454AEBC1" w14:textId="77777777" w:rsidR="0021298F" w:rsidRDefault="0021298F" w:rsidP="0021298F">
      <w:pPr>
        <w:pStyle w:val="Heading4"/>
        <w:spacing w:before="0"/>
        <w:rPr>
          <w:rFonts w:ascii="Arial" w:eastAsia="Times New Roman" w:hAnsi="Arial" w:cs="Arial"/>
        </w:rPr>
      </w:pPr>
      <w:r>
        <w:rPr>
          <w:rFonts w:ascii="Arial" w:hAnsi="Arial" w:cs="Arial"/>
          <w:color w:val="auto"/>
        </w:rPr>
        <w:t xml:space="preserve">NAV Sensitivities </w:t>
      </w:r>
    </w:p>
    <w:p w14:paraId="66432B52" w14:textId="77777777" w:rsidR="0021298F" w:rsidRDefault="0021298F" w:rsidP="0021298F">
      <w:pPr>
        <w:jc w:val="both"/>
        <w:rPr>
          <w:rFonts w:ascii="Arial" w:eastAsia="Times New Roman" w:hAnsi="Arial" w:cs="Arial"/>
        </w:rPr>
      </w:pPr>
      <w:r>
        <w:rPr>
          <w:rFonts w:ascii="Arial" w:eastAsia="Times New Roman" w:hAnsi="Arial" w:cs="Arial"/>
        </w:rPr>
        <w:t>NAV is equal to GAV less Aggregate Group Debt.</w:t>
      </w:r>
    </w:p>
    <w:p w14:paraId="39E1CB52" w14:textId="77777777" w:rsidR="0021298F" w:rsidRDefault="0021298F" w:rsidP="0021298F">
      <w:pPr>
        <w:jc w:val="both"/>
        <w:rPr>
          <w:rFonts w:ascii="Arial" w:eastAsia="Times New Roman" w:hAnsi="Arial" w:cs="Arial"/>
        </w:rPr>
      </w:pPr>
    </w:p>
    <w:p w14:paraId="2641DD29" w14:textId="77777777" w:rsidR="0021298F" w:rsidRDefault="0021298F" w:rsidP="0021298F">
      <w:pPr>
        <w:jc w:val="both"/>
        <w:rPr>
          <w:rFonts w:ascii="Arial" w:eastAsia="Times New Roman" w:hAnsi="Arial" w:cs="Arial"/>
        </w:rPr>
      </w:pPr>
      <w:r>
        <w:rPr>
          <w:rFonts w:ascii="Arial" w:eastAsia="Times New Roman" w:hAnsi="Arial" w:cs="Arial"/>
        </w:rPr>
        <w:t>GAV is the sum of:</w:t>
      </w:r>
    </w:p>
    <w:p w14:paraId="47CE359A" w14:textId="77777777" w:rsidR="0021298F" w:rsidRDefault="0021298F" w:rsidP="0021298F">
      <w:pPr>
        <w:pStyle w:val="ListParagraph"/>
        <w:numPr>
          <w:ilvl w:val="0"/>
          <w:numId w:val="37"/>
        </w:numPr>
        <w:jc w:val="both"/>
        <w:rPr>
          <w:rFonts w:ascii="Arial" w:eastAsia="Times New Roman" w:hAnsi="Arial" w:cs="Arial"/>
        </w:rPr>
      </w:pPr>
      <w:r>
        <w:rPr>
          <w:rFonts w:ascii="Arial" w:eastAsia="Times New Roman" w:hAnsi="Arial" w:cs="Arial"/>
        </w:rPr>
        <w:t>DCF valuations of the Group’s investments;</w:t>
      </w:r>
    </w:p>
    <w:p w14:paraId="4CEB2844" w14:textId="77777777" w:rsidR="0021298F" w:rsidRDefault="0021298F" w:rsidP="0021298F">
      <w:pPr>
        <w:pStyle w:val="ListParagraph"/>
        <w:numPr>
          <w:ilvl w:val="0"/>
          <w:numId w:val="37"/>
        </w:numPr>
        <w:jc w:val="both"/>
        <w:rPr>
          <w:rFonts w:ascii="Arial" w:eastAsia="Times New Roman" w:hAnsi="Arial" w:cs="Arial"/>
        </w:rPr>
      </w:pPr>
      <w:r>
        <w:rPr>
          <w:rFonts w:ascii="Arial" w:eastAsia="Times New Roman" w:hAnsi="Arial" w:cs="Arial"/>
        </w:rPr>
        <w:t>cash (at Group and wind farm SPV level); and</w:t>
      </w:r>
    </w:p>
    <w:p w14:paraId="747491F1" w14:textId="77777777" w:rsidR="0021298F" w:rsidRDefault="0021298F" w:rsidP="0021298F">
      <w:pPr>
        <w:pStyle w:val="ListParagraph"/>
        <w:numPr>
          <w:ilvl w:val="0"/>
          <w:numId w:val="37"/>
        </w:numPr>
        <w:jc w:val="both"/>
        <w:rPr>
          <w:rFonts w:ascii="Arial" w:eastAsia="Times New Roman" w:hAnsi="Arial" w:cs="Arial"/>
        </w:rPr>
      </w:pPr>
      <w:r>
        <w:rPr>
          <w:rFonts w:ascii="Arial" w:eastAsia="Times New Roman" w:hAnsi="Arial" w:cs="Arial"/>
        </w:rPr>
        <w:t>other relevant assets/liabilities of the Group and wind farm SPVs.</w:t>
      </w:r>
    </w:p>
    <w:p w14:paraId="370FB134" w14:textId="77777777" w:rsidR="0021298F" w:rsidRDefault="0021298F" w:rsidP="0021298F">
      <w:pPr>
        <w:jc w:val="both"/>
        <w:rPr>
          <w:rFonts w:ascii="Arial" w:eastAsia="Times New Roman" w:hAnsi="Arial" w:cs="Arial"/>
        </w:rPr>
      </w:pPr>
    </w:p>
    <w:p w14:paraId="700DEC08" w14:textId="77777777" w:rsidR="0021298F" w:rsidRDefault="0021298F" w:rsidP="0021298F">
      <w:pPr>
        <w:jc w:val="both"/>
        <w:rPr>
          <w:rFonts w:ascii="Arial" w:hAnsi="Arial" w:cs="Arial"/>
          <w:b/>
          <w:sz w:val="26"/>
          <w:szCs w:val="26"/>
        </w:rPr>
      </w:pPr>
      <w:r>
        <w:rPr>
          <w:rFonts w:ascii="Arial" w:eastAsia="Times New Roman" w:hAnsi="Arial" w:cs="Arial"/>
        </w:rPr>
        <w:t>The DCF valuation of the Group’s investments represents the largest component of GAV and the key sensitivities are considered to be the discount rate used in the DCF valuation and long-term assumptions in relation to energy yield, power prices, inflation, and asset life.</w:t>
      </w:r>
    </w:p>
    <w:p w14:paraId="6124EE6F" w14:textId="77777777" w:rsidR="0021298F" w:rsidRDefault="0021298F" w:rsidP="0021298F">
      <w:pPr>
        <w:jc w:val="both"/>
        <w:rPr>
          <w:rFonts w:ascii="Arial" w:eastAsia="Times New Roman" w:hAnsi="Arial" w:cs="Arial"/>
        </w:rPr>
      </w:pPr>
    </w:p>
    <w:p w14:paraId="60DBF828" w14:textId="77777777" w:rsidR="0021298F" w:rsidRDefault="0021298F" w:rsidP="0021298F">
      <w:pPr>
        <w:jc w:val="both"/>
        <w:rPr>
          <w:rFonts w:ascii="Arial" w:hAnsi="Arial" w:cs="Arial"/>
        </w:rPr>
      </w:pPr>
      <w:r>
        <w:rPr>
          <w:rFonts w:ascii="Arial" w:eastAsia="Times New Roman" w:hAnsi="Arial" w:cs="Arial"/>
        </w:rPr>
        <w:t xml:space="preserve">The base case discount rate is a blend of a lower discount rate for fixed cash flows and a higher discount rate for merchant cash flows. The blended discount rate reduced by 0.2 per cent from 31 December 2019 reflecting market valuations for Irish assets observed through 2020. </w:t>
      </w:r>
      <w:r>
        <w:rPr>
          <w:rFonts w:ascii="Arial" w:hAnsi="Arial" w:cs="Arial"/>
        </w:rPr>
        <w:t xml:space="preserve">The blended discount rate as at 31 December 2020 remains within 6 and 7 per cent, which is considered to be an appropriate base case for sensitivity analysis. </w:t>
      </w:r>
      <w:r>
        <w:rPr>
          <w:rFonts w:ascii="Arial" w:eastAsia="Times New Roman" w:hAnsi="Arial" w:cs="Arial"/>
        </w:rPr>
        <w:t xml:space="preserve">A variance of +/- 0.25 per cent is considered to be a reasonable range of alternative assumptions for discount rate. </w:t>
      </w:r>
    </w:p>
    <w:p w14:paraId="71CBFC95" w14:textId="77777777" w:rsidR="0021298F" w:rsidRDefault="0021298F" w:rsidP="0021298F">
      <w:pPr>
        <w:jc w:val="both"/>
        <w:rPr>
          <w:rFonts w:ascii="Arial" w:eastAsia="Times New Roman" w:hAnsi="Arial" w:cs="Arial"/>
        </w:rPr>
      </w:pPr>
    </w:p>
    <w:p w14:paraId="39A5C91B" w14:textId="77777777" w:rsidR="0021298F" w:rsidRDefault="0021298F" w:rsidP="0021298F">
      <w:pPr>
        <w:jc w:val="both"/>
        <w:rPr>
          <w:rFonts w:ascii="Arial" w:eastAsia="Times New Roman" w:hAnsi="Arial" w:cs="Arial"/>
        </w:rPr>
      </w:pPr>
      <w:r>
        <w:rPr>
          <w:rFonts w:ascii="Arial" w:eastAsia="Times New Roman" w:hAnsi="Arial" w:cs="Arial"/>
        </w:rPr>
        <w:t>The base case long term CPI assumption is 2.0 per cent for both Irish and French assets.</w:t>
      </w:r>
    </w:p>
    <w:p w14:paraId="2820D6B8" w14:textId="77777777" w:rsidR="0021298F" w:rsidRDefault="0021298F" w:rsidP="0021298F">
      <w:pPr>
        <w:jc w:val="both"/>
        <w:rPr>
          <w:rFonts w:ascii="Arial" w:eastAsia="Times New Roman" w:hAnsi="Arial" w:cs="Arial"/>
        </w:rPr>
      </w:pPr>
    </w:p>
    <w:p w14:paraId="0EDA1661" w14:textId="77777777" w:rsidR="0021298F" w:rsidRDefault="0021298F" w:rsidP="0021298F">
      <w:pPr>
        <w:jc w:val="both"/>
        <w:rPr>
          <w:rFonts w:ascii="Arial" w:eastAsia="Times New Roman" w:hAnsi="Arial" w:cs="Arial"/>
        </w:rPr>
      </w:pPr>
      <w:r>
        <w:rPr>
          <w:rFonts w:ascii="Arial" w:eastAsia="Times New Roman" w:hAnsi="Arial" w:cs="Arial"/>
        </w:rPr>
        <w:t xml:space="preserve">Base case energy yield assumptions are P50 (50 per cent probability of exceedance) forecasts produced by expert consultants based on long term wind data and operational history. The P90 (90 per cent probability of exceedance over a 10 year period) and P10 (10 per cent probability of exceedance over a 10 year period) sensitivities reflect the future variability of wind and the uncertainty associated with the long term data source being representative of the long term mean. </w:t>
      </w:r>
    </w:p>
    <w:p w14:paraId="5F99504B" w14:textId="77777777" w:rsidR="0021298F" w:rsidRDefault="0021298F" w:rsidP="0021298F">
      <w:pPr>
        <w:jc w:val="both"/>
        <w:rPr>
          <w:rFonts w:ascii="Arial" w:eastAsia="Times New Roman" w:hAnsi="Arial" w:cs="Arial"/>
        </w:rPr>
      </w:pPr>
    </w:p>
    <w:p w14:paraId="17AA2AE9" w14:textId="77777777" w:rsidR="0021298F" w:rsidRDefault="0021298F" w:rsidP="0021298F">
      <w:pPr>
        <w:jc w:val="both"/>
        <w:rPr>
          <w:rFonts w:ascii="Arial" w:eastAsia="Times New Roman" w:hAnsi="Arial" w:cs="Arial"/>
        </w:rPr>
      </w:pPr>
      <w:r>
        <w:rPr>
          <w:rFonts w:ascii="Arial" w:eastAsia="Times New Roman" w:hAnsi="Arial" w:cs="Arial"/>
        </w:rPr>
        <w:t>Long term power price forecasts are provided by leading market consultants, updated quarterly and adjusted by the Investment Manager where more conservative assumptions are considered appropriate. The independent forecasts are never adjusted upwards. Base case real power prices increase from approximately €57/MWh (2030) to approximately €62/MWh (2040) in Ireland and approximately €50/MWh (2030) to approximately €55/MWh (2040) in France. The sensitivity below assumes a 10 per cent increase or decrease in power prices relative to the base case for every year of the asset life.</w:t>
      </w:r>
    </w:p>
    <w:p w14:paraId="763CE211" w14:textId="77777777" w:rsidR="0021298F" w:rsidRDefault="0021298F" w:rsidP="0021298F">
      <w:pPr>
        <w:jc w:val="both"/>
        <w:rPr>
          <w:rFonts w:ascii="Arial" w:eastAsia="Times New Roman" w:hAnsi="Arial" w:cs="Arial"/>
        </w:rPr>
      </w:pPr>
    </w:p>
    <w:p w14:paraId="18B99393" w14:textId="77777777" w:rsidR="0021298F" w:rsidRDefault="0021298F" w:rsidP="0021298F">
      <w:pPr>
        <w:jc w:val="both"/>
        <w:rPr>
          <w:rFonts w:ascii="Arial" w:eastAsia="Times New Roman" w:hAnsi="Arial" w:cs="Arial"/>
        </w:rPr>
      </w:pPr>
      <w:r>
        <w:rPr>
          <w:rFonts w:ascii="Arial" w:eastAsia="Times New Roman" w:hAnsi="Arial" w:cs="Arial"/>
        </w:rPr>
        <w:t xml:space="preserve">The base case asset life is 30 years. The sensitivity below assumes that asset life may be 5 years shorter or longer than the base case, which is impacted by technical durability of the wind farm components and commercial aspects of each investment, </w:t>
      </w:r>
      <w:r>
        <w:rPr>
          <w:rFonts w:ascii="Arial" w:eastAsia="Times New Roman" w:hAnsi="Arial" w:cs="Arial"/>
        </w:rPr>
        <w:lastRenderedPageBreak/>
        <w:t>including the renewals of site leases, planning permission and grid connection agreements.</w:t>
      </w:r>
    </w:p>
    <w:p w14:paraId="225F2960" w14:textId="77777777" w:rsidR="0021298F" w:rsidRDefault="0021298F" w:rsidP="0021298F">
      <w:pPr>
        <w:jc w:val="both"/>
        <w:rPr>
          <w:rFonts w:ascii="Arial" w:eastAsia="Times New Roman" w:hAnsi="Arial" w:cs="Arial"/>
        </w:rPr>
      </w:pPr>
    </w:p>
    <w:p w14:paraId="37C2F97A" w14:textId="77777777" w:rsidR="0021298F" w:rsidRDefault="0021298F" w:rsidP="0021298F">
      <w:pPr>
        <w:pStyle w:val="Heading4"/>
      </w:pPr>
      <w:r>
        <w:rPr>
          <w:rFonts w:ascii="Arial" w:hAnsi="Arial" w:cs="Arial"/>
          <w:color w:val="auto"/>
        </w:rPr>
        <w:t>Outlook</w:t>
      </w:r>
    </w:p>
    <w:p w14:paraId="4DE9A09A" w14:textId="77777777" w:rsidR="0021298F" w:rsidRDefault="0021298F" w:rsidP="0021298F">
      <w:pPr>
        <w:jc w:val="both"/>
        <w:rPr>
          <w:rFonts w:ascii="Arial" w:hAnsi="Arial" w:cs="Arial"/>
        </w:rPr>
      </w:pPr>
      <w:r>
        <w:rPr>
          <w:rFonts w:ascii="Arial" w:hAnsi="Arial" w:cs="Arial"/>
        </w:rPr>
        <w:t>The outlook for the Group continues to remain positive with a growing secondary wind market in Ireland and France, a stable policy backdrop for wind assets underpinned by the REFIT and RESS frameworks in Ireland and the FIT framework and France. This continues to provide a significant opportunity for continued growth into attractive jurisdictions in Europe.</w:t>
      </w:r>
    </w:p>
    <w:p w14:paraId="16C30146" w14:textId="77777777" w:rsidR="0021298F" w:rsidRDefault="0021298F" w:rsidP="0021298F">
      <w:pPr>
        <w:rPr>
          <w:rFonts w:ascii="Arial" w:hAnsi="Arial" w:cs="Arial"/>
          <w:i/>
        </w:rPr>
      </w:pPr>
      <w:r>
        <w:rPr>
          <w:rFonts w:ascii="Arial" w:hAnsi="Arial" w:cs="Arial"/>
          <w:i/>
        </w:rPr>
        <w:t>Irish Wind Market</w:t>
      </w:r>
    </w:p>
    <w:p w14:paraId="52149F4A" w14:textId="77777777" w:rsidR="0021298F" w:rsidRDefault="0021298F" w:rsidP="0021298F">
      <w:pPr>
        <w:contextualSpacing/>
        <w:jc w:val="both"/>
        <w:rPr>
          <w:rFonts w:ascii="Arial" w:hAnsi="Arial" w:cs="Arial"/>
        </w:rPr>
      </w:pPr>
      <w:r>
        <w:rPr>
          <w:rFonts w:ascii="Arial" w:hAnsi="Arial" w:cs="Arial"/>
        </w:rPr>
        <w:t xml:space="preserve">The Irish wind market remains an attractive jurisdiction with both a stable and supportive regulatory regime and broad public support. The country has over 4.0GW of installed capacity either in operation or construction under REFIT 1, REFIT 2 or RESS, representing a c.€8bn market size. </w:t>
      </w:r>
    </w:p>
    <w:p w14:paraId="7C2FB0F2" w14:textId="77777777" w:rsidR="0021298F" w:rsidRDefault="0021298F" w:rsidP="0021298F">
      <w:pPr>
        <w:jc w:val="both"/>
        <w:rPr>
          <w:rFonts w:ascii="Arial" w:hAnsi="Arial" w:cs="Arial"/>
        </w:rPr>
      </w:pPr>
    </w:p>
    <w:p w14:paraId="4CA436AA" w14:textId="77777777" w:rsidR="0021298F" w:rsidRDefault="0021298F" w:rsidP="0021298F">
      <w:pPr>
        <w:autoSpaceDE w:val="0"/>
        <w:autoSpaceDN w:val="0"/>
        <w:adjustRightInd w:val="0"/>
        <w:jc w:val="both"/>
        <w:rPr>
          <w:rFonts w:ascii="Arial" w:hAnsi="Arial" w:cs="Arial"/>
        </w:rPr>
      </w:pPr>
      <w:r>
        <w:rPr>
          <w:rFonts w:ascii="Arial" w:hAnsi="Arial" w:cs="Arial"/>
        </w:rPr>
        <w:t>The RESS framework successfully completed its first auction in August 2020, further demonstrating the Irish government’s commitment to generating 70 per cent of electricity from renewable sources by 2030.This year’s auction saw c.400MW of wind and c.800MW of solar PV awarded fixed price support contracts guaranteeing the price of wholesale electricity until 2038. The successful transaction that the Group executed with Statkraft on a forward sale basis supports the strategy to continue to be able to grow in the Irish market and to secure contracted cashflows up to 2038.</w:t>
      </w:r>
    </w:p>
    <w:p w14:paraId="52D1F03F" w14:textId="77777777" w:rsidR="0021298F" w:rsidRDefault="0021298F" w:rsidP="0021298F">
      <w:pPr>
        <w:autoSpaceDE w:val="0"/>
        <w:autoSpaceDN w:val="0"/>
        <w:adjustRightInd w:val="0"/>
        <w:jc w:val="both"/>
        <w:rPr>
          <w:rFonts w:ascii="Arial" w:hAnsi="Arial" w:cs="Arial"/>
        </w:rPr>
      </w:pPr>
    </w:p>
    <w:p w14:paraId="5AFA8E95" w14:textId="77777777" w:rsidR="0021298F" w:rsidRDefault="0021298F" w:rsidP="0021298F">
      <w:pPr>
        <w:autoSpaceDE w:val="0"/>
        <w:autoSpaceDN w:val="0"/>
        <w:adjustRightInd w:val="0"/>
        <w:jc w:val="both"/>
        <w:rPr>
          <w:rFonts w:ascii="Arial" w:hAnsi="Arial" w:cs="Arial"/>
        </w:rPr>
      </w:pPr>
      <w:r>
        <w:rPr>
          <w:rFonts w:ascii="Arial" w:hAnsi="Arial" w:cs="Arial"/>
        </w:rPr>
        <w:t xml:space="preserve">With further auctions expected to occur annually, this continues to present a significant growth opportunity for the Group, with 8GW of onshore wind, 3.5GW offshore wind and 1.5GW of solar PV generating capacity expected to be in place by 2030.    </w:t>
      </w:r>
    </w:p>
    <w:p w14:paraId="593CC0F8" w14:textId="77777777" w:rsidR="0021298F" w:rsidRDefault="0021298F" w:rsidP="0021298F">
      <w:pPr>
        <w:autoSpaceDE w:val="0"/>
        <w:autoSpaceDN w:val="0"/>
        <w:adjustRightInd w:val="0"/>
        <w:jc w:val="both"/>
        <w:rPr>
          <w:rFonts w:ascii="Arial" w:hAnsi="Arial" w:cs="Arial"/>
        </w:rPr>
      </w:pPr>
    </w:p>
    <w:p w14:paraId="0AC3D7F1" w14:textId="77777777" w:rsidR="0021298F" w:rsidRDefault="0021298F" w:rsidP="0021298F">
      <w:pPr>
        <w:rPr>
          <w:rFonts w:ascii="Arial" w:hAnsi="Arial" w:cs="Arial"/>
          <w:i/>
        </w:rPr>
      </w:pPr>
      <w:r>
        <w:rPr>
          <w:rFonts w:ascii="Arial" w:hAnsi="Arial" w:cs="Arial"/>
          <w:i/>
        </w:rPr>
        <w:t>Continental Europe</w:t>
      </w:r>
    </w:p>
    <w:p w14:paraId="163FF6F8" w14:textId="77777777" w:rsidR="0021298F" w:rsidRDefault="0021298F" w:rsidP="0021298F">
      <w:pPr>
        <w:autoSpaceDE w:val="0"/>
        <w:autoSpaceDN w:val="0"/>
        <w:adjustRightInd w:val="0"/>
        <w:jc w:val="both"/>
        <w:rPr>
          <w:rFonts w:ascii="Arial" w:hAnsi="Arial" w:cs="Arial"/>
        </w:rPr>
      </w:pPr>
      <w:r>
        <w:rPr>
          <w:rFonts w:ascii="Arial" w:hAnsi="Arial" w:cs="Arial"/>
        </w:rPr>
        <w:t xml:space="preserve">Following the Group’s first investment outside of Ireland, acquiring 3 wind farms in France in June 2020, and the recent announcement of the Group’s agreement to acquire a wind farm in Finland in 2022, we continue to see the significant investment opportunities in continental Europe. We have an active pipeline in Belgium, France, Germany, the Netherlands and the Nordics through strong relationships with asset owners, developers and advisors. We are also conducting preliminary investigations of investments in Iberian markets, which have seen positive developments over the last few years. We see the European market providing the Group with access to a wide range of opportunities, mostly from sellers well known to the Investment manager, including European utilities and developers with whom we have transacted with previously. </w:t>
      </w:r>
    </w:p>
    <w:p w14:paraId="2EF24756" w14:textId="77777777" w:rsidR="0021298F" w:rsidRDefault="0021298F" w:rsidP="0021298F">
      <w:pPr>
        <w:autoSpaceDE w:val="0"/>
        <w:autoSpaceDN w:val="0"/>
        <w:adjustRightInd w:val="0"/>
        <w:jc w:val="both"/>
        <w:rPr>
          <w:rFonts w:ascii="Arial" w:hAnsi="Arial" w:cs="Arial"/>
        </w:rPr>
      </w:pPr>
    </w:p>
    <w:p w14:paraId="1FA76D69" w14:textId="77777777" w:rsidR="0021298F" w:rsidRDefault="0021298F" w:rsidP="0021298F">
      <w:pPr>
        <w:autoSpaceDE w:val="0"/>
        <w:autoSpaceDN w:val="0"/>
        <w:adjustRightInd w:val="0"/>
        <w:jc w:val="both"/>
        <w:rPr>
          <w:rFonts w:ascii="Arial" w:hAnsi="Arial" w:cs="Arial"/>
        </w:rPr>
      </w:pPr>
      <w:r>
        <w:rPr>
          <w:rFonts w:ascii="Arial" w:hAnsi="Arial" w:cs="Arial"/>
        </w:rPr>
        <w:t xml:space="preserve">We see the European market allowing the Group to continue to diversify the business, in terms of weather patterns, power markets and regulatory frameworks, while not taking any currency risk. </w:t>
      </w:r>
    </w:p>
    <w:p w14:paraId="751D0D56" w14:textId="77777777" w:rsidR="0021298F" w:rsidRDefault="0021298F" w:rsidP="0021298F">
      <w:pPr>
        <w:autoSpaceDE w:val="0"/>
        <w:autoSpaceDN w:val="0"/>
        <w:adjustRightInd w:val="0"/>
        <w:jc w:val="both"/>
        <w:rPr>
          <w:rFonts w:ascii="Arial" w:hAnsi="Arial" w:cs="Arial"/>
        </w:rPr>
      </w:pPr>
    </w:p>
    <w:p w14:paraId="7695A548" w14:textId="77777777" w:rsidR="0021298F" w:rsidRDefault="0021298F" w:rsidP="0021298F">
      <w:pPr>
        <w:autoSpaceDE w:val="0"/>
        <w:autoSpaceDN w:val="0"/>
        <w:adjustRightInd w:val="0"/>
        <w:jc w:val="both"/>
        <w:rPr>
          <w:rFonts w:ascii="Arial" w:hAnsi="Arial" w:cs="Arial"/>
        </w:rPr>
      </w:pPr>
      <w:r>
        <w:rPr>
          <w:rFonts w:ascii="Arial" w:hAnsi="Arial" w:cs="Arial"/>
        </w:rPr>
        <w:t>We continue to consider a range of revenue contracts, including government support regimes and corporate PPAs. We find particular value in the Nordics markets where subsidy-free renewable infrastructure development continues to see significant growth. Despite this investment opportunity, we continue to expect the portfolio to have a significant proportion of fixed price revenue underpinning its cashflows.</w:t>
      </w:r>
    </w:p>
    <w:p w14:paraId="65F2C3E6" w14:textId="77777777" w:rsidR="0021298F" w:rsidRPr="00660DCB" w:rsidRDefault="0021298F" w:rsidP="0021298F">
      <w:pPr>
        <w:autoSpaceDE w:val="0"/>
        <w:autoSpaceDN w:val="0"/>
        <w:adjustRightInd w:val="0"/>
        <w:jc w:val="both"/>
        <w:rPr>
          <w:rFonts w:ascii="Arial" w:hAnsi="Arial" w:cs="Arial"/>
        </w:rPr>
      </w:pPr>
    </w:p>
    <w:p w14:paraId="2D523B6D" w14:textId="77777777" w:rsidR="0021298F" w:rsidRPr="00243D28" w:rsidRDefault="0021298F" w:rsidP="0021298F">
      <w:pPr>
        <w:pStyle w:val="Heading1"/>
        <w:jc w:val="both"/>
        <w:rPr>
          <w:rFonts w:cs="Arial"/>
          <w:caps/>
          <w:szCs w:val="26"/>
        </w:rPr>
      </w:pPr>
      <w:r w:rsidRPr="00243D28">
        <w:rPr>
          <w:rFonts w:cs="Arial"/>
          <w:szCs w:val="26"/>
        </w:rPr>
        <w:t>Board of Directors</w:t>
      </w:r>
    </w:p>
    <w:p w14:paraId="46BE9B84" w14:textId="77777777" w:rsidR="0021298F" w:rsidRPr="001E64E0" w:rsidRDefault="0021298F" w:rsidP="0021298F">
      <w:pPr>
        <w:jc w:val="both"/>
        <w:rPr>
          <w:rFonts w:ascii="Arial" w:hAnsi="Arial" w:cs="Arial"/>
          <w:sz w:val="16"/>
          <w:szCs w:val="16"/>
        </w:rPr>
      </w:pPr>
    </w:p>
    <w:p w14:paraId="1960E568" w14:textId="77777777" w:rsidR="0021298F" w:rsidRPr="00243D28" w:rsidRDefault="0021298F" w:rsidP="0021298F">
      <w:pPr>
        <w:jc w:val="both"/>
        <w:rPr>
          <w:rFonts w:ascii="Arial" w:eastAsia="Times New Roman" w:hAnsi="Arial" w:cs="Arial"/>
        </w:rPr>
      </w:pPr>
      <w:r w:rsidRPr="00243D28">
        <w:rPr>
          <w:rFonts w:ascii="Arial" w:eastAsia="Times New Roman" w:hAnsi="Arial" w:cs="Arial"/>
        </w:rPr>
        <w:t>The Directors are of the opinion that the Board, as a whole, comprises an appropriate balance of skills, experience and diversity. The Board is comprised of individuals from relevant and complementary backgrounds offering experience in investment, financial, and business skills, as well as in the energy sector, from both</w:t>
      </w:r>
      <w:r>
        <w:rPr>
          <w:rFonts w:ascii="Arial" w:eastAsia="Times New Roman" w:hAnsi="Arial" w:cs="Arial"/>
        </w:rPr>
        <w:t xml:space="preserve"> an</w:t>
      </w:r>
      <w:r w:rsidRPr="00243D28">
        <w:rPr>
          <w:rFonts w:ascii="Arial" w:eastAsia="Times New Roman" w:hAnsi="Arial" w:cs="Arial"/>
        </w:rPr>
        <w:t xml:space="preserve"> investment and a commercial perspective. </w:t>
      </w:r>
    </w:p>
    <w:p w14:paraId="354D8114" w14:textId="77777777" w:rsidR="0021298F" w:rsidRPr="001E64E0" w:rsidRDefault="0021298F" w:rsidP="0021298F">
      <w:pPr>
        <w:jc w:val="both"/>
        <w:rPr>
          <w:rFonts w:ascii="Arial" w:eastAsia="Times New Roman" w:hAnsi="Arial" w:cs="Arial"/>
          <w:sz w:val="16"/>
          <w:szCs w:val="16"/>
        </w:rPr>
      </w:pPr>
    </w:p>
    <w:p w14:paraId="795D9BE0" w14:textId="77777777" w:rsidR="0021298F" w:rsidRPr="00243D28" w:rsidRDefault="0021298F" w:rsidP="0021298F">
      <w:pPr>
        <w:pStyle w:val="Heading3"/>
        <w:spacing w:before="0"/>
        <w:jc w:val="both"/>
        <w:rPr>
          <w:rFonts w:ascii="Arial" w:hAnsi="Arial" w:cs="Arial"/>
          <w:color w:val="auto"/>
        </w:rPr>
      </w:pPr>
      <w:r w:rsidRPr="00243D28">
        <w:rPr>
          <w:rFonts w:ascii="Arial" w:hAnsi="Arial" w:cs="Arial"/>
          <w:color w:val="auto"/>
        </w:rPr>
        <w:t xml:space="preserve">Rónán Murphy, Chairman </w:t>
      </w:r>
    </w:p>
    <w:p w14:paraId="1731E8BF" w14:textId="77777777" w:rsidR="0021298F" w:rsidRPr="00243D28" w:rsidRDefault="0021298F" w:rsidP="0021298F">
      <w:pPr>
        <w:pStyle w:val="Heading3"/>
        <w:spacing w:before="0"/>
        <w:jc w:val="both"/>
        <w:rPr>
          <w:rFonts w:ascii="Arial" w:eastAsiaTheme="minorHAnsi" w:hAnsi="Arial" w:cs="Arial"/>
          <w:b/>
          <w:bCs/>
          <w:color w:val="auto"/>
        </w:rPr>
      </w:pPr>
      <w:r w:rsidRPr="00243D28">
        <w:rPr>
          <w:rFonts w:ascii="Arial" w:hAnsi="Arial" w:cs="Arial"/>
          <w:color w:val="auto"/>
        </w:rPr>
        <w:t xml:space="preserve">Rónán Murphy, </w:t>
      </w:r>
      <w:r w:rsidRPr="00243D28">
        <w:rPr>
          <w:rFonts w:ascii="Arial" w:eastAsiaTheme="minorHAnsi" w:hAnsi="Arial" w:cs="Arial"/>
          <w:color w:val="auto"/>
        </w:rPr>
        <w:t>aged 6</w:t>
      </w:r>
      <w:r>
        <w:rPr>
          <w:rFonts w:ascii="Arial" w:eastAsiaTheme="minorHAnsi" w:hAnsi="Arial" w:cs="Arial"/>
          <w:color w:val="auto"/>
        </w:rPr>
        <w:t>3</w:t>
      </w:r>
      <w:r w:rsidRPr="00243D28">
        <w:rPr>
          <w:rFonts w:ascii="Arial" w:eastAsiaTheme="minorHAnsi" w:hAnsi="Arial" w:cs="Arial"/>
          <w:color w:val="auto"/>
        </w:rPr>
        <w:t>,</w:t>
      </w:r>
      <w:r w:rsidRPr="00243D28">
        <w:rPr>
          <w:rFonts w:ascii="Arial" w:hAnsi="Arial" w:cs="Arial"/>
          <w:color w:val="auto"/>
        </w:rPr>
        <w:t xml:space="preserve"> </w:t>
      </w:r>
      <w:r w:rsidRPr="00243D28">
        <w:rPr>
          <w:rFonts w:ascii="Arial" w:eastAsiaTheme="minorHAnsi" w:hAnsi="Arial" w:cs="Arial"/>
          <w:color w:val="auto"/>
        </w:rPr>
        <w:t>was previously Senior Partner of PwC Ireland, a position he was elected to in 2007 and was re-elected to for a further 4 year term in July 2011. Rónán joined PwC in 1980, qualifying in 1982, and was admitted to the partnership in 1992. Rónán was a member of the PwC EMEA Leadership Board from 2010 to 2015. Rónán is also a non-executive director of Icon P</w:t>
      </w:r>
      <w:r>
        <w:rPr>
          <w:rFonts w:ascii="Arial" w:eastAsiaTheme="minorHAnsi" w:hAnsi="Arial" w:cs="Arial"/>
          <w:color w:val="auto"/>
        </w:rPr>
        <w:t>LC and</w:t>
      </w:r>
      <w:r w:rsidRPr="00243D28">
        <w:rPr>
          <w:rFonts w:ascii="Arial" w:eastAsiaTheme="minorHAnsi" w:hAnsi="Arial" w:cs="Arial"/>
          <w:color w:val="auto"/>
        </w:rPr>
        <w:t xml:space="preserve"> Davy.</w:t>
      </w:r>
    </w:p>
    <w:p w14:paraId="70BAB157" w14:textId="77777777" w:rsidR="0021298F" w:rsidRPr="001E64E0" w:rsidRDefault="0021298F" w:rsidP="0021298F">
      <w:pPr>
        <w:jc w:val="both"/>
        <w:rPr>
          <w:sz w:val="16"/>
          <w:szCs w:val="16"/>
        </w:rPr>
      </w:pPr>
    </w:p>
    <w:p w14:paraId="45323B29" w14:textId="77777777" w:rsidR="0021298F" w:rsidRPr="00243D28" w:rsidRDefault="0021298F" w:rsidP="0021298F">
      <w:pPr>
        <w:jc w:val="both"/>
        <w:rPr>
          <w:rFonts w:ascii="Arial" w:hAnsi="Arial" w:cs="Arial"/>
        </w:rPr>
      </w:pPr>
      <w:r w:rsidRPr="00243D28">
        <w:rPr>
          <w:rFonts w:ascii="Arial" w:hAnsi="Arial" w:cs="Arial"/>
        </w:rPr>
        <w:t>Rónán holds a Bachelor of Commerce degree and Masters in Business Studies from University College Dublin and is a Fellow of the Institute of Chartered Accountants.</w:t>
      </w:r>
    </w:p>
    <w:p w14:paraId="331464BE" w14:textId="77777777" w:rsidR="0021298F" w:rsidRPr="001E64E0" w:rsidRDefault="0021298F" w:rsidP="0021298F">
      <w:pPr>
        <w:jc w:val="both"/>
        <w:rPr>
          <w:rFonts w:ascii="Arial" w:hAnsi="Arial" w:cs="Arial"/>
          <w:sz w:val="16"/>
          <w:szCs w:val="16"/>
        </w:rPr>
      </w:pPr>
    </w:p>
    <w:p w14:paraId="3069A67D" w14:textId="77777777" w:rsidR="0021298F" w:rsidRPr="00243D28" w:rsidRDefault="0021298F" w:rsidP="0021298F">
      <w:pPr>
        <w:jc w:val="both"/>
        <w:rPr>
          <w:rFonts w:ascii="Arial" w:eastAsiaTheme="majorEastAsia" w:hAnsi="Arial" w:cs="Arial"/>
          <w:b/>
          <w:bCs/>
        </w:rPr>
      </w:pPr>
      <w:r w:rsidRPr="00243D28">
        <w:rPr>
          <w:rFonts w:ascii="Arial" w:eastAsiaTheme="majorEastAsia" w:hAnsi="Arial" w:cs="Arial"/>
          <w:b/>
          <w:bCs/>
        </w:rPr>
        <w:t>Kevin McNamara, Chairman of the Audit Committee</w:t>
      </w:r>
    </w:p>
    <w:p w14:paraId="6024DE9A" w14:textId="77777777" w:rsidR="0021298F" w:rsidRPr="00243D28" w:rsidRDefault="0021298F" w:rsidP="0021298F">
      <w:pPr>
        <w:jc w:val="both"/>
        <w:rPr>
          <w:rFonts w:ascii="Arial" w:hAnsi="Arial" w:cs="Arial"/>
        </w:rPr>
      </w:pPr>
      <w:r w:rsidRPr="00243D28">
        <w:rPr>
          <w:rFonts w:ascii="Arial" w:eastAsiaTheme="majorEastAsia" w:hAnsi="Arial" w:cs="Arial"/>
          <w:bCs/>
        </w:rPr>
        <w:t>Kevin McNamara, aged</w:t>
      </w:r>
      <w:r w:rsidRPr="00243D28">
        <w:rPr>
          <w:rFonts w:ascii="Arial" w:hAnsi="Arial" w:cs="Arial"/>
        </w:rPr>
        <w:t xml:space="preserve"> 6</w:t>
      </w:r>
      <w:r>
        <w:rPr>
          <w:rFonts w:ascii="Arial" w:hAnsi="Arial" w:cs="Arial"/>
        </w:rPr>
        <w:t>6</w:t>
      </w:r>
      <w:r w:rsidRPr="00243D28">
        <w:rPr>
          <w:rFonts w:ascii="Arial" w:hAnsi="Arial" w:cs="Arial"/>
        </w:rPr>
        <w:t>, has more than 25 years’ experience in the energy sector. Kevin enjoyed a long career with ESB International, including leading the investment division of ESB International Investments. More recently Kevin was CFO of Amarenco Solar, a solar business focused on the Irish and French markets and prior to this CEO of Airvolution Energy, a UK wind development business.</w:t>
      </w:r>
    </w:p>
    <w:p w14:paraId="017CA7F2" w14:textId="77777777" w:rsidR="0021298F" w:rsidRPr="001E64E0" w:rsidRDefault="0021298F" w:rsidP="0021298F">
      <w:pPr>
        <w:jc w:val="both"/>
        <w:rPr>
          <w:rFonts w:ascii="Arial" w:hAnsi="Arial" w:cs="Arial"/>
          <w:sz w:val="16"/>
          <w:szCs w:val="16"/>
        </w:rPr>
      </w:pPr>
    </w:p>
    <w:p w14:paraId="264394E8" w14:textId="77777777" w:rsidR="0021298F" w:rsidRPr="00243D28" w:rsidRDefault="0021298F" w:rsidP="0021298F">
      <w:pPr>
        <w:jc w:val="both"/>
        <w:rPr>
          <w:rFonts w:ascii="Arial" w:hAnsi="Arial" w:cs="Arial"/>
        </w:rPr>
      </w:pPr>
      <w:r w:rsidRPr="00243D28">
        <w:rPr>
          <w:rFonts w:ascii="Arial" w:hAnsi="Arial" w:cs="Arial"/>
        </w:rPr>
        <w:t>Kevin holds a Bachelor of Commerce degree from University College Dublin and is a Fellow of the Institute of Chartered Accountants.</w:t>
      </w:r>
    </w:p>
    <w:p w14:paraId="09B43F49" w14:textId="77777777" w:rsidR="0021298F" w:rsidRPr="001E64E0" w:rsidRDefault="0021298F" w:rsidP="0021298F">
      <w:pPr>
        <w:jc w:val="both"/>
        <w:rPr>
          <w:rFonts w:ascii="Arial" w:eastAsia="Times New Roman" w:hAnsi="Arial" w:cs="Arial"/>
          <w:sz w:val="16"/>
          <w:szCs w:val="16"/>
        </w:rPr>
      </w:pPr>
    </w:p>
    <w:p w14:paraId="62EC7892" w14:textId="77777777" w:rsidR="0021298F" w:rsidRPr="00382C2F" w:rsidRDefault="0021298F" w:rsidP="0021298F">
      <w:pPr>
        <w:pStyle w:val="Heading3"/>
        <w:spacing w:before="0"/>
        <w:jc w:val="both"/>
        <w:rPr>
          <w:rFonts w:ascii="Arial" w:hAnsi="Arial" w:cs="Arial"/>
          <w:color w:val="auto"/>
        </w:rPr>
      </w:pPr>
      <w:r w:rsidRPr="00243D28">
        <w:rPr>
          <w:rFonts w:ascii="Arial" w:hAnsi="Arial" w:cs="Arial"/>
          <w:color w:val="auto"/>
        </w:rPr>
        <w:t>Emer Gilvarry</w:t>
      </w:r>
      <w:r w:rsidRPr="00382C2F">
        <w:rPr>
          <w:rFonts w:ascii="Arial" w:hAnsi="Arial" w:cs="Arial"/>
          <w:color w:val="auto"/>
        </w:rPr>
        <w:t>, Senior Independent Director</w:t>
      </w:r>
    </w:p>
    <w:p w14:paraId="24DA5F35" w14:textId="77777777" w:rsidR="0021298F" w:rsidRDefault="0021298F" w:rsidP="0021298F">
      <w:pPr>
        <w:jc w:val="both"/>
        <w:rPr>
          <w:rFonts w:ascii="Arial" w:hAnsi="Arial" w:cs="Arial"/>
        </w:rPr>
      </w:pPr>
      <w:r w:rsidRPr="00756B09">
        <w:rPr>
          <w:rFonts w:ascii="Arial" w:hAnsi="Arial" w:cs="Arial"/>
        </w:rPr>
        <w:t xml:space="preserve">Emer Gilvarry, aged 63, </w:t>
      </w:r>
      <w:r>
        <w:rPr>
          <w:rFonts w:ascii="Arial" w:hAnsi="Arial" w:cs="Arial"/>
        </w:rPr>
        <w:t>was</w:t>
      </w:r>
      <w:r w:rsidRPr="00756B09">
        <w:rPr>
          <w:rFonts w:ascii="Arial" w:hAnsi="Arial" w:cs="Arial"/>
        </w:rPr>
        <w:t xml:space="preserve"> </w:t>
      </w:r>
      <w:r>
        <w:rPr>
          <w:rFonts w:ascii="Arial" w:hAnsi="Arial" w:cs="Arial"/>
        </w:rPr>
        <w:t xml:space="preserve">recently </w:t>
      </w:r>
      <w:r w:rsidRPr="00756B09">
        <w:rPr>
          <w:rFonts w:ascii="Arial" w:hAnsi="Arial" w:cs="Arial"/>
        </w:rPr>
        <w:t>a consultant</w:t>
      </w:r>
      <w:r>
        <w:rPr>
          <w:rFonts w:ascii="Arial" w:hAnsi="Arial" w:cs="Arial"/>
        </w:rPr>
        <w:t xml:space="preserve"> and prior to this, </w:t>
      </w:r>
      <w:r w:rsidRPr="00756B09">
        <w:rPr>
          <w:rFonts w:ascii="Arial" w:hAnsi="Arial" w:cs="Arial"/>
        </w:rPr>
        <w:t>the Managing Partner</w:t>
      </w:r>
      <w:r>
        <w:rPr>
          <w:rFonts w:ascii="Arial" w:hAnsi="Arial" w:cs="Arial"/>
        </w:rPr>
        <w:t xml:space="preserve"> of </w:t>
      </w:r>
      <w:r w:rsidRPr="00756B09">
        <w:rPr>
          <w:rFonts w:ascii="Arial" w:hAnsi="Arial" w:cs="Arial"/>
        </w:rPr>
        <w:t xml:space="preserve">Mason Hayes &amp; Curran for two consecutive terms from 2008 to 2014. </w:t>
      </w:r>
      <w:r w:rsidRPr="00D05C0A">
        <w:rPr>
          <w:rFonts w:ascii="Arial" w:hAnsi="Arial" w:cs="Arial"/>
        </w:rPr>
        <w:t xml:space="preserve">From 2014 until 2018, Emer took over the role of Chair of the firm. She is also a former Head of the firm’s Litigation Group (2001 to 2008). Emer is a former Board member of Aer Lingus </w:t>
      </w:r>
      <w:r w:rsidRPr="001E64E0">
        <w:rPr>
          <w:rFonts w:ascii="Arial" w:hAnsi="Arial" w:cs="Arial"/>
        </w:rPr>
        <w:t>Effective 1 November 2020</w:t>
      </w:r>
      <w:r>
        <w:rPr>
          <w:rFonts w:ascii="Arial" w:hAnsi="Arial" w:cs="Arial"/>
        </w:rPr>
        <w:t>,</w:t>
      </w:r>
      <w:r w:rsidRPr="001E64E0">
        <w:rPr>
          <w:rFonts w:ascii="Arial" w:hAnsi="Arial" w:cs="Arial"/>
        </w:rPr>
        <w:t xml:space="preserve"> </w:t>
      </w:r>
      <w:r>
        <w:rPr>
          <w:rFonts w:ascii="Arial" w:hAnsi="Arial" w:cs="Arial"/>
        </w:rPr>
        <w:t>s</w:t>
      </w:r>
      <w:r w:rsidRPr="001E64E0">
        <w:rPr>
          <w:rFonts w:ascii="Arial" w:hAnsi="Arial" w:cs="Arial"/>
        </w:rPr>
        <w:t xml:space="preserve">he was named as a non-executive director of Kerry Group PLC. </w:t>
      </w:r>
    </w:p>
    <w:p w14:paraId="68832E19" w14:textId="77777777" w:rsidR="0021298F" w:rsidRPr="001E64E0" w:rsidRDefault="0021298F" w:rsidP="0021298F">
      <w:pPr>
        <w:jc w:val="both"/>
        <w:rPr>
          <w:rFonts w:ascii="Arial" w:hAnsi="Arial" w:cs="Arial"/>
          <w:sz w:val="16"/>
          <w:szCs w:val="16"/>
        </w:rPr>
      </w:pPr>
    </w:p>
    <w:p w14:paraId="0B8C579E" w14:textId="77777777" w:rsidR="0021298F" w:rsidRPr="00243D28" w:rsidRDefault="0021298F" w:rsidP="0021298F">
      <w:pPr>
        <w:jc w:val="both"/>
        <w:rPr>
          <w:rFonts w:ascii="Arial" w:hAnsi="Arial" w:cs="Arial"/>
        </w:rPr>
      </w:pPr>
      <w:r w:rsidRPr="00243D28">
        <w:rPr>
          <w:rFonts w:ascii="Arial" w:hAnsi="Arial" w:cs="Arial"/>
        </w:rPr>
        <w:t>Emer holds a Bachelor of Law degree from University College Dublin (BCL).</w:t>
      </w:r>
    </w:p>
    <w:p w14:paraId="2209F668" w14:textId="77777777" w:rsidR="0021298F" w:rsidRPr="001E64E0" w:rsidRDefault="0021298F" w:rsidP="0021298F">
      <w:pPr>
        <w:jc w:val="both"/>
        <w:rPr>
          <w:rFonts w:ascii="Arial" w:eastAsia="Times New Roman" w:hAnsi="Arial" w:cs="Arial"/>
          <w:sz w:val="16"/>
          <w:szCs w:val="16"/>
        </w:rPr>
      </w:pPr>
    </w:p>
    <w:p w14:paraId="733EBB7C" w14:textId="77777777" w:rsidR="0021298F" w:rsidRPr="00243D28" w:rsidRDefault="0021298F" w:rsidP="0021298F">
      <w:pPr>
        <w:jc w:val="both"/>
        <w:rPr>
          <w:rFonts w:ascii="Arial" w:eastAsia="Times New Roman" w:hAnsi="Arial" w:cs="Arial"/>
          <w:b/>
        </w:rPr>
      </w:pPr>
      <w:r w:rsidRPr="00243D28">
        <w:rPr>
          <w:rFonts w:ascii="Arial" w:eastAsia="Times New Roman" w:hAnsi="Arial" w:cs="Arial"/>
          <w:b/>
        </w:rPr>
        <w:t xml:space="preserve">Marco Graziano </w:t>
      </w:r>
    </w:p>
    <w:p w14:paraId="48AB7DBB" w14:textId="77777777" w:rsidR="0021298F" w:rsidRPr="00243D28" w:rsidRDefault="0021298F" w:rsidP="0021298F">
      <w:pPr>
        <w:jc w:val="both"/>
        <w:rPr>
          <w:rFonts w:ascii="Arial" w:eastAsia="Times New Roman" w:hAnsi="Arial" w:cs="Arial"/>
        </w:rPr>
      </w:pPr>
      <w:r w:rsidRPr="00243D28">
        <w:rPr>
          <w:rFonts w:ascii="Arial" w:eastAsia="Times New Roman" w:hAnsi="Arial" w:cs="Arial"/>
        </w:rPr>
        <w:t>Marco Graziano, aged 6</w:t>
      </w:r>
      <w:r>
        <w:rPr>
          <w:rFonts w:ascii="Arial" w:eastAsia="Times New Roman" w:hAnsi="Arial" w:cs="Arial"/>
        </w:rPr>
        <w:t>3</w:t>
      </w:r>
      <w:r w:rsidRPr="00243D28">
        <w:rPr>
          <w:rFonts w:ascii="Arial" w:eastAsia="Times New Roman" w:hAnsi="Arial" w:cs="Arial"/>
        </w:rPr>
        <w:t>, has more than 35 years of worldwide experience in the energy sector, with a demonstrated track record of driving growth and profitability managing large organisations. He served as both executive and non-executive director in a number of companies in Europe, Africa, Middle East and Latin America. After many years with the French multinationals Alstom and Areva, more recently he was President of South Europe, MENA and L</w:t>
      </w:r>
      <w:r>
        <w:rPr>
          <w:rFonts w:ascii="Arial" w:eastAsia="Times New Roman" w:hAnsi="Arial" w:cs="Arial"/>
        </w:rPr>
        <w:t>ATAM</w:t>
      </w:r>
      <w:r w:rsidRPr="00243D28">
        <w:rPr>
          <w:rFonts w:ascii="Arial" w:eastAsia="Times New Roman" w:hAnsi="Arial" w:cs="Arial"/>
        </w:rPr>
        <w:t xml:space="preserve"> for Vestas Wind Systems.</w:t>
      </w:r>
      <w:r>
        <w:rPr>
          <w:rFonts w:ascii="Arial" w:eastAsia="Times New Roman" w:hAnsi="Arial" w:cs="Arial"/>
        </w:rPr>
        <w:t xml:space="preserve"> He has been a member of the Board since 30 January 2020. </w:t>
      </w:r>
    </w:p>
    <w:p w14:paraId="7603482C" w14:textId="77777777" w:rsidR="0021298F" w:rsidRPr="00243D28" w:rsidRDefault="0021298F" w:rsidP="0021298F">
      <w:pPr>
        <w:jc w:val="both"/>
        <w:rPr>
          <w:rFonts w:ascii="Arial" w:eastAsia="Times New Roman" w:hAnsi="Arial" w:cs="Arial"/>
        </w:rPr>
      </w:pPr>
    </w:p>
    <w:p w14:paraId="76F4A6A2" w14:textId="77777777" w:rsidR="0021298F" w:rsidRDefault="0021298F" w:rsidP="0021298F">
      <w:pPr>
        <w:rPr>
          <w:rFonts w:ascii="Arial" w:eastAsia="Times New Roman" w:hAnsi="Arial" w:cs="Arial"/>
        </w:rPr>
      </w:pPr>
      <w:r w:rsidRPr="00243D28">
        <w:rPr>
          <w:rFonts w:ascii="Arial" w:eastAsia="Times New Roman" w:hAnsi="Arial" w:cs="Arial"/>
        </w:rPr>
        <w:t>Marco holds a doctorate degree in mechanical engineering from Genoa University.</w:t>
      </w:r>
    </w:p>
    <w:p w14:paraId="22A98F5D" w14:textId="77777777" w:rsidR="0021298F" w:rsidRDefault="0021298F" w:rsidP="0021298F">
      <w:pPr>
        <w:rPr>
          <w:rFonts w:ascii="Arial" w:eastAsia="Times New Roman" w:hAnsi="Arial" w:cs="Arial"/>
        </w:rPr>
      </w:pPr>
    </w:p>
    <w:p w14:paraId="5DED95A9" w14:textId="77777777" w:rsidR="0021298F" w:rsidRPr="00243D28" w:rsidRDefault="0021298F" w:rsidP="0021298F">
      <w:pPr>
        <w:pStyle w:val="Heading3"/>
        <w:spacing w:before="0"/>
        <w:jc w:val="both"/>
        <w:rPr>
          <w:rFonts w:ascii="Arial" w:hAnsi="Arial" w:cs="Arial"/>
          <w:color w:val="auto"/>
        </w:rPr>
      </w:pPr>
      <w:r w:rsidRPr="00243D28">
        <w:rPr>
          <w:rFonts w:ascii="Arial" w:hAnsi="Arial" w:cs="Arial"/>
          <w:color w:val="auto"/>
        </w:rPr>
        <w:lastRenderedPageBreak/>
        <w:t>Other Irish Public Company Directorships</w:t>
      </w:r>
    </w:p>
    <w:p w14:paraId="7E935B0B" w14:textId="77777777" w:rsidR="0021298F" w:rsidRPr="00243D28" w:rsidRDefault="0021298F" w:rsidP="0021298F">
      <w:pPr>
        <w:jc w:val="both"/>
        <w:rPr>
          <w:rFonts w:ascii="Arial" w:eastAsia="Times New Roman" w:hAnsi="Arial" w:cs="Arial"/>
        </w:rPr>
      </w:pPr>
      <w:r w:rsidRPr="00243D28">
        <w:rPr>
          <w:rFonts w:ascii="Arial" w:eastAsia="Times New Roman" w:hAnsi="Arial" w:cs="Arial"/>
        </w:rPr>
        <w:t>In addition to their directorships of the Company, the below Directors currently hold the following Irish public company directorships:</w:t>
      </w:r>
    </w:p>
    <w:p w14:paraId="7618AF5A" w14:textId="77777777" w:rsidR="0021298F" w:rsidRPr="00243D28" w:rsidRDefault="0021298F" w:rsidP="0021298F">
      <w:pPr>
        <w:jc w:val="both"/>
        <w:rPr>
          <w:rFonts w:ascii="Arial" w:eastAsia="Times New Roman" w:hAnsi="Arial" w:cs="Arial"/>
        </w:rPr>
      </w:pPr>
    </w:p>
    <w:p w14:paraId="2C0C015D" w14:textId="77777777" w:rsidR="0021298F" w:rsidRDefault="0021298F" w:rsidP="0021298F">
      <w:pPr>
        <w:jc w:val="both"/>
        <w:rPr>
          <w:rFonts w:ascii="Arial" w:eastAsia="Times New Roman" w:hAnsi="Arial" w:cs="Arial"/>
        </w:rPr>
      </w:pPr>
      <w:r w:rsidRPr="00243D28">
        <w:rPr>
          <w:rFonts w:ascii="Arial" w:eastAsia="Times New Roman" w:hAnsi="Arial" w:cs="Arial"/>
          <w:b/>
        </w:rPr>
        <w:t>Rónán Murphy</w:t>
      </w:r>
      <w:r w:rsidRPr="00243D28">
        <w:rPr>
          <w:rFonts w:ascii="Arial" w:eastAsia="Times New Roman" w:hAnsi="Arial" w:cs="Arial"/>
        </w:rPr>
        <w:tab/>
      </w:r>
      <w:r w:rsidRPr="00243D28">
        <w:rPr>
          <w:rFonts w:ascii="Arial" w:eastAsia="Times New Roman" w:hAnsi="Arial" w:cs="Arial"/>
        </w:rPr>
        <w:tab/>
        <w:t xml:space="preserve">Icon </w:t>
      </w:r>
      <w:r>
        <w:rPr>
          <w:rFonts w:ascii="Arial" w:eastAsia="Times New Roman" w:hAnsi="Arial" w:cs="Arial"/>
        </w:rPr>
        <w:t>PLC</w:t>
      </w:r>
    </w:p>
    <w:p w14:paraId="639D1564" w14:textId="77777777" w:rsidR="0021298F" w:rsidRPr="00243D28" w:rsidRDefault="0021298F" w:rsidP="0021298F">
      <w:pPr>
        <w:jc w:val="both"/>
        <w:rPr>
          <w:rFonts w:ascii="Arial" w:eastAsia="Times New Roman" w:hAnsi="Arial" w:cs="Arial"/>
          <w:b/>
        </w:rPr>
      </w:pPr>
      <w:r w:rsidRPr="001E64E0">
        <w:rPr>
          <w:rFonts w:ascii="Arial" w:hAnsi="Arial" w:cs="Arial"/>
          <w:b/>
          <w:bCs/>
        </w:rPr>
        <w:t>Emer Gilvarry</w:t>
      </w:r>
      <w:r w:rsidRPr="001E64E0">
        <w:rPr>
          <w:rFonts w:ascii="Arial" w:hAnsi="Arial" w:cs="Arial"/>
          <w:b/>
          <w:bCs/>
        </w:rPr>
        <w:tab/>
      </w:r>
      <w:r>
        <w:rPr>
          <w:rFonts w:ascii="Arial" w:hAnsi="Arial" w:cs="Arial"/>
        </w:rPr>
        <w:tab/>
        <w:t>Kerry Group PLC</w:t>
      </w:r>
    </w:p>
    <w:p w14:paraId="1C4A778B" w14:textId="77777777" w:rsidR="0021298F" w:rsidRPr="00243D28" w:rsidRDefault="0021298F" w:rsidP="0021298F">
      <w:pPr>
        <w:jc w:val="both"/>
        <w:rPr>
          <w:rFonts w:ascii="Arial" w:hAnsi="Arial" w:cs="Arial"/>
        </w:rPr>
      </w:pPr>
    </w:p>
    <w:p w14:paraId="6FD8DDA5" w14:textId="77777777" w:rsidR="0021298F" w:rsidRPr="00243D28" w:rsidRDefault="0021298F" w:rsidP="0021298F">
      <w:pPr>
        <w:tabs>
          <w:tab w:val="left" w:pos="3720"/>
        </w:tabs>
        <w:jc w:val="both"/>
        <w:rPr>
          <w:rFonts w:ascii="Arial" w:eastAsia="Times New Roman" w:hAnsi="Arial" w:cs="Arial"/>
        </w:rPr>
      </w:pPr>
      <w:r w:rsidRPr="00243D28">
        <w:rPr>
          <w:rFonts w:ascii="Arial" w:eastAsia="Times New Roman" w:hAnsi="Arial" w:cs="Arial"/>
        </w:rPr>
        <w:t>The Directors have all offered themselves for re-election and resolutions concerning this will be proposed at the AGM.</w:t>
      </w:r>
    </w:p>
    <w:p w14:paraId="6DBBEE16" w14:textId="77777777" w:rsidR="0021298F" w:rsidRPr="00243D28" w:rsidRDefault="0021298F" w:rsidP="0021298F">
      <w:pPr>
        <w:tabs>
          <w:tab w:val="left" w:pos="3720"/>
        </w:tabs>
        <w:jc w:val="both"/>
        <w:rPr>
          <w:rFonts w:ascii="Arial" w:eastAsia="Times New Roman" w:hAnsi="Arial" w:cs="Arial"/>
        </w:rPr>
      </w:pPr>
    </w:p>
    <w:p w14:paraId="5DA9B89A" w14:textId="77777777" w:rsidR="0021298F" w:rsidRPr="00243D28" w:rsidRDefault="0021298F" w:rsidP="0021298F">
      <w:pPr>
        <w:pStyle w:val="Heading3"/>
        <w:spacing w:before="0"/>
        <w:jc w:val="both"/>
        <w:rPr>
          <w:rFonts w:ascii="Arial" w:hAnsi="Arial" w:cs="Arial"/>
          <w:color w:val="auto"/>
        </w:rPr>
      </w:pPr>
      <w:r w:rsidRPr="00243D28">
        <w:rPr>
          <w:rFonts w:ascii="Arial" w:hAnsi="Arial" w:cs="Arial"/>
          <w:color w:val="auto"/>
        </w:rPr>
        <w:t>Conflicts of Interest</w:t>
      </w:r>
    </w:p>
    <w:p w14:paraId="531BDA77" w14:textId="77777777" w:rsidR="0021298F" w:rsidRPr="00243D28" w:rsidRDefault="0021298F" w:rsidP="0021298F">
      <w:pPr>
        <w:jc w:val="both"/>
        <w:rPr>
          <w:rFonts w:ascii="Arial" w:eastAsia="Times New Roman" w:hAnsi="Arial" w:cs="Arial"/>
        </w:rPr>
      </w:pPr>
      <w:r w:rsidRPr="00243D28">
        <w:rPr>
          <w:rFonts w:ascii="Arial" w:eastAsia="Times New Roman" w:hAnsi="Arial" w:cs="Arial"/>
        </w:rPr>
        <w:t>The Directors have declared any conflicts or potential conflicts of interest to the Board of Directors which has the authority to approve such situations. The Company Secretary maintains the Register of Directors’ Conflicts of Interests which is reviewed quarterly by the Board and when changes are notified. The Directors advise the Company Secretary and the Board as soon as they become aware of any conflicts of interest. Directors who have conflicts of interest do not take part in discussions which relate to any of their conflicts.</w:t>
      </w:r>
    </w:p>
    <w:p w14:paraId="6E98DDFF" w14:textId="77777777" w:rsidR="0021298F" w:rsidRPr="002C6D8A" w:rsidRDefault="0021298F" w:rsidP="0021298F">
      <w:pPr>
        <w:jc w:val="both"/>
        <w:rPr>
          <w:rFonts w:ascii="Arial" w:eastAsia="Times New Roman" w:hAnsi="Arial" w:cs="Arial"/>
          <w:highlight w:val="yellow"/>
        </w:rPr>
      </w:pPr>
    </w:p>
    <w:p w14:paraId="79896683" w14:textId="77777777" w:rsidR="0021298F" w:rsidRPr="00500322" w:rsidRDefault="0021298F" w:rsidP="0021298F">
      <w:pPr>
        <w:pStyle w:val="Heading1"/>
        <w:jc w:val="both"/>
        <w:rPr>
          <w:rFonts w:cs="Arial"/>
          <w:caps/>
          <w:szCs w:val="26"/>
        </w:rPr>
      </w:pPr>
      <w:r w:rsidRPr="00500322">
        <w:rPr>
          <w:rFonts w:cs="Arial"/>
          <w:szCs w:val="26"/>
        </w:rPr>
        <w:t>Directors’ Report</w:t>
      </w:r>
    </w:p>
    <w:p w14:paraId="272E9891" w14:textId="77777777" w:rsidR="0021298F" w:rsidRPr="00500322" w:rsidRDefault="0021298F" w:rsidP="0021298F">
      <w:pPr>
        <w:jc w:val="both"/>
        <w:rPr>
          <w:rFonts w:ascii="Arial" w:eastAsia="Times New Roman" w:hAnsi="Arial" w:cs="Arial"/>
        </w:rPr>
      </w:pPr>
    </w:p>
    <w:p w14:paraId="419FB896" w14:textId="77777777" w:rsidR="0021298F" w:rsidRPr="00500322" w:rsidRDefault="0021298F" w:rsidP="0021298F">
      <w:pPr>
        <w:jc w:val="both"/>
        <w:rPr>
          <w:rFonts w:ascii="Arial" w:eastAsia="Times New Roman" w:hAnsi="Arial" w:cs="Arial"/>
        </w:rPr>
      </w:pPr>
      <w:r w:rsidRPr="00500322">
        <w:rPr>
          <w:rFonts w:ascii="Arial" w:eastAsia="Times New Roman" w:hAnsi="Arial" w:cs="Arial"/>
        </w:rPr>
        <w:t xml:space="preserve">The Directors present their Annual Report, together with the consolidated financial statements of Greencoat Renewables PLC for the year ended </w:t>
      </w:r>
      <w:r>
        <w:rPr>
          <w:rFonts w:ascii="Arial" w:eastAsia="Times New Roman" w:hAnsi="Arial" w:cs="Arial"/>
        </w:rPr>
        <w:t>31 December 2020</w:t>
      </w:r>
      <w:r w:rsidRPr="00500322">
        <w:rPr>
          <w:rFonts w:ascii="Arial" w:eastAsia="Times New Roman" w:hAnsi="Arial" w:cs="Arial"/>
        </w:rPr>
        <w:t xml:space="preserve">. </w:t>
      </w:r>
    </w:p>
    <w:p w14:paraId="27791807" w14:textId="77777777" w:rsidR="0021298F" w:rsidRPr="00500322" w:rsidRDefault="0021298F" w:rsidP="0021298F">
      <w:pPr>
        <w:jc w:val="both"/>
        <w:rPr>
          <w:rFonts w:ascii="Arial" w:eastAsia="Times New Roman" w:hAnsi="Arial" w:cs="Arial"/>
        </w:rPr>
      </w:pPr>
    </w:p>
    <w:p w14:paraId="6B9B8D99" w14:textId="77777777" w:rsidR="0021298F" w:rsidRPr="00500322" w:rsidRDefault="0021298F" w:rsidP="0021298F">
      <w:pPr>
        <w:jc w:val="both"/>
        <w:rPr>
          <w:rFonts w:ascii="Arial" w:eastAsiaTheme="majorEastAsia" w:hAnsi="Arial" w:cs="Arial"/>
          <w:b/>
          <w:bCs/>
        </w:rPr>
      </w:pPr>
      <w:r w:rsidRPr="00500322">
        <w:rPr>
          <w:rFonts w:ascii="Arial" w:eastAsiaTheme="majorEastAsia" w:hAnsi="Arial" w:cs="Arial"/>
          <w:b/>
          <w:bCs/>
        </w:rPr>
        <w:t xml:space="preserve">Principal Activity and Business Review </w:t>
      </w:r>
    </w:p>
    <w:p w14:paraId="4994043E" w14:textId="77777777" w:rsidR="0021298F" w:rsidRPr="00500322" w:rsidRDefault="0021298F" w:rsidP="0021298F">
      <w:pPr>
        <w:jc w:val="both"/>
        <w:rPr>
          <w:rFonts w:ascii="Arial" w:eastAsia="Times New Roman" w:hAnsi="Arial" w:cs="Arial"/>
        </w:rPr>
      </w:pPr>
      <w:r w:rsidRPr="00500322">
        <w:rPr>
          <w:rFonts w:ascii="Arial" w:eastAsia="Times New Roman" w:hAnsi="Arial" w:cs="Arial"/>
        </w:rPr>
        <w:t>A detailed discussion of the individual project performance and a review of the business in the period are covered in the Investment Manager’s Report</w:t>
      </w:r>
      <w:r w:rsidRPr="0073684C">
        <w:rPr>
          <w:rFonts w:ascii="Arial" w:eastAsia="Times New Roman" w:hAnsi="Arial" w:cs="Arial"/>
        </w:rPr>
        <w:t xml:space="preserve">. </w:t>
      </w:r>
    </w:p>
    <w:p w14:paraId="4E739A76" w14:textId="77777777" w:rsidR="0021298F" w:rsidRPr="00500322" w:rsidRDefault="0021298F" w:rsidP="0021298F">
      <w:pPr>
        <w:jc w:val="both"/>
        <w:rPr>
          <w:rFonts w:ascii="Arial" w:eastAsia="Times New Roman" w:hAnsi="Arial" w:cs="Arial"/>
        </w:rPr>
      </w:pPr>
    </w:p>
    <w:p w14:paraId="43F975D6" w14:textId="77777777" w:rsidR="0021298F" w:rsidRPr="00500322" w:rsidRDefault="0021298F" w:rsidP="0021298F">
      <w:pPr>
        <w:jc w:val="both"/>
        <w:rPr>
          <w:rFonts w:ascii="Arial" w:eastAsiaTheme="majorEastAsia" w:hAnsi="Arial" w:cs="Arial"/>
          <w:b/>
          <w:bCs/>
        </w:rPr>
      </w:pPr>
      <w:r w:rsidRPr="00500322">
        <w:rPr>
          <w:rFonts w:ascii="Arial" w:eastAsiaTheme="majorEastAsia" w:hAnsi="Arial" w:cs="Arial"/>
          <w:b/>
          <w:bCs/>
        </w:rPr>
        <w:t xml:space="preserve">Results for the Year </w:t>
      </w:r>
    </w:p>
    <w:p w14:paraId="542A6BD5" w14:textId="77777777" w:rsidR="0021298F" w:rsidRPr="00500322" w:rsidRDefault="0021298F" w:rsidP="0021298F">
      <w:pPr>
        <w:jc w:val="both"/>
        <w:rPr>
          <w:rFonts w:ascii="Arial" w:eastAsia="Times New Roman" w:hAnsi="Arial" w:cs="Arial"/>
        </w:rPr>
      </w:pPr>
      <w:r w:rsidRPr="00500322">
        <w:rPr>
          <w:rFonts w:ascii="Arial" w:eastAsia="Times New Roman" w:hAnsi="Arial" w:cs="Arial"/>
        </w:rPr>
        <w:t xml:space="preserve">The consolidated financial statements for the financial year ended </w:t>
      </w:r>
      <w:r>
        <w:rPr>
          <w:rFonts w:ascii="Arial" w:eastAsia="Times New Roman" w:hAnsi="Arial" w:cs="Arial"/>
        </w:rPr>
        <w:t>31 December 2020</w:t>
      </w:r>
      <w:r w:rsidRPr="00500322">
        <w:rPr>
          <w:rFonts w:ascii="Arial" w:eastAsia="Times New Roman" w:hAnsi="Arial" w:cs="Arial"/>
        </w:rPr>
        <w:t xml:space="preserve"> are set out in detail including the results for the year which are set out in the Consolidated Statement of Comprehensive Income</w:t>
      </w:r>
      <w:r w:rsidRPr="0073684C">
        <w:rPr>
          <w:rFonts w:ascii="Arial" w:eastAsia="Times New Roman" w:hAnsi="Arial" w:cs="Arial"/>
        </w:rPr>
        <w:t>.</w:t>
      </w:r>
    </w:p>
    <w:p w14:paraId="7A77A317" w14:textId="77777777" w:rsidR="0021298F" w:rsidRPr="00500322" w:rsidRDefault="0021298F" w:rsidP="0021298F">
      <w:pPr>
        <w:jc w:val="both"/>
        <w:rPr>
          <w:rFonts w:ascii="Arial" w:eastAsia="Times New Roman" w:hAnsi="Arial" w:cs="Arial"/>
        </w:rPr>
      </w:pPr>
    </w:p>
    <w:p w14:paraId="5AB8ABF4" w14:textId="77777777" w:rsidR="0021298F" w:rsidRPr="00500322" w:rsidRDefault="0021298F" w:rsidP="0021298F">
      <w:pPr>
        <w:jc w:val="both"/>
        <w:rPr>
          <w:rFonts w:ascii="Arial" w:eastAsiaTheme="majorEastAsia" w:hAnsi="Arial" w:cs="Arial"/>
          <w:b/>
          <w:bCs/>
        </w:rPr>
      </w:pPr>
      <w:r w:rsidRPr="00500322">
        <w:rPr>
          <w:rFonts w:ascii="Arial" w:eastAsiaTheme="majorEastAsia" w:hAnsi="Arial" w:cs="Arial"/>
          <w:b/>
          <w:bCs/>
        </w:rPr>
        <w:t xml:space="preserve">Future Developments </w:t>
      </w:r>
    </w:p>
    <w:p w14:paraId="79A9A08E" w14:textId="77777777" w:rsidR="0021298F" w:rsidRPr="00500322" w:rsidRDefault="0021298F" w:rsidP="0021298F">
      <w:pPr>
        <w:jc w:val="both"/>
        <w:rPr>
          <w:rFonts w:ascii="Arial" w:eastAsia="Times New Roman" w:hAnsi="Arial" w:cs="Arial"/>
        </w:rPr>
      </w:pPr>
      <w:r w:rsidRPr="00500322">
        <w:rPr>
          <w:rFonts w:ascii="Arial" w:eastAsia="Times New Roman" w:hAnsi="Arial" w:cs="Arial"/>
        </w:rPr>
        <w:t>The Group’s outlook is discussed in the Investment Manager’s Report</w:t>
      </w:r>
      <w:r w:rsidRPr="0073684C">
        <w:rPr>
          <w:rFonts w:ascii="Arial" w:eastAsia="Times New Roman" w:hAnsi="Arial" w:cs="Arial"/>
        </w:rPr>
        <w:t>.</w:t>
      </w:r>
    </w:p>
    <w:p w14:paraId="7B815D85" w14:textId="77777777" w:rsidR="0021298F" w:rsidRPr="00500322" w:rsidRDefault="0021298F" w:rsidP="0021298F">
      <w:pPr>
        <w:jc w:val="both"/>
        <w:rPr>
          <w:rFonts w:ascii="Arial" w:eastAsia="Times New Roman" w:hAnsi="Arial" w:cs="Arial"/>
        </w:rPr>
      </w:pPr>
    </w:p>
    <w:p w14:paraId="2CEDB3EC" w14:textId="77777777" w:rsidR="0021298F" w:rsidRPr="00500322" w:rsidRDefault="0021298F" w:rsidP="0021298F">
      <w:pPr>
        <w:jc w:val="both"/>
        <w:rPr>
          <w:rFonts w:ascii="Arial" w:eastAsiaTheme="majorEastAsia" w:hAnsi="Arial" w:cs="Arial"/>
          <w:b/>
          <w:bCs/>
        </w:rPr>
      </w:pPr>
      <w:r w:rsidRPr="00500322">
        <w:rPr>
          <w:rFonts w:ascii="Arial" w:eastAsiaTheme="majorEastAsia" w:hAnsi="Arial" w:cs="Arial"/>
          <w:b/>
          <w:bCs/>
        </w:rPr>
        <w:t>Investment Objective</w:t>
      </w:r>
    </w:p>
    <w:p w14:paraId="361C4146" w14:textId="77777777" w:rsidR="0021298F" w:rsidRPr="00500322" w:rsidRDefault="0021298F" w:rsidP="0021298F">
      <w:pPr>
        <w:jc w:val="both"/>
        <w:rPr>
          <w:rFonts w:ascii="Arial" w:eastAsia="Times New Roman" w:hAnsi="Arial" w:cs="Arial"/>
        </w:rPr>
      </w:pPr>
      <w:r w:rsidRPr="00500322">
        <w:rPr>
          <w:rFonts w:ascii="Arial" w:eastAsia="Times New Roman" w:hAnsi="Arial" w:cs="Arial"/>
        </w:rPr>
        <w:t xml:space="preserve">The Company’s aim is to provide attractive risk-adjusted returns to shareholders through an annual dividend </w:t>
      </w:r>
      <w:r w:rsidRPr="000F0A09">
        <w:rPr>
          <w:rFonts w:ascii="Arial" w:eastAsia="Times New Roman" w:hAnsi="Arial" w:cs="Arial"/>
        </w:rPr>
        <w:t>(</w:t>
      </w:r>
      <w:r w:rsidRPr="00B73F05">
        <w:rPr>
          <w:rFonts w:ascii="Arial" w:eastAsia="Times New Roman" w:hAnsi="Arial" w:cs="Arial"/>
        </w:rPr>
        <w:t>6.06 cent per share for 2020</w:t>
      </w:r>
      <w:r w:rsidRPr="000F0A09">
        <w:rPr>
          <w:rFonts w:ascii="Arial" w:eastAsia="Times New Roman" w:hAnsi="Arial" w:cs="Arial"/>
        </w:rPr>
        <w:t>)</w:t>
      </w:r>
      <w:r w:rsidRPr="00500322">
        <w:rPr>
          <w:rFonts w:ascii="Arial" w:eastAsia="Times New Roman" w:hAnsi="Arial" w:cs="Arial"/>
        </w:rPr>
        <w:t xml:space="preserve"> that increases progressively whilst growing the capital value of its investment portfolio. The Company is targeting an </w:t>
      </w:r>
      <w:r w:rsidRPr="00B73F05">
        <w:rPr>
          <w:rFonts w:ascii="Arial" w:eastAsia="Times New Roman" w:hAnsi="Arial" w:cs="Arial"/>
        </w:rPr>
        <w:t>IRR of 7 to 8</w:t>
      </w:r>
      <w:r w:rsidRPr="00500322">
        <w:rPr>
          <w:rFonts w:ascii="Arial" w:eastAsia="Times New Roman" w:hAnsi="Arial" w:cs="Arial"/>
        </w:rPr>
        <w:t xml:space="preserve"> per cent (net of expenses and fees) on the issue price of the ordinary shares to be achieved over the longer term via active management of the investment portfolio, reinvestment of excess cash flows and the prudent use of </w:t>
      </w:r>
      <w:r>
        <w:rPr>
          <w:rFonts w:ascii="Arial" w:eastAsia="Times New Roman" w:hAnsi="Arial" w:cs="Arial"/>
        </w:rPr>
        <w:t>gearing</w:t>
      </w:r>
      <w:r w:rsidRPr="00500322">
        <w:rPr>
          <w:rFonts w:ascii="Arial" w:eastAsia="Times New Roman" w:hAnsi="Arial" w:cs="Arial"/>
        </w:rPr>
        <w:t>. The Company intends to hold assets in its investment portfolio for the long term.</w:t>
      </w:r>
    </w:p>
    <w:p w14:paraId="7500DA6A" w14:textId="77777777" w:rsidR="0021298F" w:rsidRPr="00500322" w:rsidRDefault="0021298F" w:rsidP="0021298F">
      <w:pPr>
        <w:jc w:val="both"/>
        <w:rPr>
          <w:rFonts w:ascii="Arial" w:eastAsia="Times New Roman" w:hAnsi="Arial" w:cs="Arial"/>
          <w:highlight w:val="yellow"/>
        </w:rPr>
      </w:pPr>
    </w:p>
    <w:p w14:paraId="3CC8195B" w14:textId="77777777" w:rsidR="0021298F" w:rsidRPr="00382C2F" w:rsidRDefault="0021298F" w:rsidP="0021298F">
      <w:pPr>
        <w:jc w:val="both"/>
        <w:rPr>
          <w:rFonts w:ascii="Arial" w:eastAsiaTheme="majorEastAsia" w:hAnsi="Arial" w:cs="Arial"/>
          <w:b/>
          <w:bCs/>
        </w:rPr>
      </w:pPr>
      <w:r w:rsidRPr="00382C2F">
        <w:rPr>
          <w:rFonts w:ascii="Arial" w:eastAsiaTheme="majorEastAsia" w:hAnsi="Arial" w:cs="Arial"/>
          <w:b/>
          <w:bCs/>
        </w:rPr>
        <w:t>Investment Policy</w:t>
      </w:r>
    </w:p>
    <w:p w14:paraId="638193D8" w14:textId="77777777" w:rsidR="0021298F" w:rsidRPr="00382C2F" w:rsidRDefault="0021298F" w:rsidP="0021298F">
      <w:pPr>
        <w:jc w:val="both"/>
        <w:rPr>
          <w:rFonts w:ascii="Arial" w:eastAsia="Times New Roman" w:hAnsi="Arial" w:cs="Arial"/>
        </w:rPr>
      </w:pPr>
      <w:r w:rsidRPr="00382C2F">
        <w:rPr>
          <w:rFonts w:ascii="Arial" w:eastAsia="Times New Roman" w:hAnsi="Arial" w:cs="Arial"/>
        </w:rPr>
        <w:t>The Group intends to increase its portfolio of renewable energy generation assets within the Eurozone with a focus on Ireland. Key investment criteria include:</w:t>
      </w:r>
    </w:p>
    <w:p w14:paraId="7D11B2DC" w14:textId="77777777" w:rsidR="0021298F" w:rsidRPr="00382C2F" w:rsidRDefault="0021298F" w:rsidP="0021298F">
      <w:pPr>
        <w:jc w:val="both"/>
        <w:rPr>
          <w:rFonts w:ascii="Arial" w:eastAsia="Times New Roman" w:hAnsi="Arial" w:cs="Arial"/>
        </w:rPr>
      </w:pPr>
    </w:p>
    <w:p w14:paraId="2B07A99E" w14:textId="77777777" w:rsidR="0021298F" w:rsidRPr="00B73F05" w:rsidRDefault="0021298F" w:rsidP="0021298F">
      <w:pPr>
        <w:pStyle w:val="ListParagraph"/>
        <w:numPr>
          <w:ilvl w:val="0"/>
          <w:numId w:val="31"/>
        </w:numPr>
        <w:jc w:val="both"/>
        <w:rPr>
          <w:rFonts w:ascii="Arial" w:eastAsia="Times New Roman" w:hAnsi="Arial" w:cs="Arial"/>
        </w:rPr>
      </w:pPr>
      <w:r w:rsidRPr="00B73F05">
        <w:rPr>
          <w:rFonts w:ascii="Arial" w:eastAsia="Times New Roman" w:hAnsi="Arial" w:cs="Arial"/>
        </w:rPr>
        <w:lastRenderedPageBreak/>
        <w:t xml:space="preserve">During the first </w:t>
      </w:r>
      <w:r>
        <w:rPr>
          <w:rFonts w:ascii="Arial" w:eastAsia="Times New Roman" w:hAnsi="Arial" w:cs="Arial"/>
        </w:rPr>
        <w:t>24</w:t>
      </w:r>
      <w:r w:rsidRPr="00B73F05">
        <w:rPr>
          <w:rFonts w:ascii="Arial" w:eastAsia="Times New Roman" w:hAnsi="Arial" w:cs="Arial"/>
        </w:rPr>
        <w:t xml:space="preserve"> months from listing, the Group invested in operational wind energy assets in Ireland</w:t>
      </w:r>
      <w:r>
        <w:rPr>
          <w:rFonts w:ascii="Arial" w:eastAsia="Times New Roman" w:hAnsi="Arial" w:cs="Arial"/>
        </w:rPr>
        <w:t xml:space="preserve">. </w:t>
      </w:r>
    </w:p>
    <w:p w14:paraId="6002EA70" w14:textId="77777777" w:rsidR="0021298F" w:rsidRPr="00B73F05" w:rsidRDefault="0021298F" w:rsidP="0021298F">
      <w:pPr>
        <w:pStyle w:val="ListParagraph"/>
        <w:numPr>
          <w:ilvl w:val="0"/>
          <w:numId w:val="31"/>
        </w:numPr>
        <w:autoSpaceDE w:val="0"/>
        <w:autoSpaceDN w:val="0"/>
        <w:adjustRightInd w:val="0"/>
        <w:jc w:val="both"/>
        <w:rPr>
          <w:rFonts w:ascii="Arial" w:hAnsi="Arial" w:cs="Arial"/>
        </w:rPr>
      </w:pPr>
      <w:r w:rsidRPr="00B73F05">
        <w:rPr>
          <w:rFonts w:ascii="Arial" w:hAnsi="Arial" w:cs="Arial"/>
        </w:rPr>
        <w:t>Thereafter, Ireland will remain a key country of focus for the Group as no less than 60 per cent of GAV will be invested in Ireland.</w:t>
      </w:r>
    </w:p>
    <w:p w14:paraId="6AE8B4EF" w14:textId="77777777" w:rsidR="0021298F" w:rsidRPr="00B73F05" w:rsidRDefault="0021298F" w:rsidP="0021298F">
      <w:pPr>
        <w:pStyle w:val="ListParagraph"/>
        <w:numPr>
          <w:ilvl w:val="0"/>
          <w:numId w:val="31"/>
        </w:numPr>
        <w:autoSpaceDE w:val="0"/>
        <w:autoSpaceDN w:val="0"/>
        <w:adjustRightInd w:val="0"/>
        <w:jc w:val="both"/>
        <w:rPr>
          <w:rFonts w:ascii="Arial" w:hAnsi="Arial" w:cs="Arial"/>
        </w:rPr>
      </w:pPr>
      <w:r w:rsidRPr="00B73F05">
        <w:rPr>
          <w:rFonts w:ascii="Arial" w:hAnsi="Arial" w:cs="Arial"/>
        </w:rPr>
        <w:t>The Group can also invest, in aggregate, up to 40 per cent of GAV in operational wind energy or solar assets in other relevant countries (being Belgium, France, Germany</w:t>
      </w:r>
      <w:r>
        <w:rPr>
          <w:rFonts w:ascii="Arial" w:hAnsi="Arial" w:cs="Arial"/>
        </w:rPr>
        <w:t>,</w:t>
      </w:r>
      <w:r w:rsidRPr="00B73F05">
        <w:rPr>
          <w:rFonts w:ascii="Arial" w:hAnsi="Arial" w:cs="Arial"/>
        </w:rPr>
        <w:t xml:space="preserve"> the Netherlands</w:t>
      </w:r>
      <w:r>
        <w:rPr>
          <w:rFonts w:ascii="Arial" w:hAnsi="Arial" w:cs="Arial"/>
        </w:rPr>
        <w:t>, and the Nordics</w:t>
      </w:r>
      <w:r w:rsidRPr="00B73F05">
        <w:rPr>
          <w:rFonts w:ascii="Arial" w:hAnsi="Arial" w:cs="Arial"/>
        </w:rPr>
        <w:t>).</w:t>
      </w:r>
    </w:p>
    <w:p w14:paraId="7C722464" w14:textId="77777777" w:rsidR="0021298F" w:rsidRPr="00382C2F" w:rsidRDefault="0021298F" w:rsidP="0021298F">
      <w:pPr>
        <w:jc w:val="both"/>
        <w:rPr>
          <w:rFonts w:ascii="Arial" w:eastAsia="Times New Roman" w:hAnsi="Arial" w:cs="Arial"/>
        </w:rPr>
      </w:pPr>
    </w:p>
    <w:p w14:paraId="41EAFC00" w14:textId="77777777" w:rsidR="0021298F" w:rsidRPr="00382C2F" w:rsidRDefault="0021298F" w:rsidP="0021298F">
      <w:pPr>
        <w:jc w:val="both"/>
        <w:rPr>
          <w:rFonts w:ascii="Arial" w:eastAsia="Times New Roman" w:hAnsi="Arial" w:cs="Arial"/>
        </w:rPr>
      </w:pPr>
      <w:r w:rsidRPr="00B73F05">
        <w:rPr>
          <w:rFonts w:ascii="Arial" w:eastAsia="Times New Roman" w:hAnsi="Arial" w:cs="Arial"/>
        </w:rPr>
        <w:t xml:space="preserve">The Group has used debt facilities to make additional investments in the year. This has enhanced the Group’s attractiveness to sellers since execution risk is greatly diminished, with the Group effectively being a cash buyer. </w:t>
      </w:r>
      <w:r w:rsidRPr="00B73F05">
        <w:rPr>
          <w:rFonts w:ascii="Arial" w:hAnsi="Arial" w:cs="Arial"/>
        </w:rPr>
        <w:t>The Group will continue to use debt facilities to make further investments.</w:t>
      </w:r>
    </w:p>
    <w:p w14:paraId="6ED26696" w14:textId="77777777" w:rsidR="0021298F" w:rsidRPr="00382C2F" w:rsidRDefault="0021298F" w:rsidP="0021298F">
      <w:pPr>
        <w:jc w:val="both"/>
        <w:rPr>
          <w:rFonts w:ascii="Arial" w:eastAsiaTheme="majorEastAsia" w:hAnsi="Arial" w:cs="Arial"/>
          <w:b/>
          <w:bCs/>
        </w:rPr>
      </w:pPr>
    </w:p>
    <w:p w14:paraId="18B6797D" w14:textId="77777777" w:rsidR="0021298F" w:rsidRPr="00382C2F" w:rsidRDefault="0021298F" w:rsidP="0021298F">
      <w:pPr>
        <w:jc w:val="both"/>
        <w:rPr>
          <w:rFonts w:ascii="Arial" w:eastAsia="Times New Roman" w:hAnsi="Arial" w:cs="Arial"/>
        </w:rPr>
      </w:pPr>
      <w:r w:rsidRPr="00382C2F">
        <w:rPr>
          <w:rFonts w:ascii="Arial" w:eastAsia="Times New Roman" w:hAnsi="Arial" w:cs="Arial"/>
        </w:rPr>
        <w:t>The Group will look to repay its drawn debt facilities by refinancing them in the equity markets at appropriate times in order to refresh its debt capacity. While debt facilities are drawn, the Group benefits from an increase in investor returns because borrowing costs are below the underlying return on investments.</w:t>
      </w:r>
    </w:p>
    <w:p w14:paraId="2B5F6097" w14:textId="77777777" w:rsidR="0021298F" w:rsidRPr="00382C2F" w:rsidRDefault="0021298F" w:rsidP="0021298F">
      <w:pPr>
        <w:jc w:val="both"/>
        <w:rPr>
          <w:rFonts w:ascii="Arial" w:eastAsia="Times New Roman" w:hAnsi="Arial" w:cs="Arial"/>
        </w:rPr>
      </w:pPr>
    </w:p>
    <w:p w14:paraId="050952D5" w14:textId="77777777" w:rsidR="0021298F" w:rsidRPr="00500322" w:rsidRDefault="0021298F" w:rsidP="0021298F">
      <w:pPr>
        <w:pStyle w:val="Heading3"/>
        <w:spacing w:before="0"/>
        <w:jc w:val="both"/>
        <w:rPr>
          <w:rFonts w:ascii="Arial" w:hAnsi="Arial" w:cs="Arial"/>
          <w:color w:val="auto"/>
        </w:rPr>
      </w:pPr>
      <w:r w:rsidRPr="00500322">
        <w:rPr>
          <w:rFonts w:ascii="Arial" w:hAnsi="Arial" w:cs="Arial"/>
          <w:color w:val="auto"/>
        </w:rPr>
        <w:t>Group Structure and Share Capital</w:t>
      </w:r>
    </w:p>
    <w:p w14:paraId="51BB5DEA" w14:textId="77777777" w:rsidR="0021298F" w:rsidRPr="00500322" w:rsidRDefault="0021298F" w:rsidP="0021298F">
      <w:pPr>
        <w:jc w:val="both"/>
        <w:rPr>
          <w:rFonts w:ascii="Arial" w:hAnsi="Arial" w:cs="Arial"/>
        </w:rPr>
      </w:pPr>
      <w:r w:rsidRPr="00500322">
        <w:rPr>
          <w:rFonts w:ascii="Arial" w:hAnsi="Arial" w:cs="Arial"/>
        </w:rPr>
        <w:t>The Company is incorporated in the Republic of Ireland. The Group is wholly independent and is not tied to any particular utility or developer. All of the ordinary shares in the Company are quoted on the Euronext Growth Market of Euronext Dublin and on AIM of the London Stock Exchange. The Group comprises of the Company</w:t>
      </w:r>
      <w:r>
        <w:rPr>
          <w:rFonts w:ascii="Arial" w:hAnsi="Arial" w:cs="Arial"/>
        </w:rPr>
        <w:t>,</w:t>
      </w:r>
      <w:r w:rsidRPr="00500322">
        <w:rPr>
          <w:rFonts w:ascii="Arial" w:hAnsi="Arial" w:cs="Arial"/>
        </w:rPr>
        <w:t xml:space="preserve"> Holdco</w:t>
      </w:r>
      <w:r>
        <w:rPr>
          <w:rFonts w:ascii="Arial" w:hAnsi="Arial" w:cs="Arial"/>
        </w:rPr>
        <w:t>, Holdco 1 and Holdco 2</w:t>
      </w:r>
      <w:r w:rsidRPr="00500322">
        <w:rPr>
          <w:rFonts w:ascii="Arial" w:hAnsi="Arial" w:cs="Arial"/>
        </w:rPr>
        <w:t>. Holdco invests in the underlying portfolio companies</w:t>
      </w:r>
      <w:r>
        <w:rPr>
          <w:rFonts w:ascii="Arial" w:hAnsi="Arial" w:cs="Arial"/>
        </w:rPr>
        <w:t xml:space="preserve"> and Holdco 2 is the borrowing entity of all debt facilities at Group level</w:t>
      </w:r>
      <w:r w:rsidRPr="00500322">
        <w:rPr>
          <w:rFonts w:ascii="Arial" w:hAnsi="Arial" w:cs="Arial"/>
        </w:rPr>
        <w:t xml:space="preserve">. </w:t>
      </w:r>
    </w:p>
    <w:p w14:paraId="1C0EBE1D" w14:textId="77777777" w:rsidR="0021298F" w:rsidRPr="00500322" w:rsidRDefault="0021298F" w:rsidP="0021298F">
      <w:pPr>
        <w:jc w:val="both"/>
        <w:rPr>
          <w:rFonts w:ascii="Arial" w:hAnsi="Arial" w:cs="Arial"/>
        </w:rPr>
      </w:pPr>
    </w:p>
    <w:p w14:paraId="7CA02BC8" w14:textId="77777777" w:rsidR="0021298F" w:rsidRPr="00500322" w:rsidRDefault="0021298F" w:rsidP="0021298F">
      <w:pPr>
        <w:jc w:val="both"/>
        <w:rPr>
          <w:rFonts w:ascii="Arial" w:hAnsi="Arial" w:cs="Arial"/>
        </w:rPr>
      </w:pPr>
      <w:r w:rsidRPr="00500322">
        <w:rPr>
          <w:rFonts w:ascii="Arial" w:hAnsi="Arial" w:cs="Arial"/>
        </w:rPr>
        <w:t xml:space="preserve">The Company has one class of ordinary shares which carry no rights to fixed income. Shareholders are entitled to all dividends paid by the Company and, on a winding up, provided the Company has satisfied all of its liabilities, the Shareholders are entitled to all of the surplus assets of the Company. </w:t>
      </w:r>
    </w:p>
    <w:p w14:paraId="27BCA247" w14:textId="77777777" w:rsidR="0021298F" w:rsidRPr="00500322" w:rsidRDefault="0021298F" w:rsidP="0021298F">
      <w:pPr>
        <w:jc w:val="both"/>
        <w:rPr>
          <w:rFonts w:ascii="Arial" w:hAnsi="Arial" w:cs="Arial"/>
        </w:rPr>
      </w:pPr>
    </w:p>
    <w:p w14:paraId="0AAA32C5" w14:textId="77777777" w:rsidR="0021298F" w:rsidRPr="00500322" w:rsidRDefault="0021298F" w:rsidP="0021298F">
      <w:pPr>
        <w:jc w:val="both"/>
        <w:rPr>
          <w:rFonts w:ascii="Arial" w:hAnsi="Arial" w:cs="Arial"/>
        </w:rPr>
      </w:pPr>
      <w:r w:rsidRPr="00500322">
        <w:rPr>
          <w:rFonts w:ascii="Arial" w:hAnsi="Arial" w:cs="Arial"/>
        </w:rPr>
        <w:t>All shareholders have the same voting rights in respect of the share capital of the Company. Shareholders are entitled to attend and vote at general meetings of the Company and, on a poll, to one vote for each ordinary share held.</w:t>
      </w:r>
    </w:p>
    <w:p w14:paraId="3E6A7327" w14:textId="77777777" w:rsidR="0021298F" w:rsidRPr="00500322" w:rsidRDefault="0021298F" w:rsidP="0021298F">
      <w:pPr>
        <w:jc w:val="both"/>
        <w:rPr>
          <w:rFonts w:ascii="Arial" w:hAnsi="Arial" w:cs="Arial"/>
        </w:rPr>
      </w:pPr>
    </w:p>
    <w:p w14:paraId="14D072DE" w14:textId="77777777" w:rsidR="0021298F" w:rsidRPr="003922A7" w:rsidRDefault="0021298F" w:rsidP="0021298F">
      <w:pPr>
        <w:jc w:val="both"/>
        <w:rPr>
          <w:rFonts w:ascii="Arial" w:hAnsi="Arial" w:cs="Arial"/>
        </w:rPr>
      </w:pPr>
      <w:r w:rsidRPr="00500322">
        <w:rPr>
          <w:rFonts w:ascii="Arial" w:hAnsi="Arial" w:cs="Arial"/>
        </w:rPr>
        <w:t xml:space="preserve">The rights and obligations to the ordinary shares are set out in the Company’s articles of association which are available on the Company’s website: </w:t>
      </w:r>
      <w:hyperlink r:id="rId16" w:history="1">
        <w:r w:rsidRPr="00AE47CC">
          <w:rPr>
            <w:rFonts w:ascii="Arial" w:hAnsi="Arial" w:cs="Arial"/>
          </w:rPr>
          <w:t>www.greencoat-renewables.com</w:t>
        </w:r>
      </w:hyperlink>
      <w:r w:rsidRPr="003922A7">
        <w:rPr>
          <w:rFonts w:ascii="Arial" w:hAnsi="Arial" w:cs="Arial"/>
        </w:rPr>
        <w:t>.</w:t>
      </w:r>
    </w:p>
    <w:p w14:paraId="1BD35E01" w14:textId="77777777" w:rsidR="0021298F" w:rsidRPr="00500322" w:rsidRDefault="0021298F" w:rsidP="0021298F">
      <w:pPr>
        <w:jc w:val="both"/>
        <w:rPr>
          <w:rFonts w:ascii="Arial" w:eastAsia="Times New Roman" w:hAnsi="Arial" w:cs="Arial"/>
        </w:rPr>
      </w:pPr>
    </w:p>
    <w:p w14:paraId="16CA1E6A" w14:textId="77777777" w:rsidR="0021298F" w:rsidRPr="00500322" w:rsidRDefault="0021298F" w:rsidP="0021298F">
      <w:pPr>
        <w:pStyle w:val="Heading3"/>
        <w:spacing w:before="0"/>
        <w:jc w:val="both"/>
        <w:rPr>
          <w:rFonts w:ascii="Arial" w:hAnsi="Arial" w:cs="Arial"/>
          <w:color w:val="auto"/>
        </w:rPr>
      </w:pPr>
      <w:r w:rsidRPr="00500322">
        <w:rPr>
          <w:rFonts w:ascii="Arial" w:hAnsi="Arial" w:cs="Arial"/>
          <w:color w:val="auto"/>
        </w:rPr>
        <w:t>Authority to Purchase Own Shares</w:t>
      </w:r>
    </w:p>
    <w:p w14:paraId="62FD7803" w14:textId="77777777" w:rsidR="0021298F" w:rsidRPr="00500322" w:rsidRDefault="0021298F" w:rsidP="0021298F">
      <w:pPr>
        <w:jc w:val="both"/>
        <w:rPr>
          <w:rFonts w:ascii="Arial" w:hAnsi="Arial" w:cs="Arial"/>
        </w:rPr>
      </w:pPr>
      <w:r w:rsidRPr="00500322">
        <w:rPr>
          <w:rFonts w:ascii="Arial" w:hAnsi="Arial" w:cs="Arial"/>
        </w:rPr>
        <w:t>The current authority of the Company to make market purchases of up to 14.99 per cent of its issued share capital expires at the conclusion of every AGM. A special resolution will be proposed at the forthcoming AGM seeking renewal of such authority until the next AGM (or 30 June 202</w:t>
      </w:r>
      <w:r>
        <w:rPr>
          <w:rFonts w:ascii="Arial" w:hAnsi="Arial" w:cs="Arial"/>
        </w:rPr>
        <w:t>2</w:t>
      </w:r>
      <w:r w:rsidRPr="00500322">
        <w:rPr>
          <w:rFonts w:ascii="Arial" w:hAnsi="Arial" w:cs="Arial"/>
        </w:rPr>
        <w:t xml:space="preserve">, whichever is earlier). The purchases will only be made for cash at prices below the estimated prevailing NAV per share and where the Board believes such purchases will result in an increase of the NAV per share. Any shares repurchased under this authority will either be cancelled or held in treasury at the discretion of the Board for future resale in appropriate market conditions. </w:t>
      </w:r>
    </w:p>
    <w:p w14:paraId="30F1EB13" w14:textId="77777777" w:rsidR="0021298F" w:rsidRPr="00500322" w:rsidRDefault="0021298F" w:rsidP="0021298F">
      <w:pPr>
        <w:jc w:val="both"/>
        <w:rPr>
          <w:rFonts w:ascii="Arial" w:hAnsi="Arial" w:cs="Arial"/>
        </w:rPr>
      </w:pPr>
    </w:p>
    <w:p w14:paraId="4BD40587" w14:textId="77777777" w:rsidR="0021298F" w:rsidRPr="00500322" w:rsidRDefault="0021298F" w:rsidP="0021298F">
      <w:pPr>
        <w:jc w:val="both"/>
        <w:rPr>
          <w:rFonts w:ascii="Arial" w:hAnsi="Arial" w:cs="Arial"/>
        </w:rPr>
      </w:pPr>
      <w:r w:rsidRPr="00500322">
        <w:rPr>
          <w:rFonts w:ascii="Arial" w:hAnsi="Arial" w:cs="Arial"/>
        </w:rPr>
        <w:lastRenderedPageBreak/>
        <w:t>The Directors believe that the renewal of the Company’s authority to purchase shares, as detailed above, is in the best interests of shareholders as a whole and therefore recommend shareholders to vote in favour of the special resolution.</w:t>
      </w:r>
    </w:p>
    <w:p w14:paraId="1FE4ECC7" w14:textId="77777777" w:rsidR="0021298F" w:rsidRPr="00660DCB" w:rsidRDefault="0021298F" w:rsidP="0021298F">
      <w:pPr>
        <w:jc w:val="both"/>
        <w:rPr>
          <w:rFonts w:ascii="Arial" w:hAnsi="Arial" w:cs="Arial"/>
          <w:b/>
        </w:rPr>
      </w:pPr>
    </w:p>
    <w:p w14:paraId="2C5C54E0" w14:textId="77777777" w:rsidR="0021298F" w:rsidRPr="00500322" w:rsidRDefault="0021298F" w:rsidP="0021298F">
      <w:pPr>
        <w:pStyle w:val="Heading3"/>
        <w:spacing w:before="0"/>
        <w:jc w:val="both"/>
        <w:rPr>
          <w:rFonts w:ascii="Arial" w:hAnsi="Arial" w:cs="Arial"/>
          <w:color w:val="auto"/>
        </w:rPr>
      </w:pPr>
      <w:r w:rsidRPr="00500322">
        <w:rPr>
          <w:rFonts w:ascii="Arial" w:hAnsi="Arial" w:cs="Arial"/>
          <w:color w:val="auto"/>
        </w:rPr>
        <w:t>Discount Control</w:t>
      </w:r>
    </w:p>
    <w:p w14:paraId="6D30F342" w14:textId="77777777" w:rsidR="0021298F" w:rsidRPr="00500322" w:rsidRDefault="0021298F" w:rsidP="0021298F">
      <w:pPr>
        <w:jc w:val="both"/>
        <w:rPr>
          <w:rFonts w:ascii="Arial" w:eastAsia="Times New Roman" w:hAnsi="Arial" w:cs="Arial"/>
        </w:rPr>
      </w:pPr>
      <w:r w:rsidRPr="00500322">
        <w:rPr>
          <w:rFonts w:ascii="Arial" w:eastAsia="Times New Roman" w:hAnsi="Arial" w:cs="Arial"/>
        </w:rPr>
        <w:t>As part of the Company’s discount control policies, the Board intends to propose a continuation vote by shareholders if the share price trades at a significant discount to NAV. If in any financial year, the shares have traded on average, at a discount in excess of 10 per cent or more to the NAV per share in any financial year, the Board will propose a special resolution at the Company’s next annual general meeting that the Company cease to continue in its present form. Notwithstanding this, the Board could consider buying back its own shares in the market if the share price is trading at a material discount to NAV, providing it is in the interests of the shareholders to do so.</w:t>
      </w:r>
    </w:p>
    <w:p w14:paraId="09F11BAC" w14:textId="77777777" w:rsidR="0021298F" w:rsidRPr="00500322" w:rsidRDefault="0021298F" w:rsidP="0021298F">
      <w:pPr>
        <w:jc w:val="both"/>
        <w:rPr>
          <w:rFonts w:ascii="Arial" w:eastAsia="Times New Roman" w:hAnsi="Arial" w:cs="Arial"/>
        </w:rPr>
      </w:pPr>
    </w:p>
    <w:p w14:paraId="01BF5028" w14:textId="77777777" w:rsidR="0021298F" w:rsidRPr="00500322" w:rsidRDefault="0021298F" w:rsidP="0021298F">
      <w:pPr>
        <w:jc w:val="both"/>
        <w:rPr>
          <w:rFonts w:ascii="Arial" w:eastAsia="Times New Roman" w:hAnsi="Arial" w:cs="Arial"/>
          <w:b/>
        </w:rPr>
      </w:pPr>
      <w:bookmarkStart w:id="4" w:name="_Hlk62716760"/>
      <w:bookmarkStart w:id="5" w:name="_Hlk62716748"/>
      <w:r w:rsidRPr="00500322">
        <w:rPr>
          <w:rFonts w:ascii="Arial" w:eastAsia="Times New Roman" w:hAnsi="Arial" w:cs="Arial"/>
          <w:b/>
        </w:rPr>
        <w:t>Major Interests in Shares</w:t>
      </w:r>
    </w:p>
    <w:p w14:paraId="2372CAA0" w14:textId="77777777" w:rsidR="0021298F" w:rsidRPr="00500322" w:rsidRDefault="0021298F" w:rsidP="0021298F">
      <w:pPr>
        <w:jc w:val="both"/>
        <w:rPr>
          <w:rFonts w:ascii="Arial" w:eastAsia="Times New Roman" w:hAnsi="Arial" w:cs="Arial"/>
        </w:rPr>
      </w:pPr>
      <w:r w:rsidRPr="00500322">
        <w:rPr>
          <w:rFonts w:ascii="Arial" w:eastAsia="Times New Roman" w:hAnsi="Arial" w:cs="Arial"/>
        </w:rPr>
        <w:t xml:space="preserve">Significant shareholdings as at </w:t>
      </w:r>
      <w:r>
        <w:rPr>
          <w:rFonts w:ascii="Arial" w:eastAsia="Times New Roman" w:hAnsi="Arial" w:cs="Arial"/>
        </w:rPr>
        <w:t>31 December 2020</w:t>
      </w:r>
      <w:r w:rsidRPr="00500322">
        <w:rPr>
          <w:rFonts w:ascii="Arial" w:eastAsia="Times New Roman" w:hAnsi="Arial" w:cs="Arial"/>
        </w:rPr>
        <w:t xml:space="preserve"> are detailed below.</w:t>
      </w:r>
    </w:p>
    <w:tbl>
      <w:tblPr>
        <w:tblW w:w="5000" w:type="pct"/>
        <w:tblLook w:val="04A0" w:firstRow="1" w:lastRow="0" w:firstColumn="1" w:lastColumn="0" w:noHBand="0" w:noVBand="1"/>
      </w:tblPr>
      <w:tblGrid>
        <w:gridCol w:w="7031"/>
        <w:gridCol w:w="1995"/>
      </w:tblGrid>
      <w:tr w:rsidR="0021298F" w:rsidRPr="00500322" w14:paraId="2D5D1541" w14:textId="77777777" w:rsidTr="00760009">
        <w:trPr>
          <w:trHeight w:val="285"/>
        </w:trPr>
        <w:tc>
          <w:tcPr>
            <w:tcW w:w="3895" w:type="pct"/>
            <w:vMerge w:val="restart"/>
            <w:tcBorders>
              <w:top w:val="nil"/>
              <w:left w:val="nil"/>
              <w:bottom w:val="single" w:sz="4" w:space="0" w:color="000000"/>
              <w:right w:val="nil"/>
            </w:tcBorders>
            <w:shd w:val="clear" w:color="auto" w:fill="auto"/>
            <w:vAlign w:val="center"/>
            <w:hideMark/>
          </w:tcPr>
          <w:bookmarkEnd w:id="4"/>
          <w:p w14:paraId="05D42988" w14:textId="77777777" w:rsidR="0021298F" w:rsidRPr="00AC0336" w:rsidRDefault="0021298F" w:rsidP="00760009">
            <w:pPr>
              <w:jc w:val="both"/>
              <w:rPr>
                <w:rFonts w:ascii="Arial" w:eastAsia="Times New Roman" w:hAnsi="Arial" w:cs="Arial"/>
                <w:b/>
                <w:bCs/>
                <w:lang w:eastAsia="en-GB"/>
              </w:rPr>
            </w:pPr>
            <w:r w:rsidRPr="00AC0336">
              <w:rPr>
                <w:rFonts w:ascii="Arial" w:eastAsia="Times New Roman" w:hAnsi="Arial" w:cs="Arial"/>
                <w:b/>
                <w:bCs/>
                <w:lang w:eastAsia="en-GB"/>
              </w:rPr>
              <w:t xml:space="preserve">Shareholder </w:t>
            </w:r>
          </w:p>
        </w:tc>
        <w:tc>
          <w:tcPr>
            <w:tcW w:w="1105" w:type="pct"/>
            <w:tcBorders>
              <w:top w:val="nil"/>
              <w:left w:val="nil"/>
              <w:bottom w:val="nil"/>
              <w:right w:val="nil"/>
            </w:tcBorders>
            <w:shd w:val="clear" w:color="auto" w:fill="auto"/>
            <w:vAlign w:val="center"/>
            <w:hideMark/>
          </w:tcPr>
          <w:p w14:paraId="374A02E0" w14:textId="77777777" w:rsidR="0021298F" w:rsidRPr="00AC0336" w:rsidRDefault="0021298F" w:rsidP="00760009">
            <w:pPr>
              <w:jc w:val="right"/>
              <w:rPr>
                <w:rFonts w:ascii="Arial" w:eastAsia="Times New Roman" w:hAnsi="Arial" w:cs="Arial"/>
                <w:b/>
                <w:bCs/>
                <w:lang w:eastAsia="en-GB"/>
              </w:rPr>
            </w:pPr>
            <w:r w:rsidRPr="00AC0336">
              <w:rPr>
                <w:rFonts w:ascii="Arial" w:eastAsia="Times New Roman" w:hAnsi="Arial" w:cs="Arial"/>
                <w:b/>
                <w:bCs/>
                <w:lang w:eastAsia="en-GB"/>
              </w:rPr>
              <w:t>Ordinary shares held %</w:t>
            </w:r>
          </w:p>
        </w:tc>
      </w:tr>
      <w:tr w:rsidR="0021298F" w:rsidRPr="00500322" w14:paraId="7FE8327B" w14:textId="77777777" w:rsidTr="00760009">
        <w:trPr>
          <w:trHeight w:val="285"/>
        </w:trPr>
        <w:tc>
          <w:tcPr>
            <w:tcW w:w="3895" w:type="pct"/>
            <w:vMerge/>
            <w:tcBorders>
              <w:top w:val="nil"/>
              <w:left w:val="nil"/>
              <w:bottom w:val="single" w:sz="4" w:space="0" w:color="000000"/>
              <w:right w:val="nil"/>
            </w:tcBorders>
            <w:vAlign w:val="center"/>
            <w:hideMark/>
          </w:tcPr>
          <w:p w14:paraId="67053C32" w14:textId="77777777" w:rsidR="0021298F" w:rsidRPr="00AC0336" w:rsidRDefault="0021298F" w:rsidP="00760009">
            <w:pPr>
              <w:jc w:val="both"/>
              <w:rPr>
                <w:rFonts w:ascii="Arial" w:eastAsia="Times New Roman" w:hAnsi="Arial" w:cs="Arial"/>
                <w:b/>
                <w:bCs/>
                <w:lang w:eastAsia="en-GB"/>
              </w:rPr>
            </w:pPr>
          </w:p>
        </w:tc>
        <w:tc>
          <w:tcPr>
            <w:tcW w:w="1105" w:type="pct"/>
            <w:tcBorders>
              <w:top w:val="nil"/>
              <w:left w:val="nil"/>
              <w:bottom w:val="single" w:sz="4" w:space="0" w:color="auto"/>
              <w:right w:val="nil"/>
            </w:tcBorders>
            <w:shd w:val="clear" w:color="auto" w:fill="auto"/>
            <w:vAlign w:val="center"/>
            <w:hideMark/>
          </w:tcPr>
          <w:p w14:paraId="4EE34558" w14:textId="77777777" w:rsidR="0021298F" w:rsidRPr="00AC0336" w:rsidRDefault="0021298F" w:rsidP="00760009">
            <w:pPr>
              <w:jc w:val="right"/>
              <w:rPr>
                <w:rFonts w:ascii="Arial" w:eastAsia="Times New Roman" w:hAnsi="Arial" w:cs="Arial"/>
                <w:b/>
                <w:bCs/>
                <w:lang w:eastAsia="en-GB"/>
              </w:rPr>
            </w:pPr>
            <w:r>
              <w:rPr>
                <w:rFonts w:ascii="Arial" w:eastAsia="Times New Roman" w:hAnsi="Arial" w:cs="Arial"/>
                <w:b/>
                <w:bCs/>
                <w:lang w:eastAsia="en-GB"/>
              </w:rPr>
              <w:t>31 December 2020</w:t>
            </w:r>
          </w:p>
        </w:tc>
      </w:tr>
      <w:tr w:rsidR="0021298F" w:rsidRPr="00500322" w14:paraId="097D3976" w14:textId="77777777" w:rsidTr="00760009">
        <w:trPr>
          <w:trHeight w:val="285"/>
        </w:trPr>
        <w:tc>
          <w:tcPr>
            <w:tcW w:w="3895" w:type="pct"/>
            <w:tcBorders>
              <w:top w:val="nil"/>
              <w:left w:val="nil"/>
              <w:bottom w:val="nil"/>
              <w:right w:val="nil"/>
            </w:tcBorders>
            <w:shd w:val="clear" w:color="auto" w:fill="auto"/>
            <w:noWrap/>
          </w:tcPr>
          <w:p w14:paraId="09E5A002" w14:textId="77777777" w:rsidR="0021298F" w:rsidRPr="00AE47CC" w:rsidRDefault="0021298F" w:rsidP="00760009">
            <w:pPr>
              <w:jc w:val="both"/>
              <w:rPr>
                <w:rFonts w:ascii="Arial" w:hAnsi="Arial" w:cs="Arial"/>
              </w:rPr>
            </w:pPr>
            <w:r w:rsidRPr="00AE47CC">
              <w:rPr>
                <w:rFonts w:ascii="Arial" w:hAnsi="Arial" w:cs="Arial"/>
              </w:rPr>
              <w:t>Brewin Dolphin Wealth Management</w:t>
            </w:r>
          </w:p>
        </w:tc>
        <w:tc>
          <w:tcPr>
            <w:tcW w:w="1105" w:type="pct"/>
            <w:tcBorders>
              <w:top w:val="nil"/>
              <w:left w:val="nil"/>
              <w:bottom w:val="nil"/>
              <w:right w:val="nil"/>
            </w:tcBorders>
            <w:shd w:val="clear" w:color="000000" w:fill="EDFFB7"/>
            <w:noWrap/>
            <w:vAlign w:val="bottom"/>
          </w:tcPr>
          <w:p w14:paraId="49382200" w14:textId="77777777" w:rsidR="0021298F" w:rsidRPr="00AE47CC" w:rsidRDefault="0021298F" w:rsidP="00760009">
            <w:pPr>
              <w:jc w:val="right"/>
              <w:rPr>
                <w:rFonts w:ascii="Arial" w:eastAsia="Times New Roman" w:hAnsi="Arial" w:cs="Arial"/>
                <w:lang w:eastAsia="en-GB"/>
              </w:rPr>
            </w:pPr>
            <w:r w:rsidRPr="00AE47CC">
              <w:rPr>
                <w:rFonts w:ascii="Arial" w:eastAsia="Times New Roman" w:hAnsi="Arial" w:cs="Arial"/>
                <w:lang w:eastAsia="en-GB"/>
              </w:rPr>
              <w:t>7.7</w:t>
            </w:r>
            <w:r>
              <w:rPr>
                <w:rFonts w:ascii="Arial" w:eastAsia="Times New Roman" w:hAnsi="Arial" w:cs="Arial"/>
                <w:lang w:eastAsia="en-GB"/>
              </w:rPr>
              <w:t>0</w:t>
            </w:r>
          </w:p>
        </w:tc>
      </w:tr>
      <w:tr w:rsidR="0021298F" w:rsidRPr="00500322" w14:paraId="1BAFB602" w14:textId="77777777" w:rsidTr="00760009">
        <w:trPr>
          <w:trHeight w:val="285"/>
        </w:trPr>
        <w:tc>
          <w:tcPr>
            <w:tcW w:w="3895" w:type="pct"/>
            <w:tcBorders>
              <w:top w:val="nil"/>
              <w:left w:val="nil"/>
              <w:bottom w:val="nil"/>
              <w:right w:val="nil"/>
            </w:tcBorders>
            <w:shd w:val="clear" w:color="auto" w:fill="auto"/>
            <w:noWrap/>
          </w:tcPr>
          <w:p w14:paraId="24122714" w14:textId="77777777" w:rsidR="0021298F" w:rsidRPr="00AE47CC" w:rsidRDefault="0021298F" w:rsidP="00760009">
            <w:pPr>
              <w:jc w:val="both"/>
              <w:rPr>
                <w:rFonts w:ascii="Arial" w:eastAsia="Times New Roman" w:hAnsi="Arial" w:cs="Arial"/>
                <w:lang w:eastAsia="en-GB"/>
              </w:rPr>
            </w:pPr>
            <w:r w:rsidRPr="00AE47CC">
              <w:rPr>
                <w:rFonts w:ascii="Arial" w:hAnsi="Arial" w:cs="Arial"/>
              </w:rPr>
              <w:t>Newton Investment Management</w:t>
            </w:r>
          </w:p>
        </w:tc>
        <w:tc>
          <w:tcPr>
            <w:tcW w:w="1105" w:type="pct"/>
            <w:tcBorders>
              <w:top w:val="nil"/>
              <w:left w:val="nil"/>
              <w:bottom w:val="nil"/>
              <w:right w:val="nil"/>
            </w:tcBorders>
            <w:shd w:val="clear" w:color="000000" w:fill="EDFFB7"/>
            <w:noWrap/>
            <w:vAlign w:val="bottom"/>
          </w:tcPr>
          <w:p w14:paraId="6772017B" w14:textId="77777777" w:rsidR="0021298F" w:rsidRPr="00AE47CC" w:rsidRDefault="0021298F" w:rsidP="00760009">
            <w:pPr>
              <w:jc w:val="right"/>
              <w:rPr>
                <w:rFonts w:ascii="Arial" w:eastAsia="Times New Roman" w:hAnsi="Arial" w:cs="Arial"/>
                <w:lang w:eastAsia="en-GB"/>
              </w:rPr>
            </w:pPr>
            <w:r w:rsidRPr="00AE47CC">
              <w:rPr>
                <w:rFonts w:ascii="Arial" w:eastAsia="Times New Roman" w:hAnsi="Arial" w:cs="Arial"/>
                <w:lang w:eastAsia="en-GB"/>
              </w:rPr>
              <w:t>7.21</w:t>
            </w:r>
          </w:p>
        </w:tc>
      </w:tr>
      <w:tr w:rsidR="0021298F" w:rsidRPr="001E64E0" w14:paraId="24F313D4" w14:textId="77777777" w:rsidTr="00760009">
        <w:trPr>
          <w:trHeight w:val="285"/>
        </w:trPr>
        <w:tc>
          <w:tcPr>
            <w:tcW w:w="3895" w:type="pct"/>
            <w:tcBorders>
              <w:top w:val="nil"/>
              <w:left w:val="nil"/>
              <w:bottom w:val="nil"/>
              <w:right w:val="nil"/>
            </w:tcBorders>
            <w:shd w:val="clear" w:color="auto" w:fill="auto"/>
            <w:noWrap/>
          </w:tcPr>
          <w:p w14:paraId="3EE63AE6" w14:textId="77777777" w:rsidR="0021298F" w:rsidRPr="00AE47CC" w:rsidRDefault="0021298F" w:rsidP="00760009">
            <w:pPr>
              <w:jc w:val="both"/>
              <w:rPr>
                <w:rFonts w:ascii="Arial" w:eastAsia="Times New Roman" w:hAnsi="Arial" w:cs="Arial"/>
                <w:lang w:eastAsia="en-GB"/>
              </w:rPr>
            </w:pPr>
            <w:r w:rsidRPr="00AE47CC">
              <w:rPr>
                <w:rFonts w:ascii="Arial" w:hAnsi="Arial" w:cs="Arial"/>
              </w:rPr>
              <w:t xml:space="preserve">M&amp;G Investment Management </w:t>
            </w:r>
          </w:p>
        </w:tc>
        <w:tc>
          <w:tcPr>
            <w:tcW w:w="1105" w:type="pct"/>
            <w:tcBorders>
              <w:top w:val="nil"/>
              <w:left w:val="nil"/>
              <w:bottom w:val="nil"/>
              <w:right w:val="nil"/>
            </w:tcBorders>
            <w:shd w:val="clear" w:color="000000" w:fill="EDFFB7"/>
            <w:noWrap/>
            <w:vAlign w:val="bottom"/>
          </w:tcPr>
          <w:p w14:paraId="216E7108" w14:textId="77777777" w:rsidR="0021298F" w:rsidRPr="00AE47CC" w:rsidRDefault="0021298F" w:rsidP="00760009">
            <w:pPr>
              <w:jc w:val="right"/>
              <w:rPr>
                <w:rFonts w:ascii="Arial" w:eastAsia="Times New Roman" w:hAnsi="Arial" w:cs="Arial"/>
                <w:lang w:eastAsia="en-GB"/>
              </w:rPr>
            </w:pPr>
            <w:r w:rsidRPr="00AE47CC">
              <w:rPr>
                <w:rFonts w:ascii="Arial" w:eastAsia="Times New Roman" w:hAnsi="Arial" w:cs="Arial"/>
                <w:lang w:eastAsia="en-GB"/>
              </w:rPr>
              <w:t>6.22</w:t>
            </w:r>
          </w:p>
        </w:tc>
      </w:tr>
      <w:tr w:rsidR="0021298F" w:rsidRPr="00500322" w14:paraId="22EA3450" w14:textId="77777777" w:rsidTr="00760009">
        <w:trPr>
          <w:trHeight w:val="285"/>
        </w:trPr>
        <w:tc>
          <w:tcPr>
            <w:tcW w:w="3895" w:type="pct"/>
            <w:tcBorders>
              <w:top w:val="nil"/>
              <w:left w:val="nil"/>
              <w:bottom w:val="nil"/>
              <w:right w:val="nil"/>
            </w:tcBorders>
            <w:shd w:val="clear" w:color="auto" w:fill="auto"/>
            <w:noWrap/>
          </w:tcPr>
          <w:p w14:paraId="1C4C7047" w14:textId="77777777" w:rsidR="0021298F" w:rsidRPr="00AE47CC" w:rsidRDefault="0021298F" w:rsidP="00760009">
            <w:pPr>
              <w:jc w:val="both"/>
              <w:rPr>
                <w:rFonts w:ascii="Arial" w:eastAsia="Times New Roman" w:hAnsi="Arial" w:cs="Arial"/>
                <w:lang w:eastAsia="en-GB"/>
              </w:rPr>
            </w:pPr>
            <w:r w:rsidRPr="00AE47CC">
              <w:rPr>
                <w:rFonts w:ascii="Arial" w:hAnsi="Arial" w:cs="Arial"/>
              </w:rPr>
              <w:t>FIL Investment International</w:t>
            </w:r>
          </w:p>
        </w:tc>
        <w:tc>
          <w:tcPr>
            <w:tcW w:w="1105" w:type="pct"/>
            <w:tcBorders>
              <w:top w:val="nil"/>
              <w:left w:val="nil"/>
              <w:bottom w:val="nil"/>
              <w:right w:val="nil"/>
            </w:tcBorders>
            <w:shd w:val="clear" w:color="000000" w:fill="EDFFB7"/>
            <w:noWrap/>
            <w:vAlign w:val="bottom"/>
          </w:tcPr>
          <w:p w14:paraId="3B7C197A" w14:textId="77777777" w:rsidR="0021298F" w:rsidRPr="00AE47CC" w:rsidRDefault="0021298F" w:rsidP="00760009">
            <w:pPr>
              <w:jc w:val="right"/>
              <w:rPr>
                <w:rFonts w:ascii="Arial" w:eastAsia="Times New Roman" w:hAnsi="Arial" w:cs="Arial"/>
                <w:lang w:eastAsia="en-GB"/>
              </w:rPr>
            </w:pPr>
            <w:r w:rsidRPr="00AE47CC">
              <w:rPr>
                <w:rFonts w:ascii="Arial" w:eastAsia="Times New Roman" w:hAnsi="Arial" w:cs="Arial"/>
                <w:lang w:eastAsia="en-GB"/>
              </w:rPr>
              <w:t>4.9</w:t>
            </w:r>
            <w:r>
              <w:rPr>
                <w:rFonts w:ascii="Arial" w:eastAsia="Times New Roman" w:hAnsi="Arial" w:cs="Arial"/>
                <w:lang w:eastAsia="en-GB"/>
              </w:rPr>
              <w:t>0</w:t>
            </w:r>
          </w:p>
        </w:tc>
      </w:tr>
      <w:tr w:rsidR="0021298F" w:rsidRPr="001E64E0" w14:paraId="654F6FB2" w14:textId="77777777" w:rsidTr="00760009">
        <w:trPr>
          <w:trHeight w:val="285"/>
        </w:trPr>
        <w:tc>
          <w:tcPr>
            <w:tcW w:w="3895" w:type="pct"/>
            <w:tcBorders>
              <w:top w:val="nil"/>
              <w:left w:val="nil"/>
              <w:bottom w:val="nil"/>
              <w:right w:val="nil"/>
            </w:tcBorders>
            <w:shd w:val="clear" w:color="auto" w:fill="auto"/>
            <w:noWrap/>
          </w:tcPr>
          <w:p w14:paraId="0DE5B67C" w14:textId="77777777" w:rsidR="0021298F" w:rsidRPr="00AE47CC" w:rsidRDefault="0021298F" w:rsidP="00760009">
            <w:pPr>
              <w:jc w:val="both"/>
              <w:rPr>
                <w:rFonts w:ascii="Arial" w:hAnsi="Arial" w:cs="Arial"/>
              </w:rPr>
            </w:pPr>
            <w:r w:rsidRPr="00AE47CC">
              <w:rPr>
                <w:rFonts w:ascii="Arial" w:hAnsi="Arial" w:cs="Arial"/>
              </w:rPr>
              <w:t>Foresight Group</w:t>
            </w:r>
          </w:p>
        </w:tc>
        <w:tc>
          <w:tcPr>
            <w:tcW w:w="1105" w:type="pct"/>
            <w:tcBorders>
              <w:top w:val="nil"/>
              <w:left w:val="nil"/>
              <w:bottom w:val="nil"/>
              <w:right w:val="nil"/>
            </w:tcBorders>
            <w:shd w:val="clear" w:color="000000" w:fill="EDFFB7"/>
            <w:noWrap/>
            <w:vAlign w:val="bottom"/>
          </w:tcPr>
          <w:p w14:paraId="40966938" w14:textId="77777777" w:rsidR="0021298F" w:rsidRPr="00AE47CC" w:rsidRDefault="0021298F" w:rsidP="00760009">
            <w:pPr>
              <w:jc w:val="right"/>
              <w:rPr>
                <w:rFonts w:ascii="Arial" w:eastAsia="Times New Roman" w:hAnsi="Arial" w:cs="Arial"/>
                <w:lang w:eastAsia="en-GB"/>
              </w:rPr>
            </w:pPr>
            <w:r w:rsidRPr="00AE47CC">
              <w:rPr>
                <w:rFonts w:ascii="Arial" w:eastAsia="Times New Roman" w:hAnsi="Arial" w:cs="Arial"/>
                <w:lang w:eastAsia="en-GB"/>
              </w:rPr>
              <w:t>4.49</w:t>
            </w:r>
          </w:p>
        </w:tc>
      </w:tr>
      <w:tr w:rsidR="0021298F" w:rsidRPr="00500322" w14:paraId="70BC3561" w14:textId="77777777" w:rsidTr="00760009">
        <w:trPr>
          <w:trHeight w:val="285"/>
        </w:trPr>
        <w:tc>
          <w:tcPr>
            <w:tcW w:w="3895" w:type="pct"/>
            <w:tcBorders>
              <w:top w:val="nil"/>
              <w:left w:val="nil"/>
              <w:bottom w:val="nil"/>
              <w:right w:val="nil"/>
            </w:tcBorders>
            <w:shd w:val="clear" w:color="auto" w:fill="auto"/>
            <w:noWrap/>
          </w:tcPr>
          <w:p w14:paraId="337CDE26" w14:textId="77777777" w:rsidR="0021298F" w:rsidRPr="00AE47CC" w:rsidRDefault="0021298F" w:rsidP="00760009">
            <w:pPr>
              <w:jc w:val="both"/>
              <w:rPr>
                <w:rFonts w:ascii="Arial" w:hAnsi="Arial" w:cs="Arial"/>
              </w:rPr>
            </w:pPr>
            <w:r w:rsidRPr="00AE47CC">
              <w:rPr>
                <w:rFonts w:ascii="Arial" w:hAnsi="Arial" w:cs="Arial"/>
              </w:rPr>
              <w:t>Baillie Gifford &amp; Co.</w:t>
            </w:r>
          </w:p>
        </w:tc>
        <w:tc>
          <w:tcPr>
            <w:tcW w:w="1105" w:type="pct"/>
            <w:tcBorders>
              <w:top w:val="nil"/>
              <w:left w:val="nil"/>
              <w:bottom w:val="nil"/>
              <w:right w:val="nil"/>
            </w:tcBorders>
            <w:shd w:val="clear" w:color="000000" w:fill="EDFFB7"/>
            <w:noWrap/>
            <w:vAlign w:val="bottom"/>
          </w:tcPr>
          <w:p w14:paraId="58633384" w14:textId="77777777" w:rsidR="0021298F" w:rsidRPr="00AE47CC" w:rsidRDefault="0021298F" w:rsidP="00760009">
            <w:pPr>
              <w:jc w:val="right"/>
              <w:rPr>
                <w:rFonts w:ascii="Arial" w:eastAsia="Times New Roman" w:hAnsi="Arial" w:cs="Arial"/>
                <w:lang w:eastAsia="en-GB"/>
              </w:rPr>
            </w:pPr>
            <w:r w:rsidRPr="00AE47CC">
              <w:rPr>
                <w:rFonts w:ascii="Arial" w:eastAsia="Times New Roman" w:hAnsi="Arial" w:cs="Arial"/>
                <w:lang w:eastAsia="en-GB"/>
              </w:rPr>
              <w:t>4.46</w:t>
            </w:r>
          </w:p>
        </w:tc>
      </w:tr>
      <w:tr w:rsidR="0021298F" w:rsidRPr="00500322" w14:paraId="57240172" w14:textId="77777777" w:rsidTr="00760009">
        <w:trPr>
          <w:trHeight w:val="285"/>
        </w:trPr>
        <w:tc>
          <w:tcPr>
            <w:tcW w:w="3895" w:type="pct"/>
            <w:tcBorders>
              <w:top w:val="nil"/>
              <w:left w:val="nil"/>
              <w:bottom w:val="nil"/>
              <w:right w:val="nil"/>
            </w:tcBorders>
            <w:shd w:val="clear" w:color="auto" w:fill="auto"/>
            <w:noWrap/>
          </w:tcPr>
          <w:p w14:paraId="7F58AFB0" w14:textId="77777777" w:rsidR="0021298F" w:rsidRPr="00AE47CC" w:rsidRDefault="0021298F" w:rsidP="00760009">
            <w:pPr>
              <w:jc w:val="both"/>
              <w:rPr>
                <w:rFonts w:ascii="Arial" w:hAnsi="Arial" w:cs="Arial"/>
              </w:rPr>
            </w:pPr>
            <w:r w:rsidRPr="00AE47CC">
              <w:rPr>
                <w:rFonts w:ascii="Arial" w:hAnsi="Arial" w:cs="Arial"/>
              </w:rPr>
              <w:t>Cantor Fitzgerald</w:t>
            </w:r>
          </w:p>
        </w:tc>
        <w:tc>
          <w:tcPr>
            <w:tcW w:w="1105" w:type="pct"/>
            <w:tcBorders>
              <w:top w:val="nil"/>
              <w:left w:val="nil"/>
              <w:bottom w:val="nil"/>
              <w:right w:val="nil"/>
            </w:tcBorders>
            <w:shd w:val="clear" w:color="000000" w:fill="EDFFB7"/>
            <w:noWrap/>
            <w:vAlign w:val="bottom"/>
          </w:tcPr>
          <w:p w14:paraId="0858F10C" w14:textId="77777777" w:rsidR="0021298F" w:rsidRPr="00AE47CC" w:rsidRDefault="0021298F" w:rsidP="00760009">
            <w:pPr>
              <w:jc w:val="right"/>
              <w:rPr>
                <w:rFonts w:ascii="Arial" w:eastAsia="Times New Roman" w:hAnsi="Arial" w:cs="Arial"/>
                <w:lang w:eastAsia="en-GB"/>
              </w:rPr>
            </w:pPr>
            <w:r w:rsidRPr="00AE47CC">
              <w:rPr>
                <w:rFonts w:ascii="Arial" w:eastAsia="Times New Roman" w:hAnsi="Arial" w:cs="Arial"/>
                <w:lang w:eastAsia="en-GB"/>
              </w:rPr>
              <w:t>4.23</w:t>
            </w:r>
          </w:p>
        </w:tc>
      </w:tr>
      <w:tr w:rsidR="0021298F" w:rsidRPr="00500322" w14:paraId="5AFB0CF5" w14:textId="77777777" w:rsidTr="00760009">
        <w:trPr>
          <w:trHeight w:val="285"/>
        </w:trPr>
        <w:tc>
          <w:tcPr>
            <w:tcW w:w="3895" w:type="pct"/>
            <w:tcBorders>
              <w:top w:val="nil"/>
              <w:left w:val="nil"/>
              <w:bottom w:val="nil"/>
              <w:right w:val="nil"/>
            </w:tcBorders>
            <w:shd w:val="clear" w:color="auto" w:fill="auto"/>
            <w:noWrap/>
          </w:tcPr>
          <w:p w14:paraId="1B585313" w14:textId="77777777" w:rsidR="0021298F" w:rsidRPr="00AE47CC" w:rsidRDefault="0021298F" w:rsidP="00760009">
            <w:pPr>
              <w:jc w:val="both"/>
              <w:rPr>
                <w:rFonts w:ascii="Arial" w:hAnsi="Arial" w:cs="Arial"/>
              </w:rPr>
            </w:pPr>
            <w:r w:rsidRPr="00AE47CC">
              <w:rPr>
                <w:rFonts w:ascii="Arial" w:hAnsi="Arial" w:cs="Arial"/>
              </w:rPr>
              <w:t>Davy Stockbroker</w:t>
            </w:r>
          </w:p>
        </w:tc>
        <w:tc>
          <w:tcPr>
            <w:tcW w:w="1105" w:type="pct"/>
            <w:tcBorders>
              <w:top w:val="nil"/>
              <w:left w:val="nil"/>
              <w:bottom w:val="nil"/>
              <w:right w:val="nil"/>
            </w:tcBorders>
            <w:shd w:val="clear" w:color="000000" w:fill="EDFFB7"/>
            <w:noWrap/>
            <w:vAlign w:val="bottom"/>
          </w:tcPr>
          <w:p w14:paraId="2677BF85" w14:textId="77777777" w:rsidR="0021298F" w:rsidRPr="00AE47CC" w:rsidRDefault="0021298F" w:rsidP="00760009">
            <w:pPr>
              <w:jc w:val="right"/>
              <w:rPr>
                <w:rFonts w:ascii="Arial" w:eastAsia="Times New Roman" w:hAnsi="Arial" w:cs="Arial"/>
                <w:lang w:eastAsia="en-GB"/>
              </w:rPr>
            </w:pPr>
            <w:r w:rsidRPr="00AE47CC">
              <w:rPr>
                <w:rFonts w:ascii="Arial" w:eastAsia="Times New Roman" w:hAnsi="Arial" w:cs="Arial"/>
                <w:lang w:eastAsia="en-GB"/>
              </w:rPr>
              <w:t>4.11</w:t>
            </w:r>
          </w:p>
        </w:tc>
      </w:tr>
      <w:tr w:rsidR="0021298F" w:rsidRPr="00500322" w14:paraId="17A211D2" w14:textId="77777777" w:rsidTr="00760009">
        <w:trPr>
          <w:trHeight w:val="285"/>
        </w:trPr>
        <w:tc>
          <w:tcPr>
            <w:tcW w:w="3895" w:type="pct"/>
            <w:tcBorders>
              <w:top w:val="nil"/>
              <w:left w:val="nil"/>
              <w:bottom w:val="nil"/>
              <w:right w:val="nil"/>
            </w:tcBorders>
            <w:shd w:val="clear" w:color="auto" w:fill="auto"/>
            <w:noWrap/>
          </w:tcPr>
          <w:p w14:paraId="6C2D0352" w14:textId="77777777" w:rsidR="0021298F" w:rsidRPr="00AE47CC" w:rsidRDefault="0021298F" w:rsidP="00760009">
            <w:pPr>
              <w:jc w:val="both"/>
              <w:rPr>
                <w:rFonts w:ascii="Arial" w:eastAsia="Times New Roman" w:hAnsi="Arial" w:cs="Arial"/>
                <w:lang w:eastAsia="en-GB"/>
              </w:rPr>
            </w:pPr>
            <w:r w:rsidRPr="00AE47CC">
              <w:rPr>
                <w:rFonts w:ascii="Arial" w:hAnsi="Arial" w:cs="Arial"/>
              </w:rPr>
              <w:t>Irish Life Investment Managers</w:t>
            </w:r>
          </w:p>
        </w:tc>
        <w:tc>
          <w:tcPr>
            <w:tcW w:w="1105" w:type="pct"/>
            <w:tcBorders>
              <w:top w:val="nil"/>
              <w:left w:val="nil"/>
              <w:bottom w:val="nil"/>
              <w:right w:val="nil"/>
            </w:tcBorders>
            <w:shd w:val="clear" w:color="000000" w:fill="EDFFB7"/>
            <w:noWrap/>
            <w:vAlign w:val="bottom"/>
          </w:tcPr>
          <w:p w14:paraId="15E54559" w14:textId="77777777" w:rsidR="0021298F" w:rsidRPr="00AE47CC" w:rsidRDefault="0021298F" w:rsidP="00760009">
            <w:pPr>
              <w:jc w:val="right"/>
              <w:rPr>
                <w:rFonts w:ascii="Arial" w:eastAsia="Times New Roman" w:hAnsi="Arial" w:cs="Arial"/>
                <w:lang w:eastAsia="en-GB"/>
              </w:rPr>
            </w:pPr>
            <w:r w:rsidRPr="00AE47CC">
              <w:rPr>
                <w:rFonts w:ascii="Arial" w:eastAsia="Times New Roman" w:hAnsi="Arial" w:cs="Arial"/>
                <w:lang w:eastAsia="en-GB"/>
              </w:rPr>
              <w:t>3.56</w:t>
            </w:r>
          </w:p>
        </w:tc>
      </w:tr>
      <w:tr w:rsidR="0021298F" w:rsidRPr="00500322" w14:paraId="3220E150" w14:textId="77777777" w:rsidTr="00760009">
        <w:trPr>
          <w:trHeight w:val="285"/>
        </w:trPr>
        <w:tc>
          <w:tcPr>
            <w:tcW w:w="3895" w:type="pct"/>
            <w:tcBorders>
              <w:top w:val="nil"/>
              <w:left w:val="nil"/>
              <w:bottom w:val="nil"/>
              <w:right w:val="nil"/>
            </w:tcBorders>
            <w:shd w:val="clear" w:color="auto" w:fill="auto"/>
            <w:noWrap/>
          </w:tcPr>
          <w:p w14:paraId="3F925864" w14:textId="77777777" w:rsidR="0021298F" w:rsidRPr="00AE47CC" w:rsidDel="00F6234F" w:rsidRDefault="0021298F" w:rsidP="00760009">
            <w:pPr>
              <w:jc w:val="both"/>
              <w:rPr>
                <w:rFonts w:ascii="Arial" w:hAnsi="Arial" w:cs="Arial"/>
              </w:rPr>
            </w:pPr>
            <w:r w:rsidRPr="00AE47CC">
              <w:rPr>
                <w:rFonts w:ascii="Arial" w:hAnsi="Arial" w:cs="Arial"/>
              </w:rPr>
              <w:t>Aberdeen Standard Capital</w:t>
            </w:r>
          </w:p>
        </w:tc>
        <w:tc>
          <w:tcPr>
            <w:tcW w:w="1105" w:type="pct"/>
            <w:tcBorders>
              <w:top w:val="nil"/>
              <w:left w:val="nil"/>
              <w:bottom w:val="nil"/>
              <w:right w:val="nil"/>
            </w:tcBorders>
            <w:shd w:val="clear" w:color="000000" w:fill="EDFFB7"/>
            <w:noWrap/>
            <w:vAlign w:val="bottom"/>
          </w:tcPr>
          <w:p w14:paraId="6C55C985" w14:textId="77777777" w:rsidR="0021298F" w:rsidRPr="00AE47CC" w:rsidDel="00F6234F" w:rsidRDefault="0021298F" w:rsidP="00760009">
            <w:pPr>
              <w:jc w:val="right"/>
              <w:rPr>
                <w:rFonts w:ascii="Arial" w:eastAsia="Times New Roman" w:hAnsi="Arial" w:cs="Arial"/>
                <w:lang w:eastAsia="en-GB"/>
              </w:rPr>
            </w:pPr>
            <w:r w:rsidRPr="00AE47CC">
              <w:rPr>
                <w:rFonts w:ascii="Arial" w:eastAsia="Times New Roman" w:hAnsi="Arial" w:cs="Arial"/>
                <w:lang w:eastAsia="en-GB"/>
              </w:rPr>
              <w:t>3.49</w:t>
            </w:r>
          </w:p>
        </w:tc>
      </w:tr>
      <w:bookmarkEnd w:id="5"/>
    </w:tbl>
    <w:p w14:paraId="3270866A" w14:textId="77777777" w:rsidR="0021298F" w:rsidRPr="00500322" w:rsidRDefault="0021298F" w:rsidP="0021298F">
      <w:pPr>
        <w:jc w:val="both"/>
        <w:rPr>
          <w:rFonts w:ascii="Arial" w:eastAsia="Times New Roman" w:hAnsi="Arial" w:cs="Arial"/>
          <w:highlight w:val="yellow"/>
        </w:rPr>
      </w:pPr>
    </w:p>
    <w:p w14:paraId="21E16DDF" w14:textId="77777777" w:rsidR="0021298F" w:rsidRPr="00500322" w:rsidRDefault="0021298F" w:rsidP="0021298F">
      <w:pPr>
        <w:pStyle w:val="Heading3"/>
        <w:spacing w:before="0"/>
        <w:jc w:val="both"/>
        <w:rPr>
          <w:rFonts w:ascii="Arial" w:hAnsi="Arial" w:cs="Arial"/>
          <w:color w:val="auto"/>
        </w:rPr>
      </w:pPr>
      <w:r w:rsidRPr="00500322">
        <w:rPr>
          <w:rFonts w:ascii="Arial" w:hAnsi="Arial" w:cs="Arial"/>
          <w:color w:val="auto"/>
        </w:rPr>
        <w:t>Companies Act 2014 Disclosures</w:t>
      </w:r>
    </w:p>
    <w:p w14:paraId="6040C3ED" w14:textId="77777777" w:rsidR="0021298F" w:rsidRPr="00500322" w:rsidRDefault="0021298F" w:rsidP="0021298F">
      <w:pPr>
        <w:jc w:val="both"/>
        <w:rPr>
          <w:rFonts w:ascii="Arial" w:eastAsia="Times New Roman" w:hAnsi="Arial" w:cs="Arial"/>
        </w:rPr>
      </w:pPr>
      <w:r w:rsidRPr="00500322">
        <w:rPr>
          <w:rFonts w:ascii="Arial" w:eastAsia="Times New Roman" w:hAnsi="Arial" w:cs="Arial"/>
        </w:rPr>
        <w:t xml:space="preserve">The Directors disclose the following information: </w:t>
      </w:r>
    </w:p>
    <w:p w14:paraId="2FA9329D" w14:textId="77777777" w:rsidR="0021298F" w:rsidRPr="00500322" w:rsidRDefault="0021298F" w:rsidP="0021298F">
      <w:pPr>
        <w:jc w:val="both"/>
        <w:rPr>
          <w:rFonts w:ascii="Arial" w:eastAsia="Times New Roman" w:hAnsi="Arial" w:cs="Arial"/>
        </w:rPr>
      </w:pPr>
    </w:p>
    <w:p w14:paraId="090790DF" w14:textId="77777777" w:rsidR="0021298F" w:rsidRPr="00500322" w:rsidRDefault="0021298F" w:rsidP="0021298F">
      <w:pPr>
        <w:pStyle w:val="ListParagraph"/>
        <w:numPr>
          <w:ilvl w:val="0"/>
          <w:numId w:val="34"/>
        </w:numPr>
        <w:jc w:val="both"/>
        <w:rPr>
          <w:rFonts w:ascii="Arial" w:eastAsia="Times New Roman" w:hAnsi="Arial" w:cs="Arial"/>
        </w:rPr>
      </w:pPr>
      <w:r>
        <w:rPr>
          <w:rFonts w:ascii="Arial" w:eastAsia="Times New Roman" w:hAnsi="Arial" w:cs="Arial"/>
        </w:rPr>
        <w:t>t</w:t>
      </w:r>
      <w:r w:rsidRPr="00500322">
        <w:rPr>
          <w:rFonts w:ascii="Arial" w:eastAsia="Times New Roman" w:hAnsi="Arial" w:cs="Arial"/>
        </w:rPr>
        <w:t xml:space="preserve">he Company’s capital structure is detailed in note 15 of the consolidated financial statements and all shareholders have the same voting rights in respect of the share capital of the Company. There are no restrictions on voting rights that the Company is aware of, nor any agreement between holders of securities that result in restrictions on the transfer of securities or on voting rights; </w:t>
      </w:r>
    </w:p>
    <w:p w14:paraId="024D7AB4" w14:textId="77777777" w:rsidR="0021298F" w:rsidRPr="00500322" w:rsidRDefault="0021298F" w:rsidP="0021298F">
      <w:pPr>
        <w:pStyle w:val="ListParagraph"/>
        <w:numPr>
          <w:ilvl w:val="0"/>
          <w:numId w:val="34"/>
        </w:numPr>
        <w:jc w:val="both"/>
        <w:rPr>
          <w:rFonts w:ascii="Arial" w:eastAsia="Times New Roman" w:hAnsi="Arial" w:cs="Arial"/>
        </w:rPr>
      </w:pPr>
      <w:r>
        <w:rPr>
          <w:rFonts w:ascii="Arial" w:eastAsia="Times New Roman" w:hAnsi="Arial" w:cs="Arial"/>
        </w:rPr>
        <w:t>t</w:t>
      </w:r>
      <w:r w:rsidRPr="00500322">
        <w:rPr>
          <w:rFonts w:ascii="Arial" w:eastAsia="Times New Roman" w:hAnsi="Arial" w:cs="Arial"/>
        </w:rPr>
        <w:t>here exist no securities carrying special rights with regard to the control of the Company;</w:t>
      </w:r>
    </w:p>
    <w:p w14:paraId="71690E00" w14:textId="77777777" w:rsidR="0021298F" w:rsidRPr="00500322" w:rsidRDefault="0021298F" w:rsidP="0021298F">
      <w:pPr>
        <w:pStyle w:val="ListParagraph"/>
        <w:numPr>
          <w:ilvl w:val="0"/>
          <w:numId w:val="34"/>
        </w:numPr>
        <w:jc w:val="both"/>
        <w:rPr>
          <w:rFonts w:ascii="Arial" w:eastAsia="Times New Roman" w:hAnsi="Arial" w:cs="Arial"/>
        </w:rPr>
      </w:pPr>
      <w:r>
        <w:rPr>
          <w:rFonts w:ascii="Arial" w:eastAsia="Times New Roman" w:hAnsi="Arial" w:cs="Arial"/>
        </w:rPr>
        <w:t>t</w:t>
      </w:r>
      <w:r w:rsidRPr="00500322">
        <w:rPr>
          <w:rFonts w:ascii="Arial" w:eastAsia="Times New Roman" w:hAnsi="Arial" w:cs="Arial"/>
        </w:rPr>
        <w:t>he Company does not have an employees’ share scheme;</w:t>
      </w:r>
    </w:p>
    <w:p w14:paraId="664B0232" w14:textId="77777777" w:rsidR="0021298F" w:rsidRPr="00500322" w:rsidRDefault="0021298F" w:rsidP="0021298F">
      <w:pPr>
        <w:pStyle w:val="ListParagraph"/>
        <w:numPr>
          <w:ilvl w:val="0"/>
          <w:numId w:val="34"/>
        </w:numPr>
        <w:jc w:val="both"/>
        <w:rPr>
          <w:rFonts w:ascii="Arial" w:eastAsia="Times New Roman" w:hAnsi="Arial" w:cs="Arial"/>
        </w:rPr>
      </w:pPr>
      <w:r>
        <w:rPr>
          <w:rFonts w:ascii="Arial" w:eastAsia="Times New Roman" w:hAnsi="Arial" w:cs="Arial"/>
        </w:rPr>
        <w:t>t</w:t>
      </w:r>
      <w:r w:rsidRPr="00500322">
        <w:rPr>
          <w:rFonts w:ascii="Arial" w:eastAsia="Times New Roman" w:hAnsi="Arial" w:cs="Arial"/>
        </w:rPr>
        <w:t>he rules concerning the appointment and replacement of Directors are contained in the Company’s Articles of Association and the Companies Act 2014;</w:t>
      </w:r>
      <w:r w:rsidRPr="00500322">
        <w:t xml:space="preserve"> </w:t>
      </w:r>
    </w:p>
    <w:p w14:paraId="66A0342B" w14:textId="77777777" w:rsidR="0021298F" w:rsidRPr="00500322" w:rsidRDefault="0021298F" w:rsidP="0021298F">
      <w:pPr>
        <w:pStyle w:val="ListParagraph"/>
        <w:numPr>
          <w:ilvl w:val="0"/>
          <w:numId w:val="34"/>
        </w:numPr>
        <w:jc w:val="both"/>
        <w:rPr>
          <w:rFonts w:ascii="Arial" w:eastAsia="Times New Roman" w:hAnsi="Arial" w:cs="Arial"/>
        </w:rPr>
      </w:pPr>
      <w:r>
        <w:rPr>
          <w:rFonts w:ascii="Arial" w:eastAsia="Times New Roman" w:hAnsi="Arial" w:cs="Arial"/>
        </w:rPr>
        <w:t>t</w:t>
      </w:r>
      <w:r w:rsidRPr="00500322">
        <w:rPr>
          <w:rFonts w:ascii="Arial" w:eastAsia="Times New Roman" w:hAnsi="Arial" w:cs="Arial"/>
        </w:rPr>
        <w:t>here exist no agreements to which the Company is party that may affect its control following a takeover bid; and</w:t>
      </w:r>
    </w:p>
    <w:p w14:paraId="2AFE4710" w14:textId="77777777" w:rsidR="0021298F" w:rsidRPr="00500322" w:rsidRDefault="0021298F" w:rsidP="0021298F">
      <w:pPr>
        <w:pStyle w:val="ListParagraph"/>
        <w:numPr>
          <w:ilvl w:val="0"/>
          <w:numId w:val="34"/>
        </w:numPr>
        <w:jc w:val="both"/>
        <w:rPr>
          <w:rFonts w:ascii="Arial" w:eastAsia="Times New Roman" w:hAnsi="Arial" w:cs="Arial"/>
        </w:rPr>
      </w:pPr>
      <w:r>
        <w:rPr>
          <w:rFonts w:ascii="Arial" w:eastAsia="Times New Roman" w:hAnsi="Arial" w:cs="Arial"/>
        </w:rPr>
        <w:t>t</w:t>
      </w:r>
      <w:r w:rsidRPr="00500322">
        <w:rPr>
          <w:rFonts w:ascii="Arial" w:eastAsia="Times New Roman" w:hAnsi="Arial" w:cs="Arial"/>
        </w:rPr>
        <w:t>here exist no agreements between the Company and its Directors providing for compensation for loss of office that may occur because of a takeover bid.</w:t>
      </w:r>
    </w:p>
    <w:p w14:paraId="77F90ACC" w14:textId="77777777" w:rsidR="0021298F" w:rsidRDefault="0021298F" w:rsidP="0021298F">
      <w:pPr>
        <w:pStyle w:val="ListParagraph"/>
        <w:jc w:val="both"/>
        <w:rPr>
          <w:rFonts w:ascii="Arial" w:eastAsia="Times New Roman" w:hAnsi="Arial" w:cs="Arial"/>
          <w:highlight w:val="yellow"/>
        </w:rPr>
      </w:pPr>
    </w:p>
    <w:p w14:paraId="28203A15" w14:textId="77777777" w:rsidR="0021298F" w:rsidRPr="00500322" w:rsidRDefault="0021298F" w:rsidP="0021298F">
      <w:pPr>
        <w:jc w:val="both"/>
        <w:rPr>
          <w:rFonts w:ascii="Arial" w:eastAsiaTheme="majorEastAsia" w:hAnsi="Arial" w:cs="Arial"/>
          <w:b/>
          <w:bCs/>
        </w:rPr>
      </w:pPr>
      <w:r w:rsidRPr="00500322">
        <w:rPr>
          <w:rFonts w:ascii="Arial" w:eastAsiaTheme="majorEastAsia" w:hAnsi="Arial" w:cs="Arial"/>
          <w:b/>
          <w:bCs/>
        </w:rPr>
        <w:t>Key Performance Indicators</w:t>
      </w:r>
    </w:p>
    <w:p w14:paraId="776108C6" w14:textId="77777777" w:rsidR="0021298F" w:rsidRPr="00500322" w:rsidRDefault="0021298F" w:rsidP="0021298F">
      <w:pPr>
        <w:jc w:val="both"/>
        <w:rPr>
          <w:rFonts w:ascii="Arial" w:eastAsia="Times New Roman" w:hAnsi="Arial" w:cs="Arial"/>
        </w:rPr>
      </w:pPr>
      <w:r w:rsidRPr="00500322">
        <w:rPr>
          <w:rFonts w:ascii="Arial" w:hAnsi="Arial" w:cs="Arial"/>
        </w:rPr>
        <w:t>The Board believes that the key metrics detailed within the summary</w:t>
      </w:r>
      <w:r w:rsidRPr="0073684C">
        <w:rPr>
          <w:rFonts w:ascii="Arial" w:hAnsi="Arial" w:cs="Arial"/>
        </w:rPr>
        <w:t>,</w:t>
      </w:r>
      <w:r w:rsidRPr="00500322">
        <w:rPr>
          <w:rFonts w:ascii="Arial" w:hAnsi="Arial" w:cs="Arial"/>
        </w:rPr>
        <w:t xml:space="preserve"> which are typical for renewables infrastructure investment funds, will provide shareholders with sufficient information to assess how effectively the Group is meeting its objectives.</w:t>
      </w:r>
    </w:p>
    <w:p w14:paraId="609A8944" w14:textId="77777777" w:rsidR="0021298F" w:rsidRPr="002A7937" w:rsidRDefault="0021298F" w:rsidP="0021298F">
      <w:pPr>
        <w:jc w:val="both"/>
        <w:rPr>
          <w:rFonts w:ascii="Arial" w:eastAsia="Times New Roman" w:hAnsi="Arial" w:cs="Arial"/>
          <w:highlight w:val="yellow"/>
        </w:rPr>
      </w:pPr>
    </w:p>
    <w:p w14:paraId="2390E0ED" w14:textId="77777777" w:rsidR="0021298F" w:rsidRPr="00500322" w:rsidRDefault="0021298F" w:rsidP="0021298F">
      <w:pPr>
        <w:pStyle w:val="Heading3"/>
        <w:spacing w:before="0"/>
        <w:jc w:val="both"/>
        <w:rPr>
          <w:rFonts w:ascii="Arial" w:hAnsi="Arial" w:cs="Arial"/>
          <w:color w:val="auto"/>
        </w:rPr>
      </w:pPr>
      <w:r w:rsidRPr="00500322">
        <w:rPr>
          <w:rFonts w:ascii="Arial" w:hAnsi="Arial" w:cs="Arial"/>
          <w:color w:val="auto"/>
        </w:rPr>
        <w:t>Ongoing Charges</w:t>
      </w:r>
    </w:p>
    <w:tbl>
      <w:tblPr>
        <w:tblW w:w="4968" w:type="pct"/>
        <w:tblLayout w:type="fixed"/>
        <w:tblLook w:val="04A0" w:firstRow="1" w:lastRow="0" w:firstColumn="1" w:lastColumn="0" w:noHBand="0" w:noVBand="1"/>
      </w:tblPr>
      <w:tblGrid>
        <w:gridCol w:w="3286"/>
        <w:gridCol w:w="1284"/>
        <w:gridCol w:w="1489"/>
        <w:gridCol w:w="1245"/>
        <w:gridCol w:w="1664"/>
      </w:tblGrid>
      <w:tr w:rsidR="0021298F" w:rsidRPr="00500322" w14:paraId="2DB1D9C9" w14:textId="77777777" w:rsidTr="00760009">
        <w:trPr>
          <w:trHeight w:val="315"/>
        </w:trPr>
        <w:tc>
          <w:tcPr>
            <w:tcW w:w="1832" w:type="pct"/>
            <w:tcBorders>
              <w:bottom w:val="single" w:sz="4" w:space="0" w:color="auto"/>
            </w:tcBorders>
            <w:shd w:val="clear" w:color="auto" w:fill="auto"/>
            <w:vAlign w:val="center"/>
            <w:hideMark/>
          </w:tcPr>
          <w:p w14:paraId="0811BB2B" w14:textId="77777777" w:rsidR="0021298F" w:rsidRPr="00500322" w:rsidRDefault="0021298F" w:rsidP="00760009">
            <w:pPr>
              <w:jc w:val="both"/>
              <w:rPr>
                <w:rFonts w:ascii="Arial" w:eastAsia="Times New Roman" w:hAnsi="Arial" w:cs="Arial"/>
                <w:b/>
                <w:bCs/>
                <w:lang w:eastAsia="en-GB"/>
              </w:rPr>
            </w:pPr>
            <w:r w:rsidRPr="00500322">
              <w:rPr>
                <w:rFonts w:ascii="Arial" w:eastAsia="Times New Roman" w:hAnsi="Arial" w:cs="Arial"/>
                <w:b/>
                <w:bCs/>
                <w:lang w:eastAsia="en-GB"/>
              </w:rPr>
              <w:t> </w:t>
            </w:r>
          </w:p>
        </w:tc>
        <w:tc>
          <w:tcPr>
            <w:tcW w:w="1546" w:type="pct"/>
            <w:gridSpan w:val="2"/>
            <w:tcBorders>
              <w:bottom w:val="single" w:sz="4" w:space="0" w:color="auto"/>
            </w:tcBorders>
            <w:vAlign w:val="center"/>
          </w:tcPr>
          <w:p w14:paraId="2B4616A5" w14:textId="77777777" w:rsidR="0021298F" w:rsidRPr="00500322" w:rsidRDefault="0021298F" w:rsidP="00760009">
            <w:pPr>
              <w:jc w:val="right"/>
              <w:rPr>
                <w:rFonts w:ascii="Arial" w:eastAsia="Times New Roman" w:hAnsi="Arial" w:cs="Arial"/>
                <w:b/>
                <w:bCs/>
                <w:lang w:eastAsia="en-GB"/>
              </w:rPr>
            </w:pPr>
            <w:r>
              <w:rPr>
                <w:rFonts w:ascii="Arial" w:eastAsia="Times New Roman" w:hAnsi="Arial" w:cs="Arial"/>
                <w:b/>
                <w:bCs/>
                <w:lang w:eastAsia="en-GB"/>
              </w:rPr>
              <w:t>31 December 2020</w:t>
            </w:r>
          </w:p>
        </w:tc>
        <w:tc>
          <w:tcPr>
            <w:tcW w:w="1622" w:type="pct"/>
            <w:gridSpan w:val="2"/>
            <w:tcBorders>
              <w:bottom w:val="single" w:sz="4" w:space="0" w:color="auto"/>
            </w:tcBorders>
          </w:tcPr>
          <w:p w14:paraId="3ADF905C" w14:textId="77777777" w:rsidR="0021298F" w:rsidRPr="00500322" w:rsidRDefault="0021298F" w:rsidP="00760009">
            <w:pPr>
              <w:jc w:val="right"/>
              <w:rPr>
                <w:rFonts w:ascii="Arial" w:eastAsia="Times New Roman" w:hAnsi="Arial" w:cs="Arial"/>
                <w:b/>
                <w:bCs/>
                <w:lang w:eastAsia="en-GB"/>
              </w:rPr>
            </w:pPr>
            <w:r>
              <w:rPr>
                <w:rFonts w:ascii="Arial" w:eastAsia="Times New Roman" w:hAnsi="Arial" w:cs="Arial"/>
                <w:b/>
                <w:bCs/>
                <w:lang w:eastAsia="en-GB"/>
              </w:rPr>
              <w:t>31 December 2019</w:t>
            </w:r>
          </w:p>
        </w:tc>
      </w:tr>
      <w:tr w:rsidR="0021298F" w:rsidRPr="00500322" w14:paraId="061A0547" w14:textId="77777777" w:rsidTr="00760009">
        <w:trPr>
          <w:trHeight w:val="319"/>
        </w:trPr>
        <w:tc>
          <w:tcPr>
            <w:tcW w:w="1832" w:type="pct"/>
            <w:tcBorders>
              <w:top w:val="single" w:sz="4" w:space="0" w:color="auto"/>
            </w:tcBorders>
            <w:shd w:val="clear" w:color="000000" w:fill="FFFFFF"/>
            <w:vAlign w:val="center"/>
            <w:hideMark/>
          </w:tcPr>
          <w:p w14:paraId="1AFCCEFC" w14:textId="77777777" w:rsidR="0021298F" w:rsidRPr="00500322" w:rsidRDefault="0021298F" w:rsidP="00760009">
            <w:pPr>
              <w:jc w:val="both"/>
              <w:rPr>
                <w:rFonts w:ascii="Arial" w:eastAsia="Times New Roman" w:hAnsi="Arial" w:cs="Arial"/>
                <w:b/>
                <w:bCs/>
                <w:sz w:val="12"/>
                <w:lang w:eastAsia="en-GB"/>
              </w:rPr>
            </w:pPr>
            <w:r w:rsidRPr="00500322">
              <w:rPr>
                <w:rFonts w:ascii="Arial" w:eastAsia="Times New Roman" w:hAnsi="Arial" w:cs="Arial"/>
                <w:b/>
                <w:bCs/>
                <w:sz w:val="12"/>
                <w:lang w:eastAsia="en-GB"/>
              </w:rPr>
              <w:t> </w:t>
            </w:r>
          </w:p>
        </w:tc>
        <w:tc>
          <w:tcPr>
            <w:tcW w:w="716" w:type="pct"/>
            <w:tcBorders>
              <w:top w:val="single" w:sz="4" w:space="0" w:color="auto"/>
            </w:tcBorders>
            <w:shd w:val="clear" w:color="000000" w:fill="EDFFB7"/>
          </w:tcPr>
          <w:p w14:paraId="6F9D60A7" w14:textId="77777777" w:rsidR="0021298F" w:rsidRPr="000C1DAA" w:rsidRDefault="0021298F" w:rsidP="00760009">
            <w:pPr>
              <w:jc w:val="right"/>
              <w:rPr>
                <w:rFonts w:ascii="Arial" w:eastAsia="Times New Roman" w:hAnsi="Arial" w:cs="Arial"/>
                <w:b/>
                <w:bCs/>
                <w:lang w:eastAsia="en-GB"/>
              </w:rPr>
            </w:pPr>
            <w:r w:rsidRPr="000C1DAA">
              <w:rPr>
                <w:rFonts w:ascii="Arial" w:eastAsia="Times New Roman" w:hAnsi="Arial" w:cs="Arial"/>
                <w:b/>
                <w:bCs/>
                <w:lang w:eastAsia="en-GB"/>
              </w:rPr>
              <w:t>€000</w:t>
            </w:r>
          </w:p>
        </w:tc>
        <w:tc>
          <w:tcPr>
            <w:tcW w:w="830" w:type="pct"/>
            <w:tcBorders>
              <w:top w:val="single" w:sz="4" w:space="0" w:color="auto"/>
            </w:tcBorders>
            <w:shd w:val="clear" w:color="000000" w:fill="EDFFB7"/>
          </w:tcPr>
          <w:p w14:paraId="0391CEF9" w14:textId="77777777" w:rsidR="0021298F" w:rsidRPr="000C1DAA" w:rsidRDefault="0021298F" w:rsidP="00760009">
            <w:pPr>
              <w:jc w:val="center"/>
              <w:rPr>
                <w:rFonts w:ascii="Arial" w:eastAsia="Times New Roman" w:hAnsi="Arial" w:cs="Arial"/>
                <w:b/>
                <w:bCs/>
                <w:lang w:eastAsia="en-GB"/>
              </w:rPr>
            </w:pPr>
            <w:r w:rsidRPr="000C1DAA">
              <w:rPr>
                <w:rFonts w:ascii="Arial" w:eastAsia="Times New Roman" w:hAnsi="Arial" w:cs="Arial"/>
                <w:b/>
                <w:bCs/>
                <w:lang w:eastAsia="en-GB"/>
              </w:rPr>
              <w:t xml:space="preserve">         %</w:t>
            </w:r>
          </w:p>
        </w:tc>
        <w:tc>
          <w:tcPr>
            <w:tcW w:w="694" w:type="pct"/>
            <w:tcBorders>
              <w:top w:val="single" w:sz="4" w:space="0" w:color="auto"/>
            </w:tcBorders>
            <w:shd w:val="clear" w:color="auto" w:fill="auto"/>
          </w:tcPr>
          <w:p w14:paraId="0BBDD3F1" w14:textId="77777777" w:rsidR="0021298F" w:rsidRPr="00500322" w:rsidRDefault="0021298F" w:rsidP="00760009">
            <w:pPr>
              <w:jc w:val="right"/>
              <w:rPr>
                <w:rFonts w:ascii="Arial" w:eastAsia="Times New Roman" w:hAnsi="Arial" w:cs="Arial"/>
                <w:b/>
                <w:bCs/>
                <w:lang w:eastAsia="en-GB"/>
              </w:rPr>
            </w:pPr>
            <w:r w:rsidRPr="00500322">
              <w:rPr>
                <w:rFonts w:ascii="Arial" w:eastAsia="Times New Roman" w:hAnsi="Arial" w:cs="Arial"/>
                <w:b/>
                <w:bCs/>
                <w:lang w:eastAsia="en-GB"/>
              </w:rPr>
              <w:t>€ 000</w:t>
            </w:r>
          </w:p>
        </w:tc>
        <w:tc>
          <w:tcPr>
            <w:tcW w:w="928" w:type="pct"/>
            <w:tcBorders>
              <w:top w:val="single" w:sz="4" w:space="0" w:color="auto"/>
            </w:tcBorders>
            <w:shd w:val="clear" w:color="auto" w:fill="auto"/>
            <w:noWrap/>
            <w:hideMark/>
          </w:tcPr>
          <w:p w14:paraId="0C7881D8" w14:textId="77777777" w:rsidR="0021298F" w:rsidRPr="00500322" w:rsidRDefault="0021298F" w:rsidP="00760009">
            <w:pPr>
              <w:jc w:val="right"/>
              <w:rPr>
                <w:rFonts w:ascii="Arial" w:eastAsia="Times New Roman" w:hAnsi="Arial" w:cs="Arial"/>
                <w:b/>
                <w:bCs/>
                <w:lang w:eastAsia="en-GB"/>
              </w:rPr>
            </w:pPr>
            <w:r w:rsidRPr="00500322">
              <w:rPr>
                <w:rFonts w:ascii="Arial" w:eastAsia="Times New Roman" w:hAnsi="Arial" w:cs="Arial"/>
                <w:b/>
                <w:bCs/>
                <w:lang w:eastAsia="en-GB"/>
              </w:rPr>
              <w:t xml:space="preserve">% </w:t>
            </w:r>
          </w:p>
        </w:tc>
      </w:tr>
      <w:tr w:rsidR="0021298F" w:rsidRPr="00500322" w14:paraId="1861ABE9" w14:textId="77777777" w:rsidTr="00760009">
        <w:trPr>
          <w:trHeight w:val="297"/>
        </w:trPr>
        <w:tc>
          <w:tcPr>
            <w:tcW w:w="1832" w:type="pct"/>
            <w:shd w:val="clear" w:color="000000" w:fill="FFFFFF"/>
            <w:hideMark/>
          </w:tcPr>
          <w:p w14:paraId="2F49250C" w14:textId="77777777" w:rsidR="0021298F" w:rsidRPr="00500322" w:rsidRDefault="0021298F" w:rsidP="00760009">
            <w:pPr>
              <w:jc w:val="both"/>
              <w:rPr>
                <w:rFonts w:ascii="Arial" w:eastAsia="Times New Roman" w:hAnsi="Arial" w:cs="Arial"/>
                <w:lang w:eastAsia="en-GB"/>
              </w:rPr>
            </w:pPr>
            <w:r w:rsidRPr="00382C2F">
              <w:rPr>
                <w:rFonts w:ascii="Arial" w:eastAsia="Times New Roman" w:hAnsi="Arial" w:cs="Arial"/>
                <w:lang w:eastAsia="en-GB"/>
              </w:rPr>
              <w:t xml:space="preserve">Management fee </w:t>
            </w:r>
          </w:p>
        </w:tc>
        <w:tc>
          <w:tcPr>
            <w:tcW w:w="716" w:type="pct"/>
            <w:shd w:val="clear" w:color="000000" w:fill="EDFFB7"/>
          </w:tcPr>
          <w:p w14:paraId="241F164D" w14:textId="77777777" w:rsidR="0021298F" w:rsidRPr="001E64E0" w:rsidRDefault="0021298F" w:rsidP="00760009">
            <w:pPr>
              <w:jc w:val="right"/>
              <w:rPr>
                <w:rFonts w:ascii="Arial" w:eastAsia="Times New Roman" w:hAnsi="Arial" w:cs="Arial"/>
                <w:highlight w:val="yellow"/>
                <w:lang w:eastAsia="en-GB"/>
              </w:rPr>
            </w:pPr>
            <w:r w:rsidRPr="000C1DAA">
              <w:rPr>
                <w:rFonts w:ascii="Arial" w:eastAsia="Times New Roman" w:hAnsi="Arial" w:cs="Arial"/>
                <w:lang w:eastAsia="en-GB"/>
              </w:rPr>
              <w:t>6,522</w:t>
            </w:r>
          </w:p>
        </w:tc>
        <w:tc>
          <w:tcPr>
            <w:tcW w:w="830" w:type="pct"/>
            <w:shd w:val="clear" w:color="000000" w:fill="EDFFB7"/>
          </w:tcPr>
          <w:p w14:paraId="57A752C0" w14:textId="77777777" w:rsidR="0021298F" w:rsidRPr="001E64E0" w:rsidRDefault="0021298F" w:rsidP="00760009">
            <w:pPr>
              <w:jc w:val="right"/>
              <w:rPr>
                <w:rFonts w:ascii="Arial" w:eastAsia="Times New Roman" w:hAnsi="Arial" w:cs="Arial"/>
                <w:highlight w:val="yellow"/>
                <w:lang w:eastAsia="en-GB"/>
              </w:rPr>
            </w:pPr>
            <w:r w:rsidRPr="000C1DAA">
              <w:rPr>
                <w:rFonts w:ascii="Arial" w:eastAsia="Times New Roman" w:hAnsi="Arial" w:cs="Arial"/>
                <w:lang w:eastAsia="en-GB"/>
              </w:rPr>
              <w:t>1.00</w:t>
            </w:r>
            <w:r>
              <w:rPr>
                <w:rFonts w:ascii="Arial" w:eastAsia="Times New Roman" w:hAnsi="Arial" w:cs="Arial"/>
                <w:lang w:eastAsia="en-GB"/>
              </w:rPr>
              <w:t>%</w:t>
            </w:r>
          </w:p>
        </w:tc>
        <w:tc>
          <w:tcPr>
            <w:tcW w:w="694" w:type="pct"/>
            <w:shd w:val="clear" w:color="auto" w:fill="auto"/>
          </w:tcPr>
          <w:p w14:paraId="491E743B" w14:textId="77777777" w:rsidR="0021298F" w:rsidRPr="00500322" w:rsidRDefault="0021298F" w:rsidP="00760009">
            <w:pPr>
              <w:jc w:val="right"/>
              <w:rPr>
                <w:rFonts w:ascii="Arial" w:eastAsia="Times New Roman" w:hAnsi="Arial" w:cs="Arial"/>
                <w:b/>
                <w:bCs/>
                <w:lang w:eastAsia="en-GB"/>
              </w:rPr>
            </w:pPr>
            <w:r>
              <w:rPr>
                <w:rFonts w:ascii="Arial" w:eastAsia="Times New Roman" w:hAnsi="Arial" w:cs="Arial"/>
                <w:lang w:eastAsia="en-GB"/>
              </w:rPr>
              <w:t>5,221</w:t>
            </w:r>
          </w:p>
        </w:tc>
        <w:tc>
          <w:tcPr>
            <w:tcW w:w="928" w:type="pct"/>
            <w:shd w:val="clear" w:color="auto" w:fill="auto"/>
            <w:noWrap/>
          </w:tcPr>
          <w:p w14:paraId="305DC52A" w14:textId="77777777" w:rsidR="0021298F" w:rsidRPr="00500322" w:rsidRDefault="0021298F" w:rsidP="00760009">
            <w:pPr>
              <w:jc w:val="right"/>
              <w:rPr>
                <w:rFonts w:ascii="Arial" w:eastAsia="Times New Roman" w:hAnsi="Arial" w:cs="Arial"/>
                <w:b/>
                <w:bCs/>
                <w:lang w:eastAsia="en-GB"/>
              </w:rPr>
            </w:pPr>
            <w:r w:rsidRPr="00224BC3">
              <w:rPr>
                <w:rFonts w:ascii="Arial" w:eastAsia="Times New Roman" w:hAnsi="Arial" w:cs="Arial"/>
                <w:lang w:eastAsia="en-GB"/>
              </w:rPr>
              <w:t>1.00%</w:t>
            </w:r>
          </w:p>
        </w:tc>
      </w:tr>
      <w:tr w:rsidR="0021298F" w:rsidRPr="00500322" w14:paraId="18955BF6" w14:textId="77777777" w:rsidTr="00760009">
        <w:trPr>
          <w:trHeight w:val="298"/>
        </w:trPr>
        <w:tc>
          <w:tcPr>
            <w:tcW w:w="1832" w:type="pct"/>
            <w:shd w:val="clear" w:color="000000" w:fill="FFFFFF"/>
            <w:hideMark/>
          </w:tcPr>
          <w:p w14:paraId="760CC057" w14:textId="77777777" w:rsidR="0021298F" w:rsidRPr="00500322" w:rsidRDefault="0021298F" w:rsidP="00760009">
            <w:pPr>
              <w:jc w:val="both"/>
              <w:rPr>
                <w:rFonts w:ascii="Arial" w:eastAsia="Times New Roman" w:hAnsi="Arial" w:cs="Arial"/>
                <w:lang w:eastAsia="en-GB"/>
              </w:rPr>
            </w:pPr>
            <w:r w:rsidRPr="00382C2F">
              <w:rPr>
                <w:rFonts w:ascii="Arial" w:eastAsia="Times New Roman" w:hAnsi="Arial" w:cs="Arial"/>
                <w:lang w:eastAsia="en-GB"/>
              </w:rPr>
              <w:t>Directors' fees</w:t>
            </w:r>
          </w:p>
        </w:tc>
        <w:tc>
          <w:tcPr>
            <w:tcW w:w="716" w:type="pct"/>
            <w:shd w:val="clear" w:color="000000" w:fill="EDFFB7"/>
          </w:tcPr>
          <w:p w14:paraId="623BBA5F" w14:textId="77777777" w:rsidR="0021298F" w:rsidRPr="001E64E0" w:rsidRDefault="0021298F" w:rsidP="00760009">
            <w:pPr>
              <w:jc w:val="right"/>
              <w:rPr>
                <w:rFonts w:ascii="Arial" w:eastAsia="Times New Roman" w:hAnsi="Arial" w:cs="Arial"/>
                <w:highlight w:val="yellow"/>
                <w:lang w:eastAsia="en-GB"/>
              </w:rPr>
            </w:pPr>
            <w:r w:rsidRPr="000C1DAA">
              <w:rPr>
                <w:rFonts w:ascii="Arial" w:eastAsia="Times New Roman" w:hAnsi="Arial" w:cs="Arial"/>
                <w:lang w:eastAsia="en-GB"/>
              </w:rPr>
              <w:t>254</w:t>
            </w:r>
          </w:p>
        </w:tc>
        <w:tc>
          <w:tcPr>
            <w:tcW w:w="830" w:type="pct"/>
            <w:shd w:val="clear" w:color="000000" w:fill="EDFFB7"/>
            <w:vAlign w:val="center"/>
          </w:tcPr>
          <w:p w14:paraId="2869B697" w14:textId="77777777" w:rsidR="0021298F" w:rsidRPr="001E64E0" w:rsidRDefault="0021298F" w:rsidP="00760009">
            <w:pPr>
              <w:jc w:val="right"/>
              <w:rPr>
                <w:rFonts w:ascii="Arial" w:eastAsia="Times New Roman" w:hAnsi="Arial" w:cs="Arial"/>
                <w:highlight w:val="yellow"/>
                <w:lang w:eastAsia="en-GB"/>
              </w:rPr>
            </w:pPr>
            <w:r w:rsidRPr="000C1DAA">
              <w:rPr>
                <w:rFonts w:ascii="Arial" w:eastAsia="Times New Roman" w:hAnsi="Arial" w:cs="Arial"/>
                <w:lang w:eastAsia="en-GB"/>
              </w:rPr>
              <w:t>0.04%</w:t>
            </w:r>
          </w:p>
        </w:tc>
        <w:tc>
          <w:tcPr>
            <w:tcW w:w="694" w:type="pct"/>
            <w:shd w:val="clear" w:color="auto" w:fill="auto"/>
          </w:tcPr>
          <w:p w14:paraId="7A8E7DCB" w14:textId="77777777" w:rsidR="0021298F" w:rsidRPr="00500322" w:rsidRDefault="0021298F" w:rsidP="00760009">
            <w:pPr>
              <w:jc w:val="right"/>
              <w:rPr>
                <w:rFonts w:ascii="Arial" w:eastAsia="Times New Roman" w:hAnsi="Arial" w:cs="Arial"/>
                <w:b/>
                <w:bCs/>
                <w:lang w:eastAsia="en-GB"/>
              </w:rPr>
            </w:pPr>
            <w:r>
              <w:rPr>
                <w:rFonts w:ascii="Arial" w:eastAsia="Times New Roman" w:hAnsi="Arial" w:cs="Arial"/>
                <w:lang w:eastAsia="en-GB"/>
              </w:rPr>
              <w:t>200</w:t>
            </w:r>
          </w:p>
        </w:tc>
        <w:tc>
          <w:tcPr>
            <w:tcW w:w="928" w:type="pct"/>
            <w:shd w:val="clear" w:color="auto" w:fill="auto"/>
            <w:noWrap/>
            <w:vAlign w:val="center"/>
          </w:tcPr>
          <w:p w14:paraId="477CC4C4" w14:textId="77777777" w:rsidR="0021298F" w:rsidRPr="00500322" w:rsidRDefault="0021298F" w:rsidP="00760009">
            <w:pPr>
              <w:jc w:val="right"/>
              <w:rPr>
                <w:rFonts w:ascii="Arial" w:eastAsia="Times New Roman" w:hAnsi="Arial" w:cs="Arial"/>
                <w:b/>
                <w:bCs/>
                <w:lang w:eastAsia="en-GB"/>
              </w:rPr>
            </w:pPr>
            <w:r>
              <w:rPr>
                <w:rFonts w:ascii="Arial" w:eastAsia="Times New Roman" w:hAnsi="Arial" w:cs="Arial"/>
                <w:lang w:eastAsia="en-GB"/>
              </w:rPr>
              <w:t>0.04%</w:t>
            </w:r>
          </w:p>
        </w:tc>
      </w:tr>
      <w:tr w:rsidR="0021298F" w:rsidRPr="00500322" w14:paraId="473F921B" w14:textId="77777777" w:rsidTr="00760009">
        <w:trPr>
          <w:trHeight w:val="298"/>
        </w:trPr>
        <w:tc>
          <w:tcPr>
            <w:tcW w:w="1832" w:type="pct"/>
            <w:tcBorders>
              <w:bottom w:val="single" w:sz="4" w:space="0" w:color="auto"/>
            </w:tcBorders>
            <w:shd w:val="clear" w:color="000000" w:fill="FFFFFF"/>
            <w:vAlign w:val="center"/>
            <w:hideMark/>
          </w:tcPr>
          <w:p w14:paraId="34F5AE28" w14:textId="77777777" w:rsidR="0021298F" w:rsidRPr="00500322" w:rsidRDefault="0021298F" w:rsidP="00760009">
            <w:pPr>
              <w:jc w:val="both"/>
              <w:rPr>
                <w:rFonts w:ascii="Arial" w:eastAsia="Times New Roman" w:hAnsi="Arial" w:cs="Arial"/>
                <w:lang w:eastAsia="en-GB"/>
              </w:rPr>
            </w:pPr>
            <w:r w:rsidRPr="00382C2F">
              <w:rPr>
                <w:rFonts w:ascii="Arial" w:eastAsia="Times New Roman" w:hAnsi="Arial" w:cs="Arial"/>
                <w:lang w:eastAsia="en-GB"/>
              </w:rPr>
              <w:t>Ongoing expenses</w:t>
            </w:r>
            <w:r w:rsidRPr="00382C2F">
              <w:rPr>
                <w:rFonts w:ascii="Arial" w:eastAsia="Times New Roman" w:hAnsi="Arial" w:cs="Arial"/>
                <w:vertAlign w:val="superscript"/>
                <w:lang w:eastAsia="en-GB"/>
              </w:rPr>
              <w:t xml:space="preserve"> (1)</w:t>
            </w:r>
          </w:p>
        </w:tc>
        <w:tc>
          <w:tcPr>
            <w:tcW w:w="716" w:type="pct"/>
            <w:tcBorders>
              <w:bottom w:val="single" w:sz="4" w:space="0" w:color="auto"/>
            </w:tcBorders>
            <w:shd w:val="clear" w:color="000000" w:fill="EDFFB7"/>
          </w:tcPr>
          <w:p w14:paraId="5026FA70" w14:textId="77777777" w:rsidR="0021298F" w:rsidRPr="001E64E0" w:rsidRDefault="0021298F" w:rsidP="00760009">
            <w:pPr>
              <w:jc w:val="right"/>
              <w:rPr>
                <w:rFonts w:ascii="Arial" w:eastAsia="Times New Roman" w:hAnsi="Arial" w:cs="Arial"/>
                <w:highlight w:val="yellow"/>
                <w:lang w:eastAsia="en-GB"/>
              </w:rPr>
            </w:pPr>
            <w:r>
              <w:rPr>
                <w:rFonts w:ascii="Arial" w:eastAsia="Times New Roman" w:hAnsi="Arial" w:cs="Arial"/>
                <w:lang w:eastAsia="en-GB"/>
              </w:rPr>
              <w:t>1,382</w:t>
            </w:r>
          </w:p>
        </w:tc>
        <w:tc>
          <w:tcPr>
            <w:tcW w:w="830" w:type="pct"/>
            <w:tcBorders>
              <w:bottom w:val="single" w:sz="4" w:space="0" w:color="auto"/>
            </w:tcBorders>
            <w:shd w:val="clear" w:color="000000" w:fill="EDFFB7"/>
            <w:vAlign w:val="center"/>
          </w:tcPr>
          <w:p w14:paraId="02628697" w14:textId="77777777" w:rsidR="0021298F" w:rsidRPr="000C1DAA" w:rsidRDefault="0021298F" w:rsidP="00760009">
            <w:pPr>
              <w:jc w:val="right"/>
              <w:rPr>
                <w:rFonts w:ascii="Arial" w:eastAsia="Times New Roman" w:hAnsi="Arial" w:cs="Arial"/>
                <w:lang w:eastAsia="en-GB"/>
              </w:rPr>
            </w:pPr>
            <w:r w:rsidRPr="000C1DAA">
              <w:rPr>
                <w:rFonts w:ascii="Arial" w:eastAsia="Times New Roman" w:hAnsi="Arial" w:cs="Arial"/>
                <w:lang w:eastAsia="en-GB"/>
              </w:rPr>
              <w:t>0.</w:t>
            </w:r>
            <w:r>
              <w:rPr>
                <w:rFonts w:ascii="Arial" w:eastAsia="Times New Roman" w:hAnsi="Arial" w:cs="Arial"/>
                <w:lang w:eastAsia="en-GB"/>
              </w:rPr>
              <w:t>21</w:t>
            </w:r>
            <w:r w:rsidRPr="000C1DAA">
              <w:rPr>
                <w:rFonts w:ascii="Arial" w:eastAsia="Times New Roman" w:hAnsi="Arial" w:cs="Arial"/>
                <w:lang w:eastAsia="en-GB"/>
              </w:rPr>
              <w:t>%</w:t>
            </w:r>
          </w:p>
        </w:tc>
        <w:tc>
          <w:tcPr>
            <w:tcW w:w="694" w:type="pct"/>
            <w:tcBorders>
              <w:bottom w:val="single" w:sz="4" w:space="0" w:color="auto"/>
            </w:tcBorders>
            <w:shd w:val="clear" w:color="auto" w:fill="auto"/>
          </w:tcPr>
          <w:p w14:paraId="18D1F18D" w14:textId="77777777" w:rsidR="0021298F" w:rsidRPr="00500322" w:rsidRDefault="0021298F" w:rsidP="00760009">
            <w:pPr>
              <w:jc w:val="right"/>
              <w:rPr>
                <w:rFonts w:ascii="Arial" w:eastAsia="Times New Roman" w:hAnsi="Arial" w:cs="Arial"/>
                <w:b/>
                <w:bCs/>
                <w:lang w:eastAsia="en-GB"/>
              </w:rPr>
            </w:pPr>
            <w:r>
              <w:rPr>
                <w:rFonts w:ascii="Arial" w:eastAsia="Times New Roman" w:hAnsi="Arial" w:cs="Arial"/>
                <w:lang w:eastAsia="en-GB"/>
              </w:rPr>
              <w:t>1,176</w:t>
            </w:r>
          </w:p>
        </w:tc>
        <w:tc>
          <w:tcPr>
            <w:tcW w:w="928" w:type="pct"/>
            <w:tcBorders>
              <w:bottom w:val="single" w:sz="4" w:space="0" w:color="auto"/>
            </w:tcBorders>
            <w:shd w:val="clear" w:color="auto" w:fill="auto"/>
            <w:noWrap/>
            <w:vAlign w:val="center"/>
          </w:tcPr>
          <w:p w14:paraId="492C6586" w14:textId="77777777" w:rsidR="0021298F" w:rsidRPr="00500322" w:rsidRDefault="0021298F" w:rsidP="00760009">
            <w:pPr>
              <w:jc w:val="right"/>
              <w:rPr>
                <w:rFonts w:ascii="Arial" w:eastAsia="Times New Roman" w:hAnsi="Arial" w:cs="Arial"/>
                <w:b/>
                <w:bCs/>
                <w:lang w:eastAsia="en-GB"/>
              </w:rPr>
            </w:pPr>
            <w:r>
              <w:rPr>
                <w:rFonts w:ascii="Arial" w:eastAsia="Times New Roman" w:hAnsi="Arial" w:cs="Arial"/>
                <w:lang w:eastAsia="en-GB"/>
              </w:rPr>
              <w:t>0.21%</w:t>
            </w:r>
          </w:p>
        </w:tc>
      </w:tr>
      <w:tr w:rsidR="0021298F" w:rsidRPr="00500322" w14:paraId="25D4F112" w14:textId="77777777" w:rsidTr="00760009">
        <w:trPr>
          <w:trHeight w:val="331"/>
        </w:trPr>
        <w:tc>
          <w:tcPr>
            <w:tcW w:w="1832" w:type="pct"/>
            <w:tcBorders>
              <w:top w:val="single" w:sz="4" w:space="0" w:color="auto"/>
              <w:bottom w:val="single" w:sz="4" w:space="0" w:color="auto"/>
            </w:tcBorders>
            <w:shd w:val="clear" w:color="000000" w:fill="FFFFFF"/>
            <w:vAlign w:val="center"/>
            <w:hideMark/>
          </w:tcPr>
          <w:p w14:paraId="6CD4FA23" w14:textId="77777777" w:rsidR="0021298F" w:rsidRPr="00500322" w:rsidRDefault="0021298F" w:rsidP="00760009">
            <w:pPr>
              <w:jc w:val="both"/>
              <w:rPr>
                <w:rFonts w:ascii="Arial" w:eastAsia="Times New Roman" w:hAnsi="Arial" w:cs="Arial"/>
                <w:b/>
                <w:bCs/>
                <w:lang w:eastAsia="en-GB"/>
              </w:rPr>
            </w:pPr>
            <w:r w:rsidRPr="00382C2F">
              <w:rPr>
                <w:rFonts w:ascii="Arial" w:eastAsia="Times New Roman" w:hAnsi="Arial" w:cs="Arial"/>
                <w:b/>
                <w:bCs/>
                <w:lang w:eastAsia="en-GB"/>
              </w:rPr>
              <w:t>Total</w:t>
            </w:r>
          </w:p>
        </w:tc>
        <w:tc>
          <w:tcPr>
            <w:tcW w:w="716" w:type="pct"/>
            <w:tcBorders>
              <w:top w:val="single" w:sz="4" w:space="0" w:color="auto"/>
              <w:bottom w:val="single" w:sz="4" w:space="0" w:color="auto"/>
            </w:tcBorders>
            <w:shd w:val="clear" w:color="000000" w:fill="EDFFB7"/>
          </w:tcPr>
          <w:p w14:paraId="418CF2DF" w14:textId="77777777" w:rsidR="0021298F" w:rsidRPr="001E64E0" w:rsidRDefault="0021298F" w:rsidP="00760009">
            <w:pPr>
              <w:jc w:val="right"/>
              <w:rPr>
                <w:rFonts w:ascii="Arial" w:eastAsia="Times New Roman" w:hAnsi="Arial" w:cs="Arial"/>
                <w:b/>
                <w:highlight w:val="yellow"/>
                <w:lang w:eastAsia="en-GB"/>
              </w:rPr>
            </w:pPr>
            <w:r w:rsidRPr="000C1DAA">
              <w:rPr>
                <w:rFonts w:ascii="Arial" w:eastAsia="Times New Roman" w:hAnsi="Arial" w:cs="Arial"/>
                <w:b/>
                <w:lang w:eastAsia="en-GB"/>
              </w:rPr>
              <w:t>8,</w:t>
            </w:r>
            <w:r>
              <w:rPr>
                <w:rFonts w:ascii="Arial" w:eastAsia="Times New Roman" w:hAnsi="Arial" w:cs="Arial"/>
                <w:b/>
                <w:lang w:eastAsia="en-GB"/>
              </w:rPr>
              <w:t>158</w:t>
            </w:r>
          </w:p>
        </w:tc>
        <w:tc>
          <w:tcPr>
            <w:tcW w:w="830" w:type="pct"/>
            <w:tcBorders>
              <w:top w:val="single" w:sz="4" w:space="0" w:color="auto"/>
              <w:bottom w:val="single" w:sz="4" w:space="0" w:color="auto"/>
            </w:tcBorders>
            <w:shd w:val="clear" w:color="000000" w:fill="EDFFB7"/>
            <w:vAlign w:val="center"/>
          </w:tcPr>
          <w:p w14:paraId="574E2D0D" w14:textId="77777777" w:rsidR="0021298F" w:rsidRPr="0054498D" w:rsidRDefault="0021298F" w:rsidP="00760009">
            <w:pPr>
              <w:jc w:val="right"/>
              <w:rPr>
                <w:rFonts w:ascii="Arial" w:eastAsia="Times New Roman" w:hAnsi="Arial" w:cs="Arial"/>
                <w:b/>
                <w:highlight w:val="yellow"/>
                <w:lang w:eastAsia="en-GB"/>
              </w:rPr>
            </w:pPr>
            <w:r w:rsidRPr="000C1DAA">
              <w:rPr>
                <w:rFonts w:ascii="Arial" w:eastAsia="Times New Roman" w:hAnsi="Arial" w:cs="Arial"/>
                <w:b/>
                <w:lang w:eastAsia="en-GB"/>
              </w:rPr>
              <w:t>1.2</w:t>
            </w:r>
            <w:r>
              <w:rPr>
                <w:rFonts w:ascii="Arial" w:eastAsia="Times New Roman" w:hAnsi="Arial" w:cs="Arial"/>
                <w:b/>
                <w:lang w:eastAsia="en-GB"/>
              </w:rPr>
              <w:t>4</w:t>
            </w:r>
            <w:r w:rsidRPr="000C1DAA">
              <w:rPr>
                <w:rFonts w:ascii="Arial" w:eastAsia="Times New Roman" w:hAnsi="Arial" w:cs="Arial"/>
                <w:b/>
                <w:lang w:eastAsia="en-GB"/>
              </w:rPr>
              <w:t>%</w:t>
            </w:r>
          </w:p>
        </w:tc>
        <w:tc>
          <w:tcPr>
            <w:tcW w:w="694" w:type="pct"/>
            <w:tcBorders>
              <w:top w:val="single" w:sz="4" w:space="0" w:color="auto"/>
              <w:bottom w:val="single" w:sz="4" w:space="0" w:color="auto"/>
            </w:tcBorders>
            <w:shd w:val="clear" w:color="auto" w:fill="auto"/>
          </w:tcPr>
          <w:p w14:paraId="6D2335F8" w14:textId="77777777" w:rsidR="0021298F" w:rsidRPr="00500322" w:rsidRDefault="0021298F" w:rsidP="00760009">
            <w:pPr>
              <w:jc w:val="right"/>
              <w:rPr>
                <w:rFonts w:ascii="Arial" w:eastAsia="Times New Roman" w:hAnsi="Arial" w:cs="Arial"/>
                <w:b/>
                <w:bCs/>
                <w:lang w:eastAsia="en-GB"/>
              </w:rPr>
            </w:pPr>
            <w:r>
              <w:rPr>
                <w:rFonts w:ascii="Arial" w:eastAsia="Times New Roman" w:hAnsi="Arial" w:cs="Arial"/>
                <w:b/>
                <w:lang w:eastAsia="en-GB"/>
              </w:rPr>
              <w:t>6,597</w:t>
            </w:r>
          </w:p>
        </w:tc>
        <w:tc>
          <w:tcPr>
            <w:tcW w:w="928" w:type="pct"/>
            <w:tcBorders>
              <w:top w:val="single" w:sz="4" w:space="0" w:color="auto"/>
              <w:bottom w:val="single" w:sz="4" w:space="0" w:color="auto"/>
            </w:tcBorders>
            <w:shd w:val="clear" w:color="auto" w:fill="auto"/>
            <w:noWrap/>
            <w:vAlign w:val="center"/>
          </w:tcPr>
          <w:p w14:paraId="7ADA5AA9" w14:textId="77777777" w:rsidR="0021298F" w:rsidRPr="00500322" w:rsidRDefault="0021298F" w:rsidP="00760009">
            <w:pPr>
              <w:jc w:val="right"/>
              <w:rPr>
                <w:rFonts w:ascii="Arial" w:eastAsia="Times New Roman" w:hAnsi="Arial" w:cs="Arial"/>
                <w:b/>
                <w:bCs/>
                <w:lang w:eastAsia="en-GB"/>
              </w:rPr>
            </w:pPr>
            <w:r w:rsidRPr="00224BC3">
              <w:rPr>
                <w:rFonts w:ascii="Arial" w:eastAsia="Times New Roman" w:hAnsi="Arial" w:cs="Arial"/>
                <w:b/>
                <w:lang w:eastAsia="en-GB"/>
              </w:rPr>
              <w:t>1</w:t>
            </w:r>
            <w:r>
              <w:rPr>
                <w:rFonts w:ascii="Arial" w:eastAsia="Times New Roman" w:hAnsi="Arial" w:cs="Arial"/>
                <w:b/>
                <w:lang w:eastAsia="en-GB"/>
              </w:rPr>
              <w:t>.25%</w:t>
            </w:r>
          </w:p>
        </w:tc>
      </w:tr>
      <w:tr w:rsidR="0021298F" w:rsidRPr="00500322" w14:paraId="4120E6D0" w14:textId="77777777" w:rsidTr="00760009">
        <w:trPr>
          <w:trHeight w:val="331"/>
        </w:trPr>
        <w:tc>
          <w:tcPr>
            <w:tcW w:w="1832" w:type="pct"/>
            <w:tcBorders>
              <w:top w:val="single" w:sz="4" w:space="0" w:color="auto"/>
            </w:tcBorders>
            <w:shd w:val="clear" w:color="000000" w:fill="FFFFFF"/>
            <w:vAlign w:val="center"/>
          </w:tcPr>
          <w:p w14:paraId="7530F3C3" w14:textId="77777777" w:rsidR="0021298F" w:rsidRPr="00382C2F" w:rsidRDefault="0021298F" w:rsidP="00760009">
            <w:pPr>
              <w:jc w:val="both"/>
              <w:rPr>
                <w:rFonts w:ascii="Arial" w:eastAsia="Times New Roman" w:hAnsi="Arial" w:cs="Arial"/>
                <w:b/>
                <w:bCs/>
                <w:highlight w:val="yellow"/>
                <w:lang w:eastAsia="en-GB"/>
              </w:rPr>
            </w:pPr>
            <w:r w:rsidRPr="00382C2F">
              <w:rPr>
                <w:rFonts w:ascii="Arial" w:eastAsia="Times New Roman" w:hAnsi="Arial" w:cs="Arial"/>
                <w:b/>
                <w:bCs/>
                <w:lang w:eastAsia="en-GB"/>
              </w:rPr>
              <w:t>Weighted Average NAV</w:t>
            </w:r>
          </w:p>
        </w:tc>
        <w:tc>
          <w:tcPr>
            <w:tcW w:w="716" w:type="pct"/>
            <w:tcBorders>
              <w:top w:val="single" w:sz="4" w:space="0" w:color="auto"/>
            </w:tcBorders>
            <w:shd w:val="clear" w:color="000000" w:fill="EDFFB7"/>
          </w:tcPr>
          <w:p w14:paraId="720470D4" w14:textId="77777777" w:rsidR="0021298F" w:rsidRPr="0054498D" w:rsidRDefault="0021298F" w:rsidP="00760009">
            <w:pPr>
              <w:jc w:val="right"/>
              <w:rPr>
                <w:rFonts w:ascii="Arial" w:eastAsia="Times New Roman" w:hAnsi="Arial" w:cs="Arial"/>
                <w:b/>
                <w:highlight w:val="yellow"/>
                <w:lang w:eastAsia="en-GB"/>
              </w:rPr>
            </w:pPr>
            <w:r w:rsidRPr="00A656DD">
              <w:rPr>
                <w:rFonts w:ascii="Arial" w:eastAsia="Times New Roman" w:hAnsi="Arial" w:cs="Arial"/>
                <w:b/>
                <w:lang w:eastAsia="en-GB"/>
              </w:rPr>
              <w:t>651,082</w:t>
            </w:r>
          </w:p>
        </w:tc>
        <w:tc>
          <w:tcPr>
            <w:tcW w:w="830" w:type="pct"/>
            <w:tcBorders>
              <w:top w:val="single" w:sz="4" w:space="0" w:color="auto"/>
            </w:tcBorders>
            <w:shd w:val="clear" w:color="000000" w:fill="EDFFB7"/>
            <w:vAlign w:val="center"/>
          </w:tcPr>
          <w:p w14:paraId="2F6971EC" w14:textId="77777777" w:rsidR="0021298F" w:rsidRPr="0054498D" w:rsidRDefault="0021298F" w:rsidP="00760009">
            <w:pPr>
              <w:jc w:val="right"/>
              <w:rPr>
                <w:rFonts w:ascii="Arial" w:eastAsia="Times New Roman" w:hAnsi="Arial" w:cs="Arial"/>
                <w:b/>
                <w:highlight w:val="yellow"/>
                <w:lang w:eastAsia="en-GB"/>
              </w:rPr>
            </w:pPr>
          </w:p>
        </w:tc>
        <w:tc>
          <w:tcPr>
            <w:tcW w:w="694" w:type="pct"/>
            <w:tcBorders>
              <w:top w:val="single" w:sz="4" w:space="0" w:color="auto"/>
            </w:tcBorders>
            <w:shd w:val="clear" w:color="auto" w:fill="auto"/>
          </w:tcPr>
          <w:p w14:paraId="7B443CC7" w14:textId="77777777" w:rsidR="0021298F" w:rsidRPr="00500322" w:rsidRDefault="0021298F" w:rsidP="00760009">
            <w:pPr>
              <w:jc w:val="right"/>
              <w:rPr>
                <w:rFonts w:ascii="Arial" w:eastAsia="Times New Roman" w:hAnsi="Arial" w:cs="Arial"/>
                <w:b/>
                <w:bCs/>
                <w:highlight w:val="yellow"/>
                <w:lang w:eastAsia="en-GB"/>
              </w:rPr>
            </w:pPr>
            <w:r>
              <w:rPr>
                <w:rFonts w:ascii="Arial" w:eastAsia="Times New Roman" w:hAnsi="Arial" w:cs="Arial"/>
                <w:b/>
                <w:lang w:eastAsia="en-GB"/>
              </w:rPr>
              <w:t>524,558</w:t>
            </w:r>
          </w:p>
        </w:tc>
        <w:tc>
          <w:tcPr>
            <w:tcW w:w="928" w:type="pct"/>
            <w:tcBorders>
              <w:top w:val="single" w:sz="4" w:space="0" w:color="auto"/>
            </w:tcBorders>
            <w:shd w:val="clear" w:color="auto" w:fill="auto"/>
            <w:noWrap/>
            <w:vAlign w:val="center"/>
          </w:tcPr>
          <w:p w14:paraId="03DC9A87" w14:textId="77777777" w:rsidR="0021298F" w:rsidRPr="00500322" w:rsidRDefault="0021298F" w:rsidP="00760009">
            <w:pPr>
              <w:jc w:val="right"/>
              <w:rPr>
                <w:rFonts w:ascii="Arial" w:eastAsia="Times New Roman" w:hAnsi="Arial" w:cs="Arial"/>
                <w:b/>
                <w:bCs/>
                <w:highlight w:val="yellow"/>
                <w:lang w:eastAsia="en-GB"/>
              </w:rPr>
            </w:pPr>
          </w:p>
        </w:tc>
      </w:tr>
    </w:tbl>
    <w:p w14:paraId="26439520" w14:textId="77777777" w:rsidR="0021298F" w:rsidRPr="00500322" w:rsidRDefault="0021298F" w:rsidP="0021298F">
      <w:pPr>
        <w:jc w:val="both"/>
        <w:rPr>
          <w:rFonts w:ascii="Arial" w:eastAsia="Times New Roman" w:hAnsi="Arial" w:cs="Arial"/>
          <w:sz w:val="16"/>
        </w:rPr>
      </w:pPr>
    </w:p>
    <w:p w14:paraId="09BCC51E" w14:textId="77777777" w:rsidR="0021298F" w:rsidRPr="008D6FB2" w:rsidRDefault="0021298F" w:rsidP="0021298F">
      <w:pPr>
        <w:jc w:val="both"/>
        <w:rPr>
          <w:rFonts w:ascii="Arial" w:eastAsia="Times New Roman" w:hAnsi="Arial" w:cs="Arial"/>
          <w:sz w:val="18"/>
        </w:rPr>
      </w:pPr>
      <w:r w:rsidRPr="008D6FB2">
        <w:rPr>
          <w:rFonts w:ascii="Arial" w:eastAsia="Times New Roman" w:hAnsi="Arial" w:cs="Arial"/>
          <w:sz w:val="18"/>
          <w:vertAlign w:val="superscript"/>
        </w:rPr>
        <w:t>(1)</w:t>
      </w:r>
      <w:r w:rsidRPr="008D6FB2">
        <w:rPr>
          <w:rFonts w:ascii="Arial" w:eastAsia="Times New Roman" w:hAnsi="Arial" w:cs="Arial"/>
          <w:sz w:val="18"/>
        </w:rPr>
        <w:t xml:space="preserve"> </w:t>
      </w:r>
      <w:r w:rsidRPr="000C1DAA">
        <w:rPr>
          <w:rFonts w:ascii="Arial" w:eastAsia="Times New Roman" w:hAnsi="Arial" w:cs="Arial"/>
          <w:sz w:val="18"/>
        </w:rPr>
        <w:t>Ongoing expenses do not include €3</w:t>
      </w:r>
      <w:r>
        <w:rPr>
          <w:rFonts w:ascii="Arial" w:eastAsia="Times New Roman" w:hAnsi="Arial" w:cs="Arial"/>
          <w:sz w:val="18"/>
        </w:rPr>
        <w:t>41</w:t>
      </w:r>
      <w:r w:rsidRPr="000C1DAA">
        <w:rPr>
          <w:rFonts w:ascii="Arial" w:eastAsia="Times New Roman" w:hAnsi="Arial" w:cs="Arial"/>
          <w:sz w:val="18"/>
        </w:rPr>
        <w:t>k of broken deal costs</w:t>
      </w:r>
      <w:r>
        <w:rPr>
          <w:rFonts w:ascii="Arial" w:eastAsia="Times New Roman" w:hAnsi="Arial" w:cs="Arial"/>
          <w:sz w:val="18"/>
        </w:rPr>
        <w:t>, €266k pf SPV administration fees and €29k of other non-ongoing costs.</w:t>
      </w:r>
    </w:p>
    <w:p w14:paraId="29E2D73B" w14:textId="77777777" w:rsidR="0021298F" w:rsidRPr="008D6FB2" w:rsidRDefault="0021298F" w:rsidP="0021298F">
      <w:pPr>
        <w:jc w:val="both"/>
        <w:rPr>
          <w:rFonts w:ascii="Arial" w:eastAsia="Times New Roman" w:hAnsi="Arial" w:cs="Arial"/>
          <w:sz w:val="18"/>
        </w:rPr>
      </w:pPr>
    </w:p>
    <w:p w14:paraId="7E67C946" w14:textId="77777777" w:rsidR="0021298F" w:rsidRDefault="0021298F" w:rsidP="0021298F">
      <w:pPr>
        <w:jc w:val="both"/>
        <w:rPr>
          <w:rFonts w:ascii="Arial" w:eastAsia="Times New Roman" w:hAnsi="Arial" w:cs="Arial"/>
        </w:rPr>
      </w:pPr>
      <w:r w:rsidRPr="000C1DAA">
        <w:rPr>
          <w:rFonts w:ascii="Arial" w:eastAsia="Times New Roman" w:hAnsi="Arial" w:cs="Arial"/>
        </w:rPr>
        <w:t>Based on the 31 December 2020 NAV of €</w:t>
      </w:r>
      <w:r>
        <w:rPr>
          <w:rFonts w:ascii="Arial" w:eastAsia="Times New Roman" w:hAnsi="Arial" w:cs="Arial"/>
        </w:rPr>
        <w:t>749</w:t>
      </w:r>
      <w:r w:rsidRPr="000C1DAA">
        <w:rPr>
          <w:rFonts w:ascii="Arial" w:eastAsia="Times New Roman" w:hAnsi="Arial" w:cs="Arial"/>
        </w:rPr>
        <w:t xml:space="preserve"> million, the ongoing total management fee is 1.00 per cent. of NAV. Assuming no change in NAV, the 2021 ongoing charges ratio is expected to be 1.2</w:t>
      </w:r>
      <w:r>
        <w:rPr>
          <w:rFonts w:ascii="Arial" w:eastAsia="Times New Roman" w:hAnsi="Arial" w:cs="Arial"/>
        </w:rPr>
        <w:t>2</w:t>
      </w:r>
      <w:r w:rsidRPr="000C1DAA">
        <w:rPr>
          <w:rFonts w:ascii="Arial" w:eastAsia="Times New Roman" w:hAnsi="Arial" w:cs="Arial"/>
        </w:rPr>
        <w:t xml:space="preserve"> per cent.</w:t>
      </w:r>
    </w:p>
    <w:p w14:paraId="6EA17046" w14:textId="77777777" w:rsidR="0021298F" w:rsidRPr="00500322" w:rsidRDefault="0021298F" w:rsidP="0021298F">
      <w:pPr>
        <w:jc w:val="both"/>
        <w:rPr>
          <w:rFonts w:ascii="Arial" w:eastAsia="Times New Roman" w:hAnsi="Arial" w:cs="Arial"/>
          <w:highlight w:val="yellow"/>
        </w:rPr>
      </w:pPr>
    </w:p>
    <w:p w14:paraId="425D125C" w14:textId="77777777" w:rsidR="0021298F" w:rsidRPr="00500322" w:rsidRDefault="0021298F" w:rsidP="0021298F">
      <w:pPr>
        <w:jc w:val="both"/>
        <w:rPr>
          <w:rFonts w:ascii="Arial" w:eastAsia="Times New Roman" w:hAnsi="Arial" w:cs="Arial"/>
        </w:rPr>
      </w:pPr>
      <w:r w:rsidRPr="00500322">
        <w:rPr>
          <w:rFonts w:ascii="Arial" w:eastAsia="Times New Roman" w:hAnsi="Arial" w:cs="Arial"/>
        </w:rPr>
        <w:t>The Investment Manager is not paid any performance or acquisition fees.</w:t>
      </w:r>
    </w:p>
    <w:p w14:paraId="079620AD" w14:textId="77777777" w:rsidR="0021298F" w:rsidRPr="00500322" w:rsidRDefault="0021298F" w:rsidP="0021298F">
      <w:pPr>
        <w:jc w:val="both"/>
        <w:rPr>
          <w:rFonts w:ascii="Arial" w:eastAsia="Times New Roman" w:hAnsi="Arial" w:cs="Arial"/>
        </w:rPr>
      </w:pPr>
    </w:p>
    <w:p w14:paraId="25704ABE" w14:textId="77777777" w:rsidR="0021298F" w:rsidRPr="00500322" w:rsidRDefault="0021298F" w:rsidP="0021298F">
      <w:pPr>
        <w:pStyle w:val="Heading3"/>
        <w:spacing w:before="0"/>
        <w:jc w:val="both"/>
        <w:rPr>
          <w:rFonts w:ascii="Arial" w:hAnsi="Arial" w:cs="Arial"/>
          <w:color w:val="auto"/>
        </w:rPr>
      </w:pPr>
      <w:r w:rsidRPr="00500322">
        <w:rPr>
          <w:rFonts w:ascii="Arial" w:hAnsi="Arial" w:cs="Arial"/>
          <w:color w:val="auto"/>
        </w:rPr>
        <w:t>Directors’ Indemnity</w:t>
      </w:r>
    </w:p>
    <w:p w14:paraId="5FF00FD9" w14:textId="77777777" w:rsidR="0021298F" w:rsidRPr="00500322" w:rsidRDefault="0021298F" w:rsidP="0021298F">
      <w:pPr>
        <w:jc w:val="both"/>
        <w:rPr>
          <w:rFonts w:ascii="Arial" w:eastAsia="Times New Roman" w:hAnsi="Arial" w:cs="Arial"/>
        </w:rPr>
      </w:pPr>
      <w:r w:rsidRPr="00500322">
        <w:rPr>
          <w:rFonts w:ascii="Arial" w:eastAsia="Times New Roman" w:hAnsi="Arial" w:cs="Arial"/>
        </w:rPr>
        <w:t xml:space="preserve">Directors’ and Officers’ liability insurance cover is in place in respect of the Directors. The Company’s Articles of Association provide, subject to the provisions of Ireland and UK legislation, an indemnity for Directors in respect of costs which they may incur relating to the defence of any proceedings brought against them arising out of their positions as Directors, in which they are acquitted or judgement is given in their favour by the Court. </w:t>
      </w:r>
    </w:p>
    <w:p w14:paraId="179CD3D9" w14:textId="77777777" w:rsidR="0021298F" w:rsidRPr="00500322" w:rsidRDefault="0021298F" w:rsidP="0021298F">
      <w:pPr>
        <w:jc w:val="both"/>
        <w:rPr>
          <w:rFonts w:ascii="Arial" w:eastAsia="Times New Roman" w:hAnsi="Arial" w:cs="Arial"/>
        </w:rPr>
      </w:pPr>
    </w:p>
    <w:p w14:paraId="7677E167" w14:textId="77777777" w:rsidR="0021298F" w:rsidRDefault="0021298F" w:rsidP="0021298F">
      <w:pPr>
        <w:jc w:val="both"/>
        <w:rPr>
          <w:rFonts w:ascii="Arial" w:eastAsia="Times New Roman" w:hAnsi="Arial" w:cs="Arial"/>
        </w:rPr>
      </w:pPr>
      <w:r w:rsidRPr="00500322">
        <w:rPr>
          <w:rFonts w:ascii="Arial" w:eastAsia="Times New Roman" w:hAnsi="Arial" w:cs="Arial"/>
        </w:rPr>
        <w:t>Except for such indemnity provisions in the Company’s Articles of Association and in the Directors’ letters of appointment, there are no qualifying third party indemnity provisions in force.</w:t>
      </w:r>
    </w:p>
    <w:p w14:paraId="700F27BF" w14:textId="77777777" w:rsidR="0021298F" w:rsidRPr="00660DCB" w:rsidRDefault="0021298F" w:rsidP="0021298F">
      <w:pPr>
        <w:rPr>
          <w:rFonts w:ascii="Arial" w:hAnsi="Arial" w:cs="Arial"/>
          <w:b/>
        </w:rPr>
      </w:pPr>
    </w:p>
    <w:p w14:paraId="1074C9FE" w14:textId="77777777" w:rsidR="0021298F" w:rsidRPr="00382C2F" w:rsidRDefault="0021298F" w:rsidP="0021298F">
      <w:pPr>
        <w:jc w:val="both"/>
        <w:rPr>
          <w:rFonts w:ascii="Arial" w:eastAsia="Times New Roman" w:hAnsi="Arial" w:cs="Arial"/>
          <w:b/>
        </w:rPr>
      </w:pPr>
      <w:r w:rsidRPr="00382C2F">
        <w:rPr>
          <w:rFonts w:ascii="Arial" w:eastAsia="Times New Roman" w:hAnsi="Arial" w:cs="Arial"/>
          <w:b/>
        </w:rPr>
        <w:t>Corporate and Social Responsibility</w:t>
      </w:r>
    </w:p>
    <w:p w14:paraId="6B75D5A2" w14:textId="77777777" w:rsidR="0021298F" w:rsidRPr="00500322" w:rsidRDefault="0021298F" w:rsidP="0021298F">
      <w:pPr>
        <w:pStyle w:val="Heading3"/>
        <w:spacing w:before="0"/>
        <w:jc w:val="both"/>
        <w:rPr>
          <w:rFonts w:ascii="Arial" w:hAnsi="Arial" w:cs="Arial"/>
          <w:color w:val="auto"/>
        </w:rPr>
      </w:pPr>
      <w:r w:rsidRPr="00500322">
        <w:rPr>
          <w:rFonts w:ascii="Arial" w:hAnsi="Arial" w:cs="Arial"/>
          <w:color w:val="auto"/>
        </w:rPr>
        <w:t>Environmental</w:t>
      </w:r>
      <w:r>
        <w:rPr>
          <w:rFonts w:ascii="Arial" w:hAnsi="Arial" w:cs="Arial"/>
          <w:color w:val="auto"/>
        </w:rPr>
        <w:t>,</w:t>
      </w:r>
      <w:r w:rsidRPr="00500322">
        <w:rPr>
          <w:rFonts w:ascii="Arial" w:hAnsi="Arial" w:cs="Arial"/>
          <w:color w:val="auto"/>
        </w:rPr>
        <w:t xml:space="preserve"> Social</w:t>
      </w:r>
      <w:r>
        <w:rPr>
          <w:rFonts w:ascii="Arial" w:hAnsi="Arial" w:cs="Arial"/>
          <w:color w:val="auto"/>
        </w:rPr>
        <w:t xml:space="preserve"> and</w:t>
      </w:r>
      <w:r w:rsidRPr="00500322">
        <w:rPr>
          <w:rFonts w:ascii="Arial" w:hAnsi="Arial" w:cs="Arial"/>
          <w:color w:val="auto"/>
        </w:rPr>
        <w:t xml:space="preserve"> Governance Matters </w:t>
      </w:r>
    </w:p>
    <w:p w14:paraId="2291A92E" w14:textId="77777777" w:rsidR="0021298F" w:rsidRPr="00500322" w:rsidRDefault="0021298F" w:rsidP="0021298F">
      <w:pPr>
        <w:jc w:val="both"/>
        <w:rPr>
          <w:rFonts w:ascii="Arial" w:eastAsia="Times New Roman" w:hAnsi="Arial" w:cs="Arial"/>
        </w:rPr>
      </w:pPr>
      <w:r w:rsidRPr="00500322">
        <w:rPr>
          <w:rFonts w:ascii="Arial" w:eastAsia="Times New Roman" w:hAnsi="Arial" w:cs="Arial"/>
        </w:rPr>
        <w:t xml:space="preserve">The Group currently invests in wind farms and the environmental benefits of renewable energy are widely known. </w:t>
      </w:r>
    </w:p>
    <w:p w14:paraId="491410F8" w14:textId="77777777" w:rsidR="0021298F" w:rsidRPr="00500322" w:rsidRDefault="0021298F" w:rsidP="0021298F">
      <w:pPr>
        <w:jc w:val="both"/>
        <w:rPr>
          <w:rFonts w:ascii="Arial" w:hAnsi="Arial" w:cs="Arial"/>
        </w:rPr>
      </w:pPr>
    </w:p>
    <w:p w14:paraId="21DBC9F8" w14:textId="77777777" w:rsidR="0021298F" w:rsidRDefault="0021298F" w:rsidP="0021298F">
      <w:pPr>
        <w:jc w:val="both"/>
        <w:rPr>
          <w:rFonts w:ascii="Arial" w:eastAsia="Times New Roman" w:hAnsi="Arial" w:cs="Arial"/>
        </w:rPr>
      </w:pPr>
      <w:r w:rsidRPr="0090207E">
        <w:rPr>
          <w:rFonts w:ascii="Arial" w:eastAsia="Times New Roman" w:hAnsi="Arial" w:cs="Arial"/>
        </w:rPr>
        <w:t xml:space="preserve">Although the non-executive Board has overall responsibility for the activities of the Company and its investments, the day-to-day management of the business is delegated to the Investment Manager. This includes responsibility for ESG matters. </w:t>
      </w:r>
      <w:r>
        <w:rPr>
          <w:rFonts w:ascii="Arial" w:eastAsia="Times New Roman" w:hAnsi="Arial" w:cs="Arial"/>
        </w:rPr>
        <w:t>In collaboration, the Board and the</w:t>
      </w:r>
      <w:r w:rsidRPr="0090207E">
        <w:rPr>
          <w:rFonts w:ascii="Arial" w:eastAsia="Times New Roman" w:hAnsi="Arial" w:cs="Arial"/>
        </w:rPr>
        <w:t xml:space="preserve"> Investment Manager assess how ESG should be managed and the Company has developed its ESG policy in accordance with the Investment Manager’s ESG Framework, and the approach has two streams: pre-investment and ongoing management. </w:t>
      </w:r>
    </w:p>
    <w:p w14:paraId="07DFFAB3" w14:textId="77777777" w:rsidR="0021298F" w:rsidRDefault="0021298F" w:rsidP="0021298F">
      <w:pPr>
        <w:jc w:val="both"/>
        <w:rPr>
          <w:rFonts w:ascii="Arial" w:eastAsia="Times New Roman" w:hAnsi="Arial" w:cs="Arial"/>
        </w:rPr>
      </w:pPr>
    </w:p>
    <w:p w14:paraId="36A16312" w14:textId="77777777" w:rsidR="0021298F" w:rsidRPr="00500322" w:rsidRDefault="0021298F" w:rsidP="0021298F">
      <w:pPr>
        <w:jc w:val="both"/>
        <w:rPr>
          <w:rFonts w:ascii="Arial" w:eastAsia="Times New Roman" w:hAnsi="Arial" w:cs="Arial"/>
        </w:rPr>
      </w:pPr>
      <w:r w:rsidRPr="00500322">
        <w:rPr>
          <w:rFonts w:ascii="Arial" w:eastAsia="Times New Roman" w:hAnsi="Arial" w:cs="Arial"/>
        </w:rPr>
        <w:lastRenderedPageBreak/>
        <w:t>The Group relies on the Investment Manager to apply appropriate policies to the investments the Group makes. The policies in place at the Investment Manager outline the Group’s approach to responsible investing, as well as the environmental standards which it aims to meet. Responsible investing principles have been applied t</w:t>
      </w:r>
      <w:r>
        <w:rPr>
          <w:rFonts w:ascii="Arial" w:eastAsia="Times New Roman" w:hAnsi="Arial" w:cs="Arial"/>
        </w:rPr>
        <w:t xml:space="preserve">o each of the investments made. </w:t>
      </w:r>
      <w:r w:rsidRPr="00500322">
        <w:rPr>
          <w:rFonts w:ascii="Arial" w:eastAsia="Times New Roman" w:hAnsi="Arial" w:cs="Arial"/>
        </w:rPr>
        <w:t>The Investment Manager monitors compliance at the investment phase and reports on an ongoing basis to the Board.</w:t>
      </w:r>
    </w:p>
    <w:p w14:paraId="68626C4C" w14:textId="77777777" w:rsidR="0021298F" w:rsidRDefault="0021298F" w:rsidP="0021298F">
      <w:pPr>
        <w:jc w:val="both"/>
        <w:rPr>
          <w:rFonts w:ascii="Arial" w:eastAsia="Times New Roman" w:hAnsi="Arial" w:cs="Arial"/>
        </w:rPr>
      </w:pPr>
    </w:p>
    <w:p w14:paraId="22E199BF" w14:textId="77777777" w:rsidR="0021298F" w:rsidRDefault="0021298F" w:rsidP="0021298F">
      <w:pPr>
        <w:jc w:val="both"/>
        <w:rPr>
          <w:rFonts w:ascii="Arial" w:eastAsia="Times New Roman" w:hAnsi="Arial" w:cs="Arial"/>
        </w:rPr>
      </w:pPr>
      <w:r w:rsidRPr="00500322">
        <w:rPr>
          <w:rFonts w:ascii="Arial" w:eastAsia="Times New Roman" w:hAnsi="Arial" w:cs="Arial"/>
        </w:rPr>
        <w:t xml:space="preserve">These policies require the Group to make reasonable endeavours to procure the ongoing compliance of its portfolio companies with its policies on responsible investment. </w:t>
      </w:r>
    </w:p>
    <w:p w14:paraId="43D3EAB6" w14:textId="77777777" w:rsidR="0021298F" w:rsidRDefault="0021298F" w:rsidP="0021298F">
      <w:pPr>
        <w:jc w:val="both"/>
        <w:rPr>
          <w:rFonts w:ascii="Arial" w:eastAsia="Times New Roman" w:hAnsi="Arial" w:cs="Arial"/>
        </w:rPr>
      </w:pPr>
    </w:p>
    <w:p w14:paraId="33E0160B" w14:textId="77777777" w:rsidR="0021298F" w:rsidRDefault="0021298F" w:rsidP="0021298F">
      <w:pPr>
        <w:jc w:val="both"/>
        <w:rPr>
          <w:rFonts w:ascii="Arial" w:eastAsia="Times New Roman" w:hAnsi="Arial" w:cs="Arial"/>
        </w:rPr>
      </w:pPr>
      <w:r w:rsidRPr="0090207E">
        <w:rPr>
          <w:rFonts w:ascii="Arial" w:eastAsia="Times New Roman" w:hAnsi="Arial" w:cs="Arial"/>
        </w:rPr>
        <w:t xml:space="preserve">The full ESG policy of the Company and </w:t>
      </w:r>
      <w:r>
        <w:rPr>
          <w:rFonts w:ascii="Arial" w:eastAsia="Times New Roman" w:hAnsi="Arial" w:cs="Arial"/>
        </w:rPr>
        <w:t>its</w:t>
      </w:r>
      <w:r w:rsidRPr="0090207E">
        <w:rPr>
          <w:rFonts w:ascii="Arial" w:eastAsia="Times New Roman" w:hAnsi="Arial" w:cs="Arial"/>
        </w:rPr>
        <w:t xml:space="preserve"> ESG report are available on the Company’s website: </w:t>
      </w:r>
      <w:hyperlink r:id="rId17" w:history="1">
        <w:r w:rsidRPr="00382C2F">
          <w:rPr>
            <w:rStyle w:val="Hyperlink"/>
            <w:rFonts w:ascii="Arial" w:hAnsi="Arial" w:cs="Arial"/>
          </w:rPr>
          <w:t>www.greencoat-renewables.com</w:t>
        </w:r>
      </w:hyperlink>
      <w:r w:rsidRPr="00500322">
        <w:rPr>
          <w:rFonts w:ascii="Arial" w:hAnsi="Arial" w:cs="Arial"/>
        </w:rPr>
        <w:t>.</w:t>
      </w:r>
    </w:p>
    <w:p w14:paraId="36BA7A3D" w14:textId="77777777" w:rsidR="0021298F" w:rsidRDefault="0021298F" w:rsidP="0021298F">
      <w:pPr>
        <w:jc w:val="both"/>
        <w:rPr>
          <w:rFonts w:ascii="Arial" w:eastAsia="Times New Roman" w:hAnsi="Arial" w:cs="Arial"/>
        </w:rPr>
      </w:pPr>
    </w:p>
    <w:p w14:paraId="2AF052A0" w14:textId="77777777" w:rsidR="0021298F" w:rsidRPr="003F2543" w:rsidRDefault="0021298F" w:rsidP="0021298F">
      <w:pPr>
        <w:contextualSpacing/>
        <w:jc w:val="both"/>
        <w:rPr>
          <w:rFonts w:ascii="Arial" w:hAnsi="Arial" w:cs="Arial"/>
          <w:b/>
        </w:rPr>
      </w:pPr>
      <w:r w:rsidRPr="003F2543">
        <w:rPr>
          <w:rFonts w:ascii="Arial" w:hAnsi="Arial" w:cs="Arial"/>
          <w:b/>
        </w:rPr>
        <w:t>Climate Change</w:t>
      </w:r>
    </w:p>
    <w:p w14:paraId="609E7D25" w14:textId="77777777" w:rsidR="0021298F" w:rsidRPr="003F2543" w:rsidRDefault="0021298F" w:rsidP="0021298F">
      <w:pPr>
        <w:contextualSpacing/>
        <w:jc w:val="both"/>
        <w:rPr>
          <w:rFonts w:ascii="Arial" w:eastAsia="Times New Roman" w:hAnsi="Arial" w:cs="Arial"/>
        </w:rPr>
      </w:pPr>
      <w:r w:rsidRPr="003F2543">
        <w:rPr>
          <w:rFonts w:ascii="Arial" w:eastAsia="Times New Roman" w:hAnsi="Arial" w:cs="Arial"/>
        </w:rPr>
        <w:t>The Task Force on Climate-Related Financial Disclosures (TCFD</w:t>
      </w:r>
      <w:r>
        <w:rPr>
          <w:rFonts w:ascii="Arial" w:eastAsia="Times New Roman" w:hAnsi="Arial" w:cs="Arial"/>
        </w:rPr>
        <w:t>)</w:t>
      </w:r>
      <w:r w:rsidRPr="003F2543">
        <w:rPr>
          <w:rFonts w:ascii="Arial" w:eastAsia="Times New Roman" w:hAnsi="Arial" w:cs="Arial"/>
        </w:rPr>
        <w:t xml:space="preserve"> was established in 2015, with the goal of developing consistent disclosure standards for companies, in order to enable investors and other stakeholders to assess the climate-related financial risk</w:t>
      </w:r>
      <w:r>
        <w:rPr>
          <w:rFonts w:ascii="Arial" w:eastAsia="Times New Roman" w:hAnsi="Arial" w:cs="Arial"/>
        </w:rPr>
        <w:t>s</w:t>
      </w:r>
      <w:r w:rsidRPr="003F2543">
        <w:rPr>
          <w:rFonts w:ascii="Arial" w:eastAsia="Times New Roman" w:hAnsi="Arial" w:cs="Arial"/>
        </w:rPr>
        <w:t xml:space="preserve">. </w:t>
      </w:r>
    </w:p>
    <w:p w14:paraId="3B33D70C" w14:textId="77777777" w:rsidR="0021298F" w:rsidRPr="003F2543" w:rsidRDefault="0021298F" w:rsidP="0021298F">
      <w:pPr>
        <w:contextualSpacing/>
        <w:jc w:val="both"/>
        <w:rPr>
          <w:rFonts w:ascii="Arial" w:eastAsia="Times New Roman" w:hAnsi="Arial" w:cs="Arial"/>
        </w:rPr>
      </w:pPr>
    </w:p>
    <w:p w14:paraId="4ECDC2B2" w14:textId="77777777" w:rsidR="0021298F" w:rsidRPr="003F2543" w:rsidRDefault="0021298F" w:rsidP="0021298F">
      <w:pPr>
        <w:contextualSpacing/>
        <w:jc w:val="both"/>
        <w:rPr>
          <w:rFonts w:ascii="Arial" w:eastAsia="Times New Roman" w:hAnsi="Arial" w:cs="Arial"/>
        </w:rPr>
      </w:pPr>
      <w:r w:rsidRPr="003F2543">
        <w:rPr>
          <w:rFonts w:ascii="Arial" w:eastAsia="Times New Roman" w:hAnsi="Arial" w:cs="Arial"/>
        </w:rPr>
        <w:t>The premise of such climate</w:t>
      </w:r>
      <w:r>
        <w:rPr>
          <w:rFonts w:ascii="Arial" w:eastAsia="Times New Roman" w:hAnsi="Arial" w:cs="Arial"/>
        </w:rPr>
        <w:t>-</w:t>
      </w:r>
      <w:r w:rsidRPr="003F2543">
        <w:rPr>
          <w:rFonts w:ascii="Arial" w:eastAsia="Times New Roman" w:hAnsi="Arial" w:cs="Arial"/>
        </w:rPr>
        <w:t xml:space="preserve">related financial disclosures is that financial markets need clear, comprehensive, </w:t>
      </w:r>
      <w:r>
        <w:rPr>
          <w:rFonts w:ascii="Arial" w:eastAsia="Times New Roman" w:hAnsi="Arial" w:cs="Arial"/>
        </w:rPr>
        <w:t xml:space="preserve">and </w:t>
      </w:r>
      <w:r w:rsidRPr="003F2543">
        <w:rPr>
          <w:rFonts w:ascii="Arial" w:eastAsia="Times New Roman" w:hAnsi="Arial" w:cs="Arial"/>
        </w:rPr>
        <w:t>high-quality information on the impacts of climate change. This includes the risks and opportunities presented by rising temperatures, climate-related policy, and emerging technologies in our changing world.</w:t>
      </w:r>
    </w:p>
    <w:p w14:paraId="46B3109D" w14:textId="77777777" w:rsidR="0021298F" w:rsidRPr="003F2543" w:rsidRDefault="0021298F" w:rsidP="0021298F">
      <w:pPr>
        <w:contextualSpacing/>
        <w:jc w:val="both"/>
        <w:rPr>
          <w:rFonts w:ascii="Arial" w:eastAsia="Times New Roman" w:hAnsi="Arial" w:cs="Arial"/>
        </w:rPr>
      </w:pPr>
    </w:p>
    <w:p w14:paraId="5E912ABB" w14:textId="77777777" w:rsidR="0021298F" w:rsidRDefault="0021298F" w:rsidP="0021298F">
      <w:pPr>
        <w:contextualSpacing/>
        <w:jc w:val="both"/>
        <w:rPr>
          <w:rFonts w:ascii="Arial" w:eastAsia="Times New Roman" w:hAnsi="Arial" w:cs="Arial"/>
        </w:rPr>
      </w:pPr>
      <w:r w:rsidRPr="003F2543">
        <w:rPr>
          <w:rFonts w:ascii="Arial" w:eastAsia="Times New Roman" w:hAnsi="Arial" w:cs="Arial"/>
        </w:rPr>
        <w:t>The Company supports the</w:t>
      </w:r>
      <w:r>
        <w:rPr>
          <w:rFonts w:ascii="Arial" w:eastAsia="Times New Roman" w:hAnsi="Arial" w:cs="Arial"/>
        </w:rPr>
        <w:t>se</w:t>
      </w:r>
      <w:r w:rsidRPr="003F2543">
        <w:rPr>
          <w:rFonts w:ascii="Arial" w:eastAsia="Times New Roman" w:hAnsi="Arial" w:cs="Arial"/>
        </w:rPr>
        <w:t xml:space="preserve"> recommendations and in this year’s Annual Report</w:t>
      </w:r>
      <w:r>
        <w:rPr>
          <w:rFonts w:ascii="Arial" w:eastAsia="Times New Roman" w:hAnsi="Arial" w:cs="Arial"/>
        </w:rPr>
        <w:t>,</w:t>
      </w:r>
      <w:r w:rsidRPr="003F2543">
        <w:rPr>
          <w:rFonts w:ascii="Arial" w:eastAsia="Times New Roman" w:hAnsi="Arial" w:cs="Arial"/>
        </w:rPr>
        <w:t xml:space="preserve"> have committed to and </w:t>
      </w:r>
      <w:r>
        <w:rPr>
          <w:rFonts w:ascii="Arial" w:eastAsia="Times New Roman" w:hAnsi="Arial" w:cs="Arial"/>
        </w:rPr>
        <w:t>commenced</w:t>
      </w:r>
      <w:r w:rsidRPr="003F2543">
        <w:rPr>
          <w:rFonts w:ascii="Arial" w:eastAsia="Times New Roman" w:hAnsi="Arial" w:cs="Arial"/>
        </w:rPr>
        <w:t xml:space="preserve"> implement</w:t>
      </w:r>
      <w:r>
        <w:rPr>
          <w:rFonts w:ascii="Arial" w:eastAsia="Times New Roman" w:hAnsi="Arial" w:cs="Arial"/>
        </w:rPr>
        <w:t>ing</w:t>
      </w:r>
      <w:r w:rsidRPr="003F2543">
        <w:rPr>
          <w:rFonts w:ascii="Arial" w:eastAsia="Times New Roman" w:hAnsi="Arial" w:cs="Arial"/>
        </w:rPr>
        <w:t xml:space="preserve"> </w:t>
      </w:r>
      <w:r>
        <w:rPr>
          <w:rFonts w:ascii="Arial" w:eastAsia="Times New Roman" w:hAnsi="Arial" w:cs="Arial"/>
        </w:rPr>
        <w:t xml:space="preserve">these disclosures </w:t>
      </w:r>
      <w:r w:rsidRPr="003F2543">
        <w:rPr>
          <w:rFonts w:ascii="Arial" w:eastAsia="Times New Roman" w:hAnsi="Arial" w:cs="Arial"/>
        </w:rPr>
        <w:t xml:space="preserve">in a structured manner. </w:t>
      </w:r>
    </w:p>
    <w:p w14:paraId="02211DA8" w14:textId="77777777" w:rsidR="0021298F" w:rsidRDefault="0021298F" w:rsidP="0021298F">
      <w:pPr>
        <w:contextualSpacing/>
        <w:jc w:val="both"/>
        <w:rPr>
          <w:rFonts w:ascii="Arial" w:eastAsia="Times New Roman" w:hAnsi="Arial" w:cs="Arial"/>
        </w:rPr>
      </w:pPr>
    </w:p>
    <w:p w14:paraId="4B7B61B7" w14:textId="77777777" w:rsidR="0021298F" w:rsidRDefault="0021298F" w:rsidP="0021298F">
      <w:pPr>
        <w:contextualSpacing/>
        <w:jc w:val="both"/>
        <w:rPr>
          <w:rFonts w:ascii="Arial" w:eastAsia="Times New Roman" w:hAnsi="Arial" w:cs="Arial"/>
        </w:rPr>
      </w:pPr>
      <w:r w:rsidRPr="003F2543">
        <w:rPr>
          <w:rFonts w:ascii="Arial" w:eastAsia="Times New Roman" w:hAnsi="Arial" w:cs="Arial"/>
        </w:rPr>
        <w:t>The core elements of these disclosures as recommended by the TCFD, comprise of 4 thematic areas.</w:t>
      </w:r>
    </w:p>
    <w:p w14:paraId="57607F59" w14:textId="77777777" w:rsidR="0021298F" w:rsidRPr="003F2543" w:rsidRDefault="0021298F" w:rsidP="0021298F">
      <w:pPr>
        <w:contextualSpacing/>
        <w:jc w:val="both"/>
        <w:rPr>
          <w:rFonts w:ascii="Arial" w:eastAsia="Times New Roman" w:hAnsi="Arial" w:cs="Arial"/>
        </w:rPr>
      </w:pPr>
    </w:p>
    <w:p w14:paraId="2C027052" w14:textId="77777777" w:rsidR="0021298F" w:rsidRPr="000C1DAA" w:rsidRDefault="0021298F" w:rsidP="0021298F">
      <w:pPr>
        <w:rPr>
          <w:rFonts w:ascii="Arial" w:hAnsi="Arial" w:cs="Arial"/>
          <w:bCs/>
          <w:i/>
          <w:iCs/>
        </w:rPr>
      </w:pPr>
      <w:r w:rsidRPr="000C1DAA">
        <w:rPr>
          <w:rFonts w:ascii="Arial" w:hAnsi="Arial" w:cs="Arial"/>
          <w:bCs/>
          <w:i/>
          <w:iCs/>
        </w:rPr>
        <w:t>Governance</w:t>
      </w:r>
    </w:p>
    <w:p w14:paraId="749BBE58" w14:textId="77777777" w:rsidR="0021298F" w:rsidRDefault="0021298F" w:rsidP="0021298F">
      <w:pPr>
        <w:contextualSpacing/>
        <w:jc w:val="both"/>
        <w:rPr>
          <w:rFonts w:ascii="Arial" w:eastAsia="Times New Roman" w:hAnsi="Arial" w:cs="Arial"/>
        </w:rPr>
      </w:pPr>
      <w:r w:rsidRPr="003F2543">
        <w:rPr>
          <w:rFonts w:ascii="Arial" w:eastAsia="Times New Roman" w:hAnsi="Arial" w:cs="Arial"/>
        </w:rPr>
        <w:t>As discussed in the Corporate Governance Report, the Company’s approach to governance is to manage risk through robust processes and controls, and to ensure best practices are in place to support the growing business. It does this through regular meetings between the Board and the Investment manager where risk management of the Company and its investments is considered and discussed</w:t>
      </w:r>
      <w:r>
        <w:rPr>
          <w:rFonts w:ascii="Arial" w:eastAsia="Times New Roman" w:hAnsi="Arial" w:cs="Arial"/>
        </w:rPr>
        <w:t>,</w:t>
      </w:r>
      <w:r w:rsidRPr="003F2543">
        <w:rPr>
          <w:rFonts w:ascii="Arial" w:eastAsia="Times New Roman" w:hAnsi="Arial" w:cs="Arial"/>
        </w:rPr>
        <w:t xml:space="preserve"> including ESG and climate-related risks and opportunities. A formal risk matrix is maintained by the Investment Manager and reviewed and approved by the Board on an annual basis. The Board and Investment Manager also regularly discuss developments in European energy policy, weather patterns, and how the Company’s strategy can further support the energy transition.</w:t>
      </w:r>
    </w:p>
    <w:p w14:paraId="15E23DE4" w14:textId="77777777" w:rsidR="0021298F" w:rsidRPr="003F2543" w:rsidRDefault="0021298F" w:rsidP="0021298F">
      <w:pPr>
        <w:contextualSpacing/>
        <w:jc w:val="both"/>
        <w:rPr>
          <w:rFonts w:ascii="Arial" w:eastAsia="Times New Roman" w:hAnsi="Arial" w:cs="Arial"/>
        </w:rPr>
      </w:pPr>
    </w:p>
    <w:p w14:paraId="236D1A7D" w14:textId="77777777" w:rsidR="0021298F" w:rsidRPr="003F2543" w:rsidRDefault="0021298F" w:rsidP="0021298F">
      <w:pPr>
        <w:contextualSpacing/>
        <w:jc w:val="both"/>
        <w:rPr>
          <w:rFonts w:ascii="Arial" w:eastAsia="Times New Roman" w:hAnsi="Arial" w:cs="Arial"/>
        </w:rPr>
      </w:pPr>
      <w:r w:rsidRPr="003F2543">
        <w:rPr>
          <w:rFonts w:ascii="Arial" w:eastAsia="Times New Roman" w:hAnsi="Arial" w:cs="Arial"/>
        </w:rPr>
        <w:t xml:space="preserve">In addition, the Investment Manager has its own ESG committee that meets regularly to discuss ESG and climate related risks relating to the Group and other funds it manages. This committee has implemented an ESG Framework Policy that looks to establish best practice in climate related risk management, reporting and transparency. Representatives from the Investment Manager also sit on the Boards of </w:t>
      </w:r>
      <w:r w:rsidRPr="003F2543">
        <w:rPr>
          <w:rFonts w:ascii="Arial" w:eastAsia="Times New Roman" w:hAnsi="Arial" w:cs="Arial"/>
        </w:rPr>
        <w:lastRenderedPageBreak/>
        <w:t>the SPV companies, which meet quarterly and discuss ESG and climate related risk management.</w:t>
      </w:r>
    </w:p>
    <w:p w14:paraId="2B9DEBE7" w14:textId="77777777" w:rsidR="0021298F" w:rsidRPr="003F2543" w:rsidRDefault="0021298F" w:rsidP="0021298F">
      <w:pPr>
        <w:contextualSpacing/>
        <w:jc w:val="both"/>
        <w:rPr>
          <w:rFonts w:ascii="Arial" w:eastAsia="Times New Roman" w:hAnsi="Arial" w:cs="Arial"/>
        </w:rPr>
      </w:pPr>
    </w:p>
    <w:p w14:paraId="646FC320" w14:textId="77777777" w:rsidR="0021298F" w:rsidRPr="000C1DAA" w:rsidRDefault="0021298F" w:rsidP="0021298F">
      <w:pPr>
        <w:contextualSpacing/>
        <w:jc w:val="both"/>
        <w:rPr>
          <w:rFonts w:ascii="Arial" w:eastAsia="Times New Roman" w:hAnsi="Arial" w:cs="Arial"/>
          <w:i/>
          <w:iCs/>
        </w:rPr>
      </w:pPr>
      <w:r w:rsidRPr="000C1DAA">
        <w:rPr>
          <w:rFonts w:ascii="Arial" w:eastAsia="Times New Roman" w:hAnsi="Arial" w:cs="Arial"/>
          <w:i/>
          <w:iCs/>
        </w:rPr>
        <w:t>Strategy</w:t>
      </w:r>
    </w:p>
    <w:p w14:paraId="2E9D8408" w14:textId="77777777" w:rsidR="0021298F" w:rsidRPr="003F2543" w:rsidRDefault="0021298F" w:rsidP="0021298F">
      <w:pPr>
        <w:contextualSpacing/>
        <w:jc w:val="both"/>
        <w:rPr>
          <w:rFonts w:ascii="Arial" w:eastAsia="Times New Roman" w:hAnsi="Arial" w:cs="Arial"/>
        </w:rPr>
      </w:pPr>
      <w:r w:rsidRPr="003F2543">
        <w:rPr>
          <w:rFonts w:ascii="Arial" w:eastAsia="Times New Roman" w:hAnsi="Arial" w:cs="Arial"/>
        </w:rPr>
        <w:t xml:space="preserve">The Company is a significant renewables infrastructure fund invested in wind farms in Ireland and France. Its growth is achieved through the acquisition and operation of renewable energy generation assets with stable revenues backed by government support mechanisms. </w:t>
      </w:r>
    </w:p>
    <w:p w14:paraId="6BDF05D7" w14:textId="77777777" w:rsidR="0021298F" w:rsidRPr="003F2543" w:rsidRDefault="0021298F" w:rsidP="0021298F">
      <w:pPr>
        <w:contextualSpacing/>
        <w:jc w:val="both"/>
        <w:rPr>
          <w:rFonts w:ascii="Arial" w:eastAsia="Times New Roman" w:hAnsi="Arial" w:cs="Arial"/>
        </w:rPr>
      </w:pPr>
    </w:p>
    <w:p w14:paraId="65EFE843" w14:textId="77777777" w:rsidR="0021298F" w:rsidRPr="003F2543" w:rsidRDefault="0021298F" w:rsidP="0021298F">
      <w:pPr>
        <w:contextualSpacing/>
        <w:jc w:val="both"/>
        <w:rPr>
          <w:rFonts w:ascii="Arial" w:eastAsia="Times New Roman" w:hAnsi="Arial" w:cs="Arial"/>
        </w:rPr>
      </w:pPr>
      <w:r w:rsidRPr="003F2543">
        <w:rPr>
          <w:rFonts w:ascii="Arial" w:eastAsia="Times New Roman" w:hAnsi="Arial" w:cs="Arial"/>
        </w:rPr>
        <w:t>The Company’s strategy and investment policy of acquiring operating capacity in the secondary market, enables developers and utilities to recycle capital, facilitating further renewable build-out and thus plays a significant role in increasing operating wind generating capacity.</w:t>
      </w:r>
    </w:p>
    <w:p w14:paraId="3FAE468E" w14:textId="77777777" w:rsidR="0021298F" w:rsidRPr="003F2543" w:rsidRDefault="0021298F" w:rsidP="0021298F">
      <w:pPr>
        <w:contextualSpacing/>
        <w:jc w:val="both"/>
        <w:rPr>
          <w:rFonts w:ascii="Arial" w:eastAsia="Times New Roman" w:hAnsi="Arial" w:cs="Arial"/>
        </w:rPr>
      </w:pPr>
    </w:p>
    <w:p w14:paraId="1BD584DD" w14:textId="77777777" w:rsidR="0021298F" w:rsidRDefault="0021298F" w:rsidP="0021298F">
      <w:pPr>
        <w:contextualSpacing/>
        <w:jc w:val="both"/>
        <w:rPr>
          <w:rFonts w:ascii="Arial" w:eastAsia="Times New Roman" w:hAnsi="Arial" w:cs="Arial"/>
        </w:rPr>
      </w:pPr>
      <w:r w:rsidRPr="003F2543">
        <w:rPr>
          <w:rFonts w:ascii="Arial" w:eastAsia="Times New Roman" w:hAnsi="Arial" w:cs="Arial"/>
        </w:rPr>
        <w:t>The Company considers that the decarbonisation of the economy will present significant investment opportunit</w:t>
      </w:r>
      <w:r>
        <w:rPr>
          <w:rFonts w:ascii="Arial" w:eastAsia="Times New Roman" w:hAnsi="Arial" w:cs="Arial"/>
        </w:rPr>
        <w:t>ies</w:t>
      </w:r>
      <w:r w:rsidRPr="003F2543">
        <w:rPr>
          <w:rFonts w:ascii="Arial" w:eastAsia="Times New Roman" w:hAnsi="Arial" w:cs="Arial"/>
        </w:rPr>
        <w:t xml:space="preserve"> and the size of the Company’s growth will be related to the success of the sector and the engagement of its stakeholders.</w:t>
      </w:r>
    </w:p>
    <w:p w14:paraId="6956CC81" w14:textId="77777777" w:rsidR="0021298F" w:rsidRDefault="0021298F" w:rsidP="0021298F">
      <w:pPr>
        <w:contextualSpacing/>
        <w:jc w:val="both"/>
        <w:rPr>
          <w:rFonts w:ascii="Arial" w:eastAsia="Times New Roman" w:hAnsi="Arial" w:cs="Arial"/>
        </w:rPr>
      </w:pPr>
    </w:p>
    <w:p w14:paraId="41F04FDF" w14:textId="77777777" w:rsidR="0021298F" w:rsidRPr="003F2543" w:rsidRDefault="0021298F" w:rsidP="0021298F">
      <w:pPr>
        <w:contextualSpacing/>
        <w:jc w:val="both"/>
        <w:rPr>
          <w:rFonts w:ascii="Arial" w:eastAsia="Times New Roman" w:hAnsi="Arial" w:cs="Arial"/>
        </w:rPr>
      </w:pPr>
      <w:r w:rsidRPr="003F2543">
        <w:rPr>
          <w:rFonts w:ascii="Arial" w:eastAsia="Times New Roman" w:hAnsi="Arial" w:cs="Arial"/>
        </w:rPr>
        <w:t xml:space="preserve">The Company’s strategy is well aligned for the transition to a low carbon economy. The financial impact of climate-related risk and opportunities on the </w:t>
      </w:r>
      <w:r>
        <w:rPr>
          <w:rFonts w:ascii="Arial" w:eastAsia="Times New Roman" w:hAnsi="Arial" w:cs="Arial"/>
        </w:rPr>
        <w:t>C</w:t>
      </w:r>
      <w:r w:rsidRPr="003F2543">
        <w:rPr>
          <w:rFonts w:ascii="Arial" w:eastAsia="Times New Roman" w:hAnsi="Arial" w:cs="Arial"/>
        </w:rPr>
        <w:t>ompany</w:t>
      </w:r>
      <w:r>
        <w:rPr>
          <w:rFonts w:ascii="Arial" w:eastAsia="Times New Roman" w:hAnsi="Arial" w:cs="Arial"/>
        </w:rPr>
        <w:t>’s</w:t>
      </w:r>
      <w:r w:rsidRPr="003F2543">
        <w:rPr>
          <w:rFonts w:ascii="Arial" w:eastAsia="Times New Roman" w:hAnsi="Arial" w:cs="Arial"/>
        </w:rPr>
        <w:t xml:space="preserve"> strategy will continue to be refined in the coming years.</w:t>
      </w:r>
    </w:p>
    <w:p w14:paraId="3B350424" w14:textId="77777777" w:rsidR="0021298F" w:rsidRPr="003F2543" w:rsidRDefault="0021298F" w:rsidP="0021298F">
      <w:pPr>
        <w:contextualSpacing/>
        <w:jc w:val="both"/>
        <w:rPr>
          <w:rFonts w:ascii="Arial" w:eastAsia="Times New Roman" w:hAnsi="Arial" w:cs="Arial"/>
        </w:rPr>
      </w:pPr>
    </w:p>
    <w:p w14:paraId="7BECA2A8" w14:textId="77777777" w:rsidR="0021298F" w:rsidRPr="000C1DAA" w:rsidRDefault="0021298F" w:rsidP="0021298F">
      <w:pPr>
        <w:contextualSpacing/>
        <w:jc w:val="both"/>
        <w:rPr>
          <w:rFonts w:ascii="Arial" w:eastAsia="Times New Roman" w:hAnsi="Arial" w:cs="Arial"/>
          <w:i/>
          <w:iCs/>
        </w:rPr>
      </w:pPr>
      <w:r w:rsidRPr="000C1DAA">
        <w:rPr>
          <w:rFonts w:ascii="Arial" w:eastAsia="Times New Roman" w:hAnsi="Arial" w:cs="Arial"/>
          <w:i/>
          <w:iCs/>
        </w:rPr>
        <w:t>Risk Management</w:t>
      </w:r>
    </w:p>
    <w:p w14:paraId="4028EF1B" w14:textId="77777777" w:rsidR="0021298F" w:rsidRDefault="0021298F" w:rsidP="0021298F">
      <w:pPr>
        <w:tabs>
          <w:tab w:val="left" w:pos="1875"/>
        </w:tabs>
        <w:jc w:val="both"/>
        <w:rPr>
          <w:rFonts w:ascii="Arial" w:eastAsia="Times New Roman" w:hAnsi="Arial" w:cs="Arial"/>
        </w:rPr>
      </w:pPr>
      <w:r w:rsidRPr="003F2543">
        <w:rPr>
          <w:rFonts w:ascii="Arial" w:eastAsia="Times New Roman" w:hAnsi="Arial" w:cs="Arial"/>
        </w:rPr>
        <w:t>The Board and the Investment Manager monitor climate related risks and appreciate their impact on the Group. More extreme weather patterns arising from global warming have the capacity to damage infrastructure in general, including above ground grid infrastructure, but it is considered unlikely that damage will be caused to generating equipment that is designed to take advantage of weather systems. Appropriate insurance against property damage and business interruption is held for any such eventuality, nonetheless.</w:t>
      </w:r>
    </w:p>
    <w:p w14:paraId="7D69C42F" w14:textId="77777777" w:rsidR="0021298F" w:rsidRDefault="0021298F" w:rsidP="0021298F">
      <w:pPr>
        <w:tabs>
          <w:tab w:val="left" w:pos="1875"/>
        </w:tabs>
        <w:jc w:val="both"/>
        <w:rPr>
          <w:rFonts w:ascii="Arial" w:eastAsia="Times New Roman" w:hAnsi="Arial" w:cs="Arial"/>
        </w:rPr>
      </w:pPr>
    </w:p>
    <w:p w14:paraId="5D98360F" w14:textId="77777777" w:rsidR="0021298F" w:rsidRDefault="0021298F" w:rsidP="0021298F">
      <w:pPr>
        <w:contextualSpacing/>
        <w:jc w:val="both"/>
        <w:rPr>
          <w:rFonts w:ascii="Arial" w:eastAsia="Times New Roman" w:hAnsi="Arial" w:cs="Arial"/>
        </w:rPr>
      </w:pPr>
      <w:r w:rsidRPr="003F2543">
        <w:rPr>
          <w:rFonts w:ascii="Arial" w:eastAsia="Times New Roman" w:hAnsi="Arial" w:cs="Arial"/>
        </w:rPr>
        <w:t>As a full scope UK AIFM, the Investment Manager has established a Risk Management Committee that meets on a quarterly basis to discuss, amongst other matters, the risk framework of the Group and investee companies including processes for identifying, assessing and managing climate related risks.</w:t>
      </w:r>
    </w:p>
    <w:p w14:paraId="335EC85F" w14:textId="77777777" w:rsidR="0021298F" w:rsidRDefault="0021298F" w:rsidP="0021298F">
      <w:pPr>
        <w:contextualSpacing/>
        <w:jc w:val="both"/>
        <w:rPr>
          <w:rFonts w:ascii="Arial" w:eastAsia="Times New Roman" w:hAnsi="Arial" w:cs="Arial"/>
        </w:rPr>
      </w:pPr>
    </w:p>
    <w:p w14:paraId="5639C611" w14:textId="77777777" w:rsidR="0021298F" w:rsidRDefault="0021298F" w:rsidP="0021298F">
      <w:pPr>
        <w:contextualSpacing/>
        <w:jc w:val="both"/>
        <w:rPr>
          <w:rFonts w:ascii="Arial" w:eastAsia="Times New Roman" w:hAnsi="Arial" w:cs="Arial"/>
        </w:rPr>
      </w:pPr>
      <w:r w:rsidRPr="003F2543">
        <w:rPr>
          <w:rFonts w:ascii="Arial" w:eastAsia="Times New Roman" w:hAnsi="Arial" w:cs="Arial"/>
        </w:rPr>
        <w:t>The Investment Manager’s Investment Committee comprises experienced members of the Investment Manager. Whilst making investment decisions, due consideration is given to climate</w:t>
      </w:r>
      <w:r>
        <w:rPr>
          <w:rFonts w:ascii="Arial" w:eastAsia="Times New Roman" w:hAnsi="Arial" w:cs="Arial"/>
        </w:rPr>
        <w:t>-</w:t>
      </w:r>
      <w:r w:rsidRPr="003F2543">
        <w:rPr>
          <w:rFonts w:ascii="Arial" w:eastAsia="Times New Roman" w:hAnsi="Arial" w:cs="Arial"/>
        </w:rPr>
        <w:t xml:space="preserve">related risks </w:t>
      </w:r>
      <w:r>
        <w:rPr>
          <w:rFonts w:ascii="Arial" w:eastAsia="Times New Roman" w:hAnsi="Arial" w:cs="Arial"/>
        </w:rPr>
        <w:t>and</w:t>
      </w:r>
      <w:r w:rsidRPr="003F2543">
        <w:rPr>
          <w:rFonts w:ascii="Arial" w:eastAsia="Times New Roman" w:hAnsi="Arial" w:cs="Arial"/>
        </w:rPr>
        <w:t xml:space="preserve"> opportunities identified during due diligence. The formal ESG checklist used is also consider</w:t>
      </w:r>
      <w:r>
        <w:rPr>
          <w:rFonts w:ascii="Arial" w:eastAsia="Times New Roman" w:hAnsi="Arial" w:cs="Arial"/>
        </w:rPr>
        <w:t>ed</w:t>
      </w:r>
      <w:r w:rsidRPr="003F2543">
        <w:rPr>
          <w:rFonts w:ascii="Arial" w:eastAsia="Times New Roman" w:hAnsi="Arial" w:cs="Arial"/>
        </w:rPr>
        <w:t xml:space="preserve"> by the </w:t>
      </w:r>
      <w:r>
        <w:rPr>
          <w:rFonts w:ascii="Arial" w:eastAsia="Times New Roman" w:hAnsi="Arial" w:cs="Arial"/>
        </w:rPr>
        <w:t>Investment Committee</w:t>
      </w:r>
      <w:r w:rsidRPr="003F2543">
        <w:rPr>
          <w:rFonts w:ascii="Arial" w:eastAsia="Times New Roman" w:hAnsi="Arial" w:cs="Arial"/>
        </w:rPr>
        <w:t xml:space="preserve"> in the approval process of any new investment.</w:t>
      </w:r>
    </w:p>
    <w:p w14:paraId="0170670D" w14:textId="77777777" w:rsidR="0021298F" w:rsidRPr="003F2543" w:rsidRDefault="0021298F" w:rsidP="0021298F">
      <w:pPr>
        <w:contextualSpacing/>
        <w:jc w:val="both"/>
        <w:rPr>
          <w:rFonts w:ascii="Arial" w:eastAsia="Times New Roman" w:hAnsi="Arial" w:cs="Arial"/>
        </w:rPr>
      </w:pPr>
    </w:p>
    <w:p w14:paraId="502E0E47" w14:textId="77777777" w:rsidR="0021298F" w:rsidRDefault="0021298F" w:rsidP="0021298F">
      <w:pPr>
        <w:contextualSpacing/>
        <w:jc w:val="both"/>
        <w:rPr>
          <w:rFonts w:ascii="Arial" w:eastAsia="Times New Roman" w:hAnsi="Arial" w:cs="Arial"/>
        </w:rPr>
      </w:pPr>
      <w:r w:rsidRPr="003F2543">
        <w:rPr>
          <w:rFonts w:ascii="Arial" w:eastAsia="Times New Roman" w:hAnsi="Arial" w:cs="Arial"/>
        </w:rPr>
        <w:t>Ongoing risks for the portfolio are monitored, managed, and reported on by the Investment Manager to the Board.</w:t>
      </w:r>
    </w:p>
    <w:p w14:paraId="11E6883F" w14:textId="77777777" w:rsidR="0021298F" w:rsidRDefault="0021298F" w:rsidP="0021298F">
      <w:pPr>
        <w:contextualSpacing/>
        <w:jc w:val="both"/>
        <w:rPr>
          <w:rFonts w:ascii="Arial" w:eastAsia="Times New Roman" w:hAnsi="Arial" w:cs="Arial"/>
        </w:rPr>
      </w:pPr>
    </w:p>
    <w:p w14:paraId="54059EA5" w14:textId="77777777" w:rsidR="0021298F" w:rsidRPr="000C1DAA" w:rsidRDefault="0021298F" w:rsidP="0021298F">
      <w:pPr>
        <w:contextualSpacing/>
        <w:jc w:val="both"/>
        <w:rPr>
          <w:rFonts w:ascii="Arial" w:eastAsia="Times New Roman" w:hAnsi="Arial" w:cs="Arial"/>
          <w:i/>
          <w:iCs/>
        </w:rPr>
      </w:pPr>
      <w:r w:rsidRPr="000C1DAA">
        <w:rPr>
          <w:rFonts w:ascii="Arial" w:eastAsia="Times New Roman" w:hAnsi="Arial" w:cs="Arial"/>
          <w:i/>
          <w:iCs/>
        </w:rPr>
        <w:t>Metrics</w:t>
      </w:r>
    </w:p>
    <w:p w14:paraId="76A3FDE6" w14:textId="77777777" w:rsidR="0021298F" w:rsidRPr="003F2543" w:rsidRDefault="0021298F" w:rsidP="0021298F">
      <w:pPr>
        <w:contextualSpacing/>
        <w:jc w:val="both"/>
        <w:rPr>
          <w:rFonts w:ascii="Arial" w:eastAsia="Times New Roman" w:hAnsi="Arial" w:cs="Arial"/>
        </w:rPr>
      </w:pPr>
      <w:r w:rsidRPr="003F2543">
        <w:rPr>
          <w:rFonts w:ascii="Arial" w:eastAsia="Times New Roman" w:hAnsi="Arial" w:cs="Arial"/>
        </w:rPr>
        <w:t>In order to monitor, assess and benchmark the Group’s performance across the portfolio, the following ESG-related KPIs are used:</w:t>
      </w:r>
    </w:p>
    <w:p w14:paraId="0C505838" w14:textId="77777777" w:rsidR="0021298F" w:rsidRPr="003F2543" w:rsidRDefault="0021298F" w:rsidP="0021298F">
      <w:pPr>
        <w:contextualSpacing/>
        <w:jc w:val="both"/>
        <w:rPr>
          <w:rFonts w:ascii="Arial" w:eastAsia="Times New Roman" w:hAnsi="Arial" w:cs="Arial"/>
        </w:rPr>
      </w:pPr>
      <w:r w:rsidRPr="003F2543">
        <w:rPr>
          <w:rFonts w:ascii="Arial" w:eastAsia="Times New Roman" w:hAnsi="Arial" w:cs="Arial"/>
        </w:rPr>
        <w:t>•</w:t>
      </w:r>
      <w:r w:rsidRPr="003F2543">
        <w:rPr>
          <w:rFonts w:ascii="Arial" w:eastAsia="Times New Roman" w:hAnsi="Arial" w:cs="Arial"/>
        </w:rPr>
        <w:tab/>
        <w:t>Renewables energy generation</w:t>
      </w:r>
    </w:p>
    <w:p w14:paraId="015512F8" w14:textId="77777777" w:rsidR="0021298F" w:rsidRPr="003F2543" w:rsidRDefault="0021298F" w:rsidP="0021298F">
      <w:pPr>
        <w:contextualSpacing/>
        <w:jc w:val="both"/>
        <w:rPr>
          <w:rFonts w:ascii="Arial" w:eastAsia="Times New Roman" w:hAnsi="Arial" w:cs="Arial"/>
        </w:rPr>
      </w:pPr>
      <w:r w:rsidRPr="003F2543">
        <w:rPr>
          <w:rFonts w:ascii="Arial" w:eastAsia="Times New Roman" w:hAnsi="Arial" w:cs="Arial"/>
        </w:rPr>
        <w:t>•</w:t>
      </w:r>
      <w:r w:rsidRPr="003F2543">
        <w:rPr>
          <w:rFonts w:ascii="Arial" w:eastAsia="Times New Roman" w:hAnsi="Arial" w:cs="Arial"/>
        </w:rPr>
        <w:tab/>
        <w:t>CO2 savings</w:t>
      </w:r>
    </w:p>
    <w:p w14:paraId="37C57788" w14:textId="77777777" w:rsidR="0021298F" w:rsidRPr="003F2543" w:rsidRDefault="0021298F" w:rsidP="0021298F">
      <w:pPr>
        <w:contextualSpacing/>
        <w:jc w:val="both"/>
        <w:rPr>
          <w:rFonts w:ascii="Arial" w:eastAsia="Times New Roman" w:hAnsi="Arial" w:cs="Arial"/>
        </w:rPr>
      </w:pPr>
      <w:r w:rsidRPr="003F2543">
        <w:rPr>
          <w:rFonts w:ascii="Arial" w:eastAsia="Times New Roman" w:hAnsi="Arial" w:cs="Arial"/>
        </w:rPr>
        <w:lastRenderedPageBreak/>
        <w:t>•</w:t>
      </w:r>
      <w:r w:rsidRPr="003F2543">
        <w:rPr>
          <w:rFonts w:ascii="Arial" w:eastAsia="Times New Roman" w:hAnsi="Arial" w:cs="Arial"/>
        </w:rPr>
        <w:tab/>
        <w:t>Equivalent no. of homes powered</w:t>
      </w:r>
    </w:p>
    <w:p w14:paraId="2D87622B" w14:textId="77777777" w:rsidR="0021298F" w:rsidRPr="003F2543" w:rsidRDefault="0021298F" w:rsidP="0021298F">
      <w:pPr>
        <w:contextualSpacing/>
        <w:jc w:val="both"/>
        <w:rPr>
          <w:rFonts w:ascii="Arial" w:eastAsia="Times New Roman" w:hAnsi="Arial" w:cs="Arial"/>
        </w:rPr>
      </w:pPr>
      <w:r w:rsidRPr="003F2543">
        <w:rPr>
          <w:rFonts w:ascii="Arial" w:eastAsia="Times New Roman" w:hAnsi="Arial" w:cs="Arial"/>
        </w:rPr>
        <w:t>•</w:t>
      </w:r>
      <w:r w:rsidRPr="003F2543">
        <w:rPr>
          <w:rFonts w:ascii="Arial" w:eastAsia="Times New Roman" w:hAnsi="Arial" w:cs="Arial"/>
        </w:rPr>
        <w:tab/>
        <w:t>Number of environmental habitat management plans</w:t>
      </w:r>
    </w:p>
    <w:p w14:paraId="3DCDCEAF" w14:textId="77777777" w:rsidR="0021298F" w:rsidRPr="003F2543" w:rsidRDefault="0021298F" w:rsidP="0021298F">
      <w:pPr>
        <w:contextualSpacing/>
        <w:jc w:val="both"/>
        <w:rPr>
          <w:rFonts w:ascii="Arial" w:eastAsia="Times New Roman" w:hAnsi="Arial" w:cs="Arial"/>
        </w:rPr>
      </w:pPr>
      <w:r w:rsidRPr="003F2543">
        <w:rPr>
          <w:rFonts w:ascii="Arial" w:eastAsia="Times New Roman" w:hAnsi="Arial" w:cs="Arial"/>
        </w:rPr>
        <w:t>•</w:t>
      </w:r>
      <w:r w:rsidRPr="003F2543">
        <w:rPr>
          <w:rFonts w:ascii="Arial" w:eastAsia="Times New Roman" w:hAnsi="Arial" w:cs="Arial"/>
        </w:rPr>
        <w:tab/>
        <w:t>Number of internal and external health and safety audit visits</w:t>
      </w:r>
    </w:p>
    <w:p w14:paraId="1B7ED8DB" w14:textId="77777777" w:rsidR="0021298F" w:rsidRPr="003F2543" w:rsidRDefault="0021298F" w:rsidP="0021298F">
      <w:pPr>
        <w:contextualSpacing/>
        <w:jc w:val="both"/>
        <w:rPr>
          <w:rFonts w:ascii="Arial" w:eastAsia="Times New Roman" w:hAnsi="Arial" w:cs="Arial"/>
        </w:rPr>
      </w:pPr>
      <w:r w:rsidRPr="003F2543">
        <w:rPr>
          <w:rFonts w:ascii="Arial" w:eastAsia="Times New Roman" w:hAnsi="Arial" w:cs="Arial"/>
        </w:rPr>
        <w:t>•</w:t>
      </w:r>
      <w:r w:rsidRPr="003F2543">
        <w:rPr>
          <w:rFonts w:ascii="Arial" w:eastAsia="Times New Roman" w:hAnsi="Arial" w:cs="Arial"/>
        </w:rPr>
        <w:tab/>
        <w:t>Amount invested in community funds or social projects in the reporting year</w:t>
      </w:r>
    </w:p>
    <w:p w14:paraId="6C5215C2" w14:textId="77777777" w:rsidR="0021298F" w:rsidRPr="003F2543" w:rsidRDefault="0021298F" w:rsidP="0021298F">
      <w:pPr>
        <w:ind w:left="720" w:hanging="720"/>
        <w:contextualSpacing/>
        <w:jc w:val="both"/>
        <w:rPr>
          <w:rFonts w:ascii="Arial" w:eastAsia="Times New Roman" w:hAnsi="Arial" w:cs="Arial"/>
        </w:rPr>
      </w:pPr>
      <w:r w:rsidRPr="003F2543">
        <w:rPr>
          <w:rFonts w:ascii="Arial" w:eastAsia="Times New Roman" w:hAnsi="Arial" w:cs="Arial"/>
        </w:rPr>
        <w:t>•</w:t>
      </w:r>
      <w:r w:rsidRPr="003F2543">
        <w:rPr>
          <w:rFonts w:ascii="Arial" w:eastAsia="Times New Roman" w:hAnsi="Arial" w:cs="Arial"/>
        </w:rPr>
        <w:tab/>
        <w:t xml:space="preserve">Appropriate internal controls / audit system/ board level oversight at Company </w:t>
      </w:r>
      <w:r>
        <w:rPr>
          <w:rFonts w:ascii="Arial" w:eastAsia="Times New Roman" w:hAnsi="Arial" w:cs="Arial"/>
        </w:rPr>
        <w:t xml:space="preserve">and SPV </w:t>
      </w:r>
      <w:r w:rsidRPr="003F2543">
        <w:rPr>
          <w:rFonts w:ascii="Arial" w:eastAsia="Times New Roman" w:hAnsi="Arial" w:cs="Arial"/>
        </w:rPr>
        <w:t>level</w:t>
      </w:r>
    </w:p>
    <w:p w14:paraId="2419A944" w14:textId="77777777" w:rsidR="0021298F" w:rsidRPr="003F2543" w:rsidRDefault="0021298F" w:rsidP="0021298F">
      <w:pPr>
        <w:contextualSpacing/>
        <w:jc w:val="both"/>
        <w:rPr>
          <w:rFonts w:ascii="Arial" w:eastAsia="Times New Roman" w:hAnsi="Arial" w:cs="Arial"/>
        </w:rPr>
      </w:pPr>
      <w:r w:rsidRPr="003F2543">
        <w:rPr>
          <w:rFonts w:ascii="Arial" w:eastAsia="Times New Roman" w:hAnsi="Arial" w:cs="Arial"/>
        </w:rPr>
        <w:t>•</w:t>
      </w:r>
      <w:r w:rsidRPr="003F2543">
        <w:rPr>
          <w:rFonts w:ascii="Arial" w:eastAsia="Times New Roman" w:hAnsi="Arial" w:cs="Arial"/>
        </w:rPr>
        <w:tab/>
        <w:t xml:space="preserve">Policies in place at SPV </w:t>
      </w:r>
      <w:r>
        <w:rPr>
          <w:rFonts w:ascii="Arial" w:eastAsia="Times New Roman" w:hAnsi="Arial" w:cs="Arial"/>
        </w:rPr>
        <w:t>l</w:t>
      </w:r>
      <w:r w:rsidRPr="003F2543">
        <w:rPr>
          <w:rFonts w:ascii="Arial" w:eastAsia="Times New Roman" w:hAnsi="Arial" w:cs="Arial"/>
        </w:rPr>
        <w:t>evel</w:t>
      </w:r>
    </w:p>
    <w:p w14:paraId="077F5DDD" w14:textId="77777777" w:rsidR="0021298F" w:rsidRPr="003F2543" w:rsidRDefault="0021298F" w:rsidP="0021298F">
      <w:pPr>
        <w:contextualSpacing/>
        <w:jc w:val="both"/>
        <w:rPr>
          <w:rFonts w:ascii="Arial" w:eastAsia="Times New Roman" w:hAnsi="Arial" w:cs="Arial"/>
        </w:rPr>
      </w:pPr>
    </w:p>
    <w:p w14:paraId="3C4097B0" w14:textId="77777777" w:rsidR="0021298F" w:rsidRDefault="0021298F" w:rsidP="0021298F">
      <w:pPr>
        <w:contextualSpacing/>
        <w:jc w:val="both"/>
        <w:rPr>
          <w:rFonts w:ascii="Arial" w:eastAsia="Times New Roman" w:hAnsi="Arial" w:cs="Arial"/>
        </w:rPr>
      </w:pPr>
      <w:r w:rsidRPr="003F2543">
        <w:rPr>
          <w:rFonts w:ascii="Arial" w:eastAsia="Times New Roman" w:hAnsi="Arial" w:cs="Arial"/>
        </w:rPr>
        <w:t xml:space="preserve">Given the size of the Group’s investment portfolio </w:t>
      </w:r>
      <w:r>
        <w:rPr>
          <w:rFonts w:ascii="Arial" w:eastAsia="Times New Roman" w:hAnsi="Arial" w:cs="Arial"/>
        </w:rPr>
        <w:t>at</w:t>
      </w:r>
      <w:r w:rsidRPr="003F2543">
        <w:rPr>
          <w:rFonts w:ascii="Arial" w:eastAsia="Times New Roman" w:hAnsi="Arial" w:cs="Arial"/>
        </w:rPr>
        <w:t xml:space="preserve"> 31 December 2020, the </w:t>
      </w:r>
      <w:r>
        <w:rPr>
          <w:rFonts w:ascii="Arial" w:eastAsia="Times New Roman" w:hAnsi="Arial" w:cs="Arial"/>
        </w:rPr>
        <w:t>Group’s</w:t>
      </w:r>
      <w:r w:rsidRPr="003F2543">
        <w:rPr>
          <w:rFonts w:ascii="Arial" w:eastAsia="Times New Roman" w:hAnsi="Arial" w:cs="Arial"/>
        </w:rPr>
        <w:t xml:space="preserve"> CO</w:t>
      </w:r>
      <w:r w:rsidRPr="000C1DAA">
        <w:rPr>
          <w:rFonts w:ascii="Arial" w:eastAsia="Times New Roman" w:hAnsi="Arial" w:cs="Arial"/>
          <w:vertAlign w:val="subscript"/>
        </w:rPr>
        <w:t>2</w:t>
      </w:r>
      <w:r w:rsidRPr="003F2543">
        <w:rPr>
          <w:rFonts w:ascii="Arial" w:eastAsia="Times New Roman" w:hAnsi="Arial" w:cs="Arial"/>
        </w:rPr>
        <w:t xml:space="preserve"> emission reductions are approximately 0.6 million tonnes per annum. The portfolio is also generating sufficient electricity to power 0.</w:t>
      </w:r>
      <w:r>
        <w:rPr>
          <w:rFonts w:ascii="Arial" w:eastAsia="Times New Roman" w:hAnsi="Arial" w:cs="Arial"/>
        </w:rPr>
        <w:t>4</w:t>
      </w:r>
      <w:r w:rsidRPr="003F2543">
        <w:rPr>
          <w:rFonts w:ascii="Arial" w:eastAsia="Times New Roman" w:hAnsi="Arial" w:cs="Arial"/>
        </w:rPr>
        <w:t xml:space="preserve"> million homes per annum.</w:t>
      </w:r>
    </w:p>
    <w:p w14:paraId="150821D1" w14:textId="77777777" w:rsidR="0021298F" w:rsidRDefault="0021298F" w:rsidP="0021298F">
      <w:pPr>
        <w:jc w:val="both"/>
        <w:rPr>
          <w:rFonts w:ascii="Arial" w:eastAsia="Times New Roman" w:hAnsi="Arial" w:cs="Arial"/>
        </w:rPr>
      </w:pPr>
      <w:r w:rsidRPr="003F2543">
        <w:rPr>
          <w:rFonts w:ascii="Arial" w:eastAsia="Times New Roman" w:hAnsi="Arial" w:cs="Arial"/>
        </w:rPr>
        <w:t xml:space="preserve">These ESG and climate-related metrics can be found in the Company’s ESG report available on the Company’s website: </w:t>
      </w:r>
      <w:hyperlink r:id="rId18" w:history="1">
        <w:r w:rsidRPr="00FE4028">
          <w:rPr>
            <w:rStyle w:val="Hyperlink"/>
            <w:rFonts w:ascii="Arial" w:eastAsia="Times New Roman" w:hAnsi="Arial" w:cs="Arial"/>
          </w:rPr>
          <w:t>www.greencoat-renewables.com</w:t>
        </w:r>
      </w:hyperlink>
      <w:r w:rsidRPr="003F2543">
        <w:rPr>
          <w:rFonts w:ascii="Arial" w:eastAsia="Times New Roman" w:hAnsi="Arial" w:cs="Arial"/>
        </w:rPr>
        <w:t>.</w:t>
      </w:r>
    </w:p>
    <w:p w14:paraId="74061176" w14:textId="77777777" w:rsidR="0021298F" w:rsidRPr="00500322" w:rsidRDefault="0021298F" w:rsidP="0021298F">
      <w:pPr>
        <w:pStyle w:val="Heading3"/>
        <w:spacing w:before="0"/>
        <w:jc w:val="both"/>
        <w:rPr>
          <w:rFonts w:ascii="Arial" w:hAnsi="Arial" w:cs="Arial"/>
          <w:color w:val="auto"/>
        </w:rPr>
      </w:pPr>
      <w:r w:rsidRPr="00500322">
        <w:rPr>
          <w:rFonts w:ascii="Arial" w:hAnsi="Arial" w:cs="Arial"/>
          <w:color w:val="auto"/>
        </w:rPr>
        <w:t>Global Greenhouse Gas Emissions</w:t>
      </w:r>
    </w:p>
    <w:p w14:paraId="27D8C119" w14:textId="77777777" w:rsidR="0021298F" w:rsidRPr="00500322" w:rsidRDefault="0021298F" w:rsidP="0021298F">
      <w:pPr>
        <w:jc w:val="both"/>
        <w:rPr>
          <w:rFonts w:ascii="Arial" w:eastAsia="Times New Roman" w:hAnsi="Arial" w:cs="Arial"/>
        </w:rPr>
      </w:pPr>
      <w:r w:rsidRPr="00500322">
        <w:rPr>
          <w:rFonts w:ascii="Arial" w:eastAsia="Times New Roman" w:hAnsi="Arial" w:cs="Arial"/>
        </w:rPr>
        <w:t>As the Group has outsourced operations to third parties, there are no significant greenhouse gas emissions to report from the operations of the Group.</w:t>
      </w:r>
    </w:p>
    <w:p w14:paraId="41749ED8" w14:textId="77777777" w:rsidR="0021298F" w:rsidRPr="00500322" w:rsidRDefault="0021298F" w:rsidP="0021298F">
      <w:pPr>
        <w:jc w:val="both"/>
        <w:rPr>
          <w:rFonts w:ascii="Arial" w:eastAsia="Times New Roman" w:hAnsi="Arial" w:cs="Arial"/>
        </w:rPr>
      </w:pPr>
    </w:p>
    <w:p w14:paraId="31FE983D" w14:textId="77777777" w:rsidR="0021298F" w:rsidRDefault="0021298F" w:rsidP="0021298F">
      <w:pPr>
        <w:jc w:val="both"/>
        <w:rPr>
          <w:rFonts w:ascii="Arial" w:eastAsia="Times New Roman" w:hAnsi="Arial" w:cs="Arial"/>
        </w:rPr>
      </w:pPr>
      <w:r w:rsidRPr="00500322">
        <w:rPr>
          <w:rFonts w:ascii="Arial" w:eastAsia="Times New Roman" w:hAnsi="Arial" w:cs="Arial"/>
        </w:rPr>
        <w:t xml:space="preserve">In relation to the Group’s investee companies, the level of greenhouse gas emissions arising from the low volume of electricity imports and from operation and maintenance activity is not considered material for disclosure purposes. Further, as the assets are renewable energy generators, they reduce carbon dioxide emissions on a net basis (at a rate of approximately </w:t>
      </w:r>
      <w:r>
        <w:rPr>
          <w:rFonts w:ascii="Arial" w:eastAsia="Times New Roman" w:hAnsi="Arial" w:cs="Arial"/>
        </w:rPr>
        <w:t>0.4</w:t>
      </w:r>
      <w:r w:rsidRPr="00500322">
        <w:rPr>
          <w:rFonts w:ascii="Arial" w:eastAsia="Times New Roman" w:hAnsi="Arial" w:cs="Arial"/>
        </w:rPr>
        <w:t>tn CO</w:t>
      </w:r>
      <w:r w:rsidRPr="000C1DAA">
        <w:rPr>
          <w:rFonts w:ascii="Arial" w:eastAsia="Times New Roman" w:hAnsi="Arial" w:cs="Arial"/>
          <w:vertAlign w:val="subscript"/>
        </w:rPr>
        <w:t>2</w:t>
      </w:r>
      <w:r w:rsidRPr="00500322">
        <w:rPr>
          <w:rFonts w:ascii="Arial" w:eastAsia="Times New Roman" w:hAnsi="Arial" w:cs="Arial"/>
        </w:rPr>
        <w:t xml:space="preserve"> per MWh).</w:t>
      </w:r>
    </w:p>
    <w:p w14:paraId="0F2338DA" w14:textId="77777777" w:rsidR="0021298F" w:rsidRPr="00660DCB" w:rsidRDefault="0021298F" w:rsidP="0021298F">
      <w:pPr>
        <w:jc w:val="both"/>
        <w:rPr>
          <w:rFonts w:ascii="Arial" w:hAnsi="Arial" w:cs="Arial"/>
          <w:b/>
        </w:rPr>
      </w:pPr>
    </w:p>
    <w:p w14:paraId="5548AAC2" w14:textId="77777777" w:rsidR="0021298F" w:rsidRPr="00382C2F" w:rsidRDefault="0021298F" w:rsidP="0021298F">
      <w:pPr>
        <w:pStyle w:val="Heading3"/>
        <w:spacing w:before="0"/>
        <w:jc w:val="both"/>
        <w:rPr>
          <w:rFonts w:ascii="Arial" w:hAnsi="Arial" w:cs="Arial"/>
          <w:i/>
          <w:color w:val="auto"/>
        </w:rPr>
      </w:pPr>
      <w:r w:rsidRPr="00500322">
        <w:rPr>
          <w:rFonts w:ascii="Arial" w:hAnsi="Arial" w:cs="Arial"/>
          <w:color w:val="auto"/>
        </w:rPr>
        <w:t>Employees and Officers of the Company</w:t>
      </w:r>
    </w:p>
    <w:p w14:paraId="5FCBAAB8" w14:textId="77777777" w:rsidR="0021298F" w:rsidRDefault="0021298F" w:rsidP="0021298F">
      <w:pPr>
        <w:tabs>
          <w:tab w:val="left" w:pos="1875"/>
        </w:tabs>
        <w:jc w:val="both"/>
        <w:rPr>
          <w:rFonts w:ascii="Arial" w:eastAsia="Times New Roman" w:hAnsi="Arial" w:cs="Arial"/>
        </w:rPr>
      </w:pPr>
      <w:r w:rsidRPr="00AC0336">
        <w:rPr>
          <w:rFonts w:ascii="Arial" w:eastAsia="Times New Roman" w:hAnsi="Arial" w:cs="Arial"/>
          <w:iCs/>
        </w:rPr>
        <w:t>The Company does not have any employees</w:t>
      </w:r>
      <w:r w:rsidRPr="009B7D52">
        <w:rPr>
          <w:rFonts w:ascii="Arial" w:eastAsia="Times New Roman" w:hAnsi="Arial" w:cs="Arial"/>
          <w:iCs/>
        </w:rPr>
        <w:t xml:space="preserve"> but</w:t>
      </w:r>
      <w:r w:rsidRPr="00500322">
        <w:rPr>
          <w:rFonts w:ascii="Arial" w:eastAsia="Times New Roman" w:hAnsi="Arial" w:cs="Arial"/>
        </w:rPr>
        <w:t xml:space="preserve"> instead engages experienced third parties to operate the assets that it owns, therefore employee policies are not required. The Directors of the Company are listed</w:t>
      </w:r>
      <w:r>
        <w:rPr>
          <w:rFonts w:ascii="Arial" w:eastAsia="Times New Roman" w:hAnsi="Arial" w:cs="Arial"/>
        </w:rPr>
        <w:t xml:space="preserve"> in the Board of Directors section</w:t>
      </w:r>
      <w:r w:rsidRPr="0073684C">
        <w:rPr>
          <w:rFonts w:ascii="Arial" w:eastAsia="Times New Roman" w:hAnsi="Arial" w:cs="Arial"/>
        </w:rPr>
        <w:t>.</w:t>
      </w:r>
      <w:r w:rsidRPr="00500322">
        <w:rPr>
          <w:rFonts w:ascii="Arial" w:eastAsia="Times New Roman" w:hAnsi="Arial" w:cs="Arial"/>
        </w:rPr>
        <w:t xml:space="preserve"> </w:t>
      </w:r>
    </w:p>
    <w:p w14:paraId="2361314F" w14:textId="77777777" w:rsidR="0021298F" w:rsidRDefault="0021298F" w:rsidP="0021298F">
      <w:pPr>
        <w:tabs>
          <w:tab w:val="left" w:pos="1875"/>
        </w:tabs>
        <w:jc w:val="both"/>
        <w:rPr>
          <w:rFonts w:ascii="Arial" w:eastAsia="Times New Roman" w:hAnsi="Arial" w:cs="Arial"/>
        </w:rPr>
      </w:pPr>
    </w:p>
    <w:p w14:paraId="62AD5CB8" w14:textId="77777777" w:rsidR="0021298F" w:rsidRPr="00586153" w:rsidRDefault="0021298F" w:rsidP="0021298F">
      <w:pPr>
        <w:tabs>
          <w:tab w:val="left" w:pos="1875"/>
        </w:tabs>
        <w:jc w:val="both"/>
        <w:rPr>
          <w:rFonts w:ascii="Arial" w:eastAsia="Times New Roman" w:hAnsi="Arial" w:cs="Arial"/>
          <w:b/>
          <w:bCs/>
        </w:rPr>
      </w:pPr>
      <w:r w:rsidRPr="00586153">
        <w:rPr>
          <w:rFonts w:ascii="Arial" w:eastAsia="Times New Roman" w:hAnsi="Arial" w:cs="Arial"/>
          <w:b/>
          <w:bCs/>
        </w:rPr>
        <w:t>Diversity</w:t>
      </w:r>
    </w:p>
    <w:p w14:paraId="2FCAE173" w14:textId="77777777" w:rsidR="0021298F" w:rsidRDefault="0021298F" w:rsidP="0021298F">
      <w:pPr>
        <w:tabs>
          <w:tab w:val="left" w:pos="1875"/>
        </w:tabs>
        <w:jc w:val="both"/>
        <w:rPr>
          <w:rFonts w:ascii="Arial" w:eastAsia="Times New Roman" w:hAnsi="Arial" w:cs="Arial"/>
        </w:rPr>
      </w:pPr>
      <w:r w:rsidRPr="00CC538A">
        <w:rPr>
          <w:rFonts w:ascii="Arial" w:eastAsia="Times New Roman" w:hAnsi="Arial" w:cs="Arial"/>
        </w:rPr>
        <w:t>The Group’s policy on diversity is detailed in the Corporate Governance Report</w:t>
      </w:r>
      <w:r w:rsidRPr="0073684C">
        <w:rPr>
          <w:rFonts w:ascii="Arial" w:eastAsia="Times New Roman" w:hAnsi="Arial" w:cs="Arial"/>
        </w:rPr>
        <w:t>.</w:t>
      </w:r>
    </w:p>
    <w:p w14:paraId="1537D41E" w14:textId="77777777" w:rsidR="0021298F" w:rsidRPr="00CC538A" w:rsidRDefault="0021298F" w:rsidP="0021298F">
      <w:pPr>
        <w:tabs>
          <w:tab w:val="left" w:pos="1875"/>
        </w:tabs>
        <w:jc w:val="both"/>
        <w:rPr>
          <w:rFonts w:ascii="Arial" w:eastAsia="Times New Roman" w:hAnsi="Arial" w:cs="Arial"/>
        </w:rPr>
      </w:pPr>
    </w:p>
    <w:p w14:paraId="19D1467D" w14:textId="77777777" w:rsidR="0021298F" w:rsidRPr="00500322" w:rsidRDefault="0021298F" w:rsidP="0021298F">
      <w:pPr>
        <w:pStyle w:val="Heading3"/>
        <w:spacing w:before="0"/>
        <w:jc w:val="both"/>
        <w:rPr>
          <w:rFonts w:ascii="Arial" w:hAnsi="Arial" w:cs="Arial"/>
          <w:color w:val="auto"/>
        </w:rPr>
      </w:pPr>
      <w:r w:rsidRPr="00500322">
        <w:rPr>
          <w:rFonts w:ascii="Arial" w:hAnsi="Arial" w:cs="Arial"/>
          <w:color w:val="auto"/>
        </w:rPr>
        <w:t>Principal Risks and Risk Management</w:t>
      </w:r>
    </w:p>
    <w:p w14:paraId="0C89D6BF" w14:textId="77777777" w:rsidR="0021298F" w:rsidRPr="00500322" w:rsidRDefault="0021298F" w:rsidP="0021298F">
      <w:pPr>
        <w:jc w:val="both"/>
        <w:rPr>
          <w:rFonts w:ascii="Arial" w:eastAsia="Times New Roman" w:hAnsi="Arial" w:cs="Arial"/>
        </w:rPr>
      </w:pPr>
      <w:r w:rsidRPr="00500322">
        <w:rPr>
          <w:rFonts w:ascii="Arial" w:eastAsia="Times New Roman" w:hAnsi="Arial" w:cs="Arial"/>
        </w:rPr>
        <w:t xml:space="preserve">In the normal course of business, each investee company has a rigorous risk management framework with a comprehensive risk register that is reviewed and updated regularly and approved by its board. </w:t>
      </w:r>
    </w:p>
    <w:p w14:paraId="1F000CBE" w14:textId="77777777" w:rsidR="0021298F" w:rsidRPr="00500322" w:rsidRDefault="0021298F" w:rsidP="0021298F">
      <w:pPr>
        <w:jc w:val="both"/>
        <w:rPr>
          <w:rFonts w:ascii="Arial" w:eastAsia="Times New Roman" w:hAnsi="Arial" w:cs="Arial"/>
        </w:rPr>
      </w:pPr>
    </w:p>
    <w:p w14:paraId="5FF5A711" w14:textId="77777777" w:rsidR="0021298F" w:rsidRPr="0090207E" w:rsidRDefault="0021298F" w:rsidP="0021298F">
      <w:pPr>
        <w:jc w:val="both"/>
        <w:rPr>
          <w:rFonts w:ascii="Arial" w:eastAsia="Times New Roman" w:hAnsi="Arial" w:cs="Arial"/>
        </w:rPr>
      </w:pPr>
      <w:r w:rsidRPr="0090207E">
        <w:rPr>
          <w:rFonts w:ascii="Arial" w:eastAsia="Times New Roman" w:hAnsi="Arial" w:cs="Arial"/>
        </w:rPr>
        <w:t>The Board maintains a risk matrix considering the risks affecting both the Group and the investee companies. This risk matrix is reviewed and updated annually to ensure that procedures are in place to identify, mitigate and minimise the impact of risks should they crystallise</w:t>
      </w:r>
      <w:r>
        <w:rPr>
          <w:rFonts w:ascii="Arial" w:eastAsia="Times New Roman" w:hAnsi="Arial" w:cs="Arial"/>
        </w:rPr>
        <w:t xml:space="preserve">. The risk matrix is also reviewed and updated </w:t>
      </w:r>
      <w:r w:rsidRPr="0090207E">
        <w:rPr>
          <w:rFonts w:ascii="Arial" w:eastAsia="Times New Roman" w:hAnsi="Arial" w:cs="Arial"/>
        </w:rPr>
        <w:t>to identify emerging risks</w:t>
      </w:r>
      <w:r>
        <w:rPr>
          <w:rFonts w:ascii="Arial" w:eastAsia="Times New Roman" w:hAnsi="Arial" w:cs="Arial"/>
        </w:rPr>
        <w:t>, such as climate-related risks,</w:t>
      </w:r>
      <w:r w:rsidRPr="0090207E">
        <w:rPr>
          <w:rFonts w:ascii="Arial" w:eastAsia="Times New Roman" w:hAnsi="Arial" w:cs="Arial"/>
        </w:rPr>
        <w:t xml:space="preserve"> and to determine whether any actions are required. This enables the Board to carry out a robust assessment of the risks facing the Group, including those principal risks that would threaten its business model, future performance, solvency or liquidity. </w:t>
      </w:r>
    </w:p>
    <w:p w14:paraId="6E173368" w14:textId="77777777" w:rsidR="0021298F" w:rsidRPr="0090207E" w:rsidRDefault="0021298F" w:rsidP="0021298F">
      <w:pPr>
        <w:jc w:val="both"/>
        <w:rPr>
          <w:rFonts w:ascii="Arial" w:eastAsia="Times New Roman" w:hAnsi="Arial" w:cs="Arial"/>
        </w:rPr>
      </w:pPr>
    </w:p>
    <w:p w14:paraId="0B1BFCC5" w14:textId="77777777" w:rsidR="0021298F" w:rsidRDefault="0021298F" w:rsidP="0021298F">
      <w:pPr>
        <w:jc w:val="both"/>
        <w:rPr>
          <w:rFonts w:ascii="Arial" w:eastAsia="Times New Roman" w:hAnsi="Arial" w:cs="Arial"/>
        </w:rPr>
      </w:pPr>
      <w:r w:rsidRPr="0090207E">
        <w:rPr>
          <w:rFonts w:ascii="Arial" w:eastAsia="Times New Roman" w:hAnsi="Arial" w:cs="Arial"/>
        </w:rPr>
        <w:t xml:space="preserve">The risk appetite of the Group is considered in light of the principal risks and their alignment with the Company’s Investment Objective. The Board considers the risk appetite of the Group and the Company’s adherence to the Investment Policy in the context of the regulatory environment taking into account, inter alia, gearing and </w:t>
      </w:r>
      <w:r w:rsidRPr="0090207E">
        <w:rPr>
          <w:rFonts w:ascii="Arial" w:eastAsia="Times New Roman" w:hAnsi="Arial" w:cs="Arial"/>
        </w:rPr>
        <w:lastRenderedPageBreak/>
        <w:t xml:space="preserve">financing risk, wind resource risk, the level of exposure to power prices </w:t>
      </w:r>
      <w:r>
        <w:rPr>
          <w:rFonts w:ascii="Arial" w:eastAsia="Times New Roman" w:hAnsi="Arial" w:cs="Arial"/>
        </w:rPr>
        <w:t>as well as</w:t>
      </w:r>
      <w:r w:rsidRPr="0090207E">
        <w:rPr>
          <w:rFonts w:ascii="Arial" w:eastAsia="Times New Roman" w:hAnsi="Arial" w:cs="Arial"/>
        </w:rPr>
        <w:t xml:space="preserve"> environmental and health and safety risks.</w:t>
      </w:r>
    </w:p>
    <w:p w14:paraId="4BBCB8E7" w14:textId="77777777" w:rsidR="0021298F" w:rsidRPr="00500322" w:rsidRDefault="0021298F" w:rsidP="0021298F">
      <w:pPr>
        <w:jc w:val="both"/>
        <w:rPr>
          <w:rFonts w:ascii="Arial" w:eastAsia="Times New Roman" w:hAnsi="Arial" w:cs="Arial"/>
        </w:rPr>
      </w:pPr>
    </w:p>
    <w:p w14:paraId="220E5D9F" w14:textId="77777777" w:rsidR="0021298F" w:rsidRPr="00500322" w:rsidRDefault="0021298F" w:rsidP="0021298F">
      <w:pPr>
        <w:jc w:val="both"/>
        <w:rPr>
          <w:rFonts w:ascii="Arial" w:eastAsia="Times New Roman" w:hAnsi="Arial" w:cs="Arial"/>
        </w:rPr>
      </w:pPr>
      <w:r w:rsidRPr="00500322">
        <w:rPr>
          <w:rFonts w:ascii="Arial" w:eastAsia="Times New Roman" w:hAnsi="Arial" w:cs="Arial"/>
        </w:rPr>
        <w:t xml:space="preserve">As it is not possible to eliminate risks completely, the purpose of the Group’s risk management policies and procedures is not to eliminate risks, but to reduce them to ensure that the Group is adequately prepared to respond to such risks and to minimise any impact if the risk develops. </w:t>
      </w:r>
    </w:p>
    <w:p w14:paraId="1C2A5F3A" w14:textId="77777777" w:rsidR="0021298F" w:rsidRPr="00500322" w:rsidRDefault="0021298F" w:rsidP="0021298F">
      <w:pPr>
        <w:jc w:val="both"/>
        <w:rPr>
          <w:rFonts w:ascii="Arial" w:eastAsia="Times New Roman" w:hAnsi="Arial" w:cs="Arial"/>
          <w:highlight w:val="yellow"/>
        </w:rPr>
      </w:pPr>
    </w:p>
    <w:p w14:paraId="2093EBF8" w14:textId="77777777" w:rsidR="0021298F" w:rsidRDefault="0021298F" w:rsidP="0021298F">
      <w:pPr>
        <w:pStyle w:val="Heading3"/>
        <w:spacing w:before="0"/>
        <w:jc w:val="both"/>
        <w:rPr>
          <w:rFonts w:ascii="Arial" w:eastAsia="Times New Roman" w:hAnsi="Arial" w:cs="Arial"/>
          <w:b/>
          <w:bCs/>
          <w:color w:val="auto"/>
        </w:rPr>
      </w:pPr>
      <w:r w:rsidRPr="0090207E">
        <w:rPr>
          <w:rFonts w:ascii="Arial" w:eastAsia="Times New Roman" w:hAnsi="Arial" w:cs="Arial"/>
          <w:color w:val="auto"/>
        </w:rPr>
        <w:t xml:space="preserve">The </w:t>
      </w:r>
      <w:r>
        <w:rPr>
          <w:rFonts w:ascii="Arial" w:eastAsia="Times New Roman" w:hAnsi="Arial" w:cs="Arial"/>
          <w:color w:val="auto"/>
        </w:rPr>
        <w:t xml:space="preserve">geographical </w:t>
      </w:r>
      <w:r w:rsidRPr="0090207E">
        <w:rPr>
          <w:rFonts w:ascii="Arial" w:eastAsia="Times New Roman" w:hAnsi="Arial" w:cs="Arial"/>
          <w:color w:val="auto"/>
        </w:rPr>
        <w:t>spread of assets within the portfolio</w:t>
      </w:r>
      <w:r>
        <w:rPr>
          <w:rFonts w:ascii="Arial" w:eastAsia="Times New Roman" w:hAnsi="Arial" w:cs="Arial"/>
          <w:color w:val="auto"/>
        </w:rPr>
        <w:t>s in Ireland and France</w:t>
      </w:r>
      <w:r w:rsidRPr="0090207E">
        <w:rPr>
          <w:rFonts w:ascii="Arial" w:eastAsia="Times New Roman" w:hAnsi="Arial" w:cs="Arial"/>
          <w:color w:val="auto"/>
        </w:rPr>
        <w:t xml:space="preserve"> ensure that the</w:t>
      </w:r>
      <w:r>
        <w:rPr>
          <w:rFonts w:ascii="Arial" w:eastAsia="Times New Roman" w:hAnsi="Arial" w:cs="Arial"/>
          <w:color w:val="auto"/>
        </w:rPr>
        <w:t>re are</w:t>
      </w:r>
      <w:r w:rsidRPr="0090207E">
        <w:rPr>
          <w:rFonts w:ascii="Arial" w:eastAsia="Times New Roman" w:hAnsi="Arial" w:cs="Arial"/>
          <w:color w:val="auto"/>
        </w:rPr>
        <w:t xml:space="preserve"> benefits from a diversified wind resource and spreads the exposure to a number of potential technical risks associated with grid connections and with local distribution and national transmission networks. In addition, the portfolio includes </w:t>
      </w:r>
      <w:r>
        <w:rPr>
          <w:rFonts w:ascii="Arial" w:eastAsia="Times New Roman" w:hAnsi="Arial" w:cs="Arial"/>
          <w:color w:val="auto"/>
        </w:rPr>
        <w:t>5</w:t>
      </w:r>
      <w:r w:rsidRPr="0090207E">
        <w:rPr>
          <w:rFonts w:ascii="Arial" w:eastAsia="Times New Roman" w:hAnsi="Arial" w:cs="Arial"/>
          <w:color w:val="auto"/>
        </w:rPr>
        <w:t xml:space="preserve"> different turbine manufacturers, which diversifies technology and maintenance risks. Finally, each site contains a number of individual turbines, the performance of which is largely independent of other turbines. </w:t>
      </w:r>
    </w:p>
    <w:p w14:paraId="65D04FE6" w14:textId="77777777" w:rsidR="0021298F" w:rsidRDefault="0021298F" w:rsidP="0021298F"/>
    <w:p w14:paraId="03961D59" w14:textId="77777777" w:rsidR="0021298F" w:rsidRDefault="0021298F" w:rsidP="0021298F">
      <w:pPr>
        <w:rPr>
          <w:rFonts w:ascii="Arial" w:eastAsia="Times New Roman" w:hAnsi="Arial" w:cs="Arial"/>
        </w:rPr>
      </w:pPr>
      <w:r w:rsidRPr="00500322">
        <w:rPr>
          <w:rFonts w:ascii="Arial" w:eastAsia="Times New Roman" w:hAnsi="Arial" w:cs="Arial"/>
        </w:rPr>
        <w:t>The key risks to the performance of the Group, identified by the Board, are detailed below.</w:t>
      </w:r>
    </w:p>
    <w:p w14:paraId="30F09D4D" w14:textId="77777777" w:rsidR="0021298F" w:rsidRDefault="0021298F" w:rsidP="0021298F">
      <w:pPr>
        <w:rPr>
          <w:rFonts w:ascii="Arial" w:eastAsia="Times New Roman" w:hAnsi="Arial" w:cs="Arial"/>
        </w:rPr>
      </w:pPr>
    </w:p>
    <w:p w14:paraId="19CF4EC5" w14:textId="77777777" w:rsidR="0021298F" w:rsidRPr="00382C2F" w:rsidRDefault="0021298F" w:rsidP="0021298F">
      <w:pPr>
        <w:pStyle w:val="Heading3"/>
        <w:spacing w:before="0"/>
        <w:jc w:val="both"/>
        <w:rPr>
          <w:rFonts w:ascii="Arial" w:hAnsi="Arial" w:cs="Arial"/>
          <w:color w:val="auto"/>
        </w:rPr>
      </w:pPr>
      <w:r w:rsidRPr="00500322">
        <w:rPr>
          <w:rFonts w:ascii="Arial" w:hAnsi="Arial" w:cs="Arial"/>
          <w:color w:val="auto"/>
        </w:rPr>
        <w:t>Risks Affecting the Group</w:t>
      </w:r>
    </w:p>
    <w:p w14:paraId="410D8D18" w14:textId="77777777" w:rsidR="0021298F" w:rsidRPr="00500322" w:rsidRDefault="0021298F" w:rsidP="0021298F">
      <w:pPr>
        <w:tabs>
          <w:tab w:val="left" w:pos="1875"/>
        </w:tabs>
        <w:jc w:val="both"/>
        <w:rPr>
          <w:rFonts w:ascii="Arial" w:eastAsia="Times New Roman" w:hAnsi="Arial" w:cs="Arial"/>
          <w:i/>
        </w:rPr>
      </w:pPr>
      <w:r w:rsidRPr="00500322">
        <w:rPr>
          <w:rFonts w:ascii="Arial" w:eastAsia="Times New Roman" w:hAnsi="Arial" w:cs="Arial"/>
          <w:i/>
        </w:rPr>
        <w:t>Investment Manager</w:t>
      </w:r>
    </w:p>
    <w:p w14:paraId="3FEAAE08" w14:textId="77777777" w:rsidR="0021298F" w:rsidRDefault="0021298F" w:rsidP="0021298F">
      <w:pPr>
        <w:jc w:val="both"/>
        <w:rPr>
          <w:rFonts w:ascii="Arial" w:eastAsia="Times New Roman" w:hAnsi="Arial" w:cs="Arial"/>
        </w:rPr>
      </w:pPr>
      <w:r w:rsidRPr="00500322">
        <w:rPr>
          <w:rFonts w:ascii="Arial" w:eastAsia="Times New Roman" w:hAnsi="Arial" w:cs="Arial"/>
        </w:rPr>
        <w:t>The ability of the Group to achieve its investment objective depends heavily on the experience of the management team within the Investment Manager and more generally on the Investment Manager’s ability to attract and retain suitable staff. The sustained growth of the Group depends upon the ability of the Investment Manager to identify, select and execute further investments which offer the potential for satisfactory returns.</w:t>
      </w:r>
    </w:p>
    <w:p w14:paraId="29233A5B" w14:textId="77777777" w:rsidR="0021298F" w:rsidRPr="00500322" w:rsidRDefault="0021298F" w:rsidP="0021298F">
      <w:pPr>
        <w:jc w:val="both"/>
        <w:rPr>
          <w:rFonts w:ascii="Arial" w:eastAsia="Times New Roman" w:hAnsi="Arial" w:cs="Arial"/>
        </w:rPr>
      </w:pPr>
    </w:p>
    <w:p w14:paraId="4782798B" w14:textId="77777777" w:rsidR="0021298F" w:rsidRPr="00500322" w:rsidRDefault="0021298F" w:rsidP="0021298F">
      <w:pPr>
        <w:tabs>
          <w:tab w:val="left" w:pos="1875"/>
        </w:tabs>
        <w:jc w:val="both"/>
        <w:rPr>
          <w:rFonts w:ascii="Arial" w:eastAsia="Times New Roman" w:hAnsi="Arial" w:cs="Arial"/>
        </w:rPr>
      </w:pPr>
      <w:r w:rsidRPr="00500322">
        <w:rPr>
          <w:rFonts w:ascii="Arial" w:eastAsia="Times New Roman" w:hAnsi="Arial" w:cs="Arial"/>
        </w:rPr>
        <w:t>The Investment Management Agreement includes key man provisions which would require the Investment Manager to employ alternative staff with similar experience relating to investment, ownership, financing and management of renewable energy projects should, for any reason, any key man cease to be employed by the Investment Manager. The Investment Management Agreement ensures that no investments are made following the loss of key men until suitable replacements are found and there are provisions for a reduction in the investment management fee during the loss period. It also outlines the process for their replacement with the Board's approval. The key men are also shareholders in the Company.</w:t>
      </w:r>
    </w:p>
    <w:p w14:paraId="737DA415" w14:textId="77777777" w:rsidR="0021298F" w:rsidRPr="00500322" w:rsidRDefault="0021298F" w:rsidP="0021298F">
      <w:pPr>
        <w:tabs>
          <w:tab w:val="left" w:pos="1875"/>
        </w:tabs>
        <w:jc w:val="both"/>
        <w:rPr>
          <w:rFonts w:ascii="Arial" w:eastAsia="Times New Roman" w:hAnsi="Arial" w:cs="Arial"/>
        </w:rPr>
      </w:pPr>
    </w:p>
    <w:p w14:paraId="360CAA9F" w14:textId="77777777" w:rsidR="0021298F" w:rsidRPr="00500322" w:rsidRDefault="0021298F" w:rsidP="0021298F">
      <w:pPr>
        <w:tabs>
          <w:tab w:val="left" w:pos="1875"/>
        </w:tabs>
        <w:jc w:val="both"/>
        <w:rPr>
          <w:rFonts w:ascii="Arial" w:hAnsi="Arial" w:cs="Arial"/>
          <w:i/>
        </w:rPr>
      </w:pPr>
      <w:r>
        <w:rPr>
          <w:rFonts w:ascii="Arial" w:hAnsi="Arial" w:cs="Arial"/>
          <w:i/>
        </w:rPr>
        <w:t xml:space="preserve">Regulatory and </w:t>
      </w:r>
      <w:r w:rsidRPr="00500322">
        <w:rPr>
          <w:rFonts w:ascii="Arial" w:hAnsi="Arial" w:cs="Arial"/>
          <w:i/>
        </w:rPr>
        <w:t>Brexit Risk</w:t>
      </w:r>
    </w:p>
    <w:p w14:paraId="1EFA6C4E" w14:textId="77777777" w:rsidR="0021298F" w:rsidRDefault="0021298F" w:rsidP="0021298F">
      <w:pPr>
        <w:tabs>
          <w:tab w:val="left" w:pos="1875"/>
        </w:tabs>
        <w:jc w:val="both"/>
        <w:rPr>
          <w:rFonts w:ascii="Arial" w:eastAsia="Times New Roman" w:hAnsi="Arial" w:cs="Arial"/>
        </w:rPr>
      </w:pPr>
      <w:r w:rsidRPr="00601824">
        <w:rPr>
          <w:rFonts w:ascii="Arial" w:eastAsia="Times New Roman" w:hAnsi="Arial" w:cs="Arial"/>
        </w:rPr>
        <w:t xml:space="preserve">The Investment Manager is the UK authorised AIFM of the Company, an Irish </w:t>
      </w:r>
      <w:r>
        <w:rPr>
          <w:rFonts w:ascii="Arial" w:eastAsia="Times New Roman" w:hAnsi="Arial" w:cs="Arial"/>
        </w:rPr>
        <w:t xml:space="preserve">unauthorised </w:t>
      </w:r>
      <w:r w:rsidRPr="00601824">
        <w:rPr>
          <w:rFonts w:ascii="Arial" w:eastAsia="Times New Roman" w:hAnsi="Arial" w:cs="Arial"/>
        </w:rPr>
        <w:t>AIF.</w:t>
      </w:r>
      <w:r>
        <w:rPr>
          <w:rFonts w:ascii="Arial" w:eastAsia="Times New Roman" w:hAnsi="Arial" w:cs="Arial"/>
        </w:rPr>
        <w:t xml:space="preserve"> </w:t>
      </w:r>
      <w:r w:rsidRPr="00855AF0">
        <w:rPr>
          <w:rFonts w:ascii="Arial" w:eastAsia="Times New Roman" w:hAnsi="Arial" w:cs="Arial"/>
        </w:rPr>
        <w:t>As a non-EU AIFM post Brexit, the Investment Manager can continue to manage the AIF, however it can no longer avail of the marketing passport under AIFMD and will need to rely on the national private placement regimes / marketing requirements in place in the relevant jurisdictions.</w:t>
      </w:r>
      <w:r>
        <w:rPr>
          <w:rFonts w:ascii="Arial" w:eastAsia="Times New Roman" w:hAnsi="Arial" w:cs="Arial"/>
        </w:rPr>
        <w:t xml:space="preserve"> </w:t>
      </w:r>
      <w:r w:rsidRPr="00855AF0">
        <w:rPr>
          <w:rFonts w:ascii="Arial" w:eastAsia="Times New Roman" w:hAnsi="Arial" w:cs="Arial"/>
        </w:rPr>
        <w:t>On the 7th January 2021, the Central Bank of Ireland confirmed that the Investment Manager can continue to market the Company to Irish professional investors with effect from the 1st January 2021.</w:t>
      </w:r>
      <w:r>
        <w:rPr>
          <w:rFonts w:ascii="Arial" w:eastAsia="Times New Roman" w:hAnsi="Arial" w:cs="Arial"/>
        </w:rPr>
        <w:t xml:space="preserve"> </w:t>
      </w:r>
      <w:r>
        <w:rPr>
          <w:rFonts w:ascii="Arial" w:hAnsi="Arial" w:cs="Arial"/>
          <w:color w:val="000000"/>
        </w:rPr>
        <w:t>The Investment Manager can also continue to market the Company to UK professional investors under the jurisdiction of the FCA in the UK.  </w:t>
      </w:r>
    </w:p>
    <w:p w14:paraId="0819BE50" w14:textId="77777777" w:rsidR="0021298F" w:rsidRPr="00500322" w:rsidRDefault="0021298F" w:rsidP="0021298F">
      <w:pPr>
        <w:tabs>
          <w:tab w:val="left" w:pos="1875"/>
        </w:tabs>
        <w:jc w:val="both"/>
        <w:rPr>
          <w:rFonts w:ascii="Arial" w:eastAsia="Times New Roman" w:hAnsi="Arial" w:cs="Arial"/>
        </w:rPr>
      </w:pPr>
    </w:p>
    <w:p w14:paraId="5EA6AB99" w14:textId="77777777" w:rsidR="0021298F" w:rsidRPr="00DD27FC" w:rsidRDefault="0021298F" w:rsidP="0021298F">
      <w:pPr>
        <w:tabs>
          <w:tab w:val="left" w:pos="1875"/>
        </w:tabs>
        <w:jc w:val="both"/>
        <w:rPr>
          <w:rFonts w:ascii="Arial" w:eastAsia="Times New Roman" w:hAnsi="Arial" w:cs="Arial"/>
        </w:rPr>
      </w:pPr>
      <w:r w:rsidRPr="00DD27FC">
        <w:rPr>
          <w:rFonts w:ascii="Arial" w:eastAsia="Times New Roman" w:hAnsi="Arial" w:cs="Arial"/>
        </w:rPr>
        <w:lastRenderedPageBreak/>
        <w:t xml:space="preserve">The Board regularly discusses regulatory risks and </w:t>
      </w:r>
      <w:r w:rsidRPr="00601824">
        <w:rPr>
          <w:rFonts w:ascii="Arial" w:eastAsia="Times New Roman" w:hAnsi="Arial" w:cs="Arial"/>
        </w:rPr>
        <w:t xml:space="preserve">the Investment Manager reports to it on AIFMD compliance matters. </w:t>
      </w:r>
      <w:r w:rsidRPr="005350E9">
        <w:rPr>
          <w:rFonts w:ascii="Arial" w:eastAsia="Times New Roman" w:hAnsi="Arial" w:cs="Arial"/>
        </w:rPr>
        <w:t>The Investment Manager also consults with its own, and the Company’s legal adviser as well as the Company’s NOMAD in relation to its plans to ensure that the Company can continue to be AIFMD compliant.</w:t>
      </w:r>
    </w:p>
    <w:p w14:paraId="3B11F0B0" w14:textId="77777777" w:rsidR="0021298F" w:rsidRPr="00B73F05" w:rsidRDefault="0021298F" w:rsidP="0021298F">
      <w:pPr>
        <w:tabs>
          <w:tab w:val="left" w:pos="1875"/>
        </w:tabs>
        <w:jc w:val="both"/>
        <w:rPr>
          <w:rFonts w:ascii="Arial" w:eastAsia="Times New Roman" w:hAnsi="Arial" w:cs="Arial"/>
          <w:highlight w:val="yellow"/>
        </w:rPr>
      </w:pPr>
    </w:p>
    <w:p w14:paraId="3A4B5D30" w14:textId="77777777" w:rsidR="0021298F" w:rsidRPr="00500322" w:rsidRDefault="0021298F" w:rsidP="0021298F">
      <w:pPr>
        <w:tabs>
          <w:tab w:val="left" w:pos="1875"/>
        </w:tabs>
        <w:jc w:val="both"/>
        <w:rPr>
          <w:rFonts w:ascii="Arial" w:eastAsia="Times New Roman" w:hAnsi="Arial" w:cs="Arial"/>
        </w:rPr>
      </w:pPr>
      <w:r w:rsidRPr="00601824">
        <w:rPr>
          <w:rFonts w:ascii="Arial" w:eastAsia="Times New Roman" w:hAnsi="Arial" w:cs="Arial"/>
        </w:rPr>
        <w:t>If at any point the international community, or the EU, were to withdraw, reduce or change its support for the increased use of energy from renewable sources, including generation of</w:t>
      </w:r>
      <w:r>
        <w:rPr>
          <w:rFonts w:ascii="Arial" w:eastAsia="Times New Roman" w:hAnsi="Arial" w:cs="Arial"/>
        </w:rPr>
        <w:t xml:space="preserve"> </w:t>
      </w:r>
      <w:r w:rsidRPr="00601824">
        <w:rPr>
          <w:rFonts w:ascii="Arial" w:eastAsia="Times New Roman" w:hAnsi="Arial" w:cs="Arial"/>
        </w:rPr>
        <w:t xml:space="preserve">electricity from wind, for whatever reason, this may have a material adverse effect on the legislative basis for the supports for the promotion of the use of energy from renewable sources. If this reduces the value of the </w:t>
      </w:r>
      <w:r>
        <w:rPr>
          <w:rFonts w:ascii="Arial" w:eastAsia="Times New Roman" w:hAnsi="Arial" w:cs="Arial"/>
        </w:rPr>
        <w:t>subsidy support</w:t>
      </w:r>
      <w:r w:rsidRPr="00601824">
        <w:rPr>
          <w:rFonts w:ascii="Arial" w:eastAsia="Times New Roman" w:hAnsi="Arial" w:cs="Arial"/>
        </w:rPr>
        <w:t xml:space="preserve"> that wind energy generators are entitled to, it would have a material adverse effect on the Group.</w:t>
      </w:r>
    </w:p>
    <w:p w14:paraId="7842DEB0" w14:textId="77777777" w:rsidR="0021298F" w:rsidRPr="00500322" w:rsidRDefault="0021298F" w:rsidP="0021298F">
      <w:pPr>
        <w:tabs>
          <w:tab w:val="left" w:pos="1875"/>
        </w:tabs>
        <w:jc w:val="both"/>
        <w:rPr>
          <w:rFonts w:ascii="Arial" w:eastAsia="Times New Roman" w:hAnsi="Arial" w:cs="Arial"/>
          <w:highlight w:val="yellow"/>
        </w:rPr>
      </w:pPr>
    </w:p>
    <w:p w14:paraId="3866077D" w14:textId="77777777" w:rsidR="0021298F" w:rsidRPr="00500322" w:rsidRDefault="0021298F" w:rsidP="0021298F">
      <w:pPr>
        <w:tabs>
          <w:tab w:val="left" w:pos="1875"/>
        </w:tabs>
        <w:jc w:val="both"/>
        <w:rPr>
          <w:rFonts w:ascii="Arial" w:hAnsi="Arial" w:cs="Arial"/>
          <w:i/>
        </w:rPr>
      </w:pPr>
      <w:r w:rsidRPr="00500322">
        <w:rPr>
          <w:rFonts w:ascii="Arial" w:hAnsi="Arial" w:cs="Arial"/>
          <w:i/>
        </w:rPr>
        <w:t>Financing Risk</w:t>
      </w:r>
    </w:p>
    <w:p w14:paraId="3D3A227F" w14:textId="77777777" w:rsidR="0021298F" w:rsidRDefault="0021298F" w:rsidP="0021298F">
      <w:pPr>
        <w:tabs>
          <w:tab w:val="left" w:pos="1875"/>
        </w:tabs>
        <w:jc w:val="both"/>
        <w:rPr>
          <w:rFonts w:ascii="Arial" w:eastAsia="Times New Roman" w:hAnsi="Arial" w:cs="Arial"/>
        </w:rPr>
      </w:pPr>
      <w:r w:rsidRPr="00500322">
        <w:rPr>
          <w:rFonts w:ascii="Arial" w:eastAsia="Times New Roman" w:hAnsi="Arial" w:cs="Arial"/>
        </w:rPr>
        <w:t>The Group will finance further investments either by borrowing or by issuing further shares. The ability of the Group to deliver enhanced returns and consequently to realise expected NAV growth is dependent on access to debt facilities and equity capital markets. There can be no assurance that the Group will be able to borrow additional amounts or refinance on reasonable terms or that there will be a market for further shares.</w:t>
      </w:r>
    </w:p>
    <w:p w14:paraId="7A4A450A" w14:textId="77777777" w:rsidR="0021298F" w:rsidRDefault="0021298F" w:rsidP="0021298F">
      <w:pPr>
        <w:rPr>
          <w:rFonts w:ascii="Arial" w:eastAsia="Times New Roman" w:hAnsi="Arial" w:cs="Arial"/>
        </w:rPr>
      </w:pPr>
    </w:p>
    <w:p w14:paraId="0E4787D9" w14:textId="77777777" w:rsidR="0021298F" w:rsidRPr="00500322" w:rsidRDefault="0021298F" w:rsidP="0021298F">
      <w:pPr>
        <w:tabs>
          <w:tab w:val="left" w:pos="1875"/>
        </w:tabs>
        <w:jc w:val="both"/>
        <w:rPr>
          <w:rFonts w:ascii="Arial" w:hAnsi="Arial" w:cs="Arial"/>
          <w:i/>
        </w:rPr>
      </w:pPr>
      <w:r w:rsidRPr="00500322">
        <w:rPr>
          <w:rFonts w:ascii="Arial" w:hAnsi="Arial" w:cs="Arial"/>
          <w:i/>
        </w:rPr>
        <w:t>Investment Returns Become Unattractive</w:t>
      </w:r>
    </w:p>
    <w:p w14:paraId="69334302" w14:textId="77777777" w:rsidR="0021298F" w:rsidRDefault="0021298F" w:rsidP="0021298F">
      <w:pPr>
        <w:jc w:val="both"/>
        <w:rPr>
          <w:rFonts w:ascii="Arial" w:eastAsia="Times New Roman" w:hAnsi="Arial" w:cs="Arial"/>
        </w:rPr>
      </w:pPr>
      <w:r w:rsidRPr="00500322">
        <w:rPr>
          <w:rFonts w:ascii="Arial" w:eastAsia="Times New Roman" w:hAnsi="Arial" w:cs="Arial"/>
        </w:rPr>
        <w:t>A significantly strengthening economy may lead to higher future interest rates which could make the listed infrastructure asset class relatively less attractive to investors. A rise in real interest rates could have a material impact on the share price. As most of the revenues and costs of the investee companies are either indexed or correlated to CPI inflation, the Investment Manager believes this provides a degree of mitigation against a rise in interest rates due to inflation.</w:t>
      </w:r>
    </w:p>
    <w:p w14:paraId="6E9E7FE3" w14:textId="77777777" w:rsidR="0021298F" w:rsidRDefault="0021298F" w:rsidP="0021298F">
      <w:pPr>
        <w:jc w:val="both"/>
        <w:rPr>
          <w:rFonts w:ascii="Arial" w:eastAsia="Times New Roman" w:hAnsi="Arial" w:cs="Arial"/>
        </w:rPr>
      </w:pPr>
    </w:p>
    <w:p w14:paraId="519D1156" w14:textId="77777777" w:rsidR="0021298F" w:rsidRPr="00382C2F" w:rsidRDefault="0021298F" w:rsidP="0021298F">
      <w:pPr>
        <w:pStyle w:val="Heading3"/>
        <w:spacing w:before="0"/>
        <w:jc w:val="both"/>
        <w:rPr>
          <w:rFonts w:ascii="Arial" w:hAnsi="Arial" w:cs="Arial"/>
          <w:color w:val="auto"/>
        </w:rPr>
      </w:pPr>
      <w:r w:rsidRPr="00500322">
        <w:rPr>
          <w:rFonts w:ascii="Arial" w:hAnsi="Arial" w:cs="Arial"/>
          <w:color w:val="auto"/>
        </w:rPr>
        <w:t>Risks Affecting Investee Companies</w:t>
      </w:r>
    </w:p>
    <w:p w14:paraId="11AF0369" w14:textId="77777777" w:rsidR="0021298F" w:rsidRPr="00500322" w:rsidRDefault="0021298F" w:rsidP="0021298F">
      <w:pPr>
        <w:pStyle w:val="Heading5"/>
        <w:spacing w:before="0"/>
        <w:jc w:val="both"/>
        <w:rPr>
          <w:rFonts w:ascii="Arial" w:eastAsiaTheme="minorHAnsi" w:hAnsi="Arial" w:cs="Arial"/>
          <w:i/>
          <w:color w:val="auto"/>
        </w:rPr>
      </w:pPr>
      <w:r w:rsidRPr="00500322">
        <w:rPr>
          <w:rFonts w:ascii="Arial" w:eastAsiaTheme="minorHAnsi" w:hAnsi="Arial" w:cs="Arial"/>
          <w:i/>
          <w:color w:val="auto"/>
        </w:rPr>
        <w:t>Regulation</w:t>
      </w:r>
    </w:p>
    <w:p w14:paraId="02228D98" w14:textId="77777777" w:rsidR="0021298F" w:rsidRPr="00500322" w:rsidRDefault="0021298F" w:rsidP="0021298F">
      <w:pPr>
        <w:autoSpaceDE w:val="0"/>
        <w:autoSpaceDN w:val="0"/>
        <w:adjustRightInd w:val="0"/>
        <w:jc w:val="both"/>
        <w:rPr>
          <w:rFonts w:ascii="Arial" w:hAnsi="Arial" w:cs="Arial"/>
        </w:rPr>
      </w:pPr>
      <w:r w:rsidRPr="00500322">
        <w:rPr>
          <w:rFonts w:ascii="Arial" w:hAnsi="Arial" w:cs="Arial"/>
        </w:rPr>
        <w:t>As the renewable energy market has matured and costs of new capacity have reduced, member states have generally revised their supports for the sector to reduce the benefits available to new renewable power generation projects. However, in order to maintain investor confidence, Ireland (and other relevant countries) have to date largely ensured that benefits already granted to operating renewable energy generation projects (which the Group is invested in) are exempt from future regulatory change adversely affecting those benefits.</w:t>
      </w:r>
    </w:p>
    <w:p w14:paraId="029EA769" w14:textId="77777777" w:rsidR="0021298F" w:rsidRPr="00500322" w:rsidRDefault="0021298F" w:rsidP="0021298F">
      <w:pPr>
        <w:autoSpaceDE w:val="0"/>
        <w:autoSpaceDN w:val="0"/>
        <w:adjustRightInd w:val="0"/>
        <w:jc w:val="both"/>
        <w:rPr>
          <w:rFonts w:ascii="Arial" w:hAnsi="Arial" w:cs="Arial"/>
        </w:rPr>
      </w:pPr>
    </w:p>
    <w:p w14:paraId="1B891A8D" w14:textId="77777777" w:rsidR="0021298F" w:rsidRPr="00500322" w:rsidRDefault="0021298F" w:rsidP="0021298F">
      <w:pPr>
        <w:autoSpaceDE w:val="0"/>
        <w:autoSpaceDN w:val="0"/>
        <w:adjustRightInd w:val="0"/>
        <w:jc w:val="both"/>
        <w:rPr>
          <w:rFonts w:ascii="Arial" w:hAnsi="Arial" w:cs="Arial"/>
        </w:rPr>
      </w:pPr>
      <w:r w:rsidRPr="00500322">
        <w:rPr>
          <w:rFonts w:ascii="Arial" w:hAnsi="Arial" w:cs="Arial"/>
        </w:rPr>
        <w:t>If these policies were to change, such that subsidy supports presently available to the renewable energy sector were to be reduced or discontinued, it could have a material adverse effect on the business, financial position, results of operations and future growth prospects of the Group, as well as returns to investors.</w:t>
      </w:r>
    </w:p>
    <w:p w14:paraId="75CC4E8F" w14:textId="77777777" w:rsidR="0021298F" w:rsidRPr="00500322" w:rsidRDefault="0021298F" w:rsidP="0021298F">
      <w:pPr>
        <w:autoSpaceDE w:val="0"/>
        <w:autoSpaceDN w:val="0"/>
        <w:adjustRightInd w:val="0"/>
        <w:jc w:val="both"/>
        <w:rPr>
          <w:rFonts w:ascii="Arial" w:hAnsi="Arial" w:cs="Arial"/>
        </w:rPr>
      </w:pPr>
    </w:p>
    <w:p w14:paraId="39EEB71D" w14:textId="77777777" w:rsidR="0021298F" w:rsidRPr="00500322" w:rsidRDefault="0021298F" w:rsidP="0021298F">
      <w:pPr>
        <w:pStyle w:val="Heading5"/>
        <w:spacing w:before="0"/>
        <w:jc w:val="both"/>
        <w:rPr>
          <w:rFonts w:ascii="Arial" w:eastAsiaTheme="minorHAnsi" w:hAnsi="Arial" w:cs="Arial"/>
          <w:i/>
          <w:color w:val="auto"/>
        </w:rPr>
      </w:pPr>
      <w:r w:rsidRPr="00500322">
        <w:rPr>
          <w:rFonts w:ascii="Arial" w:eastAsiaTheme="minorHAnsi" w:hAnsi="Arial" w:cs="Arial"/>
          <w:i/>
          <w:color w:val="auto"/>
        </w:rPr>
        <w:t>Electricity Prices</w:t>
      </w:r>
    </w:p>
    <w:p w14:paraId="15F3B46C" w14:textId="77777777" w:rsidR="0021298F" w:rsidRPr="00500322" w:rsidRDefault="0021298F" w:rsidP="0021298F">
      <w:pPr>
        <w:autoSpaceDE w:val="0"/>
        <w:autoSpaceDN w:val="0"/>
        <w:adjustRightInd w:val="0"/>
        <w:jc w:val="both"/>
        <w:rPr>
          <w:rFonts w:ascii="Arial" w:hAnsi="Arial" w:cs="Arial"/>
        </w:rPr>
      </w:pPr>
      <w:r w:rsidRPr="00500322">
        <w:rPr>
          <w:rFonts w:ascii="Arial" w:hAnsi="Arial" w:cs="Arial"/>
        </w:rPr>
        <w:t xml:space="preserve">A number of factors could cause a decline in the market price of electricity which could adversely affect the portfolio companies’ revenue and financial condition. Similarly, a decline in the costs of other sources of electricity generation, such as fossil fuels or nuclear power, could reduce the wholesale price of electricity and thus the price </w:t>
      </w:r>
      <w:r w:rsidRPr="00500322">
        <w:rPr>
          <w:rFonts w:ascii="Arial" w:hAnsi="Arial" w:cs="Arial"/>
        </w:rPr>
        <w:lastRenderedPageBreak/>
        <w:t>achieved for electricity generated by wind farms. At present, the Group does not hedge its sales of electricity generated.</w:t>
      </w:r>
    </w:p>
    <w:p w14:paraId="415D4164" w14:textId="77777777" w:rsidR="0021298F" w:rsidRPr="00500322" w:rsidRDefault="0021298F" w:rsidP="0021298F">
      <w:pPr>
        <w:autoSpaceDE w:val="0"/>
        <w:autoSpaceDN w:val="0"/>
        <w:adjustRightInd w:val="0"/>
        <w:jc w:val="both"/>
        <w:rPr>
          <w:rFonts w:ascii="Arial" w:hAnsi="Arial" w:cs="Arial"/>
        </w:rPr>
      </w:pPr>
    </w:p>
    <w:p w14:paraId="31A26EF9" w14:textId="77777777" w:rsidR="0021298F" w:rsidRDefault="0021298F" w:rsidP="0021298F">
      <w:pPr>
        <w:autoSpaceDE w:val="0"/>
        <w:autoSpaceDN w:val="0"/>
        <w:adjustRightInd w:val="0"/>
        <w:jc w:val="both"/>
        <w:rPr>
          <w:rFonts w:ascii="Arial" w:hAnsi="Arial" w:cs="Arial"/>
        </w:rPr>
      </w:pPr>
      <w:r w:rsidRPr="00500322">
        <w:rPr>
          <w:rFonts w:ascii="Arial" w:hAnsi="Arial" w:cs="Arial"/>
        </w:rPr>
        <w:t xml:space="preserve">Since 1995, Ireland has provided operating wind farms with a supportive regulatory framework (REFIT 1 and REFIT 2) offering an inflation-linked floor price up to 15 years, while allowing wind farms to capture prices above the floor. Under REFIT, </w:t>
      </w:r>
      <w:r w:rsidRPr="00B73F05">
        <w:rPr>
          <w:rFonts w:ascii="Arial" w:hAnsi="Arial" w:cs="Arial"/>
        </w:rPr>
        <w:t>wind farms are provided with</w:t>
      </w:r>
      <w:r>
        <w:rPr>
          <w:rFonts w:ascii="Arial" w:hAnsi="Arial" w:cs="Arial"/>
        </w:rPr>
        <w:t xml:space="preserve"> </w:t>
      </w:r>
      <w:r w:rsidRPr="00B73F05">
        <w:rPr>
          <w:rFonts w:ascii="Arial" w:hAnsi="Arial" w:cs="Arial"/>
        </w:rPr>
        <w:t>pricing certainty and no downside exposure to electricity price as the REFIT price is c.€80/MWh whereas the 20</w:t>
      </w:r>
      <w:r>
        <w:rPr>
          <w:rFonts w:ascii="Arial" w:hAnsi="Arial" w:cs="Arial"/>
        </w:rPr>
        <w:t>20</w:t>
      </w:r>
      <w:r w:rsidRPr="00B73F05">
        <w:rPr>
          <w:rFonts w:ascii="Arial" w:hAnsi="Arial" w:cs="Arial"/>
        </w:rPr>
        <w:t xml:space="preserve"> wholesale electricity price was c.€</w:t>
      </w:r>
      <w:r>
        <w:rPr>
          <w:rFonts w:ascii="Arial" w:hAnsi="Arial" w:cs="Arial"/>
        </w:rPr>
        <w:t>3</w:t>
      </w:r>
      <w:r w:rsidRPr="00B73F05">
        <w:rPr>
          <w:rFonts w:ascii="Arial" w:hAnsi="Arial" w:cs="Arial"/>
        </w:rPr>
        <w:t>0/MWh.</w:t>
      </w:r>
      <w:r w:rsidRPr="00500322">
        <w:rPr>
          <w:rFonts w:ascii="Arial" w:hAnsi="Arial" w:cs="Arial"/>
        </w:rPr>
        <w:t xml:space="preserve"> </w:t>
      </w:r>
    </w:p>
    <w:p w14:paraId="3F881189" w14:textId="77777777" w:rsidR="0021298F" w:rsidRDefault="0021298F" w:rsidP="0021298F">
      <w:pPr>
        <w:autoSpaceDE w:val="0"/>
        <w:autoSpaceDN w:val="0"/>
        <w:adjustRightInd w:val="0"/>
        <w:jc w:val="both"/>
        <w:rPr>
          <w:rFonts w:ascii="Arial" w:hAnsi="Arial" w:cs="Arial"/>
        </w:rPr>
      </w:pPr>
    </w:p>
    <w:p w14:paraId="62158EC2" w14:textId="77777777" w:rsidR="0021298F" w:rsidRDefault="0021298F" w:rsidP="0021298F">
      <w:pPr>
        <w:jc w:val="both"/>
        <w:rPr>
          <w:rFonts w:ascii="Arial" w:hAnsi="Arial" w:cs="Arial"/>
        </w:rPr>
      </w:pPr>
      <w:r w:rsidRPr="0062297F">
        <w:rPr>
          <w:rFonts w:ascii="Arial" w:hAnsi="Arial" w:cs="Arial"/>
        </w:rPr>
        <w:t xml:space="preserve">Under the French </w:t>
      </w:r>
      <w:r>
        <w:rPr>
          <w:rFonts w:ascii="Arial" w:hAnsi="Arial" w:cs="Arial"/>
        </w:rPr>
        <w:t xml:space="preserve">subsidy </w:t>
      </w:r>
      <w:r w:rsidRPr="0062297F">
        <w:rPr>
          <w:rFonts w:ascii="Arial" w:hAnsi="Arial" w:cs="Arial"/>
        </w:rPr>
        <w:t>tariff mechanism established in 2000, a producer can sell its whole production state companies at a regulated price under a F</w:t>
      </w:r>
      <w:r>
        <w:rPr>
          <w:rFonts w:ascii="Arial" w:hAnsi="Arial" w:cs="Arial"/>
        </w:rPr>
        <w:t>I</w:t>
      </w:r>
      <w:r w:rsidRPr="0062297F">
        <w:rPr>
          <w:rFonts w:ascii="Arial" w:hAnsi="Arial" w:cs="Arial"/>
        </w:rPr>
        <w:t>T</w:t>
      </w:r>
      <w:r>
        <w:rPr>
          <w:rFonts w:ascii="Arial" w:hAnsi="Arial" w:cs="Arial"/>
        </w:rPr>
        <w:t xml:space="preserve"> framework</w:t>
      </w:r>
      <w:r w:rsidRPr="0062297F">
        <w:rPr>
          <w:rFonts w:ascii="Arial" w:hAnsi="Arial" w:cs="Arial"/>
        </w:rPr>
        <w:t>. The F</w:t>
      </w:r>
      <w:r>
        <w:rPr>
          <w:rFonts w:ascii="Arial" w:hAnsi="Arial" w:cs="Arial"/>
        </w:rPr>
        <w:t>I</w:t>
      </w:r>
      <w:r w:rsidRPr="0062297F">
        <w:rPr>
          <w:rFonts w:ascii="Arial" w:hAnsi="Arial" w:cs="Arial"/>
        </w:rPr>
        <w:t>T offers a fixed price up to 20 years partially linked to inflation. The level of inflation linkage, the duration of the F</w:t>
      </w:r>
      <w:r>
        <w:rPr>
          <w:rFonts w:ascii="Arial" w:hAnsi="Arial" w:cs="Arial"/>
        </w:rPr>
        <w:t>I</w:t>
      </w:r>
      <w:r w:rsidRPr="0062297F">
        <w:rPr>
          <w:rFonts w:ascii="Arial" w:hAnsi="Arial" w:cs="Arial"/>
        </w:rPr>
        <w:t>T contra</w:t>
      </w:r>
      <w:r>
        <w:rPr>
          <w:rFonts w:ascii="Arial" w:hAnsi="Arial" w:cs="Arial"/>
        </w:rPr>
        <w:t>c</w:t>
      </w:r>
      <w:r w:rsidRPr="0062297F">
        <w:rPr>
          <w:rFonts w:ascii="Arial" w:hAnsi="Arial" w:cs="Arial"/>
        </w:rPr>
        <w:t>t as well as the initial reference price are subject to the vintage of the F</w:t>
      </w:r>
      <w:r>
        <w:rPr>
          <w:rFonts w:ascii="Arial" w:hAnsi="Arial" w:cs="Arial"/>
        </w:rPr>
        <w:t>I</w:t>
      </w:r>
      <w:r w:rsidRPr="0062297F">
        <w:rPr>
          <w:rFonts w:ascii="Arial" w:hAnsi="Arial" w:cs="Arial"/>
        </w:rPr>
        <w:t>T contract. The average F</w:t>
      </w:r>
      <w:r>
        <w:rPr>
          <w:rFonts w:ascii="Arial" w:hAnsi="Arial" w:cs="Arial"/>
        </w:rPr>
        <w:t>I</w:t>
      </w:r>
      <w:r w:rsidRPr="0062297F">
        <w:rPr>
          <w:rFonts w:ascii="Arial" w:hAnsi="Arial" w:cs="Arial"/>
        </w:rPr>
        <w:t xml:space="preserve">T tariff of the French Group’s assets is c.€86/MWh in 2020. </w:t>
      </w:r>
    </w:p>
    <w:p w14:paraId="70128815" w14:textId="77777777" w:rsidR="0021298F" w:rsidRDefault="0021298F" w:rsidP="0021298F">
      <w:pPr>
        <w:autoSpaceDE w:val="0"/>
        <w:autoSpaceDN w:val="0"/>
        <w:adjustRightInd w:val="0"/>
        <w:jc w:val="both"/>
        <w:rPr>
          <w:rFonts w:ascii="Arial" w:hAnsi="Arial" w:cs="Arial"/>
        </w:rPr>
      </w:pPr>
      <w:r w:rsidRPr="00500322">
        <w:rPr>
          <w:rFonts w:ascii="Arial" w:hAnsi="Arial" w:cs="Arial"/>
        </w:rPr>
        <w:t xml:space="preserve">When operating outside of </w:t>
      </w:r>
      <w:r>
        <w:rPr>
          <w:rFonts w:ascii="Arial" w:hAnsi="Arial" w:cs="Arial"/>
        </w:rPr>
        <w:t>the respective contracted subsidy periods</w:t>
      </w:r>
      <w:r w:rsidRPr="00500322">
        <w:rPr>
          <w:rFonts w:ascii="Arial" w:hAnsi="Arial" w:cs="Arial"/>
        </w:rPr>
        <w:t xml:space="preserve">, the Group may trade in the relevant electricity market on a merchant basis and its financial performance would be therefore subject to the wholesale power price prevalent at the time. </w:t>
      </w:r>
    </w:p>
    <w:p w14:paraId="11FB8525" w14:textId="77777777" w:rsidR="0021298F" w:rsidRPr="00660DCB" w:rsidRDefault="0021298F" w:rsidP="0021298F">
      <w:pPr>
        <w:pStyle w:val="Heading5"/>
        <w:spacing w:before="0"/>
        <w:jc w:val="both"/>
        <w:rPr>
          <w:rFonts w:ascii="Arial" w:hAnsi="Arial" w:cs="Arial"/>
          <w:b/>
          <w:szCs w:val="22"/>
        </w:rPr>
      </w:pPr>
    </w:p>
    <w:p w14:paraId="792F8520" w14:textId="77777777" w:rsidR="0021298F" w:rsidRDefault="0021298F" w:rsidP="0021298F">
      <w:pPr>
        <w:autoSpaceDE w:val="0"/>
        <w:autoSpaceDN w:val="0"/>
        <w:adjustRightInd w:val="0"/>
        <w:jc w:val="both"/>
        <w:rPr>
          <w:rFonts w:ascii="Arial" w:hAnsi="Arial" w:cs="Arial"/>
        </w:rPr>
      </w:pPr>
      <w:r w:rsidRPr="00500322">
        <w:rPr>
          <w:rFonts w:ascii="Arial" w:hAnsi="Arial" w:cs="Arial"/>
        </w:rPr>
        <w:t>In general, independent forecasters expect Irish</w:t>
      </w:r>
      <w:r>
        <w:rPr>
          <w:rFonts w:ascii="Arial" w:hAnsi="Arial" w:cs="Arial"/>
        </w:rPr>
        <w:t xml:space="preserve"> and French</w:t>
      </w:r>
      <w:r w:rsidRPr="00500322">
        <w:rPr>
          <w:rFonts w:ascii="Arial" w:hAnsi="Arial" w:cs="Arial"/>
        </w:rPr>
        <w:t xml:space="preserve"> wholesale power prices to rise in real terms from current levels, driven by higher gas and carbon prices. A difference in the achieved wholesale price of electricity to that which is expected could have a material adverse effect on the business, financial position, results of operation and future growth prospects of the Group, as well as returns to investors.</w:t>
      </w:r>
    </w:p>
    <w:p w14:paraId="2F130EAB" w14:textId="77777777" w:rsidR="0021298F" w:rsidRDefault="0021298F" w:rsidP="0021298F">
      <w:pPr>
        <w:autoSpaceDE w:val="0"/>
        <w:autoSpaceDN w:val="0"/>
        <w:adjustRightInd w:val="0"/>
        <w:jc w:val="both"/>
        <w:rPr>
          <w:rFonts w:ascii="Arial" w:hAnsi="Arial" w:cs="Arial"/>
        </w:rPr>
      </w:pPr>
    </w:p>
    <w:p w14:paraId="09267B49" w14:textId="77777777" w:rsidR="0021298F" w:rsidRPr="00500322" w:rsidRDefault="0021298F" w:rsidP="0021298F">
      <w:pPr>
        <w:jc w:val="both"/>
        <w:rPr>
          <w:rFonts w:ascii="Arial" w:eastAsia="Times New Roman" w:hAnsi="Arial" w:cs="Arial"/>
          <w:i/>
        </w:rPr>
      </w:pPr>
      <w:r w:rsidRPr="00500322">
        <w:rPr>
          <w:rFonts w:ascii="Arial" w:eastAsia="Times New Roman" w:hAnsi="Arial" w:cs="Arial"/>
          <w:i/>
        </w:rPr>
        <w:t xml:space="preserve">Wind Resource </w:t>
      </w:r>
    </w:p>
    <w:p w14:paraId="245445BC" w14:textId="77777777" w:rsidR="0021298F" w:rsidRPr="00500322" w:rsidRDefault="0021298F" w:rsidP="0021298F">
      <w:pPr>
        <w:autoSpaceDE w:val="0"/>
        <w:autoSpaceDN w:val="0"/>
        <w:adjustRightInd w:val="0"/>
        <w:jc w:val="both"/>
        <w:rPr>
          <w:rFonts w:ascii="Arial" w:hAnsi="Arial" w:cs="Arial"/>
        </w:rPr>
      </w:pPr>
      <w:r w:rsidRPr="00500322">
        <w:rPr>
          <w:rFonts w:ascii="Arial" w:hAnsi="Arial" w:cs="Arial"/>
        </w:rPr>
        <w:t>The investee companies’ revenues are dependent upon wind conditions, which will vary across seasons and years within statistical parameters. The standard deviation of energy production is 10 per cent over a 12 month period (2 per cent over 25 years). Since long term variability is low, there is no significant diversification benefit to be gained from geographical diversification across weather systems.</w:t>
      </w:r>
    </w:p>
    <w:p w14:paraId="50040933" w14:textId="77777777" w:rsidR="0021298F" w:rsidRPr="00500322" w:rsidRDefault="0021298F" w:rsidP="0021298F">
      <w:pPr>
        <w:autoSpaceDE w:val="0"/>
        <w:autoSpaceDN w:val="0"/>
        <w:adjustRightInd w:val="0"/>
        <w:jc w:val="both"/>
        <w:rPr>
          <w:rFonts w:ascii="Arial" w:hAnsi="Arial" w:cs="Arial"/>
        </w:rPr>
      </w:pPr>
    </w:p>
    <w:p w14:paraId="45E1C371" w14:textId="77777777" w:rsidR="0021298F" w:rsidRPr="00500322" w:rsidRDefault="0021298F" w:rsidP="0021298F">
      <w:pPr>
        <w:autoSpaceDE w:val="0"/>
        <w:autoSpaceDN w:val="0"/>
        <w:adjustRightInd w:val="0"/>
        <w:jc w:val="both"/>
        <w:rPr>
          <w:rFonts w:ascii="Arial" w:hAnsi="Arial" w:cs="Arial"/>
        </w:rPr>
      </w:pPr>
      <w:r w:rsidRPr="00500322">
        <w:rPr>
          <w:rFonts w:ascii="Arial" w:hAnsi="Arial" w:cs="Arial"/>
        </w:rPr>
        <w:t>The Group does not have any control over the wind resource and has designed its dividend policy such that it can withstand significant short-term variability in production relating to wind. Before investment, the Group carries out extensive due diligence and relevant historical wind data is available over a period of time. The other component of wind energy generation, a wind farm’s ability to turn wind into energy, is mitigated by generally purchasing wind farms with a proven operating track record.</w:t>
      </w:r>
    </w:p>
    <w:p w14:paraId="01139EB2" w14:textId="77777777" w:rsidR="0021298F" w:rsidRPr="00500322" w:rsidRDefault="0021298F" w:rsidP="0021298F">
      <w:pPr>
        <w:autoSpaceDE w:val="0"/>
        <w:autoSpaceDN w:val="0"/>
        <w:adjustRightInd w:val="0"/>
        <w:jc w:val="both"/>
        <w:rPr>
          <w:rFonts w:ascii="Arial" w:hAnsi="Arial" w:cs="Arial"/>
        </w:rPr>
      </w:pPr>
    </w:p>
    <w:p w14:paraId="68BBC191" w14:textId="77777777" w:rsidR="0021298F" w:rsidRPr="00500322" w:rsidRDefault="0021298F" w:rsidP="0021298F">
      <w:pPr>
        <w:autoSpaceDE w:val="0"/>
        <w:autoSpaceDN w:val="0"/>
        <w:adjustRightInd w:val="0"/>
        <w:jc w:val="both"/>
        <w:rPr>
          <w:rFonts w:ascii="Arial" w:hAnsi="Arial" w:cs="Arial"/>
        </w:rPr>
      </w:pPr>
      <w:r w:rsidRPr="00500322">
        <w:rPr>
          <w:rFonts w:ascii="Arial" w:hAnsi="Arial" w:cs="Arial"/>
        </w:rPr>
        <w:t>When acquiring wind farms that have only recently entered into operation, only limited operational data is available. In these instances, the acquisition agreements with the vendors of these wind farms may include a ‘‘wind energy true-up’’ which would apply once at least one year’s operational data has become available or the acquisition price would be adjusted to reflect wind uncertainty. Under this true-up, the net load factor will be reforecast based on all available data and the purchase price will be adjusted, subject to de minimis thresholds and caps.</w:t>
      </w:r>
    </w:p>
    <w:p w14:paraId="05FDCCA5" w14:textId="77777777" w:rsidR="0021298F" w:rsidRPr="00500322" w:rsidRDefault="0021298F" w:rsidP="0021298F">
      <w:pPr>
        <w:autoSpaceDE w:val="0"/>
        <w:autoSpaceDN w:val="0"/>
        <w:adjustRightInd w:val="0"/>
        <w:jc w:val="both"/>
        <w:rPr>
          <w:rFonts w:ascii="Arial" w:hAnsi="Arial" w:cs="Arial"/>
        </w:rPr>
      </w:pPr>
    </w:p>
    <w:p w14:paraId="74A08345" w14:textId="77777777" w:rsidR="0021298F" w:rsidRPr="00500322" w:rsidRDefault="0021298F" w:rsidP="0021298F">
      <w:pPr>
        <w:pStyle w:val="Heading5"/>
        <w:spacing w:before="0"/>
        <w:jc w:val="both"/>
        <w:rPr>
          <w:rFonts w:ascii="Arial" w:eastAsiaTheme="minorHAnsi" w:hAnsi="Arial" w:cs="Arial"/>
          <w:i/>
          <w:color w:val="auto"/>
        </w:rPr>
      </w:pPr>
      <w:r w:rsidRPr="00500322">
        <w:rPr>
          <w:rFonts w:ascii="Arial" w:eastAsiaTheme="minorHAnsi" w:hAnsi="Arial" w:cs="Arial"/>
          <w:i/>
          <w:color w:val="auto"/>
        </w:rPr>
        <w:lastRenderedPageBreak/>
        <w:t>Asset Life</w:t>
      </w:r>
    </w:p>
    <w:p w14:paraId="4CD8EA26" w14:textId="77777777" w:rsidR="0021298F" w:rsidRPr="00500322" w:rsidRDefault="0021298F" w:rsidP="0021298F">
      <w:pPr>
        <w:autoSpaceDE w:val="0"/>
        <w:autoSpaceDN w:val="0"/>
        <w:adjustRightInd w:val="0"/>
        <w:jc w:val="both"/>
        <w:rPr>
          <w:rFonts w:ascii="Arial" w:hAnsi="Arial" w:cs="Arial"/>
        </w:rPr>
      </w:pPr>
      <w:r w:rsidRPr="00500322">
        <w:rPr>
          <w:rFonts w:ascii="Arial" w:hAnsi="Arial" w:cs="Arial"/>
        </w:rPr>
        <w:t xml:space="preserve">In the event that the wind turbines do not operate for the period of time assumed by the Group in its business model or require higher than expected maintenance expenditure to do so, it could have a material adverse effect on investment returns. </w:t>
      </w:r>
      <w:r w:rsidRPr="00AF7EDE">
        <w:rPr>
          <w:rFonts w:ascii="Arial" w:hAnsi="Arial" w:cs="Arial"/>
        </w:rPr>
        <w:t>Many of the wind</w:t>
      </w:r>
      <w:r>
        <w:rPr>
          <w:rFonts w:ascii="Arial" w:hAnsi="Arial" w:cs="Arial"/>
        </w:rPr>
        <w:t xml:space="preserve"> </w:t>
      </w:r>
      <w:r w:rsidRPr="00AF7EDE">
        <w:rPr>
          <w:rFonts w:ascii="Arial" w:hAnsi="Arial" w:cs="Arial"/>
        </w:rPr>
        <w:t>farm</w:t>
      </w:r>
      <w:r>
        <w:rPr>
          <w:rFonts w:ascii="Arial" w:hAnsi="Arial" w:cs="Arial"/>
        </w:rPr>
        <w:t xml:space="preserve"> SPVs</w:t>
      </w:r>
      <w:r w:rsidRPr="00AF7EDE">
        <w:rPr>
          <w:rFonts w:ascii="Arial" w:hAnsi="Arial" w:cs="Arial"/>
        </w:rPr>
        <w:t xml:space="preserve"> have a</w:t>
      </w:r>
      <w:r>
        <w:rPr>
          <w:rFonts w:ascii="Arial" w:hAnsi="Arial" w:cs="Arial"/>
        </w:rPr>
        <w:t xml:space="preserve"> granted</w:t>
      </w:r>
      <w:r w:rsidRPr="00AF7EDE">
        <w:rPr>
          <w:rFonts w:ascii="Arial" w:hAnsi="Arial" w:cs="Arial"/>
        </w:rPr>
        <w:t xml:space="preserve"> planning permission shorter than the expected life of the asset and while it is expected that an extension to planning will be available, failure to achieve such extension could have a material adverse effect on investment returns.</w:t>
      </w:r>
    </w:p>
    <w:p w14:paraId="389B85DA" w14:textId="77777777" w:rsidR="0021298F" w:rsidRPr="00500322" w:rsidRDefault="0021298F" w:rsidP="0021298F">
      <w:pPr>
        <w:autoSpaceDE w:val="0"/>
        <w:autoSpaceDN w:val="0"/>
        <w:adjustRightInd w:val="0"/>
        <w:jc w:val="both"/>
        <w:rPr>
          <w:rFonts w:ascii="Arial" w:hAnsi="Arial" w:cs="Arial"/>
        </w:rPr>
      </w:pPr>
    </w:p>
    <w:p w14:paraId="416AD210" w14:textId="77777777" w:rsidR="0021298F" w:rsidRDefault="0021298F" w:rsidP="0021298F">
      <w:pPr>
        <w:autoSpaceDE w:val="0"/>
        <w:autoSpaceDN w:val="0"/>
        <w:adjustRightInd w:val="0"/>
        <w:jc w:val="both"/>
        <w:rPr>
          <w:rFonts w:ascii="Arial" w:hAnsi="Arial" w:cs="Arial"/>
        </w:rPr>
      </w:pPr>
      <w:r w:rsidRPr="00500322">
        <w:rPr>
          <w:rFonts w:ascii="Arial" w:hAnsi="Arial" w:cs="Arial"/>
        </w:rPr>
        <w:t>The Group performs regular reviews and ensures that maintenance is performed on all turbines across the wind farm portfolio. Regular maintenance ensures the wind turbines are in good working order, consistent with their expected lifespans.</w:t>
      </w:r>
    </w:p>
    <w:p w14:paraId="3A098FCC" w14:textId="77777777" w:rsidR="0021298F" w:rsidRDefault="0021298F" w:rsidP="0021298F">
      <w:pPr>
        <w:rPr>
          <w:rFonts w:ascii="Arial" w:hAnsi="Arial" w:cs="Arial"/>
        </w:rPr>
      </w:pPr>
    </w:p>
    <w:p w14:paraId="1BDE52BD" w14:textId="77777777" w:rsidR="0021298F" w:rsidRPr="00500322" w:rsidRDefault="0021298F" w:rsidP="0021298F">
      <w:pPr>
        <w:pStyle w:val="Heading5"/>
        <w:spacing w:before="0"/>
        <w:jc w:val="both"/>
        <w:rPr>
          <w:rFonts w:ascii="Arial" w:eastAsiaTheme="minorHAnsi" w:hAnsi="Arial" w:cs="Arial"/>
          <w:i/>
          <w:color w:val="auto"/>
        </w:rPr>
      </w:pPr>
      <w:r w:rsidRPr="00500322">
        <w:rPr>
          <w:rFonts w:ascii="Arial" w:eastAsiaTheme="minorHAnsi" w:hAnsi="Arial" w:cs="Arial"/>
          <w:i/>
          <w:color w:val="auto"/>
        </w:rPr>
        <w:t>Market Structure Change (I-SEM)</w:t>
      </w:r>
    </w:p>
    <w:p w14:paraId="3B18D708" w14:textId="77777777" w:rsidR="0021298F" w:rsidRDefault="0021298F" w:rsidP="0021298F">
      <w:pPr>
        <w:autoSpaceDE w:val="0"/>
        <w:autoSpaceDN w:val="0"/>
        <w:adjustRightInd w:val="0"/>
        <w:jc w:val="both"/>
        <w:rPr>
          <w:rFonts w:ascii="Arial" w:hAnsi="Arial" w:cs="Arial"/>
        </w:rPr>
      </w:pPr>
      <w:r w:rsidRPr="00500322">
        <w:rPr>
          <w:rFonts w:ascii="Arial" w:hAnsi="Arial" w:cs="Arial"/>
        </w:rPr>
        <w:t>The island of Ireland previously had a wholesale electricity market, the SEM, which was a gross mandatory pool market, centrally dispatched, where the licensed transmission system operators were responsible for forecasting wind and demand. As a consequence, wind generators were not “balance responsible”. The regulatory authorities in Ireland and Northern Ireland have developed a</w:t>
      </w:r>
      <w:r>
        <w:rPr>
          <w:rFonts w:ascii="Arial" w:hAnsi="Arial" w:cs="Arial"/>
        </w:rPr>
        <w:t>n</w:t>
      </w:r>
      <w:r w:rsidRPr="00500322">
        <w:rPr>
          <w:rFonts w:ascii="Arial" w:hAnsi="Arial" w:cs="Arial"/>
        </w:rPr>
        <w:t xml:space="preserve"> integrated single electricity market, I-SEM, which aligns SEM with electricity markets across Europe. This market went live in October 2018 with one of the material changes that it introduces “balance responsibility” for wind generators. </w:t>
      </w:r>
    </w:p>
    <w:p w14:paraId="42FE147D" w14:textId="77777777" w:rsidR="0021298F" w:rsidRDefault="0021298F" w:rsidP="0021298F">
      <w:pPr>
        <w:jc w:val="both"/>
        <w:rPr>
          <w:rFonts w:ascii="Arial" w:hAnsi="Arial" w:cs="Arial"/>
        </w:rPr>
      </w:pPr>
      <w:r w:rsidRPr="00500322">
        <w:rPr>
          <w:rFonts w:ascii="Arial" w:hAnsi="Arial" w:cs="Arial"/>
        </w:rPr>
        <w:t>The implication of being balanced responsible is that it introduces a potential cost to the wind operators. The Group has contracted third</w:t>
      </w:r>
      <w:r>
        <w:rPr>
          <w:rFonts w:ascii="Arial" w:hAnsi="Arial" w:cs="Arial"/>
        </w:rPr>
        <w:t>-</w:t>
      </w:r>
      <w:r w:rsidRPr="00500322">
        <w:rPr>
          <w:rFonts w:ascii="Arial" w:hAnsi="Arial" w:cs="Arial"/>
        </w:rPr>
        <w:t>party service provider</w:t>
      </w:r>
      <w:r>
        <w:rPr>
          <w:rFonts w:ascii="Arial" w:hAnsi="Arial" w:cs="Arial"/>
        </w:rPr>
        <w:t>s</w:t>
      </w:r>
      <w:r w:rsidRPr="00500322">
        <w:rPr>
          <w:rFonts w:ascii="Arial" w:hAnsi="Arial" w:cs="Arial"/>
        </w:rPr>
        <w:t xml:space="preserve"> with relevant experience to manage this risk</w:t>
      </w:r>
      <w:r>
        <w:rPr>
          <w:rFonts w:ascii="Arial" w:hAnsi="Arial" w:cs="Arial"/>
        </w:rPr>
        <w:t xml:space="preserve"> to the wind farm portfolio</w:t>
      </w:r>
      <w:r w:rsidRPr="00500322">
        <w:rPr>
          <w:rFonts w:ascii="Arial" w:hAnsi="Arial" w:cs="Arial"/>
        </w:rPr>
        <w:t>.</w:t>
      </w:r>
      <w:r>
        <w:rPr>
          <w:rFonts w:ascii="Arial" w:hAnsi="Arial" w:cs="Arial"/>
        </w:rPr>
        <w:t xml:space="preserve"> </w:t>
      </w:r>
      <w:r w:rsidRPr="003948E0">
        <w:rPr>
          <w:rFonts w:ascii="Arial" w:hAnsi="Arial" w:cs="Arial"/>
        </w:rPr>
        <w:t xml:space="preserve">Brexit </w:t>
      </w:r>
      <w:r>
        <w:rPr>
          <w:rFonts w:ascii="Arial" w:hAnsi="Arial" w:cs="Arial"/>
        </w:rPr>
        <w:t xml:space="preserve">is not expected to have a material impact </w:t>
      </w:r>
      <w:r w:rsidRPr="003948E0">
        <w:rPr>
          <w:rFonts w:ascii="Arial" w:hAnsi="Arial" w:cs="Arial"/>
        </w:rPr>
        <w:t>on the operation of I</w:t>
      </w:r>
      <w:r>
        <w:rPr>
          <w:rFonts w:ascii="Arial" w:hAnsi="Arial" w:cs="Arial"/>
        </w:rPr>
        <w:t>-</w:t>
      </w:r>
      <w:r w:rsidRPr="003948E0">
        <w:rPr>
          <w:rFonts w:ascii="Arial" w:hAnsi="Arial" w:cs="Arial"/>
        </w:rPr>
        <w:t>SEM.</w:t>
      </w:r>
    </w:p>
    <w:p w14:paraId="2864DD4C" w14:textId="77777777" w:rsidR="0021298F" w:rsidRDefault="0021298F" w:rsidP="0021298F">
      <w:pPr>
        <w:jc w:val="both"/>
        <w:rPr>
          <w:rFonts w:ascii="Arial" w:hAnsi="Arial" w:cs="Arial"/>
          <w:i/>
        </w:rPr>
      </w:pPr>
    </w:p>
    <w:p w14:paraId="408A76F0" w14:textId="77777777" w:rsidR="0021298F" w:rsidRPr="00500322" w:rsidRDefault="0021298F" w:rsidP="0021298F">
      <w:pPr>
        <w:jc w:val="both"/>
        <w:rPr>
          <w:rFonts w:ascii="Arial" w:hAnsi="Arial" w:cs="Arial"/>
          <w:i/>
        </w:rPr>
      </w:pPr>
      <w:r w:rsidRPr="00500322">
        <w:rPr>
          <w:rFonts w:ascii="Arial" w:hAnsi="Arial" w:cs="Arial"/>
          <w:i/>
        </w:rPr>
        <w:t>Health and Safety and the Environment</w:t>
      </w:r>
    </w:p>
    <w:p w14:paraId="1B01B639" w14:textId="77777777" w:rsidR="0021298F" w:rsidRPr="00500322" w:rsidRDefault="0021298F" w:rsidP="0021298F">
      <w:pPr>
        <w:autoSpaceDE w:val="0"/>
        <w:autoSpaceDN w:val="0"/>
        <w:adjustRightInd w:val="0"/>
        <w:jc w:val="both"/>
        <w:rPr>
          <w:rFonts w:ascii="Arial" w:hAnsi="Arial" w:cs="Arial"/>
        </w:rPr>
      </w:pPr>
      <w:r w:rsidRPr="00500322">
        <w:rPr>
          <w:rFonts w:ascii="Arial" w:hAnsi="Arial" w:cs="Arial"/>
        </w:rPr>
        <w:t>The physical location, operation and maintenance of wind farms may, if inappropriately assessed and managed, pose health and safety risks to those involved. Wind farm operation and maintenance may result in physical injury or industrial accidents, particularly if an individual were to fall from height or be electrocuted. If an accident were to occur in relation to one or more of the Group’s investments and if the Group were deemed to be at fault, the Group could be liable for damages or compensation to the extent such loss is not covered by insurance policies. In addition, adverse publicity or reputational damage could ensue.</w:t>
      </w:r>
    </w:p>
    <w:p w14:paraId="2BB864CD" w14:textId="77777777" w:rsidR="0021298F" w:rsidRPr="00500322" w:rsidRDefault="0021298F" w:rsidP="0021298F">
      <w:pPr>
        <w:autoSpaceDE w:val="0"/>
        <w:autoSpaceDN w:val="0"/>
        <w:adjustRightInd w:val="0"/>
        <w:jc w:val="both"/>
        <w:rPr>
          <w:rFonts w:ascii="Arial" w:hAnsi="Arial" w:cs="Arial"/>
        </w:rPr>
      </w:pPr>
    </w:p>
    <w:p w14:paraId="5BFFD9DF" w14:textId="77777777" w:rsidR="0021298F" w:rsidRPr="00500322" w:rsidRDefault="0021298F" w:rsidP="0021298F">
      <w:pPr>
        <w:autoSpaceDE w:val="0"/>
        <w:autoSpaceDN w:val="0"/>
        <w:adjustRightInd w:val="0"/>
        <w:jc w:val="both"/>
        <w:rPr>
          <w:rFonts w:ascii="Arial" w:hAnsi="Arial" w:cs="Arial"/>
        </w:rPr>
      </w:pPr>
      <w:r w:rsidRPr="00500322">
        <w:rPr>
          <w:rFonts w:ascii="Arial" w:hAnsi="Arial" w:cs="Arial"/>
        </w:rPr>
        <w:t>The Board reviews health and safety at each of its scheduled Board meetings and Kevin McNamara serves as the appointed Health and Safety Director. The Group engages an independent health and safety consultant to ensure the ongoing appropriateness of its health and safety policies.</w:t>
      </w:r>
    </w:p>
    <w:p w14:paraId="01563235" w14:textId="77777777" w:rsidR="0021298F" w:rsidRPr="00500322" w:rsidRDefault="0021298F" w:rsidP="0021298F">
      <w:pPr>
        <w:autoSpaceDE w:val="0"/>
        <w:autoSpaceDN w:val="0"/>
        <w:adjustRightInd w:val="0"/>
        <w:jc w:val="both"/>
        <w:rPr>
          <w:rFonts w:ascii="Arial" w:hAnsi="Arial" w:cs="Arial"/>
        </w:rPr>
      </w:pPr>
    </w:p>
    <w:p w14:paraId="62D0C7D6" w14:textId="77777777" w:rsidR="0021298F" w:rsidRDefault="0021298F" w:rsidP="0021298F">
      <w:pPr>
        <w:jc w:val="both"/>
        <w:rPr>
          <w:rFonts w:ascii="Arial" w:hAnsi="Arial" w:cs="Arial"/>
        </w:rPr>
      </w:pPr>
      <w:r w:rsidRPr="00500322">
        <w:rPr>
          <w:rFonts w:ascii="Arial" w:hAnsi="Arial" w:cs="Arial"/>
        </w:rPr>
        <w:t xml:space="preserve">Wind farms have the potential to cause environmental hazards or nuisances to their local human populations, flora and fauna and the surrounding natural environment. Wind farms can receive complaints relating to specific environmental issues, or compliance with planning consents and other relevant permits. Separately, the planning regulations in Ireland historically included a planning exemption for underground grid connections. There have been challenges to the basis on which this exemption has been determined and there is currently uncertainty around how the </w:t>
      </w:r>
      <w:r w:rsidRPr="00500322">
        <w:rPr>
          <w:rFonts w:ascii="Arial" w:hAnsi="Arial" w:cs="Arial"/>
        </w:rPr>
        <w:lastRenderedPageBreak/>
        <w:t>industry will resolve this challenge. The Group continues to monitor any development, taking legal advice where necessary, and addresses these as and when required. </w:t>
      </w:r>
    </w:p>
    <w:p w14:paraId="7E8F3980" w14:textId="77777777" w:rsidR="0021298F" w:rsidRPr="00500322" w:rsidRDefault="0021298F" w:rsidP="0021298F">
      <w:pPr>
        <w:jc w:val="both"/>
        <w:rPr>
          <w:rFonts w:ascii="Arial" w:hAnsi="Arial" w:cs="Arial"/>
        </w:rPr>
      </w:pPr>
    </w:p>
    <w:p w14:paraId="579DEA38" w14:textId="77777777" w:rsidR="0021298F" w:rsidRPr="00500322" w:rsidRDefault="0021298F" w:rsidP="0021298F">
      <w:pPr>
        <w:pStyle w:val="Heading3"/>
        <w:spacing w:before="0"/>
        <w:jc w:val="both"/>
        <w:rPr>
          <w:rFonts w:ascii="Arial" w:hAnsi="Arial" w:cs="Arial"/>
          <w:color w:val="auto"/>
        </w:rPr>
      </w:pPr>
      <w:r w:rsidRPr="00500322">
        <w:rPr>
          <w:rFonts w:ascii="Arial" w:hAnsi="Arial" w:cs="Arial"/>
          <w:color w:val="auto"/>
        </w:rPr>
        <w:t>Going Concern and Financial Risk</w:t>
      </w:r>
    </w:p>
    <w:p w14:paraId="602F56F6" w14:textId="77777777" w:rsidR="0021298F" w:rsidRDefault="0021298F" w:rsidP="0021298F">
      <w:pPr>
        <w:autoSpaceDE w:val="0"/>
        <w:autoSpaceDN w:val="0"/>
        <w:adjustRightInd w:val="0"/>
        <w:jc w:val="both"/>
        <w:rPr>
          <w:rFonts w:ascii="Arial" w:hAnsi="Arial" w:cs="Arial"/>
        </w:rPr>
      </w:pPr>
      <w:r w:rsidRPr="003144D0">
        <w:rPr>
          <w:rFonts w:ascii="Arial" w:hAnsi="Arial" w:cs="Arial"/>
        </w:rPr>
        <w:t>As further detailed in note 1 to the financial statements, the Directors have a reasonable</w:t>
      </w:r>
      <w:r>
        <w:rPr>
          <w:rFonts w:ascii="Arial" w:hAnsi="Arial" w:cs="Arial"/>
        </w:rPr>
        <w:t xml:space="preserve"> </w:t>
      </w:r>
      <w:r w:rsidRPr="003144D0">
        <w:rPr>
          <w:rFonts w:ascii="Arial" w:hAnsi="Arial" w:cs="Arial"/>
        </w:rPr>
        <w:t>expectation that the Company and the Group have</w:t>
      </w:r>
      <w:r>
        <w:rPr>
          <w:rFonts w:ascii="Arial" w:hAnsi="Arial" w:cs="Arial"/>
        </w:rPr>
        <w:t xml:space="preserve"> </w:t>
      </w:r>
      <w:r w:rsidRPr="003144D0">
        <w:rPr>
          <w:rFonts w:ascii="Arial" w:hAnsi="Arial" w:cs="Arial"/>
        </w:rPr>
        <w:t>adequate resources to continue in operational</w:t>
      </w:r>
      <w:r>
        <w:rPr>
          <w:rFonts w:ascii="Arial" w:hAnsi="Arial" w:cs="Arial"/>
        </w:rPr>
        <w:t xml:space="preserve"> </w:t>
      </w:r>
      <w:r w:rsidRPr="003144D0">
        <w:rPr>
          <w:rFonts w:ascii="Arial" w:hAnsi="Arial" w:cs="Arial"/>
        </w:rPr>
        <w:t>existence for at least 12 months from the date of</w:t>
      </w:r>
      <w:r>
        <w:rPr>
          <w:rFonts w:ascii="Arial" w:hAnsi="Arial" w:cs="Arial"/>
        </w:rPr>
        <w:t xml:space="preserve"> </w:t>
      </w:r>
      <w:r w:rsidRPr="003144D0">
        <w:rPr>
          <w:rFonts w:ascii="Arial" w:hAnsi="Arial" w:cs="Arial"/>
        </w:rPr>
        <w:t>approval of this report. Accordingly, they continue to</w:t>
      </w:r>
      <w:r>
        <w:rPr>
          <w:rFonts w:ascii="Arial" w:hAnsi="Arial" w:cs="Arial"/>
        </w:rPr>
        <w:t xml:space="preserve"> </w:t>
      </w:r>
      <w:r w:rsidRPr="003144D0">
        <w:rPr>
          <w:rFonts w:ascii="Arial" w:hAnsi="Arial" w:cs="Arial"/>
        </w:rPr>
        <w:t>adopt the going concern basis in preparing the</w:t>
      </w:r>
      <w:r>
        <w:rPr>
          <w:rFonts w:ascii="Arial" w:hAnsi="Arial" w:cs="Arial"/>
        </w:rPr>
        <w:t xml:space="preserve"> </w:t>
      </w:r>
      <w:r w:rsidRPr="003144D0">
        <w:rPr>
          <w:rFonts w:ascii="Arial" w:hAnsi="Arial" w:cs="Arial"/>
        </w:rPr>
        <w:t>financial statements.</w:t>
      </w:r>
    </w:p>
    <w:p w14:paraId="1327F56F" w14:textId="77777777" w:rsidR="0021298F" w:rsidRDefault="0021298F" w:rsidP="0021298F">
      <w:pPr>
        <w:autoSpaceDE w:val="0"/>
        <w:autoSpaceDN w:val="0"/>
        <w:adjustRightInd w:val="0"/>
        <w:jc w:val="both"/>
        <w:rPr>
          <w:rFonts w:ascii="Arial" w:hAnsi="Arial" w:cs="Arial"/>
        </w:rPr>
      </w:pPr>
    </w:p>
    <w:p w14:paraId="7EFF6389" w14:textId="77777777" w:rsidR="0021298F" w:rsidRPr="00500322" w:rsidRDefault="0021298F" w:rsidP="0021298F">
      <w:pPr>
        <w:jc w:val="both"/>
        <w:rPr>
          <w:rFonts w:ascii="Arial" w:eastAsiaTheme="majorEastAsia" w:hAnsi="Arial" w:cs="Arial"/>
          <w:b/>
          <w:bCs/>
        </w:rPr>
      </w:pPr>
      <w:r w:rsidRPr="00500322">
        <w:rPr>
          <w:rFonts w:ascii="Arial" w:eastAsiaTheme="majorEastAsia" w:hAnsi="Arial" w:cs="Arial"/>
          <w:b/>
          <w:bCs/>
        </w:rPr>
        <w:t>Disclosure of Information to Independent Auditor</w:t>
      </w:r>
      <w:r w:rsidRPr="00500322" w:rsidDel="007606FF">
        <w:rPr>
          <w:rFonts w:ascii="Arial" w:eastAsiaTheme="majorEastAsia" w:hAnsi="Arial" w:cs="Arial"/>
          <w:b/>
          <w:bCs/>
        </w:rPr>
        <w:t xml:space="preserve"> </w:t>
      </w:r>
    </w:p>
    <w:p w14:paraId="269A7229" w14:textId="77777777" w:rsidR="0021298F" w:rsidRPr="00500322" w:rsidRDefault="0021298F" w:rsidP="0021298F">
      <w:pPr>
        <w:jc w:val="both"/>
        <w:rPr>
          <w:rFonts w:ascii="Arial" w:eastAsia="Times New Roman" w:hAnsi="Arial" w:cs="Arial"/>
        </w:rPr>
      </w:pPr>
      <w:r w:rsidRPr="00500322">
        <w:rPr>
          <w:rFonts w:ascii="Arial" w:eastAsia="Times New Roman" w:hAnsi="Arial" w:cs="Arial"/>
        </w:rPr>
        <w:t xml:space="preserve">The Directors believe that they have taken all steps necessary to make themselves aware of any relevant audit information and have established that the Group’s statutory </w:t>
      </w:r>
      <w:r>
        <w:rPr>
          <w:rFonts w:ascii="Arial" w:eastAsia="Times New Roman" w:hAnsi="Arial" w:cs="Arial"/>
        </w:rPr>
        <w:t>A</w:t>
      </w:r>
      <w:r w:rsidRPr="00500322">
        <w:rPr>
          <w:rFonts w:ascii="Arial" w:eastAsia="Times New Roman" w:hAnsi="Arial" w:cs="Arial"/>
        </w:rPr>
        <w:t xml:space="preserve">uditors are aware of that information. In so far as they are aware at the time that this report was approved, there is no relevant audit information of which the Group’s statutory </w:t>
      </w:r>
      <w:r>
        <w:rPr>
          <w:rFonts w:ascii="Arial" w:eastAsia="Times New Roman" w:hAnsi="Arial" w:cs="Arial"/>
        </w:rPr>
        <w:t>A</w:t>
      </w:r>
      <w:r w:rsidRPr="00500322">
        <w:rPr>
          <w:rFonts w:ascii="Arial" w:eastAsia="Times New Roman" w:hAnsi="Arial" w:cs="Arial"/>
        </w:rPr>
        <w:t>uditors are unaware.</w:t>
      </w:r>
    </w:p>
    <w:p w14:paraId="0E1A5E3F" w14:textId="77777777" w:rsidR="0021298F" w:rsidRDefault="0021298F" w:rsidP="0021298F">
      <w:pPr>
        <w:autoSpaceDE w:val="0"/>
        <w:autoSpaceDN w:val="0"/>
        <w:adjustRightInd w:val="0"/>
        <w:jc w:val="both"/>
        <w:rPr>
          <w:rFonts w:ascii="Arial" w:hAnsi="Arial" w:cs="Arial"/>
          <w:highlight w:val="yellow"/>
        </w:rPr>
      </w:pPr>
    </w:p>
    <w:p w14:paraId="249E5814" w14:textId="77777777" w:rsidR="0021298F" w:rsidRPr="00586153" w:rsidRDefault="0021298F" w:rsidP="0021298F">
      <w:pPr>
        <w:pStyle w:val="Heading3"/>
        <w:spacing w:before="0"/>
        <w:jc w:val="both"/>
        <w:rPr>
          <w:rFonts w:ascii="Arial" w:hAnsi="Arial" w:cs="Arial"/>
          <w:color w:val="auto"/>
        </w:rPr>
      </w:pPr>
      <w:r>
        <w:rPr>
          <w:rFonts w:ascii="Arial" w:hAnsi="Arial" w:cs="Arial"/>
          <w:color w:val="auto"/>
        </w:rPr>
        <w:t xml:space="preserve">Independent </w:t>
      </w:r>
      <w:r w:rsidRPr="00500322">
        <w:rPr>
          <w:rFonts w:ascii="Arial" w:hAnsi="Arial" w:cs="Arial"/>
          <w:color w:val="auto"/>
        </w:rPr>
        <w:t>Auditor</w:t>
      </w:r>
    </w:p>
    <w:p w14:paraId="69A5ABCA" w14:textId="77777777" w:rsidR="0021298F" w:rsidRPr="00500322" w:rsidRDefault="0021298F" w:rsidP="0021298F">
      <w:pPr>
        <w:jc w:val="both"/>
        <w:rPr>
          <w:rFonts w:ascii="Arial" w:eastAsia="Times New Roman" w:hAnsi="Arial" w:cs="Arial"/>
        </w:rPr>
      </w:pPr>
      <w:r w:rsidRPr="00500322">
        <w:rPr>
          <w:rFonts w:ascii="Arial" w:eastAsia="Times New Roman" w:hAnsi="Arial" w:cs="Arial"/>
        </w:rPr>
        <w:t xml:space="preserve">BDO, Statutory Audit Firm, have expressed their willingness to continue in office in accordance with Section 383 (2) of the Companies Act, 2014. </w:t>
      </w:r>
    </w:p>
    <w:p w14:paraId="13BC4AE3" w14:textId="77777777" w:rsidR="0021298F" w:rsidRPr="00500322" w:rsidRDefault="0021298F" w:rsidP="0021298F">
      <w:pPr>
        <w:jc w:val="both"/>
        <w:rPr>
          <w:rFonts w:ascii="Arial" w:eastAsia="Times New Roman" w:hAnsi="Arial" w:cs="Arial"/>
        </w:rPr>
      </w:pPr>
    </w:p>
    <w:p w14:paraId="3991AC86" w14:textId="77777777" w:rsidR="0021298F" w:rsidRPr="00500322" w:rsidRDefault="0021298F" w:rsidP="0021298F">
      <w:pPr>
        <w:jc w:val="both"/>
        <w:rPr>
          <w:rFonts w:ascii="Arial" w:eastAsia="Times New Roman" w:hAnsi="Arial" w:cs="Arial"/>
        </w:rPr>
      </w:pPr>
      <w:r w:rsidRPr="00500322">
        <w:rPr>
          <w:rFonts w:ascii="Arial" w:eastAsia="Times New Roman" w:hAnsi="Arial" w:cs="Arial"/>
        </w:rPr>
        <w:t xml:space="preserve">The Directors will propose the reappointment of BDO as the Company’s </w:t>
      </w:r>
      <w:r>
        <w:rPr>
          <w:rFonts w:ascii="Arial" w:eastAsia="Times New Roman" w:hAnsi="Arial" w:cs="Arial"/>
        </w:rPr>
        <w:t>A</w:t>
      </w:r>
      <w:r w:rsidRPr="00500322">
        <w:rPr>
          <w:rFonts w:ascii="Arial" w:eastAsia="Times New Roman" w:hAnsi="Arial" w:cs="Arial"/>
        </w:rPr>
        <w:t xml:space="preserve">uditor and resolutions concerning this and the remuneration of the Company’s </w:t>
      </w:r>
      <w:r>
        <w:rPr>
          <w:rFonts w:ascii="Arial" w:eastAsia="Times New Roman" w:hAnsi="Arial" w:cs="Arial"/>
        </w:rPr>
        <w:t>A</w:t>
      </w:r>
      <w:r w:rsidRPr="00500322">
        <w:rPr>
          <w:rFonts w:ascii="Arial" w:eastAsia="Times New Roman" w:hAnsi="Arial" w:cs="Arial"/>
        </w:rPr>
        <w:t>uditor will be proposed at the AGM.</w:t>
      </w:r>
    </w:p>
    <w:p w14:paraId="24946427" w14:textId="77777777" w:rsidR="0021298F" w:rsidRDefault="0021298F" w:rsidP="0021298F">
      <w:pPr>
        <w:autoSpaceDE w:val="0"/>
        <w:autoSpaceDN w:val="0"/>
        <w:adjustRightInd w:val="0"/>
        <w:jc w:val="both"/>
        <w:rPr>
          <w:rFonts w:ascii="Arial" w:hAnsi="Arial" w:cs="Arial"/>
          <w:highlight w:val="yellow"/>
        </w:rPr>
      </w:pPr>
    </w:p>
    <w:p w14:paraId="6BD2ECFB" w14:textId="77777777" w:rsidR="0021298F" w:rsidRPr="00586153" w:rsidRDefault="0021298F" w:rsidP="0021298F">
      <w:pPr>
        <w:pStyle w:val="Heading3"/>
        <w:spacing w:before="0"/>
        <w:jc w:val="both"/>
        <w:rPr>
          <w:rFonts w:ascii="Arial" w:hAnsi="Arial" w:cs="Arial"/>
          <w:color w:val="auto"/>
        </w:rPr>
      </w:pPr>
      <w:r w:rsidRPr="00500322">
        <w:rPr>
          <w:rFonts w:ascii="Arial" w:hAnsi="Arial" w:cs="Arial"/>
          <w:color w:val="auto"/>
        </w:rPr>
        <w:t xml:space="preserve">Audit Committee </w:t>
      </w:r>
    </w:p>
    <w:p w14:paraId="15DA3799" w14:textId="77777777" w:rsidR="0021298F" w:rsidRDefault="0021298F" w:rsidP="0021298F">
      <w:pPr>
        <w:jc w:val="both"/>
        <w:rPr>
          <w:rFonts w:ascii="Arial" w:eastAsia="Times New Roman" w:hAnsi="Arial" w:cs="Arial"/>
        </w:rPr>
      </w:pPr>
      <w:r w:rsidRPr="00500322">
        <w:rPr>
          <w:rFonts w:ascii="Arial" w:eastAsia="Times New Roman" w:hAnsi="Arial" w:cs="Arial"/>
        </w:rPr>
        <w:t xml:space="preserve">Pursuant to the Company’s Articles of Association the Board had established an Audit Committee that in all material respects meets the requirements of Section 167 of the Companies Act 2014. The Audit Committee was fully constituted and active during the year ended </w:t>
      </w:r>
      <w:r>
        <w:rPr>
          <w:rFonts w:ascii="Arial" w:eastAsia="Times New Roman" w:hAnsi="Arial" w:cs="Arial"/>
        </w:rPr>
        <w:t>31 December 2020</w:t>
      </w:r>
      <w:r w:rsidRPr="00500322">
        <w:rPr>
          <w:rFonts w:ascii="Arial" w:eastAsia="Times New Roman" w:hAnsi="Arial" w:cs="Arial"/>
        </w:rPr>
        <w:t>. For more information, see the Audit Committee Report</w:t>
      </w:r>
      <w:r w:rsidRPr="0073684C">
        <w:rPr>
          <w:rFonts w:ascii="Arial" w:eastAsia="Times New Roman" w:hAnsi="Arial" w:cs="Arial"/>
        </w:rPr>
        <w:t>.</w:t>
      </w:r>
    </w:p>
    <w:p w14:paraId="6F9396F6" w14:textId="77777777" w:rsidR="0021298F" w:rsidRDefault="0021298F" w:rsidP="0021298F">
      <w:pPr>
        <w:jc w:val="both"/>
        <w:rPr>
          <w:rFonts w:ascii="Arial" w:eastAsia="Times New Roman" w:hAnsi="Arial" w:cs="Arial"/>
        </w:rPr>
      </w:pPr>
    </w:p>
    <w:p w14:paraId="0C1345EB" w14:textId="77777777" w:rsidR="0021298F" w:rsidRPr="00500322" w:rsidRDefault="0021298F" w:rsidP="0021298F">
      <w:pPr>
        <w:pStyle w:val="Heading3"/>
        <w:spacing w:before="0"/>
        <w:jc w:val="both"/>
        <w:rPr>
          <w:rFonts w:ascii="Arial" w:hAnsi="Arial" w:cs="Arial"/>
          <w:color w:val="auto"/>
        </w:rPr>
      </w:pPr>
      <w:r w:rsidRPr="00500322">
        <w:rPr>
          <w:rFonts w:ascii="Arial" w:hAnsi="Arial" w:cs="Arial"/>
          <w:color w:val="auto"/>
        </w:rPr>
        <w:t>Annual Accounts</w:t>
      </w:r>
    </w:p>
    <w:p w14:paraId="5A6E073C" w14:textId="77777777" w:rsidR="0021298F" w:rsidRPr="00500322" w:rsidRDefault="0021298F" w:rsidP="0021298F">
      <w:pPr>
        <w:jc w:val="both"/>
        <w:rPr>
          <w:rFonts w:ascii="Arial" w:eastAsia="Times New Roman" w:hAnsi="Arial" w:cs="Arial"/>
        </w:rPr>
      </w:pPr>
      <w:r w:rsidRPr="00500322">
        <w:rPr>
          <w:rFonts w:ascii="Arial" w:eastAsia="Times New Roman" w:hAnsi="Arial" w:cs="Arial"/>
        </w:rPr>
        <w:t>The Board is of the opinion that the Annual Report, taken as a whole, is fair, balanced and understandable and provides the information necessary for shareholders to assess the performance, strategy and business model of the Company.</w:t>
      </w:r>
    </w:p>
    <w:p w14:paraId="4A1871D9" w14:textId="77777777" w:rsidR="0021298F" w:rsidRDefault="0021298F" w:rsidP="0021298F">
      <w:pPr>
        <w:jc w:val="both"/>
        <w:rPr>
          <w:rFonts w:ascii="Arial" w:eastAsia="Times New Roman" w:hAnsi="Arial" w:cs="Arial"/>
        </w:rPr>
      </w:pPr>
    </w:p>
    <w:p w14:paraId="26D45EA3" w14:textId="77777777" w:rsidR="0021298F" w:rsidRPr="00500322" w:rsidRDefault="0021298F" w:rsidP="0021298F">
      <w:pPr>
        <w:jc w:val="both"/>
        <w:rPr>
          <w:rFonts w:ascii="Arial" w:eastAsia="Times New Roman" w:hAnsi="Arial" w:cs="Arial"/>
        </w:rPr>
      </w:pPr>
      <w:r w:rsidRPr="00500322">
        <w:rPr>
          <w:rFonts w:ascii="Arial" w:eastAsia="Times New Roman" w:hAnsi="Arial" w:cs="Arial"/>
        </w:rPr>
        <w:t xml:space="preserve">The Directors recommend that the Annual Report, the Directors’ Report and the Independent Auditor’s Report for the year ended </w:t>
      </w:r>
      <w:r>
        <w:rPr>
          <w:rFonts w:ascii="Arial" w:eastAsia="Times New Roman" w:hAnsi="Arial" w:cs="Arial"/>
        </w:rPr>
        <w:t>31 December 2020</w:t>
      </w:r>
      <w:r w:rsidRPr="00500322">
        <w:rPr>
          <w:rFonts w:ascii="Arial" w:eastAsia="Times New Roman" w:hAnsi="Arial" w:cs="Arial"/>
        </w:rPr>
        <w:t xml:space="preserve"> are received and adopted by the shareholders and a resolution concerning this will be proposed at the AGM.</w:t>
      </w:r>
    </w:p>
    <w:p w14:paraId="3C3F4DA9" w14:textId="77777777" w:rsidR="0021298F" w:rsidRDefault="0021298F" w:rsidP="0021298F">
      <w:pPr>
        <w:jc w:val="both"/>
        <w:rPr>
          <w:rFonts w:ascii="Arial" w:eastAsia="Times New Roman" w:hAnsi="Arial" w:cs="Arial"/>
        </w:rPr>
      </w:pPr>
    </w:p>
    <w:p w14:paraId="639319F2" w14:textId="77777777" w:rsidR="0021298F" w:rsidRPr="00500322" w:rsidRDefault="0021298F" w:rsidP="0021298F">
      <w:pPr>
        <w:pStyle w:val="Heading3"/>
        <w:spacing w:before="0"/>
        <w:jc w:val="both"/>
        <w:rPr>
          <w:rFonts w:ascii="Arial" w:hAnsi="Arial" w:cs="Arial"/>
          <w:color w:val="auto"/>
        </w:rPr>
      </w:pPr>
      <w:r w:rsidRPr="00500322">
        <w:rPr>
          <w:rFonts w:ascii="Arial" w:hAnsi="Arial" w:cs="Arial"/>
          <w:color w:val="auto"/>
        </w:rPr>
        <w:t>Accounting Records</w:t>
      </w:r>
    </w:p>
    <w:p w14:paraId="1D5732AE" w14:textId="77777777" w:rsidR="0021298F" w:rsidRPr="00500322" w:rsidRDefault="0021298F" w:rsidP="0021298F">
      <w:pPr>
        <w:jc w:val="both"/>
        <w:rPr>
          <w:rFonts w:ascii="Arial" w:eastAsia="Times New Roman" w:hAnsi="Arial" w:cs="Arial"/>
        </w:rPr>
      </w:pPr>
      <w:r w:rsidRPr="00500322">
        <w:rPr>
          <w:rFonts w:ascii="Arial" w:eastAsia="Times New Roman" w:hAnsi="Arial" w:cs="Arial"/>
        </w:rPr>
        <w:t>The Directors believe they have complied with the requirements of Section 281 to Section 285 of the Companies Act, 2014 with regard to accounting records by employing accounting personnel with the appropriate expertise and by providing adequate resources to the financial function. The accounting records of the Company are maintained by Northern Trust International Fund Administration Services (Ireland) Limited at Georges Court, 54-62 Townsend Street, Dublin 2, Ireland.</w:t>
      </w:r>
    </w:p>
    <w:p w14:paraId="354007EA" w14:textId="77777777" w:rsidR="0021298F" w:rsidRPr="00500322" w:rsidRDefault="0021298F" w:rsidP="0021298F">
      <w:pPr>
        <w:jc w:val="both"/>
        <w:rPr>
          <w:rFonts w:ascii="Arial" w:eastAsia="Times New Roman" w:hAnsi="Arial" w:cs="Arial"/>
        </w:rPr>
      </w:pPr>
    </w:p>
    <w:p w14:paraId="747C7984" w14:textId="77777777" w:rsidR="0021298F" w:rsidRPr="00500322" w:rsidRDefault="0021298F" w:rsidP="0021298F">
      <w:pPr>
        <w:jc w:val="both"/>
        <w:rPr>
          <w:rFonts w:ascii="Arial" w:eastAsia="Times New Roman" w:hAnsi="Arial" w:cs="Arial"/>
          <w:b/>
        </w:rPr>
      </w:pPr>
      <w:r w:rsidRPr="00500322">
        <w:rPr>
          <w:rFonts w:ascii="Arial" w:eastAsia="Times New Roman" w:hAnsi="Arial" w:cs="Arial"/>
          <w:b/>
        </w:rPr>
        <w:lastRenderedPageBreak/>
        <w:t>Subsequent Events</w:t>
      </w:r>
    </w:p>
    <w:p w14:paraId="664EB12A" w14:textId="77777777" w:rsidR="0021298F" w:rsidRDefault="0021298F" w:rsidP="0021298F">
      <w:pPr>
        <w:rPr>
          <w:rFonts w:ascii="Arial" w:eastAsia="Times New Roman" w:hAnsi="Arial" w:cs="Arial"/>
        </w:rPr>
      </w:pPr>
      <w:r w:rsidRPr="00500322">
        <w:rPr>
          <w:rFonts w:ascii="Arial" w:eastAsia="Times New Roman" w:hAnsi="Arial" w:cs="Arial"/>
        </w:rPr>
        <w:t>Significant subsequent events have been disclosed in note 21 to the consolidated financial statements.</w:t>
      </w:r>
    </w:p>
    <w:p w14:paraId="73EF8DF8" w14:textId="77777777" w:rsidR="0021298F" w:rsidRPr="00500322" w:rsidRDefault="0021298F" w:rsidP="0021298F"/>
    <w:p w14:paraId="48264AA5" w14:textId="77777777" w:rsidR="0021298F" w:rsidRDefault="0021298F" w:rsidP="0021298F">
      <w:pPr>
        <w:jc w:val="both"/>
        <w:rPr>
          <w:rFonts w:ascii="Arial" w:hAnsi="Arial" w:cs="Arial"/>
          <w:b/>
        </w:rPr>
      </w:pPr>
      <w:r w:rsidRPr="00500322">
        <w:rPr>
          <w:rFonts w:ascii="Arial" w:hAnsi="Arial" w:cs="Arial"/>
          <w:b/>
        </w:rPr>
        <w:t xml:space="preserve">Corporate Governance </w:t>
      </w:r>
    </w:p>
    <w:p w14:paraId="000A76FC" w14:textId="77777777" w:rsidR="0021298F" w:rsidRPr="00500322" w:rsidRDefault="0021298F" w:rsidP="0021298F">
      <w:pPr>
        <w:jc w:val="both"/>
        <w:rPr>
          <w:rFonts w:ascii="Arial" w:hAnsi="Arial" w:cs="Arial"/>
          <w:b/>
        </w:rPr>
      </w:pPr>
    </w:p>
    <w:p w14:paraId="2C834943" w14:textId="77777777" w:rsidR="0021298F" w:rsidRPr="00500322" w:rsidRDefault="0021298F" w:rsidP="0021298F">
      <w:pPr>
        <w:jc w:val="both"/>
        <w:rPr>
          <w:rFonts w:ascii="Arial" w:eastAsia="Times New Roman" w:hAnsi="Arial" w:cs="Arial"/>
        </w:rPr>
      </w:pPr>
      <w:r w:rsidRPr="00500322">
        <w:rPr>
          <w:rFonts w:ascii="Arial" w:eastAsia="Times New Roman" w:hAnsi="Arial" w:cs="Arial"/>
        </w:rPr>
        <w:t xml:space="preserve">The Corporate Governance Report form part of this report. </w:t>
      </w:r>
    </w:p>
    <w:p w14:paraId="439E4D28" w14:textId="77777777" w:rsidR="0021298F" w:rsidRPr="001E34C8" w:rsidRDefault="0021298F" w:rsidP="0021298F">
      <w:pPr>
        <w:jc w:val="both"/>
        <w:rPr>
          <w:rFonts w:ascii="Arial" w:hAnsi="Arial" w:cs="Arial"/>
          <w:bCs/>
          <w:highlight w:val="yellow"/>
        </w:rPr>
      </w:pPr>
    </w:p>
    <w:p w14:paraId="2B02D964" w14:textId="77777777" w:rsidR="0021298F" w:rsidRPr="00500322" w:rsidRDefault="0021298F" w:rsidP="0021298F">
      <w:pPr>
        <w:jc w:val="both"/>
        <w:rPr>
          <w:rFonts w:ascii="Arial" w:eastAsia="Times New Roman" w:hAnsi="Arial" w:cs="Arial"/>
          <w:b/>
        </w:rPr>
      </w:pPr>
      <w:r w:rsidRPr="00500322">
        <w:rPr>
          <w:rFonts w:ascii="Arial" w:eastAsia="Times New Roman" w:hAnsi="Arial" w:cs="Arial"/>
          <w:b/>
        </w:rPr>
        <w:t>Directors and Company Secretary</w:t>
      </w:r>
    </w:p>
    <w:p w14:paraId="275A8D59" w14:textId="77777777" w:rsidR="0021298F" w:rsidRPr="00500322" w:rsidRDefault="0021298F" w:rsidP="0021298F">
      <w:pPr>
        <w:jc w:val="both"/>
        <w:rPr>
          <w:rFonts w:ascii="Arial" w:eastAsia="Times New Roman" w:hAnsi="Arial" w:cs="Arial"/>
        </w:rPr>
      </w:pPr>
      <w:r w:rsidRPr="00500322">
        <w:rPr>
          <w:rFonts w:ascii="Arial" w:eastAsia="Times New Roman" w:hAnsi="Arial" w:cs="Arial"/>
        </w:rPr>
        <w:t xml:space="preserve">The following Directors held office as at </w:t>
      </w:r>
      <w:r>
        <w:rPr>
          <w:rFonts w:ascii="Arial" w:eastAsia="Times New Roman" w:hAnsi="Arial" w:cs="Arial"/>
        </w:rPr>
        <w:t>31 December 2020</w:t>
      </w:r>
      <w:r w:rsidRPr="00500322">
        <w:rPr>
          <w:rFonts w:ascii="Arial" w:eastAsia="Times New Roman" w:hAnsi="Arial" w:cs="Arial"/>
        </w:rPr>
        <w:t xml:space="preserve">: </w:t>
      </w:r>
    </w:p>
    <w:p w14:paraId="57ED55C3" w14:textId="77777777" w:rsidR="0021298F" w:rsidRPr="00500322" w:rsidRDefault="0021298F" w:rsidP="0021298F">
      <w:pPr>
        <w:jc w:val="both"/>
        <w:rPr>
          <w:rFonts w:ascii="Arial" w:eastAsia="Times New Roman" w:hAnsi="Arial" w:cs="Arial"/>
        </w:rPr>
      </w:pPr>
    </w:p>
    <w:p w14:paraId="47001027" w14:textId="77777777" w:rsidR="0021298F" w:rsidRPr="00500322" w:rsidRDefault="0021298F" w:rsidP="0021298F">
      <w:pPr>
        <w:jc w:val="both"/>
        <w:rPr>
          <w:rFonts w:ascii="Arial" w:eastAsia="Times New Roman" w:hAnsi="Arial" w:cs="Arial"/>
          <w:b/>
        </w:rPr>
      </w:pPr>
      <w:r w:rsidRPr="00500322">
        <w:rPr>
          <w:rFonts w:ascii="Arial" w:eastAsia="Times New Roman" w:hAnsi="Arial" w:cs="Arial"/>
          <w:b/>
        </w:rPr>
        <w:t>Directors</w:t>
      </w:r>
    </w:p>
    <w:p w14:paraId="68787ABD" w14:textId="77777777" w:rsidR="0021298F" w:rsidRPr="00500322" w:rsidRDefault="0021298F" w:rsidP="0021298F">
      <w:pPr>
        <w:jc w:val="both"/>
        <w:rPr>
          <w:rFonts w:ascii="Arial" w:eastAsia="Times New Roman" w:hAnsi="Arial" w:cs="Arial"/>
        </w:rPr>
      </w:pPr>
      <w:r w:rsidRPr="00500322">
        <w:rPr>
          <w:rFonts w:ascii="Arial" w:eastAsia="Times New Roman" w:hAnsi="Arial" w:cs="Arial"/>
        </w:rPr>
        <w:t>Rónán Murphy (non-executive Chairman)</w:t>
      </w:r>
    </w:p>
    <w:p w14:paraId="710984F1" w14:textId="77777777" w:rsidR="0021298F" w:rsidRPr="00500322" w:rsidRDefault="0021298F" w:rsidP="0021298F">
      <w:pPr>
        <w:jc w:val="both"/>
        <w:rPr>
          <w:rFonts w:ascii="Arial" w:eastAsia="Times New Roman" w:hAnsi="Arial" w:cs="Arial"/>
        </w:rPr>
      </w:pPr>
      <w:r w:rsidRPr="00500322">
        <w:rPr>
          <w:rFonts w:ascii="Arial" w:eastAsia="Times New Roman" w:hAnsi="Arial" w:cs="Arial"/>
        </w:rPr>
        <w:t>Emer Gilvarry (non-executive Director)</w:t>
      </w:r>
    </w:p>
    <w:p w14:paraId="153DFB0E" w14:textId="77777777" w:rsidR="0021298F" w:rsidRDefault="0021298F" w:rsidP="0021298F">
      <w:pPr>
        <w:jc w:val="both"/>
        <w:rPr>
          <w:rFonts w:ascii="Arial" w:eastAsia="Times New Roman" w:hAnsi="Arial" w:cs="Arial"/>
        </w:rPr>
      </w:pPr>
      <w:r w:rsidRPr="00500322">
        <w:rPr>
          <w:rFonts w:ascii="Arial" w:eastAsia="Times New Roman" w:hAnsi="Arial" w:cs="Arial"/>
        </w:rPr>
        <w:t>Kevin McNamara (non-executive Director)</w:t>
      </w:r>
    </w:p>
    <w:p w14:paraId="05D4F1FA" w14:textId="77777777" w:rsidR="0021298F" w:rsidRDefault="0021298F" w:rsidP="0021298F">
      <w:pPr>
        <w:jc w:val="both"/>
        <w:rPr>
          <w:rFonts w:ascii="Arial" w:eastAsia="Times New Roman" w:hAnsi="Arial" w:cs="Arial"/>
        </w:rPr>
      </w:pPr>
      <w:r w:rsidRPr="001E64E0">
        <w:rPr>
          <w:rFonts w:ascii="Arial" w:eastAsia="Times New Roman" w:hAnsi="Arial" w:cs="Arial"/>
          <w:bCs/>
        </w:rPr>
        <w:t>Marco Graziano</w:t>
      </w:r>
      <w:r w:rsidRPr="00243D28">
        <w:rPr>
          <w:rFonts w:ascii="Arial" w:eastAsia="Times New Roman" w:hAnsi="Arial" w:cs="Arial"/>
          <w:b/>
        </w:rPr>
        <w:t xml:space="preserve"> </w:t>
      </w:r>
      <w:r w:rsidRPr="00500322">
        <w:rPr>
          <w:rFonts w:ascii="Arial" w:eastAsia="Times New Roman" w:hAnsi="Arial" w:cs="Arial"/>
        </w:rPr>
        <w:t>(non-executive Director)</w:t>
      </w:r>
    </w:p>
    <w:p w14:paraId="5553A589" w14:textId="77777777" w:rsidR="0021298F" w:rsidRPr="00243D28" w:rsidRDefault="0021298F" w:rsidP="0021298F">
      <w:pPr>
        <w:jc w:val="both"/>
        <w:rPr>
          <w:rFonts w:ascii="Arial" w:eastAsia="Times New Roman" w:hAnsi="Arial" w:cs="Arial"/>
          <w:b/>
        </w:rPr>
      </w:pPr>
    </w:p>
    <w:p w14:paraId="05026EEF" w14:textId="77777777" w:rsidR="0021298F" w:rsidRPr="00500322" w:rsidRDefault="0021298F" w:rsidP="0021298F">
      <w:pPr>
        <w:jc w:val="both"/>
        <w:rPr>
          <w:rFonts w:ascii="Arial" w:eastAsia="Times New Roman" w:hAnsi="Arial" w:cs="Arial"/>
          <w:b/>
        </w:rPr>
      </w:pPr>
      <w:r w:rsidRPr="00500322">
        <w:rPr>
          <w:rFonts w:ascii="Arial" w:eastAsia="Times New Roman" w:hAnsi="Arial" w:cs="Arial"/>
          <w:b/>
        </w:rPr>
        <w:t>Company Secretary</w:t>
      </w:r>
    </w:p>
    <w:p w14:paraId="49668B75" w14:textId="77777777" w:rsidR="0021298F" w:rsidRPr="00500322" w:rsidRDefault="0021298F" w:rsidP="0021298F">
      <w:pPr>
        <w:jc w:val="both"/>
        <w:rPr>
          <w:rFonts w:ascii="Arial" w:eastAsia="Times New Roman" w:hAnsi="Arial" w:cs="Arial"/>
        </w:rPr>
      </w:pPr>
      <w:r>
        <w:rPr>
          <w:rFonts w:ascii="Arial" w:eastAsia="Times New Roman" w:hAnsi="Arial" w:cs="Arial"/>
        </w:rPr>
        <w:t>Ocorian</w:t>
      </w:r>
      <w:r w:rsidRPr="00500322">
        <w:rPr>
          <w:rFonts w:ascii="Arial" w:eastAsia="Times New Roman" w:hAnsi="Arial" w:cs="Arial"/>
        </w:rPr>
        <w:t xml:space="preserve"> Administration (UK) Limited</w:t>
      </w:r>
      <w:r>
        <w:rPr>
          <w:rFonts w:ascii="Arial" w:eastAsia="Times New Roman" w:hAnsi="Arial" w:cs="Arial"/>
        </w:rPr>
        <w:t xml:space="preserve"> (formerly Estera Administration (UK) Limited)</w:t>
      </w:r>
    </w:p>
    <w:p w14:paraId="7E00F007" w14:textId="77777777" w:rsidR="0021298F" w:rsidRPr="00500322" w:rsidRDefault="0021298F" w:rsidP="0021298F">
      <w:pPr>
        <w:jc w:val="both"/>
        <w:rPr>
          <w:rFonts w:ascii="Arial" w:eastAsia="Times New Roman" w:hAnsi="Arial" w:cs="Arial"/>
        </w:rPr>
      </w:pPr>
    </w:p>
    <w:p w14:paraId="0505254C" w14:textId="77777777" w:rsidR="0021298F" w:rsidRPr="00500322" w:rsidRDefault="0021298F" w:rsidP="0021298F">
      <w:pPr>
        <w:jc w:val="both"/>
        <w:rPr>
          <w:rFonts w:ascii="Arial" w:eastAsia="Times New Roman" w:hAnsi="Arial" w:cs="Arial"/>
        </w:rPr>
      </w:pPr>
      <w:r w:rsidRPr="00500322">
        <w:rPr>
          <w:rFonts w:ascii="Arial" w:eastAsia="Times New Roman" w:hAnsi="Arial" w:cs="Arial"/>
        </w:rPr>
        <w:t xml:space="preserve">The biographical details of the Directors are set out </w:t>
      </w:r>
      <w:r>
        <w:rPr>
          <w:rFonts w:ascii="Arial" w:eastAsia="Times New Roman" w:hAnsi="Arial" w:cs="Arial"/>
        </w:rPr>
        <w:t>in the Board of Directors section</w:t>
      </w:r>
      <w:r w:rsidRPr="00500322" w:rsidDel="00EE5389">
        <w:rPr>
          <w:rFonts w:ascii="Arial" w:eastAsia="Times New Roman" w:hAnsi="Arial" w:cs="Arial"/>
        </w:rPr>
        <w:t xml:space="preserve"> </w:t>
      </w:r>
      <w:r w:rsidRPr="00500322">
        <w:rPr>
          <w:rFonts w:ascii="Arial" w:eastAsia="Times New Roman" w:hAnsi="Arial" w:cs="Arial"/>
        </w:rPr>
        <w:t>.</w:t>
      </w:r>
    </w:p>
    <w:p w14:paraId="317485B0" w14:textId="77777777" w:rsidR="0021298F" w:rsidRPr="00500322" w:rsidRDefault="0021298F" w:rsidP="0021298F">
      <w:pPr>
        <w:jc w:val="both"/>
        <w:rPr>
          <w:rFonts w:ascii="Arial" w:eastAsia="Times New Roman" w:hAnsi="Arial" w:cs="Arial"/>
          <w:b/>
        </w:rPr>
      </w:pPr>
    </w:p>
    <w:p w14:paraId="5E3989CD" w14:textId="77777777" w:rsidR="0021298F" w:rsidRPr="00500322" w:rsidRDefault="0021298F" w:rsidP="0021298F">
      <w:pPr>
        <w:jc w:val="both"/>
        <w:rPr>
          <w:rFonts w:ascii="Arial" w:eastAsia="Times New Roman" w:hAnsi="Arial" w:cs="Arial"/>
          <w:b/>
        </w:rPr>
      </w:pPr>
      <w:r w:rsidRPr="00500322">
        <w:rPr>
          <w:rFonts w:ascii="Arial" w:eastAsia="Times New Roman" w:hAnsi="Arial" w:cs="Arial"/>
          <w:b/>
        </w:rPr>
        <w:t xml:space="preserve">Changes in Directors during the </w:t>
      </w:r>
      <w:r>
        <w:rPr>
          <w:rFonts w:ascii="Arial" w:eastAsia="Times New Roman" w:hAnsi="Arial" w:cs="Arial"/>
          <w:b/>
        </w:rPr>
        <w:t>y</w:t>
      </w:r>
      <w:r w:rsidRPr="00500322">
        <w:rPr>
          <w:rFonts w:ascii="Arial" w:eastAsia="Times New Roman" w:hAnsi="Arial" w:cs="Arial"/>
          <w:b/>
        </w:rPr>
        <w:t>ear</w:t>
      </w:r>
    </w:p>
    <w:p w14:paraId="606867A5" w14:textId="77777777" w:rsidR="0021298F" w:rsidRDefault="0021298F" w:rsidP="0021298F">
      <w:pPr>
        <w:rPr>
          <w:rFonts w:ascii="Arial" w:eastAsia="Times New Roman" w:hAnsi="Arial" w:cs="Arial"/>
        </w:rPr>
      </w:pPr>
      <w:r>
        <w:rPr>
          <w:rFonts w:ascii="Arial" w:eastAsia="Times New Roman" w:hAnsi="Arial" w:cs="Arial"/>
        </w:rPr>
        <w:t xml:space="preserve">Effective 30 January 2020, </w:t>
      </w:r>
      <w:r w:rsidRPr="00667902">
        <w:rPr>
          <w:rFonts w:ascii="Arial" w:eastAsia="Times New Roman" w:hAnsi="Arial" w:cs="Arial"/>
        </w:rPr>
        <w:t xml:space="preserve">Marco Graziano </w:t>
      </w:r>
      <w:r>
        <w:rPr>
          <w:rFonts w:ascii="Arial" w:eastAsia="Times New Roman" w:hAnsi="Arial" w:cs="Arial"/>
        </w:rPr>
        <w:t>was appointed to the Board.</w:t>
      </w:r>
    </w:p>
    <w:p w14:paraId="205D0D8B" w14:textId="77777777" w:rsidR="0021298F" w:rsidRDefault="0021298F" w:rsidP="0021298F">
      <w:pPr>
        <w:rPr>
          <w:rFonts w:ascii="Arial" w:eastAsia="Times New Roman" w:hAnsi="Arial" w:cs="Arial"/>
        </w:rPr>
      </w:pPr>
    </w:p>
    <w:p w14:paraId="2CDD56DA" w14:textId="77777777" w:rsidR="0021298F" w:rsidRPr="00500322" w:rsidRDefault="0021298F" w:rsidP="0021298F">
      <w:pPr>
        <w:pStyle w:val="Heading3"/>
        <w:spacing w:before="0"/>
        <w:jc w:val="both"/>
        <w:rPr>
          <w:rFonts w:ascii="Arial" w:hAnsi="Arial" w:cs="Arial"/>
          <w:color w:val="auto"/>
        </w:rPr>
      </w:pPr>
      <w:r w:rsidRPr="00500322">
        <w:rPr>
          <w:rFonts w:ascii="Arial" w:hAnsi="Arial" w:cs="Arial"/>
          <w:color w:val="auto"/>
        </w:rPr>
        <w:t xml:space="preserve">Directors’ Interests in </w:t>
      </w:r>
      <w:r>
        <w:rPr>
          <w:rFonts w:ascii="Arial" w:hAnsi="Arial" w:cs="Arial"/>
          <w:color w:val="auto"/>
        </w:rPr>
        <w:t>S</w:t>
      </w:r>
      <w:r w:rsidRPr="00500322">
        <w:rPr>
          <w:rFonts w:ascii="Arial" w:hAnsi="Arial" w:cs="Arial"/>
          <w:color w:val="auto"/>
        </w:rPr>
        <w:t>hares in the Company</w:t>
      </w:r>
    </w:p>
    <w:p w14:paraId="4259BC5E" w14:textId="77777777" w:rsidR="0021298F" w:rsidRPr="00500322" w:rsidRDefault="0021298F" w:rsidP="0021298F">
      <w:pPr>
        <w:jc w:val="both"/>
        <w:rPr>
          <w:rFonts w:ascii="Arial" w:eastAsia="Times New Roman" w:hAnsi="Arial" w:cs="Arial"/>
        </w:rPr>
      </w:pPr>
      <w:r w:rsidRPr="00500322">
        <w:rPr>
          <w:rFonts w:ascii="Arial" w:eastAsia="Times New Roman" w:hAnsi="Arial" w:cs="Arial"/>
        </w:rPr>
        <w:t xml:space="preserve">Directors’ interests in Company shares as at </w:t>
      </w:r>
      <w:r>
        <w:rPr>
          <w:rFonts w:ascii="Arial" w:eastAsia="Times New Roman" w:hAnsi="Arial" w:cs="Arial"/>
        </w:rPr>
        <w:t>31 December 2020</w:t>
      </w:r>
      <w:r w:rsidRPr="00500322">
        <w:rPr>
          <w:rFonts w:ascii="Arial" w:eastAsia="Times New Roman" w:hAnsi="Arial" w:cs="Arial"/>
        </w:rPr>
        <w:t xml:space="preserve"> are detailed below. </w:t>
      </w:r>
    </w:p>
    <w:p w14:paraId="079C2D75" w14:textId="77777777" w:rsidR="0021298F" w:rsidRPr="00660DCB" w:rsidRDefault="0021298F" w:rsidP="0021298F">
      <w:pPr>
        <w:jc w:val="both"/>
        <w:rPr>
          <w:rFonts w:ascii="Arial" w:hAnsi="Arial" w:cs="Arial"/>
          <w:bCs/>
          <w:highlight w:val="yellow"/>
        </w:rPr>
      </w:pPr>
    </w:p>
    <w:tbl>
      <w:tblPr>
        <w:tblW w:w="5001" w:type="pct"/>
        <w:tblLook w:val="04A0" w:firstRow="1" w:lastRow="0" w:firstColumn="1" w:lastColumn="0" w:noHBand="0" w:noVBand="1"/>
      </w:tblPr>
      <w:tblGrid>
        <w:gridCol w:w="3970"/>
        <w:gridCol w:w="2552"/>
        <w:gridCol w:w="2506"/>
      </w:tblGrid>
      <w:tr w:rsidR="0021298F" w:rsidRPr="00500322" w14:paraId="6340DDA9" w14:textId="77777777" w:rsidTr="00760009">
        <w:trPr>
          <w:trHeight w:val="285"/>
        </w:trPr>
        <w:tc>
          <w:tcPr>
            <w:tcW w:w="2198" w:type="pct"/>
            <w:vMerge w:val="restart"/>
            <w:tcBorders>
              <w:top w:val="nil"/>
              <w:left w:val="nil"/>
              <w:bottom w:val="single" w:sz="4" w:space="0" w:color="000000"/>
              <w:right w:val="nil"/>
            </w:tcBorders>
            <w:shd w:val="clear" w:color="auto" w:fill="auto"/>
            <w:vAlign w:val="center"/>
            <w:hideMark/>
          </w:tcPr>
          <w:p w14:paraId="0D8883AD" w14:textId="77777777" w:rsidR="0021298F" w:rsidRPr="00586153" w:rsidRDefault="0021298F" w:rsidP="00760009">
            <w:pPr>
              <w:jc w:val="both"/>
              <w:rPr>
                <w:rFonts w:ascii="Arial" w:eastAsia="Times New Roman" w:hAnsi="Arial" w:cs="Arial"/>
                <w:b/>
                <w:bCs/>
                <w:lang w:eastAsia="en-GB"/>
              </w:rPr>
            </w:pPr>
            <w:r w:rsidRPr="00586153">
              <w:rPr>
                <w:rFonts w:ascii="Arial" w:eastAsia="Times New Roman" w:hAnsi="Arial" w:cs="Arial"/>
                <w:b/>
                <w:bCs/>
                <w:lang w:eastAsia="en-GB"/>
              </w:rPr>
              <w:t xml:space="preserve">Shareholder </w:t>
            </w:r>
          </w:p>
        </w:tc>
        <w:tc>
          <w:tcPr>
            <w:tcW w:w="1413" w:type="pct"/>
            <w:tcBorders>
              <w:top w:val="nil"/>
              <w:left w:val="nil"/>
              <w:bottom w:val="nil"/>
              <w:right w:val="nil"/>
            </w:tcBorders>
            <w:shd w:val="clear" w:color="auto" w:fill="auto"/>
            <w:vAlign w:val="center"/>
            <w:hideMark/>
          </w:tcPr>
          <w:p w14:paraId="493030BB" w14:textId="77777777" w:rsidR="0021298F" w:rsidRPr="00586153" w:rsidRDefault="0021298F" w:rsidP="00760009">
            <w:pPr>
              <w:jc w:val="right"/>
              <w:rPr>
                <w:rFonts w:ascii="Arial" w:eastAsia="Times New Roman" w:hAnsi="Arial" w:cs="Arial"/>
                <w:b/>
                <w:bCs/>
                <w:lang w:eastAsia="en-GB"/>
              </w:rPr>
            </w:pPr>
            <w:r w:rsidRPr="00586153">
              <w:rPr>
                <w:rFonts w:ascii="Arial" w:eastAsia="Times New Roman" w:hAnsi="Arial" w:cs="Arial"/>
                <w:b/>
                <w:bCs/>
                <w:lang w:eastAsia="en-GB"/>
              </w:rPr>
              <w:t>Ordinary shares of €0.01 each held as at</w:t>
            </w:r>
          </w:p>
        </w:tc>
        <w:tc>
          <w:tcPr>
            <w:tcW w:w="1388" w:type="pct"/>
            <w:tcBorders>
              <w:top w:val="nil"/>
              <w:left w:val="nil"/>
              <w:bottom w:val="nil"/>
              <w:right w:val="nil"/>
            </w:tcBorders>
            <w:vAlign w:val="center"/>
          </w:tcPr>
          <w:p w14:paraId="58CA4834" w14:textId="77777777" w:rsidR="0021298F" w:rsidRPr="00586153" w:rsidRDefault="0021298F" w:rsidP="00760009">
            <w:pPr>
              <w:jc w:val="right"/>
              <w:rPr>
                <w:rFonts w:ascii="Arial" w:eastAsia="Times New Roman" w:hAnsi="Arial" w:cs="Arial"/>
                <w:b/>
                <w:bCs/>
                <w:lang w:eastAsia="en-GB"/>
              </w:rPr>
            </w:pPr>
            <w:r w:rsidRPr="00586153">
              <w:rPr>
                <w:rFonts w:ascii="Arial" w:eastAsia="Times New Roman" w:hAnsi="Arial" w:cs="Arial"/>
                <w:b/>
                <w:bCs/>
                <w:lang w:eastAsia="en-GB"/>
              </w:rPr>
              <w:t>Ordinary shares of €0.01 each held as at</w:t>
            </w:r>
          </w:p>
        </w:tc>
      </w:tr>
      <w:tr w:rsidR="0021298F" w:rsidRPr="00500322" w14:paraId="1178D1C3" w14:textId="77777777" w:rsidTr="00760009">
        <w:trPr>
          <w:trHeight w:val="285"/>
        </w:trPr>
        <w:tc>
          <w:tcPr>
            <w:tcW w:w="2198" w:type="pct"/>
            <w:vMerge/>
            <w:tcBorders>
              <w:top w:val="nil"/>
              <w:left w:val="nil"/>
              <w:bottom w:val="single" w:sz="4" w:space="0" w:color="000000"/>
              <w:right w:val="nil"/>
            </w:tcBorders>
            <w:vAlign w:val="center"/>
            <w:hideMark/>
          </w:tcPr>
          <w:p w14:paraId="4A849661" w14:textId="77777777" w:rsidR="0021298F" w:rsidRPr="00586153" w:rsidRDefault="0021298F" w:rsidP="00760009">
            <w:pPr>
              <w:jc w:val="both"/>
              <w:rPr>
                <w:rFonts w:ascii="Arial" w:eastAsia="Times New Roman" w:hAnsi="Arial" w:cs="Arial"/>
                <w:b/>
                <w:bCs/>
                <w:lang w:eastAsia="en-GB"/>
              </w:rPr>
            </w:pPr>
          </w:p>
        </w:tc>
        <w:tc>
          <w:tcPr>
            <w:tcW w:w="1413" w:type="pct"/>
            <w:tcBorders>
              <w:top w:val="nil"/>
              <w:left w:val="nil"/>
              <w:bottom w:val="single" w:sz="4" w:space="0" w:color="auto"/>
              <w:right w:val="nil"/>
            </w:tcBorders>
            <w:shd w:val="clear" w:color="auto" w:fill="auto"/>
            <w:vAlign w:val="center"/>
            <w:hideMark/>
          </w:tcPr>
          <w:p w14:paraId="5B89D5FD" w14:textId="77777777" w:rsidR="0021298F" w:rsidRPr="00586153" w:rsidRDefault="0021298F" w:rsidP="00760009">
            <w:pPr>
              <w:jc w:val="right"/>
              <w:rPr>
                <w:rFonts w:ascii="Arial" w:eastAsia="Times New Roman" w:hAnsi="Arial" w:cs="Arial"/>
                <w:b/>
                <w:bCs/>
                <w:lang w:eastAsia="en-GB"/>
              </w:rPr>
            </w:pPr>
            <w:r>
              <w:rPr>
                <w:rFonts w:ascii="Arial" w:eastAsia="Times New Roman" w:hAnsi="Arial" w:cs="Arial"/>
                <w:b/>
                <w:bCs/>
                <w:lang w:eastAsia="en-GB"/>
              </w:rPr>
              <w:t>31 December 2020</w:t>
            </w:r>
          </w:p>
        </w:tc>
        <w:tc>
          <w:tcPr>
            <w:tcW w:w="1388" w:type="pct"/>
            <w:tcBorders>
              <w:top w:val="nil"/>
              <w:left w:val="nil"/>
              <w:bottom w:val="single" w:sz="4" w:space="0" w:color="auto"/>
              <w:right w:val="nil"/>
            </w:tcBorders>
            <w:vAlign w:val="center"/>
          </w:tcPr>
          <w:p w14:paraId="51E32114" w14:textId="77777777" w:rsidR="0021298F" w:rsidRPr="00586153" w:rsidRDefault="0021298F" w:rsidP="00760009">
            <w:pPr>
              <w:jc w:val="right"/>
              <w:rPr>
                <w:rFonts w:ascii="Arial" w:eastAsia="Times New Roman" w:hAnsi="Arial" w:cs="Arial"/>
                <w:b/>
                <w:bCs/>
                <w:lang w:eastAsia="en-GB"/>
              </w:rPr>
            </w:pPr>
            <w:r>
              <w:rPr>
                <w:rFonts w:ascii="Arial" w:eastAsia="Times New Roman" w:hAnsi="Arial" w:cs="Arial"/>
                <w:b/>
                <w:bCs/>
                <w:lang w:eastAsia="en-GB"/>
              </w:rPr>
              <w:t>31 December 2019</w:t>
            </w:r>
          </w:p>
        </w:tc>
      </w:tr>
      <w:tr w:rsidR="0021298F" w:rsidRPr="00500322" w14:paraId="5A8F2C56" w14:textId="77777777" w:rsidTr="00760009">
        <w:trPr>
          <w:trHeight w:val="285"/>
        </w:trPr>
        <w:tc>
          <w:tcPr>
            <w:tcW w:w="2198" w:type="pct"/>
            <w:tcBorders>
              <w:top w:val="single" w:sz="8" w:space="0" w:color="auto"/>
              <w:left w:val="nil"/>
              <w:bottom w:val="nil"/>
              <w:right w:val="nil"/>
            </w:tcBorders>
            <w:shd w:val="clear" w:color="auto" w:fill="auto"/>
            <w:noWrap/>
            <w:vAlign w:val="bottom"/>
            <w:hideMark/>
          </w:tcPr>
          <w:p w14:paraId="6313E2FB" w14:textId="77777777" w:rsidR="0021298F" w:rsidRPr="00586153" w:rsidRDefault="0021298F" w:rsidP="00760009">
            <w:pPr>
              <w:jc w:val="both"/>
              <w:rPr>
                <w:rFonts w:ascii="Arial" w:eastAsia="Times New Roman" w:hAnsi="Arial" w:cs="Arial"/>
                <w:lang w:eastAsia="en-GB"/>
              </w:rPr>
            </w:pPr>
            <w:r w:rsidRPr="00500322">
              <w:rPr>
                <w:rFonts w:ascii="Arial" w:eastAsiaTheme="majorEastAsia" w:hAnsi="Arial" w:cs="Arial"/>
                <w:bCs/>
              </w:rPr>
              <w:t>Rónán Murphy</w:t>
            </w:r>
          </w:p>
        </w:tc>
        <w:tc>
          <w:tcPr>
            <w:tcW w:w="1413" w:type="pct"/>
            <w:tcBorders>
              <w:top w:val="single" w:sz="8" w:space="0" w:color="auto"/>
              <w:left w:val="nil"/>
              <w:bottom w:val="nil"/>
              <w:right w:val="nil"/>
            </w:tcBorders>
            <w:shd w:val="clear" w:color="000000" w:fill="EDFFB7"/>
            <w:noWrap/>
            <w:vAlign w:val="bottom"/>
          </w:tcPr>
          <w:p w14:paraId="0CF7996B" w14:textId="77777777" w:rsidR="0021298F" w:rsidRPr="00B73F05" w:rsidRDefault="0021298F" w:rsidP="00760009">
            <w:pPr>
              <w:jc w:val="right"/>
              <w:rPr>
                <w:rFonts w:ascii="Arial" w:eastAsia="Times New Roman" w:hAnsi="Arial" w:cs="Arial"/>
                <w:lang w:eastAsia="en-GB"/>
              </w:rPr>
            </w:pPr>
            <w:r>
              <w:rPr>
                <w:rFonts w:ascii="Arial" w:eastAsia="Times New Roman" w:hAnsi="Arial" w:cs="Arial"/>
                <w:lang w:eastAsia="en-GB"/>
              </w:rPr>
              <w:t>192,694</w:t>
            </w:r>
          </w:p>
        </w:tc>
        <w:tc>
          <w:tcPr>
            <w:tcW w:w="1388" w:type="pct"/>
            <w:tcBorders>
              <w:top w:val="single" w:sz="8" w:space="0" w:color="auto"/>
              <w:left w:val="nil"/>
              <w:bottom w:val="nil"/>
              <w:right w:val="nil"/>
            </w:tcBorders>
            <w:shd w:val="clear" w:color="auto" w:fill="auto"/>
            <w:vAlign w:val="bottom"/>
          </w:tcPr>
          <w:p w14:paraId="11C5565F" w14:textId="77777777" w:rsidR="0021298F" w:rsidRPr="00586153" w:rsidRDefault="0021298F" w:rsidP="00760009">
            <w:pPr>
              <w:jc w:val="right"/>
              <w:rPr>
                <w:rFonts w:ascii="Arial" w:eastAsia="Times New Roman" w:hAnsi="Arial" w:cs="Arial"/>
                <w:lang w:eastAsia="en-GB"/>
              </w:rPr>
            </w:pPr>
            <w:r w:rsidRPr="00586153">
              <w:rPr>
                <w:rFonts w:ascii="Arial" w:eastAsia="Times New Roman" w:hAnsi="Arial" w:cs="Arial"/>
                <w:lang w:eastAsia="en-GB"/>
              </w:rPr>
              <w:t>170,571</w:t>
            </w:r>
          </w:p>
        </w:tc>
      </w:tr>
      <w:tr w:rsidR="0021298F" w:rsidRPr="00500322" w14:paraId="0F072349" w14:textId="77777777" w:rsidTr="00760009">
        <w:trPr>
          <w:trHeight w:val="285"/>
        </w:trPr>
        <w:tc>
          <w:tcPr>
            <w:tcW w:w="2198" w:type="pct"/>
            <w:tcBorders>
              <w:top w:val="nil"/>
              <w:left w:val="nil"/>
              <w:right w:val="nil"/>
            </w:tcBorders>
            <w:shd w:val="clear" w:color="auto" w:fill="auto"/>
            <w:noWrap/>
            <w:vAlign w:val="bottom"/>
            <w:hideMark/>
          </w:tcPr>
          <w:p w14:paraId="41A4D76D" w14:textId="77777777" w:rsidR="0021298F" w:rsidRPr="00586153" w:rsidRDefault="0021298F" w:rsidP="00760009">
            <w:pPr>
              <w:jc w:val="both"/>
              <w:rPr>
                <w:rFonts w:ascii="Arial" w:eastAsia="Times New Roman" w:hAnsi="Arial" w:cs="Arial"/>
                <w:lang w:eastAsia="en-GB"/>
              </w:rPr>
            </w:pPr>
            <w:r w:rsidRPr="00500322">
              <w:rPr>
                <w:rFonts w:ascii="Arial" w:eastAsiaTheme="majorEastAsia" w:hAnsi="Arial" w:cs="Arial"/>
                <w:bCs/>
              </w:rPr>
              <w:t xml:space="preserve">Kevin McNamara </w:t>
            </w:r>
          </w:p>
        </w:tc>
        <w:tc>
          <w:tcPr>
            <w:tcW w:w="1413" w:type="pct"/>
            <w:tcBorders>
              <w:top w:val="nil"/>
              <w:left w:val="nil"/>
              <w:right w:val="nil"/>
            </w:tcBorders>
            <w:shd w:val="clear" w:color="000000" w:fill="EDFFB7"/>
            <w:noWrap/>
            <w:vAlign w:val="bottom"/>
          </w:tcPr>
          <w:p w14:paraId="6BE957EC" w14:textId="77777777" w:rsidR="0021298F" w:rsidRPr="00B73F05" w:rsidRDefault="0021298F" w:rsidP="00760009">
            <w:pPr>
              <w:jc w:val="right"/>
              <w:rPr>
                <w:rFonts w:ascii="Arial" w:eastAsia="Times New Roman" w:hAnsi="Arial" w:cs="Arial"/>
                <w:lang w:eastAsia="en-GB"/>
              </w:rPr>
            </w:pPr>
            <w:r w:rsidRPr="00B73F05">
              <w:rPr>
                <w:rFonts w:ascii="Arial" w:eastAsia="Times New Roman" w:hAnsi="Arial" w:cs="Arial"/>
                <w:lang w:eastAsia="en-GB"/>
              </w:rPr>
              <w:t>68,327</w:t>
            </w:r>
          </w:p>
        </w:tc>
        <w:tc>
          <w:tcPr>
            <w:tcW w:w="1388" w:type="pct"/>
            <w:tcBorders>
              <w:top w:val="nil"/>
              <w:left w:val="nil"/>
              <w:right w:val="nil"/>
            </w:tcBorders>
            <w:shd w:val="clear" w:color="auto" w:fill="auto"/>
            <w:vAlign w:val="bottom"/>
          </w:tcPr>
          <w:p w14:paraId="71DEE514" w14:textId="77777777" w:rsidR="0021298F" w:rsidRPr="00586153" w:rsidRDefault="0021298F" w:rsidP="00760009">
            <w:pPr>
              <w:jc w:val="right"/>
              <w:rPr>
                <w:rFonts w:ascii="Arial" w:eastAsia="Times New Roman" w:hAnsi="Arial" w:cs="Arial"/>
                <w:lang w:eastAsia="en-GB"/>
              </w:rPr>
            </w:pPr>
            <w:r w:rsidRPr="00586153">
              <w:rPr>
                <w:rFonts w:ascii="Arial" w:eastAsia="Times New Roman" w:hAnsi="Arial" w:cs="Arial"/>
                <w:lang w:eastAsia="en-GB"/>
              </w:rPr>
              <w:t>68,327</w:t>
            </w:r>
          </w:p>
        </w:tc>
      </w:tr>
      <w:tr w:rsidR="0021298F" w:rsidRPr="00500322" w14:paraId="496B67ED" w14:textId="77777777" w:rsidTr="00760009">
        <w:trPr>
          <w:trHeight w:val="285"/>
        </w:trPr>
        <w:tc>
          <w:tcPr>
            <w:tcW w:w="2198" w:type="pct"/>
            <w:tcBorders>
              <w:top w:val="nil"/>
              <w:left w:val="nil"/>
              <w:bottom w:val="nil"/>
              <w:right w:val="nil"/>
            </w:tcBorders>
            <w:shd w:val="clear" w:color="auto" w:fill="auto"/>
            <w:noWrap/>
            <w:vAlign w:val="bottom"/>
          </w:tcPr>
          <w:p w14:paraId="1FE1541B" w14:textId="77777777" w:rsidR="0021298F" w:rsidRPr="00500322" w:rsidRDefault="0021298F" w:rsidP="00760009">
            <w:pPr>
              <w:jc w:val="both"/>
              <w:rPr>
                <w:rFonts w:ascii="Arial" w:eastAsiaTheme="majorEastAsia" w:hAnsi="Arial" w:cs="Arial"/>
                <w:bCs/>
              </w:rPr>
            </w:pPr>
            <w:r w:rsidRPr="00500322">
              <w:rPr>
                <w:rFonts w:ascii="Arial" w:eastAsiaTheme="majorEastAsia" w:hAnsi="Arial" w:cs="Arial"/>
                <w:bCs/>
              </w:rPr>
              <w:t>Emer Gilvarry</w:t>
            </w:r>
          </w:p>
        </w:tc>
        <w:tc>
          <w:tcPr>
            <w:tcW w:w="1413" w:type="pct"/>
            <w:tcBorders>
              <w:top w:val="nil"/>
              <w:left w:val="nil"/>
              <w:bottom w:val="nil"/>
              <w:right w:val="nil"/>
            </w:tcBorders>
            <w:shd w:val="clear" w:color="000000" w:fill="EDFFB7"/>
            <w:noWrap/>
            <w:vAlign w:val="bottom"/>
          </w:tcPr>
          <w:p w14:paraId="22644635" w14:textId="77777777" w:rsidR="0021298F" w:rsidRPr="00B73F05" w:rsidRDefault="0021298F" w:rsidP="00760009">
            <w:pPr>
              <w:jc w:val="right"/>
              <w:rPr>
                <w:rFonts w:ascii="Arial" w:eastAsia="Times New Roman" w:hAnsi="Arial" w:cs="Arial"/>
                <w:lang w:eastAsia="en-GB"/>
              </w:rPr>
            </w:pPr>
            <w:r w:rsidRPr="00B73F05">
              <w:rPr>
                <w:rFonts w:ascii="Arial" w:eastAsia="Times New Roman" w:hAnsi="Arial" w:cs="Arial"/>
                <w:lang w:eastAsia="en-GB"/>
              </w:rPr>
              <w:t>67,832</w:t>
            </w:r>
          </w:p>
        </w:tc>
        <w:tc>
          <w:tcPr>
            <w:tcW w:w="1388" w:type="pct"/>
            <w:tcBorders>
              <w:top w:val="nil"/>
              <w:left w:val="nil"/>
              <w:bottom w:val="nil"/>
              <w:right w:val="nil"/>
            </w:tcBorders>
            <w:shd w:val="clear" w:color="auto" w:fill="auto"/>
            <w:vAlign w:val="bottom"/>
          </w:tcPr>
          <w:p w14:paraId="7BE63425" w14:textId="77777777" w:rsidR="0021298F" w:rsidRPr="00586153" w:rsidRDefault="0021298F" w:rsidP="00760009">
            <w:pPr>
              <w:jc w:val="right"/>
              <w:rPr>
                <w:rFonts w:ascii="Arial" w:eastAsia="Times New Roman" w:hAnsi="Arial" w:cs="Arial"/>
                <w:lang w:eastAsia="en-GB"/>
              </w:rPr>
            </w:pPr>
            <w:r w:rsidRPr="00586153">
              <w:rPr>
                <w:rFonts w:ascii="Arial" w:eastAsia="Times New Roman" w:hAnsi="Arial" w:cs="Arial"/>
                <w:lang w:eastAsia="en-GB"/>
              </w:rPr>
              <w:t>67,832</w:t>
            </w:r>
          </w:p>
        </w:tc>
      </w:tr>
      <w:tr w:rsidR="0021298F" w:rsidRPr="00500322" w14:paraId="5F5F3079" w14:textId="77777777" w:rsidTr="00760009">
        <w:trPr>
          <w:trHeight w:val="285"/>
        </w:trPr>
        <w:tc>
          <w:tcPr>
            <w:tcW w:w="2198" w:type="pct"/>
            <w:tcBorders>
              <w:top w:val="nil"/>
              <w:left w:val="nil"/>
              <w:bottom w:val="single" w:sz="4" w:space="0" w:color="auto"/>
              <w:right w:val="nil"/>
            </w:tcBorders>
            <w:shd w:val="clear" w:color="auto" w:fill="auto"/>
            <w:noWrap/>
            <w:vAlign w:val="bottom"/>
          </w:tcPr>
          <w:p w14:paraId="387ECBEF" w14:textId="77777777" w:rsidR="0021298F" w:rsidRPr="001E64E0" w:rsidRDefault="0021298F" w:rsidP="00760009">
            <w:pPr>
              <w:jc w:val="both"/>
              <w:rPr>
                <w:rFonts w:ascii="Arial" w:eastAsia="Times New Roman" w:hAnsi="Arial" w:cs="Arial"/>
                <w:bCs/>
              </w:rPr>
            </w:pPr>
            <w:r w:rsidRPr="001E64E0">
              <w:rPr>
                <w:rFonts w:ascii="Arial" w:eastAsia="Times New Roman" w:hAnsi="Arial" w:cs="Arial"/>
                <w:bCs/>
              </w:rPr>
              <w:t xml:space="preserve">Marco Graziano </w:t>
            </w:r>
          </w:p>
        </w:tc>
        <w:tc>
          <w:tcPr>
            <w:tcW w:w="1413" w:type="pct"/>
            <w:tcBorders>
              <w:top w:val="nil"/>
              <w:left w:val="nil"/>
              <w:bottom w:val="single" w:sz="4" w:space="0" w:color="auto"/>
              <w:right w:val="nil"/>
            </w:tcBorders>
            <w:shd w:val="clear" w:color="000000" w:fill="EDFFB7"/>
            <w:noWrap/>
            <w:vAlign w:val="bottom"/>
          </w:tcPr>
          <w:p w14:paraId="73626BAF" w14:textId="77777777" w:rsidR="0021298F" w:rsidRPr="00B73F05" w:rsidRDefault="0021298F" w:rsidP="00760009">
            <w:pPr>
              <w:jc w:val="right"/>
              <w:rPr>
                <w:rFonts w:ascii="Arial" w:eastAsia="Times New Roman" w:hAnsi="Arial" w:cs="Arial"/>
                <w:lang w:eastAsia="en-GB"/>
              </w:rPr>
            </w:pPr>
            <w:r>
              <w:rPr>
                <w:rFonts w:ascii="Arial" w:eastAsia="Times New Roman" w:hAnsi="Arial" w:cs="Arial"/>
                <w:lang w:eastAsia="en-GB"/>
              </w:rPr>
              <w:t>65,000</w:t>
            </w:r>
          </w:p>
        </w:tc>
        <w:tc>
          <w:tcPr>
            <w:tcW w:w="1388" w:type="pct"/>
            <w:tcBorders>
              <w:top w:val="nil"/>
              <w:left w:val="nil"/>
              <w:bottom w:val="single" w:sz="4" w:space="0" w:color="auto"/>
              <w:right w:val="nil"/>
            </w:tcBorders>
            <w:shd w:val="clear" w:color="auto" w:fill="auto"/>
            <w:vAlign w:val="bottom"/>
          </w:tcPr>
          <w:p w14:paraId="21CA0CF1" w14:textId="77777777" w:rsidR="0021298F" w:rsidRPr="00586153" w:rsidRDefault="0021298F" w:rsidP="00760009">
            <w:pPr>
              <w:jc w:val="right"/>
              <w:rPr>
                <w:rFonts w:ascii="Arial" w:eastAsia="Times New Roman" w:hAnsi="Arial" w:cs="Arial"/>
                <w:lang w:eastAsia="en-GB"/>
              </w:rPr>
            </w:pPr>
            <w:r>
              <w:rPr>
                <w:rFonts w:ascii="Arial" w:eastAsia="Times New Roman" w:hAnsi="Arial" w:cs="Arial"/>
                <w:lang w:eastAsia="en-GB"/>
              </w:rPr>
              <w:t>-</w:t>
            </w:r>
          </w:p>
        </w:tc>
      </w:tr>
    </w:tbl>
    <w:p w14:paraId="61D37144" w14:textId="77777777" w:rsidR="0021298F" w:rsidRPr="00500322" w:rsidRDefault="0021298F" w:rsidP="0021298F">
      <w:pPr>
        <w:jc w:val="both"/>
        <w:rPr>
          <w:rFonts w:ascii="Arial" w:eastAsia="Times New Roman" w:hAnsi="Arial" w:cs="Arial"/>
          <w:highlight w:val="yellow"/>
        </w:rPr>
      </w:pPr>
    </w:p>
    <w:p w14:paraId="07AD1958" w14:textId="77777777" w:rsidR="0021298F" w:rsidRDefault="0021298F" w:rsidP="0021298F">
      <w:pPr>
        <w:jc w:val="both"/>
        <w:rPr>
          <w:rFonts w:ascii="Arial" w:eastAsia="Times New Roman" w:hAnsi="Arial" w:cs="Arial"/>
        </w:rPr>
      </w:pPr>
      <w:r w:rsidRPr="00500322">
        <w:rPr>
          <w:rFonts w:ascii="Arial" w:eastAsia="Times New Roman" w:hAnsi="Arial" w:cs="Arial"/>
        </w:rPr>
        <w:t>The Company does not have any share option schemes in place.</w:t>
      </w:r>
    </w:p>
    <w:p w14:paraId="16B1FE11" w14:textId="77777777" w:rsidR="0021298F" w:rsidRDefault="0021298F" w:rsidP="0021298F">
      <w:pPr>
        <w:jc w:val="both"/>
        <w:rPr>
          <w:rFonts w:ascii="Arial" w:eastAsia="Times New Roman" w:hAnsi="Arial" w:cs="Arial"/>
        </w:rPr>
      </w:pPr>
    </w:p>
    <w:p w14:paraId="456C9563" w14:textId="77777777" w:rsidR="0021298F" w:rsidRPr="00500322" w:rsidRDefault="0021298F" w:rsidP="0021298F">
      <w:pPr>
        <w:jc w:val="both"/>
        <w:rPr>
          <w:rFonts w:ascii="Arial" w:eastAsia="Times New Roman" w:hAnsi="Arial" w:cs="Arial"/>
          <w:b/>
        </w:rPr>
      </w:pPr>
      <w:r w:rsidRPr="00500322">
        <w:rPr>
          <w:rFonts w:ascii="Arial" w:eastAsia="Times New Roman" w:hAnsi="Arial" w:cs="Arial"/>
          <w:b/>
        </w:rPr>
        <w:t>Dividend</w:t>
      </w:r>
    </w:p>
    <w:p w14:paraId="71ABCE2E" w14:textId="77777777" w:rsidR="0021298F" w:rsidRPr="00500322" w:rsidRDefault="0021298F" w:rsidP="0021298F">
      <w:pPr>
        <w:jc w:val="both"/>
        <w:rPr>
          <w:rFonts w:ascii="Arial" w:eastAsia="Times New Roman" w:hAnsi="Arial" w:cs="Arial"/>
        </w:rPr>
      </w:pPr>
      <w:r w:rsidRPr="00B73F05">
        <w:rPr>
          <w:rFonts w:ascii="Arial" w:eastAsia="Times New Roman" w:hAnsi="Arial" w:cs="Arial"/>
        </w:rPr>
        <w:t xml:space="preserve">The Board </w:t>
      </w:r>
      <w:r>
        <w:rPr>
          <w:rFonts w:ascii="Arial" w:eastAsia="Times New Roman" w:hAnsi="Arial" w:cs="Arial"/>
        </w:rPr>
        <w:t xml:space="preserve">recommended </w:t>
      </w:r>
      <w:r w:rsidRPr="00B73F05">
        <w:rPr>
          <w:rFonts w:ascii="Arial" w:eastAsia="Times New Roman" w:hAnsi="Arial" w:cs="Arial"/>
        </w:rPr>
        <w:t>a</w:t>
      </w:r>
      <w:r>
        <w:rPr>
          <w:rFonts w:ascii="Arial" w:eastAsia="Times New Roman" w:hAnsi="Arial" w:cs="Arial"/>
        </w:rPr>
        <w:t>n interim</w:t>
      </w:r>
      <w:r w:rsidRPr="00B73F05">
        <w:rPr>
          <w:rFonts w:ascii="Arial" w:eastAsia="Times New Roman" w:hAnsi="Arial" w:cs="Arial"/>
        </w:rPr>
        <w:t xml:space="preserve"> dividend of €11</w:t>
      </w:r>
      <w:r>
        <w:rPr>
          <w:rFonts w:ascii="Arial" w:eastAsia="Times New Roman" w:hAnsi="Arial" w:cs="Arial"/>
        </w:rPr>
        <w:t>.3 million</w:t>
      </w:r>
      <w:r w:rsidRPr="00B73F05">
        <w:rPr>
          <w:rFonts w:ascii="Arial" w:eastAsia="Times New Roman" w:hAnsi="Arial" w:cs="Arial"/>
        </w:rPr>
        <w:t>, equivalent to 1.5</w:t>
      </w:r>
      <w:r>
        <w:rPr>
          <w:rFonts w:ascii="Arial" w:eastAsia="Times New Roman" w:hAnsi="Arial" w:cs="Arial"/>
        </w:rPr>
        <w:t>1</w:t>
      </w:r>
      <w:r w:rsidRPr="00B73F05">
        <w:rPr>
          <w:rFonts w:ascii="Arial" w:eastAsia="Times New Roman" w:hAnsi="Arial" w:cs="Arial"/>
        </w:rPr>
        <w:t>5 cent per share with respect to the 3 month period ended 31 December 2020</w:t>
      </w:r>
      <w:r>
        <w:rPr>
          <w:rFonts w:ascii="Arial" w:eastAsia="Times New Roman" w:hAnsi="Arial" w:cs="Arial"/>
        </w:rPr>
        <w:t>, bringing total dividends with respect to the year to €39.9 million, equivalent to 6.06 cent per share as disclosed in note 8 of the financial statements.</w:t>
      </w:r>
      <w:r w:rsidRPr="00500322">
        <w:rPr>
          <w:rFonts w:ascii="Arial" w:eastAsia="Times New Roman" w:hAnsi="Arial" w:cs="Arial"/>
        </w:rPr>
        <w:t xml:space="preserve"> </w:t>
      </w:r>
    </w:p>
    <w:p w14:paraId="6711A508" w14:textId="77777777" w:rsidR="0021298F" w:rsidRPr="00500322" w:rsidRDefault="0021298F" w:rsidP="0021298F">
      <w:pPr>
        <w:jc w:val="both"/>
        <w:rPr>
          <w:rFonts w:ascii="Arial" w:hAnsi="Arial" w:cs="Arial"/>
        </w:rPr>
      </w:pPr>
    </w:p>
    <w:p w14:paraId="2AF51A85" w14:textId="77777777" w:rsidR="0021298F" w:rsidRPr="00382C2F" w:rsidRDefault="0021298F" w:rsidP="0021298F">
      <w:pPr>
        <w:pStyle w:val="Heading3"/>
        <w:spacing w:before="0"/>
        <w:jc w:val="both"/>
        <w:rPr>
          <w:rFonts w:ascii="Arial" w:hAnsi="Arial" w:cs="Arial"/>
          <w:color w:val="auto"/>
        </w:rPr>
      </w:pPr>
      <w:r w:rsidRPr="00500322">
        <w:rPr>
          <w:rFonts w:ascii="Arial" w:hAnsi="Arial" w:cs="Arial"/>
          <w:color w:val="auto"/>
        </w:rPr>
        <w:t>Political Donations</w:t>
      </w:r>
    </w:p>
    <w:p w14:paraId="18072866" w14:textId="77777777" w:rsidR="0021298F" w:rsidRPr="00500322" w:rsidRDefault="0021298F" w:rsidP="0021298F">
      <w:pPr>
        <w:jc w:val="both"/>
        <w:rPr>
          <w:rFonts w:ascii="Arial" w:hAnsi="Arial" w:cs="Arial"/>
        </w:rPr>
      </w:pPr>
      <w:r w:rsidRPr="00500322">
        <w:rPr>
          <w:rFonts w:ascii="Arial" w:hAnsi="Arial" w:cs="Arial"/>
        </w:rPr>
        <w:t xml:space="preserve">No political donations were made during the year ended </w:t>
      </w:r>
      <w:r>
        <w:rPr>
          <w:rFonts w:ascii="Arial" w:hAnsi="Arial" w:cs="Arial"/>
        </w:rPr>
        <w:t>31 December 2020</w:t>
      </w:r>
      <w:r w:rsidRPr="00500322">
        <w:rPr>
          <w:rFonts w:ascii="Arial" w:hAnsi="Arial" w:cs="Arial"/>
        </w:rPr>
        <w:t>.</w:t>
      </w:r>
    </w:p>
    <w:p w14:paraId="65A5A0DA" w14:textId="77777777" w:rsidR="0021298F" w:rsidRPr="00500322" w:rsidRDefault="0021298F" w:rsidP="0021298F">
      <w:pPr>
        <w:jc w:val="both"/>
        <w:rPr>
          <w:rFonts w:ascii="Arial" w:eastAsia="Times New Roman" w:hAnsi="Arial" w:cs="Arial"/>
        </w:rPr>
      </w:pPr>
    </w:p>
    <w:p w14:paraId="1E18B632" w14:textId="77777777" w:rsidR="0021298F" w:rsidRPr="00500322" w:rsidRDefault="0021298F" w:rsidP="0021298F">
      <w:pPr>
        <w:pStyle w:val="Heading3"/>
        <w:spacing w:before="0"/>
        <w:jc w:val="both"/>
        <w:rPr>
          <w:rFonts w:ascii="Arial" w:hAnsi="Arial" w:cs="Arial"/>
          <w:color w:val="auto"/>
        </w:rPr>
      </w:pPr>
      <w:r w:rsidRPr="00500322">
        <w:rPr>
          <w:rFonts w:ascii="Arial" w:hAnsi="Arial" w:cs="Arial"/>
          <w:color w:val="auto"/>
        </w:rPr>
        <w:lastRenderedPageBreak/>
        <w:t xml:space="preserve">Longer Term Viability </w:t>
      </w:r>
    </w:p>
    <w:p w14:paraId="35125E54" w14:textId="77777777" w:rsidR="0021298F" w:rsidRPr="009741BE" w:rsidRDefault="0021298F" w:rsidP="0021298F">
      <w:pPr>
        <w:pStyle w:val="Heading3"/>
        <w:spacing w:before="0"/>
        <w:jc w:val="both"/>
        <w:rPr>
          <w:rFonts w:ascii="Arial" w:eastAsiaTheme="minorHAnsi" w:hAnsi="Arial" w:cs="Arial"/>
          <w:b/>
          <w:bCs/>
          <w:color w:val="auto"/>
        </w:rPr>
      </w:pPr>
      <w:r w:rsidRPr="009741BE">
        <w:rPr>
          <w:rFonts w:ascii="Arial" w:eastAsiaTheme="minorHAnsi" w:hAnsi="Arial" w:cs="Arial"/>
          <w:color w:val="auto"/>
        </w:rPr>
        <w:t>As further disclosed</w:t>
      </w:r>
      <w:r>
        <w:rPr>
          <w:rFonts w:ascii="Arial" w:eastAsiaTheme="minorHAnsi" w:hAnsi="Arial" w:cs="Arial"/>
          <w:color w:val="auto"/>
        </w:rPr>
        <w:t xml:space="preserve"> </w:t>
      </w:r>
      <w:r w:rsidRPr="00EE5389">
        <w:rPr>
          <w:rFonts w:ascii="Arial" w:eastAsiaTheme="minorHAnsi" w:hAnsi="Arial" w:cs="Arial"/>
          <w:color w:val="auto"/>
        </w:rPr>
        <w:t>in the Corporate Governance Report</w:t>
      </w:r>
      <w:r>
        <w:rPr>
          <w:rFonts w:ascii="Arial" w:eastAsiaTheme="minorHAnsi" w:hAnsi="Arial" w:cs="Arial"/>
          <w:color w:val="auto"/>
        </w:rPr>
        <w:t>,</w:t>
      </w:r>
      <w:r w:rsidRPr="009741BE">
        <w:rPr>
          <w:rFonts w:ascii="Arial" w:eastAsiaTheme="minorHAnsi" w:hAnsi="Arial" w:cs="Arial"/>
          <w:color w:val="auto"/>
        </w:rPr>
        <w:t xml:space="preserve"> the Company is a member of the AIC and complies with the AIC Code. In accordance with the AIC Code, the Directors are required to assess the prospects of the Group over a period longer than the 12 months associated with going concern. The Directors conducted this review for a period of 10 years, which it deemed appropriate, given the long-term nature of the Group’s investments, which are modelled over 30 years, coupled </w:t>
      </w:r>
      <w:r>
        <w:rPr>
          <w:rFonts w:ascii="Arial" w:eastAsiaTheme="minorHAnsi" w:hAnsi="Arial" w:cs="Arial"/>
          <w:color w:val="auto"/>
        </w:rPr>
        <w:t>with its long</w:t>
      </w:r>
      <w:r w:rsidRPr="009741BE">
        <w:rPr>
          <w:rFonts w:ascii="Arial" w:eastAsiaTheme="minorHAnsi" w:hAnsi="Arial" w:cs="Arial"/>
          <w:color w:val="auto"/>
        </w:rPr>
        <w:t>-term strategic planning horizon.</w:t>
      </w:r>
    </w:p>
    <w:p w14:paraId="1CB97EE8" w14:textId="77777777" w:rsidR="0021298F" w:rsidRDefault="0021298F" w:rsidP="0021298F">
      <w:pPr>
        <w:jc w:val="both"/>
        <w:rPr>
          <w:rFonts w:ascii="Arial" w:hAnsi="Arial" w:cs="Arial"/>
        </w:rPr>
      </w:pPr>
    </w:p>
    <w:p w14:paraId="13463B36" w14:textId="77777777" w:rsidR="0021298F" w:rsidRDefault="0021298F" w:rsidP="0021298F">
      <w:pPr>
        <w:jc w:val="both"/>
        <w:rPr>
          <w:rFonts w:ascii="Arial" w:hAnsi="Arial" w:cs="Arial"/>
        </w:rPr>
      </w:pPr>
      <w:r w:rsidRPr="009741BE">
        <w:rPr>
          <w:rFonts w:ascii="Arial" w:hAnsi="Arial" w:cs="Arial"/>
        </w:rPr>
        <w:t>In considering the prospects of the Group, the Directors looked at the key risks facing both the Group and the investee companies</w:t>
      </w:r>
      <w:r w:rsidRPr="00F8054B">
        <w:rPr>
          <w:rFonts w:ascii="Arial" w:hAnsi="Arial" w:cs="Arial"/>
        </w:rPr>
        <w:t>,</w:t>
      </w:r>
      <w:r w:rsidRPr="009741BE">
        <w:rPr>
          <w:rFonts w:ascii="Arial" w:hAnsi="Arial" w:cs="Arial"/>
        </w:rPr>
        <w:t xml:space="preserve"> focusing on the likelihood and impact of each risk as well as any key contracts, future events or timescales that may be assigned to each key risk. </w:t>
      </w:r>
    </w:p>
    <w:p w14:paraId="085A518D" w14:textId="77777777" w:rsidR="0021298F" w:rsidRPr="00500322" w:rsidRDefault="0021298F" w:rsidP="0021298F">
      <w:pPr>
        <w:jc w:val="both"/>
        <w:rPr>
          <w:rFonts w:ascii="Arial" w:eastAsia="Times New Roman" w:hAnsi="Arial" w:cs="Arial"/>
        </w:rPr>
      </w:pPr>
    </w:p>
    <w:p w14:paraId="0BF733EA" w14:textId="77777777" w:rsidR="0021298F" w:rsidRPr="00500322" w:rsidRDefault="0021298F" w:rsidP="0021298F">
      <w:pPr>
        <w:jc w:val="both"/>
        <w:rPr>
          <w:rFonts w:ascii="Arial" w:hAnsi="Arial" w:cs="Arial"/>
        </w:rPr>
      </w:pPr>
      <w:r w:rsidRPr="00500322">
        <w:rPr>
          <w:rFonts w:ascii="Arial" w:eastAsia="Times New Roman" w:hAnsi="Arial" w:cs="Arial"/>
        </w:rPr>
        <w:t xml:space="preserve">As a sector-focused infrastructure fund, the Group aims to produce stable and progressive dividends while preserving the capital value of its investment portfolio on a real basis. The Directors believe that the Group is well placed to manage its business risks successfully over both the short and long term and accordingly, the Board has a reasonable expectation that the Group will be able to continue in operation and to meet its liabilities as they fall due for a period of at least 10 years. </w:t>
      </w:r>
    </w:p>
    <w:p w14:paraId="258F597F" w14:textId="77777777" w:rsidR="0021298F" w:rsidRPr="00500322" w:rsidRDefault="0021298F" w:rsidP="0021298F">
      <w:pPr>
        <w:jc w:val="both"/>
        <w:rPr>
          <w:rFonts w:ascii="Arial" w:eastAsia="Times New Roman" w:hAnsi="Arial" w:cs="Arial"/>
        </w:rPr>
      </w:pPr>
    </w:p>
    <w:p w14:paraId="07692D8A" w14:textId="77777777" w:rsidR="0021298F" w:rsidRDefault="0021298F" w:rsidP="0021298F">
      <w:pPr>
        <w:jc w:val="both"/>
        <w:rPr>
          <w:rFonts w:ascii="Arial" w:eastAsia="Times New Roman" w:hAnsi="Arial" w:cs="Arial"/>
        </w:rPr>
      </w:pPr>
      <w:r w:rsidRPr="00500322">
        <w:rPr>
          <w:rFonts w:ascii="Arial" w:eastAsia="Times New Roman" w:hAnsi="Arial" w:cs="Arial"/>
        </w:rPr>
        <w:t>While the Directors have no reason to believe that the Group will not be viable over a longer period, they are conscious that it would be difficult to foresee the economic viability of any company with any degree of certainty for a period of time greater than 10 years.</w:t>
      </w:r>
    </w:p>
    <w:p w14:paraId="6904B6C9" w14:textId="77777777" w:rsidR="0021298F" w:rsidRDefault="0021298F" w:rsidP="0021298F">
      <w:pPr>
        <w:jc w:val="both"/>
        <w:rPr>
          <w:rFonts w:ascii="Arial" w:eastAsia="Times New Roman" w:hAnsi="Arial" w:cs="Arial"/>
        </w:rPr>
      </w:pPr>
    </w:p>
    <w:p w14:paraId="74E52AF0" w14:textId="77777777" w:rsidR="0021298F" w:rsidRPr="00500322" w:rsidRDefault="0021298F" w:rsidP="0021298F">
      <w:pPr>
        <w:pStyle w:val="Heading3"/>
        <w:spacing w:before="0"/>
        <w:jc w:val="both"/>
        <w:rPr>
          <w:rFonts w:ascii="Arial" w:hAnsi="Arial" w:cs="Arial"/>
          <w:color w:val="auto"/>
        </w:rPr>
      </w:pPr>
      <w:r w:rsidRPr="00500322">
        <w:rPr>
          <w:rFonts w:ascii="Arial" w:hAnsi="Arial" w:cs="Arial"/>
          <w:color w:val="auto"/>
        </w:rPr>
        <w:t>Directors’ Compliance Statement</w:t>
      </w:r>
    </w:p>
    <w:p w14:paraId="16AD24F0" w14:textId="77777777" w:rsidR="0021298F" w:rsidRDefault="0021298F" w:rsidP="0021298F">
      <w:pPr>
        <w:jc w:val="both"/>
        <w:rPr>
          <w:rFonts w:ascii="Arial" w:hAnsi="Arial" w:cs="Arial"/>
        </w:rPr>
      </w:pPr>
      <w:r w:rsidRPr="00500322">
        <w:rPr>
          <w:rFonts w:ascii="Arial" w:hAnsi="Arial" w:cs="Arial"/>
        </w:rPr>
        <w:t>The Directors, in accordance with Section 225(2)(a) of the Companies Act 2014, acknowledge that they are responsible for securing the Company’s compliance with its “relevant obligations”. “Relevant obligations” in the context for the Company, are the Company’s obligations under:</w:t>
      </w:r>
    </w:p>
    <w:p w14:paraId="0B6EC676" w14:textId="77777777" w:rsidR="0021298F" w:rsidRDefault="0021298F" w:rsidP="0021298F">
      <w:pPr>
        <w:jc w:val="both"/>
        <w:rPr>
          <w:rFonts w:ascii="Arial" w:hAnsi="Arial" w:cs="Arial"/>
        </w:rPr>
      </w:pPr>
    </w:p>
    <w:p w14:paraId="33C043FB" w14:textId="77777777" w:rsidR="0021298F" w:rsidRDefault="0021298F" w:rsidP="0021298F">
      <w:pPr>
        <w:pStyle w:val="ListParagraph"/>
        <w:numPr>
          <w:ilvl w:val="0"/>
          <w:numId w:val="32"/>
        </w:numPr>
        <w:jc w:val="both"/>
        <w:rPr>
          <w:rFonts w:ascii="Arial" w:eastAsia="Times New Roman" w:hAnsi="Arial" w:cs="Arial"/>
        </w:rPr>
      </w:pPr>
      <w:r w:rsidRPr="00500322">
        <w:rPr>
          <w:rFonts w:ascii="Arial" w:eastAsia="Times New Roman" w:hAnsi="Arial" w:cs="Arial"/>
        </w:rPr>
        <w:t>The Companies Act 2014, where a breach of the obligations would be a category 1 or category 2 offence.</w:t>
      </w:r>
    </w:p>
    <w:p w14:paraId="71FCC6FA" w14:textId="77777777" w:rsidR="0021298F" w:rsidRPr="00500322" w:rsidRDefault="0021298F" w:rsidP="0021298F">
      <w:pPr>
        <w:pStyle w:val="ListParagraph"/>
        <w:ind w:left="784"/>
        <w:jc w:val="both"/>
        <w:rPr>
          <w:rFonts w:ascii="Arial" w:eastAsia="Times New Roman" w:hAnsi="Arial" w:cs="Arial"/>
        </w:rPr>
      </w:pPr>
    </w:p>
    <w:p w14:paraId="096A5A03" w14:textId="77777777" w:rsidR="0021298F" w:rsidRDefault="0021298F" w:rsidP="0021298F">
      <w:pPr>
        <w:pStyle w:val="ListParagraph"/>
        <w:numPr>
          <w:ilvl w:val="0"/>
          <w:numId w:val="32"/>
        </w:numPr>
        <w:jc w:val="both"/>
        <w:rPr>
          <w:rFonts w:ascii="Arial" w:eastAsia="Times New Roman" w:hAnsi="Arial" w:cs="Arial"/>
        </w:rPr>
      </w:pPr>
      <w:r w:rsidRPr="00500322">
        <w:rPr>
          <w:rFonts w:ascii="Arial" w:eastAsia="Times New Roman" w:hAnsi="Arial" w:cs="Arial"/>
        </w:rPr>
        <w:t>The Companies Act 2014, where a breach of the obligations would be a serious Market Abuse or Prospectus offence.</w:t>
      </w:r>
    </w:p>
    <w:p w14:paraId="500BDBDD" w14:textId="77777777" w:rsidR="0021298F" w:rsidRPr="00500322" w:rsidRDefault="0021298F" w:rsidP="0021298F">
      <w:pPr>
        <w:pStyle w:val="ListParagraph"/>
        <w:ind w:left="784"/>
        <w:jc w:val="both"/>
        <w:rPr>
          <w:rFonts w:ascii="Arial" w:eastAsia="Times New Roman" w:hAnsi="Arial" w:cs="Arial"/>
        </w:rPr>
      </w:pPr>
    </w:p>
    <w:p w14:paraId="71FE7EA8" w14:textId="77777777" w:rsidR="0021298F" w:rsidRPr="00500322" w:rsidRDefault="0021298F" w:rsidP="0021298F">
      <w:pPr>
        <w:pStyle w:val="ListParagraph"/>
        <w:numPr>
          <w:ilvl w:val="0"/>
          <w:numId w:val="32"/>
        </w:numPr>
        <w:jc w:val="both"/>
        <w:rPr>
          <w:rFonts w:ascii="Arial" w:eastAsia="Times New Roman" w:hAnsi="Arial" w:cs="Arial"/>
        </w:rPr>
      </w:pPr>
      <w:r>
        <w:rPr>
          <w:rFonts w:ascii="Arial" w:eastAsia="Times New Roman" w:hAnsi="Arial" w:cs="Arial"/>
        </w:rPr>
        <w:t>T</w:t>
      </w:r>
      <w:r w:rsidRPr="00500322">
        <w:rPr>
          <w:rFonts w:ascii="Arial" w:eastAsia="Times New Roman" w:hAnsi="Arial" w:cs="Arial"/>
        </w:rPr>
        <w:t>ax law.</w:t>
      </w:r>
    </w:p>
    <w:p w14:paraId="4B4DD6E9" w14:textId="77777777" w:rsidR="0021298F" w:rsidRDefault="0021298F" w:rsidP="0021298F">
      <w:pPr>
        <w:jc w:val="both"/>
        <w:rPr>
          <w:rFonts w:ascii="Arial" w:eastAsia="Times New Roman" w:hAnsi="Arial" w:cs="Arial"/>
        </w:rPr>
      </w:pPr>
    </w:p>
    <w:p w14:paraId="043A876F" w14:textId="77777777" w:rsidR="0021298F" w:rsidRDefault="0021298F" w:rsidP="0021298F">
      <w:pPr>
        <w:jc w:val="both"/>
        <w:rPr>
          <w:rFonts w:ascii="Arial" w:eastAsia="Times New Roman" w:hAnsi="Arial" w:cs="Arial"/>
        </w:rPr>
      </w:pPr>
      <w:r w:rsidRPr="00500322">
        <w:rPr>
          <w:rFonts w:ascii="Arial" w:eastAsia="Times New Roman" w:hAnsi="Arial" w:cs="Arial"/>
        </w:rPr>
        <w:t>Pursuant to Section 225(2)(b) of the Companies Act 2014, the Directors confirm that:</w:t>
      </w:r>
    </w:p>
    <w:p w14:paraId="546A582F" w14:textId="77777777" w:rsidR="0021298F" w:rsidRDefault="0021298F" w:rsidP="0021298F">
      <w:pPr>
        <w:jc w:val="both"/>
        <w:rPr>
          <w:rFonts w:ascii="Arial" w:eastAsia="Times New Roman" w:hAnsi="Arial" w:cs="Arial"/>
        </w:rPr>
      </w:pPr>
    </w:p>
    <w:p w14:paraId="0EC5D905" w14:textId="77777777" w:rsidR="0021298F" w:rsidRDefault="0021298F" w:rsidP="0021298F">
      <w:pPr>
        <w:pStyle w:val="ListParagraph"/>
        <w:numPr>
          <w:ilvl w:val="0"/>
          <w:numId w:val="33"/>
        </w:numPr>
        <w:jc w:val="both"/>
        <w:rPr>
          <w:rFonts w:ascii="Arial" w:eastAsia="Times New Roman" w:hAnsi="Arial" w:cs="Arial"/>
        </w:rPr>
      </w:pPr>
      <w:r>
        <w:rPr>
          <w:rFonts w:ascii="Arial" w:eastAsia="Times New Roman" w:hAnsi="Arial" w:cs="Arial"/>
        </w:rPr>
        <w:t>a</w:t>
      </w:r>
      <w:r w:rsidRPr="00500322">
        <w:rPr>
          <w:rFonts w:ascii="Arial" w:eastAsia="Times New Roman" w:hAnsi="Arial" w:cs="Arial"/>
        </w:rPr>
        <w:t xml:space="preserve"> compliance policy statement has been drawn up by the Company in accordance with Section 225(3)(a) of the Companies Act 2014 setting out the Company’s policies (that, in the directors’ opinion, are appropriate to the Company) regarding compliance by the Company with its relevant obligations.</w:t>
      </w:r>
    </w:p>
    <w:p w14:paraId="57235567" w14:textId="77777777" w:rsidR="0021298F" w:rsidRPr="00500322" w:rsidRDefault="0021298F" w:rsidP="0021298F">
      <w:pPr>
        <w:pStyle w:val="ListParagraph"/>
        <w:jc w:val="both"/>
        <w:rPr>
          <w:rFonts w:ascii="Arial" w:eastAsia="Times New Roman" w:hAnsi="Arial" w:cs="Arial"/>
        </w:rPr>
      </w:pPr>
    </w:p>
    <w:p w14:paraId="0190404A" w14:textId="77777777" w:rsidR="0021298F" w:rsidRDefault="0021298F" w:rsidP="0021298F">
      <w:pPr>
        <w:pStyle w:val="ListParagraph"/>
        <w:numPr>
          <w:ilvl w:val="0"/>
          <w:numId w:val="33"/>
        </w:numPr>
        <w:jc w:val="both"/>
        <w:rPr>
          <w:rFonts w:ascii="Arial" w:eastAsia="Times New Roman" w:hAnsi="Arial" w:cs="Arial"/>
        </w:rPr>
      </w:pPr>
      <w:r>
        <w:rPr>
          <w:rFonts w:ascii="Arial" w:eastAsia="Times New Roman" w:hAnsi="Arial" w:cs="Arial"/>
        </w:rPr>
        <w:t>a</w:t>
      </w:r>
      <w:r w:rsidRPr="00500322">
        <w:rPr>
          <w:rFonts w:ascii="Arial" w:eastAsia="Times New Roman" w:hAnsi="Arial" w:cs="Arial"/>
        </w:rPr>
        <w:t>ppropriate arrangements and structures that in their opinion, are designed to secure material compliance with the Company’s relevant obligations, have been put in place; and</w:t>
      </w:r>
    </w:p>
    <w:p w14:paraId="15FF11A1" w14:textId="77777777" w:rsidR="0021298F" w:rsidRPr="00500322" w:rsidRDefault="0021298F" w:rsidP="0021298F">
      <w:pPr>
        <w:pStyle w:val="ListParagraph"/>
        <w:jc w:val="both"/>
        <w:rPr>
          <w:rFonts w:ascii="Arial" w:eastAsia="Times New Roman" w:hAnsi="Arial" w:cs="Arial"/>
        </w:rPr>
      </w:pPr>
    </w:p>
    <w:p w14:paraId="7554108C" w14:textId="77777777" w:rsidR="0021298F" w:rsidRPr="00500322" w:rsidRDefault="0021298F" w:rsidP="0021298F">
      <w:pPr>
        <w:pStyle w:val="ListParagraph"/>
        <w:numPr>
          <w:ilvl w:val="0"/>
          <w:numId w:val="33"/>
        </w:numPr>
        <w:jc w:val="both"/>
        <w:rPr>
          <w:rFonts w:ascii="Arial" w:eastAsia="Times New Roman" w:hAnsi="Arial" w:cs="Arial"/>
        </w:rPr>
      </w:pPr>
      <w:r>
        <w:rPr>
          <w:rFonts w:ascii="Arial" w:eastAsia="Times New Roman" w:hAnsi="Arial" w:cs="Arial"/>
        </w:rPr>
        <w:t>a</w:t>
      </w:r>
      <w:r w:rsidRPr="00500322">
        <w:rPr>
          <w:rFonts w:ascii="Arial" w:eastAsia="Times New Roman" w:hAnsi="Arial" w:cs="Arial"/>
        </w:rPr>
        <w:t xml:space="preserve"> review has been conducted, during the financial year, of the arrangements and structures referred to above.</w:t>
      </w:r>
    </w:p>
    <w:p w14:paraId="350BC601" w14:textId="77777777" w:rsidR="0021298F" w:rsidRPr="00500322" w:rsidRDefault="0021298F" w:rsidP="0021298F">
      <w:pPr>
        <w:tabs>
          <w:tab w:val="left" w:pos="1185"/>
        </w:tabs>
        <w:jc w:val="both"/>
        <w:rPr>
          <w:rFonts w:ascii="Arial" w:eastAsia="Times New Roman" w:hAnsi="Arial" w:cs="Arial"/>
        </w:rPr>
      </w:pPr>
    </w:p>
    <w:p w14:paraId="1FB7EF41" w14:textId="77777777" w:rsidR="0021298F" w:rsidRPr="00500322" w:rsidRDefault="0021298F" w:rsidP="0021298F">
      <w:pPr>
        <w:jc w:val="both"/>
        <w:rPr>
          <w:rFonts w:ascii="Arial" w:eastAsia="Times New Roman" w:hAnsi="Arial" w:cs="Arial"/>
        </w:rPr>
      </w:pPr>
      <w:r w:rsidRPr="00500322">
        <w:rPr>
          <w:rFonts w:ascii="Arial" w:eastAsia="Times New Roman" w:hAnsi="Arial" w:cs="Arial"/>
        </w:rPr>
        <w:t>By order of the Board</w:t>
      </w:r>
    </w:p>
    <w:p w14:paraId="6E6250C0" w14:textId="77777777" w:rsidR="0021298F" w:rsidRPr="00500322" w:rsidRDefault="0021298F" w:rsidP="0021298F">
      <w:pPr>
        <w:jc w:val="both"/>
        <w:rPr>
          <w:rFonts w:ascii="Arial" w:hAnsi="Arial" w:cs="Arial"/>
          <w:b/>
        </w:rPr>
      </w:pPr>
    </w:p>
    <w:p w14:paraId="4CC0C22C" w14:textId="77777777" w:rsidR="0021298F" w:rsidRPr="00500322" w:rsidRDefault="0021298F" w:rsidP="0021298F">
      <w:pPr>
        <w:jc w:val="both"/>
        <w:rPr>
          <w:rFonts w:ascii="Arial" w:hAnsi="Arial" w:cs="Arial"/>
          <w:b/>
        </w:rPr>
      </w:pPr>
      <w:r w:rsidRPr="00500322">
        <w:rPr>
          <w:rFonts w:ascii="Arial" w:hAnsi="Arial" w:cs="Arial"/>
          <w:b/>
        </w:rPr>
        <w:t>Rónán Murphy</w:t>
      </w:r>
      <w:r w:rsidRPr="00500322">
        <w:rPr>
          <w:rFonts w:ascii="Arial" w:hAnsi="Arial" w:cs="Arial"/>
          <w:b/>
        </w:rPr>
        <w:tab/>
      </w:r>
      <w:r w:rsidRPr="00500322">
        <w:rPr>
          <w:rFonts w:ascii="Arial" w:hAnsi="Arial" w:cs="Arial"/>
          <w:b/>
        </w:rPr>
        <w:tab/>
      </w:r>
      <w:r w:rsidRPr="00500322">
        <w:rPr>
          <w:rFonts w:ascii="Arial" w:hAnsi="Arial" w:cs="Arial"/>
          <w:b/>
        </w:rPr>
        <w:tab/>
      </w:r>
      <w:r w:rsidRPr="00500322">
        <w:rPr>
          <w:rFonts w:ascii="Arial" w:hAnsi="Arial" w:cs="Arial"/>
          <w:b/>
        </w:rPr>
        <w:tab/>
      </w:r>
      <w:r w:rsidRPr="00500322">
        <w:rPr>
          <w:rFonts w:ascii="Arial" w:hAnsi="Arial" w:cs="Arial"/>
          <w:b/>
        </w:rPr>
        <w:tab/>
      </w:r>
      <w:r w:rsidRPr="00500322">
        <w:rPr>
          <w:rFonts w:ascii="Arial" w:hAnsi="Arial" w:cs="Arial"/>
          <w:b/>
        </w:rPr>
        <w:tab/>
      </w:r>
      <w:r w:rsidRPr="00500322">
        <w:rPr>
          <w:rFonts w:ascii="Arial" w:hAnsi="Arial" w:cs="Arial"/>
          <w:b/>
        </w:rPr>
        <w:tab/>
        <w:t>Kevin McNamara</w:t>
      </w:r>
    </w:p>
    <w:p w14:paraId="19E5E588" w14:textId="77777777" w:rsidR="0021298F" w:rsidRPr="00500322" w:rsidRDefault="0021298F" w:rsidP="0021298F">
      <w:pPr>
        <w:jc w:val="both"/>
        <w:rPr>
          <w:rFonts w:ascii="Arial" w:eastAsia="Times New Roman" w:hAnsi="Arial" w:cs="Arial"/>
        </w:rPr>
      </w:pPr>
      <w:r w:rsidRPr="00500322">
        <w:rPr>
          <w:rFonts w:ascii="Arial" w:eastAsia="Times New Roman" w:hAnsi="Arial" w:cs="Arial"/>
        </w:rPr>
        <w:t xml:space="preserve">Director </w:t>
      </w:r>
      <w:r w:rsidRPr="00500322">
        <w:rPr>
          <w:rFonts w:ascii="Arial" w:eastAsia="Times New Roman" w:hAnsi="Arial" w:cs="Arial"/>
        </w:rPr>
        <w:tab/>
      </w:r>
      <w:r w:rsidRPr="00500322">
        <w:rPr>
          <w:rFonts w:ascii="Arial" w:eastAsia="Times New Roman" w:hAnsi="Arial" w:cs="Arial"/>
        </w:rPr>
        <w:tab/>
      </w:r>
      <w:r w:rsidRPr="00500322">
        <w:rPr>
          <w:rFonts w:ascii="Arial" w:eastAsia="Times New Roman" w:hAnsi="Arial" w:cs="Arial"/>
        </w:rPr>
        <w:tab/>
      </w:r>
      <w:r w:rsidRPr="00500322">
        <w:rPr>
          <w:rFonts w:ascii="Arial" w:eastAsia="Times New Roman" w:hAnsi="Arial" w:cs="Arial"/>
        </w:rPr>
        <w:tab/>
      </w:r>
      <w:r w:rsidRPr="00500322">
        <w:rPr>
          <w:rFonts w:ascii="Arial" w:eastAsia="Times New Roman" w:hAnsi="Arial" w:cs="Arial"/>
        </w:rPr>
        <w:tab/>
      </w:r>
      <w:r w:rsidRPr="00500322">
        <w:rPr>
          <w:rFonts w:ascii="Arial" w:eastAsia="Times New Roman" w:hAnsi="Arial" w:cs="Arial"/>
        </w:rPr>
        <w:tab/>
      </w:r>
      <w:r w:rsidRPr="00500322">
        <w:rPr>
          <w:rFonts w:ascii="Arial" w:eastAsia="Times New Roman" w:hAnsi="Arial" w:cs="Arial"/>
        </w:rPr>
        <w:tab/>
      </w:r>
      <w:r w:rsidRPr="00500322">
        <w:rPr>
          <w:rFonts w:ascii="Arial" w:eastAsia="Times New Roman" w:hAnsi="Arial" w:cs="Arial"/>
        </w:rPr>
        <w:tab/>
        <w:t xml:space="preserve">Director </w:t>
      </w:r>
    </w:p>
    <w:p w14:paraId="23A35A31" w14:textId="77777777" w:rsidR="0021298F" w:rsidRDefault="0021298F" w:rsidP="0021298F">
      <w:pPr>
        <w:tabs>
          <w:tab w:val="left" w:pos="6463"/>
          <w:tab w:val="left" w:pos="6580"/>
          <w:tab w:val="left" w:pos="7150"/>
        </w:tabs>
        <w:jc w:val="both"/>
        <w:rPr>
          <w:rFonts w:ascii="Arial" w:eastAsia="Times New Roman" w:hAnsi="Arial" w:cs="Arial"/>
        </w:rPr>
      </w:pPr>
      <w:r>
        <w:rPr>
          <w:rFonts w:ascii="Arial" w:eastAsia="Times New Roman" w:hAnsi="Arial" w:cs="Arial"/>
        </w:rPr>
        <w:t>28 February 2021</w:t>
      </w:r>
      <w:r>
        <w:rPr>
          <w:rFonts w:ascii="Arial" w:eastAsia="Times New Roman" w:hAnsi="Arial" w:cs="Arial"/>
        </w:rPr>
        <w:tab/>
        <w:t>28 February 2021</w:t>
      </w:r>
    </w:p>
    <w:p w14:paraId="4CC7BDBA" w14:textId="77777777" w:rsidR="0021298F" w:rsidRPr="00F9569F" w:rsidRDefault="0021298F" w:rsidP="0021298F">
      <w:pPr>
        <w:tabs>
          <w:tab w:val="left" w:pos="6463"/>
          <w:tab w:val="left" w:pos="6580"/>
          <w:tab w:val="left" w:pos="7150"/>
        </w:tabs>
        <w:jc w:val="both"/>
        <w:rPr>
          <w:rFonts w:ascii="Arial" w:eastAsia="Times New Roman" w:hAnsi="Arial" w:cs="Arial"/>
        </w:rPr>
      </w:pPr>
    </w:p>
    <w:p w14:paraId="25C65DB1" w14:textId="77777777" w:rsidR="0021298F" w:rsidRPr="00F9569F" w:rsidRDefault="0021298F" w:rsidP="0021298F">
      <w:pPr>
        <w:pStyle w:val="Heading1"/>
        <w:jc w:val="both"/>
        <w:rPr>
          <w:rFonts w:cs="Arial"/>
          <w:b/>
          <w:caps/>
        </w:rPr>
      </w:pPr>
      <w:r w:rsidRPr="00F9569F">
        <w:rPr>
          <w:rFonts w:cs="Arial"/>
        </w:rPr>
        <w:t>Directors’ Remuneration Report</w:t>
      </w:r>
    </w:p>
    <w:p w14:paraId="46050FF7" w14:textId="77777777" w:rsidR="0021298F" w:rsidRPr="00F9569F" w:rsidRDefault="0021298F" w:rsidP="0021298F">
      <w:pPr>
        <w:jc w:val="both"/>
        <w:rPr>
          <w:rFonts w:ascii="Arial" w:eastAsia="Times New Roman" w:hAnsi="Arial" w:cs="Arial"/>
        </w:rPr>
      </w:pPr>
    </w:p>
    <w:p w14:paraId="4B424734" w14:textId="77777777" w:rsidR="0021298F" w:rsidRPr="00F9569F" w:rsidRDefault="0021298F" w:rsidP="0021298F">
      <w:pPr>
        <w:jc w:val="both"/>
        <w:rPr>
          <w:rFonts w:ascii="Arial" w:eastAsia="Times New Roman" w:hAnsi="Arial" w:cs="Arial"/>
        </w:rPr>
      </w:pPr>
      <w:r w:rsidRPr="00F9569F">
        <w:rPr>
          <w:rFonts w:ascii="Arial" w:eastAsia="Times New Roman" w:hAnsi="Arial" w:cs="Arial"/>
        </w:rPr>
        <w:t>This report has been prepared by the Directors in accordance with the requirements of the Companies Act 2014. A resolution to consider the Directors’ Remuneration Report will be proposed at the AGM.</w:t>
      </w:r>
      <w:r>
        <w:rPr>
          <w:rFonts w:ascii="Arial" w:eastAsia="Times New Roman" w:hAnsi="Arial" w:cs="Arial"/>
        </w:rPr>
        <w:t xml:space="preserve"> </w:t>
      </w:r>
    </w:p>
    <w:p w14:paraId="48B272E0" w14:textId="77777777" w:rsidR="0021298F" w:rsidRPr="00F9569F" w:rsidRDefault="0021298F" w:rsidP="0021298F">
      <w:pPr>
        <w:jc w:val="both"/>
        <w:rPr>
          <w:rFonts w:ascii="Arial" w:eastAsia="Times New Roman" w:hAnsi="Arial" w:cs="Arial"/>
        </w:rPr>
      </w:pPr>
    </w:p>
    <w:p w14:paraId="00EDE52E" w14:textId="77777777" w:rsidR="0021298F" w:rsidRPr="00F9569F" w:rsidRDefault="0021298F" w:rsidP="0021298F">
      <w:pPr>
        <w:jc w:val="both"/>
        <w:rPr>
          <w:rFonts w:ascii="Arial" w:eastAsia="Times New Roman" w:hAnsi="Arial" w:cs="Arial"/>
        </w:rPr>
      </w:pPr>
      <w:r w:rsidRPr="00F9569F">
        <w:rPr>
          <w:rFonts w:ascii="Arial" w:eastAsia="Times New Roman" w:hAnsi="Arial" w:cs="Arial"/>
        </w:rPr>
        <w:t xml:space="preserve">The Company’s Auditor is required to give their opinion on the information provided on Directors’ remuneration and this is explained further in its report to shareholders </w:t>
      </w:r>
      <w:r>
        <w:rPr>
          <w:rFonts w:ascii="Arial" w:eastAsia="Times New Roman" w:hAnsi="Arial" w:cs="Arial"/>
        </w:rPr>
        <w:t>within the Independent Auditor’s Report</w:t>
      </w:r>
      <w:r w:rsidRPr="00F9569F" w:rsidDel="00EE5389">
        <w:rPr>
          <w:rFonts w:ascii="Arial" w:eastAsia="Times New Roman" w:hAnsi="Arial" w:cs="Arial"/>
        </w:rPr>
        <w:t xml:space="preserve"> </w:t>
      </w:r>
      <w:r w:rsidRPr="0073684C">
        <w:rPr>
          <w:rFonts w:ascii="Arial" w:eastAsia="Times New Roman" w:hAnsi="Arial" w:cs="Arial"/>
        </w:rPr>
        <w:t>.</w:t>
      </w:r>
      <w:r w:rsidRPr="00F9569F">
        <w:rPr>
          <w:rFonts w:ascii="Arial" w:eastAsia="Times New Roman" w:hAnsi="Arial" w:cs="Arial"/>
        </w:rPr>
        <w:t xml:space="preserve"> The remainder of this report is outside the scope of the external audit.</w:t>
      </w:r>
    </w:p>
    <w:p w14:paraId="417DB51B" w14:textId="77777777" w:rsidR="0021298F" w:rsidRPr="00F9569F" w:rsidRDefault="0021298F" w:rsidP="0021298F">
      <w:pPr>
        <w:jc w:val="both"/>
        <w:rPr>
          <w:rFonts w:ascii="Arial" w:eastAsia="Times New Roman" w:hAnsi="Arial" w:cs="Arial"/>
        </w:rPr>
      </w:pPr>
    </w:p>
    <w:p w14:paraId="0E99AAC6" w14:textId="77777777" w:rsidR="0021298F" w:rsidRPr="00F9569F" w:rsidRDefault="0021298F" w:rsidP="0021298F">
      <w:pPr>
        <w:pStyle w:val="Heading3"/>
        <w:spacing w:before="0"/>
        <w:jc w:val="both"/>
        <w:rPr>
          <w:rFonts w:ascii="Arial" w:hAnsi="Arial" w:cs="Arial"/>
          <w:color w:val="auto"/>
        </w:rPr>
      </w:pPr>
      <w:r w:rsidRPr="00F9569F">
        <w:rPr>
          <w:rFonts w:ascii="Arial" w:hAnsi="Arial" w:cs="Arial"/>
          <w:color w:val="auto"/>
        </w:rPr>
        <w:t>Annual Statement from the Chairman of the Board</w:t>
      </w:r>
    </w:p>
    <w:p w14:paraId="38392454" w14:textId="77777777" w:rsidR="0021298F" w:rsidRPr="00F9569F" w:rsidRDefault="0021298F" w:rsidP="0021298F">
      <w:pPr>
        <w:jc w:val="both"/>
        <w:rPr>
          <w:rFonts w:ascii="Arial" w:eastAsia="Times New Roman" w:hAnsi="Arial" w:cs="Arial"/>
        </w:rPr>
      </w:pPr>
      <w:r w:rsidRPr="00F9569F">
        <w:rPr>
          <w:rFonts w:ascii="Arial" w:eastAsia="Times New Roman" w:hAnsi="Arial" w:cs="Arial"/>
        </w:rPr>
        <w:t xml:space="preserve">The Board, which is profiled </w:t>
      </w:r>
      <w:r>
        <w:rPr>
          <w:rFonts w:ascii="Arial" w:eastAsia="Times New Roman" w:hAnsi="Arial" w:cs="Arial"/>
        </w:rPr>
        <w:t>on the Board of Directors section</w:t>
      </w:r>
      <w:r w:rsidRPr="00F9569F">
        <w:rPr>
          <w:rFonts w:ascii="Arial" w:eastAsia="Times New Roman" w:hAnsi="Arial" w:cs="Arial"/>
        </w:rPr>
        <w:t>, consists solely of non-executive Directors and is considered to be entirely independent. The Board considers at least annually the level of the Board’s fees, in accordance with the AIC Code.</w:t>
      </w:r>
      <w:r>
        <w:rPr>
          <w:rFonts w:ascii="Arial" w:eastAsia="Times New Roman" w:hAnsi="Arial" w:cs="Arial"/>
        </w:rPr>
        <w:t xml:space="preserve"> During the year, the level of fees for Directors had been benchmarked by an independent consultant and a number of recommendations had been made to the Remuneration Committee. The subsequent changes to non-executive Director fees, effective from 1 January 2021, are detailed later in this report. This has been the first fee increase in non-executive director fees since the Company’s listing in 2017.</w:t>
      </w:r>
    </w:p>
    <w:p w14:paraId="03337F6A" w14:textId="77777777" w:rsidR="0021298F" w:rsidRPr="00F9569F" w:rsidRDefault="0021298F" w:rsidP="0021298F">
      <w:pPr>
        <w:jc w:val="both"/>
        <w:rPr>
          <w:rFonts w:ascii="Arial" w:eastAsia="Times New Roman" w:hAnsi="Arial" w:cs="Arial"/>
        </w:rPr>
      </w:pPr>
    </w:p>
    <w:p w14:paraId="69ABB144" w14:textId="77777777" w:rsidR="0021298F" w:rsidRPr="00F9569F" w:rsidRDefault="0021298F" w:rsidP="0021298F">
      <w:pPr>
        <w:pStyle w:val="Heading3"/>
        <w:spacing w:before="0"/>
        <w:jc w:val="both"/>
        <w:rPr>
          <w:rFonts w:ascii="Arial" w:hAnsi="Arial" w:cs="Arial"/>
          <w:color w:val="auto"/>
        </w:rPr>
      </w:pPr>
      <w:r w:rsidRPr="00F9569F">
        <w:rPr>
          <w:rFonts w:ascii="Arial" w:hAnsi="Arial" w:cs="Arial"/>
          <w:color w:val="auto"/>
        </w:rPr>
        <w:t xml:space="preserve">Remuneration Policy </w:t>
      </w:r>
    </w:p>
    <w:p w14:paraId="7ABC5A8A" w14:textId="77777777" w:rsidR="0021298F" w:rsidRPr="00F9569F" w:rsidRDefault="0021298F" w:rsidP="0021298F">
      <w:pPr>
        <w:jc w:val="both"/>
        <w:rPr>
          <w:rFonts w:ascii="Arial" w:eastAsia="Times New Roman" w:hAnsi="Arial" w:cs="Arial"/>
        </w:rPr>
      </w:pPr>
      <w:r w:rsidRPr="00F9569F">
        <w:rPr>
          <w:rFonts w:ascii="Arial" w:eastAsia="Times New Roman" w:hAnsi="Arial" w:cs="Arial"/>
        </w:rPr>
        <w:t xml:space="preserve">As at the date of this report, the Board comprised </w:t>
      </w:r>
      <w:r>
        <w:rPr>
          <w:rFonts w:ascii="Arial" w:eastAsia="Times New Roman" w:hAnsi="Arial" w:cs="Arial"/>
        </w:rPr>
        <w:t>4</w:t>
      </w:r>
      <w:r w:rsidRPr="00F9569F">
        <w:rPr>
          <w:rFonts w:ascii="Arial" w:eastAsia="Times New Roman" w:hAnsi="Arial" w:cs="Arial"/>
        </w:rPr>
        <w:t xml:space="preserve"> Directors, all of whom are non-executive. The Company has established a Remuneration Committee which comprises all of the Directors and the Chair is Emer Gilvarry.</w:t>
      </w:r>
    </w:p>
    <w:p w14:paraId="26EA5300" w14:textId="77777777" w:rsidR="0021298F" w:rsidRPr="00F9569F" w:rsidRDefault="0021298F" w:rsidP="0021298F">
      <w:pPr>
        <w:jc w:val="both"/>
        <w:rPr>
          <w:rFonts w:ascii="Arial" w:eastAsia="Times New Roman" w:hAnsi="Arial" w:cs="Arial"/>
        </w:rPr>
      </w:pPr>
    </w:p>
    <w:p w14:paraId="067EEC03" w14:textId="77777777" w:rsidR="0021298F" w:rsidRPr="00F9569F" w:rsidRDefault="0021298F" w:rsidP="0021298F">
      <w:pPr>
        <w:jc w:val="both"/>
        <w:rPr>
          <w:rFonts w:ascii="Arial" w:eastAsia="Times New Roman" w:hAnsi="Arial" w:cs="Arial"/>
        </w:rPr>
      </w:pPr>
      <w:r w:rsidRPr="00F9569F">
        <w:rPr>
          <w:rFonts w:ascii="Arial" w:eastAsia="Times New Roman" w:hAnsi="Arial" w:cs="Arial"/>
        </w:rPr>
        <w:t>Each of the Directors was appointed to the Remuneration Committee with effect</w:t>
      </w:r>
      <w:r>
        <w:rPr>
          <w:rFonts w:ascii="Arial" w:eastAsia="Times New Roman" w:hAnsi="Arial" w:cs="Arial"/>
        </w:rPr>
        <w:t xml:space="preserve"> to </w:t>
      </w:r>
      <w:r w:rsidRPr="00F9569F">
        <w:rPr>
          <w:rFonts w:ascii="Arial" w:eastAsia="Times New Roman" w:hAnsi="Arial" w:cs="Arial"/>
        </w:rPr>
        <w:t xml:space="preserve">the date of </w:t>
      </w:r>
      <w:r>
        <w:rPr>
          <w:rFonts w:ascii="Arial" w:eastAsia="Times New Roman" w:hAnsi="Arial" w:cs="Arial"/>
        </w:rPr>
        <w:t>their appointment.</w:t>
      </w:r>
      <w:r w:rsidRPr="00F9569F">
        <w:rPr>
          <w:rFonts w:ascii="Arial" w:eastAsia="Times New Roman" w:hAnsi="Arial" w:cs="Arial"/>
        </w:rPr>
        <w:t xml:space="preserve"> The Committee shall meet at such times as the Committee Chairman shall require.</w:t>
      </w:r>
    </w:p>
    <w:p w14:paraId="4E30EDBB" w14:textId="77777777" w:rsidR="0021298F" w:rsidRPr="00F9569F" w:rsidRDefault="0021298F" w:rsidP="0021298F">
      <w:pPr>
        <w:jc w:val="both"/>
        <w:rPr>
          <w:rFonts w:ascii="Arial" w:eastAsia="Times New Roman" w:hAnsi="Arial" w:cs="Arial"/>
        </w:rPr>
      </w:pPr>
    </w:p>
    <w:p w14:paraId="461CF314" w14:textId="77777777" w:rsidR="0021298F" w:rsidRPr="00F9569F" w:rsidRDefault="0021298F" w:rsidP="0021298F">
      <w:pPr>
        <w:jc w:val="both"/>
        <w:rPr>
          <w:rFonts w:ascii="Arial" w:eastAsia="Times New Roman" w:hAnsi="Arial" w:cs="Arial"/>
        </w:rPr>
      </w:pPr>
      <w:r w:rsidRPr="00F9569F">
        <w:rPr>
          <w:rFonts w:ascii="Arial" w:eastAsia="Times New Roman" w:hAnsi="Arial" w:cs="Arial"/>
        </w:rPr>
        <w:t>Each Director receives a fixed fee per annum based on their roles and responsibility within the Company and the time commitment required. It is not considered appropriate that Directors’ remuneration should be performance related and none of the Directors are eligible for pension benefits, share options, long-term incentive schemes or other benefits in respect of their services as non-executive Directors of the Company. The total remuneration of non-executive Directors has not exceeded the limit set out in the Articles of Association of the Company.</w:t>
      </w:r>
    </w:p>
    <w:p w14:paraId="5FA61F6E" w14:textId="77777777" w:rsidR="0021298F" w:rsidRPr="00F9569F" w:rsidRDefault="0021298F" w:rsidP="0021298F">
      <w:pPr>
        <w:jc w:val="both"/>
        <w:rPr>
          <w:rFonts w:ascii="Arial" w:eastAsia="Times New Roman" w:hAnsi="Arial" w:cs="Arial"/>
        </w:rPr>
      </w:pPr>
    </w:p>
    <w:p w14:paraId="03109EA6" w14:textId="77777777" w:rsidR="0021298F" w:rsidRPr="00F9569F" w:rsidRDefault="0021298F" w:rsidP="0021298F">
      <w:pPr>
        <w:jc w:val="both"/>
        <w:rPr>
          <w:rFonts w:ascii="Arial" w:eastAsia="Times New Roman" w:hAnsi="Arial" w:cs="Arial"/>
        </w:rPr>
      </w:pPr>
      <w:r w:rsidRPr="00F9569F">
        <w:rPr>
          <w:rFonts w:ascii="Arial" w:eastAsia="Times New Roman" w:hAnsi="Arial" w:cs="Arial"/>
        </w:rPr>
        <w:lastRenderedPageBreak/>
        <w:t xml:space="preserve">The Company’s Articles of Association empower the Board to award a discretionary bonus where any Director has been engaged in exceptional work on a time spent basis to compensate for the additional time spent over their expected time commitment. </w:t>
      </w:r>
    </w:p>
    <w:p w14:paraId="2FA2F80F" w14:textId="77777777" w:rsidR="0021298F" w:rsidRPr="00F9569F" w:rsidRDefault="0021298F" w:rsidP="0021298F">
      <w:pPr>
        <w:jc w:val="both"/>
        <w:rPr>
          <w:rFonts w:ascii="Arial" w:eastAsia="Times New Roman" w:hAnsi="Arial" w:cs="Arial"/>
        </w:rPr>
      </w:pPr>
    </w:p>
    <w:p w14:paraId="1A13224F" w14:textId="77777777" w:rsidR="0021298F" w:rsidRDefault="0021298F" w:rsidP="0021298F">
      <w:pPr>
        <w:jc w:val="both"/>
        <w:rPr>
          <w:rFonts w:ascii="Arial" w:eastAsia="Times New Roman" w:hAnsi="Arial" w:cs="Arial"/>
        </w:rPr>
      </w:pPr>
      <w:r w:rsidRPr="00F9569F">
        <w:rPr>
          <w:rFonts w:ascii="Arial" w:eastAsia="Times New Roman" w:hAnsi="Arial" w:cs="Arial"/>
        </w:rPr>
        <w:t>The Articles of Association provide that Directors retire and offer themselves for re-election at the first AGM after their appointment and at least every 3 years thereafter. In accordance with corporate governance best practice, all of the Directors have opted to offer themselves for re-election on an annual basis.</w:t>
      </w:r>
      <w:r>
        <w:rPr>
          <w:rFonts w:ascii="Arial" w:eastAsia="Times New Roman" w:hAnsi="Arial" w:cs="Arial"/>
        </w:rPr>
        <w:t xml:space="preserve"> </w:t>
      </w:r>
      <w:r w:rsidRPr="00F9569F">
        <w:rPr>
          <w:rFonts w:ascii="Arial" w:eastAsia="Times New Roman" w:hAnsi="Arial" w:cs="Arial"/>
        </w:rPr>
        <w:t xml:space="preserve">All of the Directors have been provided with letters of appointment which stipulate that their initial term shall be for 3 years, subject to re-election. </w:t>
      </w:r>
    </w:p>
    <w:p w14:paraId="6B17E66C" w14:textId="77777777" w:rsidR="0021298F" w:rsidRDefault="0021298F" w:rsidP="0021298F">
      <w:pPr>
        <w:jc w:val="both"/>
        <w:rPr>
          <w:rFonts w:ascii="Arial" w:eastAsia="Times New Roman" w:hAnsi="Arial" w:cs="Arial"/>
        </w:rPr>
      </w:pPr>
    </w:p>
    <w:p w14:paraId="0EEFA025" w14:textId="77777777" w:rsidR="0021298F" w:rsidRPr="00F9569F" w:rsidRDefault="0021298F" w:rsidP="0021298F">
      <w:pPr>
        <w:jc w:val="both"/>
        <w:rPr>
          <w:rFonts w:ascii="Arial" w:eastAsia="Times New Roman" w:hAnsi="Arial" w:cs="Arial"/>
        </w:rPr>
      </w:pPr>
      <w:r w:rsidRPr="00F9569F">
        <w:rPr>
          <w:rFonts w:ascii="Arial" w:eastAsia="Times New Roman" w:hAnsi="Arial" w:cs="Arial"/>
        </w:rPr>
        <w:t xml:space="preserve">A Director’s appointment may at any time be terminated by and at the discretion of either party upon 6 months’ written notice. A Director’s appointment will automatically end without any right to compensation whatsoever if they are not re-elected by the Shareholders. A Director’s appointment may also be terminated with immediate effect and without compensation in certain other circumstances. </w:t>
      </w:r>
    </w:p>
    <w:p w14:paraId="19DF55EE" w14:textId="77777777" w:rsidR="0021298F" w:rsidRPr="00F9569F" w:rsidRDefault="0021298F" w:rsidP="0021298F">
      <w:pPr>
        <w:jc w:val="both"/>
        <w:rPr>
          <w:rFonts w:ascii="Arial" w:eastAsia="Times New Roman" w:hAnsi="Arial" w:cs="Arial"/>
        </w:rPr>
      </w:pPr>
    </w:p>
    <w:p w14:paraId="27F03E90" w14:textId="77777777" w:rsidR="0021298F" w:rsidRPr="00F9569F" w:rsidRDefault="0021298F" w:rsidP="0021298F">
      <w:pPr>
        <w:jc w:val="both"/>
        <w:rPr>
          <w:rFonts w:ascii="Arial" w:eastAsia="Times New Roman" w:hAnsi="Arial" w:cs="Arial"/>
        </w:rPr>
      </w:pPr>
      <w:r w:rsidRPr="00F9569F">
        <w:rPr>
          <w:rFonts w:ascii="Arial" w:eastAsia="Times New Roman" w:hAnsi="Arial" w:cs="Arial"/>
        </w:rPr>
        <w:t>The terms and conditions of appointment of non-executive Directors are available for inspection from the Company’s registered office.</w:t>
      </w:r>
    </w:p>
    <w:p w14:paraId="469CEF82" w14:textId="77777777" w:rsidR="0021298F" w:rsidRPr="00F9569F" w:rsidRDefault="0021298F" w:rsidP="0021298F">
      <w:pPr>
        <w:jc w:val="both"/>
        <w:rPr>
          <w:rFonts w:ascii="Arial" w:eastAsia="Times New Roman" w:hAnsi="Arial" w:cs="Arial"/>
        </w:rPr>
      </w:pPr>
    </w:p>
    <w:p w14:paraId="0D9D15DD" w14:textId="77777777" w:rsidR="0021298F" w:rsidRPr="00F9569F" w:rsidRDefault="0021298F" w:rsidP="0021298F">
      <w:pPr>
        <w:jc w:val="both"/>
        <w:rPr>
          <w:rFonts w:ascii="Arial" w:eastAsia="Times New Roman" w:hAnsi="Arial" w:cs="Arial"/>
        </w:rPr>
      </w:pPr>
      <w:r w:rsidRPr="00F9569F">
        <w:rPr>
          <w:rFonts w:ascii="Arial" w:eastAsia="Times New Roman" w:hAnsi="Arial" w:cs="Arial"/>
        </w:rPr>
        <w:t xml:space="preserve">The Directors do not envisage any changes to the remuneration policy in the next accounting period. </w:t>
      </w:r>
    </w:p>
    <w:p w14:paraId="5E5C6546" w14:textId="77777777" w:rsidR="0021298F" w:rsidRPr="00F9569F" w:rsidRDefault="0021298F" w:rsidP="0021298F">
      <w:pPr>
        <w:jc w:val="both"/>
        <w:rPr>
          <w:rFonts w:ascii="Arial" w:eastAsia="Times New Roman" w:hAnsi="Arial" w:cs="Arial"/>
        </w:rPr>
      </w:pPr>
    </w:p>
    <w:p w14:paraId="19A60BCB" w14:textId="77777777" w:rsidR="0021298F" w:rsidRPr="00F9569F" w:rsidRDefault="0021298F" w:rsidP="0021298F">
      <w:pPr>
        <w:pStyle w:val="Heading3"/>
        <w:spacing w:before="0"/>
        <w:jc w:val="both"/>
        <w:rPr>
          <w:rFonts w:ascii="Arial" w:hAnsi="Arial" w:cs="Arial"/>
          <w:color w:val="auto"/>
        </w:rPr>
      </w:pPr>
      <w:r w:rsidRPr="00F9569F">
        <w:rPr>
          <w:rFonts w:ascii="Arial" w:hAnsi="Arial" w:cs="Arial"/>
          <w:color w:val="auto"/>
        </w:rPr>
        <w:t>Annual Report on Remuneration</w:t>
      </w:r>
    </w:p>
    <w:p w14:paraId="121F2AAA" w14:textId="77777777" w:rsidR="0021298F" w:rsidRDefault="0021298F" w:rsidP="0021298F">
      <w:pPr>
        <w:jc w:val="both"/>
        <w:rPr>
          <w:rFonts w:ascii="Arial" w:eastAsia="Times New Roman" w:hAnsi="Arial" w:cs="Arial"/>
        </w:rPr>
      </w:pPr>
      <w:r>
        <w:rPr>
          <w:rFonts w:ascii="Arial" w:eastAsia="Times New Roman" w:hAnsi="Arial" w:cs="Arial"/>
        </w:rPr>
        <w:t>Independent compensation consultants were engaged by the Remuneration Committee to provide views on appropriate levels of fees for the non-executive Directors of the Company, as well as benchmark existing fee levels against peer companies. Following this review, the basic fee of non-executive Directors was increased to €55,000 per annum and the chairs of the sub-committees of the Board were compensated an additional €10,000 per annum to reflect the increased responsibilities in these roles. The basic fee of Chairman was increased to €130,000 per annum. These changes to non-executive Director remuneration became effective from 1 January 2021.</w:t>
      </w:r>
    </w:p>
    <w:p w14:paraId="50B46CE9" w14:textId="77777777" w:rsidR="0021298F" w:rsidRDefault="0021298F" w:rsidP="0021298F">
      <w:pPr>
        <w:jc w:val="both"/>
        <w:rPr>
          <w:rFonts w:ascii="Arial" w:eastAsia="Times New Roman" w:hAnsi="Arial" w:cs="Arial"/>
        </w:rPr>
      </w:pPr>
    </w:p>
    <w:p w14:paraId="34C3067B" w14:textId="77777777" w:rsidR="0021298F" w:rsidRDefault="0021298F" w:rsidP="0021298F">
      <w:pPr>
        <w:jc w:val="both"/>
        <w:rPr>
          <w:rFonts w:ascii="Arial" w:eastAsia="Times New Roman" w:hAnsi="Arial" w:cs="Arial"/>
        </w:rPr>
      </w:pPr>
      <w:r>
        <w:rPr>
          <w:rFonts w:ascii="Arial" w:eastAsia="Times New Roman" w:hAnsi="Arial" w:cs="Arial"/>
        </w:rPr>
        <w:t>The Company is now a very significant generator of renewable electricity in Ireland and expanded its investment portfolio into France during the year. It’s GAV has grown to €1.2 billion through acquisitions and equity raisings, and since listing, the Board and its committees have held 86 meetings.</w:t>
      </w:r>
    </w:p>
    <w:p w14:paraId="38DC5C60" w14:textId="77777777" w:rsidR="0021298F" w:rsidRDefault="0021298F" w:rsidP="0021298F">
      <w:pPr>
        <w:jc w:val="both"/>
        <w:rPr>
          <w:rFonts w:ascii="Arial" w:eastAsia="Times New Roman" w:hAnsi="Arial" w:cs="Arial"/>
        </w:rPr>
      </w:pPr>
    </w:p>
    <w:p w14:paraId="78D0917C" w14:textId="77777777" w:rsidR="0021298F" w:rsidRPr="00F9569F" w:rsidRDefault="0021298F" w:rsidP="0021298F">
      <w:pPr>
        <w:jc w:val="both"/>
        <w:rPr>
          <w:rFonts w:ascii="Arial" w:eastAsia="Times New Roman" w:hAnsi="Arial" w:cs="Arial"/>
        </w:rPr>
      </w:pPr>
      <w:r w:rsidRPr="00F9569F">
        <w:rPr>
          <w:rFonts w:ascii="Arial" w:eastAsia="Times New Roman" w:hAnsi="Arial" w:cs="Arial"/>
        </w:rPr>
        <w:t xml:space="preserve">The table below (audited information) shows all remuneration earned by each individual Director during the year: </w:t>
      </w:r>
    </w:p>
    <w:tbl>
      <w:tblPr>
        <w:tblW w:w="4966" w:type="pct"/>
        <w:tblLayout w:type="fixed"/>
        <w:tblLook w:val="04A0" w:firstRow="1" w:lastRow="0" w:firstColumn="1" w:lastColumn="0" w:noHBand="0" w:noVBand="1"/>
      </w:tblPr>
      <w:tblGrid>
        <w:gridCol w:w="2046"/>
        <w:gridCol w:w="1940"/>
        <w:gridCol w:w="1384"/>
        <w:gridCol w:w="1798"/>
        <w:gridCol w:w="1797"/>
      </w:tblGrid>
      <w:tr w:rsidR="0021298F" w:rsidRPr="00F9569F" w14:paraId="393161AD" w14:textId="77777777" w:rsidTr="00760009">
        <w:trPr>
          <w:trHeight w:val="918"/>
        </w:trPr>
        <w:tc>
          <w:tcPr>
            <w:tcW w:w="1141" w:type="pct"/>
            <w:tcBorders>
              <w:top w:val="nil"/>
              <w:left w:val="nil"/>
              <w:bottom w:val="single" w:sz="4" w:space="0" w:color="auto"/>
              <w:right w:val="nil"/>
            </w:tcBorders>
            <w:shd w:val="clear" w:color="auto" w:fill="auto"/>
            <w:vAlign w:val="center"/>
            <w:hideMark/>
          </w:tcPr>
          <w:p w14:paraId="746A2E3E" w14:textId="77777777" w:rsidR="0021298F" w:rsidRPr="00F9569F" w:rsidRDefault="0021298F" w:rsidP="00760009">
            <w:pPr>
              <w:jc w:val="both"/>
              <w:rPr>
                <w:rFonts w:ascii="Arial" w:eastAsia="Times New Roman" w:hAnsi="Arial" w:cs="Arial"/>
                <w:b/>
                <w:bCs/>
                <w:color w:val="000000"/>
                <w:lang w:eastAsia="en-GB"/>
              </w:rPr>
            </w:pPr>
            <w:r w:rsidRPr="00F9569F">
              <w:rPr>
                <w:rFonts w:ascii="Arial" w:eastAsia="Times New Roman" w:hAnsi="Arial" w:cs="Arial"/>
                <w:b/>
                <w:bCs/>
                <w:color w:val="000000"/>
                <w:lang w:eastAsia="en-GB"/>
              </w:rPr>
              <w:t> </w:t>
            </w:r>
          </w:p>
        </w:tc>
        <w:tc>
          <w:tcPr>
            <w:tcW w:w="1082" w:type="pct"/>
            <w:tcBorders>
              <w:top w:val="nil"/>
              <w:left w:val="nil"/>
              <w:bottom w:val="single" w:sz="4" w:space="0" w:color="auto"/>
              <w:right w:val="nil"/>
            </w:tcBorders>
          </w:tcPr>
          <w:p w14:paraId="287CE574" w14:textId="77777777" w:rsidR="0021298F" w:rsidRPr="00F9569F" w:rsidRDefault="0021298F" w:rsidP="00760009">
            <w:pPr>
              <w:jc w:val="right"/>
              <w:rPr>
                <w:rFonts w:ascii="Arial" w:eastAsia="Times New Roman" w:hAnsi="Arial" w:cs="Arial"/>
                <w:b/>
                <w:bCs/>
                <w:color w:val="000000"/>
                <w:lang w:eastAsia="en-GB"/>
              </w:rPr>
            </w:pPr>
            <w:r w:rsidRPr="00F9569F">
              <w:rPr>
                <w:rFonts w:ascii="Arial" w:eastAsia="Times New Roman" w:hAnsi="Arial" w:cs="Arial"/>
                <w:b/>
                <w:bCs/>
                <w:color w:val="000000"/>
                <w:lang w:eastAsia="en-GB"/>
              </w:rPr>
              <w:t>Date of Appointment</w:t>
            </w:r>
          </w:p>
        </w:tc>
        <w:tc>
          <w:tcPr>
            <w:tcW w:w="772" w:type="pct"/>
            <w:tcBorders>
              <w:top w:val="nil"/>
              <w:left w:val="nil"/>
              <w:bottom w:val="single" w:sz="4" w:space="0" w:color="auto"/>
              <w:right w:val="nil"/>
            </w:tcBorders>
          </w:tcPr>
          <w:p w14:paraId="5A7B6064" w14:textId="77777777" w:rsidR="0021298F" w:rsidRPr="00F9569F" w:rsidRDefault="0021298F" w:rsidP="00760009">
            <w:pPr>
              <w:jc w:val="right"/>
              <w:rPr>
                <w:rFonts w:ascii="Arial" w:eastAsia="Times New Roman" w:hAnsi="Arial" w:cs="Arial"/>
                <w:b/>
                <w:bCs/>
                <w:color w:val="000000"/>
                <w:lang w:eastAsia="en-GB"/>
              </w:rPr>
            </w:pPr>
            <w:r w:rsidRPr="00F9569F">
              <w:rPr>
                <w:rFonts w:ascii="Arial" w:eastAsia="Times New Roman" w:hAnsi="Arial" w:cs="Arial"/>
                <w:b/>
                <w:bCs/>
                <w:color w:val="000000"/>
                <w:lang w:eastAsia="en-GB"/>
              </w:rPr>
              <w:t>Directors’ fees per annum</w:t>
            </w:r>
          </w:p>
        </w:tc>
        <w:tc>
          <w:tcPr>
            <w:tcW w:w="1003" w:type="pct"/>
            <w:tcBorders>
              <w:top w:val="nil"/>
              <w:left w:val="nil"/>
              <w:bottom w:val="single" w:sz="4" w:space="0" w:color="auto"/>
              <w:right w:val="nil"/>
            </w:tcBorders>
          </w:tcPr>
          <w:p w14:paraId="4A2DC095" w14:textId="77777777" w:rsidR="0021298F" w:rsidRDefault="0021298F" w:rsidP="00760009">
            <w:pPr>
              <w:jc w:val="right"/>
              <w:rPr>
                <w:rFonts w:ascii="Arial" w:eastAsia="Times New Roman" w:hAnsi="Arial" w:cs="Arial"/>
                <w:b/>
                <w:bCs/>
                <w:color w:val="000000"/>
                <w:lang w:eastAsia="en-GB"/>
              </w:rPr>
            </w:pPr>
            <w:r w:rsidRPr="00F9569F">
              <w:rPr>
                <w:rFonts w:ascii="Arial" w:eastAsia="Times New Roman" w:hAnsi="Arial" w:cs="Arial"/>
                <w:b/>
                <w:bCs/>
                <w:color w:val="000000"/>
                <w:lang w:eastAsia="en-GB"/>
              </w:rPr>
              <w:t>Paid in year ended</w:t>
            </w:r>
          </w:p>
          <w:p w14:paraId="5841EF51" w14:textId="77777777" w:rsidR="0021298F" w:rsidRPr="00F9569F" w:rsidRDefault="0021298F" w:rsidP="00760009">
            <w:pPr>
              <w:jc w:val="right"/>
              <w:rPr>
                <w:rFonts w:ascii="Arial" w:eastAsia="Times New Roman" w:hAnsi="Arial" w:cs="Arial"/>
                <w:b/>
                <w:bCs/>
                <w:color w:val="000000"/>
                <w:lang w:eastAsia="en-GB"/>
              </w:rPr>
            </w:pPr>
            <w:r w:rsidRPr="00F9569F">
              <w:rPr>
                <w:rFonts w:ascii="Arial" w:eastAsia="Times New Roman" w:hAnsi="Arial" w:cs="Arial"/>
                <w:b/>
                <w:bCs/>
                <w:color w:val="000000"/>
                <w:lang w:eastAsia="en-GB"/>
              </w:rPr>
              <w:t xml:space="preserve"> 31 December</w:t>
            </w:r>
          </w:p>
          <w:p w14:paraId="7486D26F" w14:textId="77777777" w:rsidR="0021298F" w:rsidRPr="00F9569F" w:rsidRDefault="0021298F" w:rsidP="00760009">
            <w:pPr>
              <w:jc w:val="right"/>
              <w:rPr>
                <w:rFonts w:ascii="Arial" w:eastAsia="Times New Roman" w:hAnsi="Arial" w:cs="Arial"/>
                <w:b/>
                <w:bCs/>
                <w:color w:val="000000"/>
                <w:lang w:eastAsia="en-GB"/>
              </w:rPr>
            </w:pPr>
            <w:r w:rsidRPr="00F9569F">
              <w:rPr>
                <w:rFonts w:ascii="Arial" w:eastAsia="Times New Roman" w:hAnsi="Arial" w:cs="Arial"/>
                <w:b/>
                <w:bCs/>
                <w:color w:val="000000"/>
                <w:lang w:eastAsia="en-GB"/>
              </w:rPr>
              <w:t>20</w:t>
            </w:r>
            <w:r>
              <w:rPr>
                <w:rFonts w:ascii="Arial" w:eastAsia="Times New Roman" w:hAnsi="Arial" w:cs="Arial"/>
                <w:b/>
                <w:bCs/>
                <w:color w:val="000000"/>
                <w:lang w:eastAsia="en-GB"/>
              </w:rPr>
              <w:t>20</w:t>
            </w:r>
          </w:p>
        </w:tc>
        <w:tc>
          <w:tcPr>
            <w:tcW w:w="1003" w:type="pct"/>
            <w:tcBorders>
              <w:top w:val="nil"/>
              <w:left w:val="nil"/>
              <w:bottom w:val="single" w:sz="4" w:space="0" w:color="auto"/>
              <w:right w:val="nil"/>
            </w:tcBorders>
            <w:shd w:val="clear" w:color="auto" w:fill="auto"/>
            <w:vAlign w:val="center"/>
            <w:hideMark/>
          </w:tcPr>
          <w:p w14:paraId="7343EE9F" w14:textId="77777777" w:rsidR="0021298F" w:rsidRDefault="0021298F" w:rsidP="00760009">
            <w:pPr>
              <w:jc w:val="right"/>
              <w:rPr>
                <w:rFonts w:ascii="Arial" w:eastAsia="Times New Roman" w:hAnsi="Arial" w:cs="Arial"/>
                <w:b/>
                <w:bCs/>
                <w:color w:val="000000"/>
                <w:lang w:eastAsia="en-GB"/>
              </w:rPr>
            </w:pPr>
            <w:r w:rsidRPr="00F9569F">
              <w:rPr>
                <w:rFonts w:ascii="Arial" w:eastAsia="Times New Roman" w:hAnsi="Arial" w:cs="Arial"/>
                <w:b/>
                <w:bCs/>
                <w:color w:val="000000"/>
                <w:lang w:eastAsia="en-GB"/>
              </w:rPr>
              <w:t xml:space="preserve">Paid in year ended </w:t>
            </w:r>
          </w:p>
          <w:p w14:paraId="1026452C" w14:textId="77777777" w:rsidR="0021298F" w:rsidRPr="00F9569F" w:rsidRDefault="0021298F" w:rsidP="00760009">
            <w:pPr>
              <w:jc w:val="right"/>
              <w:rPr>
                <w:rFonts w:ascii="Arial" w:eastAsia="Times New Roman" w:hAnsi="Arial" w:cs="Arial"/>
                <w:b/>
                <w:bCs/>
                <w:color w:val="000000"/>
                <w:lang w:eastAsia="en-GB"/>
              </w:rPr>
            </w:pPr>
            <w:r w:rsidRPr="00F9569F">
              <w:rPr>
                <w:rFonts w:ascii="Arial" w:eastAsia="Times New Roman" w:hAnsi="Arial" w:cs="Arial"/>
                <w:b/>
                <w:bCs/>
                <w:color w:val="000000"/>
                <w:lang w:eastAsia="en-GB"/>
              </w:rPr>
              <w:t>31 December</w:t>
            </w:r>
          </w:p>
          <w:p w14:paraId="273862C2" w14:textId="77777777" w:rsidR="0021298F" w:rsidRPr="00F9569F" w:rsidRDefault="0021298F" w:rsidP="00760009">
            <w:pPr>
              <w:jc w:val="right"/>
              <w:rPr>
                <w:rFonts w:ascii="Arial" w:eastAsia="Times New Roman" w:hAnsi="Arial" w:cs="Arial"/>
                <w:b/>
                <w:bCs/>
                <w:color w:val="000000"/>
                <w:lang w:eastAsia="en-GB"/>
              </w:rPr>
            </w:pPr>
            <w:r w:rsidRPr="00F9569F">
              <w:rPr>
                <w:rFonts w:ascii="Arial" w:eastAsia="Times New Roman" w:hAnsi="Arial" w:cs="Arial"/>
                <w:b/>
                <w:bCs/>
                <w:color w:val="000000"/>
                <w:lang w:eastAsia="en-GB"/>
              </w:rPr>
              <w:t>201</w:t>
            </w:r>
            <w:r>
              <w:rPr>
                <w:rFonts w:ascii="Arial" w:eastAsia="Times New Roman" w:hAnsi="Arial" w:cs="Arial"/>
                <w:b/>
                <w:bCs/>
                <w:color w:val="000000"/>
                <w:lang w:eastAsia="en-GB"/>
              </w:rPr>
              <w:t>9</w:t>
            </w:r>
          </w:p>
        </w:tc>
      </w:tr>
      <w:tr w:rsidR="0021298F" w:rsidRPr="00F9569F" w14:paraId="26835485" w14:textId="77777777" w:rsidTr="00760009">
        <w:trPr>
          <w:trHeight w:val="291"/>
        </w:trPr>
        <w:tc>
          <w:tcPr>
            <w:tcW w:w="1141" w:type="pct"/>
            <w:tcBorders>
              <w:top w:val="single" w:sz="8" w:space="0" w:color="auto"/>
              <w:left w:val="nil"/>
              <w:bottom w:val="nil"/>
              <w:right w:val="nil"/>
            </w:tcBorders>
            <w:shd w:val="clear" w:color="auto" w:fill="auto"/>
            <w:vAlign w:val="center"/>
            <w:hideMark/>
          </w:tcPr>
          <w:p w14:paraId="367D0257" w14:textId="77777777" w:rsidR="0021298F" w:rsidRPr="00F9569F" w:rsidRDefault="0021298F" w:rsidP="00760009">
            <w:pPr>
              <w:rPr>
                <w:rFonts w:ascii="Arial" w:eastAsia="Times New Roman" w:hAnsi="Arial" w:cs="Arial"/>
                <w:color w:val="000000"/>
                <w:lang w:eastAsia="en-GB"/>
              </w:rPr>
            </w:pPr>
            <w:r w:rsidRPr="00F9569F">
              <w:rPr>
                <w:rFonts w:ascii="Arial" w:eastAsia="Times New Roman" w:hAnsi="Arial" w:cs="Arial"/>
                <w:color w:val="000000"/>
                <w:lang w:eastAsia="en-GB"/>
              </w:rPr>
              <w:t>Rónán Murphy (chairman)</w:t>
            </w:r>
          </w:p>
        </w:tc>
        <w:tc>
          <w:tcPr>
            <w:tcW w:w="1082" w:type="pct"/>
            <w:tcBorders>
              <w:top w:val="single" w:sz="8" w:space="0" w:color="auto"/>
              <w:left w:val="nil"/>
              <w:bottom w:val="nil"/>
              <w:right w:val="nil"/>
            </w:tcBorders>
          </w:tcPr>
          <w:p w14:paraId="74CF8AEF" w14:textId="77777777" w:rsidR="0021298F" w:rsidRPr="00F9569F" w:rsidRDefault="0021298F" w:rsidP="00760009">
            <w:pPr>
              <w:jc w:val="right"/>
              <w:rPr>
                <w:rFonts w:ascii="Arial" w:eastAsia="Times New Roman" w:hAnsi="Arial" w:cs="Arial"/>
                <w:color w:val="000000"/>
                <w:lang w:eastAsia="en-GB"/>
              </w:rPr>
            </w:pPr>
            <w:r w:rsidRPr="00F9569F">
              <w:rPr>
                <w:rFonts w:ascii="Arial" w:eastAsia="Times New Roman" w:hAnsi="Arial" w:cs="Arial"/>
                <w:color w:val="000000"/>
                <w:lang w:eastAsia="en-GB"/>
              </w:rPr>
              <w:t>16 June 2017</w:t>
            </w:r>
          </w:p>
        </w:tc>
        <w:tc>
          <w:tcPr>
            <w:tcW w:w="772" w:type="pct"/>
            <w:tcBorders>
              <w:top w:val="single" w:sz="8" w:space="0" w:color="auto"/>
              <w:left w:val="nil"/>
              <w:bottom w:val="nil"/>
              <w:right w:val="nil"/>
            </w:tcBorders>
          </w:tcPr>
          <w:p w14:paraId="5911F007" w14:textId="77777777" w:rsidR="0021298F" w:rsidRPr="00F9569F" w:rsidRDefault="0021298F" w:rsidP="00760009">
            <w:pPr>
              <w:jc w:val="right"/>
              <w:rPr>
                <w:rFonts w:ascii="Arial" w:eastAsia="Times New Roman" w:hAnsi="Arial" w:cs="Arial"/>
                <w:color w:val="000000"/>
                <w:lang w:eastAsia="en-GB"/>
              </w:rPr>
            </w:pPr>
            <w:r w:rsidRPr="00F9569F">
              <w:rPr>
                <w:rFonts w:ascii="Arial" w:eastAsia="Times New Roman" w:hAnsi="Arial" w:cs="Arial"/>
                <w:color w:val="000000"/>
                <w:lang w:eastAsia="en-GB"/>
              </w:rPr>
              <w:t>€100,000</w:t>
            </w:r>
          </w:p>
        </w:tc>
        <w:tc>
          <w:tcPr>
            <w:tcW w:w="1003" w:type="pct"/>
            <w:tcBorders>
              <w:top w:val="single" w:sz="8" w:space="0" w:color="auto"/>
              <w:left w:val="nil"/>
              <w:bottom w:val="nil"/>
              <w:right w:val="nil"/>
            </w:tcBorders>
            <w:shd w:val="clear" w:color="000000" w:fill="EDFFB7"/>
          </w:tcPr>
          <w:p w14:paraId="20322A77" w14:textId="77777777" w:rsidR="0021298F" w:rsidRPr="00B73F05" w:rsidRDefault="0021298F" w:rsidP="00760009">
            <w:pPr>
              <w:jc w:val="right"/>
              <w:rPr>
                <w:rFonts w:ascii="Arial" w:eastAsia="Times New Roman" w:hAnsi="Arial" w:cs="Arial"/>
                <w:color w:val="000000"/>
                <w:lang w:eastAsia="en-GB"/>
              </w:rPr>
            </w:pPr>
            <w:r w:rsidRPr="00B73F05">
              <w:rPr>
                <w:rFonts w:ascii="Arial" w:eastAsia="Times New Roman" w:hAnsi="Arial" w:cs="Arial"/>
                <w:color w:val="000000"/>
                <w:lang w:eastAsia="en-GB"/>
              </w:rPr>
              <w:t>€100,000</w:t>
            </w:r>
          </w:p>
        </w:tc>
        <w:tc>
          <w:tcPr>
            <w:tcW w:w="1003" w:type="pct"/>
            <w:tcBorders>
              <w:top w:val="single" w:sz="8" w:space="0" w:color="auto"/>
              <w:left w:val="nil"/>
              <w:bottom w:val="nil"/>
              <w:right w:val="nil"/>
            </w:tcBorders>
            <w:shd w:val="clear" w:color="auto" w:fill="auto"/>
          </w:tcPr>
          <w:p w14:paraId="3F93DC9D" w14:textId="77777777" w:rsidR="0021298F" w:rsidRPr="00F9569F" w:rsidRDefault="0021298F" w:rsidP="00760009">
            <w:pPr>
              <w:jc w:val="right"/>
              <w:rPr>
                <w:rFonts w:ascii="Arial" w:eastAsia="Times New Roman" w:hAnsi="Arial" w:cs="Arial"/>
                <w:color w:val="000000"/>
                <w:lang w:eastAsia="en-GB"/>
              </w:rPr>
            </w:pPr>
            <w:r w:rsidRPr="00F9569F">
              <w:rPr>
                <w:rFonts w:ascii="Arial" w:eastAsia="Times New Roman" w:hAnsi="Arial" w:cs="Arial"/>
                <w:color w:val="000000"/>
                <w:lang w:eastAsia="en-GB"/>
              </w:rPr>
              <w:t>€100,000</w:t>
            </w:r>
          </w:p>
        </w:tc>
      </w:tr>
      <w:tr w:rsidR="0021298F" w:rsidRPr="00F9569F" w14:paraId="17C019E1" w14:textId="77777777" w:rsidTr="00760009">
        <w:trPr>
          <w:trHeight w:val="291"/>
        </w:trPr>
        <w:tc>
          <w:tcPr>
            <w:tcW w:w="1141" w:type="pct"/>
            <w:tcBorders>
              <w:top w:val="nil"/>
              <w:left w:val="nil"/>
              <w:right w:val="nil"/>
            </w:tcBorders>
            <w:shd w:val="clear" w:color="auto" w:fill="auto"/>
            <w:vAlign w:val="center"/>
            <w:hideMark/>
          </w:tcPr>
          <w:p w14:paraId="174E31DC" w14:textId="77777777" w:rsidR="0021298F" w:rsidRPr="00F9569F" w:rsidRDefault="0021298F" w:rsidP="00760009">
            <w:pPr>
              <w:jc w:val="both"/>
              <w:rPr>
                <w:rFonts w:ascii="Arial" w:eastAsia="Times New Roman" w:hAnsi="Arial" w:cs="Arial"/>
                <w:color w:val="000000"/>
                <w:lang w:eastAsia="en-GB"/>
              </w:rPr>
            </w:pPr>
            <w:r w:rsidRPr="00F9569F">
              <w:rPr>
                <w:rFonts w:ascii="Arial" w:eastAsia="Times New Roman" w:hAnsi="Arial" w:cs="Arial"/>
                <w:color w:val="000000"/>
                <w:lang w:eastAsia="en-GB"/>
              </w:rPr>
              <w:t>Kevin McNamara</w:t>
            </w:r>
          </w:p>
        </w:tc>
        <w:tc>
          <w:tcPr>
            <w:tcW w:w="1082" w:type="pct"/>
            <w:tcBorders>
              <w:top w:val="nil"/>
              <w:left w:val="nil"/>
              <w:right w:val="nil"/>
            </w:tcBorders>
          </w:tcPr>
          <w:p w14:paraId="2DDB7999" w14:textId="77777777" w:rsidR="0021298F" w:rsidRPr="00F9569F" w:rsidRDefault="0021298F" w:rsidP="00760009">
            <w:pPr>
              <w:jc w:val="right"/>
              <w:rPr>
                <w:rFonts w:ascii="Arial" w:eastAsia="Times New Roman" w:hAnsi="Arial" w:cs="Arial"/>
                <w:color w:val="000000"/>
                <w:lang w:eastAsia="en-GB"/>
              </w:rPr>
            </w:pPr>
            <w:r w:rsidRPr="00F9569F">
              <w:rPr>
                <w:rFonts w:ascii="Arial" w:eastAsia="Times New Roman" w:hAnsi="Arial" w:cs="Arial"/>
                <w:color w:val="000000"/>
                <w:lang w:eastAsia="en-GB"/>
              </w:rPr>
              <w:t>16 June 2017</w:t>
            </w:r>
          </w:p>
        </w:tc>
        <w:tc>
          <w:tcPr>
            <w:tcW w:w="772" w:type="pct"/>
            <w:tcBorders>
              <w:top w:val="nil"/>
              <w:left w:val="nil"/>
              <w:right w:val="nil"/>
            </w:tcBorders>
          </w:tcPr>
          <w:p w14:paraId="57D4B0A8" w14:textId="77777777" w:rsidR="0021298F" w:rsidRPr="00F9569F" w:rsidRDefault="0021298F" w:rsidP="00760009">
            <w:pPr>
              <w:jc w:val="right"/>
              <w:rPr>
                <w:rFonts w:ascii="Arial" w:eastAsia="Times New Roman" w:hAnsi="Arial" w:cs="Arial"/>
                <w:color w:val="000000"/>
                <w:lang w:eastAsia="en-GB"/>
              </w:rPr>
            </w:pPr>
            <w:r w:rsidRPr="00F9569F">
              <w:rPr>
                <w:rFonts w:ascii="Arial" w:eastAsia="Times New Roman" w:hAnsi="Arial" w:cs="Arial"/>
                <w:color w:val="000000"/>
                <w:lang w:eastAsia="en-GB"/>
              </w:rPr>
              <w:t>€50,000</w:t>
            </w:r>
          </w:p>
        </w:tc>
        <w:tc>
          <w:tcPr>
            <w:tcW w:w="1003" w:type="pct"/>
            <w:tcBorders>
              <w:top w:val="nil"/>
              <w:left w:val="nil"/>
              <w:right w:val="nil"/>
            </w:tcBorders>
            <w:shd w:val="clear" w:color="000000" w:fill="EDFFB7"/>
          </w:tcPr>
          <w:p w14:paraId="158A0137" w14:textId="77777777" w:rsidR="0021298F" w:rsidRPr="00B73F05" w:rsidRDefault="0021298F" w:rsidP="00760009">
            <w:pPr>
              <w:jc w:val="right"/>
              <w:rPr>
                <w:rFonts w:ascii="Arial" w:eastAsia="Times New Roman" w:hAnsi="Arial" w:cs="Arial"/>
                <w:color w:val="000000"/>
                <w:lang w:eastAsia="en-GB"/>
              </w:rPr>
            </w:pPr>
            <w:r w:rsidRPr="00B73F05">
              <w:rPr>
                <w:rFonts w:ascii="Arial" w:eastAsia="Times New Roman" w:hAnsi="Arial" w:cs="Arial"/>
                <w:color w:val="000000"/>
                <w:lang w:eastAsia="en-GB"/>
              </w:rPr>
              <w:t>€50,000</w:t>
            </w:r>
          </w:p>
        </w:tc>
        <w:tc>
          <w:tcPr>
            <w:tcW w:w="1003" w:type="pct"/>
            <w:tcBorders>
              <w:top w:val="nil"/>
              <w:left w:val="nil"/>
              <w:right w:val="nil"/>
            </w:tcBorders>
            <w:shd w:val="clear" w:color="auto" w:fill="auto"/>
          </w:tcPr>
          <w:p w14:paraId="6A5D48D6" w14:textId="77777777" w:rsidR="0021298F" w:rsidRPr="00F9569F" w:rsidRDefault="0021298F" w:rsidP="00760009">
            <w:pPr>
              <w:jc w:val="right"/>
              <w:rPr>
                <w:rFonts w:ascii="Arial" w:eastAsia="Times New Roman" w:hAnsi="Arial" w:cs="Arial"/>
                <w:color w:val="000000"/>
                <w:lang w:eastAsia="en-GB"/>
              </w:rPr>
            </w:pPr>
            <w:r w:rsidRPr="00F9569F">
              <w:rPr>
                <w:rFonts w:ascii="Arial" w:eastAsia="Times New Roman" w:hAnsi="Arial" w:cs="Arial"/>
                <w:color w:val="000000"/>
                <w:lang w:eastAsia="en-GB"/>
              </w:rPr>
              <w:t>€50,000</w:t>
            </w:r>
          </w:p>
        </w:tc>
      </w:tr>
      <w:tr w:rsidR="0021298F" w:rsidRPr="00F9569F" w14:paraId="58B60EC5" w14:textId="77777777" w:rsidTr="00760009">
        <w:trPr>
          <w:trHeight w:val="291"/>
        </w:trPr>
        <w:tc>
          <w:tcPr>
            <w:tcW w:w="1141" w:type="pct"/>
            <w:tcBorders>
              <w:top w:val="nil"/>
              <w:left w:val="nil"/>
              <w:right w:val="nil"/>
            </w:tcBorders>
            <w:shd w:val="clear" w:color="auto" w:fill="auto"/>
            <w:vAlign w:val="center"/>
            <w:hideMark/>
          </w:tcPr>
          <w:p w14:paraId="3FAD81F0" w14:textId="77777777" w:rsidR="0021298F" w:rsidRPr="00F9569F" w:rsidRDefault="0021298F" w:rsidP="00760009">
            <w:pPr>
              <w:jc w:val="both"/>
              <w:rPr>
                <w:rFonts w:ascii="Arial" w:eastAsia="Times New Roman" w:hAnsi="Arial" w:cs="Arial"/>
                <w:color w:val="000000"/>
                <w:lang w:eastAsia="en-GB"/>
              </w:rPr>
            </w:pPr>
            <w:r w:rsidRPr="00F9569F">
              <w:rPr>
                <w:rFonts w:ascii="Arial" w:eastAsia="Times New Roman" w:hAnsi="Arial" w:cs="Arial"/>
                <w:color w:val="000000"/>
                <w:lang w:eastAsia="en-GB"/>
              </w:rPr>
              <w:t>Emer Gilvarry</w:t>
            </w:r>
          </w:p>
        </w:tc>
        <w:tc>
          <w:tcPr>
            <w:tcW w:w="1082" w:type="pct"/>
            <w:tcBorders>
              <w:top w:val="nil"/>
              <w:left w:val="nil"/>
              <w:right w:val="nil"/>
            </w:tcBorders>
          </w:tcPr>
          <w:p w14:paraId="7E5EACAD" w14:textId="77777777" w:rsidR="0021298F" w:rsidRPr="00F9569F" w:rsidRDefault="0021298F" w:rsidP="00760009">
            <w:pPr>
              <w:jc w:val="right"/>
              <w:rPr>
                <w:rFonts w:ascii="Arial" w:eastAsia="Times New Roman" w:hAnsi="Arial" w:cs="Arial"/>
                <w:color w:val="000000"/>
                <w:lang w:eastAsia="en-GB"/>
              </w:rPr>
            </w:pPr>
            <w:r w:rsidRPr="00F9569F">
              <w:rPr>
                <w:rFonts w:ascii="Arial" w:eastAsia="Times New Roman" w:hAnsi="Arial" w:cs="Arial"/>
                <w:color w:val="000000"/>
                <w:lang w:eastAsia="en-GB"/>
              </w:rPr>
              <w:t>16 June 2017</w:t>
            </w:r>
          </w:p>
        </w:tc>
        <w:tc>
          <w:tcPr>
            <w:tcW w:w="772" w:type="pct"/>
            <w:tcBorders>
              <w:top w:val="nil"/>
              <w:left w:val="nil"/>
              <w:right w:val="nil"/>
            </w:tcBorders>
          </w:tcPr>
          <w:p w14:paraId="1113568C" w14:textId="77777777" w:rsidR="0021298F" w:rsidRPr="00F9569F" w:rsidRDefault="0021298F" w:rsidP="00760009">
            <w:pPr>
              <w:jc w:val="right"/>
              <w:rPr>
                <w:rFonts w:ascii="Arial" w:eastAsia="Times New Roman" w:hAnsi="Arial" w:cs="Arial"/>
                <w:color w:val="000000"/>
                <w:lang w:eastAsia="en-GB"/>
              </w:rPr>
            </w:pPr>
            <w:r w:rsidRPr="00F9569F">
              <w:rPr>
                <w:rFonts w:ascii="Arial" w:eastAsia="Times New Roman" w:hAnsi="Arial" w:cs="Arial"/>
                <w:color w:val="000000"/>
                <w:lang w:eastAsia="en-GB"/>
              </w:rPr>
              <w:t>€50,000</w:t>
            </w:r>
          </w:p>
        </w:tc>
        <w:tc>
          <w:tcPr>
            <w:tcW w:w="1003" w:type="pct"/>
            <w:tcBorders>
              <w:top w:val="nil"/>
              <w:left w:val="nil"/>
              <w:right w:val="nil"/>
            </w:tcBorders>
            <w:shd w:val="clear" w:color="000000" w:fill="EDFFB7"/>
          </w:tcPr>
          <w:p w14:paraId="2DEBE957" w14:textId="77777777" w:rsidR="0021298F" w:rsidRPr="00B73F05" w:rsidRDefault="0021298F" w:rsidP="00760009">
            <w:pPr>
              <w:jc w:val="right"/>
              <w:rPr>
                <w:rFonts w:ascii="Arial" w:eastAsia="Times New Roman" w:hAnsi="Arial" w:cs="Arial"/>
                <w:color w:val="000000"/>
                <w:lang w:eastAsia="en-GB"/>
              </w:rPr>
            </w:pPr>
            <w:r w:rsidRPr="00B73F05">
              <w:rPr>
                <w:rFonts w:ascii="Arial" w:eastAsia="Times New Roman" w:hAnsi="Arial" w:cs="Arial"/>
                <w:color w:val="000000"/>
                <w:lang w:eastAsia="en-GB"/>
              </w:rPr>
              <w:t>€50,000</w:t>
            </w:r>
          </w:p>
        </w:tc>
        <w:tc>
          <w:tcPr>
            <w:tcW w:w="1003" w:type="pct"/>
            <w:tcBorders>
              <w:top w:val="nil"/>
              <w:left w:val="nil"/>
              <w:right w:val="nil"/>
            </w:tcBorders>
            <w:shd w:val="clear" w:color="auto" w:fill="auto"/>
          </w:tcPr>
          <w:p w14:paraId="4E637616" w14:textId="77777777" w:rsidR="0021298F" w:rsidRPr="00F9569F" w:rsidRDefault="0021298F" w:rsidP="00760009">
            <w:pPr>
              <w:jc w:val="right"/>
              <w:rPr>
                <w:rFonts w:ascii="Arial" w:eastAsia="Times New Roman" w:hAnsi="Arial" w:cs="Arial"/>
                <w:color w:val="000000"/>
                <w:lang w:eastAsia="en-GB"/>
              </w:rPr>
            </w:pPr>
            <w:r w:rsidRPr="00F9569F">
              <w:rPr>
                <w:rFonts w:ascii="Arial" w:eastAsia="Times New Roman" w:hAnsi="Arial" w:cs="Arial"/>
                <w:color w:val="000000"/>
                <w:lang w:eastAsia="en-GB"/>
              </w:rPr>
              <w:t>€50,000</w:t>
            </w:r>
          </w:p>
        </w:tc>
      </w:tr>
      <w:tr w:rsidR="0021298F" w:rsidRPr="00F9569F" w14:paraId="24350E99" w14:textId="77777777" w:rsidTr="00760009">
        <w:trPr>
          <w:trHeight w:val="291"/>
        </w:trPr>
        <w:tc>
          <w:tcPr>
            <w:tcW w:w="1141" w:type="pct"/>
            <w:tcBorders>
              <w:left w:val="nil"/>
              <w:bottom w:val="single" w:sz="4" w:space="0" w:color="auto"/>
              <w:right w:val="nil"/>
            </w:tcBorders>
            <w:shd w:val="clear" w:color="auto" w:fill="auto"/>
            <w:vAlign w:val="center"/>
          </w:tcPr>
          <w:p w14:paraId="5B61812B" w14:textId="77777777" w:rsidR="0021298F" w:rsidRPr="001E64E0" w:rsidRDefault="0021298F" w:rsidP="00760009">
            <w:pPr>
              <w:jc w:val="both"/>
              <w:rPr>
                <w:rFonts w:ascii="Arial" w:eastAsia="Times New Roman" w:hAnsi="Arial" w:cs="Arial"/>
                <w:bCs/>
              </w:rPr>
            </w:pPr>
            <w:r w:rsidRPr="001E64E0">
              <w:rPr>
                <w:rFonts w:ascii="Arial" w:eastAsia="Times New Roman" w:hAnsi="Arial" w:cs="Arial"/>
                <w:bCs/>
              </w:rPr>
              <w:lastRenderedPageBreak/>
              <w:t>Marco Graziano</w:t>
            </w:r>
            <w:r w:rsidRPr="00AE47CC">
              <w:rPr>
                <w:rFonts w:ascii="Arial" w:eastAsia="Times New Roman" w:hAnsi="Arial" w:cs="Arial"/>
                <w:bCs/>
                <w:vertAlign w:val="superscript"/>
              </w:rPr>
              <w:t>(1)</w:t>
            </w:r>
            <w:r w:rsidRPr="001E64E0">
              <w:rPr>
                <w:rFonts w:ascii="Arial" w:eastAsia="Times New Roman" w:hAnsi="Arial" w:cs="Arial"/>
                <w:bCs/>
              </w:rPr>
              <w:t xml:space="preserve"> </w:t>
            </w:r>
          </w:p>
        </w:tc>
        <w:tc>
          <w:tcPr>
            <w:tcW w:w="1082" w:type="pct"/>
            <w:tcBorders>
              <w:left w:val="nil"/>
              <w:bottom w:val="single" w:sz="4" w:space="0" w:color="auto"/>
              <w:right w:val="nil"/>
            </w:tcBorders>
          </w:tcPr>
          <w:p w14:paraId="46A53426" w14:textId="77777777" w:rsidR="0021298F" w:rsidRPr="00F9569F" w:rsidRDefault="0021298F" w:rsidP="00760009">
            <w:pPr>
              <w:jc w:val="right"/>
              <w:rPr>
                <w:rFonts w:ascii="Arial" w:eastAsia="Times New Roman" w:hAnsi="Arial" w:cs="Arial"/>
                <w:color w:val="000000"/>
                <w:lang w:eastAsia="en-GB"/>
              </w:rPr>
            </w:pPr>
            <w:r>
              <w:rPr>
                <w:rFonts w:ascii="Arial" w:eastAsia="Times New Roman" w:hAnsi="Arial" w:cs="Arial"/>
                <w:color w:val="000000"/>
                <w:lang w:eastAsia="en-GB"/>
              </w:rPr>
              <w:t>30 January 2020</w:t>
            </w:r>
          </w:p>
        </w:tc>
        <w:tc>
          <w:tcPr>
            <w:tcW w:w="772" w:type="pct"/>
            <w:tcBorders>
              <w:left w:val="nil"/>
              <w:bottom w:val="single" w:sz="4" w:space="0" w:color="auto"/>
              <w:right w:val="nil"/>
            </w:tcBorders>
          </w:tcPr>
          <w:p w14:paraId="4ACE745D" w14:textId="77777777" w:rsidR="0021298F" w:rsidRPr="00F9569F" w:rsidRDefault="0021298F" w:rsidP="00760009">
            <w:pPr>
              <w:jc w:val="right"/>
              <w:rPr>
                <w:rFonts w:ascii="Arial" w:eastAsia="Times New Roman" w:hAnsi="Arial" w:cs="Arial"/>
                <w:color w:val="000000"/>
                <w:lang w:eastAsia="en-GB"/>
              </w:rPr>
            </w:pPr>
            <w:r w:rsidRPr="00F9569F">
              <w:rPr>
                <w:rFonts w:ascii="Arial" w:eastAsia="Times New Roman" w:hAnsi="Arial" w:cs="Arial"/>
                <w:color w:val="000000"/>
                <w:lang w:eastAsia="en-GB"/>
              </w:rPr>
              <w:t>€</w:t>
            </w:r>
            <w:r>
              <w:rPr>
                <w:rFonts w:ascii="Arial" w:eastAsia="Times New Roman" w:hAnsi="Arial" w:cs="Arial"/>
                <w:color w:val="000000"/>
                <w:lang w:eastAsia="en-GB"/>
              </w:rPr>
              <w:t>54,167</w:t>
            </w:r>
          </w:p>
        </w:tc>
        <w:tc>
          <w:tcPr>
            <w:tcW w:w="1003" w:type="pct"/>
            <w:tcBorders>
              <w:left w:val="nil"/>
              <w:bottom w:val="single" w:sz="4" w:space="0" w:color="auto"/>
              <w:right w:val="nil"/>
            </w:tcBorders>
            <w:shd w:val="clear" w:color="000000" w:fill="EDFFB7"/>
          </w:tcPr>
          <w:p w14:paraId="6D52F677" w14:textId="77777777" w:rsidR="0021298F" w:rsidRPr="001E34C8" w:rsidRDefault="0021298F" w:rsidP="00760009">
            <w:pPr>
              <w:jc w:val="right"/>
              <w:rPr>
                <w:rFonts w:ascii="Arial" w:eastAsia="Times New Roman" w:hAnsi="Arial" w:cs="Arial"/>
                <w:color w:val="000000"/>
                <w:lang w:eastAsia="en-GB"/>
              </w:rPr>
            </w:pPr>
            <w:r w:rsidRPr="001E34C8">
              <w:rPr>
                <w:rFonts w:ascii="Arial" w:eastAsia="Times New Roman" w:hAnsi="Arial" w:cs="Arial"/>
                <w:color w:val="000000"/>
                <w:lang w:eastAsia="en-GB"/>
              </w:rPr>
              <w:t>€54,167</w:t>
            </w:r>
          </w:p>
        </w:tc>
        <w:tc>
          <w:tcPr>
            <w:tcW w:w="1003" w:type="pct"/>
            <w:tcBorders>
              <w:left w:val="nil"/>
              <w:bottom w:val="single" w:sz="4" w:space="0" w:color="auto"/>
              <w:right w:val="nil"/>
            </w:tcBorders>
            <w:shd w:val="clear" w:color="auto" w:fill="auto"/>
          </w:tcPr>
          <w:p w14:paraId="22C6158A" w14:textId="77777777" w:rsidR="0021298F" w:rsidRPr="00F9569F" w:rsidRDefault="0021298F" w:rsidP="00760009">
            <w:pPr>
              <w:jc w:val="right"/>
              <w:rPr>
                <w:rFonts w:ascii="Arial" w:eastAsia="Times New Roman" w:hAnsi="Arial" w:cs="Arial"/>
                <w:color w:val="000000"/>
                <w:lang w:eastAsia="en-GB"/>
              </w:rPr>
            </w:pPr>
            <w:r w:rsidRPr="00F9569F">
              <w:rPr>
                <w:rFonts w:ascii="Arial" w:eastAsia="Times New Roman" w:hAnsi="Arial" w:cs="Arial"/>
                <w:color w:val="000000"/>
                <w:lang w:eastAsia="en-GB"/>
              </w:rPr>
              <w:t>€</w:t>
            </w:r>
            <w:r>
              <w:rPr>
                <w:rFonts w:ascii="Arial" w:eastAsia="Times New Roman" w:hAnsi="Arial" w:cs="Arial"/>
                <w:color w:val="000000"/>
                <w:lang w:eastAsia="en-GB"/>
              </w:rPr>
              <w:t>Nil</w:t>
            </w:r>
          </w:p>
        </w:tc>
      </w:tr>
      <w:tr w:rsidR="0021298F" w:rsidRPr="00F9569F" w14:paraId="5F260210" w14:textId="77777777" w:rsidTr="00760009">
        <w:trPr>
          <w:trHeight w:val="321"/>
        </w:trPr>
        <w:tc>
          <w:tcPr>
            <w:tcW w:w="1141" w:type="pct"/>
            <w:tcBorders>
              <w:top w:val="nil"/>
              <w:left w:val="nil"/>
              <w:bottom w:val="single" w:sz="8" w:space="0" w:color="auto"/>
              <w:right w:val="nil"/>
            </w:tcBorders>
            <w:shd w:val="clear" w:color="auto" w:fill="auto"/>
            <w:vAlign w:val="center"/>
            <w:hideMark/>
          </w:tcPr>
          <w:p w14:paraId="227DD7A7" w14:textId="77777777" w:rsidR="0021298F" w:rsidRPr="00F9569F" w:rsidRDefault="0021298F" w:rsidP="00760009">
            <w:pPr>
              <w:jc w:val="both"/>
              <w:rPr>
                <w:rFonts w:ascii="Arial" w:eastAsia="Times New Roman" w:hAnsi="Arial" w:cs="Arial"/>
                <w:b/>
                <w:bCs/>
                <w:color w:val="000000"/>
                <w:lang w:eastAsia="en-GB"/>
              </w:rPr>
            </w:pPr>
            <w:r w:rsidRPr="00F9569F">
              <w:rPr>
                <w:rFonts w:ascii="Arial" w:eastAsia="Times New Roman" w:hAnsi="Arial" w:cs="Arial"/>
                <w:b/>
                <w:bCs/>
                <w:color w:val="000000"/>
                <w:lang w:eastAsia="en-GB"/>
              </w:rPr>
              <w:t>Total</w:t>
            </w:r>
          </w:p>
        </w:tc>
        <w:tc>
          <w:tcPr>
            <w:tcW w:w="1082" w:type="pct"/>
            <w:tcBorders>
              <w:top w:val="nil"/>
              <w:left w:val="nil"/>
              <w:bottom w:val="single" w:sz="8" w:space="0" w:color="auto"/>
              <w:right w:val="nil"/>
            </w:tcBorders>
          </w:tcPr>
          <w:p w14:paraId="50C6F3DD" w14:textId="77777777" w:rsidR="0021298F" w:rsidRPr="00F9569F" w:rsidRDefault="0021298F" w:rsidP="00760009">
            <w:pPr>
              <w:jc w:val="right"/>
              <w:rPr>
                <w:rFonts w:ascii="Arial" w:eastAsia="Times New Roman" w:hAnsi="Arial" w:cs="Arial"/>
                <w:b/>
                <w:bCs/>
                <w:color w:val="000000"/>
                <w:lang w:eastAsia="en-GB"/>
              </w:rPr>
            </w:pPr>
          </w:p>
        </w:tc>
        <w:tc>
          <w:tcPr>
            <w:tcW w:w="772" w:type="pct"/>
            <w:tcBorders>
              <w:top w:val="nil"/>
              <w:left w:val="nil"/>
              <w:bottom w:val="single" w:sz="8" w:space="0" w:color="auto"/>
              <w:right w:val="nil"/>
            </w:tcBorders>
          </w:tcPr>
          <w:p w14:paraId="7B864916" w14:textId="77777777" w:rsidR="0021298F" w:rsidRPr="00F9569F" w:rsidRDefault="0021298F" w:rsidP="00760009">
            <w:pPr>
              <w:jc w:val="right"/>
              <w:rPr>
                <w:rFonts w:ascii="Arial" w:eastAsia="Times New Roman" w:hAnsi="Arial" w:cs="Arial"/>
                <w:b/>
                <w:bCs/>
                <w:color w:val="000000"/>
                <w:lang w:eastAsia="en-GB"/>
              </w:rPr>
            </w:pPr>
          </w:p>
        </w:tc>
        <w:tc>
          <w:tcPr>
            <w:tcW w:w="1003" w:type="pct"/>
            <w:tcBorders>
              <w:top w:val="nil"/>
              <w:left w:val="nil"/>
              <w:bottom w:val="single" w:sz="8" w:space="0" w:color="auto"/>
              <w:right w:val="nil"/>
            </w:tcBorders>
            <w:shd w:val="clear" w:color="000000" w:fill="EDFFB7"/>
            <w:vAlign w:val="bottom"/>
          </w:tcPr>
          <w:p w14:paraId="69AECF18" w14:textId="77777777" w:rsidR="0021298F" w:rsidRPr="001E34C8" w:rsidRDefault="0021298F" w:rsidP="00760009">
            <w:pPr>
              <w:jc w:val="right"/>
              <w:rPr>
                <w:rFonts w:ascii="Arial" w:eastAsia="Times New Roman" w:hAnsi="Arial" w:cs="Arial"/>
                <w:b/>
                <w:bCs/>
                <w:color w:val="000000"/>
                <w:lang w:eastAsia="en-GB"/>
              </w:rPr>
            </w:pPr>
            <w:r w:rsidRPr="001E34C8">
              <w:rPr>
                <w:rFonts w:ascii="Arial" w:eastAsia="Times New Roman" w:hAnsi="Arial" w:cs="Arial"/>
                <w:b/>
                <w:bCs/>
                <w:color w:val="000000"/>
                <w:lang w:eastAsia="en-GB"/>
              </w:rPr>
              <w:t>€254,167</w:t>
            </w:r>
          </w:p>
        </w:tc>
        <w:tc>
          <w:tcPr>
            <w:tcW w:w="1003" w:type="pct"/>
            <w:tcBorders>
              <w:top w:val="nil"/>
              <w:left w:val="nil"/>
              <w:bottom w:val="single" w:sz="8" w:space="0" w:color="auto"/>
              <w:right w:val="nil"/>
            </w:tcBorders>
            <w:shd w:val="clear" w:color="auto" w:fill="auto"/>
            <w:noWrap/>
            <w:vAlign w:val="bottom"/>
          </w:tcPr>
          <w:p w14:paraId="724BC087" w14:textId="77777777" w:rsidR="0021298F" w:rsidRPr="00F9569F" w:rsidRDefault="0021298F" w:rsidP="00760009">
            <w:pPr>
              <w:jc w:val="right"/>
              <w:rPr>
                <w:rFonts w:ascii="Arial" w:eastAsia="Times New Roman" w:hAnsi="Arial" w:cs="Arial"/>
                <w:b/>
                <w:bCs/>
                <w:color w:val="000000"/>
                <w:lang w:eastAsia="en-GB"/>
              </w:rPr>
            </w:pPr>
            <w:r w:rsidRPr="00F9569F">
              <w:rPr>
                <w:rFonts w:ascii="Arial" w:eastAsia="Times New Roman" w:hAnsi="Arial" w:cs="Arial"/>
                <w:b/>
                <w:bCs/>
                <w:color w:val="000000"/>
                <w:lang w:eastAsia="en-GB"/>
              </w:rPr>
              <w:t>€200,000</w:t>
            </w:r>
          </w:p>
        </w:tc>
      </w:tr>
    </w:tbl>
    <w:p w14:paraId="502A05F0" w14:textId="77777777" w:rsidR="0021298F" w:rsidRPr="00A3624D" w:rsidRDefault="0021298F" w:rsidP="0021298F">
      <w:pPr>
        <w:jc w:val="both"/>
        <w:rPr>
          <w:rFonts w:ascii="Arial" w:eastAsia="Times New Roman" w:hAnsi="Arial" w:cs="Arial"/>
        </w:rPr>
      </w:pPr>
      <w:r w:rsidRPr="00AE47CC">
        <w:rPr>
          <w:rFonts w:ascii="Arial" w:eastAsia="Times New Roman" w:hAnsi="Arial" w:cs="Arial"/>
          <w:vertAlign w:val="superscript"/>
        </w:rPr>
        <w:t>(1)</w:t>
      </w:r>
      <w:r>
        <w:rPr>
          <w:rFonts w:ascii="Arial" w:eastAsia="Times New Roman" w:hAnsi="Arial" w:cs="Arial"/>
        </w:rPr>
        <w:t xml:space="preserve"> </w:t>
      </w:r>
      <w:r>
        <w:rPr>
          <w:rFonts w:ascii="Arial" w:hAnsi="Arial" w:cs="Arial"/>
          <w:sz w:val="18"/>
          <w:szCs w:val="18"/>
        </w:rPr>
        <w:t>Salary effective from 1 December 2019</w:t>
      </w:r>
    </w:p>
    <w:p w14:paraId="7732B821" w14:textId="77777777" w:rsidR="0021298F" w:rsidRDefault="0021298F" w:rsidP="0021298F">
      <w:pPr>
        <w:jc w:val="both"/>
        <w:rPr>
          <w:rFonts w:ascii="Arial" w:eastAsia="Times New Roman" w:hAnsi="Arial" w:cs="Arial"/>
        </w:rPr>
      </w:pPr>
    </w:p>
    <w:p w14:paraId="6FCEB210" w14:textId="77777777" w:rsidR="0021298F" w:rsidRDefault="0021298F" w:rsidP="0021298F">
      <w:pPr>
        <w:jc w:val="both"/>
        <w:rPr>
          <w:rFonts w:ascii="Arial" w:eastAsia="Times New Roman" w:hAnsi="Arial" w:cs="Arial"/>
        </w:rPr>
      </w:pPr>
      <w:r w:rsidRPr="00513E04">
        <w:rPr>
          <w:rFonts w:ascii="Arial" w:eastAsia="Times New Roman" w:hAnsi="Arial" w:cs="Arial"/>
        </w:rPr>
        <w:t>No</w:t>
      </w:r>
      <w:r w:rsidRPr="003A7C94">
        <w:rPr>
          <w:rFonts w:ascii="Arial" w:eastAsia="Times New Roman" w:hAnsi="Arial" w:cs="Arial"/>
        </w:rPr>
        <w:t>ne of the Directors received</w:t>
      </w:r>
      <w:r w:rsidRPr="00F9569F">
        <w:rPr>
          <w:rFonts w:ascii="Arial" w:eastAsia="Times New Roman" w:hAnsi="Arial" w:cs="Arial"/>
        </w:rPr>
        <w:t xml:space="preserve"> any other remuneration or additional discretionary payments during the year from the Company.</w:t>
      </w:r>
    </w:p>
    <w:p w14:paraId="6791F530" w14:textId="77777777" w:rsidR="0021298F" w:rsidRDefault="0021298F" w:rsidP="0021298F">
      <w:pPr>
        <w:rPr>
          <w:rFonts w:ascii="Arial" w:hAnsi="Arial" w:cs="Arial"/>
        </w:rPr>
      </w:pPr>
    </w:p>
    <w:p w14:paraId="6578297F" w14:textId="77777777" w:rsidR="0021298F" w:rsidRPr="00B23034" w:rsidRDefault="0021298F" w:rsidP="0021298F">
      <w:pPr>
        <w:pStyle w:val="Heading3"/>
        <w:spacing w:before="0"/>
        <w:jc w:val="both"/>
        <w:rPr>
          <w:rFonts w:ascii="Arial" w:hAnsi="Arial" w:cs="Arial"/>
          <w:color w:val="auto"/>
        </w:rPr>
      </w:pPr>
      <w:r w:rsidRPr="00B23034">
        <w:rPr>
          <w:rFonts w:ascii="Arial" w:hAnsi="Arial" w:cs="Arial"/>
          <w:color w:val="auto"/>
        </w:rPr>
        <w:t xml:space="preserve">Relative </w:t>
      </w:r>
      <w:r>
        <w:rPr>
          <w:rFonts w:ascii="Arial" w:hAnsi="Arial" w:cs="Arial"/>
          <w:color w:val="auto"/>
        </w:rPr>
        <w:t>I</w:t>
      </w:r>
      <w:r w:rsidRPr="00B23034">
        <w:rPr>
          <w:rFonts w:ascii="Arial" w:hAnsi="Arial" w:cs="Arial"/>
          <w:color w:val="auto"/>
        </w:rPr>
        <w:t xml:space="preserve">mportance of </w:t>
      </w:r>
      <w:r>
        <w:rPr>
          <w:rFonts w:ascii="Arial" w:hAnsi="Arial" w:cs="Arial"/>
          <w:color w:val="auto"/>
        </w:rPr>
        <w:t>S</w:t>
      </w:r>
      <w:r w:rsidRPr="00B23034">
        <w:rPr>
          <w:rFonts w:ascii="Arial" w:hAnsi="Arial" w:cs="Arial"/>
          <w:color w:val="auto"/>
        </w:rPr>
        <w:t xml:space="preserve">pend on </w:t>
      </w:r>
      <w:r>
        <w:rPr>
          <w:rFonts w:ascii="Arial" w:hAnsi="Arial" w:cs="Arial"/>
          <w:color w:val="auto"/>
        </w:rPr>
        <w:t>P</w:t>
      </w:r>
      <w:r w:rsidRPr="00B23034">
        <w:rPr>
          <w:rFonts w:ascii="Arial" w:hAnsi="Arial" w:cs="Arial"/>
          <w:color w:val="auto"/>
        </w:rPr>
        <w:t>ay</w:t>
      </w:r>
    </w:p>
    <w:p w14:paraId="4DDCDF07" w14:textId="77777777" w:rsidR="0021298F" w:rsidRDefault="0021298F" w:rsidP="0021298F">
      <w:pPr>
        <w:jc w:val="both"/>
        <w:rPr>
          <w:rFonts w:ascii="Arial" w:eastAsia="Times New Roman" w:hAnsi="Arial" w:cs="Arial"/>
        </w:rPr>
      </w:pPr>
      <w:r w:rsidRPr="00B23034">
        <w:rPr>
          <w:rFonts w:ascii="Arial" w:eastAsia="Times New Roman" w:hAnsi="Arial" w:cs="Arial"/>
        </w:rPr>
        <w:t xml:space="preserve">The remuneration of the Directors </w:t>
      </w:r>
      <w:r>
        <w:rPr>
          <w:rFonts w:ascii="Arial" w:eastAsia="Times New Roman" w:hAnsi="Arial" w:cs="Arial"/>
        </w:rPr>
        <w:t>with respect</w:t>
      </w:r>
      <w:r w:rsidRPr="00B23034">
        <w:rPr>
          <w:rFonts w:ascii="Arial" w:eastAsia="Times New Roman" w:hAnsi="Arial" w:cs="Arial"/>
        </w:rPr>
        <w:t xml:space="preserve"> to the </w:t>
      </w:r>
      <w:r>
        <w:rPr>
          <w:rFonts w:ascii="Arial" w:eastAsia="Times New Roman" w:hAnsi="Arial" w:cs="Arial"/>
        </w:rPr>
        <w:t>year</w:t>
      </w:r>
      <w:r w:rsidRPr="00B23034">
        <w:rPr>
          <w:rFonts w:ascii="Arial" w:eastAsia="Times New Roman" w:hAnsi="Arial" w:cs="Arial"/>
        </w:rPr>
        <w:t xml:space="preserve"> </w:t>
      </w:r>
      <w:r w:rsidRPr="00BB6FCA">
        <w:rPr>
          <w:rFonts w:ascii="Arial" w:eastAsia="Times New Roman" w:hAnsi="Arial" w:cs="Arial"/>
        </w:rPr>
        <w:t xml:space="preserve">totalled </w:t>
      </w:r>
      <w:r>
        <w:rPr>
          <w:rFonts w:ascii="Arial" w:eastAsia="Times New Roman" w:hAnsi="Arial" w:cs="Arial"/>
        </w:rPr>
        <w:t>€254,467 (2019: €200,000)</w:t>
      </w:r>
      <w:r w:rsidRPr="00B23034">
        <w:rPr>
          <w:rFonts w:ascii="Arial" w:eastAsia="Times New Roman" w:hAnsi="Arial" w:cs="Arial"/>
        </w:rPr>
        <w:t xml:space="preserve"> in comparison to dividends paid</w:t>
      </w:r>
      <w:r>
        <w:rPr>
          <w:rFonts w:ascii="Arial" w:eastAsia="Times New Roman" w:hAnsi="Arial" w:cs="Arial"/>
        </w:rPr>
        <w:t xml:space="preserve"> or declared</w:t>
      </w:r>
      <w:r w:rsidRPr="00B23034">
        <w:rPr>
          <w:rFonts w:ascii="Arial" w:eastAsia="Times New Roman" w:hAnsi="Arial" w:cs="Arial"/>
        </w:rPr>
        <w:t xml:space="preserve"> to shareholders </w:t>
      </w:r>
      <w:r>
        <w:rPr>
          <w:rFonts w:ascii="Arial" w:eastAsia="Times New Roman" w:hAnsi="Arial" w:cs="Arial"/>
        </w:rPr>
        <w:t>with respect</w:t>
      </w:r>
      <w:r w:rsidRPr="00B23034">
        <w:rPr>
          <w:rFonts w:ascii="Arial" w:eastAsia="Times New Roman" w:hAnsi="Arial" w:cs="Arial"/>
        </w:rPr>
        <w:t xml:space="preserve"> to the </w:t>
      </w:r>
      <w:r>
        <w:rPr>
          <w:rFonts w:ascii="Arial" w:eastAsia="Times New Roman" w:hAnsi="Arial" w:cs="Arial"/>
        </w:rPr>
        <w:t>year</w:t>
      </w:r>
      <w:r w:rsidRPr="00B23034">
        <w:rPr>
          <w:rFonts w:ascii="Arial" w:eastAsia="Times New Roman" w:hAnsi="Arial" w:cs="Arial"/>
        </w:rPr>
        <w:t xml:space="preserve"> </w:t>
      </w:r>
      <w:r w:rsidRPr="00ED116D">
        <w:rPr>
          <w:rFonts w:ascii="Arial" w:eastAsia="Times New Roman" w:hAnsi="Arial" w:cs="Arial"/>
        </w:rPr>
        <w:t xml:space="preserve">of </w:t>
      </w:r>
      <w:r>
        <w:rPr>
          <w:rFonts w:ascii="Arial" w:eastAsia="Times New Roman" w:hAnsi="Arial" w:cs="Arial"/>
        </w:rPr>
        <w:t>€39,891,425 (2019: €33,023,588</w:t>
      </w:r>
      <w:r w:rsidRPr="00BB6FCA">
        <w:rPr>
          <w:rFonts w:ascii="Arial" w:eastAsia="Times New Roman" w:hAnsi="Arial" w:cs="Arial"/>
        </w:rPr>
        <w:t>)</w:t>
      </w:r>
      <w:r w:rsidRPr="00B23034">
        <w:rPr>
          <w:rFonts w:ascii="Arial" w:eastAsia="Times New Roman" w:hAnsi="Arial" w:cs="Arial"/>
        </w:rPr>
        <w:t>.</w:t>
      </w:r>
    </w:p>
    <w:p w14:paraId="2D64ECFB" w14:textId="77777777" w:rsidR="0021298F" w:rsidRDefault="0021298F" w:rsidP="0021298F">
      <w:pPr>
        <w:jc w:val="both"/>
        <w:rPr>
          <w:rFonts w:ascii="Arial" w:eastAsia="Times New Roman" w:hAnsi="Arial" w:cs="Arial"/>
        </w:rPr>
      </w:pPr>
    </w:p>
    <w:p w14:paraId="13E42012" w14:textId="77777777" w:rsidR="0021298F" w:rsidRPr="00F9569F" w:rsidRDefault="0021298F" w:rsidP="0021298F">
      <w:pPr>
        <w:jc w:val="both"/>
        <w:rPr>
          <w:rFonts w:ascii="Arial" w:eastAsia="Times New Roman" w:hAnsi="Arial" w:cs="Arial"/>
        </w:rPr>
      </w:pPr>
      <w:r w:rsidRPr="00F9569F">
        <w:rPr>
          <w:rFonts w:ascii="Arial" w:eastAsia="Times New Roman" w:hAnsi="Arial" w:cs="Arial"/>
        </w:rPr>
        <w:t>On behalf of the Board,</w:t>
      </w:r>
    </w:p>
    <w:p w14:paraId="31AEFF92" w14:textId="77777777" w:rsidR="0021298F" w:rsidRPr="00F9569F" w:rsidRDefault="0021298F" w:rsidP="0021298F">
      <w:pPr>
        <w:jc w:val="both"/>
        <w:rPr>
          <w:rFonts w:ascii="Arial" w:eastAsia="Times New Roman" w:hAnsi="Arial" w:cs="Arial"/>
        </w:rPr>
      </w:pPr>
    </w:p>
    <w:p w14:paraId="218F6440" w14:textId="77777777" w:rsidR="0021298F" w:rsidRPr="00F9569F" w:rsidRDefault="0021298F" w:rsidP="0021298F">
      <w:pPr>
        <w:jc w:val="both"/>
        <w:rPr>
          <w:rFonts w:ascii="Arial" w:eastAsia="Times New Roman" w:hAnsi="Arial" w:cs="Arial"/>
          <w:b/>
        </w:rPr>
      </w:pPr>
      <w:r w:rsidRPr="00F9569F">
        <w:rPr>
          <w:rFonts w:ascii="Arial" w:eastAsia="Times New Roman" w:hAnsi="Arial" w:cs="Arial"/>
          <w:b/>
        </w:rPr>
        <w:t>Emer Gilvarry</w:t>
      </w:r>
    </w:p>
    <w:p w14:paraId="1505A76C" w14:textId="77777777" w:rsidR="0021298F" w:rsidRPr="00F9569F" w:rsidRDefault="0021298F" w:rsidP="0021298F">
      <w:pPr>
        <w:jc w:val="both"/>
        <w:rPr>
          <w:rFonts w:ascii="Arial" w:eastAsia="Times New Roman" w:hAnsi="Arial" w:cs="Arial"/>
        </w:rPr>
      </w:pPr>
      <w:r w:rsidRPr="00F9569F">
        <w:rPr>
          <w:rFonts w:ascii="Arial" w:eastAsia="Times New Roman" w:hAnsi="Arial" w:cs="Arial"/>
        </w:rPr>
        <w:t>Chair of the Remuneration Committee</w:t>
      </w:r>
    </w:p>
    <w:p w14:paraId="14F4883E" w14:textId="77777777" w:rsidR="0021298F" w:rsidRDefault="0021298F" w:rsidP="0021298F">
      <w:pPr>
        <w:jc w:val="both"/>
        <w:rPr>
          <w:rFonts w:ascii="Arial" w:eastAsia="Times New Roman" w:hAnsi="Arial" w:cs="Arial"/>
        </w:rPr>
      </w:pPr>
      <w:r>
        <w:rPr>
          <w:rFonts w:ascii="Arial" w:hAnsi="Arial" w:cs="Arial"/>
        </w:rPr>
        <w:t>28 February 2021</w:t>
      </w:r>
    </w:p>
    <w:p w14:paraId="041B7A3C" w14:textId="77777777" w:rsidR="0021298F" w:rsidRPr="002C6D8A" w:rsidRDefault="0021298F" w:rsidP="0021298F">
      <w:pPr>
        <w:jc w:val="both"/>
        <w:rPr>
          <w:rFonts w:ascii="Arial" w:eastAsia="Times New Roman" w:hAnsi="Arial" w:cs="Arial"/>
          <w:highlight w:val="yellow"/>
        </w:rPr>
      </w:pPr>
    </w:p>
    <w:p w14:paraId="2D2CFCC1" w14:textId="77777777" w:rsidR="0021298F" w:rsidRPr="00F9569F" w:rsidRDefault="0021298F" w:rsidP="0021298F">
      <w:pPr>
        <w:pStyle w:val="Heading1"/>
        <w:jc w:val="both"/>
        <w:rPr>
          <w:rFonts w:cs="Arial"/>
          <w:caps/>
          <w:color w:val="525252" w:themeColor="accent3" w:themeShade="80"/>
          <w:szCs w:val="26"/>
        </w:rPr>
      </w:pPr>
      <w:r w:rsidRPr="00F9569F">
        <w:rPr>
          <w:rFonts w:cs="Arial"/>
          <w:szCs w:val="26"/>
        </w:rPr>
        <w:t>Statement of Directors’ Responsibilities</w:t>
      </w:r>
    </w:p>
    <w:p w14:paraId="31E9515B" w14:textId="77777777" w:rsidR="0021298F" w:rsidRPr="00F9569F" w:rsidRDefault="0021298F" w:rsidP="0021298F">
      <w:pPr>
        <w:jc w:val="both"/>
        <w:rPr>
          <w:rFonts w:ascii="Arial" w:eastAsia="Times New Roman" w:hAnsi="Arial" w:cs="Arial"/>
        </w:rPr>
      </w:pPr>
    </w:p>
    <w:p w14:paraId="5EE2D058" w14:textId="77777777" w:rsidR="0021298F" w:rsidRPr="00F9569F" w:rsidRDefault="0021298F" w:rsidP="0021298F">
      <w:pPr>
        <w:jc w:val="both"/>
        <w:rPr>
          <w:rFonts w:ascii="Arial" w:eastAsia="Times New Roman" w:hAnsi="Arial" w:cs="Arial"/>
        </w:rPr>
      </w:pPr>
      <w:r w:rsidRPr="00F9569F">
        <w:rPr>
          <w:rFonts w:ascii="Arial" w:eastAsia="Times New Roman" w:hAnsi="Arial" w:cs="Arial"/>
        </w:rPr>
        <w:t xml:space="preserve">The Directors are responsible for preparing the Annual Report and the consolidated financial statements in accordance with applicable law and regulations. </w:t>
      </w:r>
    </w:p>
    <w:p w14:paraId="3E5FBA54" w14:textId="77777777" w:rsidR="0021298F" w:rsidRPr="00F9569F" w:rsidRDefault="0021298F" w:rsidP="0021298F">
      <w:pPr>
        <w:jc w:val="both"/>
        <w:rPr>
          <w:rFonts w:ascii="Arial" w:eastAsia="Times New Roman" w:hAnsi="Arial" w:cs="Arial"/>
        </w:rPr>
      </w:pPr>
    </w:p>
    <w:p w14:paraId="797BF3BE" w14:textId="77777777" w:rsidR="0021298F" w:rsidRPr="00F9569F" w:rsidRDefault="0021298F" w:rsidP="0021298F">
      <w:pPr>
        <w:jc w:val="both"/>
        <w:rPr>
          <w:rFonts w:ascii="Arial" w:eastAsia="Times New Roman" w:hAnsi="Arial" w:cs="Arial"/>
        </w:rPr>
      </w:pPr>
      <w:r w:rsidRPr="00F9569F">
        <w:rPr>
          <w:rFonts w:ascii="Arial" w:eastAsia="Times New Roman" w:hAnsi="Arial" w:cs="Arial"/>
        </w:rPr>
        <w:t xml:space="preserve">Irish company law requires the Directors to prepare financial statements for each financial year. Under that law the Directors are required to prepare the Group financial statements and have elected to prepare the Company financial statements in accordance with IFRS as adopted by the EU. Under company law the Directors must not approve the consolidated financial statements unless they are satisfied that they give a true and fair view of the state of affairs of the Group and Company and of the profit or loss of the Group for that period.  </w:t>
      </w:r>
    </w:p>
    <w:p w14:paraId="2342A7F3" w14:textId="77777777" w:rsidR="0021298F" w:rsidRPr="00F9569F" w:rsidRDefault="0021298F" w:rsidP="0021298F">
      <w:pPr>
        <w:jc w:val="both"/>
        <w:rPr>
          <w:rFonts w:ascii="Arial" w:eastAsia="Times New Roman" w:hAnsi="Arial" w:cs="Arial"/>
        </w:rPr>
      </w:pPr>
    </w:p>
    <w:p w14:paraId="4F31ECB8" w14:textId="77777777" w:rsidR="0021298F" w:rsidRPr="00F9569F" w:rsidRDefault="0021298F" w:rsidP="0021298F">
      <w:pPr>
        <w:jc w:val="both"/>
        <w:rPr>
          <w:rFonts w:ascii="Arial" w:eastAsia="Times New Roman" w:hAnsi="Arial" w:cs="Arial"/>
        </w:rPr>
      </w:pPr>
      <w:r w:rsidRPr="00F9569F">
        <w:rPr>
          <w:rFonts w:ascii="Arial" w:eastAsia="Times New Roman" w:hAnsi="Arial" w:cs="Arial"/>
        </w:rPr>
        <w:t>In preparing these consolidated financial statements, the Directors are required to:</w:t>
      </w:r>
    </w:p>
    <w:p w14:paraId="495327B5" w14:textId="77777777" w:rsidR="0021298F" w:rsidRPr="00F9569F" w:rsidRDefault="0021298F" w:rsidP="0021298F">
      <w:pPr>
        <w:jc w:val="both"/>
        <w:rPr>
          <w:rFonts w:ascii="Arial" w:eastAsia="Times New Roman" w:hAnsi="Arial" w:cs="Arial"/>
        </w:rPr>
      </w:pPr>
    </w:p>
    <w:p w14:paraId="162734EE" w14:textId="77777777" w:rsidR="0021298F" w:rsidRPr="00673A90" w:rsidRDefault="0021298F" w:rsidP="0021298F">
      <w:pPr>
        <w:pStyle w:val="ListParagraph"/>
        <w:numPr>
          <w:ilvl w:val="0"/>
          <w:numId w:val="21"/>
        </w:numPr>
        <w:tabs>
          <w:tab w:val="num" w:pos="426"/>
        </w:tabs>
        <w:jc w:val="both"/>
        <w:rPr>
          <w:rFonts w:ascii="Arial" w:eastAsia="Times New Roman" w:hAnsi="Arial" w:cs="Arial"/>
        </w:rPr>
      </w:pPr>
      <w:r w:rsidRPr="00673A90">
        <w:rPr>
          <w:rFonts w:ascii="Arial" w:eastAsia="Times New Roman" w:hAnsi="Arial" w:cs="Arial"/>
        </w:rPr>
        <w:t>select suitable accounting policies and then apply them consistently;</w:t>
      </w:r>
    </w:p>
    <w:p w14:paraId="792650B2" w14:textId="77777777" w:rsidR="0021298F" w:rsidRPr="00673A90" w:rsidRDefault="0021298F" w:rsidP="0021298F">
      <w:pPr>
        <w:pStyle w:val="ListParagraph"/>
        <w:numPr>
          <w:ilvl w:val="0"/>
          <w:numId w:val="21"/>
        </w:numPr>
        <w:tabs>
          <w:tab w:val="num" w:pos="426"/>
        </w:tabs>
        <w:jc w:val="both"/>
        <w:rPr>
          <w:rFonts w:ascii="Arial" w:eastAsia="Times New Roman" w:hAnsi="Arial" w:cs="Arial"/>
        </w:rPr>
      </w:pPr>
      <w:r w:rsidRPr="00673A90">
        <w:rPr>
          <w:rFonts w:ascii="Arial" w:eastAsia="Times New Roman" w:hAnsi="Arial" w:cs="Arial"/>
        </w:rPr>
        <w:t>make judgements and accounting estimates that are reasonable and prudent;</w:t>
      </w:r>
    </w:p>
    <w:p w14:paraId="4DF2AC62" w14:textId="77777777" w:rsidR="0021298F" w:rsidRPr="00673A90" w:rsidRDefault="0021298F" w:rsidP="0021298F">
      <w:pPr>
        <w:pStyle w:val="ListParagraph"/>
        <w:numPr>
          <w:ilvl w:val="0"/>
          <w:numId w:val="21"/>
        </w:numPr>
        <w:tabs>
          <w:tab w:val="num" w:pos="426"/>
        </w:tabs>
        <w:jc w:val="both"/>
        <w:rPr>
          <w:rFonts w:ascii="Arial" w:eastAsia="Times New Roman" w:hAnsi="Arial" w:cs="Arial"/>
        </w:rPr>
      </w:pPr>
      <w:r w:rsidRPr="00673A90">
        <w:rPr>
          <w:rFonts w:ascii="Arial" w:eastAsia="Times New Roman" w:hAnsi="Arial" w:cs="Arial"/>
        </w:rPr>
        <w:t>state whether they have been prepared in accordance with IFRS as adopted by the EU, subject to any material departures disclosed and explained in the consolidated financial statements</w:t>
      </w:r>
      <w:r w:rsidRPr="007937DB">
        <w:rPr>
          <w:rFonts w:ascii="Arial" w:eastAsia="Times New Roman" w:hAnsi="Arial" w:cs="Arial"/>
        </w:rPr>
        <w:t xml:space="preserve">; </w:t>
      </w:r>
    </w:p>
    <w:p w14:paraId="71CBFED8" w14:textId="77777777" w:rsidR="0021298F" w:rsidRPr="00F9569F" w:rsidRDefault="0021298F" w:rsidP="0021298F">
      <w:pPr>
        <w:pStyle w:val="ListParagraph"/>
        <w:numPr>
          <w:ilvl w:val="0"/>
          <w:numId w:val="21"/>
        </w:numPr>
        <w:tabs>
          <w:tab w:val="num" w:pos="426"/>
        </w:tabs>
        <w:jc w:val="both"/>
        <w:rPr>
          <w:rFonts w:ascii="Arial" w:eastAsia="Times New Roman" w:hAnsi="Arial" w:cs="Arial"/>
        </w:rPr>
      </w:pPr>
      <w:r>
        <w:rPr>
          <w:rFonts w:ascii="Arial" w:eastAsia="Times New Roman" w:hAnsi="Arial" w:cs="Arial"/>
        </w:rPr>
        <w:t>p</w:t>
      </w:r>
      <w:r w:rsidRPr="00F9569F">
        <w:rPr>
          <w:rFonts w:ascii="Arial" w:eastAsia="Times New Roman" w:hAnsi="Arial" w:cs="Arial"/>
        </w:rPr>
        <w:t xml:space="preserve">repare the consolidated financial statements on the going concern basis unless it is inappropriate to presume that the Company and the Group will continue in business; </w:t>
      </w:r>
    </w:p>
    <w:p w14:paraId="39FC9D1B" w14:textId="77777777" w:rsidR="0021298F" w:rsidRPr="00F9569F" w:rsidRDefault="0021298F" w:rsidP="0021298F">
      <w:pPr>
        <w:jc w:val="both"/>
        <w:rPr>
          <w:rFonts w:ascii="Arial" w:eastAsia="Times New Roman" w:hAnsi="Arial" w:cs="Arial"/>
        </w:rPr>
      </w:pPr>
    </w:p>
    <w:p w14:paraId="2B23D95F" w14:textId="77777777" w:rsidR="0021298F" w:rsidRDefault="0021298F" w:rsidP="0021298F">
      <w:pPr>
        <w:jc w:val="both"/>
        <w:rPr>
          <w:rFonts w:ascii="Arial" w:eastAsia="Times New Roman" w:hAnsi="Arial" w:cs="Arial"/>
        </w:rPr>
      </w:pPr>
      <w:r w:rsidRPr="00F9569F">
        <w:rPr>
          <w:rFonts w:ascii="Arial" w:eastAsia="Times New Roman" w:hAnsi="Arial" w:cs="Arial"/>
        </w:rPr>
        <w:t xml:space="preserve">The Directors are responsible for keeping adequate accounting records that are sufficient to show and explain the Company’s transactions and disclose with reasonable accuracy at any time the financial position of the Company and enable them to ensure that the consolidated financial statements comply with the Companies Act 2014 and, as regards the Group financial statements, Article 4 of the IAS </w:t>
      </w:r>
      <w:r w:rsidRPr="00F9569F">
        <w:rPr>
          <w:rFonts w:ascii="Arial" w:eastAsia="Times New Roman" w:hAnsi="Arial" w:cs="Arial"/>
        </w:rPr>
        <w:lastRenderedPageBreak/>
        <w:t xml:space="preserve">Regulation. They are also responsible for safeguarding the assets of the Company and hence for taking reasonable steps for the prevention and detection of fraud and other irregularities. The Directors are responsible for ensuring that the Annual Report, taken as a whole, is fair, balanced, and understandable and provides the information necessary for shareholders to assess the Group’s performance, business model and strategy. </w:t>
      </w:r>
    </w:p>
    <w:p w14:paraId="1956CCB5" w14:textId="77777777" w:rsidR="0021298F" w:rsidRDefault="0021298F" w:rsidP="0021298F">
      <w:pPr>
        <w:jc w:val="both"/>
        <w:rPr>
          <w:rFonts w:ascii="Arial" w:eastAsia="Times New Roman" w:hAnsi="Arial" w:cs="Arial"/>
        </w:rPr>
      </w:pPr>
    </w:p>
    <w:p w14:paraId="31F80243" w14:textId="77777777" w:rsidR="0021298F" w:rsidRPr="00F9569F" w:rsidRDefault="0021298F" w:rsidP="0021298F">
      <w:pPr>
        <w:pStyle w:val="Heading3"/>
        <w:spacing w:before="0"/>
        <w:jc w:val="both"/>
        <w:rPr>
          <w:rFonts w:ascii="Arial" w:hAnsi="Arial" w:cs="Arial"/>
          <w:color w:val="auto"/>
        </w:rPr>
      </w:pPr>
      <w:r w:rsidRPr="00F9569F">
        <w:rPr>
          <w:rFonts w:ascii="Arial" w:hAnsi="Arial" w:cs="Arial"/>
          <w:color w:val="auto"/>
        </w:rPr>
        <w:t>Website Publication</w:t>
      </w:r>
    </w:p>
    <w:p w14:paraId="127B9B43" w14:textId="77777777" w:rsidR="0021298F" w:rsidRPr="002C6D8A" w:rsidRDefault="0021298F" w:rsidP="0021298F">
      <w:pPr>
        <w:jc w:val="both"/>
        <w:rPr>
          <w:rFonts w:ascii="Arial" w:eastAsia="Times New Roman" w:hAnsi="Arial" w:cs="Arial"/>
          <w:highlight w:val="yellow"/>
        </w:rPr>
      </w:pPr>
      <w:r w:rsidRPr="00F9569F">
        <w:rPr>
          <w:rFonts w:ascii="Arial" w:eastAsia="Times New Roman" w:hAnsi="Arial" w:cs="Arial"/>
        </w:rPr>
        <w:t>The Directors are responsible for ensuring the Annual Report and the consolidated financial statements are made available on a website. Financial statements are published on the Company’s website in accordance with legislation in Ireland and the UK governing the preparation and dissemination of financial statements, which may vary from legislation in other jurisdictions. The maintenance and integrity of the Company's website is the responsibility of the Directors. The Directors' responsibilities also extend to the ongoing integrity of the consolidated financial statements contained therein.</w:t>
      </w:r>
      <w:r w:rsidRPr="00F9569F" w:rsidDel="00466549">
        <w:rPr>
          <w:rFonts w:ascii="Arial" w:eastAsia="Times New Roman" w:hAnsi="Arial" w:cs="Arial"/>
        </w:rPr>
        <w:t xml:space="preserve"> </w:t>
      </w:r>
    </w:p>
    <w:p w14:paraId="2B00016E" w14:textId="77777777" w:rsidR="0021298F" w:rsidRDefault="0021298F" w:rsidP="0021298F">
      <w:pPr>
        <w:jc w:val="both"/>
        <w:rPr>
          <w:rFonts w:ascii="Arial" w:eastAsia="Times New Roman" w:hAnsi="Arial" w:cs="Arial"/>
        </w:rPr>
      </w:pPr>
    </w:p>
    <w:p w14:paraId="3A439341" w14:textId="77777777" w:rsidR="0021298F" w:rsidRPr="00F9569F" w:rsidRDefault="0021298F" w:rsidP="0021298F">
      <w:pPr>
        <w:jc w:val="both"/>
        <w:rPr>
          <w:rFonts w:ascii="Arial" w:eastAsia="Times New Roman" w:hAnsi="Arial" w:cs="Arial"/>
        </w:rPr>
      </w:pPr>
      <w:r w:rsidRPr="00F9569F">
        <w:rPr>
          <w:rFonts w:ascii="Arial" w:eastAsia="Times New Roman" w:hAnsi="Arial" w:cs="Arial"/>
        </w:rPr>
        <w:t>On behalf of the Board,</w:t>
      </w:r>
    </w:p>
    <w:p w14:paraId="4D750A97" w14:textId="77777777" w:rsidR="0021298F" w:rsidRPr="00F9569F" w:rsidRDefault="0021298F" w:rsidP="0021298F">
      <w:pPr>
        <w:jc w:val="both"/>
        <w:rPr>
          <w:rFonts w:ascii="Arial" w:eastAsia="Times New Roman" w:hAnsi="Arial" w:cs="Arial"/>
        </w:rPr>
      </w:pPr>
    </w:p>
    <w:p w14:paraId="1E2424DD" w14:textId="77777777" w:rsidR="0021298F" w:rsidRPr="00F9569F" w:rsidRDefault="0021298F" w:rsidP="0021298F">
      <w:pPr>
        <w:jc w:val="both"/>
        <w:rPr>
          <w:rFonts w:ascii="Arial" w:eastAsia="Times New Roman" w:hAnsi="Arial" w:cs="Arial"/>
          <w:b/>
        </w:rPr>
      </w:pPr>
      <w:r w:rsidRPr="00F9569F">
        <w:rPr>
          <w:rFonts w:ascii="Arial" w:eastAsia="Times New Roman" w:hAnsi="Arial" w:cs="Arial"/>
          <w:b/>
        </w:rPr>
        <w:t>Rónán Murphy</w:t>
      </w:r>
      <w:r w:rsidRPr="00F9569F">
        <w:rPr>
          <w:rFonts w:ascii="Arial" w:eastAsia="Times New Roman" w:hAnsi="Arial" w:cs="Arial"/>
          <w:b/>
        </w:rPr>
        <w:tab/>
      </w:r>
      <w:r w:rsidRPr="00F9569F">
        <w:rPr>
          <w:rFonts w:ascii="Arial" w:eastAsia="Times New Roman" w:hAnsi="Arial" w:cs="Arial"/>
          <w:b/>
        </w:rPr>
        <w:tab/>
      </w:r>
      <w:r w:rsidRPr="00F9569F">
        <w:rPr>
          <w:rFonts w:ascii="Arial" w:eastAsia="Times New Roman" w:hAnsi="Arial" w:cs="Arial"/>
          <w:b/>
        </w:rPr>
        <w:tab/>
      </w:r>
      <w:r w:rsidRPr="00F9569F">
        <w:rPr>
          <w:rFonts w:ascii="Arial" w:eastAsia="Times New Roman" w:hAnsi="Arial" w:cs="Arial"/>
          <w:b/>
        </w:rPr>
        <w:tab/>
      </w:r>
      <w:r w:rsidRPr="00F9569F">
        <w:rPr>
          <w:rFonts w:ascii="Arial" w:eastAsia="Times New Roman" w:hAnsi="Arial" w:cs="Arial"/>
          <w:b/>
        </w:rPr>
        <w:tab/>
      </w:r>
      <w:r w:rsidRPr="00F9569F">
        <w:rPr>
          <w:rFonts w:ascii="Arial" w:eastAsia="Times New Roman" w:hAnsi="Arial" w:cs="Arial"/>
          <w:b/>
        </w:rPr>
        <w:tab/>
        <w:t>Kevin McNamara</w:t>
      </w:r>
    </w:p>
    <w:p w14:paraId="6BA6FC3D" w14:textId="77777777" w:rsidR="0021298F" w:rsidRPr="00F9569F" w:rsidRDefault="0021298F" w:rsidP="0021298F">
      <w:pPr>
        <w:jc w:val="both"/>
        <w:rPr>
          <w:rFonts w:ascii="Arial" w:eastAsia="Times New Roman" w:hAnsi="Arial" w:cs="Arial"/>
        </w:rPr>
      </w:pPr>
      <w:r w:rsidRPr="00F9569F">
        <w:rPr>
          <w:rFonts w:ascii="Arial" w:eastAsia="Times New Roman" w:hAnsi="Arial" w:cs="Arial"/>
        </w:rPr>
        <w:t>Director</w:t>
      </w:r>
      <w:r w:rsidRPr="00F9569F">
        <w:rPr>
          <w:rFonts w:ascii="Arial" w:eastAsia="Times New Roman" w:hAnsi="Arial" w:cs="Arial"/>
        </w:rPr>
        <w:tab/>
      </w:r>
      <w:r w:rsidRPr="00F9569F">
        <w:rPr>
          <w:rFonts w:ascii="Arial" w:eastAsia="Times New Roman" w:hAnsi="Arial" w:cs="Arial"/>
        </w:rPr>
        <w:tab/>
      </w:r>
      <w:r w:rsidRPr="00F9569F">
        <w:rPr>
          <w:rFonts w:ascii="Arial" w:eastAsia="Times New Roman" w:hAnsi="Arial" w:cs="Arial"/>
        </w:rPr>
        <w:tab/>
      </w:r>
      <w:r w:rsidRPr="00F9569F">
        <w:rPr>
          <w:rFonts w:ascii="Arial" w:eastAsia="Times New Roman" w:hAnsi="Arial" w:cs="Arial"/>
        </w:rPr>
        <w:tab/>
      </w:r>
      <w:r w:rsidRPr="00F9569F">
        <w:rPr>
          <w:rFonts w:ascii="Arial" w:eastAsia="Times New Roman" w:hAnsi="Arial" w:cs="Arial"/>
        </w:rPr>
        <w:tab/>
      </w:r>
      <w:r w:rsidRPr="00F9569F">
        <w:rPr>
          <w:rFonts w:ascii="Arial" w:eastAsia="Times New Roman" w:hAnsi="Arial" w:cs="Arial"/>
        </w:rPr>
        <w:tab/>
      </w:r>
      <w:r w:rsidRPr="00F9569F">
        <w:rPr>
          <w:rFonts w:ascii="Arial" w:eastAsia="Times New Roman" w:hAnsi="Arial" w:cs="Arial"/>
        </w:rPr>
        <w:tab/>
        <w:t>Director</w:t>
      </w:r>
    </w:p>
    <w:p w14:paraId="002794B8" w14:textId="77777777" w:rsidR="0021298F" w:rsidRPr="00F9569F" w:rsidRDefault="0021298F" w:rsidP="0021298F">
      <w:pPr>
        <w:jc w:val="both"/>
        <w:rPr>
          <w:rFonts w:ascii="Arial" w:eastAsia="Times New Roman" w:hAnsi="Arial" w:cs="Arial"/>
        </w:rPr>
      </w:pPr>
      <w:r>
        <w:rPr>
          <w:rFonts w:ascii="Arial" w:hAnsi="Arial" w:cs="Arial"/>
        </w:rPr>
        <w:t>28 February 2021</w:t>
      </w:r>
      <w:r w:rsidRPr="00F9569F">
        <w:rPr>
          <w:rFonts w:ascii="Arial" w:eastAsia="Times New Roman" w:hAnsi="Arial" w:cs="Arial"/>
        </w:rPr>
        <w:tab/>
      </w:r>
      <w:r w:rsidRPr="00F9569F">
        <w:rPr>
          <w:rFonts w:ascii="Arial" w:eastAsia="Times New Roman" w:hAnsi="Arial" w:cs="Arial"/>
        </w:rPr>
        <w:tab/>
      </w:r>
      <w:r w:rsidRPr="00F9569F">
        <w:rPr>
          <w:rFonts w:ascii="Arial" w:eastAsia="Times New Roman" w:hAnsi="Arial" w:cs="Arial"/>
        </w:rPr>
        <w:tab/>
      </w:r>
      <w:r w:rsidRPr="00F9569F">
        <w:rPr>
          <w:rFonts w:ascii="Arial" w:eastAsia="Times New Roman" w:hAnsi="Arial" w:cs="Arial"/>
        </w:rPr>
        <w:tab/>
      </w:r>
      <w:r w:rsidRPr="00F9569F">
        <w:rPr>
          <w:rFonts w:ascii="Arial" w:eastAsia="Times New Roman" w:hAnsi="Arial" w:cs="Arial"/>
        </w:rPr>
        <w:tab/>
      </w:r>
      <w:r w:rsidRPr="00F9569F">
        <w:rPr>
          <w:rFonts w:ascii="Arial" w:eastAsia="Times New Roman" w:hAnsi="Arial" w:cs="Arial"/>
        </w:rPr>
        <w:tab/>
      </w:r>
      <w:r>
        <w:rPr>
          <w:rFonts w:ascii="Arial" w:eastAsia="Times New Roman" w:hAnsi="Arial" w:cs="Arial"/>
        </w:rPr>
        <w:t>28 February 2021</w:t>
      </w:r>
    </w:p>
    <w:p w14:paraId="09810155" w14:textId="77777777" w:rsidR="0021298F" w:rsidRPr="002C6D8A" w:rsidRDefault="0021298F" w:rsidP="0021298F">
      <w:pPr>
        <w:jc w:val="both"/>
        <w:rPr>
          <w:rFonts w:ascii="Arial" w:eastAsia="Times New Roman" w:hAnsi="Arial" w:cs="Arial"/>
          <w:highlight w:val="yellow"/>
        </w:rPr>
      </w:pPr>
    </w:p>
    <w:p w14:paraId="351CCCFC" w14:textId="77777777" w:rsidR="0021298F" w:rsidRPr="00B5639E" w:rsidRDefault="0021298F" w:rsidP="0021298F">
      <w:pPr>
        <w:pStyle w:val="Heading1"/>
        <w:jc w:val="both"/>
        <w:rPr>
          <w:rFonts w:cs="Arial"/>
          <w:caps/>
          <w:color w:val="525252" w:themeColor="accent3" w:themeShade="80"/>
          <w:szCs w:val="26"/>
        </w:rPr>
      </w:pPr>
      <w:bookmarkStart w:id="6" w:name="_Hlk536535526"/>
      <w:r w:rsidRPr="00B5639E">
        <w:rPr>
          <w:rFonts w:cs="Arial"/>
          <w:szCs w:val="26"/>
        </w:rPr>
        <w:t>Corporate Governance Report</w:t>
      </w:r>
    </w:p>
    <w:p w14:paraId="2CF09CC1" w14:textId="77777777" w:rsidR="0021298F" w:rsidRPr="00B5639E" w:rsidRDefault="0021298F" w:rsidP="0021298F">
      <w:pPr>
        <w:jc w:val="both"/>
        <w:rPr>
          <w:rFonts w:ascii="Arial" w:eastAsia="Times New Roman" w:hAnsi="Arial" w:cs="Arial"/>
        </w:rPr>
      </w:pPr>
    </w:p>
    <w:p w14:paraId="25BA7211" w14:textId="77777777" w:rsidR="0021298F" w:rsidRPr="00B5639E" w:rsidRDefault="0021298F" w:rsidP="0021298F">
      <w:pPr>
        <w:jc w:val="both"/>
        <w:rPr>
          <w:rFonts w:ascii="Arial" w:eastAsia="Times New Roman" w:hAnsi="Arial" w:cs="Arial"/>
        </w:rPr>
      </w:pPr>
      <w:r w:rsidRPr="00B5639E">
        <w:rPr>
          <w:rFonts w:ascii="Arial" w:eastAsia="Times New Roman" w:hAnsi="Arial" w:cs="Arial"/>
        </w:rPr>
        <w:t xml:space="preserve">This Corporate Governance Report forms part of the Report of the Directors </w:t>
      </w:r>
      <w:r>
        <w:rPr>
          <w:rFonts w:ascii="Arial" w:eastAsia="Times New Roman" w:hAnsi="Arial" w:cs="Arial"/>
        </w:rPr>
        <w:t>as disclosed in the Directors’ Report.</w:t>
      </w:r>
      <w:r w:rsidRPr="00B5639E">
        <w:rPr>
          <w:rFonts w:ascii="Arial" w:eastAsia="Times New Roman" w:hAnsi="Arial" w:cs="Arial"/>
        </w:rPr>
        <w:t xml:space="preserve"> </w:t>
      </w:r>
    </w:p>
    <w:p w14:paraId="7CB6BF1D" w14:textId="77777777" w:rsidR="0021298F" w:rsidRPr="002C6D8A" w:rsidRDefault="0021298F" w:rsidP="0021298F">
      <w:pPr>
        <w:jc w:val="both"/>
        <w:rPr>
          <w:rFonts w:ascii="Arial" w:eastAsia="Times New Roman" w:hAnsi="Arial" w:cs="Arial"/>
          <w:highlight w:val="yellow"/>
        </w:rPr>
      </w:pPr>
    </w:p>
    <w:p w14:paraId="09CEC84B" w14:textId="77777777" w:rsidR="0021298F" w:rsidRPr="00B5639E" w:rsidRDefault="0021298F" w:rsidP="0021298F">
      <w:pPr>
        <w:jc w:val="both"/>
        <w:rPr>
          <w:rFonts w:ascii="Arial" w:eastAsia="Times New Roman" w:hAnsi="Arial" w:cs="Arial"/>
          <w:b/>
        </w:rPr>
      </w:pPr>
      <w:r w:rsidRPr="00B5639E">
        <w:rPr>
          <w:rFonts w:ascii="Arial" w:eastAsia="Times New Roman" w:hAnsi="Arial" w:cs="Arial"/>
          <w:b/>
        </w:rPr>
        <w:t>Corporate Governance Framework</w:t>
      </w:r>
    </w:p>
    <w:p w14:paraId="5CE68DC8" w14:textId="77777777" w:rsidR="0021298F" w:rsidRDefault="0021298F" w:rsidP="0021298F">
      <w:pPr>
        <w:jc w:val="both"/>
        <w:rPr>
          <w:rFonts w:ascii="Arial" w:eastAsia="Times New Roman" w:hAnsi="Arial" w:cs="Arial"/>
        </w:rPr>
      </w:pPr>
      <w:r w:rsidRPr="00B5639E">
        <w:rPr>
          <w:rFonts w:ascii="Arial" w:eastAsia="Times New Roman" w:hAnsi="Arial" w:cs="Arial"/>
        </w:rPr>
        <w:t xml:space="preserve">The Company is committed to high standards of corporate governance and the Board is responsible for ensuring those high standards are achieved. Companies admitted to trading on AIM or Euronext Growth Market are not required to comply with the UK Code or Irish Annex, however they are required to disclose the corporate governance code which they have decided to apply. </w:t>
      </w:r>
    </w:p>
    <w:p w14:paraId="13DA15C3" w14:textId="77777777" w:rsidR="0021298F" w:rsidRDefault="0021298F" w:rsidP="0021298F">
      <w:pPr>
        <w:jc w:val="both"/>
        <w:rPr>
          <w:rFonts w:ascii="Arial" w:eastAsia="Times New Roman" w:hAnsi="Arial" w:cs="Arial"/>
        </w:rPr>
      </w:pPr>
    </w:p>
    <w:p w14:paraId="3081A718" w14:textId="77777777" w:rsidR="0021298F" w:rsidRPr="00B5639E" w:rsidRDefault="0021298F" w:rsidP="0021298F">
      <w:pPr>
        <w:jc w:val="both"/>
        <w:rPr>
          <w:rFonts w:ascii="Arial" w:eastAsia="Times New Roman" w:hAnsi="Arial" w:cs="Arial"/>
        </w:rPr>
      </w:pPr>
      <w:r w:rsidRPr="00B5639E">
        <w:rPr>
          <w:rFonts w:ascii="Arial" w:eastAsia="Times New Roman" w:hAnsi="Arial" w:cs="Arial"/>
        </w:rPr>
        <w:t xml:space="preserve">For </w:t>
      </w:r>
      <w:r>
        <w:rPr>
          <w:rFonts w:ascii="Arial" w:eastAsia="Times New Roman" w:hAnsi="Arial" w:cs="Arial"/>
        </w:rPr>
        <w:t xml:space="preserve">the </w:t>
      </w:r>
      <w:r w:rsidRPr="00B5639E">
        <w:rPr>
          <w:rFonts w:ascii="Arial" w:eastAsia="Times New Roman" w:hAnsi="Arial" w:cs="Arial"/>
        </w:rPr>
        <w:t xml:space="preserve">year ended </w:t>
      </w:r>
      <w:r>
        <w:rPr>
          <w:rFonts w:ascii="Arial" w:eastAsia="Times New Roman" w:hAnsi="Arial" w:cs="Arial"/>
        </w:rPr>
        <w:t>31 December 2020</w:t>
      </w:r>
      <w:r w:rsidRPr="00B5639E">
        <w:rPr>
          <w:rFonts w:ascii="Arial" w:eastAsia="Times New Roman" w:hAnsi="Arial" w:cs="Arial"/>
        </w:rPr>
        <w:t>, the Company was a member of the AIC and adopted the AIC Code. The AIC Code provides boards with a framework of best practice in respect of the governance of investment companies. While the Company is not an ‘‘investment company’’ under the Companies Act, the Company shares key important characteristics with such companies e.g. it has no employees and the tasks of portfolio management and risk management are delegated to the Investment Manager. The FRC has confirmed that investment companies who report against the AIC Code and follow its requirements will also be meeting their obligations under the UK Code and the Irish Annex. The Board considers that reporting against the principles and recommendations of the AIC Code, by reference to the AIC Guide, provides better information to Shareholders. A summary of the Company’s compliance with the AIC code is provided on the Company’s website.</w:t>
      </w:r>
    </w:p>
    <w:p w14:paraId="78F4019B" w14:textId="77777777" w:rsidR="0021298F" w:rsidRPr="00B5639E" w:rsidRDefault="0021298F" w:rsidP="0021298F">
      <w:pPr>
        <w:jc w:val="both"/>
        <w:rPr>
          <w:rFonts w:ascii="Arial" w:eastAsia="Times New Roman" w:hAnsi="Arial" w:cs="Arial"/>
        </w:rPr>
      </w:pPr>
    </w:p>
    <w:p w14:paraId="43EE98DC" w14:textId="77777777" w:rsidR="0021298F" w:rsidRDefault="0021298F" w:rsidP="0021298F">
      <w:pPr>
        <w:jc w:val="both"/>
        <w:rPr>
          <w:rFonts w:ascii="Arial" w:eastAsia="Times New Roman" w:hAnsi="Arial" w:cs="Arial"/>
        </w:rPr>
      </w:pPr>
      <w:r w:rsidRPr="00B5639E">
        <w:rPr>
          <w:rFonts w:ascii="Arial" w:eastAsia="Times New Roman" w:hAnsi="Arial" w:cs="Arial"/>
        </w:rPr>
        <w:lastRenderedPageBreak/>
        <w:t xml:space="preserve">The text of the AIC Code and the AIC Guide are available on the AIC’s website, www.theaic.co.uk. The UK Code is available on the FRC’s website, </w:t>
      </w:r>
      <w:hyperlink r:id="rId19" w:history="1">
        <w:r w:rsidRPr="002816C4">
          <w:rPr>
            <w:rStyle w:val="Hyperlink"/>
            <w:rFonts w:ascii="Arial" w:eastAsia="Times New Roman" w:hAnsi="Arial" w:cs="Arial"/>
          </w:rPr>
          <w:t>www.frc.org.uk</w:t>
        </w:r>
      </w:hyperlink>
      <w:r>
        <w:rPr>
          <w:rFonts w:ascii="Arial" w:eastAsia="Times New Roman" w:hAnsi="Arial" w:cs="Arial"/>
        </w:rPr>
        <w:t>.</w:t>
      </w:r>
    </w:p>
    <w:p w14:paraId="336B0C03" w14:textId="77777777" w:rsidR="0021298F" w:rsidRPr="002C6D8A" w:rsidRDefault="0021298F" w:rsidP="0021298F">
      <w:pPr>
        <w:jc w:val="both"/>
        <w:rPr>
          <w:rFonts w:ascii="Arial" w:eastAsia="Times New Roman" w:hAnsi="Arial" w:cs="Arial"/>
          <w:highlight w:val="yellow"/>
        </w:rPr>
      </w:pPr>
    </w:p>
    <w:p w14:paraId="2CB88BA2" w14:textId="77777777" w:rsidR="0021298F" w:rsidRPr="00B5639E" w:rsidRDefault="0021298F" w:rsidP="0021298F">
      <w:pPr>
        <w:jc w:val="both"/>
        <w:rPr>
          <w:rFonts w:ascii="Arial" w:eastAsia="Times New Roman" w:hAnsi="Arial" w:cs="Arial"/>
        </w:rPr>
      </w:pPr>
      <w:r w:rsidRPr="00B5639E">
        <w:rPr>
          <w:rFonts w:ascii="Arial" w:eastAsia="Times New Roman" w:hAnsi="Arial" w:cs="Arial"/>
          <w:b/>
        </w:rPr>
        <w:t>Statement of Compliance</w:t>
      </w:r>
    </w:p>
    <w:p w14:paraId="3ED196B3" w14:textId="77777777" w:rsidR="0021298F" w:rsidRDefault="0021298F" w:rsidP="0021298F">
      <w:pPr>
        <w:jc w:val="both"/>
        <w:rPr>
          <w:rFonts w:ascii="Arial" w:eastAsia="Times New Roman" w:hAnsi="Arial" w:cs="Arial"/>
        </w:rPr>
      </w:pPr>
      <w:r w:rsidRPr="00B5639E">
        <w:rPr>
          <w:rFonts w:ascii="Arial" w:eastAsia="Times New Roman" w:hAnsi="Arial" w:cs="Arial"/>
        </w:rPr>
        <w:t xml:space="preserve">The Board confirms that the Company has complied with the AIC Code during the year ended </w:t>
      </w:r>
      <w:r>
        <w:rPr>
          <w:rFonts w:ascii="Arial" w:eastAsia="Times New Roman" w:hAnsi="Arial" w:cs="Arial"/>
        </w:rPr>
        <w:t>31 December 2020</w:t>
      </w:r>
      <w:r w:rsidRPr="00B5639E">
        <w:rPr>
          <w:rFonts w:ascii="Arial" w:eastAsia="Times New Roman" w:hAnsi="Arial" w:cs="Arial"/>
        </w:rPr>
        <w:t>.</w:t>
      </w:r>
    </w:p>
    <w:p w14:paraId="098F2A7F" w14:textId="77777777" w:rsidR="0021298F" w:rsidRDefault="0021298F" w:rsidP="0021298F">
      <w:pPr>
        <w:jc w:val="both"/>
        <w:rPr>
          <w:rFonts w:ascii="Arial" w:eastAsia="Times New Roman" w:hAnsi="Arial" w:cs="Arial"/>
          <w:highlight w:val="yellow"/>
        </w:rPr>
      </w:pPr>
    </w:p>
    <w:p w14:paraId="545DF8F7" w14:textId="77777777" w:rsidR="0021298F" w:rsidRPr="00B5639E" w:rsidRDefault="0021298F" w:rsidP="0021298F">
      <w:pPr>
        <w:pStyle w:val="Heading3"/>
        <w:spacing w:before="0"/>
        <w:jc w:val="both"/>
        <w:rPr>
          <w:rFonts w:ascii="Arial" w:hAnsi="Arial" w:cs="Arial"/>
          <w:color w:val="auto"/>
        </w:rPr>
      </w:pPr>
      <w:r w:rsidRPr="00B5639E">
        <w:rPr>
          <w:rFonts w:ascii="Arial" w:hAnsi="Arial" w:cs="Arial"/>
          <w:color w:val="auto"/>
        </w:rPr>
        <w:t>Purpose, Culture and Values</w:t>
      </w:r>
    </w:p>
    <w:p w14:paraId="342509BA" w14:textId="77777777" w:rsidR="0021298F" w:rsidRDefault="0021298F" w:rsidP="0021298F">
      <w:pPr>
        <w:jc w:val="both"/>
        <w:rPr>
          <w:rFonts w:ascii="Arial" w:eastAsia="Times New Roman" w:hAnsi="Arial" w:cs="Arial"/>
        </w:rPr>
      </w:pPr>
      <w:r>
        <w:rPr>
          <w:rFonts w:ascii="Arial" w:eastAsia="Times New Roman" w:hAnsi="Arial" w:cs="Arial"/>
        </w:rPr>
        <w:t xml:space="preserve">The Company’s purpose remains clear; to provide investors with the opportunity to participate directly in the ownership of a portfolio of renewable energy-generating assets, thus promoting the reduction of greenhouse gas emissions and the global future target of a carbon-zero economy. The Company also intends to provide shareholders with an annual dividend that increases between zero and CPI whilst growing the capital value of its investment portfolio in the long term on a real basis through reinvestment of excess cash flow and the prudent use of gearing.  </w:t>
      </w:r>
    </w:p>
    <w:p w14:paraId="0BF2F0ED" w14:textId="77777777" w:rsidR="0021298F" w:rsidRDefault="0021298F" w:rsidP="0021298F">
      <w:pPr>
        <w:jc w:val="both"/>
        <w:rPr>
          <w:rFonts w:ascii="Arial" w:eastAsia="Times New Roman" w:hAnsi="Arial" w:cs="Arial"/>
        </w:rPr>
      </w:pPr>
    </w:p>
    <w:p w14:paraId="02116B19" w14:textId="77777777" w:rsidR="0021298F" w:rsidRPr="00C75158" w:rsidRDefault="0021298F" w:rsidP="0021298F">
      <w:pPr>
        <w:jc w:val="both"/>
        <w:rPr>
          <w:rFonts w:ascii="Arial" w:eastAsia="Times New Roman" w:hAnsi="Arial" w:cs="Arial"/>
        </w:rPr>
      </w:pPr>
      <w:r w:rsidRPr="00565714">
        <w:rPr>
          <w:rFonts w:ascii="Arial" w:eastAsia="Times New Roman" w:hAnsi="Arial" w:cs="Arial"/>
        </w:rPr>
        <w:t>The Company provides investors with the opportunity to participate directly in the ownership of wind farms</w:t>
      </w:r>
      <w:r>
        <w:rPr>
          <w:rFonts w:ascii="Arial" w:eastAsia="Times New Roman" w:hAnsi="Arial" w:cs="Arial"/>
        </w:rPr>
        <w:t xml:space="preserve"> in Ireland and France</w:t>
      </w:r>
      <w:r w:rsidRPr="00565714">
        <w:rPr>
          <w:rFonts w:ascii="Arial" w:eastAsia="Times New Roman" w:hAnsi="Arial" w:cs="Arial"/>
        </w:rPr>
        <w:t>, so increasing the resources and capital dedicated to the deployment of renewable energy and the reduction of greenhouse gas emissions</w:t>
      </w:r>
      <w:r>
        <w:rPr>
          <w:rFonts w:ascii="Arial" w:eastAsia="Times New Roman" w:hAnsi="Arial" w:cs="Arial"/>
        </w:rPr>
        <w:t>.</w:t>
      </w:r>
    </w:p>
    <w:p w14:paraId="71465DFE" w14:textId="77777777" w:rsidR="0021298F" w:rsidRDefault="0021298F" w:rsidP="0021298F">
      <w:pPr>
        <w:jc w:val="both"/>
        <w:rPr>
          <w:rFonts w:ascii="Arial" w:eastAsia="Times New Roman" w:hAnsi="Arial" w:cs="Arial"/>
        </w:rPr>
      </w:pPr>
    </w:p>
    <w:p w14:paraId="3390D728" w14:textId="77777777" w:rsidR="0021298F" w:rsidRDefault="0021298F" w:rsidP="0021298F">
      <w:pPr>
        <w:jc w:val="both"/>
        <w:rPr>
          <w:rFonts w:ascii="Arial" w:eastAsia="Times New Roman" w:hAnsi="Arial" w:cs="Arial"/>
        </w:rPr>
      </w:pPr>
      <w:r>
        <w:rPr>
          <w:rFonts w:ascii="Arial" w:eastAsia="Times New Roman" w:hAnsi="Arial" w:cs="Arial"/>
        </w:rPr>
        <w:t>During the year, the Board continued to discuss the Company’s culture and values. As an investment trust with no employees, it was agreed that the culture and values of the Board should be aligned with those of the Investment Manager and centred on long term relationships with the Company’s key stakeholders and sustainable investment as follows.</w:t>
      </w:r>
    </w:p>
    <w:p w14:paraId="569AEA14" w14:textId="77777777" w:rsidR="0021298F" w:rsidRDefault="0021298F" w:rsidP="0021298F">
      <w:pPr>
        <w:jc w:val="both"/>
        <w:rPr>
          <w:rFonts w:ascii="Arial" w:eastAsia="Times New Roman" w:hAnsi="Arial" w:cs="Arial"/>
        </w:rPr>
      </w:pPr>
    </w:p>
    <w:p w14:paraId="1012E539" w14:textId="77777777" w:rsidR="0021298F" w:rsidRDefault="0021298F" w:rsidP="0021298F">
      <w:pPr>
        <w:pStyle w:val="ListParagraph"/>
        <w:numPr>
          <w:ilvl w:val="0"/>
          <w:numId w:val="38"/>
        </w:numPr>
        <w:jc w:val="both"/>
        <w:rPr>
          <w:rFonts w:ascii="Arial" w:eastAsia="Times New Roman" w:hAnsi="Arial" w:cs="Arial"/>
        </w:rPr>
      </w:pPr>
      <w:r>
        <w:rPr>
          <w:rFonts w:ascii="Arial" w:eastAsia="Times New Roman" w:hAnsi="Arial" w:cs="Arial"/>
          <w:b/>
        </w:rPr>
        <w:t>Integrity</w:t>
      </w:r>
      <w:r>
        <w:rPr>
          <w:rFonts w:ascii="Arial" w:eastAsia="Times New Roman" w:hAnsi="Arial" w:cs="Arial"/>
        </w:rPr>
        <w:t xml:space="preserve"> is at the heart of every activity, with the importance of being transparent, trustworthy and dependable being well understood. </w:t>
      </w:r>
    </w:p>
    <w:p w14:paraId="3FF07B06" w14:textId="77777777" w:rsidR="0021298F" w:rsidRDefault="0021298F" w:rsidP="0021298F">
      <w:pPr>
        <w:jc w:val="both"/>
        <w:rPr>
          <w:rFonts w:ascii="Arial" w:eastAsia="Times New Roman" w:hAnsi="Arial" w:cs="Arial"/>
        </w:rPr>
      </w:pPr>
    </w:p>
    <w:p w14:paraId="07AC5B51" w14:textId="77777777" w:rsidR="0021298F" w:rsidRDefault="0021298F" w:rsidP="0021298F">
      <w:pPr>
        <w:pStyle w:val="ListParagraph"/>
        <w:numPr>
          <w:ilvl w:val="0"/>
          <w:numId w:val="38"/>
        </w:numPr>
        <w:jc w:val="both"/>
        <w:rPr>
          <w:rFonts w:ascii="Arial" w:eastAsia="Times New Roman" w:hAnsi="Arial" w:cs="Arial"/>
        </w:rPr>
      </w:pPr>
      <w:r>
        <w:rPr>
          <w:rFonts w:ascii="Arial" w:eastAsia="Times New Roman" w:hAnsi="Arial" w:cs="Arial"/>
        </w:rPr>
        <w:t xml:space="preserve">The </w:t>
      </w:r>
      <w:r>
        <w:rPr>
          <w:rFonts w:ascii="Arial" w:eastAsia="Times New Roman" w:hAnsi="Arial" w:cs="Arial"/>
          <w:b/>
        </w:rPr>
        <w:t>trust</w:t>
      </w:r>
      <w:r>
        <w:rPr>
          <w:rFonts w:ascii="Arial" w:eastAsia="Times New Roman" w:hAnsi="Arial" w:cs="Arial"/>
        </w:rPr>
        <w:t xml:space="preserve"> of stakeholders is key to maintaining the Company’s high reputation, in particular with regard to </w:t>
      </w:r>
      <w:r w:rsidRPr="00AC0336">
        <w:rPr>
          <w:rFonts w:ascii="Arial" w:eastAsia="Times New Roman" w:hAnsi="Arial" w:cs="Arial"/>
        </w:rPr>
        <w:t>execution certainty for asset sellers</w:t>
      </w:r>
      <w:r>
        <w:rPr>
          <w:rFonts w:ascii="Arial" w:eastAsia="Times New Roman" w:hAnsi="Arial" w:cs="Arial"/>
        </w:rPr>
        <w:t xml:space="preserve"> and delivery of investment promises to investors.</w:t>
      </w:r>
    </w:p>
    <w:p w14:paraId="7A37E67F" w14:textId="77777777" w:rsidR="0021298F" w:rsidRPr="00AE47CC" w:rsidRDefault="0021298F" w:rsidP="0021298F">
      <w:pPr>
        <w:pStyle w:val="ListParagraph"/>
        <w:rPr>
          <w:rFonts w:ascii="Arial" w:eastAsia="Times New Roman" w:hAnsi="Arial" w:cs="Arial"/>
        </w:rPr>
      </w:pPr>
    </w:p>
    <w:p w14:paraId="4D929F8E" w14:textId="77777777" w:rsidR="0021298F" w:rsidRPr="00B5639E" w:rsidRDefault="0021298F" w:rsidP="0021298F">
      <w:pPr>
        <w:pStyle w:val="ListParagraph"/>
        <w:numPr>
          <w:ilvl w:val="0"/>
          <w:numId w:val="38"/>
        </w:numPr>
        <w:jc w:val="both"/>
        <w:rPr>
          <w:rFonts w:ascii="Arial" w:eastAsia="Times New Roman" w:hAnsi="Arial" w:cs="Arial"/>
        </w:rPr>
      </w:pPr>
      <w:r>
        <w:rPr>
          <w:rFonts w:ascii="Arial" w:eastAsia="Times New Roman" w:hAnsi="Arial" w:cs="Arial"/>
          <w:b/>
          <w:bCs/>
        </w:rPr>
        <w:t>R</w:t>
      </w:r>
      <w:r w:rsidRPr="00B5639E">
        <w:rPr>
          <w:rFonts w:ascii="Arial" w:eastAsia="Times New Roman" w:hAnsi="Arial" w:cs="Arial"/>
          <w:b/>
          <w:bCs/>
        </w:rPr>
        <w:t>espect</w:t>
      </w:r>
      <w:r w:rsidRPr="00B5639E">
        <w:rPr>
          <w:rFonts w:ascii="Arial" w:eastAsia="Times New Roman" w:hAnsi="Arial" w:cs="Arial"/>
        </w:rPr>
        <w:t xml:space="preserve"> for differing opinions is to be shown across all conversation and communication.</w:t>
      </w:r>
    </w:p>
    <w:p w14:paraId="0CFFE986" w14:textId="77777777" w:rsidR="0021298F" w:rsidRPr="00B5639E" w:rsidRDefault="0021298F" w:rsidP="0021298F">
      <w:pPr>
        <w:jc w:val="both"/>
        <w:rPr>
          <w:rFonts w:ascii="Arial" w:eastAsia="Times New Roman" w:hAnsi="Arial" w:cs="Arial"/>
        </w:rPr>
      </w:pPr>
    </w:p>
    <w:p w14:paraId="50AE727A" w14:textId="77777777" w:rsidR="0021298F" w:rsidRPr="00B5639E" w:rsidRDefault="0021298F" w:rsidP="0021298F">
      <w:pPr>
        <w:pStyle w:val="ListParagraph"/>
        <w:numPr>
          <w:ilvl w:val="0"/>
          <w:numId w:val="38"/>
        </w:numPr>
        <w:jc w:val="both"/>
        <w:rPr>
          <w:rFonts w:ascii="Arial" w:eastAsia="Times New Roman" w:hAnsi="Arial" w:cs="Arial"/>
        </w:rPr>
      </w:pPr>
      <w:r>
        <w:rPr>
          <w:rFonts w:ascii="Arial" w:eastAsia="Times New Roman" w:hAnsi="Arial" w:cs="Arial"/>
        </w:rPr>
        <w:t>I</w:t>
      </w:r>
      <w:r w:rsidRPr="00B5639E">
        <w:rPr>
          <w:rFonts w:ascii="Arial" w:eastAsia="Times New Roman" w:hAnsi="Arial" w:cs="Arial"/>
        </w:rPr>
        <w:t xml:space="preserve">ndividual </w:t>
      </w:r>
      <w:r w:rsidRPr="00B5639E">
        <w:rPr>
          <w:rFonts w:ascii="Arial" w:eastAsia="Times New Roman" w:hAnsi="Arial" w:cs="Arial"/>
          <w:b/>
          <w:bCs/>
        </w:rPr>
        <w:t xml:space="preserve">empowerment </w:t>
      </w:r>
      <w:r w:rsidRPr="00B5639E">
        <w:rPr>
          <w:rFonts w:ascii="Arial" w:eastAsia="Times New Roman" w:hAnsi="Arial" w:cs="Arial"/>
        </w:rPr>
        <w:t>is sought with growth in responsibility and autonomy being actively encouraged.</w:t>
      </w:r>
    </w:p>
    <w:p w14:paraId="4F6A8005" w14:textId="77777777" w:rsidR="0021298F" w:rsidRPr="00B5639E" w:rsidRDefault="0021298F" w:rsidP="0021298F">
      <w:pPr>
        <w:pStyle w:val="ListParagraph"/>
        <w:rPr>
          <w:rFonts w:ascii="Arial" w:eastAsia="Times New Roman" w:hAnsi="Arial" w:cs="Arial"/>
          <w:b/>
        </w:rPr>
      </w:pPr>
    </w:p>
    <w:p w14:paraId="43BE2784" w14:textId="77777777" w:rsidR="0021298F" w:rsidRDefault="0021298F" w:rsidP="0021298F">
      <w:pPr>
        <w:pStyle w:val="ListParagraph"/>
        <w:numPr>
          <w:ilvl w:val="0"/>
          <w:numId w:val="38"/>
        </w:numPr>
        <w:jc w:val="both"/>
        <w:rPr>
          <w:rFonts w:ascii="Arial" w:eastAsia="Times New Roman" w:hAnsi="Arial" w:cs="Arial"/>
        </w:rPr>
      </w:pPr>
      <w:r>
        <w:rPr>
          <w:rFonts w:ascii="Arial" w:eastAsia="Times New Roman" w:hAnsi="Arial" w:cs="Arial"/>
          <w:b/>
        </w:rPr>
        <w:t>C</w:t>
      </w:r>
      <w:r w:rsidRPr="00B5639E">
        <w:rPr>
          <w:rFonts w:ascii="Arial" w:eastAsia="Times New Roman" w:hAnsi="Arial" w:cs="Arial"/>
          <w:b/>
        </w:rPr>
        <w:t>ollaboration</w:t>
      </w:r>
      <w:r w:rsidRPr="00B5639E">
        <w:rPr>
          <w:rFonts w:ascii="Arial" w:eastAsia="Times New Roman" w:hAnsi="Arial" w:cs="Arial"/>
        </w:rPr>
        <w:t xml:space="preserve"> and effectively</w:t>
      </w:r>
      <w:r>
        <w:rPr>
          <w:rFonts w:ascii="Arial" w:eastAsia="Times New Roman" w:hAnsi="Arial" w:cs="Arial"/>
        </w:rPr>
        <w:t xml:space="preserve"> utilising the collective skills of all participants is important to ensure ideas and information are best shared.</w:t>
      </w:r>
    </w:p>
    <w:p w14:paraId="70FEDBC6" w14:textId="77777777" w:rsidR="0021298F" w:rsidRPr="002C6D8A" w:rsidRDefault="0021298F" w:rsidP="0021298F">
      <w:pPr>
        <w:jc w:val="both"/>
        <w:rPr>
          <w:rFonts w:ascii="Arial" w:eastAsia="Times New Roman" w:hAnsi="Arial" w:cs="Arial"/>
          <w:highlight w:val="yellow"/>
        </w:rPr>
      </w:pPr>
    </w:p>
    <w:p w14:paraId="7C423F8D" w14:textId="77777777" w:rsidR="0021298F" w:rsidRPr="00B5639E" w:rsidRDefault="0021298F" w:rsidP="0021298F">
      <w:pPr>
        <w:jc w:val="both"/>
        <w:rPr>
          <w:rFonts w:ascii="Arial" w:eastAsia="Times New Roman" w:hAnsi="Arial" w:cs="Arial"/>
          <w:b/>
        </w:rPr>
      </w:pPr>
      <w:r w:rsidRPr="00B5639E">
        <w:rPr>
          <w:rFonts w:ascii="Arial" w:eastAsia="Times New Roman" w:hAnsi="Arial" w:cs="Arial"/>
          <w:b/>
        </w:rPr>
        <w:t>The Board</w:t>
      </w:r>
    </w:p>
    <w:p w14:paraId="148CF18C" w14:textId="77777777" w:rsidR="0021298F" w:rsidRDefault="0021298F" w:rsidP="0021298F">
      <w:pPr>
        <w:jc w:val="both"/>
        <w:rPr>
          <w:rFonts w:ascii="Arial" w:eastAsia="Times New Roman" w:hAnsi="Arial" w:cs="Arial"/>
        </w:rPr>
      </w:pPr>
      <w:r>
        <w:rPr>
          <w:rFonts w:ascii="Arial" w:eastAsia="Times New Roman" w:hAnsi="Arial" w:cs="Arial"/>
        </w:rPr>
        <w:t>As at the date of this report, the Board comprises of 4 non-executive Directors, all of whom, are considered to be independent of the Investment Manager and free from any business or other relationship that could materially interfere with the exercise of their independent judgement. During the year, Marco Graziano was appointed to the Board with effect from 30 January 2020.</w:t>
      </w:r>
    </w:p>
    <w:p w14:paraId="7E1B3BEE" w14:textId="77777777" w:rsidR="0021298F" w:rsidRDefault="0021298F" w:rsidP="0021298F">
      <w:pPr>
        <w:jc w:val="both"/>
        <w:rPr>
          <w:rFonts w:ascii="Arial" w:eastAsia="Times New Roman" w:hAnsi="Arial" w:cs="Arial"/>
        </w:rPr>
      </w:pPr>
    </w:p>
    <w:p w14:paraId="75D722E0" w14:textId="77777777" w:rsidR="0021298F" w:rsidRDefault="0021298F" w:rsidP="0021298F">
      <w:pPr>
        <w:jc w:val="both"/>
        <w:rPr>
          <w:rFonts w:ascii="Arial" w:eastAsia="Times New Roman" w:hAnsi="Arial" w:cs="Arial"/>
        </w:rPr>
      </w:pPr>
      <w:r>
        <w:rPr>
          <w:rFonts w:ascii="Arial" w:eastAsia="Times New Roman" w:hAnsi="Arial" w:cs="Arial"/>
        </w:rPr>
        <w:lastRenderedPageBreak/>
        <w:t xml:space="preserve">Directors’ details are detailed in the Board of Directors section, which sets out the range of investment, financial and business skills and experience represented. </w:t>
      </w:r>
    </w:p>
    <w:p w14:paraId="5961F0AC" w14:textId="77777777" w:rsidR="0021298F" w:rsidRDefault="0021298F" w:rsidP="0021298F">
      <w:pPr>
        <w:jc w:val="both"/>
        <w:rPr>
          <w:rFonts w:ascii="Arial" w:eastAsia="Times New Roman" w:hAnsi="Arial" w:cs="Arial"/>
          <w:highlight w:val="yellow"/>
        </w:rPr>
      </w:pPr>
    </w:p>
    <w:p w14:paraId="1D5AD5B8" w14:textId="77777777" w:rsidR="0021298F" w:rsidRPr="00B5639E" w:rsidRDefault="0021298F" w:rsidP="0021298F">
      <w:pPr>
        <w:jc w:val="both"/>
        <w:rPr>
          <w:rFonts w:ascii="Arial" w:eastAsia="Times New Roman" w:hAnsi="Arial" w:cs="Arial"/>
        </w:rPr>
      </w:pPr>
      <w:r w:rsidRPr="00B5639E">
        <w:rPr>
          <w:rFonts w:ascii="Arial" w:eastAsia="Times New Roman" w:hAnsi="Arial" w:cs="Arial"/>
          <w:b/>
        </w:rPr>
        <w:t>Director Re-election and Appointment</w:t>
      </w:r>
    </w:p>
    <w:p w14:paraId="40C5C883" w14:textId="77777777" w:rsidR="0021298F" w:rsidRPr="00B5639E" w:rsidRDefault="0021298F" w:rsidP="0021298F">
      <w:pPr>
        <w:jc w:val="both"/>
        <w:rPr>
          <w:rFonts w:ascii="Arial" w:eastAsia="Times New Roman" w:hAnsi="Arial" w:cs="Arial"/>
        </w:rPr>
      </w:pPr>
      <w:r w:rsidRPr="00B5639E">
        <w:rPr>
          <w:rFonts w:ascii="Arial" w:eastAsia="Times New Roman" w:hAnsi="Arial" w:cs="Arial"/>
        </w:rPr>
        <w:t>The Articles of Association provide that Directors shall retire and offer themselves for re-election at the first AGM after their appointment and at least every 3 years thereafter. Any Director, who has held office with the Company for three consecutive 3 year terms shall retire from office. This will allow for phased Board appointments and retirements and enable the Board to consider whether there is any risk that such Director might reasonably be deemed to have lost independence through such long service.</w:t>
      </w:r>
    </w:p>
    <w:p w14:paraId="7EAA2D2B" w14:textId="77777777" w:rsidR="0021298F" w:rsidRPr="00B5639E" w:rsidRDefault="0021298F" w:rsidP="0021298F">
      <w:pPr>
        <w:jc w:val="both"/>
        <w:rPr>
          <w:rFonts w:ascii="Arial" w:eastAsia="Times New Roman" w:hAnsi="Arial" w:cs="Arial"/>
        </w:rPr>
      </w:pPr>
    </w:p>
    <w:p w14:paraId="6193B3D2" w14:textId="77777777" w:rsidR="0021298F" w:rsidRPr="00B5639E" w:rsidRDefault="0021298F" w:rsidP="0021298F">
      <w:pPr>
        <w:jc w:val="both"/>
        <w:rPr>
          <w:rFonts w:ascii="Arial" w:eastAsia="Times New Roman" w:hAnsi="Arial" w:cs="Arial"/>
        </w:rPr>
      </w:pPr>
      <w:r w:rsidRPr="00B5639E">
        <w:rPr>
          <w:rFonts w:ascii="Arial" w:eastAsia="Times New Roman" w:hAnsi="Arial" w:cs="Arial"/>
        </w:rPr>
        <w:t xml:space="preserve">However, all of the Directors, in accordance with best practice, have opted to offer themselves for re-election on an annual basis. Having considered their effectiveness, demonstration of commitment to the role, attendance at meetings and contribution to the Board’s deliberations, the Board approves the nomination for re-election of all Directors.  </w:t>
      </w:r>
    </w:p>
    <w:p w14:paraId="7A665A06" w14:textId="77777777" w:rsidR="0021298F" w:rsidRPr="00B5639E" w:rsidRDefault="0021298F" w:rsidP="0021298F">
      <w:pPr>
        <w:jc w:val="both"/>
        <w:rPr>
          <w:rFonts w:ascii="Arial" w:eastAsia="Times New Roman" w:hAnsi="Arial" w:cs="Arial"/>
        </w:rPr>
      </w:pPr>
    </w:p>
    <w:p w14:paraId="4398971C" w14:textId="77777777" w:rsidR="0021298F" w:rsidRPr="00B5639E" w:rsidRDefault="0021298F" w:rsidP="0021298F">
      <w:pPr>
        <w:jc w:val="both"/>
        <w:rPr>
          <w:rFonts w:ascii="Arial" w:eastAsia="Times New Roman" w:hAnsi="Arial" w:cs="Arial"/>
        </w:rPr>
      </w:pPr>
      <w:r w:rsidRPr="00B5639E">
        <w:rPr>
          <w:rFonts w:ascii="Arial" w:eastAsia="Times New Roman" w:hAnsi="Arial" w:cs="Arial"/>
        </w:rPr>
        <w:t>The terms and conditions of appointment of non-executive Directors are available for inspection from the Company’s registered office.</w:t>
      </w:r>
    </w:p>
    <w:p w14:paraId="4FE9DB9F" w14:textId="77777777" w:rsidR="0021298F" w:rsidRPr="00660DCB" w:rsidRDefault="0021298F" w:rsidP="0021298F">
      <w:pPr>
        <w:jc w:val="both"/>
        <w:rPr>
          <w:rFonts w:ascii="Arial" w:hAnsi="Arial" w:cs="Arial"/>
          <w:b/>
        </w:rPr>
      </w:pPr>
    </w:p>
    <w:p w14:paraId="599B436B" w14:textId="77777777" w:rsidR="0021298F" w:rsidRPr="00AE47CC" w:rsidRDefault="0021298F" w:rsidP="0021298F">
      <w:pPr>
        <w:pStyle w:val="Heading3"/>
        <w:spacing w:before="0"/>
        <w:jc w:val="both"/>
        <w:rPr>
          <w:rFonts w:ascii="Arial" w:hAnsi="Arial" w:cs="Arial"/>
          <w:color w:val="auto"/>
        </w:rPr>
      </w:pPr>
      <w:r w:rsidRPr="00E31654">
        <w:rPr>
          <w:rFonts w:ascii="Arial" w:hAnsi="Arial" w:cs="Arial"/>
          <w:color w:val="auto"/>
        </w:rPr>
        <w:t>The Chairman</w:t>
      </w:r>
    </w:p>
    <w:p w14:paraId="347645D9" w14:textId="77777777" w:rsidR="0021298F" w:rsidRDefault="0021298F" w:rsidP="0021298F">
      <w:pPr>
        <w:jc w:val="both"/>
        <w:rPr>
          <w:rFonts w:ascii="Arial" w:eastAsia="Times New Roman" w:hAnsi="Arial" w:cs="Arial"/>
        </w:rPr>
      </w:pPr>
      <w:r w:rsidRPr="00B5639E">
        <w:rPr>
          <w:rFonts w:ascii="Arial" w:eastAsia="Times New Roman" w:hAnsi="Arial" w:cs="Arial"/>
        </w:rPr>
        <w:t>The Chairman’s primary responsibility is to lead the Board and to ensure its effectiveness both collectively and individually. The Chairman of the Board is Rónán Murphy. In considering the independence of the Chairman, the Board took note of the provisions of the</w:t>
      </w:r>
      <w:r w:rsidRPr="00F67596">
        <w:rPr>
          <w:rFonts w:ascii="Arial" w:eastAsia="Times New Roman" w:hAnsi="Arial" w:cs="Arial"/>
        </w:rPr>
        <w:t xml:space="preserve"> </w:t>
      </w:r>
      <w:r w:rsidRPr="00B5639E">
        <w:rPr>
          <w:rFonts w:ascii="Arial" w:eastAsia="Times New Roman" w:hAnsi="Arial" w:cs="Arial"/>
        </w:rPr>
        <w:t>AIC Code relating to independence and has determined that Mr. Murphy is an Independent Director. The Company has no employees and therefore there is no requirement for a chief executive.</w:t>
      </w:r>
    </w:p>
    <w:p w14:paraId="386277D7" w14:textId="77777777" w:rsidR="0021298F" w:rsidRDefault="0021298F" w:rsidP="0021298F">
      <w:pPr>
        <w:jc w:val="both"/>
        <w:rPr>
          <w:rFonts w:ascii="Arial" w:eastAsiaTheme="majorEastAsia" w:hAnsi="Arial" w:cs="Arial"/>
          <w:b/>
          <w:bCs/>
        </w:rPr>
      </w:pPr>
    </w:p>
    <w:p w14:paraId="349C3D10" w14:textId="77777777" w:rsidR="0021298F" w:rsidRPr="00F6234F" w:rsidRDefault="0021298F" w:rsidP="0021298F">
      <w:pPr>
        <w:pStyle w:val="Heading3"/>
        <w:spacing w:before="0"/>
        <w:jc w:val="both"/>
        <w:rPr>
          <w:rFonts w:ascii="Arial" w:hAnsi="Arial" w:cs="Arial"/>
        </w:rPr>
      </w:pPr>
      <w:r w:rsidRPr="00AE47CC">
        <w:rPr>
          <w:rFonts w:ascii="Arial" w:hAnsi="Arial" w:cs="Arial"/>
          <w:color w:val="auto"/>
        </w:rPr>
        <w:t>Senior Independent Director</w:t>
      </w:r>
    </w:p>
    <w:p w14:paraId="68DF4D00" w14:textId="77777777" w:rsidR="0021298F" w:rsidRDefault="0021298F" w:rsidP="0021298F">
      <w:pPr>
        <w:jc w:val="both"/>
        <w:rPr>
          <w:rFonts w:ascii="Arial" w:eastAsia="Times New Roman" w:hAnsi="Arial" w:cs="Arial"/>
        </w:rPr>
      </w:pPr>
      <w:r>
        <w:rPr>
          <w:rFonts w:ascii="Arial" w:eastAsia="Times New Roman" w:hAnsi="Arial" w:cs="Arial"/>
        </w:rPr>
        <w:t>The Senior Independent Director works closely with the Chairman and provides support where required, holding annual meetings with the other non-executive directors to appraise the performance of the Chairman and be available to shareholders if they have any reason for concern. The Senior Independent Director is Emer Gilvarry.</w:t>
      </w:r>
    </w:p>
    <w:p w14:paraId="5999F00F" w14:textId="77777777" w:rsidR="0021298F" w:rsidRPr="00E31654" w:rsidRDefault="0021298F" w:rsidP="0021298F">
      <w:pPr>
        <w:jc w:val="both"/>
        <w:rPr>
          <w:rFonts w:ascii="Arial" w:eastAsia="Times New Roman" w:hAnsi="Arial" w:cs="Arial"/>
          <w:highlight w:val="yellow"/>
        </w:rPr>
      </w:pPr>
    </w:p>
    <w:p w14:paraId="019B6158" w14:textId="77777777" w:rsidR="0021298F" w:rsidRPr="00AE47CC" w:rsidRDefault="0021298F" w:rsidP="0021298F">
      <w:pPr>
        <w:pStyle w:val="Heading3"/>
        <w:spacing w:before="0"/>
        <w:jc w:val="both"/>
        <w:rPr>
          <w:rFonts w:ascii="Arial" w:hAnsi="Arial" w:cs="Arial"/>
          <w:color w:val="auto"/>
        </w:rPr>
      </w:pPr>
      <w:r w:rsidRPr="00E31654">
        <w:rPr>
          <w:rFonts w:ascii="Arial" w:hAnsi="Arial" w:cs="Arial"/>
          <w:color w:val="auto"/>
        </w:rPr>
        <w:t>Diversity</w:t>
      </w:r>
      <w:r w:rsidRPr="00AE47CC">
        <w:rPr>
          <w:rFonts w:ascii="Arial" w:hAnsi="Arial" w:cs="Arial"/>
          <w:color w:val="auto"/>
        </w:rPr>
        <w:t xml:space="preserve"> </w:t>
      </w:r>
      <w:r w:rsidRPr="00E31654">
        <w:rPr>
          <w:rFonts w:ascii="Arial" w:hAnsi="Arial" w:cs="Arial"/>
          <w:color w:val="auto"/>
        </w:rPr>
        <w:t>Policy and Independence</w:t>
      </w:r>
    </w:p>
    <w:p w14:paraId="40F2240B" w14:textId="77777777" w:rsidR="0021298F" w:rsidRPr="00B5639E" w:rsidRDefault="0021298F" w:rsidP="0021298F">
      <w:pPr>
        <w:jc w:val="both"/>
        <w:rPr>
          <w:rFonts w:ascii="Arial" w:eastAsia="Times New Roman" w:hAnsi="Arial" w:cs="Arial"/>
        </w:rPr>
      </w:pPr>
      <w:r w:rsidRPr="00B5639E">
        <w:rPr>
          <w:rFonts w:ascii="Arial" w:eastAsia="Times New Roman" w:hAnsi="Arial" w:cs="Arial"/>
        </w:rPr>
        <w:t>The Board has a policy to base appointments on merit and against objective criteria, with due regard for the benefits of diversity, including gender diversity. Its objective is to attract and maintain a Board that, as a whole, comprises an appropriate balance of skills and experience.</w:t>
      </w:r>
    </w:p>
    <w:p w14:paraId="245D80E2" w14:textId="77777777" w:rsidR="0021298F" w:rsidRPr="00B5639E" w:rsidRDefault="0021298F" w:rsidP="0021298F">
      <w:pPr>
        <w:jc w:val="both"/>
        <w:rPr>
          <w:rFonts w:ascii="Arial" w:eastAsia="Times New Roman" w:hAnsi="Arial" w:cs="Arial"/>
        </w:rPr>
      </w:pPr>
    </w:p>
    <w:p w14:paraId="32261699" w14:textId="77777777" w:rsidR="0021298F" w:rsidRPr="00B5639E" w:rsidRDefault="0021298F" w:rsidP="0021298F">
      <w:pPr>
        <w:jc w:val="both"/>
        <w:rPr>
          <w:rFonts w:ascii="Arial" w:eastAsia="Times New Roman" w:hAnsi="Arial" w:cs="Arial"/>
        </w:rPr>
      </w:pPr>
      <w:r w:rsidRPr="00B5639E">
        <w:rPr>
          <w:rFonts w:ascii="Arial" w:eastAsia="Times New Roman" w:hAnsi="Arial" w:cs="Arial"/>
        </w:rPr>
        <w:t>The Board consists of individuals from relevant and complementary backgrounds offering experience on boards of listed companies, in financial and legal services as well as in the energy sector. As at the date of this report, the Board comprised 3 men and 1 woman, all non-executive Directors who are considered to be independent of the Investment Manager and free from any business or other relationship that could materially interfere with the exercise of their independent judgement.</w:t>
      </w:r>
    </w:p>
    <w:p w14:paraId="7A3DC3C5" w14:textId="77777777" w:rsidR="0021298F" w:rsidRPr="00B5639E" w:rsidRDefault="0021298F" w:rsidP="0021298F">
      <w:pPr>
        <w:jc w:val="both"/>
        <w:rPr>
          <w:rFonts w:ascii="Arial" w:eastAsia="Times New Roman" w:hAnsi="Arial" w:cs="Arial"/>
        </w:rPr>
      </w:pPr>
    </w:p>
    <w:p w14:paraId="2E8C54C1" w14:textId="77777777" w:rsidR="0021298F" w:rsidRDefault="0021298F" w:rsidP="0021298F">
      <w:pPr>
        <w:jc w:val="both"/>
        <w:rPr>
          <w:rFonts w:ascii="Arial" w:eastAsia="Times New Roman" w:hAnsi="Arial" w:cs="Arial"/>
        </w:rPr>
      </w:pPr>
      <w:r w:rsidRPr="00B73F05">
        <w:rPr>
          <w:rFonts w:ascii="Arial" w:eastAsia="Times New Roman" w:hAnsi="Arial" w:cs="Arial"/>
        </w:rPr>
        <w:lastRenderedPageBreak/>
        <w:t xml:space="preserve">The Investment Manager operates an equal opportunities policy and its partners and employees comprised </w:t>
      </w:r>
      <w:r>
        <w:rPr>
          <w:rFonts w:ascii="Arial" w:eastAsia="Times New Roman" w:hAnsi="Arial" w:cs="Arial"/>
        </w:rPr>
        <w:t>40</w:t>
      </w:r>
      <w:r w:rsidRPr="00B73F05">
        <w:rPr>
          <w:rFonts w:ascii="Arial" w:eastAsia="Times New Roman" w:hAnsi="Arial" w:cs="Arial"/>
        </w:rPr>
        <w:t xml:space="preserve"> men and 1</w:t>
      </w:r>
      <w:r>
        <w:rPr>
          <w:rFonts w:ascii="Arial" w:eastAsia="Times New Roman" w:hAnsi="Arial" w:cs="Arial"/>
        </w:rPr>
        <w:t>7</w:t>
      </w:r>
      <w:r w:rsidRPr="00B73F05">
        <w:rPr>
          <w:rFonts w:ascii="Arial" w:eastAsia="Times New Roman" w:hAnsi="Arial" w:cs="Arial"/>
        </w:rPr>
        <w:t xml:space="preserve"> women.</w:t>
      </w:r>
    </w:p>
    <w:p w14:paraId="589C3113" w14:textId="77777777" w:rsidR="0021298F" w:rsidRDefault="0021298F" w:rsidP="0021298F">
      <w:pPr>
        <w:jc w:val="both"/>
        <w:rPr>
          <w:rFonts w:ascii="Arial" w:eastAsia="Times New Roman" w:hAnsi="Arial" w:cs="Arial"/>
        </w:rPr>
      </w:pPr>
    </w:p>
    <w:p w14:paraId="7B13923F" w14:textId="77777777" w:rsidR="0021298F" w:rsidRPr="006345C4" w:rsidRDefault="0021298F" w:rsidP="0021298F">
      <w:pPr>
        <w:pStyle w:val="Heading3"/>
        <w:spacing w:before="0"/>
        <w:jc w:val="both"/>
        <w:rPr>
          <w:rFonts w:ascii="Arial" w:hAnsi="Arial" w:cs="Arial"/>
          <w:color w:val="auto"/>
        </w:rPr>
      </w:pPr>
      <w:r w:rsidRPr="006345C4">
        <w:rPr>
          <w:rFonts w:ascii="Arial" w:hAnsi="Arial" w:cs="Arial"/>
          <w:color w:val="auto"/>
        </w:rPr>
        <w:t>Board Responsibilities</w:t>
      </w:r>
    </w:p>
    <w:p w14:paraId="38DE6DC1" w14:textId="77777777" w:rsidR="0021298F" w:rsidRPr="00B5639E" w:rsidRDefault="0021298F" w:rsidP="0021298F">
      <w:pPr>
        <w:jc w:val="both"/>
        <w:rPr>
          <w:rFonts w:ascii="Arial" w:eastAsia="Times New Roman" w:hAnsi="Arial" w:cs="Arial"/>
        </w:rPr>
      </w:pPr>
      <w:r w:rsidRPr="00B5639E">
        <w:rPr>
          <w:rFonts w:ascii="Arial" w:eastAsia="Times New Roman" w:hAnsi="Arial" w:cs="Arial"/>
        </w:rPr>
        <w:t xml:space="preserve">The Board will meet, on average, </w:t>
      </w:r>
      <w:r>
        <w:rPr>
          <w:rFonts w:ascii="Arial" w:eastAsia="Times New Roman" w:hAnsi="Arial" w:cs="Arial"/>
        </w:rPr>
        <w:t>5</w:t>
      </w:r>
      <w:r w:rsidRPr="00B5639E">
        <w:rPr>
          <w:rFonts w:ascii="Arial" w:eastAsia="Times New Roman" w:hAnsi="Arial" w:cs="Arial"/>
        </w:rPr>
        <w:t xml:space="preserve"> times in each calendar year for scheduled quarterly Board meetings and on an ad hoc basis where necessary</w:t>
      </w:r>
      <w:r>
        <w:rPr>
          <w:rFonts w:ascii="Arial" w:eastAsia="Times New Roman" w:hAnsi="Arial" w:cs="Arial"/>
        </w:rPr>
        <w:t>.</w:t>
      </w:r>
      <w:r w:rsidRPr="00B5639E">
        <w:rPr>
          <w:rFonts w:ascii="Arial" w:eastAsia="Times New Roman" w:hAnsi="Arial" w:cs="Arial"/>
        </w:rPr>
        <w:t xml:space="preserve"> At each meeting, the Board follows a formal agenda that will cover the business to be discussed including, but not limited to, strategy, performance and the framework of internal controls, as well as review</w:t>
      </w:r>
      <w:r>
        <w:rPr>
          <w:rFonts w:ascii="Arial" w:eastAsia="Times New Roman" w:hAnsi="Arial" w:cs="Arial"/>
        </w:rPr>
        <w:t xml:space="preserve"> of</w:t>
      </w:r>
      <w:r w:rsidRPr="00B5639E">
        <w:rPr>
          <w:rFonts w:ascii="Arial" w:eastAsia="Times New Roman" w:hAnsi="Arial" w:cs="Arial"/>
        </w:rPr>
        <w:t xml:space="preserve"> its own performance and composition. Between meetings there is regular contact with the Investment Manager. The Board requires to be supplied, in a timely manner, with information by the Investment Manager, the Administrator, the </w:t>
      </w:r>
      <w:r>
        <w:rPr>
          <w:rFonts w:ascii="Arial" w:eastAsia="Times New Roman" w:hAnsi="Arial" w:cs="Arial"/>
        </w:rPr>
        <w:t>Company Secretary</w:t>
      </w:r>
      <w:r w:rsidRPr="00B5639E">
        <w:rPr>
          <w:rFonts w:ascii="Arial" w:eastAsia="Times New Roman" w:hAnsi="Arial" w:cs="Arial"/>
        </w:rPr>
        <w:t xml:space="preserve"> and other advisers in a form and of a quality appropriate to enable it to discharge its duties. </w:t>
      </w:r>
    </w:p>
    <w:p w14:paraId="48254A1F" w14:textId="77777777" w:rsidR="0021298F" w:rsidRPr="00B5639E" w:rsidRDefault="0021298F" w:rsidP="0021298F">
      <w:pPr>
        <w:jc w:val="both"/>
        <w:rPr>
          <w:rFonts w:ascii="Arial" w:eastAsia="Times New Roman" w:hAnsi="Arial" w:cs="Arial"/>
        </w:rPr>
      </w:pPr>
    </w:p>
    <w:p w14:paraId="59996C44" w14:textId="77777777" w:rsidR="0021298F" w:rsidRDefault="0021298F" w:rsidP="0021298F">
      <w:pPr>
        <w:jc w:val="both"/>
        <w:rPr>
          <w:rFonts w:ascii="Arial" w:eastAsia="Times New Roman" w:hAnsi="Arial" w:cs="Arial"/>
        </w:rPr>
      </w:pPr>
      <w:r w:rsidRPr="00B5639E">
        <w:rPr>
          <w:rFonts w:ascii="Arial" w:eastAsia="Times New Roman" w:hAnsi="Arial" w:cs="Arial"/>
        </w:rPr>
        <w:t xml:space="preserve">The Board is responsible for the determination of the Company’s </w:t>
      </w:r>
      <w:r>
        <w:rPr>
          <w:rFonts w:ascii="Arial" w:eastAsia="Times New Roman" w:hAnsi="Arial" w:cs="Arial"/>
        </w:rPr>
        <w:t>I</w:t>
      </w:r>
      <w:r w:rsidRPr="00B5639E">
        <w:rPr>
          <w:rFonts w:ascii="Arial" w:eastAsia="Times New Roman" w:hAnsi="Arial" w:cs="Arial"/>
        </w:rPr>
        <w:t xml:space="preserve">nvestment </w:t>
      </w:r>
      <w:r>
        <w:rPr>
          <w:rFonts w:ascii="Arial" w:eastAsia="Times New Roman" w:hAnsi="Arial" w:cs="Arial"/>
        </w:rPr>
        <w:t>O</w:t>
      </w:r>
      <w:r w:rsidRPr="00B5639E">
        <w:rPr>
          <w:rFonts w:ascii="Arial" w:eastAsia="Times New Roman" w:hAnsi="Arial" w:cs="Arial"/>
        </w:rPr>
        <w:t xml:space="preserve">bjective and </w:t>
      </w:r>
      <w:r>
        <w:rPr>
          <w:rFonts w:ascii="Arial" w:eastAsia="Times New Roman" w:hAnsi="Arial" w:cs="Arial"/>
        </w:rPr>
        <w:t>P</w:t>
      </w:r>
      <w:r w:rsidRPr="00B5639E">
        <w:rPr>
          <w:rFonts w:ascii="Arial" w:eastAsia="Times New Roman" w:hAnsi="Arial" w:cs="Arial"/>
        </w:rPr>
        <w:t>olicy and has overall responsibility for the Company’s activities. The Company has entered into the Investment Management Agreement with the Investment Manager pursuant to which the Investment Manager is responsible for the day-to-day management of the Company.</w:t>
      </w:r>
    </w:p>
    <w:p w14:paraId="6DDB40D8" w14:textId="77777777" w:rsidR="0021298F" w:rsidRPr="00B5639E" w:rsidRDefault="0021298F" w:rsidP="0021298F">
      <w:pPr>
        <w:jc w:val="both"/>
        <w:rPr>
          <w:rFonts w:ascii="Arial" w:eastAsia="Times New Roman" w:hAnsi="Arial" w:cs="Arial"/>
        </w:rPr>
      </w:pPr>
    </w:p>
    <w:p w14:paraId="0F539E00" w14:textId="77777777" w:rsidR="0021298F" w:rsidRDefault="0021298F" w:rsidP="0021298F">
      <w:pPr>
        <w:jc w:val="both"/>
        <w:rPr>
          <w:rFonts w:ascii="Arial" w:eastAsia="Times New Roman" w:hAnsi="Arial" w:cs="Arial"/>
        </w:rPr>
      </w:pPr>
      <w:r w:rsidRPr="00B5639E">
        <w:rPr>
          <w:rFonts w:ascii="Arial" w:eastAsia="Times New Roman" w:hAnsi="Arial" w:cs="Arial"/>
        </w:rPr>
        <w:t>The Board also has responsibility for ensuring that the Company keeps proper accounting records which disclose with reasonable accuracy at any time the financial position of the Company and which enable it to ensure that the financial statements comply with applicable regulation. It is the Board’s responsibility to present a fair, balanced and understandable Annual Report, which provides the information necessary for shareholders to assess the</w:t>
      </w:r>
      <w:r>
        <w:rPr>
          <w:rFonts w:ascii="Arial" w:eastAsia="Times New Roman" w:hAnsi="Arial" w:cs="Arial"/>
        </w:rPr>
        <w:t xml:space="preserve"> </w:t>
      </w:r>
      <w:r w:rsidRPr="00B5639E">
        <w:rPr>
          <w:rFonts w:ascii="Arial" w:eastAsia="Times New Roman" w:hAnsi="Arial" w:cs="Arial"/>
        </w:rPr>
        <w:t>performance, strategy and business model of the Company. This responsibility extends to the interim and other price-sensitive public reports.</w:t>
      </w:r>
    </w:p>
    <w:p w14:paraId="15E11F79" w14:textId="77777777" w:rsidR="0021298F" w:rsidRPr="002C6D8A" w:rsidRDefault="0021298F" w:rsidP="0021298F">
      <w:pPr>
        <w:jc w:val="both"/>
        <w:rPr>
          <w:rFonts w:ascii="Arial" w:eastAsia="Times New Roman" w:hAnsi="Arial" w:cs="Arial"/>
          <w:highlight w:val="yellow"/>
        </w:rPr>
      </w:pPr>
    </w:p>
    <w:p w14:paraId="788124A5" w14:textId="77777777" w:rsidR="0021298F" w:rsidRDefault="0021298F" w:rsidP="0021298F">
      <w:pPr>
        <w:jc w:val="both"/>
        <w:rPr>
          <w:rFonts w:ascii="Arial" w:eastAsia="Times New Roman" w:hAnsi="Arial" w:cs="Arial"/>
        </w:rPr>
      </w:pPr>
      <w:r>
        <w:rPr>
          <w:rFonts w:ascii="Arial" w:eastAsia="Times New Roman" w:hAnsi="Arial" w:cs="Arial"/>
        </w:rPr>
        <w:t>The Board has established procedures which provide a reasonable basis for the Directors to make proper judgement on an ongoing basis as to the financial position and prospects of the Company.</w:t>
      </w:r>
    </w:p>
    <w:p w14:paraId="0D67B6EB" w14:textId="77777777" w:rsidR="0021298F" w:rsidRPr="002C6D8A" w:rsidRDefault="0021298F" w:rsidP="0021298F">
      <w:pPr>
        <w:pStyle w:val="ListParagraph"/>
        <w:jc w:val="both"/>
        <w:rPr>
          <w:rFonts w:ascii="Arial" w:eastAsia="Times New Roman" w:hAnsi="Arial" w:cs="Arial"/>
          <w:highlight w:val="yellow"/>
        </w:rPr>
      </w:pPr>
    </w:p>
    <w:p w14:paraId="5EE11B47" w14:textId="77777777" w:rsidR="0021298F" w:rsidRDefault="0021298F" w:rsidP="0021298F">
      <w:pPr>
        <w:jc w:val="both"/>
        <w:rPr>
          <w:rFonts w:ascii="Arial" w:eastAsia="Times New Roman" w:hAnsi="Arial" w:cs="Arial"/>
        </w:rPr>
      </w:pPr>
      <w:r>
        <w:rPr>
          <w:rFonts w:ascii="Arial" w:eastAsia="Times New Roman" w:hAnsi="Arial" w:cs="Arial"/>
        </w:rPr>
        <w:t>The Board has the ability to specify from time to time specific matters that require prior Board approval (‘‘Reserved Matters’’) or specific matters that it believes ought to be brought to the Board’s attention as part of the general reporting process between the Investment Manager and the Board. The initial list of Reserved Matters specified by the Board includes entry into markets other than those located in the Republic of Ireland, entry into transactions other than those involving operational onshore wind assets, entry into any acquisitions increasing GAV by more than 50% and entry into material new financing facilities.</w:t>
      </w:r>
    </w:p>
    <w:p w14:paraId="7CE05EB0" w14:textId="77777777" w:rsidR="0021298F" w:rsidRDefault="0021298F" w:rsidP="0021298F">
      <w:pPr>
        <w:jc w:val="both"/>
        <w:rPr>
          <w:rFonts w:ascii="Arial" w:eastAsia="Times New Roman" w:hAnsi="Arial" w:cs="Arial"/>
        </w:rPr>
      </w:pPr>
      <w:r>
        <w:rPr>
          <w:rFonts w:ascii="Arial" w:eastAsia="Times New Roman" w:hAnsi="Arial" w:cs="Arial"/>
        </w:rPr>
        <w:t>The Investment Manager shall, once every calendar quarter, submit to the Board a report of activities, investments and performance of the Company, including progress of all investments, details of the pipeline of acquisitions and any disposals and, in addition, shall promptly report to the Board any other information which could reasonably be considered to be material.</w:t>
      </w:r>
    </w:p>
    <w:p w14:paraId="469D755B" w14:textId="77777777" w:rsidR="0021298F" w:rsidRDefault="0021298F" w:rsidP="0021298F">
      <w:pPr>
        <w:jc w:val="both"/>
        <w:rPr>
          <w:rFonts w:ascii="Arial" w:eastAsia="Times New Roman" w:hAnsi="Arial" w:cs="Arial"/>
        </w:rPr>
      </w:pPr>
    </w:p>
    <w:p w14:paraId="21AC01CC" w14:textId="77777777" w:rsidR="0021298F" w:rsidRPr="006345C4" w:rsidRDefault="0021298F" w:rsidP="0021298F">
      <w:pPr>
        <w:pStyle w:val="Heading3"/>
        <w:spacing w:before="0"/>
        <w:jc w:val="both"/>
        <w:rPr>
          <w:rFonts w:ascii="Arial" w:hAnsi="Arial" w:cs="Arial"/>
          <w:color w:val="auto"/>
        </w:rPr>
      </w:pPr>
      <w:r w:rsidRPr="006345C4">
        <w:rPr>
          <w:rFonts w:ascii="Arial" w:hAnsi="Arial" w:cs="Arial"/>
          <w:color w:val="auto"/>
        </w:rPr>
        <w:t>Committees of the Board</w:t>
      </w:r>
    </w:p>
    <w:p w14:paraId="5ECDAB80" w14:textId="77777777" w:rsidR="0021298F" w:rsidRPr="00382C2F" w:rsidRDefault="0021298F" w:rsidP="0021298F">
      <w:pPr>
        <w:jc w:val="both"/>
        <w:rPr>
          <w:rFonts w:ascii="Arial" w:eastAsia="Times New Roman" w:hAnsi="Arial" w:cs="Arial"/>
          <w:highlight w:val="yellow"/>
        </w:rPr>
      </w:pPr>
      <w:r>
        <w:rPr>
          <w:rFonts w:ascii="Arial" w:eastAsia="Times New Roman" w:hAnsi="Arial" w:cs="Arial"/>
        </w:rPr>
        <w:t xml:space="preserve">The Company’s Audit Committee is chaired by Kevin McNamara and consists of a minimum of 2 members. Emer Gilvarry and Marco Graziano are the other members of </w:t>
      </w:r>
      <w:r>
        <w:rPr>
          <w:rFonts w:ascii="Arial" w:eastAsia="Times New Roman" w:hAnsi="Arial" w:cs="Arial"/>
        </w:rPr>
        <w:lastRenderedPageBreak/>
        <w:t xml:space="preserve">the Audit Committee as the date of this report. In accordance with best practice, the Company’s Chairman is not a member of the Audit Committee, however he does attend Audit Committee meetings as and when deemed appropriate. </w:t>
      </w:r>
      <w:r w:rsidRPr="00EE5389">
        <w:rPr>
          <w:rFonts w:ascii="Arial" w:eastAsia="Times New Roman" w:hAnsi="Arial" w:cs="Arial"/>
        </w:rPr>
        <w:t>The Audit Committee Report, included in the Audit Committee Report, describes the work of the Audit Committee.</w:t>
      </w:r>
    </w:p>
    <w:p w14:paraId="133936C7" w14:textId="77777777" w:rsidR="0021298F" w:rsidRDefault="0021298F" w:rsidP="0021298F">
      <w:pPr>
        <w:jc w:val="both"/>
        <w:rPr>
          <w:rFonts w:ascii="Arial" w:eastAsia="Times New Roman" w:hAnsi="Arial" w:cs="Arial"/>
        </w:rPr>
      </w:pPr>
    </w:p>
    <w:p w14:paraId="14F72BA4" w14:textId="77777777" w:rsidR="0021298F" w:rsidRPr="00B5639E" w:rsidRDefault="0021298F" w:rsidP="0021298F">
      <w:pPr>
        <w:jc w:val="both"/>
        <w:rPr>
          <w:rFonts w:ascii="Arial" w:eastAsia="Times New Roman" w:hAnsi="Arial" w:cs="Arial"/>
        </w:rPr>
      </w:pPr>
      <w:r w:rsidRPr="00B5639E">
        <w:rPr>
          <w:rFonts w:ascii="Arial" w:eastAsia="Times New Roman" w:hAnsi="Arial" w:cs="Arial"/>
        </w:rPr>
        <w:t>The Company has established a Management Engagement Committee, which comprises all the Directors and the Chair is Rónán Murphy. The Management Engagement Committee’s</w:t>
      </w:r>
      <w:r w:rsidRPr="00B5639E">
        <w:t xml:space="preserve"> </w:t>
      </w:r>
      <w:r w:rsidRPr="00B5639E">
        <w:rPr>
          <w:rFonts w:ascii="Arial" w:eastAsia="Times New Roman" w:hAnsi="Arial" w:cs="Arial"/>
        </w:rPr>
        <w:t>main function is to keep under review the performance of the Investment Manager and review and make recommendations on any proposed amendment to the Investment Management Agreement. The Management Engagement Committee will also perform a review of the performance of other key service providers to the Group. The Management Engagement Committee will meet at least once a year.</w:t>
      </w:r>
    </w:p>
    <w:p w14:paraId="6951E0A8" w14:textId="77777777" w:rsidR="0021298F" w:rsidRDefault="0021298F" w:rsidP="0021298F">
      <w:pPr>
        <w:jc w:val="both"/>
        <w:rPr>
          <w:rFonts w:ascii="Arial" w:eastAsia="Times New Roman" w:hAnsi="Arial" w:cs="Arial"/>
        </w:rPr>
      </w:pPr>
    </w:p>
    <w:p w14:paraId="05248213" w14:textId="77777777" w:rsidR="0021298F" w:rsidRDefault="0021298F" w:rsidP="0021298F">
      <w:pPr>
        <w:jc w:val="both"/>
        <w:rPr>
          <w:rFonts w:ascii="Arial" w:eastAsia="Times New Roman" w:hAnsi="Arial" w:cs="Arial"/>
        </w:rPr>
      </w:pPr>
      <w:r w:rsidRPr="00B5639E">
        <w:rPr>
          <w:rFonts w:ascii="Arial" w:eastAsia="Times New Roman" w:hAnsi="Arial" w:cs="Arial"/>
        </w:rPr>
        <w:t>In accordance with the AIC Code, the Company has also set up Remuneration and Nomination Committees. The Remuneration Committee comprises of all the Directors and the Chair is Emer Gilvarry. The Remuneration Committee’s main functions are to determine and agree the Board policy for the remuneration of the Directors and review and consider any additional ad hoc payments in relation to duties undertaken over and above normal business. The Remuneration Committee will meet at least once a year.</w:t>
      </w:r>
    </w:p>
    <w:p w14:paraId="649EBBBD" w14:textId="77777777" w:rsidR="0021298F" w:rsidRDefault="0021298F" w:rsidP="0021298F">
      <w:pPr>
        <w:jc w:val="both"/>
        <w:rPr>
          <w:rFonts w:ascii="Arial" w:eastAsia="Times New Roman" w:hAnsi="Arial" w:cs="Arial"/>
        </w:rPr>
      </w:pPr>
    </w:p>
    <w:p w14:paraId="38951B46" w14:textId="77777777" w:rsidR="0021298F" w:rsidRDefault="0021298F" w:rsidP="0021298F">
      <w:pPr>
        <w:jc w:val="both"/>
        <w:rPr>
          <w:rFonts w:ascii="Arial" w:eastAsia="Times New Roman" w:hAnsi="Arial" w:cs="Arial"/>
        </w:rPr>
      </w:pPr>
      <w:r w:rsidRPr="00B5639E">
        <w:rPr>
          <w:rFonts w:ascii="Arial" w:eastAsia="Times New Roman" w:hAnsi="Arial" w:cs="Arial"/>
        </w:rPr>
        <w:t xml:space="preserve">The Nomination Committee comprises all of the Directors and the Chair is </w:t>
      </w:r>
      <w:r>
        <w:rPr>
          <w:rFonts w:ascii="Arial" w:eastAsia="Times New Roman" w:hAnsi="Arial" w:cs="Arial"/>
        </w:rPr>
        <w:t>Marco Graziano, who was appointed during the year replacing Ron</w:t>
      </w:r>
      <w:r w:rsidRPr="00B5639E">
        <w:rPr>
          <w:rFonts w:ascii="Arial" w:eastAsia="Times New Roman" w:hAnsi="Arial" w:cs="Arial"/>
          <w:color w:val="000000"/>
          <w:lang w:eastAsia="en-GB"/>
        </w:rPr>
        <w:t>á</w:t>
      </w:r>
      <w:r>
        <w:rPr>
          <w:rFonts w:ascii="Arial" w:eastAsia="Times New Roman" w:hAnsi="Arial" w:cs="Arial"/>
        </w:rPr>
        <w:t>n Murphy</w:t>
      </w:r>
      <w:r w:rsidRPr="00B5639E">
        <w:rPr>
          <w:rFonts w:ascii="Arial" w:eastAsia="Times New Roman" w:hAnsi="Arial" w:cs="Arial"/>
        </w:rPr>
        <w:t xml:space="preserve">. The Nomination Committee’s main function is to review the structure, size and composition of the Board regularly and to consider succession planning for Directors. The Nomination Committee will meet at least once a year. </w:t>
      </w:r>
    </w:p>
    <w:p w14:paraId="4B442F8F" w14:textId="77777777" w:rsidR="0021298F" w:rsidRPr="00B5639E" w:rsidRDefault="0021298F" w:rsidP="0021298F">
      <w:pPr>
        <w:jc w:val="both"/>
        <w:rPr>
          <w:rFonts w:ascii="Arial" w:eastAsia="Times New Roman" w:hAnsi="Arial" w:cs="Arial"/>
        </w:rPr>
      </w:pPr>
    </w:p>
    <w:p w14:paraId="11E166B4" w14:textId="77777777" w:rsidR="0021298F" w:rsidRDefault="0021298F" w:rsidP="0021298F">
      <w:pPr>
        <w:jc w:val="both"/>
        <w:rPr>
          <w:rFonts w:ascii="Arial" w:eastAsia="Times New Roman" w:hAnsi="Arial" w:cs="Arial"/>
        </w:rPr>
      </w:pPr>
      <w:r w:rsidRPr="00B5639E">
        <w:rPr>
          <w:rFonts w:ascii="Arial" w:eastAsia="Times New Roman" w:hAnsi="Arial" w:cs="Arial"/>
        </w:rPr>
        <w:t xml:space="preserve">Terms of reference for the </w:t>
      </w:r>
      <w:r>
        <w:rPr>
          <w:rFonts w:ascii="Arial" w:eastAsia="Times New Roman" w:hAnsi="Arial" w:cs="Arial"/>
        </w:rPr>
        <w:t xml:space="preserve">Management Engagement, </w:t>
      </w:r>
      <w:r w:rsidRPr="00B5639E">
        <w:rPr>
          <w:rFonts w:ascii="Arial" w:eastAsia="Times New Roman" w:hAnsi="Arial" w:cs="Arial"/>
        </w:rPr>
        <w:t>Nominations and Remuneration Committees have been approved by the Board and are available on the Company’s website.</w:t>
      </w:r>
    </w:p>
    <w:p w14:paraId="0F2DD47F" w14:textId="77777777" w:rsidR="0021298F" w:rsidRPr="002C6D8A" w:rsidRDefault="0021298F" w:rsidP="0021298F">
      <w:pPr>
        <w:jc w:val="both"/>
        <w:rPr>
          <w:rFonts w:ascii="Arial" w:eastAsia="Times New Roman" w:hAnsi="Arial" w:cs="Arial"/>
          <w:highlight w:val="yellow"/>
        </w:rPr>
      </w:pPr>
    </w:p>
    <w:p w14:paraId="6C3DBC17" w14:textId="77777777" w:rsidR="0021298F" w:rsidRPr="00B5639E" w:rsidRDefault="0021298F" w:rsidP="0021298F">
      <w:pPr>
        <w:pStyle w:val="Heading3"/>
        <w:spacing w:before="0"/>
        <w:jc w:val="both"/>
        <w:rPr>
          <w:rFonts w:ascii="Arial" w:hAnsi="Arial" w:cs="Arial"/>
          <w:color w:val="auto"/>
        </w:rPr>
      </w:pPr>
      <w:r w:rsidRPr="00B5639E">
        <w:rPr>
          <w:rFonts w:ascii="Arial" w:hAnsi="Arial" w:cs="Arial"/>
          <w:color w:val="auto"/>
        </w:rPr>
        <w:t>Board Meetings, Committee Meetings and Directors’ Attendance</w:t>
      </w:r>
    </w:p>
    <w:p w14:paraId="1765A1CA" w14:textId="77777777" w:rsidR="0021298F" w:rsidRDefault="0021298F" w:rsidP="0021298F">
      <w:pPr>
        <w:jc w:val="both"/>
        <w:rPr>
          <w:rFonts w:ascii="Arial" w:eastAsia="Times New Roman" w:hAnsi="Arial" w:cs="Arial"/>
        </w:rPr>
      </w:pPr>
      <w:r w:rsidRPr="00B5639E">
        <w:rPr>
          <w:rFonts w:ascii="Arial" w:eastAsia="Times New Roman" w:hAnsi="Arial" w:cs="Arial"/>
        </w:rPr>
        <w:t xml:space="preserve">A schedule of Board and Audit Committee meetings is circulated to the Board one year ahead including the key agenda items for each meeting. Other Committees meetings are arranged as and when required. The number of meetings of the full Board of the </w:t>
      </w:r>
      <w:r>
        <w:rPr>
          <w:rFonts w:ascii="Arial" w:eastAsia="Times New Roman" w:hAnsi="Arial" w:cs="Arial"/>
        </w:rPr>
        <w:t>Company</w:t>
      </w:r>
      <w:r w:rsidRPr="00B5639E">
        <w:rPr>
          <w:rFonts w:ascii="Arial" w:eastAsia="Times New Roman" w:hAnsi="Arial" w:cs="Arial"/>
        </w:rPr>
        <w:t xml:space="preserve"> attended in the year to </w:t>
      </w:r>
      <w:r>
        <w:rPr>
          <w:rFonts w:ascii="Arial" w:eastAsia="Times New Roman" w:hAnsi="Arial" w:cs="Arial"/>
        </w:rPr>
        <w:t>31 December 2020</w:t>
      </w:r>
      <w:r w:rsidRPr="00B5639E">
        <w:rPr>
          <w:rFonts w:ascii="Arial" w:eastAsia="Times New Roman" w:hAnsi="Arial" w:cs="Arial"/>
        </w:rPr>
        <w:t xml:space="preserve"> by each Director is set out below:</w:t>
      </w:r>
    </w:p>
    <w:tbl>
      <w:tblPr>
        <w:tblW w:w="5000" w:type="pct"/>
        <w:tblLook w:val="04A0" w:firstRow="1" w:lastRow="0" w:firstColumn="1" w:lastColumn="0" w:noHBand="0" w:noVBand="1"/>
      </w:tblPr>
      <w:tblGrid>
        <w:gridCol w:w="4136"/>
        <w:gridCol w:w="2390"/>
        <w:gridCol w:w="2500"/>
      </w:tblGrid>
      <w:tr w:rsidR="0021298F" w:rsidRPr="00B5639E" w14:paraId="3D79ACF4" w14:textId="77777777" w:rsidTr="00760009">
        <w:trPr>
          <w:trHeight w:val="509"/>
        </w:trPr>
        <w:tc>
          <w:tcPr>
            <w:tcW w:w="2291" w:type="pct"/>
            <w:vMerge w:val="restart"/>
            <w:tcBorders>
              <w:top w:val="nil"/>
              <w:left w:val="nil"/>
              <w:bottom w:val="single" w:sz="4" w:space="0" w:color="000000"/>
              <w:right w:val="nil"/>
            </w:tcBorders>
            <w:shd w:val="clear" w:color="auto" w:fill="auto"/>
            <w:vAlign w:val="bottom"/>
            <w:hideMark/>
          </w:tcPr>
          <w:p w14:paraId="30FC775C" w14:textId="77777777" w:rsidR="0021298F" w:rsidRPr="00B5639E" w:rsidRDefault="0021298F" w:rsidP="00760009">
            <w:pPr>
              <w:jc w:val="both"/>
              <w:rPr>
                <w:rFonts w:ascii="Arial" w:eastAsia="Times New Roman" w:hAnsi="Arial" w:cs="Arial"/>
                <w:b/>
                <w:bCs/>
                <w:color w:val="000000"/>
                <w:lang w:eastAsia="en-GB"/>
              </w:rPr>
            </w:pPr>
            <w:r w:rsidRPr="00B5639E">
              <w:rPr>
                <w:rFonts w:ascii="Arial" w:eastAsia="Times New Roman" w:hAnsi="Arial" w:cs="Arial"/>
                <w:b/>
                <w:bCs/>
                <w:color w:val="000000"/>
                <w:lang w:eastAsia="en-GB"/>
              </w:rPr>
              <w:t>20</w:t>
            </w:r>
            <w:r>
              <w:rPr>
                <w:rFonts w:ascii="Arial" w:eastAsia="Times New Roman" w:hAnsi="Arial" w:cs="Arial"/>
                <w:b/>
                <w:bCs/>
                <w:color w:val="000000"/>
                <w:lang w:eastAsia="en-GB"/>
              </w:rPr>
              <w:t>20</w:t>
            </w:r>
          </w:p>
        </w:tc>
        <w:tc>
          <w:tcPr>
            <w:tcW w:w="1324" w:type="pct"/>
            <w:vMerge w:val="restart"/>
            <w:tcBorders>
              <w:top w:val="nil"/>
              <w:left w:val="nil"/>
              <w:bottom w:val="single" w:sz="4" w:space="0" w:color="000000"/>
              <w:right w:val="nil"/>
            </w:tcBorders>
            <w:shd w:val="clear" w:color="auto" w:fill="auto"/>
            <w:vAlign w:val="bottom"/>
            <w:hideMark/>
          </w:tcPr>
          <w:p w14:paraId="607BC801" w14:textId="77777777" w:rsidR="0021298F" w:rsidRPr="00B5639E" w:rsidRDefault="0021298F" w:rsidP="00760009">
            <w:pPr>
              <w:jc w:val="right"/>
              <w:rPr>
                <w:rFonts w:ascii="Arial" w:eastAsia="Times New Roman" w:hAnsi="Arial" w:cs="Arial"/>
                <w:b/>
                <w:bCs/>
                <w:color w:val="000000"/>
                <w:lang w:eastAsia="en-GB"/>
              </w:rPr>
            </w:pPr>
            <w:r w:rsidRPr="00B5639E">
              <w:rPr>
                <w:rFonts w:ascii="Arial" w:eastAsia="Times New Roman" w:hAnsi="Arial" w:cs="Arial"/>
                <w:b/>
                <w:bCs/>
                <w:color w:val="000000"/>
                <w:lang w:eastAsia="en-GB"/>
              </w:rPr>
              <w:t xml:space="preserve">Scheduled Board Meetings (Total of </w:t>
            </w:r>
            <w:r>
              <w:rPr>
                <w:rFonts w:ascii="Arial" w:eastAsia="Times New Roman" w:hAnsi="Arial" w:cs="Arial"/>
                <w:b/>
                <w:bCs/>
                <w:color w:val="000000"/>
                <w:lang w:eastAsia="en-GB"/>
              </w:rPr>
              <w:t>8</w:t>
            </w:r>
            <w:r w:rsidRPr="00B5639E">
              <w:rPr>
                <w:rFonts w:ascii="Arial" w:eastAsia="Times New Roman" w:hAnsi="Arial" w:cs="Arial"/>
                <w:b/>
                <w:bCs/>
                <w:color w:val="000000"/>
                <w:lang w:eastAsia="en-GB"/>
              </w:rPr>
              <w:t>)</w:t>
            </w:r>
          </w:p>
        </w:tc>
        <w:tc>
          <w:tcPr>
            <w:tcW w:w="1385" w:type="pct"/>
            <w:vMerge w:val="restart"/>
            <w:tcBorders>
              <w:top w:val="nil"/>
              <w:left w:val="nil"/>
              <w:bottom w:val="single" w:sz="4" w:space="0" w:color="000000"/>
              <w:right w:val="nil"/>
            </w:tcBorders>
            <w:shd w:val="clear" w:color="auto" w:fill="auto"/>
            <w:vAlign w:val="bottom"/>
            <w:hideMark/>
          </w:tcPr>
          <w:p w14:paraId="07B4C86D" w14:textId="77777777" w:rsidR="0021298F" w:rsidRPr="00B5639E" w:rsidRDefault="0021298F" w:rsidP="00760009">
            <w:pPr>
              <w:jc w:val="right"/>
              <w:rPr>
                <w:rFonts w:ascii="Arial" w:eastAsia="Times New Roman" w:hAnsi="Arial" w:cs="Arial"/>
                <w:b/>
                <w:bCs/>
                <w:color w:val="000000"/>
                <w:lang w:eastAsia="en-GB"/>
              </w:rPr>
            </w:pPr>
            <w:r w:rsidRPr="00B5639E">
              <w:rPr>
                <w:rFonts w:ascii="Arial" w:eastAsia="Times New Roman" w:hAnsi="Arial" w:cs="Arial"/>
                <w:b/>
                <w:bCs/>
                <w:color w:val="000000"/>
                <w:lang w:eastAsia="en-GB"/>
              </w:rPr>
              <w:t>Additional Board Meetings (Total of 1</w:t>
            </w:r>
            <w:r>
              <w:rPr>
                <w:rFonts w:ascii="Arial" w:eastAsia="Times New Roman" w:hAnsi="Arial" w:cs="Arial"/>
                <w:b/>
                <w:bCs/>
                <w:color w:val="000000"/>
                <w:lang w:eastAsia="en-GB"/>
              </w:rPr>
              <w:t>4</w:t>
            </w:r>
            <w:r w:rsidRPr="00B5639E">
              <w:rPr>
                <w:rFonts w:ascii="Arial" w:eastAsia="Times New Roman" w:hAnsi="Arial" w:cs="Arial"/>
                <w:b/>
                <w:bCs/>
                <w:color w:val="000000"/>
                <w:lang w:eastAsia="en-GB"/>
              </w:rPr>
              <w:t>)</w:t>
            </w:r>
          </w:p>
        </w:tc>
      </w:tr>
      <w:tr w:rsidR="0021298F" w:rsidRPr="00B5639E" w14:paraId="4E43FEA8" w14:textId="77777777" w:rsidTr="00760009">
        <w:trPr>
          <w:trHeight w:val="509"/>
        </w:trPr>
        <w:tc>
          <w:tcPr>
            <w:tcW w:w="2291" w:type="pct"/>
            <w:vMerge/>
            <w:tcBorders>
              <w:top w:val="nil"/>
              <w:left w:val="nil"/>
              <w:bottom w:val="single" w:sz="4" w:space="0" w:color="000000"/>
              <w:right w:val="nil"/>
            </w:tcBorders>
            <w:vAlign w:val="center"/>
            <w:hideMark/>
          </w:tcPr>
          <w:p w14:paraId="7FECDEAF" w14:textId="77777777" w:rsidR="0021298F" w:rsidRPr="00B5639E" w:rsidRDefault="0021298F" w:rsidP="00760009">
            <w:pPr>
              <w:jc w:val="both"/>
              <w:rPr>
                <w:rFonts w:ascii="Arial" w:eastAsia="Times New Roman" w:hAnsi="Arial" w:cs="Arial"/>
                <w:b/>
                <w:bCs/>
                <w:color w:val="000000"/>
                <w:lang w:eastAsia="en-GB"/>
              </w:rPr>
            </w:pPr>
          </w:p>
        </w:tc>
        <w:tc>
          <w:tcPr>
            <w:tcW w:w="1324" w:type="pct"/>
            <w:vMerge/>
            <w:tcBorders>
              <w:top w:val="nil"/>
              <w:left w:val="nil"/>
              <w:bottom w:val="single" w:sz="4" w:space="0" w:color="000000"/>
              <w:right w:val="nil"/>
            </w:tcBorders>
            <w:vAlign w:val="center"/>
            <w:hideMark/>
          </w:tcPr>
          <w:p w14:paraId="3D27DBCE" w14:textId="77777777" w:rsidR="0021298F" w:rsidRPr="00B5639E" w:rsidRDefault="0021298F" w:rsidP="00760009">
            <w:pPr>
              <w:jc w:val="right"/>
              <w:rPr>
                <w:rFonts w:ascii="Arial" w:eastAsia="Times New Roman" w:hAnsi="Arial" w:cs="Arial"/>
                <w:b/>
                <w:bCs/>
                <w:color w:val="000000"/>
                <w:lang w:eastAsia="en-GB"/>
              </w:rPr>
            </w:pPr>
          </w:p>
        </w:tc>
        <w:tc>
          <w:tcPr>
            <w:tcW w:w="1385" w:type="pct"/>
            <w:vMerge/>
            <w:tcBorders>
              <w:top w:val="nil"/>
              <w:left w:val="nil"/>
              <w:bottom w:val="single" w:sz="4" w:space="0" w:color="000000"/>
              <w:right w:val="nil"/>
            </w:tcBorders>
            <w:vAlign w:val="center"/>
            <w:hideMark/>
          </w:tcPr>
          <w:p w14:paraId="3D284DF8" w14:textId="77777777" w:rsidR="0021298F" w:rsidRPr="00B5639E" w:rsidRDefault="0021298F" w:rsidP="00760009">
            <w:pPr>
              <w:jc w:val="right"/>
              <w:rPr>
                <w:rFonts w:ascii="Arial" w:eastAsia="Times New Roman" w:hAnsi="Arial" w:cs="Arial"/>
                <w:b/>
                <w:bCs/>
                <w:color w:val="000000"/>
                <w:lang w:eastAsia="en-GB"/>
              </w:rPr>
            </w:pPr>
          </w:p>
        </w:tc>
      </w:tr>
      <w:tr w:rsidR="0021298F" w:rsidRPr="001D0619" w14:paraId="766D504E" w14:textId="77777777" w:rsidTr="00760009">
        <w:trPr>
          <w:trHeight w:val="285"/>
        </w:trPr>
        <w:tc>
          <w:tcPr>
            <w:tcW w:w="2291" w:type="pct"/>
            <w:tcBorders>
              <w:top w:val="nil"/>
              <w:left w:val="nil"/>
              <w:right w:val="nil"/>
            </w:tcBorders>
            <w:shd w:val="clear" w:color="000000" w:fill="FFFFFF"/>
            <w:noWrap/>
            <w:vAlign w:val="center"/>
            <w:hideMark/>
          </w:tcPr>
          <w:p w14:paraId="218D4B86" w14:textId="77777777" w:rsidR="0021298F" w:rsidRPr="00B5639E" w:rsidRDefault="0021298F" w:rsidP="00760009">
            <w:pPr>
              <w:jc w:val="both"/>
              <w:rPr>
                <w:rFonts w:ascii="Arial" w:eastAsia="Times New Roman" w:hAnsi="Arial" w:cs="Arial"/>
                <w:color w:val="000000"/>
                <w:lang w:eastAsia="en-GB"/>
              </w:rPr>
            </w:pPr>
            <w:r w:rsidRPr="00B5639E">
              <w:rPr>
                <w:rFonts w:ascii="Arial" w:eastAsia="Times New Roman" w:hAnsi="Arial" w:cs="Arial"/>
                <w:color w:val="000000"/>
                <w:lang w:eastAsia="en-GB"/>
              </w:rPr>
              <w:t>Rónán Murphy</w:t>
            </w:r>
          </w:p>
        </w:tc>
        <w:tc>
          <w:tcPr>
            <w:tcW w:w="1324" w:type="pct"/>
            <w:tcBorders>
              <w:top w:val="nil"/>
              <w:left w:val="nil"/>
              <w:right w:val="nil"/>
            </w:tcBorders>
            <w:shd w:val="clear" w:color="000000" w:fill="EDFFB7"/>
            <w:noWrap/>
            <w:vAlign w:val="center"/>
          </w:tcPr>
          <w:p w14:paraId="44971B03" w14:textId="77777777" w:rsidR="0021298F" w:rsidRPr="001D0619" w:rsidRDefault="0021298F" w:rsidP="00760009">
            <w:pPr>
              <w:jc w:val="right"/>
              <w:rPr>
                <w:rFonts w:ascii="Arial" w:eastAsia="Times New Roman" w:hAnsi="Arial" w:cs="Arial"/>
                <w:color w:val="000000"/>
                <w:lang w:eastAsia="en-GB"/>
              </w:rPr>
            </w:pPr>
            <w:r w:rsidRPr="001E64E0">
              <w:rPr>
                <w:rFonts w:ascii="Arial" w:eastAsia="Times New Roman" w:hAnsi="Arial" w:cs="Arial"/>
                <w:color w:val="000000"/>
                <w:lang w:eastAsia="en-GB"/>
              </w:rPr>
              <w:t>8</w:t>
            </w:r>
          </w:p>
        </w:tc>
        <w:tc>
          <w:tcPr>
            <w:tcW w:w="1385" w:type="pct"/>
            <w:tcBorders>
              <w:top w:val="nil"/>
              <w:left w:val="nil"/>
              <w:right w:val="nil"/>
            </w:tcBorders>
            <w:shd w:val="clear" w:color="000000" w:fill="EDFFB7"/>
            <w:noWrap/>
            <w:vAlign w:val="center"/>
          </w:tcPr>
          <w:p w14:paraId="73F418EE" w14:textId="77777777" w:rsidR="0021298F" w:rsidRPr="001D0619" w:rsidRDefault="0021298F" w:rsidP="00760009">
            <w:pPr>
              <w:jc w:val="right"/>
              <w:rPr>
                <w:rFonts w:ascii="Arial" w:eastAsia="Times New Roman" w:hAnsi="Arial" w:cs="Arial"/>
                <w:color w:val="000000"/>
                <w:lang w:eastAsia="en-GB"/>
              </w:rPr>
            </w:pPr>
            <w:r w:rsidRPr="001E64E0">
              <w:rPr>
                <w:rFonts w:ascii="Arial" w:eastAsia="Times New Roman" w:hAnsi="Arial" w:cs="Arial"/>
                <w:color w:val="000000"/>
                <w:lang w:eastAsia="en-GB"/>
              </w:rPr>
              <w:t>14</w:t>
            </w:r>
          </w:p>
        </w:tc>
      </w:tr>
      <w:tr w:rsidR="0021298F" w:rsidRPr="001D0619" w14:paraId="09852E88" w14:textId="77777777" w:rsidTr="00760009">
        <w:trPr>
          <w:trHeight w:val="300"/>
        </w:trPr>
        <w:tc>
          <w:tcPr>
            <w:tcW w:w="2291" w:type="pct"/>
            <w:tcBorders>
              <w:top w:val="nil"/>
              <w:left w:val="nil"/>
              <w:right w:val="nil"/>
            </w:tcBorders>
            <w:shd w:val="clear" w:color="000000" w:fill="FFFFFF"/>
            <w:noWrap/>
            <w:vAlign w:val="center"/>
          </w:tcPr>
          <w:p w14:paraId="5AAEA543" w14:textId="77777777" w:rsidR="0021298F" w:rsidRPr="00B5639E" w:rsidRDefault="0021298F" w:rsidP="00760009">
            <w:pPr>
              <w:jc w:val="both"/>
              <w:rPr>
                <w:rFonts w:ascii="Arial" w:eastAsia="Times New Roman" w:hAnsi="Arial" w:cs="Arial"/>
                <w:color w:val="000000"/>
                <w:lang w:eastAsia="en-GB"/>
              </w:rPr>
            </w:pPr>
            <w:r w:rsidRPr="00B5639E">
              <w:rPr>
                <w:rFonts w:ascii="Arial" w:eastAsia="Times New Roman" w:hAnsi="Arial" w:cs="Arial"/>
                <w:color w:val="000000"/>
                <w:lang w:eastAsia="en-GB"/>
              </w:rPr>
              <w:t>Emer Gilvarry</w:t>
            </w:r>
          </w:p>
        </w:tc>
        <w:tc>
          <w:tcPr>
            <w:tcW w:w="1324" w:type="pct"/>
            <w:tcBorders>
              <w:top w:val="nil"/>
              <w:left w:val="nil"/>
              <w:right w:val="nil"/>
            </w:tcBorders>
            <w:shd w:val="clear" w:color="000000" w:fill="EDFFB7"/>
            <w:noWrap/>
            <w:vAlign w:val="center"/>
          </w:tcPr>
          <w:p w14:paraId="7906EEF3" w14:textId="77777777" w:rsidR="0021298F" w:rsidRPr="001D0619" w:rsidRDefault="0021298F" w:rsidP="00760009">
            <w:pPr>
              <w:jc w:val="right"/>
              <w:rPr>
                <w:rFonts w:ascii="Arial" w:eastAsia="Times New Roman" w:hAnsi="Arial" w:cs="Arial"/>
                <w:color w:val="000000"/>
                <w:lang w:eastAsia="en-GB"/>
              </w:rPr>
            </w:pPr>
            <w:r w:rsidRPr="001E64E0">
              <w:rPr>
                <w:rFonts w:ascii="Arial" w:eastAsia="Times New Roman" w:hAnsi="Arial" w:cs="Arial"/>
                <w:color w:val="000000"/>
                <w:lang w:eastAsia="en-GB"/>
              </w:rPr>
              <w:t>8</w:t>
            </w:r>
          </w:p>
        </w:tc>
        <w:tc>
          <w:tcPr>
            <w:tcW w:w="1385" w:type="pct"/>
            <w:tcBorders>
              <w:top w:val="nil"/>
              <w:left w:val="nil"/>
              <w:right w:val="nil"/>
            </w:tcBorders>
            <w:shd w:val="clear" w:color="000000" w:fill="EDFFB7"/>
            <w:noWrap/>
            <w:vAlign w:val="center"/>
          </w:tcPr>
          <w:p w14:paraId="1A09EAE6" w14:textId="77777777" w:rsidR="0021298F" w:rsidRPr="001D0619" w:rsidRDefault="0021298F" w:rsidP="00760009">
            <w:pPr>
              <w:jc w:val="right"/>
              <w:rPr>
                <w:rFonts w:ascii="Arial" w:eastAsia="Times New Roman" w:hAnsi="Arial" w:cs="Arial"/>
                <w:color w:val="000000"/>
                <w:lang w:eastAsia="en-GB"/>
              </w:rPr>
            </w:pPr>
            <w:r w:rsidRPr="001E64E0">
              <w:rPr>
                <w:rFonts w:ascii="Arial" w:eastAsia="Times New Roman" w:hAnsi="Arial" w:cs="Arial"/>
                <w:color w:val="000000"/>
                <w:lang w:eastAsia="en-GB"/>
              </w:rPr>
              <w:t>14</w:t>
            </w:r>
          </w:p>
        </w:tc>
      </w:tr>
      <w:tr w:rsidR="0021298F" w:rsidRPr="001D0619" w14:paraId="64BD1D9C" w14:textId="77777777" w:rsidTr="00760009">
        <w:trPr>
          <w:trHeight w:val="300"/>
        </w:trPr>
        <w:tc>
          <w:tcPr>
            <w:tcW w:w="2291" w:type="pct"/>
            <w:tcBorders>
              <w:left w:val="nil"/>
              <w:right w:val="nil"/>
            </w:tcBorders>
            <w:shd w:val="clear" w:color="000000" w:fill="FFFFFF"/>
            <w:noWrap/>
            <w:vAlign w:val="center"/>
          </w:tcPr>
          <w:p w14:paraId="5556DAFE" w14:textId="77777777" w:rsidR="0021298F" w:rsidRPr="00B5639E" w:rsidRDefault="0021298F" w:rsidP="00760009">
            <w:pPr>
              <w:jc w:val="both"/>
              <w:rPr>
                <w:rFonts w:ascii="Arial" w:eastAsia="Times New Roman" w:hAnsi="Arial" w:cs="Arial"/>
                <w:color w:val="000000"/>
                <w:lang w:eastAsia="en-GB"/>
              </w:rPr>
            </w:pPr>
            <w:r w:rsidRPr="00B5639E">
              <w:rPr>
                <w:rFonts w:ascii="Arial" w:eastAsia="Times New Roman" w:hAnsi="Arial" w:cs="Arial"/>
                <w:color w:val="000000"/>
                <w:lang w:eastAsia="en-GB"/>
              </w:rPr>
              <w:t>Kevin McNamara</w:t>
            </w:r>
          </w:p>
        </w:tc>
        <w:tc>
          <w:tcPr>
            <w:tcW w:w="1324" w:type="pct"/>
            <w:tcBorders>
              <w:left w:val="nil"/>
              <w:right w:val="nil"/>
            </w:tcBorders>
            <w:shd w:val="clear" w:color="000000" w:fill="EDFFB7"/>
            <w:noWrap/>
            <w:vAlign w:val="center"/>
          </w:tcPr>
          <w:p w14:paraId="001C15F9" w14:textId="77777777" w:rsidR="0021298F" w:rsidRPr="001D0619" w:rsidRDefault="0021298F" w:rsidP="00760009">
            <w:pPr>
              <w:jc w:val="right"/>
              <w:rPr>
                <w:rFonts w:ascii="Arial" w:eastAsia="Times New Roman" w:hAnsi="Arial" w:cs="Arial"/>
                <w:color w:val="000000"/>
                <w:lang w:eastAsia="en-GB"/>
              </w:rPr>
            </w:pPr>
            <w:r w:rsidRPr="001E64E0">
              <w:rPr>
                <w:rFonts w:ascii="Arial" w:eastAsia="Times New Roman" w:hAnsi="Arial" w:cs="Arial"/>
                <w:color w:val="000000"/>
                <w:lang w:eastAsia="en-GB"/>
              </w:rPr>
              <w:t>8</w:t>
            </w:r>
          </w:p>
        </w:tc>
        <w:tc>
          <w:tcPr>
            <w:tcW w:w="1385" w:type="pct"/>
            <w:tcBorders>
              <w:left w:val="nil"/>
              <w:right w:val="nil"/>
            </w:tcBorders>
            <w:shd w:val="clear" w:color="000000" w:fill="EDFFB7"/>
            <w:noWrap/>
            <w:vAlign w:val="center"/>
          </w:tcPr>
          <w:p w14:paraId="5083A0D0" w14:textId="77777777" w:rsidR="0021298F" w:rsidRPr="001D0619" w:rsidRDefault="0021298F" w:rsidP="00760009">
            <w:pPr>
              <w:jc w:val="right"/>
              <w:rPr>
                <w:rFonts w:ascii="Arial" w:eastAsia="Times New Roman" w:hAnsi="Arial" w:cs="Arial"/>
                <w:color w:val="000000"/>
                <w:lang w:eastAsia="en-GB"/>
              </w:rPr>
            </w:pPr>
            <w:r w:rsidRPr="001E64E0">
              <w:rPr>
                <w:rFonts w:ascii="Arial" w:eastAsia="Times New Roman" w:hAnsi="Arial" w:cs="Arial"/>
                <w:color w:val="000000"/>
                <w:lang w:eastAsia="en-GB"/>
              </w:rPr>
              <w:t>14</w:t>
            </w:r>
          </w:p>
        </w:tc>
      </w:tr>
      <w:tr w:rsidR="0021298F" w:rsidRPr="001D0619" w14:paraId="4910F158" w14:textId="77777777" w:rsidTr="00760009">
        <w:trPr>
          <w:trHeight w:val="300"/>
        </w:trPr>
        <w:tc>
          <w:tcPr>
            <w:tcW w:w="2291" w:type="pct"/>
            <w:tcBorders>
              <w:left w:val="nil"/>
              <w:bottom w:val="single" w:sz="8" w:space="0" w:color="auto"/>
              <w:right w:val="nil"/>
            </w:tcBorders>
            <w:shd w:val="clear" w:color="000000" w:fill="FFFFFF"/>
            <w:noWrap/>
            <w:vAlign w:val="center"/>
            <w:hideMark/>
          </w:tcPr>
          <w:p w14:paraId="4625CDED" w14:textId="77777777" w:rsidR="0021298F" w:rsidRPr="00B5639E" w:rsidRDefault="0021298F" w:rsidP="00760009">
            <w:pPr>
              <w:jc w:val="both"/>
              <w:rPr>
                <w:rFonts w:ascii="Arial" w:eastAsia="Times New Roman" w:hAnsi="Arial" w:cs="Arial"/>
                <w:color w:val="000000"/>
                <w:lang w:eastAsia="en-GB"/>
              </w:rPr>
            </w:pPr>
            <w:r w:rsidRPr="00B5639E">
              <w:rPr>
                <w:rFonts w:ascii="Arial" w:eastAsia="Times New Roman" w:hAnsi="Arial" w:cs="Arial"/>
                <w:color w:val="000000"/>
                <w:lang w:eastAsia="en-GB"/>
              </w:rPr>
              <w:t xml:space="preserve">Marco Graziano </w:t>
            </w:r>
            <w:r w:rsidRPr="00B5639E">
              <w:rPr>
                <w:rFonts w:ascii="Arial" w:eastAsia="Times New Roman" w:hAnsi="Arial" w:cs="Arial"/>
                <w:color w:val="000000"/>
                <w:vertAlign w:val="superscript"/>
                <w:lang w:eastAsia="en-GB"/>
              </w:rPr>
              <w:t>(1)</w:t>
            </w:r>
          </w:p>
        </w:tc>
        <w:tc>
          <w:tcPr>
            <w:tcW w:w="1324" w:type="pct"/>
            <w:tcBorders>
              <w:left w:val="nil"/>
              <w:bottom w:val="single" w:sz="8" w:space="0" w:color="auto"/>
              <w:right w:val="nil"/>
            </w:tcBorders>
            <w:shd w:val="clear" w:color="000000" w:fill="EDFFB7"/>
            <w:noWrap/>
            <w:vAlign w:val="center"/>
          </w:tcPr>
          <w:p w14:paraId="3359D849" w14:textId="77777777" w:rsidR="0021298F" w:rsidRPr="001D0619" w:rsidRDefault="0021298F" w:rsidP="00760009">
            <w:pPr>
              <w:jc w:val="right"/>
              <w:rPr>
                <w:rFonts w:ascii="Arial" w:eastAsia="Times New Roman" w:hAnsi="Arial" w:cs="Arial"/>
                <w:color w:val="000000"/>
                <w:lang w:eastAsia="en-GB"/>
              </w:rPr>
            </w:pPr>
            <w:r w:rsidRPr="001E64E0">
              <w:rPr>
                <w:rFonts w:ascii="Arial" w:eastAsia="Times New Roman" w:hAnsi="Arial" w:cs="Arial"/>
                <w:color w:val="000000"/>
                <w:lang w:eastAsia="en-GB"/>
              </w:rPr>
              <w:t>8</w:t>
            </w:r>
          </w:p>
        </w:tc>
        <w:tc>
          <w:tcPr>
            <w:tcW w:w="1385" w:type="pct"/>
            <w:tcBorders>
              <w:left w:val="nil"/>
              <w:bottom w:val="single" w:sz="8" w:space="0" w:color="auto"/>
              <w:right w:val="nil"/>
            </w:tcBorders>
            <w:shd w:val="clear" w:color="000000" w:fill="EDFFB7"/>
            <w:noWrap/>
            <w:vAlign w:val="center"/>
          </w:tcPr>
          <w:p w14:paraId="18CB4489" w14:textId="77777777" w:rsidR="0021298F" w:rsidRPr="001D0619" w:rsidRDefault="0021298F" w:rsidP="00760009">
            <w:pPr>
              <w:jc w:val="right"/>
              <w:rPr>
                <w:rFonts w:ascii="Arial" w:eastAsia="Times New Roman" w:hAnsi="Arial" w:cs="Arial"/>
                <w:color w:val="000000"/>
                <w:lang w:eastAsia="en-GB"/>
              </w:rPr>
            </w:pPr>
            <w:r w:rsidRPr="001E64E0">
              <w:rPr>
                <w:rFonts w:ascii="Arial" w:eastAsia="Times New Roman" w:hAnsi="Arial" w:cs="Arial"/>
                <w:color w:val="000000"/>
                <w:lang w:eastAsia="en-GB"/>
              </w:rPr>
              <w:t>14</w:t>
            </w:r>
          </w:p>
        </w:tc>
      </w:tr>
    </w:tbl>
    <w:p w14:paraId="2A0791F0" w14:textId="77777777" w:rsidR="0021298F" w:rsidRPr="00443E78" w:rsidRDefault="0021298F" w:rsidP="0021298F">
      <w:pPr>
        <w:jc w:val="both"/>
        <w:rPr>
          <w:rFonts w:ascii="Arial" w:eastAsia="Times New Roman" w:hAnsi="Arial" w:cs="Arial"/>
          <w:highlight w:val="yellow"/>
        </w:rPr>
      </w:pPr>
    </w:p>
    <w:p w14:paraId="7F767D46" w14:textId="77777777" w:rsidR="0021298F" w:rsidRPr="00B73F05" w:rsidRDefault="0021298F" w:rsidP="0021298F">
      <w:pPr>
        <w:jc w:val="both"/>
        <w:rPr>
          <w:rFonts w:ascii="Arial" w:eastAsia="Times New Roman" w:hAnsi="Arial" w:cs="Arial"/>
        </w:rPr>
      </w:pPr>
      <w:r>
        <w:rPr>
          <w:rFonts w:ascii="Arial" w:hAnsi="Arial" w:cs="Arial"/>
          <w:sz w:val="20"/>
          <w:szCs w:val="20"/>
          <w:vertAlign w:val="superscript"/>
        </w:rPr>
        <w:t>(</w:t>
      </w:r>
      <w:r w:rsidRPr="00B73F05">
        <w:rPr>
          <w:rFonts w:ascii="Arial" w:hAnsi="Arial" w:cs="Arial"/>
          <w:sz w:val="20"/>
          <w:szCs w:val="20"/>
          <w:vertAlign w:val="superscript"/>
        </w:rPr>
        <w:t>1</w:t>
      </w:r>
      <w:r>
        <w:rPr>
          <w:rFonts w:ascii="Arial" w:hAnsi="Arial" w:cs="Arial"/>
          <w:sz w:val="20"/>
          <w:szCs w:val="20"/>
          <w:vertAlign w:val="superscript"/>
        </w:rPr>
        <w:t>)</w:t>
      </w:r>
      <w:r w:rsidRPr="00B73F05">
        <w:rPr>
          <w:rFonts w:ascii="Arial" w:hAnsi="Arial" w:cs="Arial"/>
          <w:sz w:val="20"/>
          <w:szCs w:val="20"/>
        </w:rPr>
        <w:t xml:space="preserve"> Appointed with effect from 30 January 2020.</w:t>
      </w:r>
    </w:p>
    <w:p w14:paraId="7FB0E581" w14:textId="77777777" w:rsidR="0021298F" w:rsidRPr="00660DCB" w:rsidRDefault="0021298F" w:rsidP="0021298F">
      <w:pPr>
        <w:jc w:val="both"/>
        <w:rPr>
          <w:rFonts w:ascii="Arial" w:hAnsi="Arial" w:cs="Arial"/>
          <w:b/>
        </w:rPr>
      </w:pPr>
    </w:p>
    <w:p w14:paraId="40618877" w14:textId="77777777" w:rsidR="0021298F" w:rsidRPr="00B5639E" w:rsidRDefault="0021298F" w:rsidP="0021298F">
      <w:pPr>
        <w:pStyle w:val="Heading3"/>
        <w:spacing w:before="0"/>
        <w:jc w:val="both"/>
        <w:rPr>
          <w:rFonts w:ascii="Arial" w:hAnsi="Arial" w:cs="Arial"/>
          <w:color w:val="auto"/>
        </w:rPr>
      </w:pPr>
      <w:r w:rsidRPr="00B5639E">
        <w:rPr>
          <w:rFonts w:ascii="Arial" w:hAnsi="Arial" w:cs="Arial"/>
          <w:color w:val="auto"/>
        </w:rPr>
        <w:lastRenderedPageBreak/>
        <w:t>Board Meetings, Committee Meetings and Directors’ Attendance</w:t>
      </w:r>
    </w:p>
    <w:p w14:paraId="78BD07C8" w14:textId="77777777" w:rsidR="0021298F" w:rsidRDefault="0021298F" w:rsidP="0021298F">
      <w:pPr>
        <w:jc w:val="both"/>
        <w:rPr>
          <w:rFonts w:ascii="Arial" w:hAnsi="Arial" w:cs="Arial"/>
          <w:szCs w:val="26"/>
        </w:rPr>
      </w:pPr>
      <w:r w:rsidRPr="00B5639E">
        <w:rPr>
          <w:rFonts w:ascii="Arial" w:hAnsi="Arial" w:cs="Arial"/>
          <w:szCs w:val="26"/>
        </w:rPr>
        <w:t>During the year, there were also 10 meetings of sub-committees of the Board.</w:t>
      </w:r>
      <w:r>
        <w:rPr>
          <w:rFonts w:ascii="Arial" w:hAnsi="Arial" w:cs="Arial"/>
          <w:szCs w:val="26"/>
        </w:rPr>
        <w:t xml:space="preserve"> </w:t>
      </w:r>
      <w:bookmarkStart w:id="7" w:name="_Hlk60667327"/>
      <w:r w:rsidRPr="00B5639E">
        <w:rPr>
          <w:rFonts w:ascii="Arial" w:hAnsi="Arial" w:cs="Arial"/>
          <w:szCs w:val="26"/>
        </w:rPr>
        <w:t>The number of meetings of the Committees attended in the year by each Committee member is set out below.</w:t>
      </w:r>
    </w:p>
    <w:p w14:paraId="06E07999" w14:textId="77777777" w:rsidR="0021298F" w:rsidRPr="002C6D8A" w:rsidRDefault="0021298F" w:rsidP="0021298F">
      <w:pPr>
        <w:jc w:val="both"/>
        <w:rPr>
          <w:rFonts w:ascii="Arial" w:hAnsi="Arial" w:cs="Arial"/>
          <w:highlight w:val="yellow"/>
        </w:rPr>
      </w:pPr>
    </w:p>
    <w:tbl>
      <w:tblPr>
        <w:tblW w:w="5000" w:type="pct"/>
        <w:tblLook w:val="04A0" w:firstRow="1" w:lastRow="0" w:firstColumn="1" w:lastColumn="0" w:noHBand="0" w:noVBand="1"/>
      </w:tblPr>
      <w:tblGrid>
        <w:gridCol w:w="2520"/>
        <w:gridCol w:w="1457"/>
        <w:gridCol w:w="1683"/>
        <w:gridCol w:w="1536"/>
        <w:gridCol w:w="1830"/>
      </w:tblGrid>
      <w:tr w:rsidR="0021298F" w:rsidRPr="002C6D8A" w14:paraId="4D7EB987" w14:textId="77777777" w:rsidTr="00760009">
        <w:trPr>
          <w:trHeight w:val="1255"/>
        </w:trPr>
        <w:tc>
          <w:tcPr>
            <w:tcW w:w="1656" w:type="pct"/>
            <w:tcBorders>
              <w:top w:val="nil"/>
              <w:left w:val="nil"/>
              <w:bottom w:val="single" w:sz="4" w:space="0" w:color="000000"/>
              <w:right w:val="nil"/>
            </w:tcBorders>
            <w:shd w:val="clear" w:color="auto" w:fill="auto"/>
            <w:vAlign w:val="center"/>
            <w:hideMark/>
          </w:tcPr>
          <w:p w14:paraId="6CA59275" w14:textId="77777777" w:rsidR="0021298F" w:rsidRPr="00B5639E" w:rsidRDefault="0021298F" w:rsidP="00760009">
            <w:pPr>
              <w:jc w:val="both"/>
              <w:rPr>
                <w:rFonts w:ascii="Arial" w:eastAsia="Times New Roman" w:hAnsi="Arial" w:cs="Arial"/>
                <w:b/>
                <w:bCs/>
                <w:color w:val="000000"/>
                <w:lang w:eastAsia="en-GB"/>
              </w:rPr>
            </w:pPr>
            <w:bookmarkStart w:id="8" w:name="_Hlk60667363"/>
            <w:bookmarkEnd w:id="7"/>
            <w:r w:rsidRPr="00B5639E">
              <w:rPr>
                <w:rFonts w:ascii="Arial" w:eastAsia="Times New Roman" w:hAnsi="Arial" w:cs="Arial"/>
                <w:b/>
                <w:bCs/>
                <w:color w:val="000000"/>
                <w:lang w:eastAsia="en-GB"/>
              </w:rPr>
              <w:t>20</w:t>
            </w:r>
            <w:r>
              <w:rPr>
                <w:rFonts w:ascii="Arial" w:eastAsia="Times New Roman" w:hAnsi="Arial" w:cs="Arial"/>
                <w:b/>
                <w:bCs/>
                <w:color w:val="000000"/>
                <w:lang w:eastAsia="en-GB"/>
              </w:rPr>
              <w:t>20</w:t>
            </w:r>
          </w:p>
        </w:tc>
        <w:tc>
          <w:tcPr>
            <w:tcW w:w="750" w:type="pct"/>
            <w:tcBorders>
              <w:top w:val="nil"/>
              <w:left w:val="nil"/>
              <w:bottom w:val="single" w:sz="4" w:space="0" w:color="000000"/>
              <w:right w:val="nil"/>
            </w:tcBorders>
            <w:shd w:val="clear" w:color="auto" w:fill="auto"/>
            <w:vAlign w:val="center"/>
            <w:hideMark/>
          </w:tcPr>
          <w:p w14:paraId="26F09555" w14:textId="77777777" w:rsidR="0021298F" w:rsidRPr="00B5639E" w:rsidRDefault="0021298F" w:rsidP="00760009">
            <w:pPr>
              <w:jc w:val="right"/>
              <w:rPr>
                <w:rFonts w:ascii="Arial" w:eastAsia="Times New Roman" w:hAnsi="Arial" w:cs="Arial"/>
                <w:b/>
                <w:bCs/>
                <w:color w:val="000000"/>
                <w:lang w:eastAsia="en-GB"/>
              </w:rPr>
            </w:pPr>
            <w:r w:rsidRPr="00B5639E">
              <w:rPr>
                <w:rFonts w:ascii="Arial" w:eastAsia="Times New Roman" w:hAnsi="Arial" w:cs="Arial"/>
                <w:b/>
                <w:bCs/>
                <w:color w:val="000000"/>
                <w:lang w:eastAsia="en-GB"/>
              </w:rPr>
              <w:t>Audit Committee Meetings (Total of 4)</w:t>
            </w:r>
          </w:p>
        </w:tc>
        <w:tc>
          <w:tcPr>
            <w:tcW w:w="865" w:type="pct"/>
            <w:tcBorders>
              <w:top w:val="nil"/>
              <w:left w:val="nil"/>
              <w:bottom w:val="single" w:sz="4" w:space="0" w:color="auto"/>
              <w:right w:val="nil"/>
            </w:tcBorders>
            <w:shd w:val="clear" w:color="auto" w:fill="auto"/>
            <w:vAlign w:val="center"/>
            <w:hideMark/>
          </w:tcPr>
          <w:p w14:paraId="769D970C" w14:textId="77777777" w:rsidR="0021298F" w:rsidRPr="00B5639E" w:rsidRDefault="0021298F" w:rsidP="00760009">
            <w:pPr>
              <w:jc w:val="right"/>
              <w:rPr>
                <w:rFonts w:ascii="Arial" w:eastAsia="Times New Roman" w:hAnsi="Arial" w:cs="Arial"/>
                <w:b/>
                <w:bCs/>
                <w:color w:val="000000"/>
                <w:lang w:eastAsia="en-GB"/>
              </w:rPr>
            </w:pPr>
            <w:r w:rsidRPr="00B5639E">
              <w:rPr>
                <w:rFonts w:ascii="Arial" w:eastAsia="Times New Roman" w:hAnsi="Arial" w:cs="Arial"/>
                <w:b/>
                <w:bCs/>
                <w:color w:val="000000"/>
                <w:lang w:eastAsia="en-GB"/>
              </w:rPr>
              <w:t>Management Engagement Committee Meetings (Total of 2)</w:t>
            </w:r>
          </w:p>
        </w:tc>
        <w:tc>
          <w:tcPr>
            <w:tcW w:w="790" w:type="pct"/>
            <w:tcBorders>
              <w:top w:val="nil"/>
              <w:left w:val="nil"/>
              <w:bottom w:val="single" w:sz="4" w:space="0" w:color="auto"/>
              <w:right w:val="nil"/>
            </w:tcBorders>
          </w:tcPr>
          <w:p w14:paraId="16B897E8" w14:textId="77777777" w:rsidR="0021298F" w:rsidRPr="00B5639E" w:rsidRDefault="0021298F" w:rsidP="00760009">
            <w:pPr>
              <w:jc w:val="right"/>
              <w:rPr>
                <w:rFonts w:ascii="Arial" w:eastAsia="Times New Roman" w:hAnsi="Arial" w:cs="Arial"/>
                <w:b/>
                <w:bCs/>
                <w:color w:val="000000"/>
                <w:lang w:eastAsia="en-GB"/>
              </w:rPr>
            </w:pPr>
            <w:r w:rsidRPr="00B5639E">
              <w:rPr>
                <w:rFonts w:ascii="Arial" w:eastAsia="Times New Roman" w:hAnsi="Arial" w:cs="Arial"/>
                <w:b/>
                <w:bCs/>
                <w:color w:val="000000"/>
                <w:lang w:eastAsia="en-GB"/>
              </w:rPr>
              <w:t xml:space="preserve">Nomination Committee Meetings (Total of </w:t>
            </w:r>
            <w:r>
              <w:rPr>
                <w:rFonts w:ascii="Arial" w:eastAsia="Times New Roman" w:hAnsi="Arial" w:cs="Arial"/>
                <w:b/>
                <w:bCs/>
                <w:color w:val="000000"/>
                <w:lang w:eastAsia="en-GB"/>
              </w:rPr>
              <w:t>2</w:t>
            </w:r>
            <w:r w:rsidRPr="00B5639E">
              <w:rPr>
                <w:rFonts w:ascii="Arial" w:eastAsia="Times New Roman" w:hAnsi="Arial" w:cs="Arial"/>
                <w:b/>
                <w:bCs/>
                <w:color w:val="000000"/>
                <w:lang w:eastAsia="en-GB"/>
              </w:rPr>
              <w:t>)</w:t>
            </w:r>
          </w:p>
        </w:tc>
        <w:tc>
          <w:tcPr>
            <w:tcW w:w="940" w:type="pct"/>
            <w:tcBorders>
              <w:top w:val="nil"/>
              <w:left w:val="nil"/>
              <w:bottom w:val="single" w:sz="4" w:space="0" w:color="auto"/>
              <w:right w:val="nil"/>
            </w:tcBorders>
          </w:tcPr>
          <w:p w14:paraId="42A84C2A" w14:textId="77777777" w:rsidR="0021298F" w:rsidRPr="00B5639E" w:rsidRDefault="0021298F" w:rsidP="00760009">
            <w:pPr>
              <w:jc w:val="right"/>
              <w:rPr>
                <w:rFonts w:ascii="Arial" w:eastAsia="Times New Roman" w:hAnsi="Arial" w:cs="Arial"/>
                <w:b/>
                <w:bCs/>
                <w:color w:val="000000"/>
                <w:lang w:eastAsia="en-GB"/>
              </w:rPr>
            </w:pPr>
            <w:r w:rsidRPr="00B5639E">
              <w:rPr>
                <w:rFonts w:ascii="Arial" w:eastAsia="Times New Roman" w:hAnsi="Arial" w:cs="Arial"/>
                <w:b/>
                <w:bCs/>
                <w:color w:val="000000"/>
                <w:lang w:eastAsia="en-GB"/>
              </w:rPr>
              <w:t xml:space="preserve">Remuneration Committee Meetings (Total of </w:t>
            </w:r>
            <w:r>
              <w:rPr>
                <w:rFonts w:ascii="Arial" w:eastAsia="Times New Roman" w:hAnsi="Arial" w:cs="Arial"/>
                <w:b/>
                <w:bCs/>
                <w:color w:val="000000"/>
                <w:lang w:eastAsia="en-GB"/>
              </w:rPr>
              <w:t>2</w:t>
            </w:r>
            <w:r w:rsidRPr="00B5639E">
              <w:rPr>
                <w:rFonts w:ascii="Arial" w:eastAsia="Times New Roman" w:hAnsi="Arial" w:cs="Arial"/>
                <w:b/>
                <w:bCs/>
                <w:color w:val="000000"/>
                <w:lang w:eastAsia="en-GB"/>
              </w:rPr>
              <w:t>)</w:t>
            </w:r>
          </w:p>
        </w:tc>
      </w:tr>
      <w:tr w:rsidR="0021298F" w:rsidRPr="001D0619" w14:paraId="68E56416" w14:textId="77777777" w:rsidTr="00760009">
        <w:trPr>
          <w:trHeight w:val="285"/>
        </w:trPr>
        <w:tc>
          <w:tcPr>
            <w:tcW w:w="1656" w:type="pct"/>
            <w:tcBorders>
              <w:top w:val="nil"/>
              <w:left w:val="nil"/>
              <w:right w:val="nil"/>
            </w:tcBorders>
            <w:shd w:val="clear" w:color="000000" w:fill="FFFFFF"/>
            <w:noWrap/>
            <w:vAlign w:val="center"/>
            <w:hideMark/>
          </w:tcPr>
          <w:p w14:paraId="11A05AD2" w14:textId="77777777" w:rsidR="0021298F" w:rsidRPr="00B5639E" w:rsidRDefault="0021298F" w:rsidP="00760009">
            <w:pPr>
              <w:jc w:val="both"/>
              <w:rPr>
                <w:rFonts w:ascii="Arial" w:eastAsia="Times New Roman" w:hAnsi="Arial" w:cs="Arial"/>
                <w:color w:val="000000"/>
                <w:lang w:eastAsia="en-GB"/>
              </w:rPr>
            </w:pPr>
            <w:r w:rsidRPr="00B5639E">
              <w:rPr>
                <w:rFonts w:ascii="Arial" w:eastAsia="Times New Roman" w:hAnsi="Arial" w:cs="Arial"/>
                <w:color w:val="000000"/>
                <w:lang w:eastAsia="en-GB"/>
              </w:rPr>
              <w:t>Rónán Murphy</w:t>
            </w:r>
          </w:p>
        </w:tc>
        <w:tc>
          <w:tcPr>
            <w:tcW w:w="750" w:type="pct"/>
            <w:tcBorders>
              <w:top w:val="nil"/>
              <w:left w:val="nil"/>
              <w:right w:val="nil"/>
            </w:tcBorders>
            <w:shd w:val="clear" w:color="000000" w:fill="EDFFB7"/>
            <w:noWrap/>
            <w:vAlign w:val="center"/>
          </w:tcPr>
          <w:p w14:paraId="4FC8D78C" w14:textId="77777777" w:rsidR="0021298F" w:rsidRPr="001D0619" w:rsidRDefault="0021298F" w:rsidP="00760009">
            <w:pPr>
              <w:jc w:val="right"/>
              <w:rPr>
                <w:rFonts w:ascii="Arial" w:eastAsia="Times New Roman" w:hAnsi="Arial" w:cs="Arial"/>
                <w:color w:val="000000"/>
                <w:lang w:eastAsia="en-GB"/>
              </w:rPr>
            </w:pPr>
            <w:r w:rsidRPr="001E64E0">
              <w:rPr>
                <w:rFonts w:ascii="Arial" w:eastAsia="Times New Roman" w:hAnsi="Arial" w:cs="Arial"/>
                <w:color w:val="000000"/>
                <w:lang w:eastAsia="en-GB"/>
              </w:rPr>
              <w:t>-</w:t>
            </w:r>
          </w:p>
        </w:tc>
        <w:tc>
          <w:tcPr>
            <w:tcW w:w="865" w:type="pct"/>
            <w:tcBorders>
              <w:top w:val="nil"/>
              <w:left w:val="nil"/>
              <w:right w:val="nil"/>
            </w:tcBorders>
            <w:shd w:val="clear" w:color="000000" w:fill="EDFFB7"/>
            <w:noWrap/>
            <w:vAlign w:val="center"/>
          </w:tcPr>
          <w:p w14:paraId="6701E49B" w14:textId="77777777" w:rsidR="0021298F" w:rsidRPr="001D0619" w:rsidRDefault="0021298F" w:rsidP="00760009">
            <w:pPr>
              <w:jc w:val="right"/>
              <w:rPr>
                <w:rFonts w:ascii="Arial" w:eastAsia="Times New Roman" w:hAnsi="Arial" w:cs="Arial"/>
                <w:color w:val="000000"/>
                <w:lang w:eastAsia="en-GB"/>
              </w:rPr>
            </w:pPr>
            <w:r w:rsidRPr="001E64E0">
              <w:rPr>
                <w:rFonts w:ascii="Arial" w:eastAsia="Times New Roman" w:hAnsi="Arial" w:cs="Arial"/>
                <w:color w:val="000000"/>
                <w:lang w:eastAsia="en-GB"/>
              </w:rPr>
              <w:t>2</w:t>
            </w:r>
          </w:p>
        </w:tc>
        <w:tc>
          <w:tcPr>
            <w:tcW w:w="790" w:type="pct"/>
            <w:tcBorders>
              <w:top w:val="nil"/>
              <w:left w:val="nil"/>
              <w:right w:val="nil"/>
            </w:tcBorders>
            <w:shd w:val="clear" w:color="000000" w:fill="EDFFB7"/>
          </w:tcPr>
          <w:p w14:paraId="4EAC0AD7" w14:textId="77777777" w:rsidR="0021298F" w:rsidRPr="001D0619" w:rsidRDefault="0021298F" w:rsidP="00760009">
            <w:pPr>
              <w:jc w:val="right"/>
              <w:rPr>
                <w:rFonts w:ascii="Arial" w:eastAsia="Times New Roman" w:hAnsi="Arial" w:cs="Arial"/>
                <w:color w:val="000000"/>
                <w:lang w:eastAsia="en-GB"/>
              </w:rPr>
            </w:pPr>
            <w:r w:rsidRPr="001E64E0">
              <w:rPr>
                <w:rFonts w:ascii="Arial" w:eastAsia="Times New Roman" w:hAnsi="Arial" w:cs="Arial"/>
                <w:color w:val="000000"/>
                <w:lang w:eastAsia="en-GB"/>
              </w:rPr>
              <w:t>2</w:t>
            </w:r>
          </w:p>
        </w:tc>
        <w:tc>
          <w:tcPr>
            <w:tcW w:w="940" w:type="pct"/>
            <w:tcBorders>
              <w:top w:val="nil"/>
              <w:left w:val="nil"/>
              <w:right w:val="nil"/>
            </w:tcBorders>
            <w:shd w:val="clear" w:color="000000" w:fill="EDFFB7"/>
          </w:tcPr>
          <w:p w14:paraId="3928AF99" w14:textId="77777777" w:rsidR="0021298F" w:rsidRPr="001D0619" w:rsidRDefault="0021298F" w:rsidP="00760009">
            <w:pPr>
              <w:jc w:val="right"/>
              <w:rPr>
                <w:rFonts w:ascii="Arial" w:eastAsia="Times New Roman" w:hAnsi="Arial" w:cs="Arial"/>
                <w:color w:val="000000"/>
                <w:lang w:eastAsia="en-GB"/>
              </w:rPr>
            </w:pPr>
            <w:r w:rsidRPr="001E64E0">
              <w:rPr>
                <w:rFonts w:ascii="Arial" w:eastAsia="Times New Roman" w:hAnsi="Arial" w:cs="Arial"/>
                <w:color w:val="000000"/>
                <w:lang w:eastAsia="en-GB"/>
              </w:rPr>
              <w:t>2</w:t>
            </w:r>
          </w:p>
        </w:tc>
      </w:tr>
      <w:tr w:rsidR="0021298F" w:rsidRPr="001D0619" w14:paraId="534170B7" w14:textId="77777777" w:rsidTr="00760009">
        <w:trPr>
          <w:trHeight w:val="300"/>
        </w:trPr>
        <w:tc>
          <w:tcPr>
            <w:tcW w:w="1656" w:type="pct"/>
            <w:tcBorders>
              <w:top w:val="nil"/>
              <w:left w:val="nil"/>
              <w:right w:val="nil"/>
            </w:tcBorders>
            <w:shd w:val="clear" w:color="000000" w:fill="FFFFFF"/>
            <w:noWrap/>
            <w:vAlign w:val="center"/>
          </w:tcPr>
          <w:p w14:paraId="433D8239" w14:textId="77777777" w:rsidR="0021298F" w:rsidRPr="00B5639E" w:rsidRDefault="0021298F" w:rsidP="00760009">
            <w:pPr>
              <w:jc w:val="both"/>
              <w:rPr>
                <w:rFonts w:ascii="Arial" w:eastAsia="Times New Roman" w:hAnsi="Arial" w:cs="Arial"/>
                <w:color w:val="000000"/>
                <w:lang w:eastAsia="en-GB"/>
              </w:rPr>
            </w:pPr>
            <w:r w:rsidRPr="00B5639E">
              <w:rPr>
                <w:rFonts w:ascii="Arial" w:eastAsia="Times New Roman" w:hAnsi="Arial" w:cs="Arial"/>
                <w:color w:val="000000"/>
                <w:lang w:eastAsia="en-GB"/>
              </w:rPr>
              <w:t>Emer Gilvarry</w:t>
            </w:r>
          </w:p>
        </w:tc>
        <w:tc>
          <w:tcPr>
            <w:tcW w:w="750" w:type="pct"/>
            <w:tcBorders>
              <w:top w:val="nil"/>
              <w:left w:val="nil"/>
              <w:right w:val="nil"/>
            </w:tcBorders>
            <w:shd w:val="clear" w:color="000000" w:fill="EDFFB7"/>
            <w:noWrap/>
            <w:vAlign w:val="center"/>
          </w:tcPr>
          <w:p w14:paraId="29B9A391" w14:textId="77777777" w:rsidR="0021298F" w:rsidRPr="001D0619" w:rsidRDefault="0021298F" w:rsidP="00760009">
            <w:pPr>
              <w:jc w:val="right"/>
              <w:rPr>
                <w:rFonts w:ascii="Arial" w:eastAsia="Times New Roman" w:hAnsi="Arial" w:cs="Arial"/>
                <w:color w:val="000000"/>
                <w:lang w:eastAsia="en-GB"/>
              </w:rPr>
            </w:pPr>
            <w:r w:rsidRPr="001E64E0">
              <w:rPr>
                <w:rFonts w:ascii="Arial" w:eastAsia="Times New Roman" w:hAnsi="Arial" w:cs="Arial"/>
                <w:color w:val="000000"/>
                <w:lang w:eastAsia="en-GB"/>
              </w:rPr>
              <w:t>4</w:t>
            </w:r>
          </w:p>
        </w:tc>
        <w:tc>
          <w:tcPr>
            <w:tcW w:w="865" w:type="pct"/>
            <w:tcBorders>
              <w:top w:val="nil"/>
              <w:left w:val="nil"/>
              <w:right w:val="nil"/>
            </w:tcBorders>
            <w:shd w:val="clear" w:color="000000" w:fill="EDFFB7"/>
            <w:noWrap/>
            <w:vAlign w:val="center"/>
          </w:tcPr>
          <w:p w14:paraId="51C4C9DE" w14:textId="77777777" w:rsidR="0021298F" w:rsidRPr="001D0619" w:rsidRDefault="0021298F" w:rsidP="00760009">
            <w:pPr>
              <w:jc w:val="right"/>
              <w:rPr>
                <w:rFonts w:ascii="Arial" w:eastAsia="Times New Roman" w:hAnsi="Arial" w:cs="Arial"/>
                <w:color w:val="000000"/>
                <w:lang w:eastAsia="en-GB"/>
              </w:rPr>
            </w:pPr>
            <w:r w:rsidRPr="001E64E0">
              <w:rPr>
                <w:rFonts w:ascii="Arial" w:eastAsia="Times New Roman" w:hAnsi="Arial" w:cs="Arial"/>
                <w:color w:val="000000"/>
                <w:lang w:eastAsia="en-GB"/>
              </w:rPr>
              <w:t>2</w:t>
            </w:r>
          </w:p>
        </w:tc>
        <w:tc>
          <w:tcPr>
            <w:tcW w:w="790" w:type="pct"/>
            <w:tcBorders>
              <w:top w:val="nil"/>
              <w:left w:val="nil"/>
              <w:right w:val="nil"/>
            </w:tcBorders>
            <w:shd w:val="clear" w:color="000000" w:fill="EDFFB7"/>
          </w:tcPr>
          <w:p w14:paraId="05811B79" w14:textId="77777777" w:rsidR="0021298F" w:rsidRPr="001D0619" w:rsidRDefault="0021298F" w:rsidP="00760009">
            <w:pPr>
              <w:jc w:val="right"/>
              <w:rPr>
                <w:rFonts w:ascii="Arial" w:eastAsia="Times New Roman" w:hAnsi="Arial" w:cs="Arial"/>
                <w:color w:val="000000"/>
                <w:lang w:eastAsia="en-GB"/>
              </w:rPr>
            </w:pPr>
            <w:r w:rsidRPr="001E64E0">
              <w:rPr>
                <w:rFonts w:ascii="Arial" w:eastAsia="Times New Roman" w:hAnsi="Arial" w:cs="Arial"/>
                <w:color w:val="000000"/>
                <w:lang w:eastAsia="en-GB"/>
              </w:rPr>
              <w:t>2</w:t>
            </w:r>
          </w:p>
        </w:tc>
        <w:tc>
          <w:tcPr>
            <w:tcW w:w="940" w:type="pct"/>
            <w:tcBorders>
              <w:top w:val="nil"/>
              <w:left w:val="nil"/>
              <w:right w:val="nil"/>
            </w:tcBorders>
            <w:shd w:val="clear" w:color="000000" w:fill="EDFFB7"/>
          </w:tcPr>
          <w:p w14:paraId="4507B1EB" w14:textId="77777777" w:rsidR="0021298F" w:rsidRPr="001D0619" w:rsidRDefault="0021298F" w:rsidP="00760009">
            <w:pPr>
              <w:jc w:val="right"/>
              <w:rPr>
                <w:rFonts w:ascii="Arial" w:eastAsia="Times New Roman" w:hAnsi="Arial" w:cs="Arial"/>
                <w:color w:val="000000"/>
                <w:lang w:eastAsia="en-GB"/>
              </w:rPr>
            </w:pPr>
            <w:r w:rsidRPr="001E64E0">
              <w:rPr>
                <w:rFonts w:ascii="Arial" w:eastAsia="Times New Roman" w:hAnsi="Arial" w:cs="Arial"/>
                <w:color w:val="000000"/>
                <w:lang w:eastAsia="en-GB"/>
              </w:rPr>
              <w:t>2</w:t>
            </w:r>
          </w:p>
        </w:tc>
      </w:tr>
      <w:tr w:rsidR="0021298F" w:rsidRPr="001D0619" w14:paraId="24D481AC" w14:textId="77777777" w:rsidTr="00760009">
        <w:trPr>
          <w:trHeight w:val="300"/>
        </w:trPr>
        <w:tc>
          <w:tcPr>
            <w:tcW w:w="1656" w:type="pct"/>
            <w:tcBorders>
              <w:left w:val="nil"/>
              <w:right w:val="nil"/>
            </w:tcBorders>
            <w:shd w:val="clear" w:color="000000" w:fill="FFFFFF"/>
            <w:noWrap/>
            <w:vAlign w:val="center"/>
          </w:tcPr>
          <w:p w14:paraId="108E0F59" w14:textId="77777777" w:rsidR="0021298F" w:rsidRPr="00B5639E" w:rsidRDefault="0021298F" w:rsidP="00760009">
            <w:pPr>
              <w:jc w:val="both"/>
              <w:rPr>
                <w:rFonts w:ascii="Arial" w:eastAsia="Times New Roman" w:hAnsi="Arial" w:cs="Arial"/>
                <w:color w:val="000000"/>
                <w:lang w:eastAsia="en-GB"/>
              </w:rPr>
            </w:pPr>
            <w:r w:rsidRPr="00B5639E">
              <w:rPr>
                <w:rFonts w:ascii="Arial" w:eastAsia="Times New Roman" w:hAnsi="Arial" w:cs="Arial"/>
                <w:color w:val="000000"/>
                <w:lang w:eastAsia="en-GB"/>
              </w:rPr>
              <w:t>Kevin McNamara</w:t>
            </w:r>
          </w:p>
        </w:tc>
        <w:tc>
          <w:tcPr>
            <w:tcW w:w="750" w:type="pct"/>
            <w:tcBorders>
              <w:left w:val="nil"/>
              <w:right w:val="nil"/>
            </w:tcBorders>
            <w:shd w:val="clear" w:color="000000" w:fill="EDFFB7"/>
            <w:noWrap/>
            <w:vAlign w:val="center"/>
          </w:tcPr>
          <w:p w14:paraId="34EF8E44" w14:textId="77777777" w:rsidR="0021298F" w:rsidRPr="001D0619" w:rsidRDefault="0021298F" w:rsidP="00760009">
            <w:pPr>
              <w:jc w:val="right"/>
              <w:rPr>
                <w:rFonts w:ascii="Arial" w:eastAsia="Times New Roman" w:hAnsi="Arial" w:cs="Arial"/>
                <w:color w:val="000000"/>
                <w:lang w:eastAsia="en-GB"/>
              </w:rPr>
            </w:pPr>
            <w:r w:rsidRPr="001E64E0">
              <w:rPr>
                <w:rFonts w:ascii="Arial" w:eastAsia="Times New Roman" w:hAnsi="Arial" w:cs="Arial"/>
                <w:color w:val="000000"/>
                <w:lang w:eastAsia="en-GB"/>
              </w:rPr>
              <w:t>4</w:t>
            </w:r>
          </w:p>
        </w:tc>
        <w:tc>
          <w:tcPr>
            <w:tcW w:w="865" w:type="pct"/>
            <w:tcBorders>
              <w:left w:val="nil"/>
              <w:right w:val="nil"/>
            </w:tcBorders>
            <w:shd w:val="clear" w:color="000000" w:fill="EDFFB7"/>
            <w:noWrap/>
            <w:vAlign w:val="center"/>
          </w:tcPr>
          <w:p w14:paraId="6531A4BC" w14:textId="77777777" w:rsidR="0021298F" w:rsidRPr="001D0619" w:rsidRDefault="0021298F" w:rsidP="00760009">
            <w:pPr>
              <w:jc w:val="right"/>
              <w:rPr>
                <w:rFonts w:ascii="Arial" w:eastAsia="Times New Roman" w:hAnsi="Arial" w:cs="Arial"/>
                <w:color w:val="000000"/>
                <w:lang w:eastAsia="en-GB"/>
              </w:rPr>
            </w:pPr>
            <w:r w:rsidRPr="001E64E0">
              <w:rPr>
                <w:rFonts w:ascii="Arial" w:eastAsia="Times New Roman" w:hAnsi="Arial" w:cs="Arial"/>
                <w:color w:val="000000"/>
                <w:lang w:eastAsia="en-GB"/>
              </w:rPr>
              <w:t>2</w:t>
            </w:r>
          </w:p>
        </w:tc>
        <w:tc>
          <w:tcPr>
            <w:tcW w:w="790" w:type="pct"/>
            <w:tcBorders>
              <w:left w:val="nil"/>
              <w:right w:val="nil"/>
            </w:tcBorders>
            <w:shd w:val="clear" w:color="000000" w:fill="EDFFB7"/>
          </w:tcPr>
          <w:p w14:paraId="3C89BEED" w14:textId="77777777" w:rsidR="0021298F" w:rsidRPr="001D0619" w:rsidRDefault="0021298F" w:rsidP="00760009">
            <w:pPr>
              <w:jc w:val="right"/>
              <w:rPr>
                <w:rFonts w:ascii="Arial" w:eastAsia="Times New Roman" w:hAnsi="Arial" w:cs="Arial"/>
                <w:color w:val="000000"/>
                <w:lang w:eastAsia="en-GB"/>
              </w:rPr>
            </w:pPr>
            <w:r w:rsidRPr="001E64E0">
              <w:rPr>
                <w:rFonts w:ascii="Arial" w:eastAsia="Times New Roman" w:hAnsi="Arial" w:cs="Arial"/>
                <w:color w:val="000000"/>
                <w:lang w:eastAsia="en-GB"/>
              </w:rPr>
              <w:t>2</w:t>
            </w:r>
          </w:p>
        </w:tc>
        <w:tc>
          <w:tcPr>
            <w:tcW w:w="940" w:type="pct"/>
            <w:tcBorders>
              <w:left w:val="nil"/>
              <w:right w:val="nil"/>
            </w:tcBorders>
            <w:shd w:val="clear" w:color="000000" w:fill="EDFFB7"/>
          </w:tcPr>
          <w:p w14:paraId="0B6E62E4" w14:textId="77777777" w:rsidR="0021298F" w:rsidRPr="001D0619" w:rsidRDefault="0021298F" w:rsidP="00760009">
            <w:pPr>
              <w:jc w:val="right"/>
              <w:rPr>
                <w:rFonts w:ascii="Arial" w:eastAsia="Times New Roman" w:hAnsi="Arial" w:cs="Arial"/>
                <w:color w:val="000000"/>
                <w:lang w:eastAsia="en-GB"/>
              </w:rPr>
            </w:pPr>
            <w:r w:rsidRPr="001E64E0">
              <w:rPr>
                <w:rFonts w:ascii="Arial" w:eastAsia="Times New Roman" w:hAnsi="Arial" w:cs="Arial"/>
                <w:color w:val="000000"/>
                <w:lang w:eastAsia="en-GB"/>
              </w:rPr>
              <w:t>2</w:t>
            </w:r>
          </w:p>
        </w:tc>
      </w:tr>
      <w:tr w:rsidR="0021298F" w:rsidRPr="001D0619" w14:paraId="27F9FB3F" w14:textId="77777777" w:rsidTr="00760009">
        <w:trPr>
          <w:trHeight w:val="300"/>
        </w:trPr>
        <w:tc>
          <w:tcPr>
            <w:tcW w:w="1656" w:type="pct"/>
            <w:tcBorders>
              <w:left w:val="nil"/>
              <w:bottom w:val="single" w:sz="8" w:space="0" w:color="auto"/>
              <w:right w:val="nil"/>
            </w:tcBorders>
            <w:shd w:val="clear" w:color="000000" w:fill="FFFFFF"/>
            <w:noWrap/>
            <w:vAlign w:val="center"/>
            <w:hideMark/>
          </w:tcPr>
          <w:p w14:paraId="077F69D9" w14:textId="77777777" w:rsidR="0021298F" w:rsidRPr="00B5639E" w:rsidRDefault="0021298F" w:rsidP="00760009">
            <w:pPr>
              <w:jc w:val="both"/>
              <w:rPr>
                <w:rFonts w:ascii="Arial" w:eastAsia="Times New Roman" w:hAnsi="Arial" w:cs="Arial"/>
                <w:color w:val="000000"/>
                <w:lang w:eastAsia="en-GB"/>
              </w:rPr>
            </w:pPr>
            <w:r w:rsidRPr="00B5639E">
              <w:rPr>
                <w:rFonts w:ascii="Arial" w:eastAsia="Times New Roman" w:hAnsi="Arial" w:cs="Arial"/>
                <w:color w:val="000000"/>
                <w:lang w:eastAsia="en-GB"/>
              </w:rPr>
              <w:t>Marco Graziano</w:t>
            </w:r>
            <w:r>
              <w:rPr>
                <w:rFonts w:ascii="Arial" w:eastAsia="Times New Roman" w:hAnsi="Arial" w:cs="Arial"/>
                <w:color w:val="000000"/>
                <w:lang w:eastAsia="en-GB"/>
              </w:rPr>
              <w:t xml:space="preserve"> </w:t>
            </w:r>
            <w:r w:rsidRPr="00B5639E">
              <w:rPr>
                <w:rFonts w:ascii="Arial" w:eastAsia="Times New Roman" w:hAnsi="Arial" w:cs="Arial"/>
                <w:color w:val="000000"/>
                <w:vertAlign w:val="superscript"/>
                <w:lang w:eastAsia="en-GB"/>
              </w:rPr>
              <w:t>(1)</w:t>
            </w:r>
          </w:p>
        </w:tc>
        <w:tc>
          <w:tcPr>
            <w:tcW w:w="750" w:type="pct"/>
            <w:tcBorders>
              <w:left w:val="nil"/>
              <w:bottom w:val="single" w:sz="8" w:space="0" w:color="auto"/>
              <w:right w:val="nil"/>
            </w:tcBorders>
            <w:shd w:val="clear" w:color="000000" w:fill="EDFFB7"/>
            <w:noWrap/>
            <w:vAlign w:val="center"/>
          </w:tcPr>
          <w:p w14:paraId="3E0C4C73" w14:textId="77777777" w:rsidR="0021298F" w:rsidRPr="001D0619" w:rsidRDefault="0021298F" w:rsidP="00760009">
            <w:pPr>
              <w:jc w:val="right"/>
              <w:rPr>
                <w:rFonts w:ascii="Arial" w:eastAsia="Times New Roman" w:hAnsi="Arial" w:cs="Arial"/>
                <w:color w:val="000000"/>
                <w:lang w:eastAsia="en-GB"/>
              </w:rPr>
            </w:pPr>
            <w:r w:rsidRPr="001E64E0">
              <w:rPr>
                <w:rFonts w:ascii="Arial" w:eastAsia="Times New Roman" w:hAnsi="Arial" w:cs="Arial"/>
                <w:color w:val="000000"/>
                <w:lang w:eastAsia="en-GB"/>
              </w:rPr>
              <w:t>3</w:t>
            </w:r>
          </w:p>
        </w:tc>
        <w:tc>
          <w:tcPr>
            <w:tcW w:w="865" w:type="pct"/>
            <w:tcBorders>
              <w:left w:val="nil"/>
              <w:bottom w:val="single" w:sz="8" w:space="0" w:color="auto"/>
              <w:right w:val="nil"/>
            </w:tcBorders>
            <w:shd w:val="clear" w:color="000000" w:fill="EDFFB7"/>
            <w:noWrap/>
            <w:vAlign w:val="center"/>
          </w:tcPr>
          <w:p w14:paraId="78DDAE77" w14:textId="77777777" w:rsidR="0021298F" w:rsidRPr="001D0619" w:rsidRDefault="0021298F" w:rsidP="00760009">
            <w:pPr>
              <w:jc w:val="right"/>
              <w:rPr>
                <w:rFonts w:ascii="Arial" w:eastAsia="Times New Roman" w:hAnsi="Arial" w:cs="Arial"/>
                <w:color w:val="000000"/>
                <w:lang w:eastAsia="en-GB"/>
              </w:rPr>
            </w:pPr>
            <w:r w:rsidRPr="001E64E0">
              <w:rPr>
                <w:rFonts w:ascii="Arial" w:eastAsia="Times New Roman" w:hAnsi="Arial" w:cs="Arial"/>
                <w:color w:val="000000"/>
                <w:lang w:eastAsia="en-GB"/>
              </w:rPr>
              <w:t>2</w:t>
            </w:r>
          </w:p>
        </w:tc>
        <w:tc>
          <w:tcPr>
            <w:tcW w:w="790" w:type="pct"/>
            <w:tcBorders>
              <w:left w:val="nil"/>
              <w:bottom w:val="single" w:sz="8" w:space="0" w:color="auto"/>
              <w:right w:val="nil"/>
            </w:tcBorders>
            <w:shd w:val="clear" w:color="000000" w:fill="EDFFB7"/>
          </w:tcPr>
          <w:p w14:paraId="6B7B1180" w14:textId="77777777" w:rsidR="0021298F" w:rsidRPr="001D0619" w:rsidRDefault="0021298F" w:rsidP="00760009">
            <w:pPr>
              <w:jc w:val="right"/>
              <w:rPr>
                <w:rFonts w:ascii="Arial" w:eastAsia="Times New Roman" w:hAnsi="Arial" w:cs="Arial"/>
                <w:color w:val="000000"/>
                <w:lang w:eastAsia="en-GB"/>
              </w:rPr>
            </w:pPr>
            <w:r w:rsidRPr="001E64E0">
              <w:rPr>
                <w:rFonts w:ascii="Arial" w:eastAsia="Times New Roman" w:hAnsi="Arial" w:cs="Arial"/>
                <w:color w:val="000000"/>
                <w:lang w:eastAsia="en-GB"/>
              </w:rPr>
              <w:t>2</w:t>
            </w:r>
          </w:p>
        </w:tc>
        <w:tc>
          <w:tcPr>
            <w:tcW w:w="940" w:type="pct"/>
            <w:tcBorders>
              <w:left w:val="nil"/>
              <w:bottom w:val="single" w:sz="8" w:space="0" w:color="auto"/>
              <w:right w:val="nil"/>
            </w:tcBorders>
            <w:shd w:val="clear" w:color="000000" w:fill="EDFFB7"/>
          </w:tcPr>
          <w:p w14:paraId="6B5B4885" w14:textId="77777777" w:rsidR="0021298F" w:rsidRPr="001D0619" w:rsidRDefault="0021298F" w:rsidP="00760009">
            <w:pPr>
              <w:jc w:val="right"/>
              <w:rPr>
                <w:rFonts w:ascii="Arial" w:eastAsia="Times New Roman" w:hAnsi="Arial" w:cs="Arial"/>
                <w:color w:val="000000"/>
                <w:lang w:eastAsia="en-GB"/>
              </w:rPr>
            </w:pPr>
            <w:r w:rsidRPr="001E64E0">
              <w:rPr>
                <w:rFonts w:ascii="Arial" w:eastAsia="Times New Roman" w:hAnsi="Arial" w:cs="Arial"/>
                <w:color w:val="000000"/>
                <w:lang w:eastAsia="en-GB"/>
              </w:rPr>
              <w:t>2</w:t>
            </w:r>
          </w:p>
        </w:tc>
      </w:tr>
    </w:tbl>
    <w:bookmarkEnd w:id="8"/>
    <w:p w14:paraId="3C286D23" w14:textId="77777777" w:rsidR="0021298F" w:rsidRDefault="0021298F" w:rsidP="0021298F">
      <w:pPr>
        <w:jc w:val="both"/>
        <w:rPr>
          <w:rFonts w:ascii="Arial" w:hAnsi="Arial" w:cs="Arial"/>
          <w:sz w:val="20"/>
          <w:szCs w:val="20"/>
        </w:rPr>
      </w:pPr>
      <w:r>
        <w:rPr>
          <w:rFonts w:ascii="Arial" w:hAnsi="Arial" w:cs="Arial"/>
          <w:sz w:val="20"/>
          <w:szCs w:val="20"/>
          <w:vertAlign w:val="superscript"/>
        </w:rPr>
        <w:t>(1)</w:t>
      </w:r>
      <w:r>
        <w:rPr>
          <w:rFonts w:ascii="Arial" w:hAnsi="Arial" w:cs="Arial"/>
          <w:sz w:val="20"/>
          <w:szCs w:val="20"/>
        </w:rPr>
        <w:t xml:space="preserve"> Appointed with effect from 30 January 2020.</w:t>
      </w:r>
    </w:p>
    <w:p w14:paraId="75EFBBF7" w14:textId="77777777" w:rsidR="0021298F" w:rsidRDefault="0021298F" w:rsidP="0021298F">
      <w:pPr>
        <w:jc w:val="both"/>
        <w:rPr>
          <w:rFonts w:ascii="Arial" w:hAnsi="Arial" w:cs="Arial"/>
          <w:sz w:val="20"/>
          <w:szCs w:val="20"/>
        </w:rPr>
      </w:pPr>
    </w:p>
    <w:p w14:paraId="090AF449" w14:textId="77777777" w:rsidR="0021298F" w:rsidRPr="00B5639E" w:rsidRDefault="0021298F" w:rsidP="0021298F">
      <w:pPr>
        <w:pStyle w:val="Heading3"/>
        <w:spacing w:before="0"/>
        <w:jc w:val="both"/>
        <w:rPr>
          <w:rFonts w:ascii="Arial" w:hAnsi="Arial" w:cs="Arial"/>
          <w:b/>
        </w:rPr>
      </w:pPr>
      <w:r w:rsidRPr="00B5639E">
        <w:rPr>
          <w:rFonts w:ascii="Arial" w:hAnsi="Arial" w:cs="Arial"/>
          <w:color w:val="auto"/>
        </w:rPr>
        <w:t>Board Performance and Evaluation</w:t>
      </w:r>
    </w:p>
    <w:p w14:paraId="044A4A3F" w14:textId="77777777" w:rsidR="0021298F" w:rsidRPr="00B5639E" w:rsidRDefault="0021298F" w:rsidP="0021298F">
      <w:pPr>
        <w:jc w:val="both"/>
        <w:rPr>
          <w:rFonts w:ascii="Arial" w:eastAsia="Times New Roman" w:hAnsi="Arial" w:cs="Arial"/>
        </w:rPr>
      </w:pPr>
      <w:r>
        <w:rPr>
          <w:rFonts w:ascii="Arial" w:eastAsia="Times New Roman" w:hAnsi="Arial" w:cs="Arial"/>
        </w:rPr>
        <w:t>Regarding p</w:t>
      </w:r>
      <w:r w:rsidRPr="00B5639E">
        <w:rPr>
          <w:rFonts w:ascii="Arial" w:eastAsia="Times New Roman" w:hAnsi="Arial" w:cs="Arial"/>
        </w:rPr>
        <w:t xml:space="preserve">erformance and evaluation pursuant to Provision 26 of the AIC Code, the Board undertakes a formal and rigorous evaluation </w:t>
      </w:r>
      <w:r>
        <w:rPr>
          <w:rFonts w:ascii="Arial" w:eastAsia="Times New Roman" w:hAnsi="Arial" w:cs="Arial"/>
        </w:rPr>
        <w:t>of</w:t>
      </w:r>
      <w:r w:rsidRPr="00B5639E">
        <w:rPr>
          <w:rFonts w:ascii="Arial" w:eastAsia="Times New Roman" w:hAnsi="Arial" w:cs="Arial"/>
        </w:rPr>
        <w:t xml:space="preserve"> its performance each financial year. </w:t>
      </w:r>
    </w:p>
    <w:p w14:paraId="310F0F6E" w14:textId="77777777" w:rsidR="0021298F" w:rsidRDefault="0021298F" w:rsidP="0021298F">
      <w:pPr>
        <w:jc w:val="both"/>
        <w:rPr>
          <w:rFonts w:ascii="Arial" w:eastAsia="Times New Roman" w:hAnsi="Arial" w:cs="Arial"/>
        </w:rPr>
      </w:pPr>
    </w:p>
    <w:p w14:paraId="29CFBFCF" w14:textId="77777777" w:rsidR="0021298F" w:rsidRPr="00B5639E" w:rsidRDefault="0021298F" w:rsidP="0021298F">
      <w:pPr>
        <w:jc w:val="both"/>
        <w:rPr>
          <w:rFonts w:ascii="Arial" w:eastAsia="Times New Roman" w:hAnsi="Arial" w:cs="Arial"/>
        </w:rPr>
      </w:pPr>
      <w:r w:rsidRPr="00B5639E">
        <w:rPr>
          <w:rFonts w:ascii="Arial" w:eastAsia="Times New Roman" w:hAnsi="Arial" w:cs="Arial"/>
        </w:rPr>
        <w:t>Each individual Directors’ training and development needs are reviewed annually. All new Directors receive an induction, including being provided with information about the Company and their responsibilities and meetings with the Investment Manager. In addition, each Director will visit operational sites and specific Board training days are arranged involving presentations on relevant topics.</w:t>
      </w:r>
    </w:p>
    <w:p w14:paraId="21FE41AA" w14:textId="77777777" w:rsidR="0021298F" w:rsidRDefault="0021298F" w:rsidP="0021298F">
      <w:pPr>
        <w:jc w:val="both"/>
        <w:rPr>
          <w:rFonts w:ascii="Arial" w:eastAsia="Times New Roman" w:hAnsi="Arial" w:cs="Arial"/>
        </w:rPr>
      </w:pPr>
    </w:p>
    <w:p w14:paraId="3229EBF4" w14:textId="77777777" w:rsidR="0021298F" w:rsidRPr="006345C4" w:rsidRDefault="0021298F" w:rsidP="0021298F">
      <w:pPr>
        <w:pStyle w:val="Heading3"/>
        <w:spacing w:before="0"/>
        <w:jc w:val="both"/>
        <w:rPr>
          <w:rFonts w:ascii="Arial" w:hAnsi="Arial" w:cs="Arial"/>
        </w:rPr>
      </w:pPr>
      <w:r w:rsidRPr="006345C4">
        <w:rPr>
          <w:rFonts w:ascii="Arial" w:hAnsi="Arial" w:cs="Arial"/>
          <w:color w:val="auto"/>
        </w:rPr>
        <w:t>Directors’ Indemnity</w:t>
      </w:r>
    </w:p>
    <w:p w14:paraId="0D4DB747" w14:textId="77777777" w:rsidR="0021298F" w:rsidRDefault="0021298F" w:rsidP="0021298F">
      <w:pPr>
        <w:jc w:val="both"/>
        <w:rPr>
          <w:rFonts w:ascii="Arial" w:hAnsi="Arial" w:cs="Arial"/>
        </w:rPr>
      </w:pPr>
      <w:r>
        <w:rPr>
          <w:rFonts w:ascii="Arial" w:hAnsi="Arial" w:cs="Arial"/>
        </w:rPr>
        <w:t xml:space="preserve">Directors’ and Officers’ liability insurance cover is in place in respect of the Directors.  The Company’s articles of association provide, subject to the provisions of Ireland and UK legislation, an indemnity for Directors in respect of costs which they may incur relating to the defence of any proceedings brought against them arising out of their positions as Directors, in which they are acquitted or judgement is given in their favour by the Court. </w:t>
      </w:r>
    </w:p>
    <w:p w14:paraId="797CC4C7" w14:textId="77777777" w:rsidR="0021298F" w:rsidRDefault="0021298F" w:rsidP="0021298F">
      <w:pPr>
        <w:jc w:val="both"/>
        <w:rPr>
          <w:rFonts w:ascii="Arial" w:hAnsi="Arial" w:cs="Arial"/>
        </w:rPr>
      </w:pPr>
      <w:r>
        <w:rPr>
          <w:rFonts w:ascii="Arial" w:hAnsi="Arial" w:cs="Arial"/>
        </w:rPr>
        <w:t>Except for such indemnity provisions in the Company’s articles of association and in the Directors’ letters of appointment, there are no qualifying third party indemnity provisions in force.</w:t>
      </w:r>
    </w:p>
    <w:p w14:paraId="42960A04" w14:textId="77777777" w:rsidR="0021298F" w:rsidRPr="00660DCB" w:rsidRDefault="0021298F" w:rsidP="0021298F">
      <w:pPr>
        <w:jc w:val="both"/>
        <w:rPr>
          <w:rFonts w:ascii="Arial" w:hAnsi="Arial" w:cs="Arial"/>
          <w:b/>
        </w:rPr>
      </w:pPr>
    </w:p>
    <w:p w14:paraId="110B21E2" w14:textId="77777777" w:rsidR="0021298F" w:rsidRPr="006345C4" w:rsidRDefault="0021298F" w:rsidP="0021298F">
      <w:pPr>
        <w:pStyle w:val="Heading3"/>
        <w:spacing w:before="0"/>
        <w:jc w:val="both"/>
        <w:rPr>
          <w:rFonts w:ascii="Arial" w:hAnsi="Arial" w:cs="Arial"/>
        </w:rPr>
      </w:pPr>
      <w:r w:rsidRPr="006345C4">
        <w:rPr>
          <w:rFonts w:ascii="Arial" w:hAnsi="Arial" w:cs="Arial"/>
          <w:color w:val="auto"/>
        </w:rPr>
        <w:t>The Investment Manager</w:t>
      </w:r>
    </w:p>
    <w:p w14:paraId="731F9A30" w14:textId="77777777" w:rsidR="0021298F" w:rsidRDefault="0021298F" w:rsidP="0021298F">
      <w:pPr>
        <w:jc w:val="both"/>
        <w:rPr>
          <w:rFonts w:ascii="Arial" w:hAnsi="Arial" w:cs="Arial"/>
        </w:rPr>
      </w:pPr>
      <w:r w:rsidRPr="006345C4">
        <w:rPr>
          <w:rFonts w:ascii="Arial" w:hAnsi="Arial" w:cs="Arial"/>
        </w:rPr>
        <w:t>The Board has entered into the Investment Management Agreement with the Investment Manager under which the Investment Manager is responsible for developing strategy and the day-to-day management of the Group’s investment portfolio, in accordance with the Group’s investment objective and policy, subject to the overall supervision of the Board. A summary of the fees paid to the Investme</w:t>
      </w:r>
      <w:r>
        <w:rPr>
          <w:rFonts w:ascii="Arial" w:hAnsi="Arial" w:cs="Arial"/>
        </w:rPr>
        <w:t>nt Manager are given in note 3</w:t>
      </w:r>
      <w:r w:rsidRPr="006345C4">
        <w:rPr>
          <w:rFonts w:ascii="Arial" w:hAnsi="Arial" w:cs="Arial"/>
        </w:rPr>
        <w:t xml:space="preserve"> to the financial statements.</w:t>
      </w:r>
    </w:p>
    <w:p w14:paraId="1E6B2165" w14:textId="77777777" w:rsidR="0021298F" w:rsidRDefault="0021298F" w:rsidP="0021298F">
      <w:pPr>
        <w:jc w:val="both"/>
        <w:rPr>
          <w:rFonts w:ascii="Arial" w:hAnsi="Arial" w:cs="Arial"/>
          <w:sz w:val="20"/>
          <w:szCs w:val="20"/>
        </w:rPr>
      </w:pPr>
    </w:p>
    <w:p w14:paraId="0EECE035" w14:textId="77777777" w:rsidR="0021298F" w:rsidRDefault="0021298F" w:rsidP="0021298F">
      <w:pPr>
        <w:jc w:val="both"/>
        <w:rPr>
          <w:rFonts w:ascii="Arial" w:hAnsi="Arial" w:cs="Arial"/>
        </w:rPr>
      </w:pPr>
      <w:r w:rsidRPr="006345C4">
        <w:rPr>
          <w:rFonts w:ascii="Arial" w:hAnsi="Arial" w:cs="Arial"/>
        </w:rPr>
        <w:t xml:space="preserve">The Investment Manager’s appointment is for an initial term of 5 years from the admission date (25 July 2017). The Investment Management Agreement may be terminated by either party on the conclusion of the initial term provided the party purporting to terminate provides not less than 12 months prior written notice of its </w:t>
      </w:r>
      <w:r w:rsidRPr="006345C4">
        <w:rPr>
          <w:rFonts w:ascii="Arial" w:hAnsi="Arial" w:cs="Arial"/>
        </w:rPr>
        <w:lastRenderedPageBreak/>
        <w:t>intention to terminate the agreement. The Investment Management Agreement may be terminated with immediate effect and without compensation, by either the Investment Manager or the Company if the other party has gone into liquidation, administration or receivership or has committed a material breach of the Investment Management Agreement.</w:t>
      </w:r>
    </w:p>
    <w:p w14:paraId="306213CB" w14:textId="77777777" w:rsidR="0021298F" w:rsidRDefault="0021298F" w:rsidP="0021298F">
      <w:pPr>
        <w:jc w:val="both"/>
        <w:rPr>
          <w:rFonts w:ascii="Arial" w:hAnsi="Arial" w:cs="Arial"/>
        </w:rPr>
      </w:pPr>
    </w:p>
    <w:p w14:paraId="3D9E119D" w14:textId="77777777" w:rsidR="0021298F" w:rsidRDefault="0021298F" w:rsidP="0021298F">
      <w:pPr>
        <w:jc w:val="both"/>
        <w:rPr>
          <w:rFonts w:ascii="Arial" w:eastAsia="Times New Roman" w:hAnsi="Arial" w:cs="Arial"/>
        </w:rPr>
      </w:pPr>
      <w:r>
        <w:rPr>
          <w:rFonts w:ascii="Arial" w:eastAsia="Times New Roman" w:hAnsi="Arial" w:cs="Arial"/>
        </w:rPr>
        <w:t>The Investment Manager will, at all times, act within the parameters set out in the Investment Policy. The Investment Manager reports to the Board and keeps the Board appraised of material developments on an ongoing basis.</w:t>
      </w:r>
    </w:p>
    <w:p w14:paraId="741676B8" w14:textId="77777777" w:rsidR="0021298F" w:rsidRDefault="0021298F" w:rsidP="0021298F">
      <w:pPr>
        <w:jc w:val="both"/>
        <w:rPr>
          <w:rFonts w:ascii="Arial" w:eastAsia="Times New Roman" w:hAnsi="Arial" w:cs="Arial"/>
        </w:rPr>
      </w:pPr>
    </w:p>
    <w:p w14:paraId="1CD56403" w14:textId="77777777" w:rsidR="0021298F" w:rsidRDefault="0021298F" w:rsidP="0021298F">
      <w:pPr>
        <w:jc w:val="both"/>
        <w:rPr>
          <w:rFonts w:ascii="Arial" w:eastAsia="Times New Roman" w:hAnsi="Arial" w:cs="Arial"/>
        </w:rPr>
      </w:pPr>
      <w:r>
        <w:rPr>
          <w:rFonts w:ascii="Arial" w:eastAsia="Times New Roman" w:hAnsi="Arial" w:cs="Arial"/>
        </w:rPr>
        <w:t>The Investment Manager is responsible for, among other things:</w:t>
      </w:r>
    </w:p>
    <w:p w14:paraId="416A819C" w14:textId="77777777" w:rsidR="0021298F" w:rsidRDefault="0021298F" w:rsidP="0021298F">
      <w:pPr>
        <w:jc w:val="both"/>
        <w:rPr>
          <w:rFonts w:ascii="Arial" w:eastAsia="Times New Roman" w:hAnsi="Arial" w:cs="Arial"/>
        </w:rPr>
      </w:pPr>
    </w:p>
    <w:p w14:paraId="2DFB1231" w14:textId="77777777" w:rsidR="0021298F" w:rsidRDefault="0021298F" w:rsidP="0021298F">
      <w:pPr>
        <w:pStyle w:val="ListParagraph"/>
        <w:numPr>
          <w:ilvl w:val="0"/>
          <w:numId w:val="39"/>
        </w:numPr>
        <w:rPr>
          <w:rFonts w:ascii="Arial" w:eastAsia="Times New Roman" w:hAnsi="Arial" w:cs="Arial"/>
        </w:rPr>
      </w:pPr>
      <w:r>
        <w:rPr>
          <w:rFonts w:ascii="Arial" w:eastAsia="Times New Roman" w:hAnsi="Arial" w:cs="Arial"/>
        </w:rPr>
        <w:t>management of the Portfolio and further investments;</w:t>
      </w:r>
    </w:p>
    <w:p w14:paraId="13F5B772" w14:textId="77777777" w:rsidR="0021298F" w:rsidRDefault="0021298F" w:rsidP="0021298F">
      <w:pPr>
        <w:pStyle w:val="ListParagraph"/>
        <w:numPr>
          <w:ilvl w:val="0"/>
          <w:numId w:val="39"/>
        </w:numPr>
        <w:jc w:val="both"/>
        <w:rPr>
          <w:rFonts w:ascii="Arial" w:eastAsia="Times New Roman" w:hAnsi="Arial" w:cs="Arial"/>
        </w:rPr>
      </w:pPr>
      <w:r>
        <w:rPr>
          <w:rFonts w:ascii="Arial" w:eastAsia="Times New Roman" w:hAnsi="Arial" w:cs="Arial"/>
        </w:rPr>
        <w:t>identifying, evaluating and executing possible further investments;</w:t>
      </w:r>
    </w:p>
    <w:p w14:paraId="548B5B7E" w14:textId="77777777" w:rsidR="0021298F" w:rsidRDefault="0021298F" w:rsidP="0021298F">
      <w:pPr>
        <w:pStyle w:val="ListParagraph"/>
        <w:numPr>
          <w:ilvl w:val="0"/>
          <w:numId w:val="39"/>
        </w:numPr>
        <w:jc w:val="both"/>
        <w:rPr>
          <w:rFonts w:ascii="Arial" w:eastAsia="Times New Roman" w:hAnsi="Arial" w:cs="Arial"/>
        </w:rPr>
      </w:pPr>
      <w:r>
        <w:rPr>
          <w:rFonts w:ascii="Arial" w:eastAsia="Times New Roman" w:hAnsi="Arial" w:cs="Arial"/>
        </w:rPr>
        <w:t>risk management;</w:t>
      </w:r>
    </w:p>
    <w:p w14:paraId="0141CAC4" w14:textId="77777777" w:rsidR="0021298F" w:rsidRDefault="0021298F" w:rsidP="0021298F">
      <w:pPr>
        <w:pStyle w:val="ListParagraph"/>
        <w:numPr>
          <w:ilvl w:val="0"/>
          <w:numId w:val="39"/>
        </w:numPr>
        <w:jc w:val="both"/>
        <w:rPr>
          <w:rFonts w:ascii="Arial" w:eastAsia="Times New Roman" w:hAnsi="Arial" w:cs="Arial"/>
        </w:rPr>
      </w:pPr>
      <w:r>
        <w:rPr>
          <w:rFonts w:ascii="Arial" w:eastAsia="Times New Roman" w:hAnsi="Arial" w:cs="Arial"/>
        </w:rPr>
        <w:t>reporting to the Board;</w:t>
      </w:r>
    </w:p>
    <w:p w14:paraId="540C7A73" w14:textId="77777777" w:rsidR="0021298F" w:rsidRDefault="0021298F" w:rsidP="0021298F">
      <w:pPr>
        <w:pStyle w:val="ListParagraph"/>
        <w:numPr>
          <w:ilvl w:val="0"/>
          <w:numId w:val="39"/>
        </w:numPr>
        <w:jc w:val="both"/>
        <w:rPr>
          <w:rFonts w:ascii="Arial" w:eastAsia="Times New Roman" w:hAnsi="Arial" w:cs="Arial"/>
        </w:rPr>
      </w:pPr>
      <w:r>
        <w:rPr>
          <w:rFonts w:ascii="Arial" w:eastAsia="Times New Roman" w:hAnsi="Arial" w:cs="Arial"/>
        </w:rPr>
        <w:t>calculating and publishing NAV, with the assistance of the Administrator;</w:t>
      </w:r>
    </w:p>
    <w:p w14:paraId="7DC25EEC" w14:textId="77777777" w:rsidR="0021298F" w:rsidRDefault="0021298F" w:rsidP="0021298F">
      <w:pPr>
        <w:pStyle w:val="ListParagraph"/>
        <w:numPr>
          <w:ilvl w:val="0"/>
          <w:numId w:val="39"/>
        </w:numPr>
        <w:jc w:val="both"/>
        <w:rPr>
          <w:rFonts w:ascii="Arial" w:eastAsia="Times New Roman" w:hAnsi="Arial" w:cs="Arial"/>
        </w:rPr>
      </w:pPr>
      <w:r>
        <w:rPr>
          <w:rFonts w:ascii="Arial" w:eastAsia="Times New Roman" w:hAnsi="Arial" w:cs="Arial"/>
        </w:rPr>
        <w:t>assisting the Company in complying with its ongoing obligations as a company whose shares are admitted to trading on AIM and Euronext Growth Market; and</w:t>
      </w:r>
    </w:p>
    <w:p w14:paraId="24C0848A" w14:textId="77777777" w:rsidR="0021298F" w:rsidRDefault="0021298F" w:rsidP="0021298F">
      <w:pPr>
        <w:pStyle w:val="ListParagraph"/>
        <w:numPr>
          <w:ilvl w:val="0"/>
          <w:numId w:val="39"/>
        </w:numPr>
        <w:jc w:val="both"/>
        <w:rPr>
          <w:rFonts w:ascii="Arial" w:eastAsia="Times New Roman" w:hAnsi="Arial" w:cs="Arial"/>
        </w:rPr>
      </w:pPr>
      <w:r>
        <w:rPr>
          <w:rFonts w:ascii="Arial" w:eastAsia="Times New Roman" w:hAnsi="Arial" w:cs="Arial"/>
        </w:rPr>
        <w:t>directing, managing, supervising and co-ordinating the Company’s third-party service providers, including the Depositary and the Administrator, in accordance with industry best practice.</w:t>
      </w:r>
    </w:p>
    <w:p w14:paraId="08A95EE7" w14:textId="77777777" w:rsidR="0021298F" w:rsidRDefault="0021298F" w:rsidP="0021298F">
      <w:pPr>
        <w:jc w:val="both"/>
        <w:rPr>
          <w:rFonts w:ascii="Arial" w:hAnsi="Arial" w:cs="Arial"/>
        </w:rPr>
      </w:pPr>
    </w:p>
    <w:p w14:paraId="64AA834E" w14:textId="77777777" w:rsidR="0021298F" w:rsidRDefault="0021298F" w:rsidP="0021298F">
      <w:pPr>
        <w:pStyle w:val="Heading3"/>
        <w:spacing w:before="0"/>
        <w:jc w:val="both"/>
        <w:rPr>
          <w:rFonts w:ascii="Arial" w:hAnsi="Arial" w:cs="Arial"/>
          <w:color w:val="auto"/>
        </w:rPr>
      </w:pPr>
      <w:r w:rsidRPr="006345C4">
        <w:rPr>
          <w:rFonts w:ascii="Arial" w:hAnsi="Arial" w:cs="Arial"/>
          <w:color w:val="auto"/>
        </w:rPr>
        <w:t>Risk Management and Internal Control</w:t>
      </w:r>
    </w:p>
    <w:p w14:paraId="7C7C3ACC" w14:textId="77777777" w:rsidR="0021298F" w:rsidRPr="001E34C8" w:rsidRDefault="0021298F" w:rsidP="0021298F">
      <w:pPr>
        <w:pStyle w:val="Heading3"/>
        <w:spacing w:before="0"/>
        <w:jc w:val="both"/>
        <w:rPr>
          <w:rFonts w:ascii="Arial" w:eastAsia="Times New Roman" w:hAnsi="Arial" w:cs="Arial"/>
          <w:b/>
          <w:bCs/>
        </w:rPr>
      </w:pPr>
      <w:r w:rsidRPr="001E34C8">
        <w:rPr>
          <w:rFonts w:ascii="Arial" w:hAnsi="Arial" w:cs="Arial"/>
          <w:color w:val="auto"/>
        </w:rPr>
        <w:t>The Board is responsible for the Company’s system of internal control and for reviewing its effectiveness. The Board confirms that it has an ongoing process for identifying, evaluating and managing the significant risks faced by the Company. This process has been in place throughout the year and has continued since the year end.</w:t>
      </w:r>
    </w:p>
    <w:p w14:paraId="44E8A0CA" w14:textId="77777777" w:rsidR="0021298F" w:rsidRPr="006345C4" w:rsidRDefault="0021298F" w:rsidP="0021298F">
      <w:pPr>
        <w:jc w:val="both"/>
        <w:rPr>
          <w:rFonts w:ascii="Arial" w:eastAsia="Times New Roman" w:hAnsi="Arial" w:cs="Arial"/>
        </w:rPr>
      </w:pPr>
    </w:p>
    <w:p w14:paraId="2B6D48D0" w14:textId="77777777" w:rsidR="0021298F" w:rsidRPr="006345C4" w:rsidRDefault="0021298F" w:rsidP="0021298F">
      <w:pPr>
        <w:jc w:val="both"/>
        <w:rPr>
          <w:rFonts w:ascii="Arial" w:eastAsia="Times New Roman" w:hAnsi="Arial" w:cs="Arial"/>
        </w:rPr>
      </w:pPr>
      <w:r w:rsidRPr="006345C4">
        <w:rPr>
          <w:rFonts w:ascii="Arial" w:eastAsia="Times New Roman" w:hAnsi="Arial" w:cs="Arial"/>
        </w:rPr>
        <w:t xml:space="preserve">The Company’s principal risks and uncertainties are detailed </w:t>
      </w:r>
      <w:r>
        <w:rPr>
          <w:rFonts w:ascii="Arial" w:eastAsia="Times New Roman" w:hAnsi="Arial" w:cs="Arial"/>
        </w:rPr>
        <w:t>below</w:t>
      </w:r>
      <w:r w:rsidRPr="006345C4">
        <w:rPr>
          <w:rFonts w:ascii="Arial" w:eastAsia="Times New Roman" w:hAnsi="Arial" w:cs="Arial"/>
        </w:rPr>
        <w:t xml:space="preserve">. As further explained in the Audit Committee Report, the risks of the Company are outlined in a risk matrix which was reviewed and updated during the </w:t>
      </w:r>
      <w:r>
        <w:rPr>
          <w:rFonts w:ascii="Arial" w:eastAsia="Times New Roman" w:hAnsi="Arial" w:cs="Arial"/>
        </w:rPr>
        <w:t>year</w:t>
      </w:r>
      <w:r w:rsidRPr="006345C4">
        <w:rPr>
          <w:rFonts w:ascii="Arial" w:eastAsia="Times New Roman" w:hAnsi="Arial" w:cs="Arial"/>
        </w:rPr>
        <w:t>. The Board continually reviews its policy setting and updates the risk matrix annually to ensure that procedures are in place with the intention of identifying, mitigating and minimising the impact of risks should they crystallise. The Board relies on reports periodically provided by the Investment Manager, the Depositary and the Administrator regarding risks that the Company faces. When required, experts are employed to gather information, including tax and legal advisers. The Board also regularly monitors the investment environment and the management of the Company’s portfolio, and applies the principles detailed in the internal control guidance issued by the FRC.</w:t>
      </w:r>
      <w:r w:rsidRPr="00F52A86">
        <w:rPr>
          <w:rFonts w:ascii="Arial" w:eastAsia="Times New Roman" w:hAnsi="Arial" w:cs="Arial"/>
        </w:rPr>
        <w:t xml:space="preserve"> </w:t>
      </w:r>
      <w:r w:rsidRPr="006345C4">
        <w:rPr>
          <w:rFonts w:ascii="Arial" w:eastAsia="Times New Roman" w:hAnsi="Arial" w:cs="Arial"/>
        </w:rPr>
        <w:t>The principal features of the internal control systems which the Investment Manager and the Administrator have in place in respect of the Group’s financial reporting include:</w:t>
      </w:r>
    </w:p>
    <w:p w14:paraId="1A8F2ED4" w14:textId="77777777" w:rsidR="0021298F" w:rsidRPr="00224BC3" w:rsidRDefault="0021298F" w:rsidP="0021298F">
      <w:pPr>
        <w:pStyle w:val="ListParagraph"/>
        <w:numPr>
          <w:ilvl w:val="0"/>
          <w:numId w:val="22"/>
        </w:numPr>
        <w:jc w:val="both"/>
        <w:rPr>
          <w:rFonts w:ascii="Arial" w:eastAsia="Times New Roman" w:hAnsi="Arial" w:cs="Arial"/>
        </w:rPr>
      </w:pPr>
      <w:r w:rsidRPr="00224BC3">
        <w:rPr>
          <w:rFonts w:ascii="Arial" w:eastAsia="Times New Roman" w:hAnsi="Arial" w:cs="Arial"/>
        </w:rPr>
        <w:t>internal reviews of all financial reports;</w:t>
      </w:r>
    </w:p>
    <w:p w14:paraId="020437A3" w14:textId="77777777" w:rsidR="0021298F" w:rsidRPr="00224BC3" w:rsidRDefault="0021298F" w:rsidP="0021298F">
      <w:pPr>
        <w:pStyle w:val="ListParagraph"/>
        <w:numPr>
          <w:ilvl w:val="0"/>
          <w:numId w:val="22"/>
        </w:numPr>
        <w:jc w:val="both"/>
        <w:rPr>
          <w:rFonts w:ascii="Arial" w:eastAsia="Times New Roman" w:hAnsi="Arial" w:cs="Arial"/>
        </w:rPr>
      </w:pPr>
      <w:r w:rsidRPr="00224BC3">
        <w:rPr>
          <w:rFonts w:ascii="Arial" w:eastAsia="Times New Roman" w:hAnsi="Arial" w:cs="Arial"/>
        </w:rPr>
        <w:t xml:space="preserve">review by the Board of financial information prior to its publication; and </w:t>
      </w:r>
    </w:p>
    <w:p w14:paraId="76D719AA" w14:textId="77777777" w:rsidR="0021298F" w:rsidRDefault="0021298F" w:rsidP="0021298F">
      <w:pPr>
        <w:pStyle w:val="ListParagraph"/>
        <w:numPr>
          <w:ilvl w:val="0"/>
          <w:numId w:val="22"/>
        </w:numPr>
        <w:jc w:val="both"/>
        <w:rPr>
          <w:rFonts w:ascii="Arial" w:eastAsia="Times New Roman" w:hAnsi="Arial" w:cs="Arial"/>
        </w:rPr>
      </w:pPr>
      <w:r w:rsidRPr="00224BC3">
        <w:rPr>
          <w:rFonts w:ascii="Arial" w:eastAsia="Times New Roman" w:hAnsi="Arial" w:cs="Arial"/>
        </w:rPr>
        <w:t xml:space="preserve">authorisation limits </w:t>
      </w:r>
      <w:r w:rsidRPr="006345C4">
        <w:rPr>
          <w:rFonts w:ascii="Arial" w:eastAsia="Times New Roman" w:hAnsi="Arial" w:cs="Arial"/>
        </w:rPr>
        <w:t>over expenditure incurred by the Group</w:t>
      </w:r>
      <w:r>
        <w:rPr>
          <w:rFonts w:ascii="Arial" w:eastAsia="Times New Roman" w:hAnsi="Arial" w:cs="Arial"/>
        </w:rPr>
        <w:t>.</w:t>
      </w:r>
    </w:p>
    <w:p w14:paraId="35008A78" w14:textId="77777777" w:rsidR="0021298F" w:rsidRPr="006345C4" w:rsidRDefault="0021298F" w:rsidP="0021298F">
      <w:pPr>
        <w:jc w:val="both"/>
        <w:rPr>
          <w:rFonts w:ascii="Arial" w:hAnsi="Arial" w:cs="Arial"/>
          <w:b/>
          <w:sz w:val="26"/>
          <w:szCs w:val="26"/>
        </w:rPr>
      </w:pPr>
    </w:p>
    <w:p w14:paraId="70CCE3CD" w14:textId="77777777" w:rsidR="0021298F" w:rsidRPr="006345C4" w:rsidRDefault="0021298F" w:rsidP="0021298F">
      <w:pPr>
        <w:pStyle w:val="Heading3"/>
        <w:spacing w:before="0"/>
        <w:jc w:val="both"/>
        <w:rPr>
          <w:rFonts w:ascii="Arial" w:hAnsi="Arial" w:cs="Arial"/>
          <w:color w:val="auto"/>
        </w:rPr>
      </w:pPr>
      <w:r w:rsidRPr="006345C4">
        <w:rPr>
          <w:rFonts w:ascii="Arial" w:hAnsi="Arial" w:cs="Arial"/>
          <w:color w:val="auto"/>
        </w:rPr>
        <w:t>Information and Support</w:t>
      </w:r>
    </w:p>
    <w:p w14:paraId="7F4C10E0" w14:textId="77777777" w:rsidR="0021298F" w:rsidRDefault="0021298F" w:rsidP="0021298F">
      <w:pPr>
        <w:jc w:val="both"/>
        <w:rPr>
          <w:rFonts w:ascii="Arial" w:eastAsia="Times New Roman" w:hAnsi="Arial" w:cs="Arial"/>
        </w:rPr>
      </w:pPr>
      <w:r w:rsidRPr="006345C4">
        <w:rPr>
          <w:rFonts w:ascii="Arial" w:eastAsia="Times New Roman" w:hAnsi="Arial" w:cs="Arial"/>
        </w:rPr>
        <w:t xml:space="preserve">The Board can seek independent professional advice on a matter, at the Company’s expense, where they judge it necessary to discharge their responsibilities as Directors. </w:t>
      </w:r>
      <w:r w:rsidRPr="006345C4">
        <w:rPr>
          <w:rFonts w:ascii="Arial" w:eastAsia="Times New Roman" w:hAnsi="Arial" w:cs="Arial"/>
        </w:rPr>
        <w:lastRenderedPageBreak/>
        <w:t>The Committees of the Board are provided with sufficient resources to undertake their duties. The Directors have access to the services of the Company Secretary who is responsible for ensuring that Board procedures are followed.</w:t>
      </w:r>
    </w:p>
    <w:p w14:paraId="243066AD" w14:textId="77777777" w:rsidR="0021298F" w:rsidRDefault="0021298F" w:rsidP="0021298F">
      <w:pPr>
        <w:jc w:val="both"/>
        <w:rPr>
          <w:rFonts w:ascii="Arial" w:eastAsia="Times New Roman" w:hAnsi="Arial" w:cs="Arial"/>
        </w:rPr>
      </w:pPr>
    </w:p>
    <w:p w14:paraId="6FDFB3B7" w14:textId="77777777" w:rsidR="0021298F" w:rsidRPr="006345C4" w:rsidRDefault="0021298F" w:rsidP="0021298F">
      <w:pPr>
        <w:pStyle w:val="Heading3"/>
        <w:spacing w:before="0"/>
        <w:jc w:val="both"/>
        <w:rPr>
          <w:rFonts w:ascii="Arial" w:hAnsi="Arial" w:cs="Arial"/>
          <w:color w:val="auto"/>
        </w:rPr>
      </w:pPr>
      <w:r w:rsidRPr="006345C4">
        <w:rPr>
          <w:rFonts w:ascii="Arial" w:hAnsi="Arial" w:cs="Arial"/>
          <w:color w:val="auto"/>
        </w:rPr>
        <w:t>Whistleblowing</w:t>
      </w:r>
    </w:p>
    <w:p w14:paraId="73FE6E83" w14:textId="77777777" w:rsidR="0021298F" w:rsidRDefault="0021298F" w:rsidP="0021298F">
      <w:pPr>
        <w:jc w:val="both"/>
        <w:rPr>
          <w:rFonts w:ascii="Arial" w:eastAsia="Times New Roman" w:hAnsi="Arial" w:cs="Arial"/>
          <w:bCs/>
        </w:rPr>
      </w:pPr>
      <w:r w:rsidRPr="006345C4">
        <w:rPr>
          <w:rFonts w:ascii="Arial" w:eastAsia="Times New Roman" w:hAnsi="Arial" w:cs="Arial"/>
          <w:bCs/>
        </w:rPr>
        <w:t>The Board has considered the arrangements by which staff of the Investment Manager or Administrator may, in confidence, raise concerns within their respective organisations about possible improprieties in matters of financial reporting or other matters. It has concluded that</w:t>
      </w:r>
      <w:r>
        <w:rPr>
          <w:rFonts w:ascii="Arial" w:eastAsia="Times New Roman" w:hAnsi="Arial" w:cs="Arial"/>
          <w:bCs/>
        </w:rPr>
        <w:t xml:space="preserve"> </w:t>
      </w:r>
      <w:r w:rsidRPr="006345C4">
        <w:rPr>
          <w:rFonts w:ascii="Arial" w:eastAsia="Times New Roman" w:hAnsi="Arial" w:cs="Arial"/>
          <w:bCs/>
        </w:rPr>
        <w:t>adequate arrangements are in place for the proportionate and independent investigation of</w:t>
      </w:r>
      <w:r>
        <w:rPr>
          <w:rFonts w:ascii="Arial" w:eastAsia="Times New Roman" w:hAnsi="Arial" w:cs="Arial"/>
          <w:bCs/>
        </w:rPr>
        <w:t xml:space="preserve"> </w:t>
      </w:r>
      <w:r w:rsidRPr="006345C4">
        <w:rPr>
          <w:rFonts w:ascii="Arial" w:eastAsia="Times New Roman" w:hAnsi="Arial" w:cs="Arial"/>
          <w:bCs/>
        </w:rPr>
        <w:t>such matters and, where necessary, for appropriate follow-up action to be taken within their organisation.</w:t>
      </w:r>
    </w:p>
    <w:p w14:paraId="02E27B53" w14:textId="77777777" w:rsidR="0021298F" w:rsidRDefault="0021298F" w:rsidP="0021298F">
      <w:pPr>
        <w:jc w:val="both"/>
        <w:rPr>
          <w:rFonts w:ascii="Arial" w:hAnsi="Arial" w:cs="Arial"/>
        </w:rPr>
      </w:pPr>
    </w:p>
    <w:p w14:paraId="45A1C9A3" w14:textId="77777777" w:rsidR="0021298F" w:rsidRPr="006345C4" w:rsidRDefault="0021298F" w:rsidP="0021298F">
      <w:pPr>
        <w:pStyle w:val="Heading3"/>
        <w:spacing w:before="0"/>
        <w:jc w:val="both"/>
        <w:rPr>
          <w:rFonts w:ascii="Arial" w:hAnsi="Arial" w:cs="Arial"/>
          <w:color w:val="auto"/>
        </w:rPr>
      </w:pPr>
      <w:r w:rsidRPr="006345C4">
        <w:rPr>
          <w:rFonts w:ascii="Arial" w:hAnsi="Arial" w:cs="Arial"/>
          <w:color w:val="auto"/>
        </w:rPr>
        <w:t>Amendment of Articles of Association</w:t>
      </w:r>
    </w:p>
    <w:p w14:paraId="6AC14BAE" w14:textId="77777777" w:rsidR="0021298F" w:rsidRDefault="0021298F" w:rsidP="0021298F">
      <w:pPr>
        <w:jc w:val="both"/>
        <w:rPr>
          <w:rFonts w:ascii="Arial" w:eastAsia="Times New Roman" w:hAnsi="Arial" w:cs="Arial"/>
        </w:rPr>
      </w:pPr>
      <w:r>
        <w:rPr>
          <w:rFonts w:ascii="Arial" w:eastAsia="Times New Roman" w:hAnsi="Arial" w:cs="Arial"/>
        </w:rPr>
        <w:t>The Company’s Articles of Association may be amended by the members of the Company by special resolution (requiring a majority of at least 75 per cent of the persons voting on the relevant resolution).</w:t>
      </w:r>
    </w:p>
    <w:p w14:paraId="14813E69" w14:textId="77777777" w:rsidR="0021298F" w:rsidRDefault="0021298F" w:rsidP="0021298F">
      <w:pPr>
        <w:jc w:val="both"/>
        <w:rPr>
          <w:rFonts w:ascii="Arial" w:eastAsia="Times New Roman" w:hAnsi="Arial" w:cs="Arial"/>
          <w:bCs/>
        </w:rPr>
      </w:pPr>
    </w:p>
    <w:p w14:paraId="3D4400B6" w14:textId="77777777" w:rsidR="0021298F" w:rsidRPr="006345C4" w:rsidRDefault="0021298F" w:rsidP="0021298F">
      <w:pPr>
        <w:pStyle w:val="Heading3"/>
        <w:spacing w:before="0"/>
        <w:jc w:val="both"/>
        <w:rPr>
          <w:rFonts w:ascii="Arial" w:hAnsi="Arial" w:cs="Arial"/>
          <w:color w:val="auto"/>
        </w:rPr>
      </w:pPr>
      <w:r w:rsidRPr="006345C4">
        <w:rPr>
          <w:rFonts w:ascii="Arial" w:hAnsi="Arial" w:cs="Arial"/>
          <w:color w:val="auto"/>
        </w:rPr>
        <w:t>General Meetings</w:t>
      </w:r>
    </w:p>
    <w:p w14:paraId="74DC134A" w14:textId="77777777" w:rsidR="0021298F" w:rsidRDefault="0021298F" w:rsidP="0021298F">
      <w:pPr>
        <w:jc w:val="both"/>
        <w:rPr>
          <w:rFonts w:ascii="Arial" w:hAnsi="Arial" w:cs="Arial"/>
          <w:highlight w:val="yellow"/>
        </w:rPr>
      </w:pPr>
      <w:r>
        <w:rPr>
          <w:rFonts w:ascii="Arial" w:eastAsia="Times New Roman" w:hAnsi="Arial" w:cs="Arial"/>
        </w:rPr>
        <w:t xml:space="preserve">The Company shall hold in each year a general meeting as its annual general meeting in addition to any other meeting in that year and shall specify the meeting as such in the notice calling it. All general meetings other than annual general meetings shall be called extraordinary general meetings. The Directors may convene general meetings. Extraordinary general meetings may also be convened on such requisition, or in default, may be convened by such requisitionists as provided by the Companies Act 2014. </w:t>
      </w:r>
    </w:p>
    <w:p w14:paraId="39DD0188" w14:textId="77777777" w:rsidR="0021298F" w:rsidRPr="00660DCB" w:rsidRDefault="0021298F" w:rsidP="0021298F">
      <w:pPr>
        <w:jc w:val="both"/>
        <w:rPr>
          <w:rFonts w:ascii="Arial" w:hAnsi="Arial" w:cs="Arial"/>
          <w:b/>
        </w:rPr>
      </w:pPr>
    </w:p>
    <w:p w14:paraId="6E909DCA" w14:textId="77777777" w:rsidR="0021298F" w:rsidRDefault="0021298F" w:rsidP="0021298F">
      <w:pPr>
        <w:jc w:val="both"/>
        <w:rPr>
          <w:rFonts w:ascii="Arial" w:eastAsia="Times New Roman" w:hAnsi="Arial" w:cs="Arial"/>
        </w:rPr>
      </w:pPr>
      <w:r>
        <w:rPr>
          <w:rFonts w:ascii="Arial" w:eastAsia="Times New Roman" w:hAnsi="Arial" w:cs="Arial"/>
        </w:rPr>
        <w:t>All business shall be deemed special that is transacted at an extraordinary general</w:t>
      </w:r>
      <w:r>
        <w:rPr>
          <w:rFonts w:ascii="Arial" w:eastAsia="Times New Roman" w:hAnsi="Arial" w:cs="Arial"/>
          <w:b/>
          <w:bCs/>
        </w:rPr>
        <w:t xml:space="preserve"> </w:t>
      </w:r>
      <w:r>
        <w:rPr>
          <w:rFonts w:ascii="Arial" w:eastAsia="Times New Roman" w:hAnsi="Arial" w:cs="Arial"/>
        </w:rPr>
        <w:t>meeting. All business that is transacted at an annual general meeting shall also be</w:t>
      </w:r>
      <w:r>
        <w:rPr>
          <w:rFonts w:ascii="Arial" w:eastAsia="Times New Roman" w:hAnsi="Arial" w:cs="Arial"/>
          <w:b/>
          <w:bCs/>
        </w:rPr>
        <w:t xml:space="preserve"> </w:t>
      </w:r>
      <w:r>
        <w:rPr>
          <w:rFonts w:ascii="Arial" w:eastAsia="Times New Roman" w:hAnsi="Arial" w:cs="Arial"/>
        </w:rPr>
        <w:t>deemed special, with the exception of the consideration of the</w:t>
      </w:r>
      <w:r>
        <w:rPr>
          <w:rFonts w:ascii="Arial" w:eastAsia="Times New Roman" w:hAnsi="Arial" w:cs="Arial"/>
          <w:b/>
          <w:bCs/>
        </w:rPr>
        <w:t xml:space="preserve"> </w:t>
      </w:r>
      <w:r>
        <w:rPr>
          <w:rFonts w:ascii="Arial" w:eastAsia="Times New Roman" w:hAnsi="Arial" w:cs="Arial"/>
        </w:rPr>
        <w:t>Company’s statutory financial statements and reports of the Directors and Auditors, the</w:t>
      </w:r>
      <w:r>
        <w:rPr>
          <w:rFonts w:ascii="Arial" w:eastAsia="Times New Roman" w:hAnsi="Arial" w:cs="Arial"/>
          <w:b/>
          <w:bCs/>
        </w:rPr>
        <w:t xml:space="preserve"> </w:t>
      </w:r>
      <w:r>
        <w:rPr>
          <w:rFonts w:ascii="Arial" w:eastAsia="Times New Roman" w:hAnsi="Arial" w:cs="Arial"/>
        </w:rPr>
        <w:t>review by the members of the Company’s affairs, the appointment of Directors in the place of those retiring (whether by rotation or otherwise), the appointment and re-appointment of the Auditors and the fixing of the remuneration of the Auditors.</w:t>
      </w:r>
      <w:r w:rsidRPr="00BC18ED">
        <w:rPr>
          <w:rFonts w:ascii="Arial" w:eastAsia="Times New Roman" w:hAnsi="Arial" w:cs="Arial"/>
        </w:rPr>
        <w:t xml:space="preserve"> </w:t>
      </w:r>
    </w:p>
    <w:p w14:paraId="3D0230FD" w14:textId="77777777" w:rsidR="0021298F" w:rsidRDefault="0021298F" w:rsidP="0021298F">
      <w:pPr>
        <w:jc w:val="both"/>
        <w:rPr>
          <w:rFonts w:ascii="Arial" w:eastAsia="Times New Roman" w:hAnsi="Arial" w:cs="Arial"/>
        </w:rPr>
      </w:pPr>
    </w:p>
    <w:p w14:paraId="181E3540" w14:textId="77777777" w:rsidR="0021298F" w:rsidRDefault="0021298F" w:rsidP="0021298F">
      <w:pPr>
        <w:jc w:val="both"/>
        <w:rPr>
          <w:rFonts w:ascii="Arial" w:eastAsia="Times New Roman" w:hAnsi="Arial" w:cs="Arial"/>
        </w:rPr>
      </w:pPr>
      <w:r w:rsidRPr="006345C4">
        <w:rPr>
          <w:rFonts w:ascii="Arial" w:eastAsia="Times New Roman" w:hAnsi="Arial" w:cs="Arial"/>
        </w:rPr>
        <w:t>Every member entitled to attend and vote at a general meeting may appoint a proxy to attend, speak and vote on his</w:t>
      </w:r>
      <w:r>
        <w:rPr>
          <w:rFonts w:ascii="Arial" w:eastAsia="Times New Roman" w:hAnsi="Arial" w:cs="Arial"/>
        </w:rPr>
        <w:t xml:space="preserve"> or her</w:t>
      </w:r>
      <w:r w:rsidRPr="006345C4">
        <w:rPr>
          <w:rFonts w:ascii="Arial" w:eastAsia="Times New Roman" w:hAnsi="Arial" w:cs="Arial"/>
        </w:rPr>
        <w:t xml:space="preserve"> behalf provided, however, that a member may appoint more than one proxy provided that each proxy is appointed to exercise the rights attached to shares held in different securities accounts</w:t>
      </w:r>
      <w:r>
        <w:rPr>
          <w:rFonts w:ascii="Arial" w:eastAsia="Times New Roman" w:hAnsi="Arial" w:cs="Arial"/>
        </w:rPr>
        <w:t>. The holders of ordinary shares have the right to receive notice of and attend and vote at all general meetings of the Company and they are entitled, on a poll or a show of hands, to one vote for every ordinary share they hold.</w:t>
      </w:r>
    </w:p>
    <w:p w14:paraId="59ED9BD6" w14:textId="77777777" w:rsidR="0021298F" w:rsidRDefault="0021298F" w:rsidP="0021298F">
      <w:pPr>
        <w:jc w:val="both"/>
        <w:rPr>
          <w:rFonts w:ascii="Arial" w:eastAsia="Times New Roman" w:hAnsi="Arial" w:cs="Arial"/>
        </w:rPr>
      </w:pPr>
    </w:p>
    <w:p w14:paraId="0B803471" w14:textId="77777777" w:rsidR="0021298F" w:rsidRDefault="0021298F" w:rsidP="0021298F">
      <w:pPr>
        <w:jc w:val="both"/>
        <w:rPr>
          <w:rFonts w:ascii="Arial" w:eastAsia="Times New Roman" w:hAnsi="Arial" w:cs="Arial"/>
        </w:rPr>
      </w:pPr>
      <w:r>
        <w:rPr>
          <w:rFonts w:ascii="Arial" w:eastAsia="Times New Roman" w:hAnsi="Arial" w:cs="Arial"/>
        </w:rPr>
        <w:t>Votes may be given either personally or by proxy. Subject to any rights or restrictions for the time being attached to any class or classes of shares and subject to any suspension or abrogation of rights pursuant to the Articles, on a show of hands every member present in person and every proxy shall have one vote, so, however, that no individual shall have more than one vote, and on a poll every member shall have one vote for every share carrying rights of which he is the holder. On a poll a member entitled to more than one vote need not cast all his votes or cast all the votes he uses in the same way.</w:t>
      </w:r>
    </w:p>
    <w:p w14:paraId="50688268" w14:textId="77777777" w:rsidR="0021298F" w:rsidRPr="002A7937" w:rsidRDefault="0021298F" w:rsidP="0021298F">
      <w:pPr>
        <w:jc w:val="both"/>
        <w:rPr>
          <w:rFonts w:ascii="Arial" w:eastAsia="Times New Roman" w:hAnsi="Arial" w:cs="Arial"/>
          <w:bCs/>
        </w:rPr>
      </w:pPr>
    </w:p>
    <w:p w14:paraId="545FA1D4" w14:textId="77777777" w:rsidR="0021298F" w:rsidRPr="006345C4" w:rsidRDefault="0021298F" w:rsidP="0021298F">
      <w:pPr>
        <w:pStyle w:val="Heading3"/>
        <w:spacing w:before="0"/>
        <w:jc w:val="both"/>
        <w:rPr>
          <w:rFonts w:ascii="Arial" w:hAnsi="Arial" w:cs="Arial"/>
          <w:color w:val="auto"/>
        </w:rPr>
      </w:pPr>
      <w:r w:rsidRPr="006345C4">
        <w:rPr>
          <w:rFonts w:ascii="Arial" w:hAnsi="Arial" w:cs="Arial"/>
          <w:color w:val="auto"/>
        </w:rPr>
        <w:t>Engagement with Stakeholders</w:t>
      </w:r>
    </w:p>
    <w:p w14:paraId="73D017E1" w14:textId="77777777" w:rsidR="0021298F" w:rsidRDefault="0021298F" w:rsidP="0021298F">
      <w:pPr>
        <w:jc w:val="both"/>
        <w:rPr>
          <w:rFonts w:ascii="Arial" w:eastAsia="Times New Roman" w:hAnsi="Arial" w:cs="Arial"/>
        </w:rPr>
      </w:pPr>
      <w:r w:rsidRPr="00805C9D">
        <w:rPr>
          <w:rFonts w:ascii="Arial" w:eastAsia="Times New Roman" w:hAnsi="Arial" w:cs="Arial"/>
        </w:rPr>
        <w:t>The Directors are responsible for acting in a way that they consider, in good faith, is the most likely to promote the success of the Company for the benefit of its members. In doing so, they should have regard for the needs of stakeholders and the wider society. The Company’s objective is to provide investors with an annual dividend that increases</w:t>
      </w:r>
      <w:r>
        <w:rPr>
          <w:rFonts w:ascii="Arial" w:eastAsia="Times New Roman" w:hAnsi="Arial" w:cs="Arial"/>
        </w:rPr>
        <w:t xml:space="preserve"> progressively</w:t>
      </w:r>
      <w:r w:rsidRPr="00805C9D">
        <w:rPr>
          <w:rFonts w:ascii="Arial" w:eastAsia="Times New Roman" w:hAnsi="Arial" w:cs="Arial"/>
        </w:rPr>
        <w:t xml:space="preserve"> while</w:t>
      </w:r>
      <w:r>
        <w:rPr>
          <w:rFonts w:ascii="Arial" w:eastAsia="Times New Roman" w:hAnsi="Arial" w:cs="Arial"/>
        </w:rPr>
        <w:t xml:space="preserve"> </w:t>
      </w:r>
      <w:r w:rsidRPr="00805C9D">
        <w:rPr>
          <w:rFonts w:ascii="Arial" w:eastAsia="Times New Roman" w:hAnsi="Arial" w:cs="Arial"/>
        </w:rPr>
        <w:t xml:space="preserve">preserving the capital value of its investment portfolio in the long term through reinvestment of excess cashflow and the prudent use of </w:t>
      </w:r>
      <w:r>
        <w:rPr>
          <w:rFonts w:ascii="Arial" w:eastAsia="Times New Roman" w:hAnsi="Arial" w:cs="Arial"/>
        </w:rPr>
        <w:t>portfolio gearing</w:t>
      </w:r>
      <w:r w:rsidRPr="00805C9D">
        <w:rPr>
          <w:rFonts w:ascii="Arial" w:eastAsia="Times New Roman" w:hAnsi="Arial" w:cs="Arial"/>
        </w:rPr>
        <w:t xml:space="preserve">. </w:t>
      </w:r>
    </w:p>
    <w:p w14:paraId="11311917" w14:textId="77777777" w:rsidR="0021298F" w:rsidRDefault="0021298F" w:rsidP="0021298F">
      <w:pPr>
        <w:jc w:val="both"/>
        <w:rPr>
          <w:rFonts w:ascii="Arial" w:eastAsia="Times New Roman" w:hAnsi="Arial" w:cs="Arial"/>
        </w:rPr>
      </w:pPr>
    </w:p>
    <w:p w14:paraId="239C2EB2" w14:textId="77777777" w:rsidR="0021298F" w:rsidRDefault="0021298F" w:rsidP="0021298F">
      <w:pPr>
        <w:jc w:val="both"/>
        <w:rPr>
          <w:rFonts w:ascii="Arial" w:eastAsia="Times New Roman" w:hAnsi="Arial" w:cs="Arial"/>
        </w:rPr>
      </w:pPr>
      <w:r w:rsidRPr="00805C9D">
        <w:rPr>
          <w:rFonts w:ascii="Arial" w:eastAsia="Times New Roman" w:hAnsi="Arial" w:cs="Arial"/>
        </w:rPr>
        <w:t>Key decisions are those that are either material to the Company or are significant to any of the Company’s key stakeholders</w:t>
      </w:r>
      <w:r w:rsidRPr="00D91C85">
        <w:rPr>
          <w:rFonts w:ascii="Arial" w:eastAsia="Times New Roman" w:hAnsi="Arial" w:cs="Arial"/>
        </w:rPr>
        <w:t>.</w:t>
      </w:r>
      <w:r w:rsidRPr="00805C9D">
        <w:rPr>
          <w:rFonts w:ascii="Arial" w:eastAsia="Times New Roman" w:hAnsi="Arial" w:cs="Arial"/>
        </w:rPr>
        <w:t xml:space="preserve"> The below key decisions were made during the year, with the overall aim of promoting the success of the Company while considering the impact on its members and wider stakeholders.</w:t>
      </w:r>
    </w:p>
    <w:p w14:paraId="39B82401" w14:textId="77777777" w:rsidR="0021298F" w:rsidRDefault="0021298F" w:rsidP="0021298F">
      <w:pPr>
        <w:jc w:val="both"/>
        <w:rPr>
          <w:rFonts w:ascii="Arial" w:eastAsia="Times New Roman" w:hAnsi="Arial" w:cs="Arial"/>
        </w:rPr>
      </w:pPr>
    </w:p>
    <w:p w14:paraId="6849FCD3" w14:textId="77777777" w:rsidR="0021298F" w:rsidRPr="00A3624D" w:rsidRDefault="0021298F" w:rsidP="0021298F">
      <w:pPr>
        <w:pStyle w:val="Heading5"/>
        <w:spacing w:before="0"/>
        <w:rPr>
          <w:rFonts w:ascii="Arial" w:eastAsiaTheme="minorHAnsi" w:hAnsi="Arial" w:cs="Arial"/>
          <w:b/>
          <w:i/>
          <w:color w:val="auto"/>
        </w:rPr>
      </w:pPr>
      <w:r w:rsidRPr="00A3624D">
        <w:rPr>
          <w:rFonts w:ascii="Arial" w:eastAsiaTheme="minorHAnsi" w:hAnsi="Arial" w:cs="Arial"/>
          <w:b/>
          <w:i/>
          <w:color w:val="auto"/>
        </w:rPr>
        <w:t>Dividends</w:t>
      </w:r>
    </w:p>
    <w:p w14:paraId="797508E9" w14:textId="77777777" w:rsidR="0021298F" w:rsidRDefault="0021298F" w:rsidP="0021298F">
      <w:pPr>
        <w:jc w:val="both"/>
        <w:rPr>
          <w:rFonts w:ascii="Arial" w:eastAsia="Times New Roman" w:hAnsi="Arial" w:cs="Arial"/>
        </w:rPr>
      </w:pPr>
      <w:r w:rsidRPr="006A2FC7">
        <w:rPr>
          <w:rFonts w:ascii="Arial" w:eastAsia="Times New Roman" w:hAnsi="Arial" w:cs="Arial"/>
        </w:rPr>
        <w:t xml:space="preserve">The Board has approved total dividends of 6.06 cent per share with the respect to the year. The Board are confident that with the Company’s continuing strong cashflow and robust dividend cover, the Company can </w:t>
      </w:r>
      <w:r>
        <w:rPr>
          <w:rFonts w:ascii="Arial" w:eastAsia="Times New Roman" w:hAnsi="Arial" w:cs="Arial"/>
        </w:rPr>
        <w:t xml:space="preserve">maintain </w:t>
      </w:r>
      <w:r w:rsidRPr="006A2FC7">
        <w:rPr>
          <w:rFonts w:ascii="Arial" w:eastAsia="Times New Roman" w:hAnsi="Arial" w:cs="Arial"/>
        </w:rPr>
        <w:t>a target dividend of 6.06 cent per share for 2021</w:t>
      </w:r>
      <w:r>
        <w:rPr>
          <w:rFonts w:ascii="Arial" w:eastAsia="Times New Roman" w:hAnsi="Arial" w:cs="Arial"/>
        </w:rPr>
        <w:t xml:space="preserve"> (despite negative CPI)</w:t>
      </w:r>
      <w:r w:rsidRPr="006A2FC7">
        <w:rPr>
          <w:rFonts w:ascii="Arial" w:eastAsia="Times New Roman" w:hAnsi="Arial" w:cs="Arial"/>
        </w:rPr>
        <w:t>, which the Board expect</w:t>
      </w:r>
      <w:r>
        <w:rPr>
          <w:rFonts w:ascii="Arial" w:eastAsia="Times New Roman" w:hAnsi="Arial" w:cs="Arial"/>
        </w:rPr>
        <w:t>s</w:t>
      </w:r>
      <w:r w:rsidRPr="006A2FC7">
        <w:rPr>
          <w:rFonts w:ascii="Arial" w:eastAsia="Times New Roman" w:hAnsi="Arial" w:cs="Arial"/>
        </w:rPr>
        <w:t xml:space="preserve"> to contribute to the Company’s target return to investors of an IRR in excess of 7 per cent, net of fees and expenses.</w:t>
      </w:r>
      <w:r w:rsidRPr="00805C9D">
        <w:rPr>
          <w:rFonts w:ascii="Arial" w:eastAsia="Times New Roman" w:hAnsi="Arial" w:cs="Arial"/>
        </w:rPr>
        <w:t xml:space="preserve"> </w:t>
      </w:r>
    </w:p>
    <w:p w14:paraId="19E3BFD1" w14:textId="77777777" w:rsidR="0021298F" w:rsidRDefault="0021298F" w:rsidP="0021298F">
      <w:pPr>
        <w:jc w:val="both"/>
        <w:rPr>
          <w:rFonts w:ascii="Arial" w:eastAsia="Times New Roman" w:hAnsi="Arial" w:cs="Arial"/>
        </w:rPr>
      </w:pPr>
    </w:p>
    <w:p w14:paraId="5142816D" w14:textId="77777777" w:rsidR="0021298F" w:rsidRPr="00805C9D" w:rsidRDefault="0021298F" w:rsidP="0021298F">
      <w:pPr>
        <w:pStyle w:val="Heading5"/>
        <w:spacing w:before="0"/>
        <w:rPr>
          <w:rFonts w:ascii="Arial" w:eastAsiaTheme="minorHAnsi" w:hAnsi="Arial" w:cs="Arial"/>
          <w:b/>
          <w:i/>
          <w:color w:val="auto"/>
        </w:rPr>
      </w:pPr>
      <w:r>
        <w:rPr>
          <w:rFonts w:ascii="Arial" w:hAnsi="Arial" w:cs="Arial"/>
          <w:b/>
          <w:i/>
        </w:rPr>
        <w:t>A</w:t>
      </w:r>
      <w:r w:rsidRPr="00805C9D">
        <w:rPr>
          <w:rFonts w:ascii="Arial" w:eastAsiaTheme="minorHAnsi" w:hAnsi="Arial" w:cs="Arial"/>
          <w:b/>
          <w:i/>
          <w:color w:val="auto"/>
        </w:rPr>
        <w:t>cquisitions</w:t>
      </w:r>
    </w:p>
    <w:p w14:paraId="7F6C1DE4" w14:textId="77777777" w:rsidR="0021298F" w:rsidRDefault="0021298F" w:rsidP="0021298F">
      <w:pPr>
        <w:jc w:val="both"/>
        <w:rPr>
          <w:rFonts w:ascii="Arial" w:eastAsia="Times New Roman" w:hAnsi="Arial" w:cs="Arial"/>
        </w:rPr>
      </w:pPr>
      <w:r w:rsidRPr="00312C01">
        <w:rPr>
          <w:rFonts w:ascii="Arial" w:eastAsia="Times New Roman" w:hAnsi="Arial" w:cs="Arial"/>
        </w:rPr>
        <w:t xml:space="preserve">During the year, the Company acquired </w:t>
      </w:r>
      <w:r w:rsidRPr="00B73F05">
        <w:rPr>
          <w:rFonts w:ascii="Arial" w:eastAsia="Times New Roman" w:hAnsi="Arial" w:cs="Arial"/>
        </w:rPr>
        <w:t>7 new</w:t>
      </w:r>
      <w:r w:rsidRPr="00312C01">
        <w:rPr>
          <w:rFonts w:ascii="Arial" w:eastAsia="Times New Roman" w:hAnsi="Arial" w:cs="Arial"/>
        </w:rPr>
        <w:t xml:space="preserve"> wind farms</w:t>
      </w:r>
      <w:r>
        <w:rPr>
          <w:rFonts w:ascii="Arial" w:eastAsia="Times New Roman" w:hAnsi="Arial" w:cs="Arial"/>
        </w:rPr>
        <w:t xml:space="preserve"> in Ireland and France</w:t>
      </w:r>
      <w:r w:rsidRPr="00312C01">
        <w:rPr>
          <w:rFonts w:ascii="Arial" w:eastAsia="Times New Roman" w:hAnsi="Arial" w:cs="Arial"/>
        </w:rPr>
        <w:t>. The Board and the Investment Manager considered each investment in the context of the Company’s Investment Policy, availability of financing and the potential returns to investors.</w:t>
      </w:r>
      <w:r w:rsidRPr="00805C9D">
        <w:rPr>
          <w:rFonts w:ascii="Arial" w:eastAsia="Times New Roman" w:hAnsi="Arial" w:cs="Arial"/>
        </w:rPr>
        <w:t xml:space="preserve">  </w:t>
      </w:r>
    </w:p>
    <w:p w14:paraId="71C3B839" w14:textId="77777777" w:rsidR="0021298F" w:rsidRDefault="0021298F" w:rsidP="0021298F">
      <w:pPr>
        <w:jc w:val="both"/>
        <w:rPr>
          <w:rFonts w:ascii="Arial" w:eastAsia="Times New Roman" w:hAnsi="Arial" w:cs="Arial"/>
        </w:rPr>
      </w:pPr>
    </w:p>
    <w:p w14:paraId="7C7F6168" w14:textId="77777777" w:rsidR="0021298F" w:rsidRPr="00805C9D" w:rsidRDefault="0021298F" w:rsidP="0021298F">
      <w:pPr>
        <w:pStyle w:val="Heading5"/>
        <w:spacing w:before="0"/>
        <w:rPr>
          <w:rFonts w:ascii="Arial" w:eastAsiaTheme="minorHAnsi" w:hAnsi="Arial" w:cs="Arial"/>
          <w:b/>
          <w:i/>
          <w:color w:val="auto"/>
        </w:rPr>
      </w:pPr>
      <w:r w:rsidRPr="00805C9D">
        <w:rPr>
          <w:rFonts w:ascii="Arial" w:eastAsiaTheme="minorHAnsi" w:hAnsi="Arial" w:cs="Arial"/>
          <w:b/>
          <w:i/>
          <w:color w:val="auto"/>
        </w:rPr>
        <w:t>Share Issues</w:t>
      </w:r>
    </w:p>
    <w:p w14:paraId="3DC8D8FA" w14:textId="77777777" w:rsidR="0021298F" w:rsidRDefault="0021298F" w:rsidP="0021298F">
      <w:pPr>
        <w:jc w:val="both"/>
        <w:rPr>
          <w:rFonts w:ascii="Arial" w:eastAsia="Times New Roman" w:hAnsi="Arial" w:cs="Arial"/>
        </w:rPr>
      </w:pPr>
      <w:r w:rsidRPr="00B73F05">
        <w:rPr>
          <w:rFonts w:ascii="Arial" w:eastAsia="Times New Roman" w:hAnsi="Arial" w:cs="Arial"/>
        </w:rPr>
        <w:t xml:space="preserve">During the year, the Company issued 111 million further shares, raising €125 million, through an oversubscribed share placing. The Investment Manager engaged with analysts and investors throughout </w:t>
      </w:r>
      <w:r>
        <w:rPr>
          <w:rFonts w:ascii="Arial" w:eastAsia="Times New Roman" w:hAnsi="Arial" w:cs="Arial"/>
        </w:rPr>
        <w:t xml:space="preserve">the </w:t>
      </w:r>
      <w:r w:rsidRPr="00B73F05">
        <w:rPr>
          <w:rFonts w:ascii="Arial" w:eastAsia="Times New Roman" w:hAnsi="Arial" w:cs="Arial"/>
        </w:rPr>
        <w:t>share issuance process.</w:t>
      </w:r>
      <w:r w:rsidRPr="00805C9D">
        <w:rPr>
          <w:rFonts w:ascii="Arial" w:eastAsia="Times New Roman" w:hAnsi="Arial" w:cs="Arial"/>
        </w:rPr>
        <w:t xml:space="preserve"> </w:t>
      </w:r>
    </w:p>
    <w:p w14:paraId="5D38D4F2" w14:textId="77777777" w:rsidR="0021298F" w:rsidRDefault="0021298F" w:rsidP="0021298F">
      <w:pPr>
        <w:jc w:val="both"/>
        <w:rPr>
          <w:rFonts w:ascii="Arial" w:eastAsia="Times New Roman" w:hAnsi="Arial" w:cs="Arial"/>
        </w:rPr>
      </w:pPr>
    </w:p>
    <w:p w14:paraId="684E37DB" w14:textId="77777777" w:rsidR="0021298F" w:rsidRDefault="0021298F" w:rsidP="0021298F">
      <w:pPr>
        <w:jc w:val="both"/>
        <w:rPr>
          <w:rFonts w:ascii="Arial" w:eastAsia="Times New Roman" w:hAnsi="Arial" w:cs="Arial"/>
        </w:rPr>
      </w:pPr>
      <w:r w:rsidRPr="006345C4">
        <w:rPr>
          <w:rFonts w:ascii="Arial" w:eastAsia="Times New Roman" w:hAnsi="Arial" w:cs="Arial"/>
        </w:rPr>
        <w:t>The Company is committed to maintaining good communications and building positive relationships with all stakeholders, including shareholders, debt providers, analysts, potential investors, suppliers and the wider communities in which the Group and its investee companies operate. This includes regular engagement with the Company’s shareholders and other</w:t>
      </w:r>
      <w:r>
        <w:rPr>
          <w:rFonts w:ascii="Arial" w:eastAsia="Times New Roman" w:hAnsi="Arial" w:cs="Arial"/>
        </w:rPr>
        <w:t xml:space="preserve"> </w:t>
      </w:r>
      <w:r w:rsidRPr="006345C4">
        <w:rPr>
          <w:rFonts w:ascii="Arial" w:eastAsia="Times New Roman" w:hAnsi="Arial" w:cs="Arial"/>
        </w:rPr>
        <w:t>stakeholders by the Board, the Investment Manager and the Administrator. Regular feedback is provided to the Board to ensure they understand the views of stakeholders.</w:t>
      </w:r>
    </w:p>
    <w:p w14:paraId="1BC1B4A3" w14:textId="77777777" w:rsidR="0021298F" w:rsidRDefault="0021298F" w:rsidP="0021298F">
      <w:pPr>
        <w:jc w:val="both"/>
        <w:rPr>
          <w:rFonts w:ascii="Arial" w:eastAsia="Times New Roman" w:hAnsi="Arial" w:cs="Arial"/>
        </w:rPr>
      </w:pPr>
    </w:p>
    <w:p w14:paraId="713B9027" w14:textId="77777777" w:rsidR="0021298F" w:rsidRPr="004549FD" w:rsidRDefault="0021298F" w:rsidP="0021298F">
      <w:pPr>
        <w:pStyle w:val="Heading3"/>
        <w:spacing w:before="0"/>
        <w:jc w:val="both"/>
        <w:rPr>
          <w:rFonts w:ascii="Arial" w:hAnsi="Arial" w:cs="Arial"/>
          <w:color w:val="auto"/>
        </w:rPr>
      </w:pPr>
      <w:r w:rsidRPr="00382C2F">
        <w:rPr>
          <w:rFonts w:ascii="Arial" w:hAnsi="Arial" w:cs="Arial"/>
          <w:color w:val="auto"/>
        </w:rPr>
        <w:t>Relations with Shareholders</w:t>
      </w:r>
    </w:p>
    <w:p w14:paraId="15161830" w14:textId="77777777" w:rsidR="0021298F" w:rsidRDefault="0021298F" w:rsidP="0021298F">
      <w:pPr>
        <w:jc w:val="both"/>
        <w:rPr>
          <w:rFonts w:ascii="Arial" w:eastAsia="Times New Roman" w:hAnsi="Arial" w:cs="Arial"/>
        </w:rPr>
      </w:pPr>
      <w:r w:rsidRPr="006345C4">
        <w:rPr>
          <w:rFonts w:ascii="Arial" w:eastAsia="Times New Roman" w:hAnsi="Arial" w:cs="Arial"/>
        </w:rPr>
        <w:t>The Company welcomes the views of shareholders and places great importance on communication with its shareholders. The Investment Manager is available at all reasonable times to meet with principal shareholders and key sector analysts. The Chairman, the Senior Independent Director and other Directors are also available to meet with shareholders if require</w:t>
      </w:r>
      <w:r>
        <w:rPr>
          <w:rFonts w:ascii="Arial" w:eastAsia="Times New Roman" w:hAnsi="Arial" w:cs="Arial"/>
        </w:rPr>
        <w:t>d.</w:t>
      </w:r>
    </w:p>
    <w:p w14:paraId="0BAAB232" w14:textId="77777777" w:rsidR="0021298F" w:rsidRDefault="0021298F" w:rsidP="0021298F">
      <w:pPr>
        <w:jc w:val="both"/>
        <w:rPr>
          <w:rFonts w:ascii="Arial" w:eastAsia="Times New Roman" w:hAnsi="Arial" w:cs="Arial"/>
        </w:rPr>
      </w:pPr>
    </w:p>
    <w:p w14:paraId="2E82E9F4" w14:textId="77777777" w:rsidR="0021298F" w:rsidRDefault="0021298F" w:rsidP="0021298F">
      <w:pPr>
        <w:jc w:val="both"/>
        <w:rPr>
          <w:rFonts w:ascii="Arial" w:eastAsia="Times New Roman" w:hAnsi="Arial" w:cs="Arial"/>
        </w:rPr>
      </w:pPr>
      <w:r w:rsidRPr="006345C4">
        <w:rPr>
          <w:rFonts w:ascii="Arial" w:eastAsia="Times New Roman" w:hAnsi="Arial" w:cs="Arial"/>
        </w:rPr>
        <w:lastRenderedPageBreak/>
        <w:t xml:space="preserve">All shareholders have the opportunity to put questions to the Company at the registered address. The AGM of the Company will provide a forum for shareholders to meet and discuss issues with the Directors and Investment Manager. </w:t>
      </w:r>
    </w:p>
    <w:p w14:paraId="6F55FB8C" w14:textId="77777777" w:rsidR="0021298F" w:rsidRDefault="0021298F" w:rsidP="0021298F">
      <w:pPr>
        <w:jc w:val="both"/>
        <w:rPr>
          <w:rFonts w:ascii="Arial" w:eastAsia="Times New Roman" w:hAnsi="Arial" w:cs="Arial"/>
        </w:rPr>
      </w:pPr>
    </w:p>
    <w:p w14:paraId="50A015C1" w14:textId="77777777" w:rsidR="0021298F" w:rsidRDefault="0021298F" w:rsidP="0021298F">
      <w:pPr>
        <w:jc w:val="both"/>
        <w:rPr>
          <w:rFonts w:ascii="Arial" w:eastAsia="Times New Roman" w:hAnsi="Arial" w:cs="Arial"/>
        </w:rPr>
      </w:pPr>
      <w:r w:rsidRPr="006345C4">
        <w:rPr>
          <w:rFonts w:ascii="Arial" w:eastAsia="Times New Roman" w:hAnsi="Arial" w:cs="Arial"/>
        </w:rPr>
        <w:t>The Board receives comprehensive shareholder reports at all quarterly Board meetings and regularly monitors the views of shareholders and the shareholder profile of the Company. The Board is also kept fully informed of all relevant market commentary on the Company by the Investment Manager.</w:t>
      </w:r>
    </w:p>
    <w:p w14:paraId="286F7C89" w14:textId="77777777" w:rsidR="0021298F" w:rsidRDefault="0021298F" w:rsidP="0021298F">
      <w:pPr>
        <w:jc w:val="both"/>
        <w:rPr>
          <w:rFonts w:ascii="Arial" w:eastAsia="Times New Roman" w:hAnsi="Arial" w:cs="Arial"/>
        </w:rPr>
      </w:pPr>
    </w:p>
    <w:p w14:paraId="58094B11" w14:textId="77777777" w:rsidR="0021298F" w:rsidRPr="006345C4" w:rsidRDefault="0021298F" w:rsidP="0021298F">
      <w:pPr>
        <w:pStyle w:val="Heading3"/>
        <w:spacing w:before="0"/>
        <w:jc w:val="both"/>
        <w:rPr>
          <w:rFonts w:ascii="Arial" w:hAnsi="Arial" w:cs="Arial"/>
          <w:color w:val="auto"/>
        </w:rPr>
      </w:pPr>
      <w:r w:rsidRPr="006345C4">
        <w:rPr>
          <w:rFonts w:ascii="Arial" w:hAnsi="Arial" w:cs="Arial"/>
          <w:color w:val="auto"/>
        </w:rPr>
        <w:t xml:space="preserve">Relations with </w:t>
      </w:r>
      <w:r>
        <w:rPr>
          <w:rFonts w:ascii="Arial" w:hAnsi="Arial" w:cs="Arial"/>
          <w:color w:val="auto"/>
        </w:rPr>
        <w:t xml:space="preserve">Other </w:t>
      </w:r>
      <w:r w:rsidRPr="006345C4">
        <w:rPr>
          <w:rFonts w:ascii="Arial" w:hAnsi="Arial" w:cs="Arial"/>
          <w:color w:val="auto"/>
        </w:rPr>
        <w:t>S</w:t>
      </w:r>
      <w:r>
        <w:rPr>
          <w:rFonts w:ascii="Arial" w:hAnsi="Arial" w:cs="Arial"/>
          <w:color w:val="auto"/>
        </w:rPr>
        <w:t>takeholders</w:t>
      </w:r>
    </w:p>
    <w:p w14:paraId="7791A6F6" w14:textId="77777777" w:rsidR="0021298F" w:rsidRDefault="0021298F" w:rsidP="0021298F">
      <w:pPr>
        <w:jc w:val="both"/>
        <w:rPr>
          <w:rFonts w:ascii="Arial" w:eastAsia="Times New Roman" w:hAnsi="Arial" w:cs="Arial"/>
        </w:rPr>
      </w:pPr>
      <w:r>
        <w:rPr>
          <w:rFonts w:ascii="Arial" w:eastAsia="Times New Roman" w:hAnsi="Arial" w:cs="Arial"/>
        </w:rPr>
        <w:t xml:space="preserve">The Company values its relationships with its debt providers. The Investment Manager ensures the Group continues to meet its debt covenants and reporting requirements. During the year, the Group placed a new revolving credit facility with CIBC, RBC and Santander, and placed new  term facilities with CBA, NAB and Natwest as disclosed in note 13 of the financial statements. </w:t>
      </w:r>
    </w:p>
    <w:p w14:paraId="29BF18C4" w14:textId="77777777" w:rsidR="0021298F" w:rsidRDefault="0021298F" w:rsidP="0021298F">
      <w:pPr>
        <w:jc w:val="both"/>
        <w:rPr>
          <w:rFonts w:ascii="Arial" w:eastAsia="Times New Roman" w:hAnsi="Arial" w:cs="Arial"/>
        </w:rPr>
      </w:pPr>
    </w:p>
    <w:p w14:paraId="2325D22C" w14:textId="77777777" w:rsidR="0021298F" w:rsidRDefault="0021298F" w:rsidP="0021298F">
      <w:pPr>
        <w:jc w:val="both"/>
        <w:rPr>
          <w:rFonts w:ascii="Arial" w:eastAsia="Times New Roman" w:hAnsi="Arial" w:cs="Arial"/>
        </w:rPr>
      </w:pPr>
      <w:r>
        <w:rPr>
          <w:rFonts w:ascii="Arial" w:eastAsia="Times New Roman" w:hAnsi="Arial" w:cs="Arial"/>
        </w:rPr>
        <w:t xml:space="preserve">The Investment Manager conducts presentations with analysts and investors to coincide with the announcement of the Company’s annual and interim results, providing an opportunity for discussions and queries on the Company’s activities, performance and key metrics. In addition to these semi-annual presentations, the Investment Manager meets regularly with analysts and investors to provide further updates with how the Company and the investment portfolio are performing. </w:t>
      </w:r>
    </w:p>
    <w:p w14:paraId="7CFCB9F2" w14:textId="77777777" w:rsidR="0021298F" w:rsidRDefault="0021298F" w:rsidP="0021298F">
      <w:pPr>
        <w:jc w:val="both"/>
        <w:rPr>
          <w:rFonts w:ascii="Arial" w:eastAsia="Times New Roman" w:hAnsi="Arial" w:cs="Arial"/>
        </w:rPr>
      </w:pPr>
    </w:p>
    <w:p w14:paraId="06768290" w14:textId="77777777" w:rsidR="0021298F" w:rsidRDefault="0021298F" w:rsidP="0021298F">
      <w:pPr>
        <w:jc w:val="both"/>
        <w:rPr>
          <w:rFonts w:ascii="Arial" w:eastAsia="Times New Roman" w:hAnsi="Arial" w:cs="Arial"/>
        </w:rPr>
      </w:pPr>
      <w:r>
        <w:rPr>
          <w:rFonts w:ascii="Arial" w:eastAsia="Times New Roman" w:hAnsi="Arial" w:cs="Arial"/>
        </w:rPr>
        <w:t xml:space="preserve">The Directors and Investment Manager receive informal feedback from analysts and investors, which is presented to the Board by the Company’s Euronext Growth Advisor, NOMAD and Broker. The Company Secretary also receives informal feedback via queries submitted through the Company’s website and these are addressed by the Board, the Investment Manager or the Company Secretary, where applicable. </w:t>
      </w:r>
    </w:p>
    <w:p w14:paraId="0B7B755B" w14:textId="77777777" w:rsidR="0021298F" w:rsidRDefault="0021298F" w:rsidP="0021298F">
      <w:pPr>
        <w:jc w:val="both"/>
        <w:rPr>
          <w:rFonts w:ascii="Arial" w:eastAsia="Times New Roman" w:hAnsi="Arial" w:cs="Arial"/>
        </w:rPr>
      </w:pPr>
    </w:p>
    <w:p w14:paraId="1A51C986" w14:textId="77777777" w:rsidR="0021298F" w:rsidRDefault="0021298F" w:rsidP="0021298F">
      <w:pPr>
        <w:jc w:val="both"/>
        <w:rPr>
          <w:rFonts w:ascii="Arial" w:eastAsia="Times New Roman" w:hAnsi="Arial" w:cs="Arial"/>
        </w:rPr>
      </w:pPr>
      <w:r>
        <w:rPr>
          <w:rFonts w:ascii="Arial" w:eastAsia="Times New Roman" w:hAnsi="Arial" w:cs="Arial"/>
        </w:rPr>
        <w:t xml:space="preserve">The Company recognises that relationships with suppliers are enhanced by prompt payment and the Company’s Administrator ensures all payments are processed within the contractual terms agreed with the individual suppliers. </w:t>
      </w:r>
    </w:p>
    <w:p w14:paraId="4EACECA0" w14:textId="77777777" w:rsidR="0021298F" w:rsidRDefault="0021298F" w:rsidP="0021298F">
      <w:pPr>
        <w:jc w:val="both"/>
        <w:rPr>
          <w:rFonts w:ascii="Arial" w:eastAsia="Times New Roman" w:hAnsi="Arial" w:cs="Arial"/>
        </w:rPr>
      </w:pPr>
    </w:p>
    <w:p w14:paraId="5AFE92E3" w14:textId="77777777" w:rsidR="0021298F" w:rsidRDefault="0021298F" w:rsidP="0021298F">
      <w:pPr>
        <w:jc w:val="both"/>
        <w:rPr>
          <w:rFonts w:ascii="Arial" w:eastAsia="Times New Roman" w:hAnsi="Arial" w:cs="Arial"/>
        </w:rPr>
      </w:pPr>
      <w:r>
        <w:rPr>
          <w:rFonts w:ascii="Arial" w:eastAsia="Times New Roman" w:hAnsi="Arial" w:cs="Arial"/>
        </w:rPr>
        <w:t>The Company, via its Investment Manager, has long-term important relationships with its operational site managers and turbine operations and maintenance managers and reviews performance, including health and safety, on a monthly basis. Representatives of the site manager and SPV Board directors, from the Investment Manager, visit all operational sites on a regular basis and carry out safety walks at least once a year on each site.</w:t>
      </w:r>
    </w:p>
    <w:p w14:paraId="7355E35B" w14:textId="77777777" w:rsidR="0021298F" w:rsidRDefault="0021298F" w:rsidP="0021298F">
      <w:pPr>
        <w:jc w:val="both"/>
        <w:rPr>
          <w:rFonts w:ascii="Arial" w:eastAsia="Times New Roman" w:hAnsi="Arial" w:cs="Arial"/>
        </w:rPr>
      </w:pPr>
    </w:p>
    <w:p w14:paraId="4100128B" w14:textId="77777777" w:rsidR="0021298F" w:rsidRDefault="0021298F" w:rsidP="0021298F">
      <w:pPr>
        <w:jc w:val="both"/>
        <w:rPr>
          <w:rFonts w:ascii="Arial" w:eastAsia="Times New Roman" w:hAnsi="Arial" w:cs="Arial"/>
        </w:rPr>
      </w:pPr>
      <w:r>
        <w:rPr>
          <w:rFonts w:ascii="Arial" w:eastAsia="Times New Roman" w:hAnsi="Arial" w:cs="Arial"/>
        </w:rPr>
        <w:t>Similarly, environmental protection issues are reported on every month by the site managers and annual habitat management plans are agreed by each SPV board for all sites to ensure that the environment in and surrounding each wind farm is carefully protected.</w:t>
      </w:r>
    </w:p>
    <w:p w14:paraId="3AD43B55" w14:textId="77777777" w:rsidR="0021298F" w:rsidRDefault="0021298F" w:rsidP="0021298F">
      <w:pPr>
        <w:jc w:val="both"/>
        <w:rPr>
          <w:rFonts w:ascii="Arial" w:eastAsia="Times New Roman" w:hAnsi="Arial" w:cs="Arial"/>
        </w:rPr>
      </w:pPr>
    </w:p>
    <w:p w14:paraId="7AF507BD" w14:textId="77777777" w:rsidR="0021298F" w:rsidRPr="009F2257" w:rsidRDefault="0021298F" w:rsidP="0021298F">
      <w:pPr>
        <w:jc w:val="both"/>
        <w:rPr>
          <w:rFonts w:ascii="Arial" w:hAnsi="Arial" w:cs="Arial"/>
        </w:rPr>
      </w:pPr>
      <w:r>
        <w:rPr>
          <w:rFonts w:ascii="Arial" w:eastAsia="Times New Roman" w:hAnsi="Arial" w:cs="Arial"/>
        </w:rPr>
        <w:t xml:space="preserve">The Directors recognise that the long-term success of the Company is linked to the success of the communities in which the Group, and its investee companies, operate. During the year, a number of community projects were supported by the Company’s </w:t>
      </w:r>
      <w:r>
        <w:rPr>
          <w:rFonts w:ascii="Arial" w:eastAsia="Times New Roman" w:hAnsi="Arial" w:cs="Arial"/>
        </w:rPr>
        <w:lastRenderedPageBreak/>
        <w:t xml:space="preserve">investment portfolio companies, further details of which can be found in the latest ESG report, available on the Company’s website: </w:t>
      </w:r>
      <w:hyperlink r:id="rId20" w:history="1">
        <w:r w:rsidRPr="003922A7">
          <w:rPr>
            <w:rFonts w:ascii="Arial" w:hAnsi="Arial"/>
          </w:rPr>
          <w:t>www.greencoat-renewables.com</w:t>
        </w:r>
      </w:hyperlink>
      <w:r>
        <w:rPr>
          <w:rFonts w:ascii="Arial" w:hAnsi="Arial"/>
        </w:rPr>
        <w:t>.</w:t>
      </w:r>
    </w:p>
    <w:p w14:paraId="2536D207" w14:textId="77777777" w:rsidR="0021298F" w:rsidRDefault="0021298F" w:rsidP="0021298F">
      <w:pPr>
        <w:jc w:val="both"/>
        <w:rPr>
          <w:rFonts w:ascii="Arial" w:eastAsia="Times New Roman" w:hAnsi="Arial" w:cs="Arial"/>
        </w:rPr>
      </w:pPr>
    </w:p>
    <w:p w14:paraId="43240D77" w14:textId="77777777" w:rsidR="0021298F" w:rsidRDefault="0021298F" w:rsidP="0021298F">
      <w:pPr>
        <w:jc w:val="both"/>
        <w:rPr>
          <w:rFonts w:ascii="Arial" w:hAnsi="Arial" w:cs="Arial"/>
        </w:rPr>
      </w:pPr>
      <w:r>
        <w:rPr>
          <w:rFonts w:ascii="Arial" w:eastAsia="Times New Roman" w:hAnsi="Arial" w:cs="Arial"/>
        </w:rPr>
        <w:t>Shareholders may also find Company information or contact the Company through its</w:t>
      </w:r>
      <w:r>
        <w:rPr>
          <w:rFonts w:ascii="Arial" w:hAnsi="Arial" w:cs="Arial"/>
        </w:rPr>
        <w:t xml:space="preserve"> </w:t>
      </w:r>
      <w:r>
        <w:rPr>
          <w:rFonts w:ascii="Arial" w:eastAsia="Times New Roman" w:hAnsi="Arial" w:cs="Arial"/>
        </w:rPr>
        <w:t>website</w:t>
      </w:r>
      <w:r w:rsidRPr="00DE244C">
        <w:rPr>
          <w:rFonts w:ascii="Arial" w:hAnsi="Arial" w:cs="Arial"/>
        </w:rPr>
        <w:t xml:space="preserve"> </w:t>
      </w:r>
    </w:p>
    <w:p w14:paraId="59256D8A" w14:textId="77777777" w:rsidR="0021298F" w:rsidRDefault="0021298F" w:rsidP="0021298F">
      <w:pPr>
        <w:rPr>
          <w:rFonts w:ascii="Arial" w:hAnsi="Arial" w:cs="Arial"/>
        </w:rPr>
      </w:pPr>
    </w:p>
    <w:p w14:paraId="0BE822C6" w14:textId="77777777" w:rsidR="0021298F" w:rsidRDefault="0021298F" w:rsidP="0021298F">
      <w:pPr>
        <w:rPr>
          <w:rFonts w:ascii="Arial" w:hAnsi="Arial" w:cs="Arial"/>
        </w:rPr>
      </w:pPr>
      <w:r>
        <w:rPr>
          <w:rFonts w:ascii="Arial" w:hAnsi="Arial" w:cs="Arial"/>
        </w:rPr>
        <w:t>On behalf of the Board</w:t>
      </w:r>
    </w:p>
    <w:p w14:paraId="638ABF06" w14:textId="77777777" w:rsidR="0021298F" w:rsidRDefault="0021298F" w:rsidP="0021298F">
      <w:pPr>
        <w:rPr>
          <w:rFonts w:ascii="Arial" w:hAnsi="Arial" w:cs="Arial"/>
        </w:rPr>
      </w:pPr>
    </w:p>
    <w:p w14:paraId="5CCF32C1" w14:textId="77777777" w:rsidR="0021298F" w:rsidRDefault="0021298F" w:rsidP="0021298F">
      <w:pPr>
        <w:rPr>
          <w:rFonts w:ascii="Arial" w:hAnsi="Arial" w:cs="Arial"/>
          <w:b/>
          <w:bCs/>
        </w:rPr>
      </w:pPr>
      <w:r w:rsidRPr="00500322">
        <w:rPr>
          <w:rFonts w:ascii="Arial" w:eastAsiaTheme="majorEastAsia" w:hAnsi="Arial" w:cs="Arial"/>
          <w:bCs/>
        </w:rPr>
        <w:t>Rónán</w:t>
      </w:r>
      <w:r>
        <w:rPr>
          <w:rFonts w:ascii="Arial" w:hAnsi="Arial" w:cs="Arial"/>
          <w:b/>
          <w:bCs/>
        </w:rPr>
        <w:t xml:space="preserve"> </w:t>
      </w:r>
      <w:r w:rsidRPr="001E34C8">
        <w:rPr>
          <w:rFonts w:ascii="Arial" w:hAnsi="Arial" w:cs="Arial"/>
        </w:rPr>
        <w:t>Murphy</w:t>
      </w:r>
    </w:p>
    <w:p w14:paraId="13DAED55" w14:textId="77777777" w:rsidR="0021298F" w:rsidRDefault="0021298F" w:rsidP="0021298F">
      <w:pPr>
        <w:rPr>
          <w:rFonts w:ascii="Arial" w:hAnsi="Arial" w:cs="Arial"/>
        </w:rPr>
      </w:pPr>
      <w:r>
        <w:rPr>
          <w:rFonts w:ascii="Arial" w:hAnsi="Arial" w:cs="Arial"/>
        </w:rPr>
        <w:t>Chairman of the Board</w:t>
      </w:r>
    </w:p>
    <w:p w14:paraId="50CF99D7" w14:textId="77777777" w:rsidR="0021298F" w:rsidRDefault="0021298F" w:rsidP="0021298F">
      <w:pPr>
        <w:rPr>
          <w:rFonts w:ascii="Arial" w:hAnsi="Arial" w:cs="Arial"/>
        </w:rPr>
      </w:pPr>
      <w:r>
        <w:rPr>
          <w:rFonts w:ascii="Arial" w:hAnsi="Arial" w:cs="Arial"/>
        </w:rPr>
        <w:t>28 February 2021</w:t>
      </w:r>
    </w:p>
    <w:p w14:paraId="474D9D47" w14:textId="77777777" w:rsidR="0021298F" w:rsidRDefault="0021298F" w:rsidP="0021298F">
      <w:pPr>
        <w:jc w:val="both"/>
        <w:rPr>
          <w:rFonts w:ascii="Arial" w:eastAsia="Times New Roman" w:hAnsi="Arial" w:cs="Arial"/>
        </w:rPr>
      </w:pPr>
    </w:p>
    <w:bookmarkEnd w:id="6"/>
    <w:p w14:paraId="07979446" w14:textId="77777777" w:rsidR="0021298F" w:rsidRPr="00416F8C" w:rsidRDefault="0021298F" w:rsidP="0021298F">
      <w:pPr>
        <w:pStyle w:val="Heading1"/>
        <w:jc w:val="both"/>
        <w:rPr>
          <w:rFonts w:cs="Arial"/>
          <w:caps/>
          <w:color w:val="525252" w:themeColor="accent3" w:themeShade="80"/>
        </w:rPr>
      </w:pPr>
      <w:r w:rsidRPr="00416F8C">
        <w:rPr>
          <w:rFonts w:cs="Arial"/>
        </w:rPr>
        <w:t>Audit Committee Report</w:t>
      </w:r>
    </w:p>
    <w:p w14:paraId="5D1FEEFC" w14:textId="77777777" w:rsidR="0021298F" w:rsidRPr="00416F8C" w:rsidRDefault="0021298F" w:rsidP="0021298F">
      <w:pPr>
        <w:jc w:val="both"/>
        <w:rPr>
          <w:rFonts w:ascii="Arial" w:eastAsia="Times New Roman" w:hAnsi="Arial" w:cs="Arial"/>
        </w:rPr>
      </w:pPr>
    </w:p>
    <w:p w14:paraId="2D20242C" w14:textId="77777777" w:rsidR="0021298F" w:rsidRPr="00416F8C" w:rsidRDefault="0021298F" w:rsidP="0021298F">
      <w:pPr>
        <w:jc w:val="both"/>
        <w:rPr>
          <w:rFonts w:ascii="Arial" w:eastAsia="Times New Roman" w:hAnsi="Arial" w:cs="Arial"/>
        </w:rPr>
      </w:pPr>
      <w:r w:rsidRPr="00416F8C">
        <w:rPr>
          <w:rFonts w:ascii="Arial" w:eastAsia="Times New Roman" w:hAnsi="Arial" w:cs="Arial"/>
        </w:rPr>
        <w:t xml:space="preserve">At the date of this report, the Audit Committee comprised of Kevin McNamara (Chairman), Emer Gilvarry, and Marco Graziano (with effect from 30 January 2020). The AIC Code has a requirement that at least one member of the Audit Committee should have recent and relevant financial experience and the Audit Committee as a whole shall have competence relevant to the sector. The Board is satisfied that the Audit Committee is properly constituted in these respects. The qualifications and experience of all Audit Committee members are </w:t>
      </w:r>
      <w:r w:rsidRPr="00382C2F">
        <w:rPr>
          <w:rFonts w:ascii="Arial" w:eastAsia="Times New Roman" w:hAnsi="Arial" w:cs="Arial"/>
        </w:rPr>
        <w:t xml:space="preserve">disclosed </w:t>
      </w:r>
      <w:r>
        <w:rPr>
          <w:rFonts w:ascii="Arial" w:eastAsia="Times New Roman" w:hAnsi="Arial" w:cs="Arial"/>
        </w:rPr>
        <w:t>in the Board of Directors section</w:t>
      </w:r>
      <w:r w:rsidRPr="00416F8C">
        <w:rPr>
          <w:rFonts w:ascii="Arial" w:eastAsia="Times New Roman" w:hAnsi="Arial" w:cs="Arial"/>
        </w:rPr>
        <w:t xml:space="preserve">. </w:t>
      </w:r>
    </w:p>
    <w:p w14:paraId="451871AB" w14:textId="77777777" w:rsidR="0021298F" w:rsidRPr="00416F8C" w:rsidRDefault="0021298F" w:rsidP="0021298F">
      <w:pPr>
        <w:jc w:val="both"/>
        <w:rPr>
          <w:rFonts w:ascii="Arial" w:eastAsia="Times New Roman" w:hAnsi="Arial" w:cs="Arial"/>
        </w:rPr>
      </w:pPr>
    </w:p>
    <w:p w14:paraId="55CD841D" w14:textId="77777777" w:rsidR="0021298F" w:rsidRPr="00416F8C" w:rsidRDefault="0021298F" w:rsidP="0021298F">
      <w:pPr>
        <w:jc w:val="both"/>
        <w:rPr>
          <w:rFonts w:ascii="Arial" w:eastAsia="Times New Roman" w:hAnsi="Arial" w:cs="Arial"/>
        </w:rPr>
      </w:pPr>
      <w:r w:rsidRPr="00416F8C">
        <w:rPr>
          <w:rFonts w:ascii="Arial" w:eastAsia="Times New Roman" w:hAnsi="Arial" w:cs="Arial"/>
        </w:rPr>
        <w:t xml:space="preserve">The Audit Committee operates within clearly defined terms of reference which were reviewed during the financial year. The revised terms have been approved by the Board, and include all matters indicated by the AIC Code and are available for inspection on the Company’s website: </w:t>
      </w:r>
      <w:hyperlink r:id="rId21" w:history="1">
        <w:r w:rsidRPr="00416F8C">
          <w:rPr>
            <w:rFonts w:ascii="Arial" w:eastAsia="Times New Roman" w:hAnsi="Arial" w:cs="Arial"/>
          </w:rPr>
          <w:t>www.greencoat-renewables.com</w:t>
        </w:r>
      </w:hyperlink>
      <w:r w:rsidRPr="00416F8C">
        <w:rPr>
          <w:rFonts w:ascii="Arial" w:eastAsia="Times New Roman" w:hAnsi="Arial" w:cs="Arial"/>
        </w:rPr>
        <w:t>.</w:t>
      </w:r>
    </w:p>
    <w:p w14:paraId="485221F4" w14:textId="77777777" w:rsidR="0021298F" w:rsidRPr="00416F8C" w:rsidRDefault="0021298F" w:rsidP="0021298F">
      <w:pPr>
        <w:jc w:val="both"/>
        <w:rPr>
          <w:rFonts w:ascii="Arial" w:eastAsia="Times New Roman" w:hAnsi="Arial" w:cs="Arial"/>
        </w:rPr>
      </w:pPr>
    </w:p>
    <w:p w14:paraId="11ED6A2E" w14:textId="77777777" w:rsidR="0021298F" w:rsidRPr="00416F8C" w:rsidRDefault="0021298F" w:rsidP="0021298F">
      <w:pPr>
        <w:jc w:val="both"/>
        <w:rPr>
          <w:rFonts w:ascii="Arial" w:eastAsia="Times New Roman" w:hAnsi="Arial" w:cs="Arial"/>
        </w:rPr>
      </w:pPr>
      <w:r w:rsidRPr="00416F8C">
        <w:rPr>
          <w:rFonts w:ascii="Arial" w:eastAsia="Times New Roman" w:hAnsi="Arial" w:cs="Arial"/>
        </w:rPr>
        <w:t xml:space="preserve">Audit Committee meetings are scheduled at appropriate times in the reporting and auditing cycle. The Chairman, other Directors and third parties may be invited to attend meetings as and when deemed appropriate. </w:t>
      </w:r>
    </w:p>
    <w:p w14:paraId="5C0F26B3" w14:textId="77777777" w:rsidR="0021298F" w:rsidRPr="00416F8C" w:rsidRDefault="0021298F" w:rsidP="0021298F">
      <w:pPr>
        <w:jc w:val="both"/>
        <w:rPr>
          <w:rFonts w:ascii="Arial" w:eastAsia="Times New Roman" w:hAnsi="Arial" w:cs="Arial"/>
        </w:rPr>
      </w:pPr>
    </w:p>
    <w:p w14:paraId="4C4C7F83" w14:textId="77777777" w:rsidR="0021298F" w:rsidRPr="00416F8C" w:rsidRDefault="0021298F" w:rsidP="0021298F">
      <w:pPr>
        <w:pStyle w:val="Heading3"/>
        <w:spacing w:before="0"/>
        <w:jc w:val="both"/>
        <w:rPr>
          <w:rFonts w:ascii="Arial" w:hAnsi="Arial" w:cs="Arial"/>
        </w:rPr>
      </w:pPr>
      <w:r w:rsidRPr="00416F8C">
        <w:rPr>
          <w:rFonts w:ascii="Arial" w:hAnsi="Arial" w:cs="Arial"/>
          <w:color w:val="auto"/>
        </w:rPr>
        <w:t xml:space="preserve">Meetings </w:t>
      </w:r>
    </w:p>
    <w:p w14:paraId="2DC4A04E" w14:textId="77777777" w:rsidR="0021298F" w:rsidRPr="00416F8C" w:rsidRDefault="0021298F" w:rsidP="0021298F">
      <w:pPr>
        <w:jc w:val="both"/>
        <w:rPr>
          <w:rFonts w:ascii="Arial" w:eastAsia="Times New Roman" w:hAnsi="Arial" w:cs="Arial"/>
        </w:rPr>
      </w:pPr>
      <w:r w:rsidRPr="00416F8C">
        <w:rPr>
          <w:rFonts w:ascii="Arial" w:eastAsia="Times New Roman" w:hAnsi="Arial" w:cs="Arial"/>
        </w:rPr>
        <w:t xml:space="preserve">The Audit Committee met </w:t>
      </w:r>
      <w:r w:rsidRPr="00B73F05">
        <w:rPr>
          <w:rFonts w:ascii="Arial" w:eastAsia="Times New Roman" w:hAnsi="Arial" w:cs="Arial"/>
        </w:rPr>
        <w:t>4 times</w:t>
      </w:r>
      <w:r w:rsidRPr="00416F8C">
        <w:rPr>
          <w:rFonts w:ascii="Arial" w:eastAsia="Times New Roman" w:hAnsi="Arial" w:cs="Arial"/>
        </w:rPr>
        <w:t xml:space="preserve"> up to 31 December 2020. A breakdown of Director attendance is set out in the Corporate Governance Report. </w:t>
      </w:r>
      <w:r w:rsidRPr="00B73F05">
        <w:rPr>
          <w:rFonts w:ascii="Arial" w:eastAsia="Times New Roman" w:hAnsi="Arial" w:cs="Arial"/>
        </w:rPr>
        <w:t>BDO attended 2 of</w:t>
      </w:r>
      <w:r w:rsidRPr="009254B0">
        <w:rPr>
          <w:rFonts w:ascii="Arial" w:eastAsia="Times New Roman" w:hAnsi="Arial" w:cs="Arial"/>
        </w:rPr>
        <w:t xml:space="preserve"> </w:t>
      </w:r>
      <w:r w:rsidRPr="00B73F05">
        <w:rPr>
          <w:rFonts w:ascii="Arial" w:eastAsia="Times New Roman" w:hAnsi="Arial" w:cs="Arial"/>
        </w:rPr>
        <w:t>the 4 formal</w:t>
      </w:r>
      <w:r w:rsidRPr="00416F8C">
        <w:rPr>
          <w:rFonts w:ascii="Arial" w:eastAsia="Times New Roman" w:hAnsi="Arial" w:cs="Arial"/>
        </w:rPr>
        <w:t xml:space="preserve"> Audit Committee meetings held during the year</w:t>
      </w:r>
      <w:r>
        <w:rPr>
          <w:rFonts w:ascii="Arial" w:eastAsia="Times New Roman" w:hAnsi="Arial" w:cs="Arial"/>
        </w:rPr>
        <w:t>.</w:t>
      </w:r>
    </w:p>
    <w:p w14:paraId="6B469066" w14:textId="77777777" w:rsidR="0021298F" w:rsidRPr="00416F8C" w:rsidRDefault="0021298F" w:rsidP="0021298F">
      <w:pPr>
        <w:jc w:val="both"/>
        <w:rPr>
          <w:rFonts w:ascii="Arial" w:eastAsia="Times New Roman" w:hAnsi="Arial" w:cs="Arial"/>
        </w:rPr>
      </w:pPr>
    </w:p>
    <w:p w14:paraId="0D1E7E83" w14:textId="77777777" w:rsidR="0021298F" w:rsidRPr="00416F8C" w:rsidRDefault="0021298F" w:rsidP="0021298F">
      <w:pPr>
        <w:pStyle w:val="Heading3"/>
        <w:spacing w:before="0"/>
        <w:jc w:val="both"/>
        <w:rPr>
          <w:rFonts w:ascii="Arial" w:hAnsi="Arial" w:cs="Arial"/>
          <w:color w:val="auto"/>
        </w:rPr>
      </w:pPr>
      <w:r w:rsidRPr="00416F8C">
        <w:rPr>
          <w:rFonts w:ascii="Arial" w:hAnsi="Arial" w:cs="Arial"/>
          <w:color w:val="auto"/>
        </w:rPr>
        <w:t>Summary of the Role and Responsibilities of the Audit Committee</w:t>
      </w:r>
    </w:p>
    <w:p w14:paraId="65E818F7" w14:textId="77777777" w:rsidR="0021298F" w:rsidRPr="00416F8C" w:rsidRDefault="0021298F" w:rsidP="0021298F">
      <w:pPr>
        <w:jc w:val="both"/>
        <w:rPr>
          <w:rFonts w:ascii="Arial" w:eastAsia="Times New Roman" w:hAnsi="Arial" w:cs="Arial"/>
        </w:rPr>
      </w:pPr>
      <w:r w:rsidRPr="00416F8C">
        <w:rPr>
          <w:rFonts w:ascii="Arial" w:eastAsia="Times New Roman" w:hAnsi="Arial" w:cs="Arial"/>
        </w:rPr>
        <w:t xml:space="preserve">The duties of the Audit Committee include reviewing the Interim Report, Annual Report and financial statements and any formal announcements relating to the Company’s financial performance. </w:t>
      </w:r>
    </w:p>
    <w:p w14:paraId="1412B079" w14:textId="77777777" w:rsidR="0021298F" w:rsidRPr="00416F8C" w:rsidRDefault="0021298F" w:rsidP="0021298F">
      <w:pPr>
        <w:jc w:val="both"/>
        <w:rPr>
          <w:rFonts w:ascii="Arial" w:eastAsia="Times New Roman" w:hAnsi="Arial" w:cs="Arial"/>
        </w:rPr>
      </w:pPr>
    </w:p>
    <w:p w14:paraId="2C08C549" w14:textId="77777777" w:rsidR="0021298F" w:rsidRPr="00416F8C" w:rsidRDefault="0021298F" w:rsidP="0021298F">
      <w:pPr>
        <w:jc w:val="both"/>
        <w:rPr>
          <w:rFonts w:ascii="Arial" w:eastAsia="Times New Roman" w:hAnsi="Arial" w:cs="Arial"/>
        </w:rPr>
      </w:pPr>
      <w:r w:rsidRPr="00416F8C">
        <w:rPr>
          <w:rFonts w:ascii="Arial" w:eastAsia="Times New Roman" w:hAnsi="Arial" w:cs="Arial"/>
        </w:rPr>
        <w:t xml:space="preserve">The Audit Committee is the forum through which the external Auditor reports to the Board and is responsible for reviewing the terms of appointment of the Auditor, together with their remuneration. On an ongoing basis, the Audit Committee is responsible for reviewing the objectivity of the Auditor along with the effectiveness of the audit and the terms under which the Auditor is engaged to perform non-audit services (restricted to the limited scope review of the Interim Report). The Audit Committee is also responsible for reviewing the Company’s corporate governance </w:t>
      </w:r>
      <w:r w:rsidRPr="00416F8C">
        <w:rPr>
          <w:rFonts w:ascii="Arial" w:eastAsia="Times New Roman" w:hAnsi="Arial" w:cs="Arial"/>
        </w:rPr>
        <w:lastRenderedPageBreak/>
        <w:t xml:space="preserve">framework, system of internal controls and risk management, ensuring they are suitable for an investment company. </w:t>
      </w:r>
    </w:p>
    <w:p w14:paraId="67854541" w14:textId="77777777" w:rsidR="0021298F" w:rsidRPr="00416F8C" w:rsidRDefault="0021298F" w:rsidP="0021298F">
      <w:pPr>
        <w:jc w:val="both"/>
        <w:rPr>
          <w:rFonts w:ascii="Arial" w:eastAsia="Times New Roman" w:hAnsi="Arial" w:cs="Arial"/>
        </w:rPr>
      </w:pPr>
    </w:p>
    <w:p w14:paraId="7EBEB03E" w14:textId="77777777" w:rsidR="0021298F" w:rsidRPr="00416F8C" w:rsidRDefault="0021298F" w:rsidP="0021298F">
      <w:pPr>
        <w:jc w:val="both"/>
        <w:rPr>
          <w:rFonts w:ascii="Arial" w:eastAsia="Times New Roman" w:hAnsi="Arial" w:cs="Arial"/>
        </w:rPr>
      </w:pPr>
      <w:r w:rsidRPr="00416F8C">
        <w:rPr>
          <w:rFonts w:ascii="Arial" w:eastAsia="Times New Roman" w:hAnsi="Arial" w:cs="Arial"/>
        </w:rPr>
        <w:t xml:space="preserve">The Audit Committee reports its findings to the Board, identifying any matters on which it considers that action or improvement is needed, and make recommendations on the steps to be taken. </w:t>
      </w:r>
    </w:p>
    <w:p w14:paraId="747C2E5C" w14:textId="77777777" w:rsidR="0021298F" w:rsidRPr="00416F8C" w:rsidRDefault="0021298F" w:rsidP="0021298F">
      <w:pPr>
        <w:jc w:val="both"/>
        <w:rPr>
          <w:rFonts w:ascii="Arial" w:eastAsia="Times New Roman" w:hAnsi="Arial" w:cs="Arial"/>
        </w:rPr>
      </w:pPr>
    </w:p>
    <w:p w14:paraId="5B0B78BB" w14:textId="77777777" w:rsidR="0021298F" w:rsidRPr="00416F8C" w:rsidRDefault="0021298F" w:rsidP="0021298F">
      <w:pPr>
        <w:pStyle w:val="Heading3"/>
        <w:spacing w:before="0"/>
        <w:jc w:val="both"/>
        <w:rPr>
          <w:rFonts w:ascii="Arial" w:hAnsi="Arial" w:cs="Arial"/>
          <w:color w:val="auto"/>
        </w:rPr>
      </w:pPr>
      <w:r w:rsidRPr="00416F8C">
        <w:rPr>
          <w:rFonts w:ascii="Arial" w:hAnsi="Arial" w:cs="Arial"/>
          <w:color w:val="auto"/>
        </w:rPr>
        <w:t>Overview</w:t>
      </w:r>
    </w:p>
    <w:p w14:paraId="62237AC5" w14:textId="77777777" w:rsidR="0021298F" w:rsidRPr="00416F8C" w:rsidRDefault="0021298F" w:rsidP="0021298F">
      <w:pPr>
        <w:jc w:val="both"/>
        <w:rPr>
          <w:rFonts w:ascii="Arial" w:eastAsia="Times New Roman" w:hAnsi="Arial" w:cs="Arial"/>
        </w:rPr>
      </w:pPr>
      <w:r w:rsidRPr="00416F8C">
        <w:rPr>
          <w:rFonts w:ascii="Arial" w:eastAsia="Times New Roman" w:hAnsi="Arial" w:cs="Arial"/>
        </w:rPr>
        <w:t xml:space="preserve">During the year, the Audit Committee’s discussions have been broad ranging. In addition to the </w:t>
      </w:r>
      <w:r w:rsidRPr="00B73F05">
        <w:rPr>
          <w:rFonts w:ascii="Arial" w:eastAsia="Times New Roman" w:hAnsi="Arial" w:cs="Arial"/>
        </w:rPr>
        <w:t>4</w:t>
      </w:r>
      <w:r w:rsidRPr="00416F8C">
        <w:rPr>
          <w:rFonts w:ascii="Arial" w:eastAsia="Times New Roman" w:hAnsi="Arial" w:cs="Arial"/>
        </w:rPr>
        <w:t xml:space="preserve"> formally convened Audit Committee meetings, during the year, the Audit Committee has had regular contact and meetings with the Investment Manager, and the Administrator. These meetings and discussions focused on, but were not limited to:  </w:t>
      </w:r>
    </w:p>
    <w:p w14:paraId="0629B36F" w14:textId="77777777" w:rsidR="0021298F" w:rsidRPr="00416F8C" w:rsidRDefault="0021298F" w:rsidP="0021298F">
      <w:pPr>
        <w:jc w:val="both"/>
        <w:rPr>
          <w:rFonts w:ascii="Arial" w:eastAsia="Times New Roman" w:hAnsi="Arial" w:cs="Arial"/>
        </w:rPr>
      </w:pPr>
    </w:p>
    <w:p w14:paraId="08D550F7" w14:textId="77777777" w:rsidR="0021298F" w:rsidRPr="00416F8C" w:rsidRDefault="0021298F" w:rsidP="0021298F">
      <w:pPr>
        <w:pStyle w:val="ListParagraph"/>
        <w:numPr>
          <w:ilvl w:val="0"/>
          <w:numId w:val="22"/>
        </w:numPr>
        <w:jc w:val="both"/>
        <w:rPr>
          <w:rFonts w:ascii="Arial" w:eastAsia="Times New Roman" w:hAnsi="Arial" w:cs="Arial"/>
        </w:rPr>
      </w:pPr>
      <w:r w:rsidRPr="00416F8C">
        <w:rPr>
          <w:rFonts w:ascii="Arial" w:eastAsia="Times New Roman" w:hAnsi="Arial" w:cs="Arial"/>
        </w:rPr>
        <w:t>reviewing the updated risk matrix of the Company;</w:t>
      </w:r>
    </w:p>
    <w:p w14:paraId="7A8FCA93" w14:textId="77777777" w:rsidR="0021298F" w:rsidRPr="00416F8C" w:rsidRDefault="0021298F" w:rsidP="0021298F">
      <w:pPr>
        <w:pStyle w:val="ListParagraph"/>
        <w:numPr>
          <w:ilvl w:val="0"/>
          <w:numId w:val="22"/>
        </w:numPr>
        <w:jc w:val="both"/>
        <w:rPr>
          <w:rFonts w:ascii="Arial" w:eastAsia="Times New Roman" w:hAnsi="Arial" w:cs="Arial"/>
        </w:rPr>
      </w:pPr>
      <w:r w:rsidRPr="00416F8C">
        <w:rPr>
          <w:rFonts w:ascii="Arial" w:eastAsia="Times New Roman" w:hAnsi="Arial" w:cs="Arial"/>
        </w:rPr>
        <w:t>reviewing the Company’s corporate governance framework;</w:t>
      </w:r>
    </w:p>
    <w:p w14:paraId="795B681A" w14:textId="77777777" w:rsidR="0021298F" w:rsidRPr="00416F8C" w:rsidRDefault="0021298F" w:rsidP="0021298F">
      <w:pPr>
        <w:pStyle w:val="ListParagraph"/>
        <w:numPr>
          <w:ilvl w:val="0"/>
          <w:numId w:val="22"/>
        </w:numPr>
        <w:jc w:val="both"/>
        <w:rPr>
          <w:rFonts w:ascii="Arial" w:eastAsia="Times New Roman" w:hAnsi="Arial" w:cs="Arial"/>
        </w:rPr>
      </w:pPr>
      <w:r w:rsidRPr="00416F8C">
        <w:rPr>
          <w:rFonts w:ascii="Arial" w:eastAsia="Times New Roman" w:hAnsi="Arial" w:cs="Arial"/>
        </w:rPr>
        <w:t>reviewing the internal controls framework for the Company, the Administrator and the Investment Manager, considering the need for a separate internal audit function;</w:t>
      </w:r>
    </w:p>
    <w:p w14:paraId="42B5B3A4" w14:textId="77777777" w:rsidR="0021298F" w:rsidRPr="00416F8C" w:rsidRDefault="0021298F" w:rsidP="0021298F">
      <w:pPr>
        <w:pStyle w:val="ListParagraph"/>
        <w:numPr>
          <w:ilvl w:val="0"/>
          <w:numId w:val="22"/>
        </w:numPr>
        <w:jc w:val="both"/>
        <w:rPr>
          <w:rFonts w:ascii="Arial" w:eastAsia="Times New Roman" w:hAnsi="Arial" w:cs="Arial"/>
        </w:rPr>
      </w:pPr>
      <w:r w:rsidRPr="00416F8C">
        <w:rPr>
          <w:rFonts w:ascii="Arial" w:eastAsia="Times New Roman" w:hAnsi="Arial" w:cs="Arial"/>
        </w:rPr>
        <w:t>considering potential incidents of fraud and the Company's response thereto;</w:t>
      </w:r>
    </w:p>
    <w:p w14:paraId="4FB980B4" w14:textId="77777777" w:rsidR="0021298F" w:rsidRPr="00416F8C" w:rsidRDefault="0021298F" w:rsidP="0021298F">
      <w:pPr>
        <w:pStyle w:val="ListParagraph"/>
        <w:numPr>
          <w:ilvl w:val="0"/>
          <w:numId w:val="22"/>
        </w:numPr>
        <w:jc w:val="both"/>
        <w:rPr>
          <w:rFonts w:ascii="Arial" w:eastAsia="Times New Roman" w:hAnsi="Arial" w:cs="Arial"/>
        </w:rPr>
      </w:pPr>
      <w:r w:rsidRPr="00416F8C">
        <w:rPr>
          <w:rFonts w:ascii="Arial" w:eastAsia="Times New Roman" w:hAnsi="Arial" w:cs="Arial"/>
        </w:rPr>
        <w:t xml:space="preserve">considering the ongoing assessment of the Company as a going concern; </w:t>
      </w:r>
    </w:p>
    <w:p w14:paraId="1A8B6956" w14:textId="77777777" w:rsidR="0021298F" w:rsidRPr="00416F8C" w:rsidRDefault="0021298F" w:rsidP="0021298F">
      <w:pPr>
        <w:pStyle w:val="ListParagraph"/>
        <w:numPr>
          <w:ilvl w:val="0"/>
          <w:numId w:val="22"/>
        </w:numPr>
        <w:jc w:val="both"/>
        <w:rPr>
          <w:rFonts w:ascii="Arial" w:eastAsia="Times New Roman" w:hAnsi="Arial" w:cs="Arial"/>
        </w:rPr>
      </w:pPr>
      <w:r w:rsidRPr="00416F8C">
        <w:rPr>
          <w:rFonts w:ascii="Arial" w:eastAsia="Times New Roman" w:hAnsi="Arial" w:cs="Arial"/>
        </w:rPr>
        <w:t>considering the principal risks and period of assessment for the longer term viability of the Company;</w:t>
      </w:r>
    </w:p>
    <w:p w14:paraId="7154C9F4" w14:textId="77777777" w:rsidR="0021298F" w:rsidRPr="00416F8C" w:rsidRDefault="0021298F" w:rsidP="0021298F">
      <w:pPr>
        <w:pStyle w:val="ListParagraph"/>
        <w:numPr>
          <w:ilvl w:val="0"/>
          <w:numId w:val="22"/>
        </w:numPr>
        <w:jc w:val="both"/>
        <w:rPr>
          <w:rFonts w:ascii="Arial" w:eastAsia="Times New Roman" w:hAnsi="Arial" w:cs="Arial"/>
        </w:rPr>
      </w:pPr>
      <w:r w:rsidRPr="00416F8C">
        <w:rPr>
          <w:rFonts w:ascii="Arial" w:eastAsia="Times New Roman" w:hAnsi="Arial" w:cs="Arial"/>
        </w:rPr>
        <w:t>monitoring the ongoing appropriateness of the Company’s status as an investment entity under IFRS 10, in particular following an acquisition;</w:t>
      </w:r>
    </w:p>
    <w:p w14:paraId="5CD47AF1" w14:textId="77777777" w:rsidR="0021298F" w:rsidRPr="00416F8C" w:rsidRDefault="0021298F" w:rsidP="0021298F">
      <w:pPr>
        <w:pStyle w:val="ListParagraph"/>
        <w:numPr>
          <w:ilvl w:val="0"/>
          <w:numId w:val="22"/>
        </w:numPr>
        <w:jc w:val="both"/>
        <w:rPr>
          <w:rFonts w:ascii="Arial" w:eastAsia="Times New Roman" w:hAnsi="Arial" w:cs="Arial"/>
        </w:rPr>
      </w:pPr>
      <w:r w:rsidRPr="00416F8C">
        <w:rPr>
          <w:rFonts w:ascii="Arial" w:eastAsia="Times New Roman" w:hAnsi="Arial" w:cs="Arial"/>
        </w:rPr>
        <w:t>monitoring compliance with AIFMD, the AIC code and other regulatory and governance frameworks;</w:t>
      </w:r>
    </w:p>
    <w:p w14:paraId="5E7D5F91" w14:textId="77777777" w:rsidR="0021298F" w:rsidRPr="00416F8C" w:rsidRDefault="0021298F" w:rsidP="0021298F">
      <w:pPr>
        <w:pStyle w:val="ListParagraph"/>
        <w:numPr>
          <w:ilvl w:val="0"/>
          <w:numId w:val="22"/>
        </w:numPr>
        <w:jc w:val="both"/>
        <w:rPr>
          <w:rFonts w:ascii="Arial" w:eastAsia="Times New Roman" w:hAnsi="Arial" w:cs="Arial"/>
        </w:rPr>
      </w:pPr>
      <w:r w:rsidRPr="00416F8C">
        <w:rPr>
          <w:rFonts w:ascii="Arial" w:eastAsia="Times New Roman" w:hAnsi="Arial" w:cs="Arial"/>
        </w:rPr>
        <w:t>reviewing and approving the audit plan in relation to the audit of the Company’s Annual Report and financial statements;</w:t>
      </w:r>
    </w:p>
    <w:p w14:paraId="0AC82CB9" w14:textId="77777777" w:rsidR="0021298F" w:rsidRPr="00416F8C" w:rsidRDefault="0021298F" w:rsidP="0021298F">
      <w:pPr>
        <w:pStyle w:val="ListParagraph"/>
        <w:numPr>
          <w:ilvl w:val="0"/>
          <w:numId w:val="22"/>
        </w:numPr>
        <w:jc w:val="both"/>
        <w:rPr>
          <w:rFonts w:ascii="Arial" w:eastAsia="Times New Roman" w:hAnsi="Arial" w:cs="Arial"/>
        </w:rPr>
      </w:pPr>
      <w:r w:rsidRPr="00416F8C">
        <w:rPr>
          <w:rFonts w:ascii="Arial" w:eastAsia="Times New Roman" w:hAnsi="Arial" w:cs="Arial"/>
        </w:rPr>
        <w:t>monitoring compliance with the Company’s policy on the provision of non-audit services by the Auditor; and</w:t>
      </w:r>
    </w:p>
    <w:p w14:paraId="3C687007" w14:textId="77777777" w:rsidR="0021298F" w:rsidRPr="00416F8C" w:rsidRDefault="0021298F" w:rsidP="0021298F">
      <w:pPr>
        <w:pStyle w:val="ListParagraph"/>
        <w:numPr>
          <w:ilvl w:val="0"/>
          <w:numId w:val="22"/>
        </w:numPr>
        <w:jc w:val="both"/>
        <w:rPr>
          <w:rFonts w:ascii="Arial" w:eastAsia="Times New Roman" w:hAnsi="Arial" w:cs="Arial"/>
        </w:rPr>
      </w:pPr>
      <w:r w:rsidRPr="00416F8C">
        <w:rPr>
          <w:rFonts w:ascii="Arial" w:eastAsia="Times New Roman" w:hAnsi="Arial" w:cs="Arial"/>
        </w:rPr>
        <w:t>reviewing the effectiveness, resources, qualifications and independence of the Auditor.</w:t>
      </w:r>
    </w:p>
    <w:p w14:paraId="0D9E8693" w14:textId="77777777" w:rsidR="0021298F" w:rsidRPr="00416F8C" w:rsidRDefault="0021298F" w:rsidP="0021298F">
      <w:pPr>
        <w:jc w:val="both"/>
        <w:rPr>
          <w:rFonts w:ascii="Arial" w:eastAsia="Times New Roman" w:hAnsi="Arial" w:cs="Arial"/>
        </w:rPr>
      </w:pPr>
    </w:p>
    <w:p w14:paraId="159D7A90" w14:textId="77777777" w:rsidR="0021298F" w:rsidRPr="00416F8C" w:rsidRDefault="0021298F" w:rsidP="0021298F">
      <w:pPr>
        <w:pStyle w:val="Heading3"/>
        <w:spacing w:before="0"/>
        <w:jc w:val="both"/>
        <w:rPr>
          <w:rFonts w:ascii="Arial" w:hAnsi="Arial" w:cs="Arial"/>
          <w:color w:val="auto"/>
        </w:rPr>
      </w:pPr>
      <w:r w:rsidRPr="00416F8C">
        <w:rPr>
          <w:rFonts w:ascii="Arial" w:hAnsi="Arial" w:cs="Arial"/>
          <w:color w:val="auto"/>
        </w:rPr>
        <w:t>Financial Reporting</w:t>
      </w:r>
    </w:p>
    <w:p w14:paraId="5573B2E3" w14:textId="77777777" w:rsidR="0021298F" w:rsidRPr="00416F8C" w:rsidRDefault="0021298F" w:rsidP="0021298F">
      <w:pPr>
        <w:jc w:val="both"/>
        <w:rPr>
          <w:rFonts w:ascii="Arial" w:eastAsia="Times New Roman" w:hAnsi="Arial" w:cs="Arial"/>
        </w:rPr>
      </w:pPr>
      <w:r w:rsidRPr="00416F8C">
        <w:rPr>
          <w:rFonts w:ascii="Arial" w:eastAsia="Times New Roman" w:hAnsi="Arial" w:cs="Arial"/>
        </w:rPr>
        <w:t>The primary role of the Audit Committee in relation to financial reporting is to review, with the Investment Manager, the Administrator and the Auditor, the appropriateness of the Interim Report and Annual Report and financial statements, concentrating on, amongst other matters:</w:t>
      </w:r>
    </w:p>
    <w:p w14:paraId="52A2A0BB" w14:textId="77777777" w:rsidR="0021298F" w:rsidRPr="00416F8C" w:rsidRDefault="0021298F" w:rsidP="0021298F">
      <w:pPr>
        <w:jc w:val="both"/>
        <w:rPr>
          <w:rFonts w:ascii="Arial" w:eastAsia="Times New Roman" w:hAnsi="Arial" w:cs="Arial"/>
        </w:rPr>
      </w:pPr>
    </w:p>
    <w:p w14:paraId="43FCFFD9" w14:textId="77777777" w:rsidR="0021298F" w:rsidRPr="00416F8C" w:rsidRDefault="0021298F" w:rsidP="0021298F">
      <w:pPr>
        <w:pStyle w:val="ListParagraph"/>
        <w:numPr>
          <w:ilvl w:val="0"/>
          <w:numId w:val="22"/>
        </w:numPr>
        <w:jc w:val="both"/>
        <w:rPr>
          <w:rFonts w:ascii="Arial" w:eastAsia="Times New Roman" w:hAnsi="Arial" w:cs="Arial"/>
        </w:rPr>
      </w:pPr>
      <w:r w:rsidRPr="00416F8C">
        <w:rPr>
          <w:rFonts w:ascii="Arial" w:eastAsia="Times New Roman" w:hAnsi="Arial" w:cs="Arial"/>
        </w:rPr>
        <w:t>the quality and acceptability of accounting policies and practices;</w:t>
      </w:r>
    </w:p>
    <w:p w14:paraId="5BF00079" w14:textId="77777777" w:rsidR="0021298F" w:rsidRPr="00416F8C" w:rsidRDefault="0021298F" w:rsidP="0021298F">
      <w:pPr>
        <w:pStyle w:val="ListParagraph"/>
        <w:numPr>
          <w:ilvl w:val="0"/>
          <w:numId w:val="22"/>
        </w:numPr>
        <w:jc w:val="both"/>
        <w:rPr>
          <w:rFonts w:ascii="Arial" w:eastAsia="Times New Roman" w:hAnsi="Arial" w:cs="Arial"/>
        </w:rPr>
      </w:pPr>
      <w:r w:rsidRPr="00416F8C">
        <w:rPr>
          <w:rFonts w:ascii="Arial" w:eastAsia="Times New Roman" w:hAnsi="Arial" w:cs="Arial"/>
        </w:rPr>
        <w:t>the clarity of the disclosures and compliance with financial reporting standards and relevant financial and governance reporting requirements;</w:t>
      </w:r>
    </w:p>
    <w:p w14:paraId="214EF73A" w14:textId="77777777" w:rsidR="0021298F" w:rsidRPr="00416F8C" w:rsidRDefault="0021298F" w:rsidP="0021298F">
      <w:pPr>
        <w:pStyle w:val="ListParagraph"/>
        <w:numPr>
          <w:ilvl w:val="0"/>
          <w:numId w:val="22"/>
        </w:numPr>
        <w:jc w:val="both"/>
        <w:rPr>
          <w:rFonts w:ascii="Arial" w:eastAsia="Times New Roman" w:hAnsi="Arial" w:cs="Arial"/>
        </w:rPr>
      </w:pPr>
      <w:r w:rsidRPr="00416F8C">
        <w:rPr>
          <w:rFonts w:ascii="Arial" w:eastAsia="Times New Roman" w:hAnsi="Arial" w:cs="Arial"/>
        </w:rPr>
        <w:t>amendments to legislation and corporate governance reporting requirements and accounting treatment of new transactions in the period;</w:t>
      </w:r>
    </w:p>
    <w:p w14:paraId="6D6F3AAB" w14:textId="77777777" w:rsidR="0021298F" w:rsidRPr="00416F8C" w:rsidRDefault="0021298F" w:rsidP="0021298F">
      <w:pPr>
        <w:pStyle w:val="ListParagraph"/>
        <w:numPr>
          <w:ilvl w:val="0"/>
          <w:numId w:val="22"/>
        </w:numPr>
        <w:jc w:val="both"/>
        <w:rPr>
          <w:rFonts w:ascii="Arial" w:eastAsia="Times New Roman" w:hAnsi="Arial" w:cs="Arial"/>
        </w:rPr>
      </w:pPr>
      <w:r w:rsidRPr="00416F8C">
        <w:rPr>
          <w:rFonts w:ascii="Arial" w:eastAsia="Times New Roman" w:hAnsi="Arial" w:cs="Arial"/>
        </w:rPr>
        <w:t>the impact of new and amended accounting standards on the Company’s financial statements;</w:t>
      </w:r>
    </w:p>
    <w:p w14:paraId="5F2AA0B7" w14:textId="77777777" w:rsidR="0021298F" w:rsidRPr="00416F8C" w:rsidRDefault="0021298F" w:rsidP="0021298F">
      <w:pPr>
        <w:pStyle w:val="ListParagraph"/>
        <w:numPr>
          <w:ilvl w:val="0"/>
          <w:numId w:val="22"/>
        </w:numPr>
        <w:jc w:val="both"/>
        <w:rPr>
          <w:rFonts w:ascii="Arial" w:eastAsia="Times New Roman" w:hAnsi="Arial" w:cs="Arial"/>
        </w:rPr>
      </w:pPr>
      <w:r w:rsidRPr="00416F8C">
        <w:rPr>
          <w:rFonts w:ascii="Arial" w:eastAsia="Times New Roman" w:hAnsi="Arial" w:cs="Arial"/>
        </w:rPr>
        <w:lastRenderedPageBreak/>
        <w:t>whether the Audit Committee believes that proper and appropriate processes and procedures have been followed in the preparation of the Interim and Annual Report and financial statements;</w:t>
      </w:r>
    </w:p>
    <w:p w14:paraId="01646A38" w14:textId="77777777" w:rsidR="0021298F" w:rsidRPr="00416F8C" w:rsidRDefault="0021298F" w:rsidP="0021298F">
      <w:pPr>
        <w:pStyle w:val="ListParagraph"/>
        <w:numPr>
          <w:ilvl w:val="0"/>
          <w:numId w:val="22"/>
        </w:numPr>
        <w:jc w:val="both"/>
        <w:rPr>
          <w:rFonts w:ascii="Arial" w:eastAsia="Times New Roman" w:hAnsi="Arial" w:cs="Arial"/>
        </w:rPr>
      </w:pPr>
      <w:r w:rsidRPr="00416F8C">
        <w:rPr>
          <w:rFonts w:ascii="Arial" w:eastAsia="Times New Roman" w:hAnsi="Arial" w:cs="Arial"/>
        </w:rPr>
        <w:t>consideration and recommending to the Board for approval of the contents of the annual financial statements and reviewing the Auditors’ report thereon including consideration of whether the consolidated financial statements are overall fair, balanced and understandable;</w:t>
      </w:r>
    </w:p>
    <w:p w14:paraId="044BA2BD" w14:textId="77777777" w:rsidR="0021298F" w:rsidRPr="00416F8C" w:rsidRDefault="0021298F" w:rsidP="0021298F">
      <w:pPr>
        <w:pStyle w:val="ListParagraph"/>
        <w:numPr>
          <w:ilvl w:val="0"/>
          <w:numId w:val="22"/>
        </w:numPr>
        <w:jc w:val="both"/>
        <w:rPr>
          <w:rFonts w:ascii="Arial" w:eastAsia="Times New Roman" w:hAnsi="Arial" w:cs="Arial"/>
        </w:rPr>
      </w:pPr>
      <w:r w:rsidRPr="00416F8C">
        <w:rPr>
          <w:rFonts w:ascii="Arial" w:eastAsia="Times New Roman" w:hAnsi="Arial" w:cs="Arial"/>
        </w:rPr>
        <w:t>material areas in which significant judgements have been applied or there has been discussion with the Auditor; and</w:t>
      </w:r>
    </w:p>
    <w:p w14:paraId="64AEEF92" w14:textId="77777777" w:rsidR="0021298F" w:rsidRPr="00416F8C" w:rsidRDefault="0021298F" w:rsidP="0021298F">
      <w:pPr>
        <w:pStyle w:val="ListParagraph"/>
        <w:numPr>
          <w:ilvl w:val="0"/>
          <w:numId w:val="22"/>
        </w:numPr>
        <w:jc w:val="both"/>
        <w:rPr>
          <w:rFonts w:ascii="Arial" w:eastAsia="Times New Roman" w:hAnsi="Arial" w:cs="Arial"/>
        </w:rPr>
      </w:pPr>
      <w:r w:rsidRPr="00416F8C">
        <w:rPr>
          <w:rFonts w:ascii="Arial" w:eastAsia="Times New Roman" w:hAnsi="Arial" w:cs="Arial"/>
        </w:rPr>
        <w:t>any correspondence from regulators in relation to the Company’s financial reporting.</w:t>
      </w:r>
    </w:p>
    <w:p w14:paraId="2629A13F" w14:textId="77777777" w:rsidR="0021298F" w:rsidRPr="00416F8C" w:rsidRDefault="0021298F" w:rsidP="0021298F">
      <w:pPr>
        <w:jc w:val="both"/>
        <w:rPr>
          <w:rFonts w:ascii="Arial" w:eastAsia="Times New Roman" w:hAnsi="Arial" w:cs="Arial"/>
        </w:rPr>
      </w:pPr>
    </w:p>
    <w:p w14:paraId="261BA303" w14:textId="77777777" w:rsidR="0021298F" w:rsidRPr="00416F8C" w:rsidRDefault="0021298F" w:rsidP="0021298F">
      <w:pPr>
        <w:jc w:val="both"/>
        <w:rPr>
          <w:rFonts w:ascii="Arial" w:eastAsia="Times New Roman" w:hAnsi="Arial" w:cs="Arial"/>
        </w:rPr>
      </w:pPr>
      <w:r w:rsidRPr="00416F8C">
        <w:rPr>
          <w:rFonts w:ascii="Arial" w:eastAsia="Times New Roman" w:hAnsi="Arial" w:cs="Arial"/>
        </w:rPr>
        <w:t xml:space="preserve">BDO attended </w:t>
      </w:r>
      <w:r w:rsidRPr="00B73F05">
        <w:rPr>
          <w:rFonts w:ascii="Arial" w:eastAsia="Times New Roman" w:hAnsi="Arial" w:cs="Arial"/>
        </w:rPr>
        <w:t>2 of the 4</w:t>
      </w:r>
      <w:r w:rsidRPr="00416F8C">
        <w:rPr>
          <w:rFonts w:ascii="Arial" w:eastAsia="Times New Roman" w:hAnsi="Arial" w:cs="Arial"/>
        </w:rPr>
        <w:t xml:space="preserve"> formal Audit Committee meetings held during the year and have presented their audit findings to the Audit Committee. Matters typically discussed include the Auditor’s assessment of the transparency and openness of interactions with the Investment Manager and the Administrator, confirmation that there has been no restriction in scope placed on them, the independence of their audit and how they have exercised professional scepticism.</w:t>
      </w:r>
    </w:p>
    <w:p w14:paraId="0D497B9E" w14:textId="77777777" w:rsidR="0021298F" w:rsidRPr="00416F8C" w:rsidRDefault="0021298F" w:rsidP="0021298F">
      <w:pPr>
        <w:jc w:val="both"/>
        <w:rPr>
          <w:rFonts w:ascii="Arial" w:eastAsia="Times New Roman" w:hAnsi="Arial" w:cs="Arial"/>
        </w:rPr>
      </w:pPr>
    </w:p>
    <w:p w14:paraId="5718017D" w14:textId="77777777" w:rsidR="0021298F" w:rsidRPr="00416F8C" w:rsidRDefault="0021298F" w:rsidP="0021298F">
      <w:pPr>
        <w:pStyle w:val="Heading3"/>
        <w:spacing w:before="0"/>
        <w:jc w:val="both"/>
        <w:rPr>
          <w:rFonts w:ascii="Arial" w:hAnsi="Arial" w:cs="Arial"/>
          <w:color w:val="auto"/>
        </w:rPr>
      </w:pPr>
      <w:r w:rsidRPr="00416F8C">
        <w:rPr>
          <w:rFonts w:ascii="Arial" w:hAnsi="Arial" w:cs="Arial"/>
          <w:color w:val="auto"/>
        </w:rPr>
        <w:t>Significant Issues</w:t>
      </w:r>
    </w:p>
    <w:p w14:paraId="4EFDEEE0" w14:textId="77777777" w:rsidR="0021298F" w:rsidRPr="00416F8C" w:rsidRDefault="0021298F" w:rsidP="0021298F">
      <w:pPr>
        <w:jc w:val="both"/>
        <w:rPr>
          <w:rFonts w:ascii="Arial" w:eastAsia="Times New Roman" w:hAnsi="Arial" w:cs="Arial"/>
        </w:rPr>
      </w:pPr>
      <w:r w:rsidRPr="00416F8C">
        <w:rPr>
          <w:rFonts w:ascii="Arial" w:eastAsia="Times New Roman" w:hAnsi="Arial" w:cs="Arial"/>
        </w:rPr>
        <w:t xml:space="preserve">The Audit Committee discussed the planning, conduct and conclusions of the external audit as it proceeded. At the Audit Committee meeting in advance of the year end, the Audit Committee discussed and approved the Auditor’s audit plan. The Audit Committee identified the fair value of investments as a key area of risk of misstatement in the Company’s financial statements. </w:t>
      </w:r>
    </w:p>
    <w:p w14:paraId="7EC1F8BD" w14:textId="77777777" w:rsidR="0021298F" w:rsidRPr="00416F8C" w:rsidRDefault="0021298F" w:rsidP="0021298F">
      <w:pPr>
        <w:jc w:val="both"/>
        <w:rPr>
          <w:rFonts w:ascii="Arial" w:eastAsia="Times New Roman" w:hAnsi="Arial" w:cs="Arial"/>
          <w:sz w:val="18"/>
        </w:rPr>
      </w:pPr>
    </w:p>
    <w:p w14:paraId="7270640B" w14:textId="77777777" w:rsidR="0021298F" w:rsidRPr="00416F8C" w:rsidRDefault="0021298F" w:rsidP="0021298F">
      <w:pPr>
        <w:pStyle w:val="Heading5"/>
        <w:spacing w:before="0"/>
        <w:jc w:val="both"/>
        <w:rPr>
          <w:rFonts w:ascii="Arial" w:eastAsiaTheme="minorHAnsi" w:hAnsi="Arial" w:cs="Arial"/>
          <w:b/>
          <w:i/>
          <w:color w:val="auto"/>
        </w:rPr>
      </w:pPr>
      <w:r w:rsidRPr="00416F8C">
        <w:rPr>
          <w:rFonts w:ascii="Arial" w:eastAsiaTheme="minorHAnsi" w:hAnsi="Arial" w:cs="Arial"/>
          <w:b/>
          <w:i/>
          <w:color w:val="auto"/>
        </w:rPr>
        <w:t>Assessment of the Fair Value of Investments</w:t>
      </w:r>
    </w:p>
    <w:p w14:paraId="5CBADDB9" w14:textId="77777777" w:rsidR="0021298F" w:rsidRPr="00416F8C" w:rsidRDefault="0021298F" w:rsidP="0021298F">
      <w:pPr>
        <w:jc w:val="both"/>
        <w:rPr>
          <w:rFonts w:ascii="Arial" w:eastAsia="Times New Roman" w:hAnsi="Arial" w:cs="Arial"/>
        </w:rPr>
      </w:pPr>
      <w:r w:rsidRPr="00416F8C">
        <w:rPr>
          <w:rFonts w:ascii="Arial" w:eastAsia="Times New Roman" w:hAnsi="Arial" w:cs="Arial"/>
        </w:rPr>
        <w:t xml:space="preserve">The Group’s accounting policy is to designate investments at fair value through profit or loss. Therefore, the most significant risk in the Group’s accounts is whether its investments are fairly valued due to the uncertainty involved in determining the investment valuations. There is also an inherent risk of management override as the Investment Manager’s fee is calculated based on NAV as disclosed in note 3 to the consolidated financial statements. The Investment Manager is responsible for calculating the NAV with the assistance of the Administrator, in accordance with its valuation policy and is subject to the approval of its independent valuation committee. </w:t>
      </w:r>
    </w:p>
    <w:p w14:paraId="07D8F96C" w14:textId="77777777" w:rsidR="0021298F" w:rsidRPr="00416F8C" w:rsidRDefault="0021298F" w:rsidP="0021298F">
      <w:pPr>
        <w:jc w:val="both"/>
        <w:rPr>
          <w:rFonts w:ascii="Arial" w:eastAsia="Times New Roman" w:hAnsi="Arial" w:cs="Arial"/>
          <w:sz w:val="18"/>
        </w:rPr>
      </w:pPr>
    </w:p>
    <w:p w14:paraId="29E55756" w14:textId="77777777" w:rsidR="0021298F" w:rsidRPr="00416F8C" w:rsidRDefault="0021298F" w:rsidP="0021298F">
      <w:pPr>
        <w:jc w:val="both"/>
        <w:rPr>
          <w:rFonts w:ascii="Arial" w:eastAsia="Times New Roman" w:hAnsi="Arial" w:cs="Arial"/>
        </w:rPr>
      </w:pPr>
      <w:r w:rsidRPr="00416F8C">
        <w:rPr>
          <w:rFonts w:ascii="Arial" w:eastAsia="Times New Roman" w:hAnsi="Arial" w:cs="Arial"/>
        </w:rPr>
        <w:t>On a quarterly basis, the Investment Manager provides a detailed analysis of the NAV highlighting any movements and assumption changes from the previous quarter’s NAV. The Audit Committee considers and challenges this analysis and the rationale of any changes made. The Committee has satisfied itself that the key estimates and assumptions used in the valuation model, which are disclosed in note 2 to the consolidated financial statements, are appropriate and that the investments have been fairly valued.</w:t>
      </w:r>
    </w:p>
    <w:p w14:paraId="5E54536F" w14:textId="77777777" w:rsidR="0021298F" w:rsidRPr="00416F8C" w:rsidRDefault="0021298F" w:rsidP="0021298F">
      <w:pPr>
        <w:jc w:val="both"/>
        <w:rPr>
          <w:rFonts w:ascii="Arial" w:eastAsia="Times New Roman" w:hAnsi="Arial" w:cs="Arial"/>
        </w:rPr>
      </w:pPr>
    </w:p>
    <w:p w14:paraId="6411B751" w14:textId="77777777" w:rsidR="0021298F" w:rsidRPr="00416F8C" w:rsidRDefault="0021298F" w:rsidP="0021298F">
      <w:pPr>
        <w:jc w:val="both"/>
        <w:rPr>
          <w:rFonts w:ascii="Arial" w:eastAsia="Times New Roman" w:hAnsi="Arial" w:cs="Arial"/>
        </w:rPr>
      </w:pPr>
      <w:r w:rsidRPr="00416F8C">
        <w:rPr>
          <w:rFonts w:ascii="Arial" w:eastAsia="Times New Roman" w:hAnsi="Arial" w:cs="Arial"/>
        </w:rPr>
        <w:t xml:space="preserve">The key estimates and assumptions include the useful life of the assets, the discount </w:t>
      </w:r>
      <w:r>
        <w:rPr>
          <w:rFonts w:ascii="Arial" w:eastAsia="Times New Roman" w:hAnsi="Arial" w:cs="Arial"/>
        </w:rPr>
        <w:t>rates</w:t>
      </w:r>
      <w:r w:rsidRPr="00416F8C">
        <w:rPr>
          <w:rFonts w:ascii="Arial" w:eastAsia="Times New Roman" w:hAnsi="Arial" w:cs="Arial"/>
        </w:rPr>
        <w:t xml:space="preserve">, the level of wind resource, the rate of inflation, the price at which the power and associated benefits can be sold and the amount of electricity the assets are expected to produce. </w:t>
      </w:r>
    </w:p>
    <w:p w14:paraId="16B29125" w14:textId="77777777" w:rsidR="0021298F" w:rsidRPr="00416F8C" w:rsidRDefault="0021298F" w:rsidP="0021298F">
      <w:pPr>
        <w:jc w:val="both"/>
        <w:rPr>
          <w:rFonts w:ascii="Arial" w:eastAsia="Times New Roman" w:hAnsi="Arial" w:cs="Arial"/>
        </w:rPr>
      </w:pPr>
    </w:p>
    <w:p w14:paraId="5B76EF70" w14:textId="77777777" w:rsidR="0021298F" w:rsidRPr="00416F8C" w:rsidRDefault="0021298F" w:rsidP="0021298F">
      <w:pPr>
        <w:pStyle w:val="Heading3"/>
        <w:spacing w:before="0"/>
        <w:jc w:val="both"/>
        <w:rPr>
          <w:rFonts w:ascii="Arial" w:hAnsi="Arial" w:cs="Arial"/>
          <w:color w:val="auto"/>
        </w:rPr>
      </w:pPr>
      <w:r w:rsidRPr="00416F8C">
        <w:rPr>
          <w:rFonts w:ascii="Arial" w:hAnsi="Arial" w:cs="Arial"/>
          <w:color w:val="auto"/>
        </w:rPr>
        <w:lastRenderedPageBreak/>
        <w:t>Internal Control</w:t>
      </w:r>
    </w:p>
    <w:p w14:paraId="7CCC81F6" w14:textId="77777777" w:rsidR="0021298F" w:rsidRPr="00416F8C" w:rsidRDefault="0021298F" w:rsidP="0021298F">
      <w:pPr>
        <w:jc w:val="both"/>
        <w:rPr>
          <w:rFonts w:ascii="Arial" w:eastAsia="Times New Roman" w:hAnsi="Arial" w:cs="Arial"/>
        </w:rPr>
      </w:pPr>
      <w:r w:rsidRPr="00416F8C">
        <w:rPr>
          <w:rFonts w:ascii="Arial" w:eastAsia="Times New Roman" w:hAnsi="Arial" w:cs="Arial"/>
        </w:rPr>
        <w:t>The Audit Committee has established a set of ongoing processes designed to meet the particular needs of the Company in managing the risks to which it is exposed.</w:t>
      </w:r>
    </w:p>
    <w:p w14:paraId="4CA2B83F" w14:textId="77777777" w:rsidR="0021298F" w:rsidRPr="00660DCB" w:rsidRDefault="0021298F" w:rsidP="0021298F">
      <w:pPr>
        <w:jc w:val="both"/>
        <w:rPr>
          <w:rFonts w:ascii="Arial" w:eastAsia="Times New Roman" w:hAnsi="Arial" w:cs="Arial"/>
          <w:szCs w:val="28"/>
        </w:rPr>
      </w:pPr>
    </w:p>
    <w:p w14:paraId="198328B9" w14:textId="77777777" w:rsidR="0021298F" w:rsidRPr="00416F8C" w:rsidRDefault="0021298F" w:rsidP="0021298F">
      <w:pPr>
        <w:jc w:val="both"/>
        <w:rPr>
          <w:rFonts w:eastAsia="Times New Roman" w:cs="Arial"/>
        </w:rPr>
      </w:pPr>
      <w:r w:rsidRPr="00416F8C">
        <w:rPr>
          <w:rFonts w:ascii="Arial" w:eastAsia="Times New Roman" w:hAnsi="Arial" w:cs="Arial"/>
        </w:rPr>
        <w:t>The process is one whereby the Investment Manager has identified the key risks to which the Company is exposed, and recorded them on a risk matrix together with the controls employed to mitigate these risks</w:t>
      </w:r>
      <w:r>
        <w:rPr>
          <w:rFonts w:ascii="Arial" w:eastAsia="Times New Roman" w:hAnsi="Arial" w:cs="Arial"/>
        </w:rPr>
        <w:t>. The Audit Committee also</w:t>
      </w:r>
      <w:r w:rsidRPr="00416F8C">
        <w:rPr>
          <w:rFonts w:ascii="Arial" w:eastAsia="Times New Roman" w:hAnsi="Arial" w:cs="Arial"/>
        </w:rPr>
        <w:t xml:space="preserve"> has a process in place to identify emerging risks</w:t>
      </w:r>
      <w:r>
        <w:rPr>
          <w:rFonts w:ascii="Arial" w:eastAsia="Times New Roman" w:hAnsi="Arial" w:cs="Arial"/>
        </w:rPr>
        <w:t>, such as climate-related risks,</w:t>
      </w:r>
      <w:r w:rsidRPr="00416F8C">
        <w:rPr>
          <w:rFonts w:ascii="Arial" w:eastAsia="Times New Roman" w:hAnsi="Arial" w:cs="Arial"/>
        </w:rPr>
        <w:t xml:space="preserve"> and to determine whether any actions are required. A residual risk rating has been applied to each risk. The Audit Committee is responsible for reviewing the risk matrix and associated controls before recommending to the Board for consideration and approval, challenging the Investment Manager’s assumptions to ensure a robust internal risk management process. </w:t>
      </w:r>
    </w:p>
    <w:p w14:paraId="57BE00E5" w14:textId="77777777" w:rsidR="0021298F" w:rsidRPr="00416F8C" w:rsidRDefault="0021298F" w:rsidP="0021298F">
      <w:pPr>
        <w:jc w:val="both"/>
        <w:rPr>
          <w:rFonts w:ascii="Arial" w:eastAsia="Times New Roman" w:hAnsi="Arial" w:cs="Arial"/>
        </w:rPr>
      </w:pPr>
    </w:p>
    <w:p w14:paraId="2F353A2B" w14:textId="77777777" w:rsidR="0021298F" w:rsidRPr="00416F8C" w:rsidRDefault="0021298F" w:rsidP="0021298F">
      <w:pPr>
        <w:jc w:val="both"/>
        <w:rPr>
          <w:rFonts w:ascii="Arial" w:eastAsia="Times New Roman" w:hAnsi="Arial" w:cs="Arial"/>
        </w:rPr>
      </w:pPr>
      <w:r w:rsidRPr="00416F8C">
        <w:rPr>
          <w:rFonts w:ascii="Arial" w:eastAsia="Times New Roman" w:hAnsi="Arial" w:cs="Arial"/>
        </w:rPr>
        <w:t xml:space="preserve">The Audit Committee considers risk and strategy regularly, and formally reviewed the updated risk matrix </w:t>
      </w:r>
      <w:r w:rsidRPr="00B73F05">
        <w:rPr>
          <w:rFonts w:ascii="Arial" w:eastAsia="Times New Roman" w:hAnsi="Arial" w:cs="Arial"/>
        </w:rPr>
        <w:t>in Q1 2020</w:t>
      </w:r>
      <w:r w:rsidRPr="00416F8C">
        <w:rPr>
          <w:rFonts w:ascii="Arial" w:eastAsia="Times New Roman" w:hAnsi="Arial" w:cs="Arial"/>
        </w:rPr>
        <w:t xml:space="preserve"> and will continue to do so at least annually. By their nature, these procedures provide a reasonable, but not absolute, assurance against material misstatement or loss. Regular reports will be provided to the Audit Committee highlighting material changes to risk ratings.</w:t>
      </w:r>
    </w:p>
    <w:p w14:paraId="28054975" w14:textId="77777777" w:rsidR="0021298F" w:rsidRPr="00416F8C" w:rsidRDefault="0021298F" w:rsidP="0021298F">
      <w:pPr>
        <w:jc w:val="both"/>
        <w:rPr>
          <w:rFonts w:ascii="Arial" w:eastAsia="Times New Roman" w:hAnsi="Arial" w:cs="Arial"/>
        </w:rPr>
      </w:pPr>
    </w:p>
    <w:p w14:paraId="6DDFCC11" w14:textId="77777777" w:rsidR="0021298F" w:rsidRPr="00416F8C" w:rsidRDefault="0021298F" w:rsidP="0021298F">
      <w:pPr>
        <w:jc w:val="both"/>
        <w:rPr>
          <w:rFonts w:ascii="Arial" w:eastAsia="Times New Roman" w:hAnsi="Arial" w:cs="Arial"/>
        </w:rPr>
      </w:pPr>
      <w:r w:rsidRPr="00416F8C">
        <w:rPr>
          <w:rFonts w:ascii="Arial" w:eastAsia="Times New Roman" w:hAnsi="Arial" w:cs="Arial"/>
        </w:rPr>
        <w:t>The Audit Committee reviewed the Group’s principal risks and uncertainties as at 30 June 20</w:t>
      </w:r>
      <w:r>
        <w:rPr>
          <w:rFonts w:ascii="Arial" w:eastAsia="Times New Roman" w:hAnsi="Arial" w:cs="Arial"/>
        </w:rPr>
        <w:t>20</w:t>
      </w:r>
      <w:r w:rsidRPr="00416F8C">
        <w:rPr>
          <w:rFonts w:ascii="Arial" w:eastAsia="Times New Roman" w:hAnsi="Arial" w:cs="Arial"/>
        </w:rPr>
        <w:t>, to determine that these were unchanged from those disclosed in the Company’s 201</w:t>
      </w:r>
      <w:r>
        <w:rPr>
          <w:rFonts w:ascii="Arial" w:eastAsia="Times New Roman" w:hAnsi="Arial" w:cs="Arial"/>
        </w:rPr>
        <w:t>9</w:t>
      </w:r>
      <w:r w:rsidRPr="00416F8C">
        <w:rPr>
          <w:rFonts w:ascii="Arial" w:eastAsia="Times New Roman" w:hAnsi="Arial" w:cs="Arial"/>
        </w:rPr>
        <w:t xml:space="preserve"> Annual Report and remained the most likely to affect the Group in the second half of the year.</w:t>
      </w:r>
    </w:p>
    <w:p w14:paraId="3DA49BB7" w14:textId="77777777" w:rsidR="0021298F" w:rsidRPr="00416F8C" w:rsidRDefault="0021298F" w:rsidP="0021298F">
      <w:pPr>
        <w:jc w:val="both"/>
        <w:rPr>
          <w:rFonts w:ascii="Arial" w:eastAsia="Times New Roman" w:hAnsi="Arial" w:cs="Arial"/>
        </w:rPr>
      </w:pPr>
    </w:p>
    <w:p w14:paraId="6EF698EA" w14:textId="77777777" w:rsidR="0021298F" w:rsidRPr="00416F8C" w:rsidRDefault="0021298F" w:rsidP="0021298F">
      <w:pPr>
        <w:jc w:val="both"/>
        <w:rPr>
          <w:rFonts w:ascii="Arial" w:eastAsia="Times New Roman" w:hAnsi="Arial" w:cs="Arial"/>
        </w:rPr>
      </w:pPr>
      <w:r w:rsidRPr="00416F8C">
        <w:rPr>
          <w:rFonts w:ascii="Arial" w:eastAsia="Times New Roman" w:hAnsi="Arial" w:cs="Arial"/>
        </w:rPr>
        <w:t xml:space="preserve">During the year, the Audit Committee also discussed and reviewed the internal controls framework in place at the Investment Manager and the Administrator in depth. Discussions focused on 3 lines of defence: assurances at operational level; internal oversight; and independent objective assurance. </w:t>
      </w:r>
    </w:p>
    <w:p w14:paraId="05553642" w14:textId="77777777" w:rsidR="0021298F" w:rsidRPr="00416F8C" w:rsidRDefault="0021298F" w:rsidP="0021298F">
      <w:pPr>
        <w:jc w:val="both"/>
        <w:rPr>
          <w:rFonts w:ascii="Arial" w:eastAsia="Times New Roman" w:hAnsi="Arial" w:cs="Arial"/>
        </w:rPr>
      </w:pPr>
    </w:p>
    <w:p w14:paraId="310F2F29" w14:textId="77777777" w:rsidR="0021298F" w:rsidRPr="00416F8C" w:rsidRDefault="0021298F" w:rsidP="0021298F">
      <w:pPr>
        <w:jc w:val="both"/>
        <w:rPr>
          <w:rFonts w:ascii="Arial" w:eastAsia="Times New Roman" w:hAnsi="Arial" w:cs="Arial"/>
        </w:rPr>
      </w:pPr>
      <w:r w:rsidRPr="00416F8C">
        <w:rPr>
          <w:rFonts w:ascii="Arial" w:eastAsia="Times New Roman" w:hAnsi="Arial" w:cs="Arial"/>
        </w:rPr>
        <w:t xml:space="preserve">The Audit Committee concluded that these frameworks were appropriate for the identification, assessment, management and monitoring of financial and regulatory risks, with particular regard to the protection of the interests of the Company’s shareholders. </w:t>
      </w:r>
    </w:p>
    <w:p w14:paraId="2E90FFAD" w14:textId="77777777" w:rsidR="0021298F" w:rsidRPr="00416F8C" w:rsidRDefault="0021298F" w:rsidP="0021298F">
      <w:pPr>
        <w:jc w:val="both"/>
        <w:rPr>
          <w:rFonts w:ascii="Arial" w:eastAsia="Times New Roman" w:hAnsi="Arial" w:cs="Arial"/>
        </w:rPr>
      </w:pPr>
    </w:p>
    <w:p w14:paraId="0BAD6A24" w14:textId="77777777" w:rsidR="0021298F" w:rsidRPr="00416F8C" w:rsidRDefault="0021298F" w:rsidP="0021298F">
      <w:pPr>
        <w:pStyle w:val="Heading3"/>
        <w:spacing w:before="0"/>
        <w:jc w:val="both"/>
        <w:rPr>
          <w:rFonts w:ascii="Arial" w:hAnsi="Arial" w:cs="Arial"/>
          <w:color w:val="auto"/>
        </w:rPr>
      </w:pPr>
      <w:r w:rsidRPr="00416F8C">
        <w:rPr>
          <w:rFonts w:ascii="Arial" w:hAnsi="Arial" w:cs="Arial"/>
          <w:color w:val="auto"/>
        </w:rPr>
        <w:t>Internal Audit</w:t>
      </w:r>
    </w:p>
    <w:p w14:paraId="16CD95D6" w14:textId="77777777" w:rsidR="0021298F" w:rsidRPr="00416F8C" w:rsidRDefault="0021298F" w:rsidP="0021298F">
      <w:pPr>
        <w:jc w:val="both"/>
        <w:rPr>
          <w:rFonts w:ascii="Arial" w:eastAsia="Times New Roman" w:hAnsi="Arial" w:cs="Arial"/>
        </w:rPr>
      </w:pPr>
      <w:r w:rsidRPr="00416F8C">
        <w:rPr>
          <w:rFonts w:ascii="Arial" w:eastAsia="Times New Roman" w:hAnsi="Arial" w:cs="Arial"/>
        </w:rPr>
        <w:t xml:space="preserve">The Audit Committee continues to review the need for an internal audit function and has decided that the systems, processes and procedures employed by the Company, Investment Manager and Administrator, including their own internal controls and procedures, provide sufficient assurance that an appropriate level of risk management and internal control is maintained. In addition to this, the Company’s external Depositary provides cash monitoring, asset verification and oversight services to the Company. The Investment Manager is </w:t>
      </w:r>
      <w:r>
        <w:rPr>
          <w:rFonts w:ascii="Arial" w:eastAsia="Times New Roman" w:hAnsi="Arial" w:cs="Arial"/>
        </w:rPr>
        <w:t xml:space="preserve">a </w:t>
      </w:r>
      <w:r w:rsidRPr="00416F8C">
        <w:rPr>
          <w:rFonts w:ascii="Arial" w:eastAsia="Times New Roman" w:hAnsi="Arial" w:cs="Arial"/>
        </w:rPr>
        <w:t xml:space="preserve">full scope AIFM, regulated by the FCA in the UK and has a robust framework of internal controls and an independent compliance function. </w:t>
      </w:r>
    </w:p>
    <w:p w14:paraId="67F9F367" w14:textId="77777777" w:rsidR="0021298F" w:rsidRPr="001E64E0" w:rsidRDefault="0021298F" w:rsidP="0021298F">
      <w:pPr>
        <w:jc w:val="both"/>
        <w:rPr>
          <w:rFonts w:ascii="Arial" w:eastAsia="Times New Roman" w:hAnsi="Arial" w:cs="Arial"/>
        </w:rPr>
      </w:pPr>
    </w:p>
    <w:p w14:paraId="7AFBAD40" w14:textId="77777777" w:rsidR="0021298F" w:rsidRPr="00416F8C" w:rsidRDefault="0021298F" w:rsidP="0021298F">
      <w:pPr>
        <w:jc w:val="both"/>
        <w:rPr>
          <w:rFonts w:eastAsia="Times New Roman" w:cs="Arial"/>
        </w:rPr>
      </w:pPr>
      <w:r w:rsidRPr="00416F8C">
        <w:rPr>
          <w:rFonts w:ascii="Arial" w:eastAsia="Times New Roman" w:hAnsi="Arial" w:cs="Arial"/>
        </w:rPr>
        <w:t>The Audit Committee has therefore concluded that Shareholders’ investments and the Company’s assets are adequately safeguarded and an internal audit function specific to the Company is considered unnecessary.</w:t>
      </w:r>
      <w:r w:rsidRPr="00416F8C">
        <w:rPr>
          <w:rFonts w:ascii="Arial" w:eastAsia="Times New Roman" w:hAnsi="Arial" w:cs="Arial"/>
          <w:color w:val="FF0000"/>
        </w:rPr>
        <w:t xml:space="preserve"> </w:t>
      </w:r>
    </w:p>
    <w:p w14:paraId="2432739A" w14:textId="77777777" w:rsidR="0021298F" w:rsidRPr="00416F8C" w:rsidRDefault="0021298F" w:rsidP="0021298F">
      <w:pPr>
        <w:jc w:val="both"/>
        <w:rPr>
          <w:rFonts w:ascii="Arial" w:eastAsia="Times New Roman" w:hAnsi="Arial" w:cs="Arial"/>
        </w:rPr>
      </w:pPr>
    </w:p>
    <w:p w14:paraId="3E899E75" w14:textId="77777777" w:rsidR="0021298F" w:rsidRPr="00416F8C" w:rsidRDefault="0021298F" w:rsidP="0021298F">
      <w:pPr>
        <w:jc w:val="both"/>
        <w:rPr>
          <w:rFonts w:ascii="Arial" w:eastAsia="Times New Roman" w:hAnsi="Arial" w:cs="Arial"/>
        </w:rPr>
      </w:pPr>
      <w:r w:rsidRPr="00416F8C">
        <w:rPr>
          <w:rFonts w:ascii="Arial" w:eastAsia="Times New Roman" w:hAnsi="Arial" w:cs="Arial"/>
        </w:rPr>
        <w:lastRenderedPageBreak/>
        <w:t xml:space="preserve">The Audit Committee </w:t>
      </w:r>
      <w:r>
        <w:rPr>
          <w:rFonts w:ascii="Arial" w:eastAsia="Times New Roman" w:hAnsi="Arial" w:cs="Arial"/>
        </w:rPr>
        <w:t>is available on request to</w:t>
      </w:r>
      <w:r w:rsidRPr="00416F8C">
        <w:rPr>
          <w:rFonts w:ascii="Arial" w:eastAsia="Times New Roman" w:hAnsi="Arial" w:cs="Arial"/>
        </w:rPr>
        <w:t xml:space="preserve"> meet investors in relation to the Company’s financial reporting and internal controls, should it be deemed appropriate.</w:t>
      </w:r>
    </w:p>
    <w:p w14:paraId="4090BB3B" w14:textId="77777777" w:rsidR="0021298F" w:rsidRPr="00416F8C" w:rsidRDefault="0021298F" w:rsidP="0021298F">
      <w:pPr>
        <w:jc w:val="both"/>
        <w:rPr>
          <w:rFonts w:ascii="Arial" w:hAnsi="Arial" w:cs="Arial"/>
          <w:b/>
        </w:rPr>
      </w:pPr>
    </w:p>
    <w:p w14:paraId="0B6BA047" w14:textId="77777777" w:rsidR="0021298F" w:rsidRPr="00416F8C" w:rsidRDefault="0021298F" w:rsidP="0021298F">
      <w:pPr>
        <w:pStyle w:val="Heading3"/>
        <w:spacing w:before="0"/>
        <w:jc w:val="both"/>
        <w:rPr>
          <w:rFonts w:eastAsiaTheme="minorHAnsi"/>
        </w:rPr>
      </w:pPr>
      <w:r w:rsidRPr="00416F8C">
        <w:rPr>
          <w:rFonts w:ascii="Arial" w:hAnsi="Arial" w:cs="Arial"/>
          <w:color w:val="auto"/>
        </w:rPr>
        <w:t>External Auditor</w:t>
      </w:r>
    </w:p>
    <w:p w14:paraId="3AF06F1A" w14:textId="77777777" w:rsidR="0021298F" w:rsidRPr="00416F8C" w:rsidRDefault="0021298F" w:rsidP="0021298F">
      <w:pPr>
        <w:pStyle w:val="Heading5"/>
        <w:spacing w:before="0"/>
        <w:jc w:val="both"/>
        <w:rPr>
          <w:rFonts w:ascii="Arial" w:eastAsiaTheme="minorHAnsi" w:hAnsi="Arial" w:cs="Arial"/>
          <w:b/>
          <w:i/>
          <w:color w:val="auto"/>
        </w:rPr>
      </w:pPr>
      <w:r w:rsidRPr="00416F8C">
        <w:rPr>
          <w:rFonts w:ascii="Arial" w:eastAsiaTheme="minorHAnsi" w:hAnsi="Arial" w:cs="Arial"/>
          <w:b/>
          <w:i/>
          <w:color w:val="auto"/>
        </w:rPr>
        <w:t>Effectiveness of the Audit Process</w:t>
      </w:r>
    </w:p>
    <w:p w14:paraId="34E311D6" w14:textId="77777777" w:rsidR="0021298F" w:rsidRPr="00416F8C" w:rsidRDefault="0021298F" w:rsidP="0021298F">
      <w:pPr>
        <w:jc w:val="both"/>
        <w:rPr>
          <w:rFonts w:ascii="Arial" w:eastAsia="Times New Roman" w:hAnsi="Arial" w:cs="Arial"/>
        </w:rPr>
      </w:pPr>
      <w:r w:rsidRPr="00416F8C">
        <w:rPr>
          <w:rFonts w:ascii="Arial" w:eastAsia="Times New Roman" w:hAnsi="Arial" w:cs="Arial"/>
        </w:rPr>
        <w:t>The Audit Committee assessed the effectiveness of the audit process by considering BDO‘s fulfilment of the agreed audit plan through the reporting presented to the Audit Committee by BDO and the discussions at the Audit Committee meeting, which highlighted the major issues that arose during the course of the audit. In addition, the Audit Committee also sought feedback from the Investment Manager and the Administrator on the effectiveness of the audit process. For this financial year, the Audit Committee was satisfied that there had been appropriate focus and challenge on the primary areas of audit risk and assessed the quality of the audit process to be good.</w:t>
      </w:r>
    </w:p>
    <w:p w14:paraId="06300CF9" w14:textId="77777777" w:rsidR="0021298F" w:rsidRPr="00416F8C" w:rsidRDefault="0021298F" w:rsidP="0021298F">
      <w:pPr>
        <w:pStyle w:val="Heading5"/>
        <w:spacing w:before="0"/>
        <w:jc w:val="both"/>
        <w:rPr>
          <w:rFonts w:ascii="Arial" w:eastAsiaTheme="minorHAnsi" w:hAnsi="Arial" w:cs="Arial"/>
          <w:b/>
          <w:i/>
          <w:color w:val="auto"/>
        </w:rPr>
      </w:pPr>
    </w:p>
    <w:p w14:paraId="7C6E51D8" w14:textId="77777777" w:rsidR="0021298F" w:rsidRPr="00416F8C" w:rsidRDefault="0021298F" w:rsidP="0021298F">
      <w:pPr>
        <w:pStyle w:val="Heading5"/>
        <w:spacing w:before="0"/>
        <w:jc w:val="both"/>
        <w:rPr>
          <w:rFonts w:ascii="Arial" w:eastAsiaTheme="minorHAnsi" w:hAnsi="Arial" w:cs="Arial"/>
          <w:b/>
          <w:i/>
          <w:color w:val="auto"/>
        </w:rPr>
      </w:pPr>
      <w:r w:rsidRPr="00416F8C">
        <w:rPr>
          <w:rFonts w:ascii="Arial" w:eastAsiaTheme="minorHAnsi" w:hAnsi="Arial" w:cs="Arial"/>
          <w:b/>
          <w:i/>
          <w:color w:val="auto"/>
        </w:rPr>
        <w:t>Non-Audit Services</w:t>
      </w:r>
    </w:p>
    <w:p w14:paraId="2F46BDD0" w14:textId="77777777" w:rsidR="0021298F" w:rsidRPr="00416F8C" w:rsidRDefault="0021298F" w:rsidP="0021298F">
      <w:pPr>
        <w:jc w:val="both"/>
        <w:rPr>
          <w:rFonts w:ascii="Arial" w:eastAsia="Times New Roman" w:hAnsi="Arial" w:cs="Arial"/>
        </w:rPr>
      </w:pPr>
      <w:r w:rsidRPr="00416F8C">
        <w:rPr>
          <w:rFonts w:ascii="Arial" w:eastAsia="Times New Roman" w:hAnsi="Arial" w:cs="Arial"/>
        </w:rPr>
        <w:t xml:space="preserve">Details of fees paid to BDO during the year are disclosed in note 5 </w:t>
      </w:r>
      <w:r>
        <w:rPr>
          <w:rFonts w:ascii="Arial" w:eastAsia="Times New Roman" w:hAnsi="Arial" w:cs="Arial"/>
        </w:rPr>
        <w:t>of</w:t>
      </w:r>
      <w:r w:rsidRPr="00416F8C">
        <w:rPr>
          <w:rFonts w:ascii="Arial" w:eastAsia="Times New Roman" w:hAnsi="Arial" w:cs="Arial"/>
        </w:rPr>
        <w:t xml:space="preserve"> the consolidated financial statements. The Audit Committee approved these fees after a review of the level and nature of work to be performed and are satisfied that they are appropriate for the scope of the work required. The Audit Committee seeks to ensure that any non-audit services provided by the external Auditor do not conflict with their statutory and regulatory responsibilities, as well as their independence, before giving written approval prior to their engagement. The Audit Committee was satisfied that BDO had adequate safeguards in place and that provision of these non-audit services did not provide threats to the Auditor’s independence. </w:t>
      </w:r>
    </w:p>
    <w:p w14:paraId="47EC8F3B" w14:textId="77777777" w:rsidR="0021298F" w:rsidRPr="00416F8C" w:rsidRDefault="0021298F" w:rsidP="0021298F">
      <w:pPr>
        <w:jc w:val="both"/>
        <w:rPr>
          <w:rFonts w:ascii="Arial" w:eastAsia="Times New Roman" w:hAnsi="Arial" w:cs="Arial"/>
        </w:rPr>
      </w:pPr>
    </w:p>
    <w:p w14:paraId="593FACE3" w14:textId="77777777" w:rsidR="0021298F" w:rsidRPr="00416F8C" w:rsidRDefault="0021298F" w:rsidP="0021298F">
      <w:pPr>
        <w:jc w:val="both"/>
        <w:rPr>
          <w:rFonts w:ascii="Arial" w:eastAsia="Times New Roman" w:hAnsi="Arial" w:cs="Arial"/>
        </w:rPr>
      </w:pPr>
      <w:r w:rsidRPr="00416F8C">
        <w:rPr>
          <w:rFonts w:ascii="Arial" w:eastAsia="Times New Roman" w:hAnsi="Arial" w:cs="Arial"/>
        </w:rPr>
        <w:t>The Audit Committee monitors the Group’s expenditure on non-audit services provided by the Company’s Auditor who should only be engaged for non-audit services where they are deemed to be the most commercially viable supplier and prior approval of the Audit Committee has been sought.</w:t>
      </w:r>
    </w:p>
    <w:p w14:paraId="7AD8743A" w14:textId="77777777" w:rsidR="0021298F" w:rsidRPr="00416F8C" w:rsidRDefault="0021298F" w:rsidP="0021298F">
      <w:pPr>
        <w:jc w:val="both"/>
        <w:rPr>
          <w:rFonts w:ascii="Arial" w:eastAsia="Times New Roman" w:hAnsi="Arial" w:cs="Arial"/>
          <w:sz w:val="18"/>
        </w:rPr>
      </w:pPr>
    </w:p>
    <w:p w14:paraId="5CEFC742" w14:textId="77777777" w:rsidR="0021298F" w:rsidRPr="00416F8C" w:rsidRDefault="0021298F" w:rsidP="0021298F">
      <w:pPr>
        <w:pStyle w:val="Heading5"/>
        <w:spacing w:before="0"/>
        <w:jc w:val="both"/>
        <w:rPr>
          <w:rFonts w:ascii="Arial" w:eastAsiaTheme="minorHAnsi" w:hAnsi="Arial" w:cs="Arial"/>
          <w:b/>
          <w:i/>
          <w:color w:val="auto"/>
        </w:rPr>
      </w:pPr>
      <w:r w:rsidRPr="00416F8C">
        <w:rPr>
          <w:rFonts w:ascii="Arial" w:eastAsiaTheme="minorHAnsi" w:hAnsi="Arial" w:cs="Arial"/>
          <w:b/>
          <w:i/>
          <w:color w:val="auto"/>
        </w:rPr>
        <w:t>Independence</w:t>
      </w:r>
    </w:p>
    <w:p w14:paraId="75BC2848" w14:textId="77777777" w:rsidR="0021298F" w:rsidRPr="00416F8C" w:rsidRDefault="0021298F" w:rsidP="0021298F">
      <w:pPr>
        <w:jc w:val="both"/>
        <w:rPr>
          <w:rFonts w:ascii="Arial" w:eastAsia="Times New Roman" w:hAnsi="Arial" w:cs="Arial"/>
        </w:rPr>
      </w:pPr>
      <w:r w:rsidRPr="00416F8C">
        <w:rPr>
          <w:rFonts w:ascii="Arial" w:eastAsia="Times New Roman" w:hAnsi="Arial" w:cs="Arial"/>
        </w:rPr>
        <w:t>The Audit Committee is required to consider the independence of the external Auditor. In fulfilling this requirement, the Audit Committee has considered a report from BDO describing its arrangements to identify, report and manage any conflict of interest and the extent of non-audit services provided by them.</w:t>
      </w:r>
    </w:p>
    <w:p w14:paraId="4E625548" w14:textId="77777777" w:rsidR="0021298F" w:rsidRPr="00416F8C" w:rsidRDefault="0021298F" w:rsidP="0021298F">
      <w:pPr>
        <w:jc w:val="both"/>
        <w:rPr>
          <w:rFonts w:ascii="Arial" w:eastAsia="Times New Roman" w:hAnsi="Arial" w:cs="Arial"/>
          <w:sz w:val="18"/>
        </w:rPr>
      </w:pPr>
    </w:p>
    <w:p w14:paraId="2D6E8034" w14:textId="77777777" w:rsidR="0021298F" w:rsidRPr="00416F8C" w:rsidRDefault="0021298F" w:rsidP="0021298F">
      <w:pPr>
        <w:jc w:val="both"/>
        <w:rPr>
          <w:rFonts w:ascii="Arial" w:eastAsia="Times New Roman" w:hAnsi="Arial" w:cs="Arial"/>
        </w:rPr>
      </w:pPr>
      <w:r w:rsidRPr="00416F8C">
        <w:rPr>
          <w:rFonts w:ascii="Arial" w:eastAsia="Times New Roman" w:hAnsi="Arial" w:cs="Arial"/>
        </w:rPr>
        <w:t>The Audit Committee has concluded that it considers BDO to be independent of the Company and that the provision of the non-audit services described above is not a threat to the objectivity and independence of the conduct of the audit.</w:t>
      </w:r>
    </w:p>
    <w:p w14:paraId="03390497" w14:textId="77777777" w:rsidR="0021298F" w:rsidRPr="00660DCB" w:rsidRDefault="0021298F" w:rsidP="0021298F">
      <w:pPr>
        <w:jc w:val="both"/>
        <w:rPr>
          <w:rFonts w:ascii="Arial" w:eastAsia="Times New Roman" w:hAnsi="Arial" w:cs="Arial"/>
          <w:szCs w:val="28"/>
          <w:highlight w:val="yellow"/>
        </w:rPr>
      </w:pPr>
    </w:p>
    <w:p w14:paraId="3D71C316" w14:textId="77777777" w:rsidR="0021298F" w:rsidRPr="00416F8C" w:rsidRDefault="0021298F" w:rsidP="0021298F">
      <w:pPr>
        <w:pStyle w:val="Heading5"/>
        <w:spacing w:before="0"/>
        <w:jc w:val="both"/>
        <w:rPr>
          <w:rFonts w:ascii="Arial" w:eastAsiaTheme="minorHAnsi" w:hAnsi="Arial" w:cs="Arial"/>
          <w:b/>
          <w:i/>
          <w:color w:val="auto"/>
        </w:rPr>
      </w:pPr>
      <w:r w:rsidRPr="00416F8C">
        <w:rPr>
          <w:rFonts w:ascii="Arial" w:eastAsiaTheme="minorHAnsi" w:hAnsi="Arial" w:cs="Arial"/>
          <w:b/>
          <w:i/>
          <w:color w:val="auto"/>
        </w:rPr>
        <w:t xml:space="preserve">Re-appointment </w:t>
      </w:r>
    </w:p>
    <w:p w14:paraId="5055FF9B" w14:textId="77777777" w:rsidR="0021298F" w:rsidRDefault="0021298F" w:rsidP="0021298F">
      <w:pPr>
        <w:jc w:val="both"/>
        <w:rPr>
          <w:rFonts w:ascii="Arial" w:eastAsia="Times New Roman" w:hAnsi="Arial" w:cs="Arial"/>
        </w:rPr>
      </w:pPr>
      <w:r w:rsidRPr="00416F8C">
        <w:rPr>
          <w:rFonts w:ascii="Arial" w:eastAsia="Times New Roman" w:hAnsi="Arial" w:cs="Arial"/>
        </w:rPr>
        <w:t xml:space="preserve">BDO has been the Company’s Auditor from its incorporation on 15 February 2017. The Auditor proposes to rotate the audit partner responsible for the Group audit every 5 years. </w:t>
      </w:r>
      <w:r w:rsidRPr="008440F8">
        <w:rPr>
          <w:rFonts w:ascii="Arial" w:eastAsia="Times New Roman" w:hAnsi="Arial" w:cs="Arial"/>
        </w:rPr>
        <w:t>The audit partner will rotate after the conclusion of the 2021 year end audit</w:t>
      </w:r>
      <w:r>
        <w:rPr>
          <w:rFonts w:ascii="Arial" w:eastAsia="Times New Roman" w:hAnsi="Arial" w:cs="Arial"/>
        </w:rPr>
        <w:t>.</w:t>
      </w:r>
    </w:p>
    <w:p w14:paraId="0E3BBB46" w14:textId="77777777" w:rsidR="0021298F" w:rsidRPr="00416F8C" w:rsidRDefault="0021298F" w:rsidP="0021298F">
      <w:pPr>
        <w:jc w:val="both"/>
        <w:rPr>
          <w:rFonts w:ascii="Arial" w:eastAsia="Times New Roman" w:hAnsi="Arial" w:cs="Arial"/>
          <w:sz w:val="18"/>
        </w:rPr>
      </w:pPr>
    </w:p>
    <w:p w14:paraId="248C175E" w14:textId="77777777" w:rsidR="0021298F" w:rsidRPr="00416F8C" w:rsidRDefault="0021298F" w:rsidP="0021298F">
      <w:pPr>
        <w:jc w:val="both"/>
        <w:rPr>
          <w:rFonts w:ascii="Arial" w:eastAsia="Times New Roman" w:hAnsi="Arial" w:cs="Arial"/>
        </w:rPr>
      </w:pPr>
      <w:r w:rsidRPr="00416F8C">
        <w:rPr>
          <w:rFonts w:ascii="Arial" w:eastAsia="Times New Roman" w:hAnsi="Arial" w:cs="Arial"/>
        </w:rPr>
        <w:t xml:space="preserve">The external audit contract is intended to be put to tender at least every 10 years. The Audit Committee shall give advance notice of any retendering plans within the Annual Report. The Audit Committee has considered the re-appointment of the Auditor and decided not to put the provision of the external audit out to tender at this time. As described above, the Audit Committee reviewed the effectiveness and independence </w:t>
      </w:r>
      <w:r w:rsidRPr="00416F8C">
        <w:rPr>
          <w:rFonts w:ascii="Arial" w:eastAsia="Times New Roman" w:hAnsi="Arial" w:cs="Arial"/>
        </w:rPr>
        <w:lastRenderedPageBreak/>
        <w:t xml:space="preserve">of the Auditor and remain satisfied that the Auditor provides effective independent challenge to the Board, the Investment Manager and the Administrator. The Audit Committee will continue to monitor the performance of the Auditor on an annual basis and will consider their independence and objectivity, taking account of appropriate guidelines. </w:t>
      </w:r>
    </w:p>
    <w:p w14:paraId="2D6927B3" w14:textId="77777777" w:rsidR="0021298F" w:rsidRPr="00416F8C" w:rsidRDefault="0021298F" w:rsidP="0021298F">
      <w:pPr>
        <w:jc w:val="both"/>
        <w:rPr>
          <w:rFonts w:ascii="Arial" w:eastAsia="Times New Roman" w:hAnsi="Arial" w:cs="Arial"/>
          <w:sz w:val="18"/>
        </w:rPr>
      </w:pPr>
    </w:p>
    <w:p w14:paraId="3624BA7F" w14:textId="77777777" w:rsidR="0021298F" w:rsidRPr="00416F8C" w:rsidRDefault="0021298F" w:rsidP="0021298F">
      <w:pPr>
        <w:jc w:val="both"/>
        <w:rPr>
          <w:rFonts w:ascii="Arial" w:eastAsia="Times New Roman" w:hAnsi="Arial" w:cs="Arial"/>
        </w:rPr>
      </w:pPr>
      <w:r w:rsidRPr="00416F8C">
        <w:rPr>
          <w:rFonts w:ascii="Arial" w:eastAsia="Times New Roman" w:hAnsi="Arial" w:cs="Arial"/>
        </w:rPr>
        <w:t>The Audit Committee has therefore recommended to the Board that BDO be proposed for re-appointment as the Company’s Auditor at the 202</w:t>
      </w:r>
      <w:r>
        <w:rPr>
          <w:rFonts w:ascii="Arial" w:eastAsia="Times New Roman" w:hAnsi="Arial" w:cs="Arial"/>
        </w:rPr>
        <w:t>1</w:t>
      </w:r>
      <w:r w:rsidRPr="00416F8C">
        <w:rPr>
          <w:rFonts w:ascii="Arial" w:eastAsia="Times New Roman" w:hAnsi="Arial" w:cs="Arial"/>
        </w:rPr>
        <w:t xml:space="preserve"> AGM of the Company. </w:t>
      </w:r>
    </w:p>
    <w:p w14:paraId="3A136404" w14:textId="77777777" w:rsidR="0021298F" w:rsidRPr="00416F8C" w:rsidRDefault="0021298F" w:rsidP="0021298F">
      <w:pPr>
        <w:jc w:val="both"/>
        <w:rPr>
          <w:rFonts w:ascii="Arial" w:hAnsi="Arial" w:cs="Arial"/>
          <w:b/>
        </w:rPr>
      </w:pPr>
    </w:p>
    <w:p w14:paraId="14F0CB0B" w14:textId="77777777" w:rsidR="0021298F" w:rsidRPr="00416F8C" w:rsidRDefault="0021298F" w:rsidP="0021298F">
      <w:pPr>
        <w:pStyle w:val="Heading3"/>
        <w:spacing w:before="0"/>
        <w:jc w:val="both"/>
        <w:rPr>
          <w:rFonts w:ascii="Arial" w:hAnsi="Arial" w:cs="Arial"/>
          <w:color w:val="auto"/>
        </w:rPr>
      </w:pPr>
      <w:r w:rsidRPr="00416F8C">
        <w:rPr>
          <w:rFonts w:ascii="Arial" w:hAnsi="Arial" w:cs="Arial"/>
          <w:color w:val="auto"/>
        </w:rPr>
        <w:t>Annual General Meeting</w:t>
      </w:r>
    </w:p>
    <w:p w14:paraId="74AA1373" w14:textId="77777777" w:rsidR="0021298F" w:rsidRPr="00416F8C" w:rsidRDefault="0021298F" w:rsidP="0021298F">
      <w:pPr>
        <w:jc w:val="both"/>
        <w:rPr>
          <w:rFonts w:ascii="Arial" w:eastAsia="Times New Roman" w:hAnsi="Arial" w:cs="Arial"/>
        </w:rPr>
      </w:pPr>
      <w:r w:rsidRPr="00416F8C">
        <w:rPr>
          <w:rFonts w:ascii="Arial" w:eastAsia="Times New Roman" w:hAnsi="Arial" w:cs="Arial"/>
        </w:rPr>
        <w:t>The Chairman of the Audit Committee will be present at the Company’s AGM to answer questions on the Audit Committee’s activity and matters within the scope of the Audit Committee’s responsibilities.</w:t>
      </w:r>
    </w:p>
    <w:p w14:paraId="3BB9144B" w14:textId="77777777" w:rsidR="0021298F" w:rsidRPr="00416F8C" w:rsidRDefault="0021298F" w:rsidP="0021298F">
      <w:pPr>
        <w:jc w:val="both"/>
        <w:rPr>
          <w:rFonts w:ascii="Arial" w:eastAsia="Times New Roman" w:hAnsi="Arial" w:cs="Arial"/>
        </w:rPr>
      </w:pPr>
    </w:p>
    <w:p w14:paraId="464C6247" w14:textId="77777777" w:rsidR="0021298F" w:rsidRPr="00416F8C" w:rsidRDefault="0021298F" w:rsidP="0021298F">
      <w:pPr>
        <w:jc w:val="both"/>
        <w:rPr>
          <w:rFonts w:ascii="Arial" w:eastAsia="Times New Roman" w:hAnsi="Arial" w:cs="Arial"/>
          <w:b/>
        </w:rPr>
      </w:pPr>
      <w:r w:rsidRPr="00416F8C">
        <w:rPr>
          <w:rFonts w:ascii="Arial" w:eastAsia="Times New Roman" w:hAnsi="Arial" w:cs="Arial"/>
          <w:b/>
        </w:rPr>
        <w:t>Kevin McNamara</w:t>
      </w:r>
    </w:p>
    <w:p w14:paraId="7B63203F" w14:textId="77777777" w:rsidR="0021298F" w:rsidRPr="00416F8C" w:rsidRDefault="0021298F" w:rsidP="0021298F">
      <w:pPr>
        <w:jc w:val="both"/>
        <w:rPr>
          <w:rFonts w:ascii="Arial" w:eastAsia="Times New Roman" w:hAnsi="Arial" w:cs="Arial"/>
        </w:rPr>
      </w:pPr>
      <w:r w:rsidRPr="00416F8C">
        <w:rPr>
          <w:rFonts w:ascii="Arial" w:eastAsia="Times New Roman" w:hAnsi="Arial" w:cs="Arial"/>
        </w:rPr>
        <w:t>Chairman of the Audit Committee</w:t>
      </w:r>
    </w:p>
    <w:p w14:paraId="24D904A7" w14:textId="77777777" w:rsidR="0021298F" w:rsidRDefault="0021298F" w:rsidP="0021298F">
      <w:pPr>
        <w:jc w:val="both"/>
        <w:rPr>
          <w:rFonts w:ascii="Arial" w:eastAsia="Times New Roman" w:hAnsi="Arial" w:cs="Arial"/>
        </w:rPr>
      </w:pPr>
      <w:r>
        <w:rPr>
          <w:rFonts w:ascii="Arial" w:hAnsi="Arial" w:cs="Arial"/>
        </w:rPr>
        <w:t>28 February 2021</w:t>
      </w:r>
    </w:p>
    <w:p w14:paraId="34944692" w14:textId="77777777" w:rsidR="0021298F" w:rsidRDefault="0021298F" w:rsidP="0021298F">
      <w:pPr>
        <w:jc w:val="both"/>
        <w:rPr>
          <w:rFonts w:ascii="Arial" w:eastAsia="Times New Roman" w:hAnsi="Arial" w:cs="Arial"/>
        </w:rPr>
      </w:pPr>
    </w:p>
    <w:p w14:paraId="376428F4" w14:textId="77777777" w:rsidR="0021298F" w:rsidRPr="001D0749" w:rsidRDefault="0021298F" w:rsidP="0021298F">
      <w:pPr>
        <w:pStyle w:val="Bullets"/>
        <w:numPr>
          <w:ilvl w:val="0"/>
          <w:numId w:val="0"/>
        </w:numPr>
        <w:jc w:val="both"/>
        <w:rPr>
          <w:rFonts w:cs="Arial"/>
          <w:caps/>
          <w:szCs w:val="26"/>
        </w:rPr>
      </w:pPr>
      <w:r w:rsidRPr="001D0749">
        <w:rPr>
          <w:rFonts w:cs="Arial"/>
          <w:b/>
          <w:sz w:val="26"/>
          <w:szCs w:val="26"/>
        </w:rPr>
        <w:t>Independent Auditor’s Report</w:t>
      </w:r>
    </w:p>
    <w:p w14:paraId="1883F149" w14:textId="77777777" w:rsidR="0021298F" w:rsidRPr="001D0749" w:rsidRDefault="0021298F" w:rsidP="0021298F">
      <w:pPr>
        <w:pStyle w:val="Bullets"/>
        <w:numPr>
          <w:ilvl w:val="0"/>
          <w:numId w:val="0"/>
        </w:numPr>
        <w:jc w:val="both"/>
        <w:rPr>
          <w:rFonts w:cs="Arial"/>
          <w:b/>
        </w:rPr>
      </w:pPr>
      <w:r w:rsidRPr="001D0749">
        <w:rPr>
          <w:rFonts w:cs="Arial"/>
          <w:b/>
        </w:rPr>
        <w:t xml:space="preserve">To the members of Greencoat Renewables PLC   </w:t>
      </w:r>
    </w:p>
    <w:p w14:paraId="18CC2C6D" w14:textId="77777777" w:rsidR="0021298F" w:rsidRPr="001D0749" w:rsidRDefault="0021298F" w:rsidP="0021298F">
      <w:pPr>
        <w:jc w:val="both"/>
        <w:rPr>
          <w:rFonts w:ascii="Arial" w:eastAsia="Times New Roman" w:hAnsi="Arial" w:cs="Arial"/>
        </w:rPr>
      </w:pPr>
    </w:p>
    <w:p w14:paraId="6BD12032" w14:textId="77777777" w:rsidR="0021298F" w:rsidRDefault="0021298F" w:rsidP="0021298F">
      <w:pPr>
        <w:pStyle w:val="Heading3"/>
        <w:spacing w:before="0"/>
        <w:jc w:val="both"/>
        <w:rPr>
          <w:rFonts w:ascii="Arial" w:hAnsi="Arial" w:cs="Arial"/>
          <w:color w:val="auto"/>
        </w:rPr>
      </w:pPr>
      <w:r w:rsidRPr="005871EA">
        <w:rPr>
          <w:rFonts w:ascii="Arial" w:hAnsi="Arial" w:cs="Arial"/>
          <w:color w:val="auto"/>
        </w:rPr>
        <w:t>Report on the audit of the financial statements</w:t>
      </w:r>
    </w:p>
    <w:p w14:paraId="50CD0CC2" w14:textId="77777777" w:rsidR="0021298F" w:rsidRDefault="0021298F" w:rsidP="0021298F">
      <w:pPr>
        <w:pStyle w:val="Heading3"/>
        <w:spacing w:before="0"/>
        <w:jc w:val="both"/>
        <w:rPr>
          <w:rFonts w:ascii="Arial" w:hAnsi="Arial" w:cs="Arial"/>
          <w:color w:val="auto"/>
        </w:rPr>
      </w:pPr>
    </w:p>
    <w:p w14:paraId="656F4C36" w14:textId="77777777" w:rsidR="0021298F" w:rsidRPr="001D0749" w:rsidRDefault="0021298F" w:rsidP="0021298F">
      <w:pPr>
        <w:pStyle w:val="Heading3"/>
        <w:spacing w:before="0"/>
        <w:jc w:val="both"/>
        <w:rPr>
          <w:rFonts w:ascii="Arial" w:hAnsi="Arial" w:cs="Arial"/>
          <w:b/>
          <w:bCs/>
          <w:color w:val="auto"/>
        </w:rPr>
      </w:pPr>
      <w:r w:rsidRPr="001D0749">
        <w:rPr>
          <w:rFonts w:ascii="Arial" w:hAnsi="Arial" w:cs="Arial"/>
          <w:color w:val="auto"/>
        </w:rPr>
        <w:t xml:space="preserve">Opinion </w:t>
      </w:r>
    </w:p>
    <w:p w14:paraId="79CB965F" w14:textId="77777777" w:rsidR="0021298F" w:rsidRDefault="0021298F" w:rsidP="0021298F">
      <w:pPr>
        <w:jc w:val="both"/>
        <w:rPr>
          <w:rFonts w:ascii="Arial" w:eastAsia="Times New Roman" w:hAnsi="Arial" w:cs="Arial"/>
        </w:rPr>
      </w:pPr>
      <w:r w:rsidRPr="005871EA">
        <w:rPr>
          <w:rFonts w:ascii="Arial" w:eastAsia="Times New Roman" w:hAnsi="Arial" w:cs="Arial"/>
        </w:rPr>
        <w:t>We have audited the financial statements of Greencoat Renewables PLC (“Company”) and its subsidiaries (“Group”) for the financial year ended 31 December 2020, which comprise the Consolidated Statement of Comprehensive Income, Consolidated and Company Statement of Financial Position, Consolidated and Company Statement of Changes in Equity, Consolidated and Company Statement of Cash Flows, and the related notes including the summary of significant accounting policies set out in note 1. The financial reporting framework that has been applied in their preparation is Irish Law and International Financial Reporting Standards (“IFRS”) as adopted by the European Union and, as regards the Company financial statements, as applied in accordance with the provisions of the Companies Act 2014.</w:t>
      </w:r>
    </w:p>
    <w:p w14:paraId="1254A3CA" w14:textId="77777777" w:rsidR="0021298F" w:rsidRPr="001D0749" w:rsidRDefault="0021298F" w:rsidP="0021298F">
      <w:pPr>
        <w:jc w:val="both"/>
        <w:rPr>
          <w:rFonts w:ascii="Arial" w:eastAsia="Times New Roman" w:hAnsi="Arial" w:cs="Arial"/>
        </w:rPr>
      </w:pPr>
    </w:p>
    <w:p w14:paraId="541C37CD" w14:textId="77777777" w:rsidR="0021298F" w:rsidRPr="005871EA" w:rsidRDefault="0021298F" w:rsidP="0021298F">
      <w:pPr>
        <w:jc w:val="both"/>
        <w:rPr>
          <w:rFonts w:ascii="Arial" w:eastAsia="Times New Roman" w:hAnsi="Arial" w:cs="Arial"/>
        </w:rPr>
      </w:pPr>
      <w:r w:rsidRPr="005871EA">
        <w:rPr>
          <w:rFonts w:ascii="Arial" w:eastAsia="Times New Roman" w:hAnsi="Arial" w:cs="Arial"/>
        </w:rPr>
        <w:t>In our opinion:</w:t>
      </w:r>
    </w:p>
    <w:p w14:paraId="59958EE2" w14:textId="77777777" w:rsidR="0021298F" w:rsidRPr="001D0749" w:rsidRDefault="0021298F" w:rsidP="0021298F">
      <w:pPr>
        <w:pStyle w:val="ListParagraph"/>
        <w:numPr>
          <w:ilvl w:val="0"/>
          <w:numId w:val="48"/>
        </w:numPr>
        <w:jc w:val="both"/>
        <w:rPr>
          <w:rFonts w:ascii="Arial" w:eastAsia="Times New Roman" w:hAnsi="Arial" w:cs="Arial"/>
        </w:rPr>
      </w:pPr>
      <w:r w:rsidRPr="001D0749">
        <w:rPr>
          <w:rFonts w:ascii="Arial" w:eastAsia="Times New Roman" w:hAnsi="Arial" w:cs="Arial"/>
        </w:rPr>
        <w:t>the Group financial statements give a true and fair view of the assets, liabilities and financial position of the Group as at 31 December 2020 and of its profit for the financial year then ended;</w:t>
      </w:r>
    </w:p>
    <w:p w14:paraId="59976504" w14:textId="77777777" w:rsidR="0021298F" w:rsidRPr="001D0749" w:rsidRDefault="0021298F" w:rsidP="0021298F">
      <w:pPr>
        <w:pStyle w:val="ListParagraph"/>
        <w:numPr>
          <w:ilvl w:val="0"/>
          <w:numId w:val="48"/>
        </w:numPr>
        <w:jc w:val="both"/>
        <w:rPr>
          <w:rFonts w:ascii="Arial" w:eastAsia="Times New Roman" w:hAnsi="Arial" w:cs="Arial"/>
        </w:rPr>
      </w:pPr>
      <w:r w:rsidRPr="001D0749">
        <w:rPr>
          <w:rFonts w:ascii="Arial" w:eastAsia="Times New Roman" w:hAnsi="Arial" w:cs="Arial"/>
        </w:rPr>
        <w:t>the Company Statement of Financial Position gives a true and fair view of the assets, liabilities and financial position of the Company as at 31 December 2020;</w:t>
      </w:r>
    </w:p>
    <w:p w14:paraId="200B4064" w14:textId="77777777" w:rsidR="0021298F" w:rsidRPr="001D0749" w:rsidRDefault="0021298F" w:rsidP="0021298F">
      <w:pPr>
        <w:pStyle w:val="ListParagraph"/>
        <w:numPr>
          <w:ilvl w:val="0"/>
          <w:numId w:val="48"/>
        </w:numPr>
        <w:jc w:val="both"/>
        <w:rPr>
          <w:rFonts w:ascii="Arial" w:eastAsia="Times New Roman" w:hAnsi="Arial" w:cs="Arial"/>
        </w:rPr>
      </w:pPr>
      <w:r w:rsidRPr="001D0749">
        <w:rPr>
          <w:rFonts w:ascii="Arial" w:eastAsia="Times New Roman" w:hAnsi="Arial" w:cs="Arial"/>
        </w:rPr>
        <w:t>the Group financial statements have been properly prepared in accordance with IFRS as adopted by the European Union;</w:t>
      </w:r>
    </w:p>
    <w:p w14:paraId="6AB2126B" w14:textId="77777777" w:rsidR="0021298F" w:rsidRPr="001D0749" w:rsidRDefault="0021298F" w:rsidP="0021298F">
      <w:pPr>
        <w:pStyle w:val="ListParagraph"/>
        <w:numPr>
          <w:ilvl w:val="0"/>
          <w:numId w:val="48"/>
        </w:numPr>
        <w:jc w:val="both"/>
        <w:rPr>
          <w:rFonts w:ascii="Arial" w:eastAsia="Times New Roman" w:hAnsi="Arial" w:cs="Arial"/>
        </w:rPr>
      </w:pPr>
      <w:r w:rsidRPr="001D0749">
        <w:rPr>
          <w:rFonts w:ascii="Arial" w:eastAsia="Times New Roman" w:hAnsi="Arial" w:cs="Arial"/>
        </w:rPr>
        <w:t>the Company financial statements have been properly prepared in accordance with IFRS as adopted by the European Union as applied in accordance with the provisions of the Companies Act 2014; and</w:t>
      </w:r>
    </w:p>
    <w:p w14:paraId="4C7987C2" w14:textId="77777777" w:rsidR="0021298F" w:rsidRPr="001D0749" w:rsidRDefault="0021298F" w:rsidP="0021298F">
      <w:pPr>
        <w:pStyle w:val="ListParagraph"/>
        <w:numPr>
          <w:ilvl w:val="0"/>
          <w:numId w:val="48"/>
        </w:numPr>
        <w:jc w:val="both"/>
        <w:rPr>
          <w:rFonts w:ascii="Arial" w:eastAsia="Times New Roman" w:hAnsi="Arial" w:cs="Arial"/>
        </w:rPr>
      </w:pPr>
      <w:r w:rsidRPr="001D0749">
        <w:rPr>
          <w:rFonts w:ascii="Arial" w:eastAsia="Times New Roman" w:hAnsi="Arial" w:cs="Arial"/>
        </w:rPr>
        <w:t xml:space="preserve">the Group financial statements and Company financial statements have been properly prepared in accordance with the requirements of the Companies Act </w:t>
      </w:r>
      <w:r w:rsidRPr="001D0749">
        <w:rPr>
          <w:rFonts w:ascii="Arial" w:eastAsia="Times New Roman" w:hAnsi="Arial" w:cs="Arial"/>
        </w:rPr>
        <w:lastRenderedPageBreak/>
        <w:t>2014 and, as regards the Group financial statements, Article 4 of the IAS Regulation.</w:t>
      </w:r>
    </w:p>
    <w:p w14:paraId="6D5A051A" w14:textId="77777777" w:rsidR="0021298F" w:rsidRPr="001D0749" w:rsidRDefault="0021298F" w:rsidP="0021298F">
      <w:pPr>
        <w:jc w:val="both"/>
        <w:rPr>
          <w:rFonts w:ascii="Arial" w:eastAsia="Times New Roman" w:hAnsi="Arial" w:cs="Arial"/>
        </w:rPr>
      </w:pPr>
    </w:p>
    <w:p w14:paraId="3182984E" w14:textId="77777777" w:rsidR="0021298F" w:rsidRPr="001D0749" w:rsidRDefault="0021298F" w:rsidP="0021298F">
      <w:pPr>
        <w:jc w:val="both"/>
        <w:rPr>
          <w:rFonts w:ascii="Arial" w:hAnsi="Arial" w:cs="Arial"/>
          <w:b/>
          <w:bCs/>
        </w:rPr>
      </w:pPr>
      <w:r w:rsidRPr="001D0749">
        <w:rPr>
          <w:rFonts w:ascii="Arial" w:eastAsiaTheme="majorEastAsia" w:hAnsi="Arial" w:cs="Arial"/>
          <w:b/>
          <w:bCs/>
        </w:rPr>
        <w:t xml:space="preserve">Basis for Opinion </w:t>
      </w:r>
    </w:p>
    <w:p w14:paraId="7A19A480" w14:textId="77777777" w:rsidR="0021298F" w:rsidRDefault="0021298F" w:rsidP="0021298F">
      <w:pPr>
        <w:jc w:val="both"/>
        <w:rPr>
          <w:rFonts w:ascii="Arial" w:eastAsia="Times New Roman" w:hAnsi="Arial" w:cs="Arial"/>
        </w:rPr>
      </w:pPr>
      <w:r w:rsidRPr="005871EA">
        <w:rPr>
          <w:rFonts w:ascii="Arial" w:eastAsia="Times New Roman" w:hAnsi="Arial" w:cs="Arial"/>
        </w:rPr>
        <w:t>We conducted our audit in accordance with International Standards on Auditing (Ireland) (“ISAs (Ireland)”) and applicable law. Our responsibilities under those standards are further described in the Auditor's Responsibilities for the Audit of the Financial Statements section of our report. We are independent of the Group and Company in accordance with ethical requirements that are relevant to our audit of financial statements in Ireland, including the Ethical Standard as applied to public interest entities issued by the Irish Auditing and Accounting Supervisory Authority (“IAASA”), and we have fulfilled our other ethical responsibilities in accordance with these requirements.</w:t>
      </w:r>
    </w:p>
    <w:p w14:paraId="44C8BD3C" w14:textId="77777777" w:rsidR="0021298F" w:rsidRPr="005871EA" w:rsidRDefault="0021298F" w:rsidP="0021298F">
      <w:pPr>
        <w:jc w:val="both"/>
        <w:rPr>
          <w:rFonts w:ascii="Arial" w:eastAsia="Times New Roman" w:hAnsi="Arial" w:cs="Arial"/>
        </w:rPr>
      </w:pPr>
    </w:p>
    <w:p w14:paraId="64106EA7" w14:textId="77777777" w:rsidR="0021298F" w:rsidRDefault="0021298F" w:rsidP="0021298F">
      <w:pPr>
        <w:jc w:val="both"/>
        <w:rPr>
          <w:rFonts w:ascii="Arial" w:eastAsia="Times New Roman" w:hAnsi="Arial" w:cs="Arial"/>
        </w:rPr>
      </w:pPr>
      <w:r w:rsidRPr="005871EA">
        <w:rPr>
          <w:rFonts w:ascii="Arial" w:eastAsia="Times New Roman" w:hAnsi="Arial" w:cs="Arial"/>
        </w:rPr>
        <w:t>We believe that the audit evidence we have obtained is sufficient and appropriate to provide a basis for our opinion.</w:t>
      </w:r>
    </w:p>
    <w:p w14:paraId="6571DDEC" w14:textId="77777777" w:rsidR="0021298F" w:rsidRPr="001D0749" w:rsidRDefault="0021298F" w:rsidP="0021298F">
      <w:pPr>
        <w:jc w:val="both"/>
        <w:rPr>
          <w:rFonts w:ascii="Arial" w:eastAsia="Times New Roman" w:hAnsi="Arial" w:cs="Arial"/>
        </w:rPr>
      </w:pPr>
    </w:p>
    <w:p w14:paraId="5C5B9E18" w14:textId="77777777" w:rsidR="0021298F" w:rsidRPr="001D0749" w:rsidRDefault="0021298F" w:rsidP="0021298F">
      <w:pPr>
        <w:jc w:val="both"/>
        <w:rPr>
          <w:rFonts w:ascii="Arial" w:eastAsiaTheme="majorEastAsia" w:hAnsi="Arial" w:cs="Arial"/>
          <w:b/>
          <w:bCs/>
        </w:rPr>
      </w:pPr>
      <w:r w:rsidRPr="001D0749">
        <w:rPr>
          <w:rFonts w:ascii="Arial" w:eastAsiaTheme="majorEastAsia" w:hAnsi="Arial" w:cs="Arial"/>
          <w:b/>
          <w:bCs/>
        </w:rPr>
        <w:t>Key Audit Matters</w:t>
      </w:r>
    </w:p>
    <w:p w14:paraId="41CCE61F" w14:textId="77777777" w:rsidR="0021298F" w:rsidRPr="001D0749" w:rsidRDefault="0021298F" w:rsidP="0021298F">
      <w:pPr>
        <w:jc w:val="both"/>
        <w:rPr>
          <w:rFonts w:ascii="Arial" w:eastAsia="Times New Roman" w:hAnsi="Arial" w:cs="Arial"/>
        </w:rPr>
      </w:pPr>
      <w:r w:rsidRPr="005871EA">
        <w:rPr>
          <w:rFonts w:ascii="Arial" w:eastAsia="Times New Roman" w:hAnsi="Arial" w:cs="Arial"/>
        </w:rPr>
        <w:t>Key audit matters are those matters that, in our professional judgment, were of most significance in our audit of the financial statements of the current financial year and include the most significant assessed risks of material misstatement (whether or not due to fraud) we identified, including those which had the greatest effect on: the overall audit strategy, the</w:t>
      </w:r>
      <w:r>
        <w:rPr>
          <w:rFonts w:ascii="Arial" w:eastAsia="Times New Roman" w:hAnsi="Arial" w:cs="Arial"/>
        </w:rPr>
        <w:t xml:space="preserve"> </w:t>
      </w:r>
      <w:r w:rsidRPr="005871EA">
        <w:rPr>
          <w:rFonts w:ascii="Arial" w:eastAsia="Times New Roman" w:hAnsi="Arial" w:cs="Arial"/>
        </w:rPr>
        <w:t>allocation of resources in the audit; and directing the efforts of the engagement team. These matters were addressed in the context of our audit of the financial statements as a whole, and in forming our opinion thereon, and we do not provide a separate opinion on these matters.</w:t>
      </w:r>
      <w:r>
        <w:rPr>
          <w:rFonts w:ascii="Arial" w:eastAsia="Times New Roman" w:hAnsi="Arial" w:cs="Arial"/>
        </w:rPr>
        <w:t xml:space="preserve"> </w:t>
      </w:r>
    </w:p>
    <w:tbl>
      <w:tblPr>
        <w:tblStyle w:val="TableGrid"/>
        <w:tblW w:w="9583" w:type="dxa"/>
        <w:tblInd w:w="-7" w:type="dxa"/>
        <w:tblCellMar>
          <w:left w:w="115" w:type="dxa"/>
          <w:right w:w="115" w:type="dxa"/>
        </w:tblCellMar>
        <w:tblLook w:val="04A0" w:firstRow="1" w:lastRow="0" w:firstColumn="1" w:lastColumn="0" w:noHBand="0" w:noVBand="1"/>
      </w:tblPr>
      <w:tblGrid>
        <w:gridCol w:w="9583"/>
      </w:tblGrid>
      <w:tr w:rsidR="0021298F" w:rsidRPr="00A82A41" w14:paraId="1106065D" w14:textId="77777777" w:rsidTr="0076000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583" w:type="dxa"/>
            <w:tcBorders>
              <w:top w:val="nil"/>
              <w:left w:val="nil"/>
              <w:bottom w:val="nil"/>
              <w:right w:val="nil"/>
            </w:tcBorders>
            <w:shd w:val="clear" w:color="auto" w:fill="F2F2F2" w:themeFill="background1" w:themeFillShade="F2"/>
          </w:tcPr>
          <w:p w14:paraId="6CA50036" w14:textId="77777777" w:rsidR="0021298F" w:rsidRPr="001D0749" w:rsidRDefault="0021298F" w:rsidP="00760009">
            <w:pPr>
              <w:jc w:val="left"/>
              <w:rPr>
                <w:rFonts w:ascii="Arial" w:hAnsi="Arial" w:cs="Arial"/>
                <w:b/>
                <w:szCs w:val="22"/>
              </w:rPr>
            </w:pPr>
            <w:r w:rsidRPr="001D0749">
              <w:rPr>
                <w:rFonts w:ascii="Arial" w:hAnsi="Arial" w:cs="Arial"/>
                <w:b/>
                <w:szCs w:val="22"/>
              </w:rPr>
              <w:t>Key Audit Matter</w:t>
            </w:r>
          </w:p>
        </w:tc>
      </w:tr>
      <w:tr w:rsidR="0021298F" w:rsidRPr="00A82A41" w14:paraId="0BC99D95" w14:textId="77777777" w:rsidTr="00760009">
        <w:tc>
          <w:tcPr>
            <w:cnfStyle w:val="001000000000" w:firstRow="0" w:lastRow="0" w:firstColumn="1" w:lastColumn="0" w:oddVBand="0" w:evenVBand="0" w:oddHBand="0" w:evenHBand="0" w:firstRowFirstColumn="0" w:firstRowLastColumn="0" w:lastRowFirstColumn="0" w:lastRowLastColumn="0"/>
            <w:tcW w:w="9583" w:type="dxa"/>
            <w:tcBorders>
              <w:top w:val="nil"/>
              <w:left w:val="nil"/>
              <w:bottom w:val="nil"/>
              <w:right w:val="nil"/>
            </w:tcBorders>
          </w:tcPr>
          <w:p w14:paraId="2F2EE33F" w14:textId="77777777" w:rsidR="0021298F" w:rsidRPr="001D0749" w:rsidRDefault="0021298F" w:rsidP="00760009">
            <w:pPr>
              <w:rPr>
                <w:rFonts w:ascii="Arial" w:hAnsi="Arial" w:cs="Arial"/>
                <w:szCs w:val="22"/>
              </w:rPr>
            </w:pPr>
          </w:p>
          <w:p w14:paraId="34D0A9F9" w14:textId="77777777" w:rsidR="0021298F" w:rsidRPr="001D0749" w:rsidRDefault="0021298F" w:rsidP="00760009">
            <w:pPr>
              <w:jc w:val="both"/>
              <w:rPr>
                <w:rFonts w:ascii="Arial" w:hAnsi="Arial" w:cs="Arial"/>
                <w:szCs w:val="22"/>
              </w:rPr>
            </w:pPr>
            <w:r w:rsidRPr="001D0749">
              <w:rPr>
                <w:rFonts w:ascii="Arial" w:hAnsi="Arial" w:cs="Arial"/>
                <w:szCs w:val="22"/>
              </w:rPr>
              <w:t>The valuation of investments is a subjective accounting estimate where there is an inherent risk of management override arising from the investment valuations being prepared by the Investment Manager, who is remunerated based on the Net Asset Value (“NAV”) of the Company.</w:t>
            </w:r>
          </w:p>
          <w:p w14:paraId="4415973D" w14:textId="77777777" w:rsidR="0021298F" w:rsidRPr="001D0749" w:rsidRDefault="0021298F" w:rsidP="00760009">
            <w:pPr>
              <w:jc w:val="both"/>
              <w:rPr>
                <w:rFonts w:ascii="Arial" w:hAnsi="Arial" w:cs="Arial"/>
                <w:szCs w:val="22"/>
              </w:rPr>
            </w:pPr>
          </w:p>
          <w:p w14:paraId="0B57DA94" w14:textId="77777777" w:rsidR="0021298F" w:rsidRPr="001D0749" w:rsidRDefault="0021298F" w:rsidP="00760009">
            <w:pPr>
              <w:jc w:val="both"/>
              <w:rPr>
                <w:rFonts w:ascii="Arial" w:hAnsi="Arial" w:cs="Arial"/>
                <w:szCs w:val="22"/>
              </w:rPr>
            </w:pPr>
            <w:r w:rsidRPr="001D0749">
              <w:rPr>
                <w:rFonts w:ascii="Arial" w:hAnsi="Arial" w:cs="Arial"/>
                <w:szCs w:val="22"/>
              </w:rPr>
              <w:t xml:space="preserve">The entire investment portfolio is represented by unquoted equity and loan investments and all investments are individually material to the financial statements. </w:t>
            </w:r>
          </w:p>
          <w:p w14:paraId="446903F5" w14:textId="77777777" w:rsidR="0021298F" w:rsidRPr="001D0749" w:rsidRDefault="0021298F" w:rsidP="00760009">
            <w:pPr>
              <w:rPr>
                <w:rFonts w:ascii="Arial" w:hAnsi="Arial" w:cs="Arial"/>
                <w:szCs w:val="22"/>
              </w:rPr>
            </w:pPr>
          </w:p>
        </w:tc>
      </w:tr>
      <w:tr w:rsidR="0021298F" w:rsidRPr="00A82A41" w14:paraId="668D2272" w14:textId="77777777" w:rsidTr="00760009">
        <w:tc>
          <w:tcPr>
            <w:cnfStyle w:val="001000000000" w:firstRow="0" w:lastRow="0" w:firstColumn="1" w:lastColumn="0" w:oddVBand="0" w:evenVBand="0" w:oddHBand="0" w:evenHBand="0" w:firstRowFirstColumn="0" w:firstRowLastColumn="0" w:lastRowFirstColumn="0" w:lastRowLastColumn="0"/>
            <w:tcW w:w="9583" w:type="dxa"/>
            <w:tcBorders>
              <w:top w:val="nil"/>
              <w:left w:val="nil"/>
              <w:bottom w:val="nil"/>
              <w:right w:val="nil"/>
            </w:tcBorders>
            <w:shd w:val="clear" w:color="auto" w:fill="F2F2F2" w:themeFill="background1" w:themeFillShade="F2"/>
          </w:tcPr>
          <w:p w14:paraId="50AF0CDC" w14:textId="77777777" w:rsidR="0021298F" w:rsidRPr="001D0749" w:rsidRDefault="0021298F" w:rsidP="00760009">
            <w:pPr>
              <w:rPr>
                <w:rFonts w:ascii="Arial" w:hAnsi="Arial" w:cs="Arial"/>
                <w:b/>
                <w:szCs w:val="22"/>
              </w:rPr>
            </w:pPr>
            <w:r w:rsidRPr="001D0749">
              <w:rPr>
                <w:rFonts w:ascii="Arial" w:hAnsi="Arial" w:cs="Arial"/>
                <w:b/>
                <w:szCs w:val="22"/>
              </w:rPr>
              <w:t>Related Disclosures</w:t>
            </w:r>
          </w:p>
        </w:tc>
      </w:tr>
      <w:tr w:rsidR="0021298F" w:rsidRPr="00A82A41" w14:paraId="6A9B1C02" w14:textId="77777777" w:rsidTr="00760009">
        <w:tc>
          <w:tcPr>
            <w:cnfStyle w:val="001000000000" w:firstRow="0" w:lastRow="0" w:firstColumn="1" w:lastColumn="0" w:oddVBand="0" w:evenVBand="0" w:oddHBand="0" w:evenHBand="0" w:firstRowFirstColumn="0" w:firstRowLastColumn="0" w:lastRowFirstColumn="0" w:lastRowLastColumn="0"/>
            <w:tcW w:w="9583" w:type="dxa"/>
            <w:tcBorders>
              <w:top w:val="nil"/>
              <w:left w:val="nil"/>
              <w:bottom w:val="nil"/>
              <w:right w:val="nil"/>
            </w:tcBorders>
          </w:tcPr>
          <w:p w14:paraId="4F6F570A" w14:textId="77777777" w:rsidR="0021298F" w:rsidRPr="001D0749" w:rsidRDefault="0021298F" w:rsidP="00760009">
            <w:pPr>
              <w:rPr>
                <w:rFonts w:ascii="Arial" w:hAnsi="Arial" w:cs="Arial"/>
                <w:szCs w:val="22"/>
              </w:rPr>
            </w:pPr>
          </w:p>
          <w:p w14:paraId="7D6AFC7C" w14:textId="77777777" w:rsidR="0021298F" w:rsidRPr="001D0749" w:rsidRDefault="0021298F" w:rsidP="00760009">
            <w:pPr>
              <w:rPr>
                <w:rFonts w:ascii="Arial" w:hAnsi="Arial" w:cs="Arial"/>
                <w:szCs w:val="22"/>
              </w:rPr>
            </w:pPr>
            <w:r w:rsidRPr="001D0749">
              <w:rPr>
                <w:rFonts w:ascii="Arial" w:hAnsi="Arial" w:cs="Arial"/>
                <w:szCs w:val="22"/>
              </w:rPr>
              <w:t>Refer to:</w:t>
            </w:r>
          </w:p>
          <w:p w14:paraId="0C6529CB" w14:textId="77777777" w:rsidR="0021298F" w:rsidRPr="001D0749" w:rsidRDefault="0021298F" w:rsidP="0021298F">
            <w:pPr>
              <w:pStyle w:val="ListParagraph"/>
              <w:numPr>
                <w:ilvl w:val="0"/>
                <w:numId w:val="40"/>
              </w:numPr>
              <w:rPr>
                <w:rFonts w:ascii="Arial" w:hAnsi="Arial" w:cs="Arial"/>
                <w:szCs w:val="22"/>
              </w:rPr>
            </w:pPr>
            <w:r w:rsidRPr="001D0749">
              <w:rPr>
                <w:rFonts w:ascii="Arial" w:hAnsi="Arial" w:cs="Arial"/>
                <w:szCs w:val="22"/>
              </w:rPr>
              <w:t xml:space="preserve">Note 1 – Significant accounting policies; </w:t>
            </w:r>
          </w:p>
          <w:p w14:paraId="20011742" w14:textId="77777777" w:rsidR="0021298F" w:rsidRPr="001D0749" w:rsidRDefault="0021298F" w:rsidP="0021298F">
            <w:pPr>
              <w:pStyle w:val="ListParagraph"/>
              <w:numPr>
                <w:ilvl w:val="0"/>
                <w:numId w:val="40"/>
              </w:numPr>
              <w:rPr>
                <w:rFonts w:ascii="Arial" w:hAnsi="Arial" w:cs="Arial"/>
                <w:szCs w:val="22"/>
              </w:rPr>
            </w:pPr>
            <w:r w:rsidRPr="001D0749">
              <w:rPr>
                <w:rFonts w:ascii="Arial" w:hAnsi="Arial" w:cs="Arial"/>
                <w:szCs w:val="22"/>
              </w:rPr>
              <w:t xml:space="preserve">Note 2 - critical accounting judgments, estimates and assumptions; </w:t>
            </w:r>
          </w:p>
          <w:p w14:paraId="64E5EF87" w14:textId="77777777" w:rsidR="0021298F" w:rsidRPr="001D0749" w:rsidRDefault="0021298F" w:rsidP="0021298F">
            <w:pPr>
              <w:pStyle w:val="ListParagraph"/>
              <w:numPr>
                <w:ilvl w:val="0"/>
                <w:numId w:val="40"/>
              </w:numPr>
              <w:rPr>
                <w:rFonts w:ascii="Arial" w:hAnsi="Arial" w:cs="Arial"/>
                <w:szCs w:val="22"/>
              </w:rPr>
            </w:pPr>
            <w:r w:rsidRPr="001D0749">
              <w:rPr>
                <w:rFonts w:ascii="Arial" w:hAnsi="Arial" w:cs="Arial"/>
                <w:szCs w:val="22"/>
              </w:rPr>
              <w:t>Note 4 – return on investments; and</w:t>
            </w:r>
          </w:p>
          <w:p w14:paraId="642302DB" w14:textId="77777777" w:rsidR="0021298F" w:rsidRPr="001D0749" w:rsidRDefault="0021298F" w:rsidP="0021298F">
            <w:pPr>
              <w:pStyle w:val="ListParagraph"/>
              <w:numPr>
                <w:ilvl w:val="0"/>
                <w:numId w:val="40"/>
              </w:numPr>
              <w:rPr>
                <w:rFonts w:ascii="Arial" w:hAnsi="Arial" w:cs="Arial"/>
                <w:szCs w:val="22"/>
              </w:rPr>
            </w:pPr>
            <w:r w:rsidRPr="001D0749">
              <w:rPr>
                <w:rFonts w:ascii="Arial" w:hAnsi="Arial" w:cs="Arial"/>
                <w:szCs w:val="22"/>
              </w:rPr>
              <w:t xml:space="preserve">Note 9 – investments at fair value through profit or loss; </w:t>
            </w:r>
          </w:p>
          <w:p w14:paraId="2E316C38" w14:textId="77777777" w:rsidR="0021298F" w:rsidRPr="001D0749" w:rsidRDefault="0021298F" w:rsidP="00760009">
            <w:pPr>
              <w:rPr>
                <w:rFonts w:ascii="Arial" w:hAnsi="Arial" w:cs="Arial"/>
                <w:szCs w:val="22"/>
              </w:rPr>
            </w:pPr>
            <w:r w:rsidRPr="001D0749">
              <w:rPr>
                <w:rFonts w:ascii="Arial" w:hAnsi="Arial" w:cs="Arial"/>
                <w:szCs w:val="22"/>
              </w:rPr>
              <w:t>of the accompanying financial statements.</w:t>
            </w:r>
          </w:p>
          <w:p w14:paraId="39115FF5" w14:textId="77777777" w:rsidR="0021298F" w:rsidRPr="001D0749" w:rsidRDefault="0021298F" w:rsidP="00760009">
            <w:pPr>
              <w:rPr>
                <w:rFonts w:ascii="Arial" w:hAnsi="Arial" w:cs="Arial"/>
                <w:szCs w:val="22"/>
              </w:rPr>
            </w:pPr>
          </w:p>
        </w:tc>
      </w:tr>
      <w:tr w:rsidR="0021298F" w:rsidRPr="00A82A41" w14:paraId="0160AF8E" w14:textId="77777777" w:rsidTr="00760009">
        <w:tc>
          <w:tcPr>
            <w:cnfStyle w:val="001000000000" w:firstRow="0" w:lastRow="0" w:firstColumn="1" w:lastColumn="0" w:oddVBand="0" w:evenVBand="0" w:oddHBand="0" w:evenHBand="0" w:firstRowFirstColumn="0" w:firstRowLastColumn="0" w:lastRowFirstColumn="0" w:lastRowLastColumn="0"/>
            <w:tcW w:w="9583" w:type="dxa"/>
            <w:tcBorders>
              <w:top w:val="nil"/>
              <w:left w:val="nil"/>
              <w:bottom w:val="nil"/>
              <w:right w:val="nil"/>
            </w:tcBorders>
            <w:shd w:val="clear" w:color="auto" w:fill="F2F2F2" w:themeFill="background1" w:themeFillShade="F2"/>
          </w:tcPr>
          <w:p w14:paraId="5B8E690B" w14:textId="77777777" w:rsidR="0021298F" w:rsidRPr="001D0749" w:rsidRDefault="0021298F" w:rsidP="00760009">
            <w:pPr>
              <w:rPr>
                <w:rFonts w:ascii="Arial" w:hAnsi="Arial" w:cs="Arial"/>
                <w:b/>
                <w:szCs w:val="22"/>
              </w:rPr>
            </w:pPr>
            <w:r w:rsidRPr="001D0749">
              <w:rPr>
                <w:rFonts w:ascii="Arial" w:hAnsi="Arial" w:cs="Arial"/>
                <w:b/>
                <w:szCs w:val="22"/>
              </w:rPr>
              <w:t>Audit Response</w:t>
            </w:r>
          </w:p>
        </w:tc>
      </w:tr>
      <w:tr w:rsidR="0021298F" w:rsidRPr="00A82A41" w14:paraId="6881B4E2" w14:textId="77777777" w:rsidTr="00760009">
        <w:tc>
          <w:tcPr>
            <w:cnfStyle w:val="001000000000" w:firstRow="0" w:lastRow="0" w:firstColumn="1" w:lastColumn="0" w:oddVBand="0" w:evenVBand="0" w:oddHBand="0" w:evenHBand="0" w:firstRowFirstColumn="0" w:firstRowLastColumn="0" w:lastRowFirstColumn="0" w:lastRowLastColumn="0"/>
            <w:tcW w:w="9583" w:type="dxa"/>
            <w:tcBorders>
              <w:top w:val="nil"/>
              <w:left w:val="nil"/>
              <w:bottom w:val="nil"/>
              <w:right w:val="nil"/>
            </w:tcBorders>
          </w:tcPr>
          <w:p w14:paraId="753B84EB" w14:textId="77777777" w:rsidR="0021298F" w:rsidRPr="001D0749" w:rsidRDefault="0021298F" w:rsidP="00760009">
            <w:pPr>
              <w:rPr>
                <w:rFonts w:ascii="Arial" w:hAnsi="Arial" w:cs="Arial"/>
                <w:szCs w:val="22"/>
              </w:rPr>
            </w:pPr>
          </w:p>
          <w:p w14:paraId="07671D44" w14:textId="77777777" w:rsidR="0021298F" w:rsidRPr="001D0749" w:rsidRDefault="0021298F" w:rsidP="00760009">
            <w:pPr>
              <w:rPr>
                <w:rFonts w:ascii="Arial" w:hAnsi="Arial" w:cs="Arial"/>
                <w:szCs w:val="22"/>
              </w:rPr>
            </w:pPr>
            <w:r w:rsidRPr="001D0749">
              <w:rPr>
                <w:rFonts w:ascii="Arial" w:hAnsi="Arial" w:cs="Arial"/>
                <w:szCs w:val="22"/>
              </w:rPr>
              <w:t>For investments valued using a discounted cash flow model we performed the following procedures:</w:t>
            </w:r>
          </w:p>
          <w:p w14:paraId="19DA7C51" w14:textId="77777777" w:rsidR="0021298F" w:rsidRPr="001D0749" w:rsidRDefault="0021298F" w:rsidP="0021298F">
            <w:pPr>
              <w:pStyle w:val="ListParagraph"/>
              <w:numPr>
                <w:ilvl w:val="0"/>
                <w:numId w:val="40"/>
              </w:numPr>
              <w:jc w:val="both"/>
              <w:rPr>
                <w:rFonts w:ascii="Arial" w:hAnsi="Arial" w:cs="Arial"/>
                <w:szCs w:val="22"/>
              </w:rPr>
            </w:pPr>
            <w:r w:rsidRPr="001D0749">
              <w:rPr>
                <w:rFonts w:ascii="Arial" w:hAnsi="Arial" w:cs="Arial"/>
                <w:szCs w:val="22"/>
              </w:rPr>
              <w:lastRenderedPageBreak/>
              <w:t>Challenged the appropriateness of the selection and application of key assumptions in the discounted cash flow model including discount rate, energy yield, power price, inflation rate and asset life by benchmarking to available industry data and consulting with our internal valuation specialists.</w:t>
            </w:r>
          </w:p>
          <w:p w14:paraId="6DDFF542" w14:textId="77777777" w:rsidR="0021298F" w:rsidRPr="001D0749" w:rsidRDefault="0021298F" w:rsidP="0021298F">
            <w:pPr>
              <w:pStyle w:val="ListParagraph"/>
              <w:numPr>
                <w:ilvl w:val="0"/>
                <w:numId w:val="40"/>
              </w:numPr>
              <w:jc w:val="both"/>
              <w:rPr>
                <w:rFonts w:ascii="Arial" w:hAnsi="Arial" w:cs="Arial"/>
                <w:szCs w:val="22"/>
              </w:rPr>
            </w:pPr>
            <w:r w:rsidRPr="001D0749">
              <w:rPr>
                <w:rFonts w:ascii="Arial" w:hAnsi="Arial" w:cs="Arial"/>
                <w:szCs w:val="22"/>
              </w:rPr>
              <w:t>Agreed energy yield, power price, inflation rate and asset life used in the model to independent reports.</w:t>
            </w:r>
          </w:p>
          <w:p w14:paraId="43D0C9E8" w14:textId="77777777" w:rsidR="0021298F" w:rsidRPr="001D0749" w:rsidRDefault="0021298F" w:rsidP="0021298F">
            <w:pPr>
              <w:pStyle w:val="ListParagraph"/>
              <w:numPr>
                <w:ilvl w:val="0"/>
                <w:numId w:val="40"/>
              </w:numPr>
              <w:jc w:val="both"/>
              <w:rPr>
                <w:rFonts w:ascii="Arial" w:hAnsi="Arial" w:cs="Arial"/>
                <w:szCs w:val="22"/>
              </w:rPr>
            </w:pPr>
            <w:r w:rsidRPr="001D0749">
              <w:rPr>
                <w:rFonts w:ascii="Arial" w:hAnsi="Arial" w:cs="Arial"/>
                <w:szCs w:val="22"/>
              </w:rPr>
              <w:t>For new investments we obtained and reviewed all key agreements and contracts and considered if they were accurately reflected in the valuation model;</w:t>
            </w:r>
          </w:p>
          <w:p w14:paraId="3BDE9688" w14:textId="77777777" w:rsidR="0021298F" w:rsidRPr="001D0749" w:rsidRDefault="0021298F" w:rsidP="0021298F">
            <w:pPr>
              <w:pStyle w:val="ListParagraph"/>
              <w:numPr>
                <w:ilvl w:val="0"/>
                <w:numId w:val="40"/>
              </w:numPr>
              <w:jc w:val="both"/>
              <w:rPr>
                <w:rFonts w:ascii="Arial" w:hAnsi="Arial" w:cs="Arial"/>
                <w:szCs w:val="22"/>
              </w:rPr>
            </w:pPr>
            <w:r w:rsidRPr="001D0749">
              <w:rPr>
                <w:rFonts w:ascii="Arial" w:hAnsi="Arial" w:cs="Arial"/>
                <w:szCs w:val="22"/>
              </w:rPr>
              <w:t xml:space="preserve">For existing investments, we analysed changes in significant assumptions compared with assumptions audited in previous periods and vouched these to independent evidence including available industry data; </w:t>
            </w:r>
          </w:p>
          <w:p w14:paraId="6541C3A9" w14:textId="77777777" w:rsidR="0021298F" w:rsidRPr="001D0749" w:rsidRDefault="0021298F" w:rsidP="0021298F">
            <w:pPr>
              <w:pStyle w:val="ListParagraph"/>
              <w:numPr>
                <w:ilvl w:val="0"/>
                <w:numId w:val="40"/>
              </w:numPr>
              <w:rPr>
                <w:rFonts w:ascii="Arial" w:hAnsi="Arial" w:cs="Arial"/>
                <w:szCs w:val="22"/>
              </w:rPr>
            </w:pPr>
            <w:r w:rsidRPr="001D0749">
              <w:rPr>
                <w:rFonts w:ascii="Arial" w:hAnsi="Arial" w:cs="Arial"/>
                <w:szCs w:val="22"/>
              </w:rPr>
              <w:t>Used spreadsheet analysis tools to assess the integrity of the valuation models and track changes to inputs or structure.</w:t>
            </w:r>
          </w:p>
          <w:p w14:paraId="26FC0596" w14:textId="77777777" w:rsidR="0021298F" w:rsidRPr="001D0749" w:rsidRDefault="0021298F" w:rsidP="0021298F">
            <w:pPr>
              <w:pStyle w:val="ListParagraph"/>
              <w:numPr>
                <w:ilvl w:val="0"/>
                <w:numId w:val="40"/>
              </w:numPr>
              <w:jc w:val="both"/>
              <w:rPr>
                <w:rFonts w:ascii="Arial" w:hAnsi="Arial" w:cs="Arial"/>
                <w:szCs w:val="22"/>
              </w:rPr>
            </w:pPr>
            <w:r w:rsidRPr="001D0749">
              <w:rPr>
                <w:rFonts w:ascii="Arial" w:hAnsi="Arial" w:cs="Arial"/>
                <w:szCs w:val="22"/>
              </w:rPr>
              <w:t xml:space="preserve">Agreed cash and other net assets to bank statements and investee company management accounts, including interrogating the valuation of the interest rate swaps to a 3rd party pricing source; </w:t>
            </w:r>
          </w:p>
          <w:p w14:paraId="2D6F0124" w14:textId="77777777" w:rsidR="0021298F" w:rsidRPr="001D0749" w:rsidRDefault="0021298F" w:rsidP="0021298F">
            <w:pPr>
              <w:pStyle w:val="ListParagraph"/>
              <w:numPr>
                <w:ilvl w:val="0"/>
                <w:numId w:val="40"/>
              </w:numPr>
              <w:jc w:val="both"/>
              <w:rPr>
                <w:rFonts w:ascii="Arial" w:hAnsi="Arial" w:cs="Arial"/>
                <w:szCs w:val="22"/>
              </w:rPr>
            </w:pPr>
            <w:r w:rsidRPr="001D0749">
              <w:rPr>
                <w:rFonts w:ascii="Arial" w:hAnsi="Arial" w:cs="Arial"/>
                <w:szCs w:val="22"/>
              </w:rPr>
              <w:t>Considered the accuracy of forecasting by comparing previous forecasts to actual results.</w:t>
            </w:r>
          </w:p>
          <w:p w14:paraId="168B9E05" w14:textId="77777777" w:rsidR="0021298F" w:rsidRPr="001D0749" w:rsidRDefault="0021298F" w:rsidP="0021298F">
            <w:pPr>
              <w:pStyle w:val="ListParagraph"/>
              <w:numPr>
                <w:ilvl w:val="0"/>
                <w:numId w:val="40"/>
              </w:numPr>
              <w:jc w:val="both"/>
              <w:rPr>
                <w:rFonts w:ascii="Arial" w:hAnsi="Arial" w:cs="Arial"/>
                <w:szCs w:val="22"/>
              </w:rPr>
            </w:pPr>
            <w:r w:rsidRPr="001D0749">
              <w:rPr>
                <w:rFonts w:ascii="Arial" w:hAnsi="Arial" w:cs="Arial"/>
                <w:szCs w:val="22"/>
              </w:rPr>
              <w:t>We critically evaluated and challenged management’s assessment as to the recoverability of the loan investments;</w:t>
            </w:r>
          </w:p>
          <w:p w14:paraId="0539D46D" w14:textId="77777777" w:rsidR="0021298F" w:rsidRPr="001D0749" w:rsidRDefault="0021298F" w:rsidP="0021298F">
            <w:pPr>
              <w:pStyle w:val="ListParagraph"/>
              <w:numPr>
                <w:ilvl w:val="0"/>
                <w:numId w:val="40"/>
              </w:numPr>
              <w:jc w:val="both"/>
              <w:rPr>
                <w:rFonts w:ascii="Arial" w:hAnsi="Arial" w:cs="Arial"/>
                <w:szCs w:val="22"/>
              </w:rPr>
            </w:pPr>
            <w:r w:rsidRPr="001D0749">
              <w:rPr>
                <w:rFonts w:ascii="Arial" w:hAnsi="Arial" w:cs="Arial"/>
                <w:szCs w:val="22"/>
              </w:rPr>
              <w:t>We vouched to loan agreements and verified the terms of the loan; and</w:t>
            </w:r>
          </w:p>
          <w:p w14:paraId="16970C54" w14:textId="77777777" w:rsidR="0021298F" w:rsidRPr="001D0749" w:rsidRDefault="0021298F" w:rsidP="0021298F">
            <w:pPr>
              <w:pStyle w:val="ListParagraph"/>
              <w:numPr>
                <w:ilvl w:val="0"/>
                <w:numId w:val="40"/>
              </w:numPr>
              <w:jc w:val="both"/>
              <w:rPr>
                <w:rFonts w:ascii="Arial" w:hAnsi="Arial" w:cs="Arial"/>
                <w:szCs w:val="22"/>
              </w:rPr>
            </w:pPr>
            <w:r w:rsidRPr="001D0749">
              <w:rPr>
                <w:rFonts w:ascii="Arial" w:hAnsi="Arial" w:cs="Arial"/>
                <w:szCs w:val="22"/>
              </w:rPr>
              <w:t>We have reviewed the performance of the loan investments during the financial year under review.</w:t>
            </w:r>
          </w:p>
          <w:p w14:paraId="3BC0A4DE" w14:textId="77777777" w:rsidR="0021298F" w:rsidRPr="001D0749" w:rsidRDefault="0021298F" w:rsidP="00760009">
            <w:pPr>
              <w:pStyle w:val="ListParagraph"/>
              <w:rPr>
                <w:rFonts w:ascii="Arial" w:hAnsi="Arial" w:cs="Arial"/>
                <w:szCs w:val="22"/>
              </w:rPr>
            </w:pPr>
          </w:p>
        </w:tc>
      </w:tr>
    </w:tbl>
    <w:p w14:paraId="530532F1" w14:textId="77777777" w:rsidR="0021298F" w:rsidRPr="001D0749" w:rsidRDefault="0021298F" w:rsidP="0021298F">
      <w:pPr>
        <w:ind w:firstLine="720"/>
        <w:jc w:val="both"/>
        <w:rPr>
          <w:rFonts w:ascii="Arial" w:eastAsia="Times New Roman" w:hAnsi="Arial" w:cs="Arial"/>
        </w:rPr>
      </w:pPr>
    </w:p>
    <w:p w14:paraId="09803686" w14:textId="77777777" w:rsidR="0021298F" w:rsidRPr="001D0749" w:rsidRDefault="0021298F" w:rsidP="0021298F">
      <w:pPr>
        <w:jc w:val="both"/>
        <w:rPr>
          <w:rFonts w:ascii="Arial" w:eastAsiaTheme="majorEastAsia" w:hAnsi="Arial" w:cs="Arial"/>
          <w:b/>
          <w:bCs/>
          <w:i/>
        </w:rPr>
      </w:pPr>
      <w:r w:rsidRPr="001D0749">
        <w:rPr>
          <w:rFonts w:ascii="Arial" w:eastAsiaTheme="majorEastAsia" w:hAnsi="Arial" w:cs="Arial"/>
          <w:b/>
          <w:bCs/>
          <w:i/>
        </w:rPr>
        <w:t>Our application of materiality</w:t>
      </w:r>
    </w:p>
    <w:p w14:paraId="16B86688" w14:textId="77777777" w:rsidR="0021298F" w:rsidRDefault="0021298F" w:rsidP="0021298F">
      <w:pPr>
        <w:jc w:val="both"/>
        <w:rPr>
          <w:rFonts w:ascii="Arial" w:hAnsi="Arial" w:cs="Arial"/>
        </w:rPr>
      </w:pPr>
      <w:r w:rsidRPr="005871EA">
        <w:rPr>
          <w:rFonts w:ascii="Arial" w:hAnsi="Arial" w:cs="Arial"/>
        </w:rPr>
        <w:t>We define materiality as the magnitude of misstatement in the financial statements that makes it probable that the economic decisions of a reasonably knowledgeable person would be changed or influenced. We use materiality both in planning the scope of our audit work and in evaluating the results of our work.</w:t>
      </w:r>
    </w:p>
    <w:p w14:paraId="3B423D8F" w14:textId="77777777" w:rsidR="0021298F" w:rsidRDefault="0021298F" w:rsidP="0021298F">
      <w:pPr>
        <w:jc w:val="both"/>
        <w:rPr>
          <w:rFonts w:ascii="Arial" w:hAnsi="Arial" w:cs="Arial"/>
        </w:rPr>
      </w:pPr>
    </w:p>
    <w:p w14:paraId="77405BBB" w14:textId="77777777" w:rsidR="0021298F" w:rsidRPr="005871EA" w:rsidRDefault="0021298F" w:rsidP="0021298F">
      <w:pPr>
        <w:jc w:val="both"/>
        <w:rPr>
          <w:rFonts w:ascii="Arial" w:hAnsi="Arial" w:cs="Arial"/>
        </w:rPr>
      </w:pPr>
      <w:r w:rsidRPr="005871EA">
        <w:rPr>
          <w:rFonts w:ascii="Arial" w:hAnsi="Arial" w:cs="Arial"/>
        </w:rPr>
        <w:t>Based on our professional judgement, we determined materiality for the financial statements as a whole as follows:</w:t>
      </w:r>
    </w:p>
    <w:p w14:paraId="7B0C0B64" w14:textId="77777777" w:rsidR="0021298F" w:rsidRPr="001D0749" w:rsidRDefault="0021298F" w:rsidP="0021298F">
      <w:pPr>
        <w:pStyle w:val="ListParagraph"/>
        <w:numPr>
          <w:ilvl w:val="0"/>
          <w:numId w:val="49"/>
        </w:numPr>
        <w:rPr>
          <w:rFonts w:ascii="Arial" w:hAnsi="Arial" w:cs="Arial"/>
        </w:rPr>
      </w:pPr>
      <w:r w:rsidRPr="001D0749">
        <w:rPr>
          <w:rFonts w:ascii="Arial" w:hAnsi="Arial" w:cs="Arial"/>
        </w:rPr>
        <w:t>For the purpose of our audit we used overall materiality of €15m, which represents approximately 2% of the Group and Company’s NAV.</w:t>
      </w:r>
    </w:p>
    <w:p w14:paraId="181E0247" w14:textId="77777777" w:rsidR="0021298F" w:rsidRPr="001D0749" w:rsidRDefault="0021298F" w:rsidP="0021298F">
      <w:pPr>
        <w:pStyle w:val="ListParagraph"/>
        <w:numPr>
          <w:ilvl w:val="0"/>
          <w:numId w:val="49"/>
        </w:numPr>
        <w:rPr>
          <w:rFonts w:ascii="Arial" w:hAnsi="Arial" w:cs="Arial"/>
        </w:rPr>
      </w:pPr>
      <w:r w:rsidRPr="001D0749">
        <w:rPr>
          <w:rFonts w:ascii="Arial" w:hAnsi="Arial" w:cs="Arial"/>
        </w:rPr>
        <w:t>We applied this threshold, together with qualitative considerations, to determine the scope of our audit and the nature, timing and extent of our audit procedures and to evaluate the effect of misstatements on the Financial Statements as a whole.</w:t>
      </w:r>
    </w:p>
    <w:p w14:paraId="524A1683" w14:textId="77777777" w:rsidR="0021298F" w:rsidRPr="001D0749" w:rsidRDefault="0021298F" w:rsidP="0021298F">
      <w:pPr>
        <w:pStyle w:val="ListParagraph"/>
        <w:numPr>
          <w:ilvl w:val="0"/>
          <w:numId w:val="49"/>
        </w:numPr>
        <w:rPr>
          <w:rFonts w:ascii="Arial" w:hAnsi="Arial" w:cs="Arial"/>
        </w:rPr>
      </w:pPr>
      <w:r w:rsidRPr="001D0749">
        <w:rPr>
          <w:rFonts w:ascii="Arial" w:hAnsi="Arial" w:cs="Arial"/>
        </w:rPr>
        <w:t>We chose NAV as the benchmark because of the Group and Company’s asset-based structure. We selected 2% based on our professional judgment, noting that it is also within the range of commonly accepted asset-related benchmarks.</w:t>
      </w:r>
    </w:p>
    <w:p w14:paraId="7F4E8CAF" w14:textId="77777777" w:rsidR="0021298F" w:rsidRPr="001D0749" w:rsidRDefault="0021298F" w:rsidP="0021298F">
      <w:pPr>
        <w:pStyle w:val="ListParagraph"/>
        <w:numPr>
          <w:ilvl w:val="0"/>
          <w:numId w:val="49"/>
        </w:numPr>
        <w:rPr>
          <w:rFonts w:ascii="Arial" w:hAnsi="Arial" w:cs="Arial"/>
        </w:rPr>
      </w:pPr>
      <w:r w:rsidRPr="001D0749">
        <w:rPr>
          <w:rFonts w:ascii="Arial" w:hAnsi="Arial" w:cs="Arial"/>
        </w:rPr>
        <w:t xml:space="preserve">In addition, we used a specific materiality for the purpose of testing transactions and balances which impact on the Group’s realised return. Specific materiality of €1.4m represents approximately 10% of the profit for the year. </w:t>
      </w:r>
    </w:p>
    <w:p w14:paraId="03780166" w14:textId="77777777" w:rsidR="0021298F" w:rsidRPr="001D0749" w:rsidRDefault="0021298F" w:rsidP="0021298F">
      <w:pPr>
        <w:pStyle w:val="ListParagraph"/>
        <w:numPr>
          <w:ilvl w:val="0"/>
          <w:numId w:val="49"/>
        </w:numPr>
        <w:rPr>
          <w:rFonts w:ascii="Arial" w:hAnsi="Arial" w:cs="Arial"/>
        </w:rPr>
      </w:pPr>
      <w:r w:rsidRPr="001D0749">
        <w:rPr>
          <w:rFonts w:ascii="Arial" w:hAnsi="Arial" w:cs="Arial"/>
        </w:rPr>
        <w:t xml:space="preserve">We agreed with the Audit Committee that we would report to the Audit Committee all audit differences in excess of €0.75m, as well as differences </w:t>
      </w:r>
      <w:r w:rsidRPr="001D0749">
        <w:rPr>
          <w:rFonts w:ascii="Arial" w:hAnsi="Arial" w:cs="Arial"/>
        </w:rPr>
        <w:lastRenderedPageBreak/>
        <w:t>below that threshold that, in our view, warranted reporting on qualitative grounds.</w:t>
      </w:r>
    </w:p>
    <w:p w14:paraId="2DDA6838" w14:textId="77777777" w:rsidR="0021298F" w:rsidRPr="001D0749" w:rsidRDefault="0021298F" w:rsidP="0021298F">
      <w:pPr>
        <w:jc w:val="both"/>
        <w:rPr>
          <w:rFonts w:ascii="Arial" w:hAnsi="Arial" w:cs="Arial"/>
        </w:rPr>
      </w:pPr>
    </w:p>
    <w:p w14:paraId="2EDCEEBB" w14:textId="77777777" w:rsidR="0021298F" w:rsidRPr="001D0749" w:rsidRDefault="0021298F" w:rsidP="0021298F">
      <w:pPr>
        <w:jc w:val="both"/>
        <w:rPr>
          <w:rFonts w:ascii="Arial" w:hAnsi="Arial" w:cs="Arial"/>
          <w:i/>
        </w:rPr>
      </w:pPr>
      <w:r w:rsidRPr="001D0749">
        <w:rPr>
          <w:rFonts w:ascii="Arial" w:eastAsiaTheme="majorEastAsia" w:hAnsi="Arial" w:cs="Arial"/>
          <w:b/>
          <w:bCs/>
          <w:i/>
        </w:rPr>
        <w:t>Conclusions relating to going concern</w:t>
      </w:r>
    </w:p>
    <w:p w14:paraId="6CBF5339" w14:textId="77777777" w:rsidR="0021298F" w:rsidRDefault="0021298F" w:rsidP="0021298F">
      <w:pPr>
        <w:jc w:val="both"/>
        <w:rPr>
          <w:rFonts w:ascii="Arial" w:hAnsi="Arial" w:cs="Arial"/>
        </w:rPr>
      </w:pPr>
      <w:r w:rsidRPr="005871EA">
        <w:rPr>
          <w:rFonts w:ascii="Arial" w:hAnsi="Arial" w:cs="Arial"/>
        </w:rPr>
        <w:t>In auditing the financial statements, we have concluded that the directors’ use of the going concern basis of accounting in the preparation of the financial statements is appropriate.</w:t>
      </w:r>
    </w:p>
    <w:p w14:paraId="02E8A301" w14:textId="77777777" w:rsidR="0021298F" w:rsidRPr="005871EA" w:rsidRDefault="0021298F" w:rsidP="0021298F">
      <w:pPr>
        <w:jc w:val="both"/>
        <w:rPr>
          <w:rFonts w:ascii="Arial" w:hAnsi="Arial" w:cs="Arial"/>
        </w:rPr>
      </w:pPr>
    </w:p>
    <w:p w14:paraId="31C2030E" w14:textId="77777777" w:rsidR="0021298F" w:rsidRDefault="0021298F" w:rsidP="0021298F">
      <w:pPr>
        <w:jc w:val="both"/>
        <w:rPr>
          <w:rFonts w:ascii="Arial" w:hAnsi="Arial" w:cs="Arial"/>
        </w:rPr>
      </w:pPr>
      <w:r w:rsidRPr="005871EA">
        <w:rPr>
          <w:rFonts w:ascii="Arial" w:hAnsi="Arial" w:cs="Arial"/>
        </w:rPr>
        <w:t>Based on the work we have performed, we have not identified any material uncertainties relating to events or conditions that, individually or collectively, may cast significant doubt on the Group’s ability to continue as a going concern for a period of at least twelve months from the date when the financial statements are authorised for issue.</w:t>
      </w:r>
    </w:p>
    <w:p w14:paraId="7AFBF193" w14:textId="77777777" w:rsidR="0021298F" w:rsidRPr="005871EA" w:rsidRDefault="0021298F" w:rsidP="0021298F">
      <w:pPr>
        <w:jc w:val="both"/>
        <w:rPr>
          <w:rFonts w:ascii="Arial" w:hAnsi="Arial" w:cs="Arial"/>
        </w:rPr>
      </w:pPr>
    </w:p>
    <w:p w14:paraId="2E6F7BCE" w14:textId="77777777" w:rsidR="0021298F" w:rsidRDefault="0021298F" w:rsidP="0021298F">
      <w:pPr>
        <w:jc w:val="both"/>
        <w:rPr>
          <w:rFonts w:ascii="Arial" w:hAnsi="Arial" w:cs="Arial"/>
        </w:rPr>
      </w:pPr>
      <w:r w:rsidRPr="005871EA">
        <w:rPr>
          <w:rFonts w:ascii="Arial" w:hAnsi="Arial" w:cs="Arial"/>
        </w:rPr>
        <w:t>Our responsibilities and the responsibilities of the directors with respect to going concern are described in the relevant sections of this report.</w:t>
      </w:r>
    </w:p>
    <w:p w14:paraId="05ED5ACB" w14:textId="77777777" w:rsidR="0021298F" w:rsidRDefault="0021298F" w:rsidP="0021298F">
      <w:pPr>
        <w:jc w:val="both"/>
        <w:rPr>
          <w:rFonts w:ascii="Arial" w:hAnsi="Arial" w:cs="Arial"/>
        </w:rPr>
      </w:pPr>
    </w:p>
    <w:p w14:paraId="7DC0BFC3" w14:textId="77777777" w:rsidR="0021298F" w:rsidRDefault="0021298F" w:rsidP="0021298F">
      <w:pPr>
        <w:jc w:val="both"/>
        <w:rPr>
          <w:rFonts w:ascii="Arial" w:hAnsi="Arial" w:cs="Arial"/>
        </w:rPr>
      </w:pPr>
      <w:r w:rsidRPr="005871EA">
        <w:rPr>
          <w:rFonts w:ascii="Arial" w:hAnsi="Arial" w:cs="Arial"/>
        </w:rPr>
        <w:t>We have nothing to report in respect of the following information in the annual report, in relation to which the ISAs (Ireland) require us to report to you whether we have anything material to add or draw attention to:</w:t>
      </w:r>
    </w:p>
    <w:p w14:paraId="66898783" w14:textId="77777777" w:rsidR="0021298F" w:rsidRDefault="0021298F" w:rsidP="0021298F">
      <w:pPr>
        <w:jc w:val="both"/>
        <w:rPr>
          <w:rFonts w:ascii="Arial" w:hAnsi="Arial" w:cs="Arial"/>
        </w:rPr>
      </w:pPr>
    </w:p>
    <w:p w14:paraId="4520872E" w14:textId="77777777" w:rsidR="0021298F" w:rsidRPr="001D0749" w:rsidRDefault="0021298F" w:rsidP="0021298F">
      <w:pPr>
        <w:pStyle w:val="ListParagraph"/>
        <w:numPr>
          <w:ilvl w:val="0"/>
          <w:numId w:val="50"/>
        </w:numPr>
        <w:jc w:val="both"/>
        <w:rPr>
          <w:rFonts w:ascii="Arial" w:hAnsi="Arial" w:cs="Arial"/>
        </w:rPr>
      </w:pPr>
      <w:r w:rsidRPr="001D0749">
        <w:rPr>
          <w:rFonts w:ascii="Arial" w:hAnsi="Arial" w:cs="Arial"/>
        </w:rPr>
        <w:t>the disclosures in the annual report that describe the principal risks and explain how they are being managed or mitigated;</w:t>
      </w:r>
    </w:p>
    <w:p w14:paraId="0BEEBA58" w14:textId="77777777" w:rsidR="0021298F" w:rsidRPr="001D0749" w:rsidRDefault="0021298F" w:rsidP="0021298F">
      <w:pPr>
        <w:pStyle w:val="ListParagraph"/>
        <w:numPr>
          <w:ilvl w:val="0"/>
          <w:numId w:val="50"/>
        </w:numPr>
        <w:jc w:val="both"/>
        <w:rPr>
          <w:rFonts w:ascii="Arial" w:hAnsi="Arial" w:cs="Arial"/>
        </w:rPr>
      </w:pPr>
      <w:r w:rsidRPr="001D0749">
        <w:rPr>
          <w:rFonts w:ascii="Arial" w:hAnsi="Arial" w:cs="Arial"/>
        </w:rPr>
        <w:t>the directors’ confirmation in the annual report that they have carried out a robust assessment of the principal risks facing the Group and the Company, including those that would threaten its business model, future performance, solvency or liquidity;</w:t>
      </w:r>
    </w:p>
    <w:p w14:paraId="606F7225" w14:textId="77777777" w:rsidR="0021298F" w:rsidRDefault="0021298F" w:rsidP="0021298F">
      <w:pPr>
        <w:pStyle w:val="ListParagraph"/>
        <w:numPr>
          <w:ilvl w:val="0"/>
          <w:numId w:val="50"/>
        </w:numPr>
        <w:jc w:val="both"/>
        <w:rPr>
          <w:rFonts w:ascii="Arial" w:hAnsi="Arial" w:cs="Arial"/>
        </w:rPr>
      </w:pPr>
      <w:r w:rsidRPr="001D0749">
        <w:rPr>
          <w:rFonts w:ascii="Arial" w:hAnsi="Arial" w:cs="Arial"/>
        </w:rPr>
        <w:t xml:space="preserve">the directors’ statement in the financial statements about whether the directors considered it appropriate to adopt the going concern basis of accounting in preparing the financial statements and the directors’ identification of any material uncertainties </w:t>
      </w:r>
    </w:p>
    <w:p w14:paraId="2E7AEDC7" w14:textId="77777777" w:rsidR="0021298F" w:rsidRDefault="0021298F" w:rsidP="0021298F">
      <w:pPr>
        <w:pStyle w:val="ListParagraph"/>
        <w:numPr>
          <w:ilvl w:val="0"/>
          <w:numId w:val="50"/>
        </w:numPr>
        <w:jc w:val="both"/>
        <w:rPr>
          <w:rFonts w:ascii="Arial" w:hAnsi="Arial" w:cs="Arial"/>
        </w:rPr>
      </w:pPr>
      <w:r w:rsidRPr="001D0749">
        <w:rPr>
          <w:rFonts w:ascii="Arial" w:hAnsi="Arial" w:cs="Arial"/>
        </w:rPr>
        <w:t>to the Group’s and the Company’s ability to continue to do so over a period of at least twelve months from the date of approval of the financial statements;</w:t>
      </w:r>
    </w:p>
    <w:p w14:paraId="3D00BA31" w14:textId="77777777" w:rsidR="0021298F" w:rsidRDefault="0021298F" w:rsidP="0021298F">
      <w:pPr>
        <w:pStyle w:val="ListParagraph"/>
        <w:numPr>
          <w:ilvl w:val="0"/>
          <w:numId w:val="50"/>
        </w:numPr>
        <w:jc w:val="both"/>
        <w:rPr>
          <w:rFonts w:ascii="Arial" w:hAnsi="Arial" w:cs="Arial"/>
        </w:rPr>
      </w:pPr>
      <w:r w:rsidRPr="00E36F27">
        <w:rPr>
          <w:rFonts w:ascii="Arial" w:hAnsi="Arial" w:cs="Arial"/>
        </w:rPr>
        <w:t xml:space="preserve">the directors’ explanation in the annual report as to how they have assessed the prospects of the Group and the Company, over what </w:t>
      </w:r>
      <w:r w:rsidRPr="00851C0E">
        <w:rPr>
          <w:rFonts w:ascii="Arial" w:hAnsi="Arial" w:cs="Arial"/>
        </w:rPr>
        <w:t xml:space="preserve">period they have done so and why they consider that period to be appropriate, and their statement as to whether they have a reasonable expectation that the Group and the Company will be able to continue in operation and meet its liabilities as they fall due over the period of their assessment, including any related disclosures drawing attention to any necessary qualifications or assumptions. </w:t>
      </w:r>
    </w:p>
    <w:p w14:paraId="5FF3CDE7" w14:textId="77777777" w:rsidR="0021298F" w:rsidRPr="00660DCB" w:rsidRDefault="0021298F" w:rsidP="0021298F">
      <w:pPr>
        <w:jc w:val="both"/>
        <w:rPr>
          <w:rFonts w:ascii="Arial" w:hAnsi="Arial" w:cs="Arial"/>
          <w:b/>
        </w:rPr>
      </w:pPr>
    </w:p>
    <w:p w14:paraId="272F0A89" w14:textId="77777777" w:rsidR="0021298F" w:rsidRPr="001D0749" w:rsidRDefault="0021298F" w:rsidP="0021298F">
      <w:pPr>
        <w:jc w:val="both"/>
        <w:rPr>
          <w:rFonts w:ascii="Arial" w:eastAsiaTheme="majorEastAsia" w:hAnsi="Arial" w:cs="Arial"/>
          <w:b/>
          <w:bCs/>
          <w:i/>
        </w:rPr>
      </w:pPr>
      <w:r w:rsidRPr="001D0749">
        <w:rPr>
          <w:rFonts w:ascii="Arial" w:eastAsiaTheme="majorEastAsia" w:hAnsi="Arial" w:cs="Arial"/>
          <w:b/>
          <w:bCs/>
          <w:i/>
        </w:rPr>
        <w:t xml:space="preserve">Other information </w:t>
      </w:r>
    </w:p>
    <w:p w14:paraId="52B3E7A9" w14:textId="77777777" w:rsidR="0021298F" w:rsidRDefault="0021298F" w:rsidP="0021298F">
      <w:pPr>
        <w:jc w:val="both"/>
        <w:rPr>
          <w:rFonts w:ascii="Arial" w:hAnsi="Arial" w:cs="Arial"/>
        </w:rPr>
      </w:pPr>
      <w:r w:rsidRPr="006E5139">
        <w:rPr>
          <w:rFonts w:ascii="Arial" w:hAnsi="Arial" w:cs="Arial"/>
        </w:rPr>
        <w:t>The directors are responsible for the other information. The other information comprises the information included in the annual report other than the financial statements and our auditor’s report thereon. Our opinion on the financial statements does not cover the other information and, except to the extent otherwise explicitly stated in our report, we do not express any form of assurance conclusion thereon.</w:t>
      </w:r>
    </w:p>
    <w:p w14:paraId="5ACB1995" w14:textId="77777777" w:rsidR="0021298F" w:rsidRPr="006E5139" w:rsidRDefault="0021298F" w:rsidP="0021298F">
      <w:pPr>
        <w:jc w:val="both"/>
        <w:rPr>
          <w:rFonts w:ascii="Arial" w:hAnsi="Arial" w:cs="Arial"/>
        </w:rPr>
      </w:pPr>
    </w:p>
    <w:p w14:paraId="3CA14524" w14:textId="77777777" w:rsidR="0021298F" w:rsidRDefault="0021298F" w:rsidP="0021298F">
      <w:pPr>
        <w:jc w:val="both"/>
        <w:rPr>
          <w:rFonts w:ascii="Arial" w:hAnsi="Arial" w:cs="Arial"/>
        </w:rPr>
      </w:pPr>
      <w:r w:rsidRPr="006E5139">
        <w:rPr>
          <w:rFonts w:ascii="Arial" w:hAnsi="Arial" w:cs="Arial"/>
        </w:rPr>
        <w:t xml:space="preserve">In connection with our audit of the financial statements, our responsibility is to read the other information and, in doing so, consider whether the other information is materially </w:t>
      </w:r>
      <w:r w:rsidRPr="006E5139">
        <w:rPr>
          <w:rFonts w:ascii="Arial" w:hAnsi="Arial" w:cs="Arial"/>
        </w:rPr>
        <w:lastRenderedPageBreak/>
        <w:t>inconsistent with the financial statements or our knowledge obtained in the audit or otherwise appears to be materially misstated. If we identify such material inconsistencies or apparent material misstatements, we are required to determine whether there is a material misstatement in the financial statements or a material misstatement of the other information. If, based on the work we have performed, we conclude that there is a material misstatement of this other information, we are required to report that fact.</w:t>
      </w:r>
    </w:p>
    <w:p w14:paraId="11E65205" w14:textId="77777777" w:rsidR="0021298F" w:rsidRPr="006E5139" w:rsidRDefault="0021298F" w:rsidP="0021298F">
      <w:pPr>
        <w:jc w:val="both"/>
        <w:rPr>
          <w:rFonts w:ascii="Arial" w:hAnsi="Arial" w:cs="Arial"/>
        </w:rPr>
      </w:pPr>
    </w:p>
    <w:p w14:paraId="4BE5386C" w14:textId="77777777" w:rsidR="0021298F" w:rsidRPr="001D0749" w:rsidRDefault="0021298F" w:rsidP="0021298F">
      <w:pPr>
        <w:jc w:val="both"/>
        <w:rPr>
          <w:rFonts w:ascii="Arial" w:hAnsi="Arial" w:cs="Arial"/>
        </w:rPr>
      </w:pPr>
      <w:r w:rsidRPr="006E5139">
        <w:rPr>
          <w:rFonts w:ascii="Arial" w:hAnsi="Arial" w:cs="Arial"/>
        </w:rPr>
        <w:t>We have nothing to report in this regard.</w:t>
      </w:r>
    </w:p>
    <w:p w14:paraId="33B26053" w14:textId="77777777" w:rsidR="0021298F" w:rsidRPr="001D0749" w:rsidRDefault="0021298F" w:rsidP="0021298F">
      <w:pPr>
        <w:jc w:val="both"/>
        <w:rPr>
          <w:rFonts w:ascii="Arial" w:hAnsi="Arial" w:cs="Arial"/>
        </w:rPr>
      </w:pPr>
    </w:p>
    <w:p w14:paraId="5D2628DE" w14:textId="77777777" w:rsidR="0021298F" w:rsidRPr="001D0749" w:rsidRDefault="0021298F" w:rsidP="0021298F">
      <w:pPr>
        <w:jc w:val="both"/>
        <w:rPr>
          <w:rFonts w:ascii="Arial" w:eastAsiaTheme="majorEastAsia" w:hAnsi="Arial" w:cs="Arial"/>
          <w:b/>
          <w:bCs/>
        </w:rPr>
      </w:pPr>
      <w:r w:rsidRPr="001D0749">
        <w:rPr>
          <w:rFonts w:ascii="Arial" w:eastAsiaTheme="majorEastAsia" w:hAnsi="Arial" w:cs="Arial"/>
          <w:b/>
          <w:bCs/>
        </w:rPr>
        <w:t>Opinions on other matters prescribed by the Companies Act 2014</w:t>
      </w:r>
    </w:p>
    <w:p w14:paraId="1BFAA8E3" w14:textId="77777777" w:rsidR="0021298F" w:rsidRDefault="0021298F" w:rsidP="0021298F">
      <w:pPr>
        <w:jc w:val="both"/>
        <w:rPr>
          <w:rFonts w:ascii="Arial" w:hAnsi="Arial" w:cs="Arial"/>
        </w:rPr>
      </w:pPr>
      <w:r w:rsidRPr="006E5139">
        <w:rPr>
          <w:rFonts w:ascii="Arial" w:hAnsi="Arial" w:cs="Arial"/>
        </w:rPr>
        <w:t>Based solely on the work undertaken in the course of the audit, we report that:</w:t>
      </w:r>
    </w:p>
    <w:p w14:paraId="7A2DD6F1" w14:textId="77777777" w:rsidR="0021298F" w:rsidRPr="006E5139" w:rsidRDefault="0021298F" w:rsidP="0021298F">
      <w:pPr>
        <w:jc w:val="both"/>
        <w:rPr>
          <w:rFonts w:ascii="Arial" w:hAnsi="Arial" w:cs="Arial"/>
        </w:rPr>
      </w:pPr>
    </w:p>
    <w:p w14:paraId="4B9BCA85" w14:textId="77777777" w:rsidR="0021298F" w:rsidRPr="001D0749" w:rsidRDefault="0021298F" w:rsidP="0021298F">
      <w:pPr>
        <w:pStyle w:val="ListParagraph"/>
        <w:numPr>
          <w:ilvl w:val="0"/>
          <w:numId w:val="51"/>
        </w:numPr>
        <w:jc w:val="both"/>
        <w:rPr>
          <w:rFonts w:ascii="Arial" w:hAnsi="Arial" w:cs="Arial"/>
        </w:rPr>
      </w:pPr>
      <w:r w:rsidRPr="001D0749">
        <w:rPr>
          <w:rFonts w:ascii="Arial" w:hAnsi="Arial" w:cs="Arial"/>
        </w:rPr>
        <w:t>in our opinion, the information given in the Directors’ report is consistent with the financial statements; and</w:t>
      </w:r>
    </w:p>
    <w:p w14:paraId="32B52A9B" w14:textId="77777777" w:rsidR="0021298F" w:rsidRDefault="0021298F" w:rsidP="0021298F">
      <w:pPr>
        <w:pStyle w:val="ListParagraph"/>
        <w:numPr>
          <w:ilvl w:val="0"/>
          <w:numId w:val="51"/>
        </w:numPr>
        <w:jc w:val="both"/>
        <w:rPr>
          <w:rFonts w:ascii="Arial" w:hAnsi="Arial" w:cs="Arial"/>
        </w:rPr>
      </w:pPr>
      <w:r w:rsidRPr="001D0749">
        <w:rPr>
          <w:rFonts w:ascii="Arial" w:hAnsi="Arial" w:cs="Arial"/>
        </w:rPr>
        <w:t>in our opinion, the Directors’ report has been prepared in accordance with the Companies Act 2014.</w:t>
      </w:r>
    </w:p>
    <w:p w14:paraId="6B30516D" w14:textId="77777777" w:rsidR="0021298F" w:rsidRPr="001D0749" w:rsidRDefault="0021298F" w:rsidP="0021298F">
      <w:pPr>
        <w:pStyle w:val="ListParagraph"/>
        <w:jc w:val="both"/>
        <w:rPr>
          <w:rFonts w:ascii="Arial" w:hAnsi="Arial" w:cs="Arial"/>
        </w:rPr>
      </w:pPr>
    </w:p>
    <w:p w14:paraId="37B0A9A0" w14:textId="77777777" w:rsidR="0021298F" w:rsidRDefault="0021298F" w:rsidP="0021298F">
      <w:pPr>
        <w:jc w:val="both"/>
        <w:rPr>
          <w:rFonts w:ascii="Arial" w:hAnsi="Arial" w:cs="Arial"/>
        </w:rPr>
      </w:pPr>
      <w:r w:rsidRPr="006E5139">
        <w:rPr>
          <w:rFonts w:ascii="Arial" w:hAnsi="Arial" w:cs="Arial"/>
        </w:rPr>
        <w:t>We have obtained all the information and explanations which we consider necessary for the purposes of our audit. In our opinion, the accounting records of the Company were sufficient to permit the financial statements to be readily and properly audited and the Company Statement of Financial Position is in agreement with the accounting records.</w:t>
      </w:r>
    </w:p>
    <w:p w14:paraId="0F682FAD" w14:textId="77777777" w:rsidR="0021298F" w:rsidRPr="001D0749" w:rsidRDefault="0021298F" w:rsidP="0021298F">
      <w:pPr>
        <w:jc w:val="both"/>
        <w:rPr>
          <w:rFonts w:ascii="Arial" w:hAnsi="Arial" w:cs="Arial"/>
        </w:rPr>
      </w:pPr>
    </w:p>
    <w:p w14:paraId="2AF9BD71" w14:textId="77777777" w:rsidR="0021298F" w:rsidRPr="001D0749" w:rsidRDefault="0021298F" w:rsidP="0021298F">
      <w:pPr>
        <w:jc w:val="both"/>
        <w:rPr>
          <w:rFonts w:ascii="Arial" w:eastAsiaTheme="majorEastAsia" w:hAnsi="Arial" w:cs="Arial"/>
          <w:b/>
          <w:bCs/>
        </w:rPr>
      </w:pPr>
      <w:r w:rsidRPr="001D0749">
        <w:rPr>
          <w:rFonts w:ascii="Arial" w:eastAsiaTheme="majorEastAsia" w:hAnsi="Arial" w:cs="Arial"/>
          <w:b/>
          <w:bCs/>
        </w:rPr>
        <w:t>Matters on which we are required to report by exception</w:t>
      </w:r>
    </w:p>
    <w:p w14:paraId="49E5575D" w14:textId="77777777" w:rsidR="0021298F" w:rsidRPr="001D0749" w:rsidRDefault="0021298F" w:rsidP="0021298F">
      <w:pPr>
        <w:jc w:val="both"/>
        <w:rPr>
          <w:rFonts w:ascii="Arial" w:hAnsi="Arial" w:cs="Arial"/>
        </w:rPr>
      </w:pPr>
      <w:r w:rsidRPr="001D0749">
        <w:rPr>
          <w:rFonts w:ascii="Arial" w:hAnsi="Arial" w:cs="Arial"/>
        </w:rPr>
        <w:t>Based on the knowledge and understanding of the Group and the Company and its environment obtained in the course of the audit, we have not identified material misstatements in the Directors' report.</w:t>
      </w:r>
    </w:p>
    <w:p w14:paraId="7E557747" w14:textId="77777777" w:rsidR="0021298F" w:rsidRPr="001D0749" w:rsidRDefault="0021298F" w:rsidP="0021298F">
      <w:pPr>
        <w:jc w:val="both"/>
        <w:rPr>
          <w:rFonts w:ascii="Arial" w:hAnsi="Arial" w:cs="Arial"/>
        </w:rPr>
      </w:pPr>
      <w:r w:rsidRPr="001D0749">
        <w:rPr>
          <w:rFonts w:ascii="Arial" w:hAnsi="Arial" w:cs="Arial"/>
        </w:rPr>
        <w:t>We are also required to review:</w:t>
      </w:r>
    </w:p>
    <w:p w14:paraId="2FCDDF99" w14:textId="77777777" w:rsidR="0021298F" w:rsidRPr="001D0749" w:rsidRDefault="0021298F" w:rsidP="0021298F">
      <w:pPr>
        <w:pStyle w:val="ListParagraph"/>
        <w:numPr>
          <w:ilvl w:val="1"/>
          <w:numId w:val="52"/>
        </w:numPr>
        <w:spacing w:after="200" w:line="276" w:lineRule="auto"/>
        <w:ind w:left="426"/>
        <w:jc w:val="both"/>
        <w:rPr>
          <w:rFonts w:ascii="Arial" w:hAnsi="Arial" w:cs="Arial"/>
          <w:szCs w:val="22"/>
        </w:rPr>
      </w:pPr>
      <w:r w:rsidRPr="001D0749">
        <w:rPr>
          <w:rFonts w:ascii="Arial" w:hAnsi="Arial" w:cs="Arial"/>
          <w:szCs w:val="22"/>
        </w:rPr>
        <w:t>the Directors’ statement in relation to going concern and longer-term viability;</w:t>
      </w:r>
    </w:p>
    <w:p w14:paraId="0807AD5A" w14:textId="77777777" w:rsidR="0021298F" w:rsidRPr="001D0749" w:rsidRDefault="0021298F" w:rsidP="0021298F">
      <w:pPr>
        <w:pStyle w:val="ListParagraph"/>
        <w:numPr>
          <w:ilvl w:val="1"/>
          <w:numId w:val="52"/>
        </w:numPr>
        <w:spacing w:after="200" w:line="276" w:lineRule="auto"/>
        <w:ind w:left="426"/>
        <w:jc w:val="both"/>
        <w:rPr>
          <w:rFonts w:ascii="Arial" w:hAnsi="Arial" w:cs="Arial"/>
          <w:szCs w:val="22"/>
        </w:rPr>
      </w:pPr>
      <w:r w:rsidRPr="001D0749">
        <w:rPr>
          <w:rFonts w:ascii="Arial" w:hAnsi="Arial" w:cs="Arial"/>
          <w:szCs w:val="22"/>
        </w:rPr>
        <w:t xml:space="preserve">the part of the Corporate Governance Statement relating to the Company’s compliance with the </w:t>
      </w:r>
    </w:p>
    <w:p w14:paraId="29921516" w14:textId="77777777" w:rsidR="0021298F" w:rsidRPr="001D0749" w:rsidRDefault="0021298F" w:rsidP="0021298F">
      <w:pPr>
        <w:pStyle w:val="ListParagraph"/>
        <w:ind w:left="426"/>
        <w:jc w:val="both"/>
        <w:rPr>
          <w:rFonts w:ascii="Arial" w:hAnsi="Arial" w:cs="Arial"/>
          <w:szCs w:val="22"/>
        </w:rPr>
      </w:pPr>
      <w:r w:rsidRPr="001D0749">
        <w:rPr>
          <w:rFonts w:ascii="Arial" w:hAnsi="Arial" w:cs="Arial"/>
          <w:szCs w:val="22"/>
        </w:rPr>
        <w:t>provisions of the AIC Code specified for our review; and</w:t>
      </w:r>
    </w:p>
    <w:p w14:paraId="643FBA17" w14:textId="77777777" w:rsidR="0021298F" w:rsidRPr="001D0749" w:rsidRDefault="0021298F" w:rsidP="0021298F">
      <w:pPr>
        <w:pStyle w:val="ListParagraph"/>
        <w:numPr>
          <w:ilvl w:val="1"/>
          <w:numId w:val="52"/>
        </w:numPr>
        <w:spacing w:after="200" w:line="276" w:lineRule="auto"/>
        <w:ind w:left="426"/>
        <w:jc w:val="both"/>
        <w:rPr>
          <w:rFonts w:ascii="Arial" w:hAnsi="Arial" w:cs="Arial"/>
          <w:szCs w:val="22"/>
        </w:rPr>
      </w:pPr>
      <w:r w:rsidRPr="001D0749">
        <w:rPr>
          <w:rFonts w:ascii="Arial" w:hAnsi="Arial" w:cs="Arial"/>
          <w:szCs w:val="22"/>
        </w:rPr>
        <w:t>certain elements of disclosures in the report to shareholders by the Board of Directors’ remuneration committee.</w:t>
      </w:r>
    </w:p>
    <w:p w14:paraId="7BD30108" w14:textId="77777777" w:rsidR="0021298F" w:rsidRDefault="0021298F" w:rsidP="0021298F">
      <w:pPr>
        <w:spacing w:line="271" w:lineRule="auto"/>
        <w:ind w:left="10" w:hanging="10"/>
        <w:jc w:val="both"/>
        <w:rPr>
          <w:rFonts w:ascii="Arial" w:hAnsi="Arial" w:cs="Arial"/>
          <w:color w:val="000000"/>
          <w:lang w:eastAsia="en-GB"/>
        </w:rPr>
      </w:pPr>
      <w:r w:rsidRPr="001D0749">
        <w:rPr>
          <w:rFonts w:ascii="Arial" w:hAnsi="Arial" w:cs="Arial"/>
          <w:color w:val="000000"/>
          <w:lang w:eastAsia="en-GB"/>
        </w:rPr>
        <w:t xml:space="preserve">Also, the Companies Act 2014 requires us to report to you if, in our opinion, the disclosures of directors’ remuneration and transactions required by sections 305 to 312 of the Act are not made. </w:t>
      </w:r>
    </w:p>
    <w:p w14:paraId="68DB99B2" w14:textId="77777777" w:rsidR="0021298F" w:rsidRPr="001D0749" w:rsidRDefault="0021298F" w:rsidP="0021298F">
      <w:pPr>
        <w:spacing w:line="271" w:lineRule="auto"/>
        <w:ind w:left="10" w:hanging="10"/>
        <w:jc w:val="both"/>
        <w:rPr>
          <w:rFonts w:ascii="Arial" w:hAnsi="Arial" w:cs="Arial"/>
          <w:color w:val="000000"/>
          <w:lang w:eastAsia="en-GB"/>
        </w:rPr>
      </w:pPr>
    </w:p>
    <w:p w14:paraId="4BA4435D" w14:textId="77777777" w:rsidR="0021298F" w:rsidRPr="001D0749" w:rsidRDefault="0021298F" w:rsidP="0021298F">
      <w:pPr>
        <w:spacing w:line="271" w:lineRule="auto"/>
        <w:ind w:left="10" w:hanging="10"/>
        <w:jc w:val="both"/>
        <w:rPr>
          <w:rFonts w:ascii="Arial" w:hAnsi="Arial" w:cs="Arial"/>
        </w:rPr>
      </w:pPr>
      <w:r w:rsidRPr="001D0749">
        <w:rPr>
          <w:rFonts w:ascii="Arial" w:eastAsia="Times New Roman" w:hAnsi="Arial" w:cs="Arial"/>
          <w:color w:val="000000"/>
          <w:lang w:eastAsia="en-GB"/>
        </w:rPr>
        <w:t>We have nothing to report in this regard.</w:t>
      </w:r>
    </w:p>
    <w:p w14:paraId="77B930BB" w14:textId="77777777" w:rsidR="0021298F" w:rsidRPr="00660DCB" w:rsidRDefault="0021298F" w:rsidP="0021298F">
      <w:pPr>
        <w:pStyle w:val="NormalWeb"/>
        <w:tabs>
          <w:tab w:val="right" w:pos="5658"/>
          <w:tab w:val="right" w:pos="11020"/>
        </w:tabs>
        <w:spacing w:before="0" w:after="0"/>
        <w:jc w:val="both"/>
        <w:textAlignment w:val="baseline"/>
        <w:rPr>
          <w:rFonts w:ascii="Arial" w:hAnsi="Arial" w:cs="Arial"/>
          <w:b/>
          <w:szCs w:val="22"/>
        </w:rPr>
      </w:pPr>
    </w:p>
    <w:p w14:paraId="168F6FFF" w14:textId="77777777" w:rsidR="0021298F" w:rsidRPr="001D0749" w:rsidRDefault="0021298F" w:rsidP="0021298F">
      <w:pPr>
        <w:jc w:val="both"/>
        <w:rPr>
          <w:rFonts w:ascii="Arial" w:eastAsiaTheme="majorEastAsia" w:hAnsi="Arial" w:cs="Arial"/>
          <w:b/>
          <w:bCs/>
        </w:rPr>
      </w:pPr>
      <w:r w:rsidRPr="001D0749">
        <w:rPr>
          <w:rFonts w:ascii="Arial" w:eastAsiaTheme="majorEastAsia" w:hAnsi="Arial" w:cs="Arial"/>
          <w:b/>
          <w:bCs/>
        </w:rPr>
        <w:t>Respective responsibilities</w:t>
      </w:r>
    </w:p>
    <w:p w14:paraId="17C83912" w14:textId="77777777" w:rsidR="0021298F" w:rsidRPr="001D0749" w:rsidRDefault="0021298F" w:rsidP="0021298F">
      <w:pPr>
        <w:jc w:val="both"/>
        <w:rPr>
          <w:rFonts w:ascii="Arial" w:eastAsiaTheme="majorEastAsia" w:hAnsi="Arial" w:cs="Arial"/>
          <w:b/>
          <w:bCs/>
          <w:i/>
        </w:rPr>
      </w:pPr>
      <w:r w:rsidRPr="001D0749">
        <w:rPr>
          <w:rFonts w:ascii="Arial" w:eastAsiaTheme="majorEastAsia" w:hAnsi="Arial" w:cs="Arial"/>
          <w:b/>
          <w:bCs/>
          <w:i/>
        </w:rPr>
        <w:t>Responsibilities of directors for the financial statements</w:t>
      </w:r>
    </w:p>
    <w:p w14:paraId="77421A30" w14:textId="77777777" w:rsidR="0021298F" w:rsidRPr="001D0749" w:rsidRDefault="0021298F" w:rsidP="0021298F">
      <w:pPr>
        <w:jc w:val="both"/>
        <w:rPr>
          <w:rFonts w:ascii="Arial" w:hAnsi="Arial" w:cs="Arial"/>
        </w:rPr>
      </w:pPr>
      <w:r w:rsidRPr="001D0749">
        <w:rPr>
          <w:rFonts w:ascii="Arial" w:hAnsi="Arial" w:cs="Arial"/>
        </w:rPr>
        <w:t>As explained more fully in the directors’ responsibilities statement, the directors are responsible for the preparation of the financial statements and for being satisfied that they give a true and fair view, and for such internal control as they determine is necessary to enable the preparation of financial statements that are free from material misstatement, whether due to fraud or error.</w:t>
      </w:r>
    </w:p>
    <w:p w14:paraId="3DF39B8C" w14:textId="77777777" w:rsidR="0021298F" w:rsidRPr="001D0749" w:rsidRDefault="0021298F" w:rsidP="0021298F">
      <w:pPr>
        <w:jc w:val="both"/>
        <w:rPr>
          <w:rFonts w:ascii="Arial" w:hAnsi="Arial" w:cs="Arial"/>
        </w:rPr>
      </w:pPr>
      <w:r w:rsidRPr="001D0749">
        <w:rPr>
          <w:rFonts w:ascii="Arial" w:hAnsi="Arial" w:cs="Arial"/>
        </w:rPr>
        <w:lastRenderedPageBreak/>
        <w:t>In preparing the financial statements, the directors are responsible for assessing the Group and Company’s ability to continue as going concerns, disclosing, as applicable, matters related to going concern and using the going concern basis of accounting unless management either intends to liquidate the Group or the Company or to cease operations, or has no realistic alternative but to do so.</w:t>
      </w:r>
    </w:p>
    <w:p w14:paraId="45A32A4B" w14:textId="77777777" w:rsidR="0021298F" w:rsidRPr="001D0749" w:rsidRDefault="0021298F" w:rsidP="0021298F">
      <w:pPr>
        <w:jc w:val="both"/>
        <w:rPr>
          <w:rFonts w:ascii="Arial" w:hAnsi="Arial" w:cs="Arial"/>
        </w:rPr>
      </w:pPr>
    </w:p>
    <w:p w14:paraId="1F9A5052" w14:textId="77777777" w:rsidR="0021298F" w:rsidRPr="001D0749" w:rsidRDefault="0021298F" w:rsidP="0021298F">
      <w:pPr>
        <w:jc w:val="both"/>
        <w:rPr>
          <w:rFonts w:ascii="Arial" w:eastAsiaTheme="majorEastAsia" w:hAnsi="Arial" w:cs="Arial"/>
          <w:b/>
          <w:bCs/>
          <w:i/>
        </w:rPr>
      </w:pPr>
      <w:r w:rsidRPr="001D0749">
        <w:rPr>
          <w:rFonts w:ascii="Arial" w:eastAsiaTheme="majorEastAsia" w:hAnsi="Arial" w:cs="Arial"/>
          <w:b/>
          <w:bCs/>
          <w:i/>
        </w:rPr>
        <w:t>Auditor’s responsibilities for the audit of the financial statements</w:t>
      </w:r>
    </w:p>
    <w:p w14:paraId="7E0821CB" w14:textId="77777777" w:rsidR="0021298F" w:rsidRPr="001D0749" w:rsidRDefault="0021298F" w:rsidP="0021298F">
      <w:pPr>
        <w:jc w:val="both"/>
        <w:rPr>
          <w:rFonts w:ascii="Arial" w:hAnsi="Arial" w:cs="Arial"/>
        </w:rPr>
      </w:pPr>
      <w:r w:rsidRPr="001D0749">
        <w:rPr>
          <w:rFonts w:ascii="Arial" w:hAnsi="Arial" w:cs="Arial"/>
        </w:rPr>
        <w:t>Our objectives are to obtain reasonable assurance about whether the financial statements as a whole are free from material misstatement, whether due to fraud or error, and to issue an auditor's report that includes our opinion. Reasonable assurance is a high level of assurance but is not a guarantee that an audit conducted in accordance with ISAs (Ireland) will always detect a material misstatement when it exists. Misstatements can arise from fraud or error and are considered material if, individually or in aggregate, they could reasonably be expected to influence the economic decisions of users taken on the basis of these financial statements.</w:t>
      </w:r>
    </w:p>
    <w:p w14:paraId="190557F1" w14:textId="77777777" w:rsidR="0021298F" w:rsidRDefault="0021298F" w:rsidP="0021298F">
      <w:pPr>
        <w:jc w:val="both"/>
        <w:rPr>
          <w:rStyle w:val="Hyperlink"/>
          <w:rFonts w:ascii="Arial" w:hAnsi="Arial" w:cs="Arial"/>
        </w:rPr>
      </w:pPr>
      <w:r w:rsidRPr="001D0749">
        <w:rPr>
          <w:rFonts w:ascii="Arial" w:hAnsi="Arial" w:cs="Arial"/>
        </w:rPr>
        <w:t xml:space="preserve">A further description of our responsibilities for the audit of the financial statements is located on the IAASA's website at: </w:t>
      </w:r>
      <w:hyperlink r:id="rId22" w:history="1">
        <w:r w:rsidRPr="001D0749">
          <w:rPr>
            <w:rStyle w:val="Hyperlink"/>
            <w:rFonts w:ascii="Arial" w:hAnsi="Arial" w:cs="Arial"/>
          </w:rPr>
          <w:t>http://www.iaasa.ie/getmedia/b2389013-1cf6-458b-9b8f-a98202dc9c3a/Desc ription_of_auditors_responsiblities_for_audit.pdf</w:t>
        </w:r>
      </w:hyperlink>
    </w:p>
    <w:p w14:paraId="7D0B814E" w14:textId="77777777" w:rsidR="0021298F" w:rsidRPr="00650BDF" w:rsidRDefault="0021298F" w:rsidP="0021298F">
      <w:pPr>
        <w:rPr>
          <w:rFonts w:ascii="Arial" w:eastAsiaTheme="majorEastAsia" w:hAnsi="Arial" w:cs="Arial"/>
          <w:b/>
          <w:bCs/>
        </w:rPr>
      </w:pPr>
    </w:p>
    <w:p w14:paraId="3D6C757D" w14:textId="77777777" w:rsidR="0021298F" w:rsidRDefault="0021298F" w:rsidP="0021298F">
      <w:pPr>
        <w:jc w:val="both"/>
        <w:rPr>
          <w:rFonts w:ascii="Arial" w:hAnsi="Arial" w:cs="Arial"/>
        </w:rPr>
      </w:pPr>
      <w:r w:rsidRPr="001D0749">
        <w:rPr>
          <w:rFonts w:ascii="Arial" w:hAnsi="Arial" w:cs="Arial"/>
        </w:rPr>
        <w:t>This description forms part of our Auditor's report.</w:t>
      </w:r>
    </w:p>
    <w:p w14:paraId="04E40279" w14:textId="77777777" w:rsidR="0021298F" w:rsidRDefault="0021298F" w:rsidP="0021298F">
      <w:pPr>
        <w:jc w:val="both"/>
        <w:rPr>
          <w:rFonts w:ascii="Arial" w:hAnsi="Arial" w:cs="Arial"/>
        </w:rPr>
      </w:pPr>
    </w:p>
    <w:p w14:paraId="3A3F8911" w14:textId="77777777" w:rsidR="0021298F" w:rsidRPr="00650BDF" w:rsidRDefault="0021298F" w:rsidP="0021298F">
      <w:pPr>
        <w:jc w:val="both"/>
        <w:rPr>
          <w:rFonts w:ascii="Arial" w:eastAsiaTheme="majorEastAsia" w:hAnsi="Arial" w:cs="Arial"/>
          <w:b/>
          <w:bCs/>
          <w:i/>
        </w:rPr>
      </w:pPr>
      <w:r w:rsidRPr="00650BDF">
        <w:rPr>
          <w:rFonts w:ascii="Arial" w:eastAsiaTheme="majorEastAsia" w:hAnsi="Arial" w:cs="Arial"/>
          <w:b/>
          <w:bCs/>
          <w:i/>
        </w:rPr>
        <w:t>The purpose of our audit work and to whom we owe our responsibilities</w:t>
      </w:r>
    </w:p>
    <w:p w14:paraId="327A11FD" w14:textId="77777777" w:rsidR="0021298F" w:rsidRDefault="0021298F" w:rsidP="0021298F">
      <w:pPr>
        <w:jc w:val="both"/>
        <w:rPr>
          <w:rFonts w:ascii="Arial" w:hAnsi="Arial" w:cs="Arial"/>
        </w:rPr>
      </w:pPr>
      <w:r w:rsidRPr="00650BDF">
        <w:rPr>
          <w:rFonts w:ascii="Arial" w:hAnsi="Arial" w:cs="Arial"/>
        </w:rPr>
        <w:t>Our report is made solely to the Company’s members, as a body, in accordance with section 391 of the Companies Act 2014. Our audit work has been undertaken so that we might state to the Company’s members those matters we are required to state to them in an auditor’s report and for no other purpose. To the fullest extent permitted by law, we do not accept or assume responsibility to anyone other than the Company and the Company’s members, as a body, for our audit work, for this report, or for the opinions we have formed.</w:t>
      </w:r>
    </w:p>
    <w:p w14:paraId="1010F553" w14:textId="77777777" w:rsidR="0021298F" w:rsidRPr="001D0749" w:rsidRDefault="0021298F" w:rsidP="0021298F">
      <w:pPr>
        <w:jc w:val="both"/>
        <w:rPr>
          <w:rFonts w:ascii="Arial" w:hAnsi="Arial" w:cs="Arial"/>
        </w:rPr>
      </w:pPr>
    </w:p>
    <w:p w14:paraId="75A01F88" w14:textId="77777777" w:rsidR="0021298F" w:rsidRDefault="0021298F" w:rsidP="0021298F">
      <w:pPr>
        <w:rPr>
          <w:rFonts w:ascii="Arial" w:eastAsia="Times New Roman" w:hAnsi="Arial" w:cs="Arial"/>
          <w:b/>
        </w:rPr>
      </w:pPr>
      <w:r w:rsidRPr="001D0749">
        <w:rPr>
          <w:rFonts w:ascii="Arial" w:eastAsia="Times New Roman" w:hAnsi="Arial" w:cs="Arial"/>
          <w:b/>
        </w:rPr>
        <w:t>Brian Hughes</w:t>
      </w:r>
      <w:r w:rsidRPr="001D0749">
        <w:rPr>
          <w:rFonts w:ascii="Arial" w:eastAsia="Times New Roman" w:hAnsi="Arial" w:cs="Arial"/>
          <w:b/>
        </w:rPr>
        <w:tab/>
      </w:r>
      <w:r w:rsidRPr="001D0749">
        <w:rPr>
          <w:rFonts w:ascii="Arial" w:eastAsia="Times New Roman" w:hAnsi="Arial" w:cs="Arial"/>
          <w:b/>
        </w:rPr>
        <w:tab/>
      </w:r>
      <w:r w:rsidRPr="001D0749">
        <w:rPr>
          <w:rFonts w:ascii="Arial" w:eastAsia="Times New Roman" w:hAnsi="Arial" w:cs="Arial"/>
          <w:b/>
        </w:rPr>
        <w:tab/>
      </w:r>
      <w:r w:rsidRPr="001D0749">
        <w:rPr>
          <w:rFonts w:ascii="Arial" w:eastAsia="Times New Roman" w:hAnsi="Arial" w:cs="Arial"/>
          <w:b/>
        </w:rPr>
        <w:tab/>
      </w:r>
      <w:r w:rsidRPr="001D0749">
        <w:rPr>
          <w:rFonts w:ascii="Arial" w:eastAsia="Times New Roman" w:hAnsi="Arial" w:cs="Arial"/>
          <w:b/>
        </w:rPr>
        <w:tab/>
      </w:r>
      <w:r w:rsidRPr="001D0749">
        <w:rPr>
          <w:rFonts w:ascii="Arial" w:eastAsia="Times New Roman" w:hAnsi="Arial" w:cs="Arial"/>
          <w:b/>
        </w:rPr>
        <w:tab/>
      </w:r>
      <w:r w:rsidRPr="001D0749">
        <w:rPr>
          <w:rFonts w:ascii="Arial" w:eastAsia="Times New Roman" w:hAnsi="Arial" w:cs="Arial"/>
          <w:b/>
        </w:rPr>
        <w:tab/>
      </w:r>
      <w:r w:rsidRPr="001D0749">
        <w:rPr>
          <w:rFonts w:ascii="Arial" w:eastAsia="Times New Roman" w:hAnsi="Arial" w:cs="Arial"/>
          <w:b/>
        </w:rPr>
        <w:tab/>
      </w:r>
      <w:r w:rsidRPr="001D0749">
        <w:rPr>
          <w:rFonts w:ascii="Arial" w:eastAsia="Times New Roman" w:hAnsi="Arial" w:cs="Arial"/>
          <w:b/>
        </w:rPr>
        <w:tab/>
      </w:r>
      <w:r w:rsidRPr="001D0749">
        <w:rPr>
          <w:rFonts w:ascii="Arial" w:eastAsia="Times New Roman" w:hAnsi="Arial" w:cs="Arial"/>
          <w:b/>
        </w:rPr>
        <w:tab/>
      </w:r>
      <w:r w:rsidRPr="001D0749">
        <w:rPr>
          <w:rFonts w:ascii="Arial" w:eastAsia="Times New Roman" w:hAnsi="Arial" w:cs="Arial"/>
          <w:b/>
        </w:rPr>
        <w:tab/>
      </w:r>
    </w:p>
    <w:p w14:paraId="1AE68EF5" w14:textId="77777777" w:rsidR="0021298F" w:rsidRDefault="0021298F" w:rsidP="0021298F">
      <w:pPr>
        <w:rPr>
          <w:rFonts w:ascii="Arial" w:eastAsia="Times New Roman" w:hAnsi="Arial" w:cs="Arial"/>
        </w:rPr>
      </w:pPr>
      <w:r w:rsidRPr="001D0749">
        <w:rPr>
          <w:rFonts w:ascii="Arial" w:eastAsia="Times New Roman" w:hAnsi="Arial" w:cs="Arial"/>
          <w:b/>
        </w:rPr>
        <w:t xml:space="preserve">For and on behalf of </w:t>
      </w:r>
      <w:r>
        <w:rPr>
          <w:rFonts w:ascii="Arial" w:eastAsia="Times New Roman" w:hAnsi="Arial" w:cs="Arial"/>
          <w:b/>
        </w:rPr>
        <w:t>B</w:t>
      </w:r>
      <w:r w:rsidRPr="001D0749">
        <w:rPr>
          <w:rFonts w:ascii="Arial" w:eastAsia="Times New Roman" w:hAnsi="Arial" w:cs="Arial"/>
          <w:b/>
        </w:rPr>
        <w:t>DO</w:t>
      </w:r>
      <w:r w:rsidRPr="001D0749">
        <w:rPr>
          <w:rFonts w:ascii="Arial" w:eastAsia="Times New Roman" w:hAnsi="Arial" w:cs="Arial"/>
        </w:rPr>
        <w:tab/>
      </w:r>
      <w:r w:rsidRPr="001D0749">
        <w:rPr>
          <w:rFonts w:ascii="Arial" w:eastAsia="Times New Roman" w:hAnsi="Arial" w:cs="Arial"/>
        </w:rPr>
        <w:tab/>
      </w:r>
      <w:r w:rsidRPr="001D0749">
        <w:rPr>
          <w:rFonts w:ascii="Arial" w:eastAsia="Times New Roman" w:hAnsi="Arial" w:cs="Arial"/>
        </w:rPr>
        <w:tab/>
      </w:r>
      <w:r w:rsidRPr="001D0749">
        <w:rPr>
          <w:rFonts w:ascii="Arial" w:eastAsia="Times New Roman" w:hAnsi="Arial" w:cs="Arial"/>
        </w:rPr>
        <w:tab/>
      </w:r>
      <w:r w:rsidRPr="001D0749">
        <w:rPr>
          <w:rFonts w:ascii="Arial" w:eastAsia="Times New Roman" w:hAnsi="Arial" w:cs="Arial"/>
        </w:rPr>
        <w:tab/>
      </w:r>
      <w:r w:rsidRPr="001D0749">
        <w:rPr>
          <w:rFonts w:ascii="Arial" w:eastAsia="Times New Roman" w:hAnsi="Arial" w:cs="Arial"/>
        </w:rPr>
        <w:tab/>
      </w:r>
      <w:r w:rsidRPr="001D0749">
        <w:rPr>
          <w:rFonts w:ascii="Arial" w:eastAsia="Times New Roman" w:hAnsi="Arial" w:cs="Arial"/>
        </w:rPr>
        <w:tab/>
      </w:r>
      <w:r w:rsidRPr="001D0749">
        <w:rPr>
          <w:rFonts w:ascii="Arial" w:eastAsia="Times New Roman" w:hAnsi="Arial" w:cs="Arial"/>
        </w:rPr>
        <w:tab/>
      </w:r>
    </w:p>
    <w:p w14:paraId="1A070BDF" w14:textId="77777777" w:rsidR="0021298F" w:rsidRDefault="0021298F" w:rsidP="0021298F">
      <w:pPr>
        <w:rPr>
          <w:rFonts w:ascii="Arial" w:eastAsia="Times New Roman" w:hAnsi="Arial" w:cs="Arial"/>
        </w:rPr>
      </w:pPr>
      <w:r w:rsidRPr="001D0749">
        <w:rPr>
          <w:rFonts w:ascii="Arial" w:eastAsia="Times New Roman" w:hAnsi="Arial" w:cs="Arial"/>
        </w:rPr>
        <w:t>Dublin</w:t>
      </w:r>
      <w:r w:rsidRPr="001D0749">
        <w:rPr>
          <w:rFonts w:ascii="Arial" w:eastAsia="Times New Roman" w:hAnsi="Arial" w:cs="Arial"/>
        </w:rPr>
        <w:tab/>
      </w:r>
      <w:r w:rsidRPr="001D0749">
        <w:rPr>
          <w:rFonts w:ascii="Arial" w:eastAsia="Times New Roman" w:hAnsi="Arial" w:cs="Arial"/>
        </w:rPr>
        <w:tab/>
      </w:r>
      <w:r w:rsidRPr="001D0749">
        <w:rPr>
          <w:rFonts w:ascii="Arial" w:eastAsia="Times New Roman" w:hAnsi="Arial" w:cs="Arial"/>
        </w:rPr>
        <w:tab/>
      </w:r>
      <w:r w:rsidRPr="001D0749">
        <w:rPr>
          <w:rFonts w:ascii="Arial" w:eastAsia="Times New Roman" w:hAnsi="Arial" w:cs="Arial"/>
        </w:rPr>
        <w:tab/>
      </w:r>
      <w:r w:rsidRPr="001D0749">
        <w:rPr>
          <w:rFonts w:ascii="Arial" w:eastAsia="Times New Roman" w:hAnsi="Arial" w:cs="Arial"/>
        </w:rPr>
        <w:tab/>
      </w:r>
      <w:r w:rsidRPr="001D0749">
        <w:rPr>
          <w:rFonts w:ascii="Arial" w:eastAsia="Times New Roman" w:hAnsi="Arial" w:cs="Arial"/>
        </w:rPr>
        <w:tab/>
      </w:r>
      <w:r w:rsidRPr="001D0749">
        <w:rPr>
          <w:rFonts w:ascii="Arial" w:eastAsia="Times New Roman" w:hAnsi="Arial" w:cs="Arial"/>
        </w:rPr>
        <w:tab/>
      </w:r>
      <w:r w:rsidRPr="001D0749">
        <w:rPr>
          <w:rFonts w:ascii="Arial" w:eastAsia="Times New Roman" w:hAnsi="Arial" w:cs="Arial"/>
        </w:rPr>
        <w:tab/>
      </w:r>
      <w:r w:rsidRPr="001D0749">
        <w:rPr>
          <w:rFonts w:ascii="Arial" w:eastAsia="Times New Roman" w:hAnsi="Arial" w:cs="Arial"/>
        </w:rPr>
        <w:tab/>
      </w:r>
      <w:r w:rsidRPr="001D0749">
        <w:rPr>
          <w:rFonts w:ascii="Arial" w:eastAsia="Times New Roman" w:hAnsi="Arial" w:cs="Arial"/>
        </w:rPr>
        <w:tab/>
      </w:r>
    </w:p>
    <w:p w14:paraId="1B5F2CB3" w14:textId="77777777" w:rsidR="0021298F" w:rsidRDefault="0021298F" w:rsidP="0021298F">
      <w:pPr>
        <w:rPr>
          <w:rFonts w:ascii="Arial" w:eastAsia="Times New Roman" w:hAnsi="Arial" w:cs="Arial"/>
        </w:rPr>
      </w:pPr>
      <w:r w:rsidRPr="001D0749">
        <w:rPr>
          <w:rFonts w:ascii="Arial" w:eastAsia="Times New Roman" w:hAnsi="Arial" w:cs="Arial"/>
        </w:rPr>
        <w:t>Statutory Audit Firm</w:t>
      </w:r>
      <w:r w:rsidRPr="001D0749">
        <w:rPr>
          <w:rFonts w:ascii="Arial" w:eastAsia="Times New Roman" w:hAnsi="Arial" w:cs="Arial"/>
        </w:rPr>
        <w:tab/>
      </w:r>
      <w:r w:rsidRPr="001D0749">
        <w:rPr>
          <w:rFonts w:ascii="Arial" w:eastAsia="Times New Roman" w:hAnsi="Arial" w:cs="Arial"/>
        </w:rPr>
        <w:tab/>
      </w:r>
      <w:r w:rsidRPr="001D0749">
        <w:rPr>
          <w:rFonts w:ascii="Arial" w:eastAsia="Times New Roman" w:hAnsi="Arial" w:cs="Arial"/>
        </w:rPr>
        <w:tab/>
      </w:r>
      <w:r w:rsidRPr="001D0749">
        <w:rPr>
          <w:rFonts w:ascii="Arial" w:eastAsia="Times New Roman" w:hAnsi="Arial" w:cs="Arial"/>
        </w:rPr>
        <w:tab/>
      </w:r>
      <w:r w:rsidRPr="001D0749">
        <w:rPr>
          <w:rFonts w:ascii="Arial" w:eastAsia="Times New Roman" w:hAnsi="Arial" w:cs="Arial"/>
        </w:rPr>
        <w:tab/>
      </w:r>
      <w:r w:rsidRPr="001D0749">
        <w:rPr>
          <w:rFonts w:ascii="Arial" w:eastAsia="Times New Roman" w:hAnsi="Arial" w:cs="Arial"/>
        </w:rPr>
        <w:tab/>
      </w:r>
      <w:r w:rsidRPr="001D0749">
        <w:rPr>
          <w:rFonts w:ascii="Arial" w:eastAsia="Times New Roman" w:hAnsi="Arial" w:cs="Arial"/>
        </w:rPr>
        <w:tab/>
      </w:r>
      <w:r w:rsidRPr="001D0749">
        <w:rPr>
          <w:rFonts w:ascii="Arial" w:eastAsia="Times New Roman" w:hAnsi="Arial" w:cs="Arial"/>
        </w:rPr>
        <w:tab/>
      </w:r>
      <w:r w:rsidRPr="001D0749">
        <w:rPr>
          <w:rFonts w:ascii="Arial" w:eastAsia="Times New Roman" w:hAnsi="Arial" w:cs="Arial"/>
        </w:rPr>
        <w:tab/>
      </w:r>
    </w:p>
    <w:p w14:paraId="2D429BD5" w14:textId="77777777" w:rsidR="0021298F" w:rsidRPr="001D0749" w:rsidRDefault="0021298F" w:rsidP="0021298F">
      <w:pPr>
        <w:rPr>
          <w:rFonts w:ascii="Arial" w:hAnsi="Arial" w:cs="Arial"/>
        </w:rPr>
      </w:pPr>
      <w:r w:rsidRPr="001D0749">
        <w:rPr>
          <w:rFonts w:ascii="Arial" w:eastAsia="Times New Roman" w:hAnsi="Arial" w:cs="Arial"/>
        </w:rPr>
        <w:t>AI223876</w:t>
      </w:r>
    </w:p>
    <w:p w14:paraId="6F60F4D2" w14:textId="77777777" w:rsidR="0021298F" w:rsidRDefault="0021298F" w:rsidP="0021298F">
      <w:pPr>
        <w:jc w:val="both"/>
        <w:rPr>
          <w:rFonts w:ascii="Arial" w:hAnsi="Arial" w:cs="Arial"/>
        </w:rPr>
      </w:pPr>
    </w:p>
    <w:p w14:paraId="759D1033" w14:textId="77777777" w:rsidR="0021298F" w:rsidRDefault="0021298F" w:rsidP="0021298F">
      <w:pPr>
        <w:jc w:val="both"/>
        <w:rPr>
          <w:rFonts w:ascii="Arial" w:hAnsi="Arial" w:cs="Arial"/>
        </w:rPr>
      </w:pPr>
      <w:r>
        <w:rPr>
          <w:rFonts w:ascii="Arial" w:hAnsi="Arial" w:cs="Arial"/>
        </w:rPr>
        <w:t>28 February 2021</w:t>
      </w:r>
    </w:p>
    <w:p w14:paraId="258374BB" w14:textId="77777777" w:rsidR="0021298F" w:rsidRPr="001D0749" w:rsidRDefault="0021298F" w:rsidP="0021298F">
      <w:pPr>
        <w:jc w:val="both"/>
        <w:rPr>
          <w:rFonts w:ascii="Arial" w:hAnsi="Arial" w:cs="Arial"/>
        </w:rPr>
      </w:pPr>
    </w:p>
    <w:p w14:paraId="3F21FBAE" w14:textId="77777777" w:rsidR="0021298F" w:rsidRPr="00892738" w:rsidRDefault="0021298F" w:rsidP="0021298F">
      <w:pPr>
        <w:pStyle w:val="Heading1"/>
        <w:jc w:val="both"/>
        <w:rPr>
          <w:rFonts w:cs="Arial"/>
          <w:caps/>
        </w:rPr>
      </w:pPr>
      <w:r w:rsidRPr="00892738">
        <w:rPr>
          <w:rFonts w:cs="Arial"/>
        </w:rPr>
        <w:t xml:space="preserve">Consolidated Statement of Comprehensive Income </w:t>
      </w:r>
    </w:p>
    <w:p w14:paraId="15C12292" w14:textId="77777777" w:rsidR="0021298F" w:rsidRDefault="0021298F" w:rsidP="0021298F">
      <w:pPr>
        <w:pStyle w:val="Bullets"/>
        <w:numPr>
          <w:ilvl w:val="0"/>
          <w:numId w:val="0"/>
        </w:numPr>
        <w:jc w:val="both"/>
        <w:rPr>
          <w:rFonts w:cs="Arial"/>
          <w:b/>
        </w:rPr>
      </w:pPr>
      <w:r w:rsidRPr="001226F4">
        <w:rPr>
          <w:rFonts w:cs="Arial"/>
          <w:b/>
        </w:rPr>
        <w:t xml:space="preserve">For the </w:t>
      </w:r>
      <w:r>
        <w:rPr>
          <w:rFonts w:cs="Arial"/>
          <w:b/>
        </w:rPr>
        <w:t>year ended</w:t>
      </w:r>
      <w:r w:rsidRPr="001226F4">
        <w:rPr>
          <w:rFonts w:cs="Arial"/>
          <w:b/>
        </w:rPr>
        <w:t xml:space="preserve"> </w:t>
      </w:r>
      <w:r>
        <w:rPr>
          <w:rFonts w:cs="Arial"/>
          <w:b/>
        </w:rPr>
        <w:t>31 December 2020</w:t>
      </w:r>
    </w:p>
    <w:p w14:paraId="2D580525" w14:textId="77777777" w:rsidR="0021298F" w:rsidRDefault="0021298F" w:rsidP="0021298F">
      <w:pPr>
        <w:pStyle w:val="Bullets"/>
        <w:numPr>
          <w:ilvl w:val="0"/>
          <w:numId w:val="0"/>
        </w:numPr>
        <w:rPr>
          <w:rFonts w:cs="Arial"/>
          <w:b/>
        </w:rPr>
      </w:pPr>
    </w:p>
    <w:tbl>
      <w:tblPr>
        <w:tblW w:w="9380" w:type="dxa"/>
        <w:tblLook w:val="04A0" w:firstRow="1" w:lastRow="0" w:firstColumn="1" w:lastColumn="0" w:noHBand="0" w:noVBand="1"/>
      </w:tblPr>
      <w:tblGrid>
        <w:gridCol w:w="4840"/>
        <w:gridCol w:w="750"/>
        <w:gridCol w:w="1830"/>
        <w:gridCol w:w="1960"/>
      </w:tblGrid>
      <w:tr w:rsidR="0021298F" w14:paraId="754D62B1" w14:textId="77777777" w:rsidTr="00760009">
        <w:trPr>
          <w:trHeight w:val="630"/>
        </w:trPr>
        <w:tc>
          <w:tcPr>
            <w:tcW w:w="4840" w:type="dxa"/>
            <w:vMerge w:val="restart"/>
            <w:shd w:val="clear" w:color="auto" w:fill="FFFFFF"/>
            <w:vAlign w:val="center"/>
            <w:hideMark/>
          </w:tcPr>
          <w:p w14:paraId="24CA2892" w14:textId="77777777" w:rsidR="0021298F" w:rsidRDefault="0021298F" w:rsidP="00760009">
            <w:pPr>
              <w:rPr>
                <w:rFonts w:ascii="Calibri" w:eastAsia="Times New Roman" w:hAnsi="Calibri" w:cs="Calibri"/>
                <w:color w:val="000000"/>
                <w:lang w:eastAsia="en-GB"/>
              </w:rPr>
            </w:pPr>
            <w:r>
              <w:rPr>
                <w:rFonts w:ascii="Calibri" w:eastAsia="Times New Roman" w:hAnsi="Calibri" w:cs="Calibri"/>
                <w:color w:val="000000"/>
                <w:lang w:eastAsia="en-GB"/>
              </w:rPr>
              <w:t> </w:t>
            </w:r>
          </w:p>
        </w:tc>
        <w:tc>
          <w:tcPr>
            <w:tcW w:w="620" w:type="dxa"/>
            <w:vMerge w:val="restart"/>
            <w:shd w:val="clear" w:color="auto" w:fill="FFFFFF"/>
            <w:vAlign w:val="center"/>
            <w:hideMark/>
          </w:tcPr>
          <w:p w14:paraId="7A83317E" w14:textId="77777777" w:rsidR="0021298F" w:rsidRDefault="0021298F" w:rsidP="00760009">
            <w:pPr>
              <w:jc w:val="center"/>
              <w:rPr>
                <w:rFonts w:ascii="Arial" w:eastAsia="Times New Roman" w:hAnsi="Arial" w:cs="Arial"/>
                <w:b/>
                <w:bCs/>
                <w:color w:val="000000"/>
                <w:lang w:eastAsia="en-GB"/>
              </w:rPr>
            </w:pPr>
            <w:r>
              <w:rPr>
                <w:rFonts w:ascii="Arial" w:eastAsia="Times New Roman" w:hAnsi="Arial" w:cs="Arial"/>
                <w:b/>
                <w:bCs/>
                <w:color w:val="000000"/>
                <w:lang w:eastAsia="en-GB"/>
              </w:rPr>
              <w:t> </w:t>
            </w:r>
          </w:p>
        </w:tc>
        <w:tc>
          <w:tcPr>
            <w:tcW w:w="1960" w:type="dxa"/>
            <w:shd w:val="clear" w:color="auto" w:fill="FFFFFF"/>
            <w:vAlign w:val="bottom"/>
            <w:hideMark/>
          </w:tcPr>
          <w:p w14:paraId="160EA16B" w14:textId="77777777" w:rsidR="0021298F" w:rsidRDefault="0021298F" w:rsidP="00760009">
            <w:pPr>
              <w:jc w:val="right"/>
              <w:rPr>
                <w:rFonts w:ascii="Arial" w:eastAsia="Times New Roman" w:hAnsi="Arial" w:cs="Arial"/>
                <w:b/>
                <w:bCs/>
                <w:color w:val="000000"/>
                <w:lang w:eastAsia="en-GB"/>
              </w:rPr>
            </w:pPr>
            <w:r>
              <w:rPr>
                <w:rFonts w:ascii="Arial" w:eastAsia="Times New Roman" w:hAnsi="Arial" w:cs="Arial"/>
                <w:b/>
                <w:bCs/>
                <w:color w:val="000000"/>
                <w:lang w:eastAsia="en-GB"/>
              </w:rPr>
              <w:t xml:space="preserve">For the year ended </w:t>
            </w:r>
          </w:p>
        </w:tc>
        <w:tc>
          <w:tcPr>
            <w:tcW w:w="1960" w:type="dxa"/>
            <w:shd w:val="clear" w:color="auto" w:fill="FFFFFF"/>
            <w:vAlign w:val="bottom"/>
            <w:hideMark/>
          </w:tcPr>
          <w:p w14:paraId="4A53360D" w14:textId="77777777" w:rsidR="0021298F" w:rsidRDefault="0021298F" w:rsidP="00760009">
            <w:pPr>
              <w:jc w:val="right"/>
              <w:rPr>
                <w:rFonts w:ascii="Arial" w:eastAsia="Times New Roman" w:hAnsi="Arial" w:cs="Arial"/>
                <w:b/>
                <w:bCs/>
                <w:color w:val="000000"/>
                <w:lang w:eastAsia="en-GB"/>
              </w:rPr>
            </w:pPr>
            <w:r>
              <w:rPr>
                <w:rFonts w:ascii="Arial" w:eastAsia="Times New Roman" w:hAnsi="Arial" w:cs="Arial"/>
                <w:b/>
                <w:bCs/>
                <w:color w:val="000000"/>
                <w:lang w:eastAsia="en-GB"/>
              </w:rPr>
              <w:t>For the year ended</w:t>
            </w:r>
          </w:p>
        </w:tc>
      </w:tr>
      <w:tr w:rsidR="0021298F" w14:paraId="1F843B59" w14:textId="77777777" w:rsidTr="00760009">
        <w:trPr>
          <w:trHeight w:val="282"/>
        </w:trPr>
        <w:tc>
          <w:tcPr>
            <w:tcW w:w="0" w:type="auto"/>
            <w:vMerge/>
            <w:vAlign w:val="center"/>
            <w:hideMark/>
          </w:tcPr>
          <w:p w14:paraId="34D01591" w14:textId="77777777" w:rsidR="0021298F" w:rsidRDefault="0021298F" w:rsidP="00760009">
            <w:pPr>
              <w:rPr>
                <w:rFonts w:ascii="Calibri" w:eastAsia="Times New Roman" w:hAnsi="Calibri" w:cs="Calibri"/>
                <w:color w:val="000000"/>
                <w:lang w:eastAsia="en-GB"/>
              </w:rPr>
            </w:pPr>
          </w:p>
        </w:tc>
        <w:tc>
          <w:tcPr>
            <w:tcW w:w="0" w:type="auto"/>
            <w:vMerge/>
            <w:vAlign w:val="center"/>
            <w:hideMark/>
          </w:tcPr>
          <w:p w14:paraId="2DD8197E" w14:textId="77777777" w:rsidR="0021298F" w:rsidRDefault="0021298F" w:rsidP="00760009">
            <w:pPr>
              <w:rPr>
                <w:rFonts w:ascii="Arial" w:eastAsia="Times New Roman" w:hAnsi="Arial" w:cs="Arial"/>
                <w:b/>
                <w:bCs/>
                <w:color w:val="000000"/>
                <w:lang w:eastAsia="en-GB"/>
              </w:rPr>
            </w:pPr>
          </w:p>
        </w:tc>
        <w:tc>
          <w:tcPr>
            <w:tcW w:w="1960" w:type="dxa"/>
            <w:shd w:val="clear" w:color="auto" w:fill="FFFFFF"/>
            <w:vAlign w:val="center"/>
            <w:hideMark/>
          </w:tcPr>
          <w:p w14:paraId="5656CAFE" w14:textId="77777777" w:rsidR="0021298F" w:rsidRDefault="0021298F" w:rsidP="00760009">
            <w:pPr>
              <w:jc w:val="right"/>
              <w:rPr>
                <w:rFonts w:ascii="Arial" w:eastAsia="Times New Roman" w:hAnsi="Arial" w:cs="Arial"/>
                <w:b/>
                <w:bCs/>
                <w:color w:val="000000"/>
                <w:lang w:eastAsia="en-GB"/>
              </w:rPr>
            </w:pPr>
            <w:r>
              <w:rPr>
                <w:rFonts w:ascii="Arial" w:eastAsia="Times New Roman" w:hAnsi="Arial" w:cs="Arial"/>
                <w:b/>
                <w:bCs/>
                <w:color w:val="000000"/>
                <w:lang w:eastAsia="en-GB"/>
              </w:rPr>
              <w:t>31 December 2020</w:t>
            </w:r>
          </w:p>
        </w:tc>
        <w:tc>
          <w:tcPr>
            <w:tcW w:w="1960" w:type="dxa"/>
            <w:shd w:val="clear" w:color="auto" w:fill="FFFFFF"/>
            <w:vAlign w:val="center"/>
            <w:hideMark/>
          </w:tcPr>
          <w:p w14:paraId="5AB65268" w14:textId="77777777" w:rsidR="0021298F" w:rsidRDefault="0021298F" w:rsidP="00760009">
            <w:pPr>
              <w:jc w:val="right"/>
              <w:rPr>
                <w:rFonts w:ascii="Arial" w:eastAsia="Times New Roman" w:hAnsi="Arial" w:cs="Arial"/>
                <w:b/>
                <w:bCs/>
                <w:color w:val="000000"/>
                <w:lang w:eastAsia="en-GB"/>
              </w:rPr>
            </w:pPr>
            <w:r>
              <w:rPr>
                <w:rFonts w:ascii="Arial" w:eastAsia="Times New Roman" w:hAnsi="Arial" w:cs="Arial"/>
                <w:b/>
                <w:bCs/>
                <w:color w:val="000000"/>
                <w:lang w:eastAsia="en-GB"/>
              </w:rPr>
              <w:t>31 December 2019</w:t>
            </w:r>
          </w:p>
        </w:tc>
      </w:tr>
      <w:tr w:rsidR="0021298F" w14:paraId="2F581434" w14:textId="77777777" w:rsidTr="00760009">
        <w:trPr>
          <w:trHeight w:val="315"/>
        </w:trPr>
        <w:tc>
          <w:tcPr>
            <w:tcW w:w="4840" w:type="dxa"/>
            <w:tcBorders>
              <w:top w:val="nil"/>
              <w:left w:val="nil"/>
              <w:bottom w:val="single" w:sz="8" w:space="0" w:color="auto"/>
              <w:right w:val="nil"/>
            </w:tcBorders>
            <w:shd w:val="clear" w:color="auto" w:fill="FFFFFF"/>
            <w:vAlign w:val="center"/>
            <w:hideMark/>
          </w:tcPr>
          <w:p w14:paraId="2EE57776" w14:textId="77777777" w:rsidR="0021298F" w:rsidRDefault="0021298F" w:rsidP="00760009">
            <w:pPr>
              <w:jc w:val="both"/>
              <w:rPr>
                <w:rFonts w:ascii="Arial" w:eastAsia="Times New Roman" w:hAnsi="Arial" w:cs="Arial"/>
                <w:color w:val="000000"/>
                <w:lang w:eastAsia="en-GB"/>
              </w:rPr>
            </w:pPr>
            <w:r>
              <w:rPr>
                <w:rFonts w:ascii="Arial" w:eastAsia="Times New Roman" w:hAnsi="Arial" w:cs="Arial"/>
                <w:color w:val="000000"/>
                <w:lang w:eastAsia="en-GB"/>
              </w:rPr>
              <w:t> </w:t>
            </w:r>
          </w:p>
        </w:tc>
        <w:tc>
          <w:tcPr>
            <w:tcW w:w="620" w:type="dxa"/>
            <w:tcBorders>
              <w:top w:val="nil"/>
              <w:left w:val="nil"/>
              <w:bottom w:val="single" w:sz="8" w:space="0" w:color="auto"/>
              <w:right w:val="nil"/>
            </w:tcBorders>
            <w:shd w:val="clear" w:color="auto" w:fill="FFFFFF"/>
            <w:vAlign w:val="center"/>
            <w:hideMark/>
          </w:tcPr>
          <w:p w14:paraId="3424B133" w14:textId="77777777" w:rsidR="0021298F" w:rsidRDefault="0021298F" w:rsidP="00760009">
            <w:pPr>
              <w:jc w:val="both"/>
              <w:rPr>
                <w:rFonts w:ascii="Arial" w:eastAsia="Times New Roman" w:hAnsi="Arial" w:cs="Arial"/>
                <w:b/>
                <w:bCs/>
                <w:color w:val="000000"/>
                <w:lang w:eastAsia="en-GB"/>
              </w:rPr>
            </w:pPr>
            <w:r>
              <w:rPr>
                <w:rFonts w:ascii="Arial" w:eastAsia="Times New Roman" w:hAnsi="Arial" w:cs="Arial"/>
                <w:b/>
                <w:bCs/>
                <w:color w:val="000000"/>
                <w:lang w:eastAsia="en-GB"/>
              </w:rPr>
              <w:t>Note</w:t>
            </w:r>
          </w:p>
        </w:tc>
        <w:tc>
          <w:tcPr>
            <w:tcW w:w="1960" w:type="dxa"/>
            <w:tcBorders>
              <w:top w:val="nil"/>
              <w:left w:val="nil"/>
              <w:bottom w:val="single" w:sz="8" w:space="0" w:color="auto"/>
              <w:right w:val="nil"/>
            </w:tcBorders>
            <w:shd w:val="clear" w:color="auto" w:fill="FFFFFF"/>
            <w:vAlign w:val="center"/>
            <w:hideMark/>
          </w:tcPr>
          <w:p w14:paraId="7EAEC85E" w14:textId="77777777" w:rsidR="0021298F" w:rsidRDefault="0021298F" w:rsidP="00760009">
            <w:pPr>
              <w:jc w:val="right"/>
              <w:rPr>
                <w:rFonts w:ascii="Arial" w:eastAsia="Times New Roman" w:hAnsi="Arial" w:cs="Arial"/>
                <w:b/>
                <w:bCs/>
                <w:color w:val="000000"/>
                <w:lang w:eastAsia="en-GB"/>
              </w:rPr>
            </w:pPr>
            <w:r>
              <w:rPr>
                <w:rFonts w:ascii="Arial" w:eastAsia="Times New Roman" w:hAnsi="Arial" w:cs="Arial"/>
                <w:b/>
                <w:bCs/>
                <w:color w:val="000000"/>
                <w:lang w:eastAsia="en-GB"/>
              </w:rPr>
              <w:t>€’000</w:t>
            </w:r>
          </w:p>
        </w:tc>
        <w:tc>
          <w:tcPr>
            <w:tcW w:w="1960" w:type="dxa"/>
            <w:tcBorders>
              <w:top w:val="nil"/>
              <w:left w:val="nil"/>
              <w:bottom w:val="single" w:sz="8" w:space="0" w:color="auto"/>
              <w:right w:val="nil"/>
            </w:tcBorders>
            <w:shd w:val="clear" w:color="auto" w:fill="FFFFFF"/>
            <w:noWrap/>
            <w:vAlign w:val="center"/>
            <w:hideMark/>
          </w:tcPr>
          <w:p w14:paraId="1249ABFF" w14:textId="77777777" w:rsidR="0021298F" w:rsidRDefault="0021298F" w:rsidP="00760009">
            <w:pPr>
              <w:jc w:val="right"/>
              <w:rPr>
                <w:rFonts w:ascii="Arial" w:eastAsia="Times New Roman" w:hAnsi="Arial" w:cs="Arial"/>
                <w:b/>
                <w:bCs/>
                <w:color w:val="000000"/>
                <w:lang w:eastAsia="en-GB"/>
              </w:rPr>
            </w:pPr>
            <w:r>
              <w:rPr>
                <w:rFonts w:ascii="Arial" w:eastAsia="Times New Roman" w:hAnsi="Arial" w:cs="Arial"/>
                <w:b/>
                <w:bCs/>
                <w:color w:val="000000"/>
                <w:lang w:eastAsia="en-GB"/>
              </w:rPr>
              <w:t>€'000</w:t>
            </w:r>
          </w:p>
        </w:tc>
      </w:tr>
      <w:tr w:rsidR="0021298F" w14:paraId="42625F01" w14:textId="77777777" w:rsidTr="00760009">
        <w:trPr>
          <w:trHeight w:val="300"/>
        </w:trPr>
        <w:tc>
          <w:tcPr>
            <w:tcW w:w="4840" w:type="dxa"/>
            <w:shd w:val="clear" w:color="auto" w:fill="FFFFFF"/>
            <w:vAlign w:val="center"/>
            <w:hideMark/>
          </w:tcPr>
          <w:p w14:paraId="610BDC11" w14:textId="77777777" w:rsidR="0021298F" w:rsidRDefault="0021298F" w:rsidP="00760009">
            <w:pPr>
              <w:jc w:val="both"/>
              <w:rPr>
                <w:rFonts w:ascii="Arial" w:eastAsia="Times New Roman" w:hAnsi="Arial" w:cs="Arial"/>
                <w:color w:val="000000"/>
                <w:lang w:eastAsia="en-GB"/>
              </w:rPr>
            </w:pPr>
            <w:r>
              <w:rPr>
                <w:rFonts w:ascii="Arial" w:eastAsia="Times New Roman" w:hAnsi="Arial" w:cs="Arial"/>
                <w:color w:val="000000"/>
                <w:lang w:eastAsia="en-GB"/>
              </w:rPr>
              <w:t> </w:t>
            </w:r>
          </w:p>
        </w:tc>
        <w:tc>
          <w:tcPr>
            <w:tcW w:w="620" w:type="dxa"/>
            <w:shd w:val="clear" w:color="auto" w:fill="FFFFFF"/>
            <w:vAlign w:val="center"/>
            <w:hideMark/>
          </w:tcPr>
          <w:p w14:paraId="1F065577" w14:textId="77777777" w:rsidR="0021298F" w:rsidRDefault="0021298F" w:rsidP="00760009">
            <w:pPr>
              <w:rPr>
                <w:rFonts w:ascii="Calibri" w:eastAsia="Times New Roman" w:hAnsi="Calibri" w:cs="Calibri"/>
                <w:color w:val="000000"/>
                <w:lang w:eastAsia="en-GB"/>
              </w:rPr>
            </w:pPr>
            <w:r>
              <w:rPr>
                <w:rFonts w:ascii="Calibri" w:eastAsia="Times New Roman" w:hAnsi="Calibri" w:cs="Calibri"/>
                <w:color w:val="000000"/>
                <w:lang w:eastAsia="en-GB"/>
              </w:rPr>
              <w:t> </w:t>
            </w:r>
          </w:p>
        </w:tc>
        <w:tc>
          <w:tcPr>
            <w:tcW w:w="1960" w:type="dxa"/>
            <w:shd w:val="clear" w:color="auto" w:fill="EDFFB7"/>
            <w:vAlign w:val="center"/>
            <w:hideMark/>
          </w:tcPr>
          <w:p w14:paraId="51096F2D" w14:textId="77777777" w:rsidR="0021298F" w:rsidRDefault="0021298F" w:rsidP="00760009">
            <w:pPr>
              <w:jc w:val="right"/>
              <w:rPr>
                <w:rFonts w:ascii="Arial" w:eastAsia="Times New Roman" w:hAnsi="Arial" w:cs="Arial"/>
                <w:color w:val="000000"/>
                <w:lang w:eastAsia="en-GB"/>
              </w:rPr>
            </w:pPr>
            <w:r>
              <w:rPr>
                <w:rFonts w:ascii="Arial" w:eastAsia="Times New Roman" w:hAnsi="Arial" w:cs="Arial"/>
                <w:color w:val="000000"/>
                <w:lang w:eastAsia="en-GB"/>
              </w:rPr>
              <w:t> </w:t>
            </w:r>
          </w:p>
        </w:tc>
        <w:tc>
          <w:tcPr>
            <w:tcW w:w="1960" w:type="dxa"/>
            <w:shd w:val="clear" w:color="auto" w:fill="FFFFFF"/>
            <w:vAlign w:val="center"/>
            <w:hideMark/>
          </w:tcPr>
          <w:p w14:paraId="71FAECFB" w14:textId="77777777" w:rsidR="0021298F" w:rsidRDefault="0021298F" w:rsidP="00760009">
            <w:pPr>
              <w:jc w:val="right"/>
              <w:rPr>
                <w:rFonts w:ascii="Arial" w:eastAsia="Times New Roman" w:hAnsi="Arial" w:cs="Arial"/>
                <w:color w:val="000000"/>
                <w:lang w:eastAsia="en-GB"/>
              </w:rPr>
            </w:pPr>
            <w:r>
              <w:rPr>
                <w:rFonts w:ascii="Arial" w:eastAsia="Times New Roman" w:hAnsi="Arial" w:cs="Arial"/>
                <w:color w:val="000000"/>
                <w:lang w:eastAsia="en-GB"/>
              </w:rPr>
              <w:t> </w:t>
            </w:r>
          </w:p>
        </w:tc>
      </w:tr>
      <w:tr w:rsidR="0021298F" w14:paraId="33919240" w14:textId="77777777" w:rsidTr="00760009">
        <w:trPr>
          <w:trHeight w:val="300"/>
        </w:trPr>
        <w:tc>
          <w:tcPr>
            <w:tcW w:w="4840" w:type="dxa"/>
            <w:shd w:val="clear" w:color="auto" w:fill="FFFFFF"/>
            <w:vAlign w:val="center"/>
            <w:hideMark/>
          </w:tcPr>
          <w:p w14:paraId="52E39316" w14:textId="77777777" w:rsidR="0021298F" w:rsidRDefault="0021298F" w:rsidP="00760009">
            <w:pPr>
              <w:jc w:val="both"/>
              <w:rPr>
                <w:rFonts w:ascii="Arial" w:eastAsia="Times New Roman" w:hAnsi="Arial" w:cs="Arial"/>
                <w:color w:val="000000"/>
                <w:lang w:eastAsia="en-GB"/>
              </w:rPr>
            </w:pPr>
            <w:r>
              <w:rPr>
                <w:rFonts w:ascii="Arial" w:eastAsia="Times New Roman" w:hAnsi="Arial" w:cs="Arial"/>
                <w:color w:val="000000"/>
                <w:lang w:eastAsia="en-GB"/>
              </w:rPr>
              <w:lastRenderedPageBreak/>
              <w:t>Return on investments</w:t>
            </w:r>
          </w:p>
        </w:tc>
        <w:tc>
          <w:tcPr>
            <w:tcW w:w="620" w:type="dxa"/>
            <w:shd w:val="clear" w:color="auto" w:fill="FFFFFF"/>
            <w:vAlign w:val="center"/>
            <w:hideMark/>
          </w:tcPr>
          <w:p w14:paraId="7F8E9824" w14:textId="77777777" w:rsidR="0021298F" w:rsidRDefault="0021298F" w:rsidP="00760009">
            <w:pPr>
              <w:jc w:val="center"/>
              <w:rPr>
                <w:rFonts w:ascii="Arial" w:eastAsia="Times New Roman" w:hAnsi="Arial" w:cs="Arial"/>
                <w:b/>
                <w:bCs/>
                <w:color w:val="000000"/>
                <w:lang w:eastAsia="en-GB"/>
              </w:rPr>
            </w:pPr>
            <w:r>
              <w:rPr>
                <w:rFonts w:ascii="Arial" w:eastAsia="Times New Roman" w:hAnsi="Arial" w:cs="Arial"/>
                <w:b/>
                <w:bCs/>
                <w:color w:val="000000"/>
                <w:lang w:eastAsia="en-GB"/>
              </w:rPr>
              <w:t>4</w:t>
            </w:r>
          </w:p>
        </w:tc>
        <w:tc>
          <w:tcPr>
            <w:tcW w:w="1960" w:type="dxa"/>
            <w:shd w:val="clear" w:color="auto" w:fill="EDFFB7"/>
            <w:vAlign w:val="center"/>
            <w:hideMark/>
          </w:tcPr>
          <w:p w14:paraId="1C6FA586" w14:textId="77777777" w:rsidR="0021298F" w:rsidRDefault="0021298F" w:rsidP="00760009">
            <w:pPr>
              <w:jc w:val="right"/>
              <w:rPr>
                <w:rFonts w:ascii="Arial" w:eastAsia="Times New Roman" w:hAnsi="Arial" w:cs="Arial"/>
                <w:color w:val="000000"/>
                <w:lang w:eastAsia="en-GB"/>
              </w:rPr>
            </w:pPr>
            <w:r>
              <w:rPr>
                <w:rFonts w:ascii="Arial" w:eastAsia="Times New Roman" w:hAnsi="Arial" w:cs="Arial"/>
                <w:color w:val="000000"/>
                <w:lang w:eastAsia="en-GB"/>
              </w:rPr>
              <w:t>26,466</w:t>
            </w:r>
          </w:p>
        </w:tc>
        <w:tc>
          <w:tcPr>
            <w:tcW w:w="1960" w:type="dxa"/>
            <w:shd w:val="clear" w:color="auto" w:fill="FFFFFF"/>
            <w:noWrap/>
            <w:vAlign w:val="center"/>
            <w:hideMark/>
          </w:tcPr>
          <w:p w14:paraId="022DD6AE" w14:textId="77777777" w:rsidR="0021298F" w:rsidRDefault="0021298F" w:rsidP="00760009">
            <w:pPr>
              <w:jc w:val="right"/>
              <w:rPr>
                <w:rFonts w:ascii="Arial" w:eastAsia="Times New Roman" w:hAnsi="Arial" w:cs="Arial"/>
                <w:color w:val="000000"/>
                <w:lang w:eastAsia="en-GB"/>
              </w:rPr>
            </w:pPr>
            <w:r>
              <w:rPr>
                <w:rFonts w:ascii="Arial" w:eastAsia="Times New Roman" w:hAnsi="Arial" w:cs="Arial"/>
                <w:color w:val="000000"/>
                <w:lang w:eastAsia="en-GB"/>
              </w:rPr>
              <w:t>29,475</w:t>
            </w:r>
          </w:p>
        </w:tc>
      </w:tr>
      <w:tr w:rsidR="0021298F" w14:paraId="6B3CF225" w14:textId="77777777" w:rsidTr="00760009">
        <w:trPr>
          <w:trHeight w:val="315"/>
        </w:trPr>
        <w:tc>
          <w:tcPr>
            <w:tcW w:w="4840" w:type="dxa"/>
            <w:tcBorders>
              <w:top w:val="nil"/>
              <w:left w:val="nil"/>
              <w:bottom w:val="single" w:sz="8" w:space="0" w:color="auto"/>
              <w:right w:val="nil"/>
            </w:tcBorders>
            <w:shd w:val="clear" w:color="auto" w:fill="FFFFFF"/>
            <w:vAlign w:val="center"/>
            <w:hideMark/>
          </w:tcPr>
          <w:p w14:paraId="72A46E33" w14:textId="77777777" w:rsidR="0021298F" w:rsidRDefault="0021298F" w:rsidP="00760009">
            <w:pPr>
              <w:jc w:val="both"/>
              <w:rPr>
                <w:rFonts w:ascii="Arial" w:eastAsia="Times New Roman" w:hAnsi="Arial" w:cs="Arial"/>
                <w:color w:val="000000"/>
                <w:lang w:eastAsia="en-GB"/>
              </w:rPr>
            </w:pPr>
            <w:r>
              <w:rPr>
                <w:rFonts w:ascii="Arial" w:eastAsia="Times New Roman" w:hAnsi="Arial" w:cs="Arial"/>
                <w:color w:val="000000"/>
                <w:lang w:eastAsia="en-GB"/>
              </w:rPr>
              <w:t>Other income</w:t>
            </w:r>
          </w:p>
        </w:tc>
        <w:tc>
          <w:tcPr>
            <w:tcW w:w="620" w:type="dxa"/>
            <w:tcBorders>
              <w:top w:val="nil"/>
              <w:left w:val="nil"/>
              <w:bottom w:val="single" w:sz="8" w:space="0" w:color="auto"/>
              <w:right w:val="nil"/>
            </w:tcBorders>
            <w:shd w:val="clear" w:color="auto" w:fill="FFFFFF"/>
            <w:vAlign w:val="center"/>
            <w:hideMark/>
          </w:tcPr>
          <w:p w14:paraId="2924A047" w14:textId="77777777" w:rsidR="0021298F" w:rsidRDefault="0021298F" w:rsidP="00760009">
            <w:pPr>
              <w:jc w:val="center"/>
              <w:rPr>
                <w:rFonts w:ascii="Arial" w:eastAsia="Times New Roman" w:hAnsi="Arial" w:cs="Arial"/>
                <w:b/>
                <w:bCs/>
                <w:color w:val="000000"/>
                <w:lang w:eastAsia="en-GB"/>
              </w:rPr>
            </w:pPr>
            <w:r>
              <w:rPr>
                <w:rFonts w:ascii="Arial" w:eastAsia="Times New Roman" w:hAnsi="Arial" w:cs="Arial"/>
                <w:b/>
                <w:bCs/>
                <w:color w:val="000000"/>
                <w:lang w:eastAsia="en-GB"/>
              </w:rPr>
              <w:t>19</w:t>
            </w:r>
          </w:p>
        </w:tc>
        <w:tc>
          <w:tcPr>
            <w:tcW w:w="1960" w:type="dxa"/>
            <w:tcBorders>
              <w:top w:val="nil"/>
              <w:left w:val="nil"/>
              <w:bottom w:val="single" w:sz="8" w:space="0" w:color="auto"/>
              <w:right w:val="nil"/>
            </w:tcBorders>
            <w:shd w:val="clear" w:color="auto" w:fill="EDFFB7"/>
            <w:vAlign w:val="center"/>
            <w:hideMark/>
          </w:tcPr>
          <w:p w14:paraId="7D25801B" w14:textId="77777777" w:rsidR="0021298F" w:rsidRDefault="0021298F" w:rsidP="00760009">
            <w:pPr>
              <w:jc w:val="right"/>
              <w:rPr>
                <w:rFonts w:ascii="Arial" w:eastAsia="Times New Roman" w:hAnsi="Arial" w:cs="Arial"/>
                <w:color w:val="000000"/>
                <w:lang w:eastAsia="en-GB"/>
              </w:rPr>
            </w:pPr>
            <w:r>
              <w:rPr>
                <w:rFonts w:ascii="Arial" w:eastAsia="Times New Roman" w:hAnsi="Arial" w:cs="Arial"/>
                <w:color w:val="000000"/>
                <w:lang w:eastAsia="en-GB"/>
              </w:rPr>
              <w:t>3,779</w:t>
            </w:r>
          </w:p>
        </w:tc>
        <w:tc>
          <w:tcPr>
            <w:tcW w:w="1960" w:type="dxa"/>
            <w:tcBorders>
              <w:top w:val="nil"/>
              <w:left w:val="nil"/>
              <w:bottom w:val="single" w:sz="8" w:space="0" w:color="auto"/>
              <w:right w:val="nil"/>
            </w:tcBorders>
            <w:shd w:val="clear" w:color="auto" w:fill="FFFFFF"/>
            <w:noWrap/>
            <w:vAlign w:val="center"/>
            <w:hideMark/>
          </w:tcPr>
          <w:p w14:paraId="22B0947B" w14:textId="77777777" w:rsidR="0021298F" w:rsidRDefault="0021298F" w:rsidP="00760009">
            <w:pPr>
              <w:jc w:val="right"/>
              <w:rPr>
                <w:rFonts w:ascii="Arial" w:eastAsia="Times New Roman" w:hAnsi="Arial" w:cs="Arial"/>
                <w:color w:val="000000"/>
                <w:lang w:eastAsia="en-GB"/>
              </w:rPr>
            </w:pPr>
            <w:r>
              <w:rPr>
                <w:rFonts w:ascii="Arial" w:eastAsia="Times New Roman" w:hAnsi="Arial" w:cs="Arial"/>
                <w:color w:val="000000"/>
                <w:lang w:eastAsia="en-GB"/>
              </w:rPr>
              <w:t>3,015</w:t>
            </w:r>
          </w:p>
        </w:tc>
      </w:tr>
      <w:tr w:rsidR="0021298F" w14:paraId="7D295623" w14:textId="77777777" w:rsidTr="00760009">
        <w:trPr>
          <w:trHeight w:val="300"/>
        </w:trPr>
        <w:tc>
          <w:tcPr>
            <w:tcW w:w="4840" w:type="dxa"/>
            <w:shd w:val="clear" w:color="auto" w:fill="FFFFFF"/>
            <w:vAlign w:val="center"/>
            <w:hideMark/>
          </w:tcPr>
          <w:p w14:paraId="1C226FE0" w14:textId="77777777" w:rsidR="0021298F" w:rsidRDefault="0021298F" w:rsidP="00760009">
            <w:pPr>
              <w:jc w:val="both"/>
              <w:rPr>
                <w:rFonts w:ascii="Arial" w:eastAsia="Times New Roman" w:hAnsi="Arial" w:cs="Arial"/>
                <w:b/>
                <w:bCs/>
                <w:color w:val="000000"/>
                <w:lang w:eastAsia="en-GB"/>
              </w:rPr>
            </w:pPr>
            <w:r>
              <w:rPr>
                <w:rFonts w:ascii="Arial" w:eastAsia="Times New Roman" w:hAnsi="Arial" w:cs="Arial"/>
                <w:b/>
                <w:bCs/>
                <w:color w:val="000000"/>
                <w:lang w:eastAsia="en-GB"/>
              </w:rPr>
              <w:t>Total income and gains</w:t>
            </w:r>
          </w:p>
        </w:tc>
        <w:tc>
          <w:tcPr>
            <w:tcW w:w="620" w:type="dxa"/>
            <w:shd w:val="clear" w:color="auto" w:fill="FFFFFF"/>
            <w:vAlign w:val="center"/>
            <w:hideMark/>
          </w:tcPr>
          <w:p w14:paraId="702AB6B8" w14:textId="77777777" w:rsidR="0021298F" w:rsidRDefault="0021298F" w:rsidP="00760009">
            <w:pPr>
              <w:jc w:val="center"/>
              <w:rPr>
                <w:rFonts w:ascii="Arial" w:eastAsia="Times New Roman" w:hAnsi="Arial" w:cs="Arial"/>
                <w:b/>
                <w:bCs/>
                <w:color w:val="000000"/>
                <w:lang w:eastAsia="en-GB"/>
              </w:rPr>
            </w:pPr>
            <w:r>
              <w:rPr>
                <w:rFonts w:ascii="Arial" w:eastAsia="Times New Roman" w:hAnsi="Arial" w:cs="Arial"/>
                <w:b/>
                <w:bCs/>
                <w:color w:val="000000"/>
                <w:lang w:eastAsia="en-GB"/>
              </w:rPr>
              <w:t> </w:t>
            </w:r>
          </w:p>
        </w:tc>
        <w:tc>
          <w:tcPr>
            <w:tcW w:w="1960" w:type="dxa"/>
            <w:shd w:val="clear" w:color="auto" w:fill="EDFFB7"/>
            <w:vAlign w:val="center"/>
            <w:hideMark/>
          </w:tcPr>
          <w:p w14:paraId="31B0A296" w14:textId="77777777" w:rsidR="0021298F" w:rsidRDefault="0021298F" w:rsidP="00760009">
            <w:pPr>
              <w:jc w:val="right"/>
              <w:rPr>
                <w:rFonts w:ascii="Arial" w:eastAsia="Times New Roman" w:hAnsi="Arial" w:cs="Arial"/>
                <w:b/>
                <w:bCs/>
                <w:color w:val="000000"/>
                <w:lang w:eastAsia="en-GB"/>
              </w:rPr>
            </w:pPr>
            <w:r>
              <w:rPr>
                <w:rFonts w:ascii="Arial" w:eastAsia="Times New Roman" w:hAnsi="Arial" w:cs="Arial"/>
                <w:b/>
                <w:bCs/>
                <w:color w:val="000000"/>
                <w:lang w:eastAsia="en-GB"/>
              </w:rPr>
              <w:t>30,245</w:t>
            </w:r>
          </w:p>
        </w:tc>
        <w:tc>
          <w:tcPr>
            <w:tcW w:w="1960" w:type="dxa"/>
            <w:shd w:val="clear" w:color="auto" w:fill="FFFFFF"/>
            <w:noWrap/>
            <w:vAlign w:val="center"/>
            <w:hideMark/>
          </w:tcPr>
          <w:p w14:paraId="605A2424" w14:textId="77777777" w:rsidR="0021298F" w:rsidRDefault="0021298F" w:rsidP="00760009">
            <w:pPr>
              <w:jc w:val="right"/>
              <w:rPr>
                <w:rFonts w:ascii="Arial" w:eastAsia="Times New Roman" w:hAnsi="Arial" w:cs="Arial"/>
                <w:b/>
                <w:bCs/>
                <w:color w:val="000000"/>
                <w:lang w:eastAsia="en-GB"/>
              </w:rPr>
            </w:pPr>
            <w:r>
              <w:rPr>
                <w:rFonts w:ascii="Arial" w:eastAsia="Times New Roman" w:hAnsi="Arial" w:cs="Arial"/>
                <w:b/>
                <w:bCs/>
                <w:color w:val="000000"/>
                <w:lang w:eastAsia="en-GB"/>
              </w:rPr>
              <w:t>32,490</w:t>
            </w:r>
          </w:p>
        </w:tc>
      </w:tr>
      <w:tr w:rsidR="0021298F" w14:paraId="48B5D9D1" w14:textId="77777777" w:rsidTr="00760009">
        <w:trPr>
          <w:trHeight w:val="300"/>
        </w:trPr>
        <w:tc>
          <w:tcPr>
            <w:tcW w:w="4840" w:type="dxa"/>
            <w:shd w:val="clear" w:color="auto" w:fill="FFFFFF"/>
            <w:vAlign w:val="center"/>
            <w:hideMark/>
          </w:tcPr>
          <w:p w14:paraId="35DA6D7C" w14:textId="77777777" w:rsidR="0021298F" w:rsidRDefault="0021298F" w:rsidP="00760009">
            <w:pPr>
              <w:jc w:val="both"/>
              <w:rPr>
                <w:rFonts w:ascii="Arial" w:eastAsia="Times New Roman" w:hAnsi="Arial" w:cs="Arial"/>
                <w:color w:val="000000"/>
                <w:lang w:eastAsia="en-GB"/>
              </w:rPr>
            </w:pPr>
            <w:r>
              <w:rPr>
                <w:rFonts w:ascii="Arial" w:eastAsia="Times New Roman" w:hAnsi="Arial" w:cs="Arial"/>
                <w:color w:val="000000"/>
                <w:lang w:eastAsia="en-GB"/>
              </w:rPr>
              <w:t> </w:t>
            </w:r>
          </w:p>
        </w:tc>
        <w:tc>
          <w:tcPr>
            <w:tcW w:w="620" w:type="dxa"/>
            <w:shd w:val="clear" w:color="auto" w:fill="FFFFFF"/>
            <w:vAlign w:val="center"/>
            <w:hideMark/>
          </w:tcPr>
          <w:p w14:paraId="17A6EFC3" w14:textId="77777777" w:rsidR="0021298F" w:rsidRDefault="0021298F" w:rsidP="00760009">
            <w:pPr>
              <w:jc w:val="center"/>
              <w:rPr>
                <w:rFonts w:ascii="Arial" w:eastAsia="Times New Roman" w:hAnsi="Arial" w:cs="Arial"/>
                <w:b/>
                <w:bCs/>
                <w:color w:val="000000"/>
                <w:lang w:eastAsia="en-GB"/>
              </w:rPr>
            </w:pPr>
            <w:r>
              <w:rPr>
                <w:rFonts w:ascii="Arial" w:eastAsia="Times New Roman" w:hAnsi="Arial" w:cs="Arial"/>
                <w:b/>
                <w:bCs/>
                <w:color w:val="000000"/>
                <w:lang w:eastAsia="en-GB"/>
              </w:rPr>
              <w:t> </w:t>
            </w:r>
          </w:p>
        </w:tc>
        <w:tc>
          <w:tcPr>
            <w:tcW w:w="1960" w:type="dxa"/>
            <w:shd w:val="clear" w:color="auto" w:fill="EDFFB7"/>
            <w:vAlign w:val="center"/>
            <w:hideMark/>
          </w:tcPr>
          <w:p w14:paraId="7A48CAC7" w14:textId="77777777" w:rsidR="0021298F" w:rsidRDefault="0021298F" w:rsidP="00760009">
            <w:pPr>
              <w:jc w:val="right"/>
              <w:rPr>
                <w:rFonts w:ascii="Arial" w:eastAsia="Times New Roman" w:hAnsi="Arial" w:cs="Arial"/>
                <w:color w:val="000000"/>
                <w:lang w:eastAsia="en-GB"/>
              </w:rPr>
            </w:pPr>
            <w:r>
              <w:rPr>
                <w:rFonts w:ascii="Arial" w:eastAsia="Times New Roman" w:hAnsi="Arial" w:cs="Arial"/>
                <w:color w:val="000000"/>
                <w:lang w:eastAsia="en-GB"/>
              </w:rPr>
              <w:t> </w:t>
            </w:r>
          </w:p>
        </w:tc>
        <w:tc>
          <w:tcPr>
            <w:tcW w:w="1960" w:type="dxa"/>
            <w:shd w:val="clear" w:color="auto" w:fill="FFFFFF"/>
            <w:noWrap/>
            <w:vAlign w:val="center"/>
            <w:hideMark/>
          </w:tcPr>
          <w:p w14:paraId="5598244F" w14:textId="77777777" w:rsidR="0021298F" w:rsidRDefault="0021298F" w:rsidP="00760009">
            <w:pPr>
              <w:jc w:val="right"/>
              <w:rPr>
                <w:rFonts w:ascii="Arial" w:eastAsia="Times New Roman" w:hAnsi="Arial" w:cs="Arial"/>
                <w:color w:val="000000"/>
                <w:lang w:eastAsia="en-GB"/>
              </w:rPr>
            </w:pPr>
            <w:r>
              <w:rPr>
                <w:rFonts w:ascii="Arial" w:eastAsia="Times New Roman" w:hAnsi="Arial" w:cs="Arial"/>
                <w:color w:val="000000"/>
                <w:lang w:eastAsia="en-GB"/>
              </w:rPr>
              <w:t> </w:t>
            </w:r>
          </w:p>
        </w:tc>
      </w:tr>
      <w:tr w:rsidR="0021298F" w14:paraId="1B367A32" w14:textId="77777777" w:rsidTr="00760009">
        <w:trPr>
          <w:trHeight w:val="300"/>
        </w:trPr>
        <w:tc>
          <w:tcPr>
            <w:tcW w:w="4840" w:type="dxa"/>
            <w:shd w:val="clear" w:color="auto" w:fill="FFFFFF"/>
            <w:vAlign w:val="center"/>
            <w:hideMark/>
          </w:tcPr>
          <w:p w14:paraId="03720F15" w14:textId="77777777" w:rsidR="0021298F" w:rsidRDefault="0021298F" w:rsidP="00760009">
            <w:pPr>
              <w:jc w:val="both"/>
              <w:rPr>
                <w:rFonts w:ascii="Arial" w:eastAsia="Times New Roman" w:hAnsi="Arial" w:cs="Arial"/>
                <w:color w:val="000000"/>
                <w:lang w:eastAsia="en-GB"/>
              </w:rPr>
            </w:pPr>
            <w:r>
              <w:rPr>
                <w:rFonts w:ascii="Arial" w:eastAsia="Times New Roman" w:hAnsi="Arial" w:cs="Arial"/>
                <w:color w:val="000000"/>
                <w:lang w:eastAsia="en-GB"/>
              </w:rPr>
              <w:t>Operating expenses</w:t>
            </w:r>
          </w:p>
        </w:tc>
        <w:tc>
          <w:tcPr>
            <w:tcW w:w="620" w:type="dxa"/>
            <w:shd w:val="clear" w:color="auto" w:fill="FFFFFF"/>
            <w:vAlign w:val="center"/>
            <w:hideMark/>
          </w:tcPr>
          <w:p w14:paraId="49B9382C" w14:textId="77777777" w:rsidR="0021298F" w:rsidRDefault="0021298F" w:rsidP="00760009">
            <w:pPr>
              <w:jc w:val="center"/>
              <w:rPr>
                <w:rFonts w:ascii="Arial" w:eastAsia="Times New Roman" w:hAnsi="Arial" w:cs="Arial"/>
                <w:b/>
                <w:bCs/>
                <w:color w:val="000000"/>
                <w:lang w:eastAsia="en-GB"/>
              </w:rPr>
            </w:pPr>
            <w:r>
              <w:rPr>
                <w:rFonts w:ascii="Arial" w:eastAsia="Times New Roman" w:hAnsi="Arial" w:cs="Arial"/>
                <w:b/>
                <w:bCs/>
                <w:color w:val="000000"/>
                <w:lang w:eastAsia="en-GB"/>
              </w:rPr>
              <w:t>5</w:t>
            </w:r>
          </w:p>
        </w:tc>
        <w:tc>
          <w:tcPr>
            <w:tcW w:w="1960" w:type="dxa"/>
            <w:shd w:val="clear" w:color="auto" w:fill="EDFFB7"/>
            <w:vAlign w:val="center"/>
            <w:hideMark/>
          </w:tcPr>
          <w:p w14:paraId="61ACDBE1" w14:textId="77777777" w:rsidR="0021298F" w:rsidRDefault="0021298F" w:rsidP="00760009">
            <w:pPr>
              <w:jc w:val="right"/>
              <w:rPr>
                <w:rFonts w:ascii="Arial" w:eastAsia="Times New Roman" w:hAnsi="Arial" w:cs="Arial"/>
                <w:color w:val="000000"/>
                <w:lang w:eastAsia="en-GB"/>
              </w:rPr>
            </w:pPr>
            <w:r>
              <w:rPr>
                <w:rFonts w:ascii="Arial" w:eastAsia="Times New Roman" w:hAnsi="Arial" w:cs="Arial"/>
                <w:color w:val="000000"/>
                <w:lang w:eastAsia="en-GB"/>
              </w:rPr>
              <w:t xml:space="preserve"> (8,794)</w:t>
            </w:r>
          </w:p>
        </w:tc>
        <w:tc>
          <w:tcPr>
            <w:tcW w:w="1960" w:type="dxa"/>
            <w:shd w:val="clear" w:color="auto" w:fill="FFFFFF"/>
            <w:vAlign w:val="center"/>
            <w:hideMark/>
          </w:tcPr>
          <w:p w14:paraId="3F7C3628" w14:textId="77777777" w:rsidR="0021298F" w:rsidRDefault="0021298F" w:rsidP="00760009">
            <w:pPr>
              <w:jc w:val="right"/>
              <w:rPr>
                <w:rFonts w:ascii="Arial" w:eastAsia="Times New Roman" w:hAnsi="Arial" w:cs="Arial"/>
                <w:color w:val="000000"/>
                <w:lang w:eastAsia="en-GB"/>
              </w:rPr>
            </w:pPr>
            <w:r>
              <w:rPr>
                <w:rFonts w:ascii="Arial" w:eastAsia="Times New Roman" w:hAnsi="Arial" w:cs="Arial"/>
                <w:color w:val="000000"/>
                <w:lang w:eastAsia="en-GB"/>
              </w:rPr>
              <w:t xml:space="preserve"> (6,734)</w:t>
            </w:r>
          </w:p>
        </w:tc>
      </w:tr>
      <w:tr w:rsidR="0021298F" w14:paraId="0DA6A330" w14:textId="77777777" w:rsidTr="00760009">
        <w:trPr>
          <w:trHeight w:val="315"/>
        </w:trPr>
        <w:tc>
          <w:tcPr>
            <w:tcW w:w="4840" w:type="dxa"/>
            <w:tcBorders>
              <w:top w:val="nil"/>
              <w:left w:val="nil"/>
              <w:bottom w:val="single" w:sz="8" w:space="0" w:color="auto"/>
              <w:right w:val="nil"/>
            </w:tcBorders>
            <w:shd w:val="clear" w:color="auto" w:fill="FFFFFF"/>
            <w:vAlign w:val="center"/>
            <w:hideMark/>
          </w:tcPr>
          <w:p w14:paraId="13FA8597" w14:textId="77777777" w:rsidR="0021298F" w:rsidRDefault="0021298F" w:rsidP="00760009">
            <w:pPr>
              <w:jc w:val="both"/>
              <w:rPr>
                <w:rFonts w:ascii="Arial" w:eastAsia="Times New Roman" w:hAnsi="Arial" w:cs="Arial"/>
                <w:color w:val="000000"/>
                <w:lang w:eastAsia="en-GB"/>
              </w:rPr>
            </w:pPr>
            <w:r>
              <w:rPr>
                <w:rFonts w:ascii="Arial" w:eastAsia="Times New Roman" w:hAnsi="Arial" w:cs="Arial"/>
                <w:color w:val="000000"/>
                <w:lang w:eastAsia="en-GB"/>
              </w:rPr>
              <w:t>Investment acquisition costs</w:t>
            </w:r>
          </w:p>
        </w:tc>
        <w:tc>
          <w:tcPr>
            <w:tcW w:w="620" w:type="dxa"/>
            <w:tcBorders>
              <w:top w:val="nil"/>
              <w:left w:val="nil"/>
              <w:bottom w:val="single" w:sz="8" w:space="0" w:color="auto"/>
              <w:right w:val="nil"/>
            </w:tcBorders>
            <w:shd w:val="clear" w:color="auto" w:fill="FFFFFF"/>
            <w:vAlign w:val="center"/>
            <w:hideMark/>
          </w:tcPr>
          <w:p w14:paraId="0CE3B8E4" w14:textId="77777777" w:rsidR="0021298F" w:rsidRDefault="0021298F" w:rsidP="00760009">
            <w:pPr>
              <w:jc w:val="center"/>
              <w:rPr>
                <w:rFonts w:ascii="Arial" w:eastAsia="Times New Roman" w:hAnsi="Arial" w:cs="Arial"/>
                <w:b/>
                <w:bCs/>
                <w:color w:val="000000"/>
                <w:lang w:eastAsia="en-GB"/>
              </w:rPr>
            </w:pPr>
            <w:r>
              <w:rPr>
                <w:rFonts w:ascii="Arial" w:eastAsia="Times New Roman" w:hAnsi="Arial" w:cs="Arial"/>
                <w:b/>
                <w:bCs/>
                <w:color w:val="000000"/>
                <w:lang w:eastAsia="en-GB"/>
              </w:rPr>
              <w:t> </w:t>
            </w:r>
          </w:p>
        </w:tc>
        <w:tc>
          <w:tcPr>
            <w:tcW w:w="1960" w:type="dxa"/>
            <w:tcBorders>
              <w:top w:val="nil"/>
              <w:left w:val="nil"/>
              <w:bottom w:val="single" w:sz="8" w:space="0" w:color="auto"/>
              <w:right w:val="nil"/>
            </w:tcBorders>
            <w:shd w:val="clear" w:color="auto" w:fill="EDFFB7"/>
            <w:vAlign w:val="center"/>
            <w:hideMark/>
          </w:tcPr>
          <w:p w14:paraId="1738BDCD" w14:textId="77777777" w:rsidR="0021298F" w:rsidRDefault="0021298F" w:rsidP="00760009">
            <w:pPr>
              <w:jc w:val="right"/>
              <w:rPr>
                <w:rFonts w:ascii="Arial" w:eastAsia="Times New Roman" w:hAnsi="Arial" w:cs="Arial"/>
                <w:color w:val="000000"/>
                <w:lang w:eastAsia="en-GB"/>
              </w:rPr>
            </w:pPr>
            <w:r>
              <w:rPr>
                <w:rFonts w:ascii="Arial" w:eastAsia="Times New Roman" w:hAnsi="Arial" w:cs="Arial"/>
                <w:color w:val="000000"/>
                <w:lang w:eastAsia="en-GB"/>
              </w:rPr>
              <w:t xml:space="preserve"> (1,940)</w:t>
            </w:r>
          </w:p>
        </w:tc>
        <w:tc>
          <w:tcPr>
            <w:tcW w:w="1960" w:type="dxa"/>
            <w:tcBorders>
              <w:top w:val="nil"/>
              <w:left w:val="nil"/>
              <w:bottom w:val="single" w:sz="8" w:space="0" w:color="auto"/>
              <w:right w:val="nil"/>
            </w:tcBorders>
            <w:shd w:val="clear" w:color="auto" w:fill="FFFFFF"/>
            <w:vAlign w:val="center"/>
            <w:hideMark/>
          </w:tcPr>
          <w:p w14:paraId="76D61312" w14:textId="77777777" w:rsidR="0021298F" w:rsidRDefault="0021298F" w:rsidP="00760009">
            <w:pPr>
              <w:jc w:val="right"/>
              <w:rPr>
                <w:rFonts w:ascii="Arial" w:eastAsia="Times New Roman" w:hAnsi="Arial" w:cs="Arial"/>
                <w:color w:val="000000"/>
                <w:lang w:eastAsia="en-GB"/>
              </w:rPr>
            </w:pPr>
            <w:r>
              <w:rPr>
                <w:rFonts w:ascii="Arial" w:eastAsia="Times New Roman" w:hAnsi="Arial" w:cs="Arial"/>
                <w:color w:val="000000"/>
                <w:lang w:eastAsia="en-GB"/>
              </w:rPr>
              <w:t xml:space="preserve"> (1,397)</w:t>
            </w:r>
          </w:p>
        </w:tc>
      </w:tr>
      <w:tr w:rsidR="0021298F" w14:paraId="3F9997A2" w14:textId="77777777" w:rsidTr="00760009">
        <w:trPr>
          <w:trHeight w:val="300"/>
        </w:trPr>
        <w:tc>
          <w:tcPr>
            <w:tcW w:w="4840" w:type="dxa"/>
            <w:shd w:val="clear" w:color="auto" w:fill="FFFFFF"/>
            <w:vAlign w:val="center"/>
            <w:hideMark/>
          </w:tcPr>
          <w:p w14:paraId="4CCF0F7A" w14:textId="77777777" w:rsidR="0021298F" w:rsidRDefault="0021298F" w:rsidP="00760009">
            <w:pPr>
              <w:jc w:val="both"/>
              <w:rPr>
                <w:rFonts w:ascii="Arial" w:eastAsia="Times New Roman" w:hAnsi="Arial" w:cs="Arial"/>
                <w:b/>
                <w:bCs/>
                <w:color w:val="000000"/>
                <w:lang w:eastAsia="en-GB"/>
              </w:rPr>
            </w:pPr>
            <w:r>
              <w:rPr>
                <w:rFonts w:ascii="Arial" w:eastAsia="Times New Roman" w:hAnsi="Arial" w:cs="Arial"/>
                <w:b/>
                <w:bCs/>
                <w:color w:val="000000"/>
                <w:lang w:eastAsia="en-GB"/>
              </w:rPr>
              <w:t>Operating profit</w:t>
            </w:r>
          </w:p>
        </w:tc>
        <w:tc>
          <w:tcPr>
            <w:tcW w:w="620" w:type="dxa"/>
            <w:shd w:val="clear" w:color="auto" w:fill="FFFFFF"/>
            <w:vAlign w:val="center"/>
            <w:hideMark/>
          </w:tcPr>
          <w:p w14:paraId="3E918726" w14:textId="77777777" w:rsidR="0021298F" w:rsidRDefault="0021298F" w:rsidP="00760009">
            <w:pPr>
              <w:jc w:val="center"/>
              <w:rPr>
                <w:rFonts w:ascii="Arial" w:eastAsia="Times New Roman" w:hAnsi="Arial" w:cs="Arial"/>
                <w:b/>
                <w:bCs/>
                <w:color w:val="000000"/>
                <w:lang w:eastAsia="en-GB"/>
              </w:rPr>
            </w:pPr>
            <w:r>
              <w:rPr>
                <w:rFonts w:ascii="Arial" w:eastAsia="Times New Roman" w:hAnsi="Arial" w:cs="Arial"/>
                <w:b/>
                <w:bCs/>
                <w:color w:val="000000"/>
                <w:lang w:eastAsia="en-GB"/>
              </w:rPr>
              <w:t> </w:t>
            </w:r>
          </w:p>
        </w:tc>
        <w:tc>
          <w:tcPr>
            <w:tcW w:w="1960" w:type="dxa"/>
            <w:shd w:val="clear" w:color="auto" w:fill="EDFFB7"/>
            <w:vAlign w:val="center"/>
            <w:hideMark/>
          </w:tcPr>
          <w:p w14:paraId="6FFA8FBF" w14:textId="77777777" w:rsidR="0021298F" w:rsidRDefault="0021298F" w:rsidP="00760009">
            <w:pPr>
              <w:jc w:val="right"/>
              <w:rPr>
                <w:rFonts w:ascii="Arial" w:eastAsia="Times New Roman" w:hAnsi="Arial" w:cs="Arial"/>
                <w:b/>
                <w:bCs/>
                <w:color w:val="000000"/>
                <w:lang w:eastAsia="en-GB"/>
              </w:rPr>
            </w:pPr>
            <w:r>
              <w:rPr>
                <w:rFonts w:ascii="Arial" w:eastAsia="Times New Roman" w:hAnsi="Arial" w:cs="Arial"/>
                <w:b/>
                <w:bCs/>
                <w:color w:val="000000"/>
                <w:lang w:eastAsia="en-GB"/>
              </w:rPr>
              <w:t xml:space="preserve">19,511 </w:t>
            </w:r>
          </w:p>
        </w:tc>
        <w:tc>
          <w:tcPr>
            <w:tcW w:w="1960" w:type="dxa"/>
            <w:shd w:val="clear" w:color="auto" w:fill="FFFFFF"/>
            <w:noWrap/>
            <w:vAlign w:val="center"/>
            <w:hideMark/>
          </w:tcPr>
          <w:p w14:paraId="7A699582" w14:textId="77777777" w:rsidR="0021298F" w:rsidRDefault="0021298F" w:rsidP="00760009">
            <w:pPr>
              <w:jc w:val="right"/>
              <w:rPr>
                <w:rFonts w:ascii="Arial" w:eastAsia="Times New Roman" w:hAnsi="Arial" w:cs="Arial"/>
                <w:b/>
                <w:bCs/>
                <w:color w:val="000000"/>
                <w:lang w:eastAsia="en-GB"/>
              </w:rPr>
            </w:pPr>
            <w:r>
              <w:rPr>
                <w:rFonts w:ascii="Arial" w:eastAsia="Times New Roman" w:hAnsi="Arial" w:cs="Arial"/>
                <w:b/>
                <w:bCs/>
                <w:color w:val="000000"/>
                <w:lang w:eastAsia="en-GB"/>
              </w:rPr>
              <w:t>24,359</w:t>
            </w:r>
          </w:p>
        </w:tc>
      </w:tr>
      <w:tr w:rsidR="0021298F" w14:paraId="3EB9247F" w14:textId="77777777" w:rsidTr="00760009">
        <w:trPr>
          <w:trHeight w:val="300"/>
        </w:trPr>
        <w:tc>
          <w:tcPr>
            <w:tcW w:w="4840" w:type="dxa"/>
            <w:shd w:val="clear" w:color="auto" w:fill="FFFFFF"/>
            <w:vAlign w:val="center"/>
            <w:hideMark/>
          </w:tcPr>
          <w:p w14:paraId="025B01FD" w14:textId="77777777" w:rsidR="0021298F" w:rsidRDefault="0021298F" w:rsidP="00760009">
            <w:pPr>
              <w:jc w:val="both"/>
              <w:rPr>
                <w:rFonts w:ascii="Arial" w:eastAsia="Times New Roman" w:hAnsi="Arial" w:cs="Arial"/>
                <w:color w:val="000000"/>
                <w:lang w:eastAsia="en-GB"/>
              </w:rPr>
            </w:pPr>
            <w:r>
              <w:rPr>
                <w:rFonts w:ascii="Arial" w:eastAsia="Times New Roman" w:hAnsi="Arial" w:cs="Arial"/>
                <w:color w:val="000000"/>
                <w:lang w:eastAsia="en-GB"/>
              </w:rPr>
              <w:t> </w:t>
            </w:r>
          </w:p>
        </w:tc>
        <w:tc>
          <w:tcPr>
            <w:tcW w:w="620" w:type="dxa"/>
            <w:shd w:val="clear" w:color="auto" w:fill="FFFFFF"/>
            <w:vAlign w:val="center"/>
            <w:hideMark/>
          </w:tcPr>
          <w:p w14:paraId="7867FC1B" w14:textId="77777777" w:rsidR="0021298F" w:rsidRDefault="0021298F" w:rsidP="00760009">
            <w:pPr>
              <w:jc w:val="center"/>
              <w:rPr>
                <w:rFonts w:ascii="Arial" w:eastAsia="Times New Roman" w:hAnsi="Arial" w:cs="Arial"/>
                <w:b/>
                <w:bCs/>
                <w:color w:val="000000"/>
                <w:lang w:eastAsia="en-GB"/>
              </w:rPr>
            </w:pPr>
            <w:r>
              <w:rPr>
                <w:rFonts w:ascii="Arial" w:eastAsia="Times New Roman" w:hAnsi="Arial" w:cs="Arial"/>
                <w:b/>
                <w:bCs/>
                <w:color w:val="000000"/>
                <w:lang w:eastAsia="en-GB"/>
              </w:rPr>
              <w:t> </w:t>
            </w:r>
          </w:p>
        </w:tc>
        <w:tc>
          <w:tcPr>
            <w:tcW w:w="1960" w:type="dxa"/>
            <w:shd w:val="clear" w:color="auto" w:fill="EDFFB7"/>
            <w:vAlign w:val="center"/>
            <w:hideMark/>
          </w:tcPr>
          <w:p w14:paraId="483F96AA" w14:textId="77777777" w:rsidR="0021298F" w:rsidRDefault="0021298F" w:rsidP="00760009">
            <w:pPr>
              <w:jc w:val="right"/>
              <w:rPr>
                <w:rFonts w:ascii="Arial" w:eastAsia="Times New Roman" w:hAnsi="Arial" w:cs="Arial"/>
                <w:color w:val="000000"/>
                <w:lang w:eastAsia="en-GB"/>
              </w:rPr>
            </w:pPr>
            <w:r>
              <w:rPr>
                <w:rFonts w:ascii="Arial" w:eastAsia="Times New Roman" w:hAnsi="Arial" w:cs="Arial"/>
                <w:color w:val="000000"/>
                <w:lang w:eastAsia="en-GB"/>
              </w:rPr>
              <w:t> </w:t>
            </w:r>
          </w:p>
        </w:tc>
        <w:tc>
          <w:tcPr>
            <w:tcW w:w="1960" w:type="dxa"/>
            <w:shd w:val="clear" w:color="auto" w:fill="FFFFFF"/>
            <w:noWrap/>
            <w:vAlign w:val="center"/>
            <w:hideMark/>
          </w:tcPr>
          <w:p w14:paraId="4A83D618" w14:textId="77777777" w:rsidR="0021298F" w:rsidRDefault="0021298F" w:rsidP="00760009">
            <w:pPr>
              <w:jc w:val="right"/>
              <w:rPr>
                <w:rFonts w:ascii="Arial" w:eastAsia="Times New Roman" w:hAnsi="Arial" w:cs="Arial"/>
                <w:color w:val="000000"/>
                <w:lang w:eastAsia="en-GB"/>
              </w:rPr>
            </w:pPr>
            <w:r>
              <w:rPr>
                <w:rFonts w:ascii="Arial" w:eastAsia="Times New Roman" w:hAnsi="Arial" w:cs="Arial"/>
                <w:color w:val="000000"/>
                <w:lang w:eastAsia="en-GB"/>
              </w:rPr>
              <w:t> </w:t>
            </w:r>
          </w:p>
        </w:tc>
      </w:tr>
      <w:tr w:rsidR="0021298F" w14:paraId="365BB953" w14:textId="77777777" w:rsidTr="00760009">
        <w:trPr>
          <w:trHeight w:val="315"/>
        </w:trPr>
        <w:tc>
          <w:tcPr>
            <w:tcW w:w="4840" w:type="dxa"/>
            <w:tcBorders>
              <w:top w:val="nil"/>
              <w:left w:val="nil"/>
              <w:bottom w:val="single" w:sz="8" w:space="0" w:color="auto"/>
              <w:right w:val="nil"/>
            </w:tcBorders>
            <w:shd w:val="clear" w:color="auto" w:fill="FFFFFF"/>
            <w:vAlign w:val="center"/>
            <w:hideMark/>
          </w:tcPr>
          <w:p w14:paraId="5FB9E471" w14:textId="77777777" w:rsidR="0021298F" w:rsidRDefault="0021298F" w:rsidP="00760009">
            <w:pPr>
              <w:jc w:val="both"/>
              <w:rPr>
                <w:rFonts w:ascii="Arial" w:eastAsia="Times New Roman" w:hAnsi="Arial" w:cs="Arial"/>
                <w:color w:val="000000"/>
                <w:lang w:eastAsia="en-GB"/>
              </w:rPr>
            </w:pPr>
            <w:r>
              <w:rPr>
                <w:rFonts w:ascii="Arial" w:eastAsia="Times New Roman" w:hAnsi="Arial" w:cs="Arial"/>
                <w:color w:val="000000"/>
                <w:lang w:eastAsia="en-GB"/>
              </w:rPr>
              <w:t>Finance expense</w:t>
            </w:r>
          </w:p>
        </w:tc>
        <w:tc>
          <w:tcPr>
            <w:tcW w:w="620" w:type="dxa"/>
            <w:tcBorders>
              <w:top w:val="nil"/>
              <w:left w:val="nil"/>
              <w:bottom w:val="single" w:sz="8" w:space="0" w:color="auto"/>
              <w:right w:val="nil"/>
            </w:tcBorders>
            <w:shd w:val="clear" w:color="auto" w:fill="FFFFFF"/>
            <w:vAlign w:val="center"/>
            <w:hideMark/>
          </w:tcPr>
          <w:p w14:paraId="797DA7C0" w14:textId="77777777" w:rsidR="0021298F" w:rsidRDefault="0021298F" w:rsidP="00760009">
            <w:pPr>
              <w:jc w:val="center"/>
              <w:rPr>
                <w:rFonts w:ascii="Arial" w:eastAsia="Times New Roman" w:hAnsi="Arial" w:cs="Arial"/>
                <w:b/>
                <w:bCs/>
                <w:color w:val="000000"/>
                <w:lang w:eastAsia="en-GB"/>
              </w:rPr>
            </w:pPr>
            <w:r>
              <w:rPr>
                <w:rFonts w:ascii="Arial" w:eastAsia="Times New Roman" w:hAnsi="Arial" w:cs="Arial"/>
                <w:b/>
                <w:bCs/>
                <w:color w:val="000000"/>
                <w:lang w:eastAsia="en-GB"/>
              </w:rPr>
              <w:t>13</w:t>
            </w:r>
          </w:p>
        </w:tc>
        <w:tc>
          <w:tcPr>
            <w:tcW w:w="1960" w:type="dxa"/>
            <w:tcBorders>
              <w:top w:val="nil"/>
              <w:left w:val="nil"/>
              <w:bottom w:val="single" w:sz="8" w:space="0" w:color="auto"/>
              <w:right w:val="nil"/>
            </w:tcBorders>
            <w:shd w:val="clear" w:color="auto" w:fill="EDFFB7"/>
            <w:vAlign w:val="center"/>
            <w:hideMark/>
          </w:tcPr>
          <w:p w14:paraId="649975BF" w14:textId="77777777" w:rsidR="0021298F" w:rsidRDefault="0021298F" w:rsidP="00760009">
            <w:pPr>
              <w:jc w:val="right"/>
              <w:rPr>
                <w:rFonts w:ascii="Arial" w:eastAsia="Times New Roman" w:hAnsi="Arial" w:cs="Arial"/>
                <w:color w:val="000000"/>
                <w:lang w:eastAsia="en-GB"/>
              </w:rPr>
            </w:pPr>
            <w:r>
              <w:rPr>
                <w:rFonts w:ascii="Arial" w:eastAsia="Times New Roman" w:hAnsi="Arial" w:cs="Arial"/>
                <w:color w:val="000000"/>
                <w:lang w:eastAsia="en-GB"/>
              </w:rPr>
              <w:t xml:space="preserve"> (5,443)</w:t>
            </w:r>
          </w:p>
        </w:tc>
        <w:tc>
          <w:tcPr>
            <w:tcW w:w="1960" w:type="dxa"/>
            <w:tcBorders>
              <w:top w:val="nil"/>
              <w:left w:val="nil"/>
              <w:bottom w:val="single" w:sz="8" w:space="0" w:color="auto"/>
              <w:right w:val="nil"/>
            </w:tcBorders>
            <w:shd w:val="clear" w:color="auto" w:fill="FFFFFF"/>
            <w:vAlign w:val="center"/>
            <w:hideMark/>
          </w:tcPr>
          <w:p w14:paraId="6E470A1C" w14:textId="77777777" w:rsidR="0021298F" w:rsidRDefault="0021298F" w:rsidP="00760009">
            <w:pPr>
              <w:jc w:val="right"/>
              <w:rPr>
                <w:rFonts w:ascii="Arial" w:eastAsia="Times New Roman" w:hAnsi="Arial" w:cs="Arial"/>
                <w:color w:val="000000"/>
                <w:lang w:eastAsia="en-GB"/>
              </w:rPr>
            </w:pPr>
            <w:r>
              <w:rPr>
                <w:rFonts w:ascii="Arial" w:eastAsia="Times New Roman" w:hAnsi="Arial" w:cs="Arial"/>
                <w:color w:val="000000"/>
                <w:lang w:eastAsia="en-GB"/>
              </w:rPr>
              <w:t xml:space="preserve"> (6,025)</w:t>
            </w:r>
          </w:p>
        </w:tc>
      </w:tr>
      <w:tr w:rsidR="0021298F" w14:paraId="2B303B2D" w14:textId="77777777" w:rsidTr="00760009">
        <w:trPr>
          <w:trHeight w:val="300"/>
        </w:trPr>
        <w:tc>
          <w:tcPr>
            <w:tcW w:w="4840" w:type="dxa"/>
            <w:shd w:val="clear" w:color="auto" w:fill="FFFFFF"/>
            <w:vAlign w:val="center"/>
            <w:hideMark/>
          </w:tcPr>
          <w:p w14:paraId="77E18761" w14:textId="77777777" w:rsidR="0021298F" w:rsidRDefault="0021298F" w:rsidP="00760009">
            <w:pPr>
              <w:jc w:val="both"/>
              <w:rPr>
                <w:rFonts w:ascii="Arial" w:eastAsia="Times New Roman" w:hAnsi="Arial" w:cs="Arial"/>
                <w:b/>
                <w:bCs/>
                <w:color w:val="000000"/>
                <w:lang w:eastAsia="en-GB"/>
              </w:rPr>
            </w:pPr>
            <w:r>
              <w:rPr>
                <w:rFonts w:ascii="Arial" w:eastAsia="Times New Roman" w:hAnsi="Arial" w:cs="Arial"/>
                <w:b/>
                <w:bCs/>
                <w:color w:val="000000"/>
                <w:lang w:eastAsia="en-GB"/>
              </w:rPr>
              <w:t> </w:t>
            </w:r>
          </w:p>
        </w:tc>
        <w:tc>
          <w:tcPr>
            <w:tcW w:w="620" w:type="dxa"/>
            <w:shd w:val="clear" w:color="auto" w:fill="FFFFFF"/>
            <w:vAlign w:val="center"/>
            <w:hideMark/>
          </w:tcPr>
          <w:p w14:paraId="22139977" w14:textId="77777777" w:rsidR="0021298F" w:rsidRDefault="0021298F" w:rsidP="00760009">
            <w:pPr>
              <w:jc w:val="center"/>
              <w:rPr>
                <w:rFonts w:ascii="Arial" w:eastAsia="Times New Roman" w:hAnsi="Arial" w:cs="Arial"/>
                <w:b/>
                <w:bCs/>
                <w:color w:val="000000"/>
                <w:lang w:eastAsia="en-GB"/>
              </w:rPr>
            </w:pPr>
            <w:r>
              <w:rPr>
                <w:rFonts w:ascii="Arial" w:eastAsia="Times New Roman" w:hAnsi="Arial" w:cs="Arial"/>
                <w:b/>
                <w:bCs/>
                <w:color w:val="000000"/>
                <w:lang w:eastAsia="en-GB"/>
              </w:rPr>
              <w:t> </w:t>
            </w:r>
          </w:p>
        </w:tc>
        <w:tc>
          <w:tcPr>
            <w:tcW w:w="1960" w:type="dxa"/>
            <w:shd w:val="clear" w:color="auto" w:fill="EDFFB7"/>
            <w:vAlign w:val="center"/>
            <w:hideMark/>
          </w:tcPr>
          <w:p w14:paraId="64F31C35" w14:textId="77777777" w:rsidR="0021298F" w:rsidRDefault="0021298F" w:rsidP="00760009">
            <w:pPr>
              <w:jc w:val="right"/>
              <w:rPr>
                <w:rFonts w:ascii="Arial" w:eastAsia="Times New Roman" w:hAnsi="Arial" w:cs="Arial"/>
                <w:b/>
                <w:bCs/>
                <w:color w:val="000000"/>
                <w:lang w:eastAsia="en-GB"/>
              </w:rPr>
            </w:pPr>
            <w:r>
              <w:rPr>
                <w:rFonts w:ascii="Arial" w:eastAsia="Times New Roman" w:hAnsi="Arial" w:cs="Arial"/>
                <w:b/>
                <w:bCs/>
                <w:color w:val="000000"/>
                <w:lang w:eastAsia="en-GB"/>
              </w:rPr>
              <w:t> </w:t>
            </w:r>
          </w:p>
        </w:tc>
        <w:tc>
          <w:tcPr>
            <w:tcW w:w="1960" w:type="dxa"/>
            <w:shd w:val="clear" w:color="auto" w:fill="FFFFFF"/>
            <w:noWrap/>
            <w:vAlign w:val="center"/>
            <w:hideMark/>
          </w:tcPr>
          <w:p w14:paraId="5D8DFD03" w14:textId="77777777" w:rsidR="0021298F" w:rsidRDefault="0021298F" w:rsidP="00760009">
            <w:pPr>
              <w:jc w:val="right"/>
              <w:rPr>
                <w:rFonts w:ascii="Arial" w:eastAsia="Times New Roman" w:hAnsi="Arial" w:cs="Arial"/>
                <w:b/>
                <w:bCs/>
                <w:color w:val="000000"/>
                <w:lang w:eastAsia="en-GB"/>
              </w:rPr>
            </w:pPr>
            <w:r>
              <w:rPr>
                <w:rFonts w:ascii="Arial" w:eastAsia="Times New Roman" w:hAnsi="Arial" w:cs="Arial"/>
                <w:b/>
                <w:bCs/>
                <w:color w:val="000000"/>
                <w:lang w:eastAsia="en-GB"/>
              </w:rPr>
              <w:t> </w:t>
            </w:r>
          </w:p>
        </w:tc>
      </w:tr>
      <w:tr w:rsidR="0021298F" w14:paraId="10995FAF" w14:textId="77777777" w:rsidTr="00760009">
        <w:trPr>
          <w:trHeight w:val="300"/>
        </w:trPr>
        <w:tc>
          <w:tcPr>
            <w:tcW w:w="4840" w:type="dxa"/>
            <w:shd w:val="clear" w:color="auto" w:fill="FFFFFF"/>
            <w:vAlign w:val="center"/>
            <w:hideMark/>
          </w:tcPr>
          <w:p w14:paraId="745AF414" w14:textId="77777777" w:rsidR="0021298F" w:rsidRDefault="0021298F" w:rsidP="00760009">
            <w:pPr>
              <w:jc w:val="both"/>
              <w:rPr>
                <w:rFonts w:ascii="Arial" w:eastAsia="Times New Roman" w:hAnsi="Arial" w:cs="Arial"/>
                <w:b/>
                <w:bCs/>
                <w:color w:val="000000"/>
                <w:lang w:eastAsia="en-GB"/>
              </w:rPr>
            </w:pPr>
            <w:r>
              <w:rPr>
                <w:rFonts w:ascii="Arial" w:eastAsia="Times New Roman" w:hAnsi="Arial" w:cs="Arial"/>
                <w:b/>
                <w:bCs/>
                <w:color w:val="000000"/>
                <w:lang w:eastAsia="en-GB"/>
              </w:rPr>
              <w:t>Profit for the year before tax</w:t>
            </w:r>
          </w:p>
        </w:tc>
        <w:tc>
          <w:tcPr>
            <w:tcW w:w="620" w:type="dxa"/>
            <w:shd w:val="clear" w:color="auto" w:fill="FFFFFF"/>
            <w:vAlign w:val="center"/>
            <w:hideMark/>
          </w:tcPr>
          <w:p w14:paraId="60528F16" w14:textId="77777777" w:rsidR="0021298F" w:rsidRDefault="0021298F" w:rsidP="00760009">
            <w:pPr>
              <w:jc w:val="center"/>
              <w:rPr>
                <w:rFonts w:ascii="Arial" w:eastAsia="Times New Roman" w:hAnsi="Arial" w:cs="Arial"/>
                <w:b/>
                <w:bCs/>
                <w:color w:val="000000"/>
                <w:lang w:eastAsia="en-GB"/>
              </w:rPr>
            </w:pPr>
            <w:r>
              <w:rPr>
                <w:rFonts w:ascii="Arial" w:eastAsia="Times New Roman" w:hAnsi="Arial" w:cs="Arial"/>
                <w:b/>
                <w:bCs/>
                <w:color w:val="000000"/>
                <w:lang w:eastAsia="en-GB"/>
              </w:rPr>
              <w:t> </w:t>
            </w:r>
          </w:p>
        </w:tc>
        <w:tc>
          <w:tcPr>
            <w:tcW w:w="1960" w:type="dxa"/>
            <w:shd w:val="clear" w:color="auto" w:fill="EDFFB7"/>
            <w:vAlign w:val="center"/>
            <w:hideMark/>
          </w:tcPr>
          <w:p w14:paraId="5A482784" w14:textId="77777777" w:rsidR="0021298F" w:rsidRDefault="0021298F" w:rsidP="00760009">
            <w:pPr>
              <w:jc w:val="right"/>
              <w:rPr>
                <w:rFonts w:ascii="Arial" w:eastAsia="Times New Roman" w:hAnsi="Arial" w:cs="Arial"/>
                <w:color w:val="000000"/>
                <w:lang w:eastAsia="en-GB"/>
              </w:rPr>
            </w:pPr>
            <w:r>
              <w:rPr>
                <w:rFonts w:ascii="Arial" w:eastAsia="Times New Roman" w:hAnsi="Arial" w:cs="Arial"/>
                <w:color w:val="000000"/>
                <w:lang w:eastAsia="en-GB"/>
              </w:rPr>
              <w:t xml:space="preserve">14,068 </w:t>
            </w:r>
          </w:p>
        </w:tc>
        <w:tc>
          <w:tcPr>
            <w:tcW w:w="1960" w:type="dxa"/>
            <w:shd w:val="clear" w:color="auto" w:fill="FFFFFF"/>
            <w:noWrap/>
            <w:vAlign w:val="center"/>
            <w:hideMark/>
          </w:tcPr>
          <w:p w14:paraId="1D20DBB5" w14:textId="77777777" w:rsidR="0021298F" w:rsidRDefault="0021298F" w:rsidP="00760009">
            <w:pPr>
              <w:jc w:val="right"/>
              <w:rPr>
                <w:rFonts w:ascii="Arial" w:eastAsia="Times New Roman" w:hAnsi="Arial" w:cs="Arial"/>
                <w:b/>
                <w:bCs/>
                <w:color w:val="000000"/>
                <w:lang w:eastAsia="en-GB"/>
              </w:rPr>
            </w:pPr>
            <w:r>
              <w:rPr>
                <w:rFonts w:ascii="Arial" w:eastAsia="Times New Roman" w:hAnsi="Arial" w:cs="Arial"/>
                <w:b/>
                <w:bCs/>
                <w:color w:val="000000"/>
                <w:lang w:eastAsia="en-GB"/>
              </w:rPr>
              <w:t>18,334</w:t>
            </w:r>
          </w:p>
        </w:tc>
      </w:tr>
      <w:tr w:rsidR="0021298F" w14:paraId="010456D0" w14:textId="77777777" w:rsidTr="00760009">
        <w:trPr>
          <w:trHeight w:val="300"/>
        </w:trPr>
        <w:tc>
          <w:tcPr>
            <w:tcW w:w="4840" w:type="dxa"/>
            <w:shd w:val="clear" w:color="auto" w:fill="FFFFFF"/>
            <w:vAlign w:val="center"/>
            <w:hideMark/>
          </w:tcPr>
          <w:p w14:paraId="66F88780" w14:textId="77777777" w:rsidR="0021298F" w:rsidRDefault="0021298F" w:rsidP="00760009">
            <w:pPr>
              <w:jc w:val="both"/>
              <w:rPr>
                <w:rFonts w:ascii="Arial" w:eastAsia="Times New Roman" w:hAnsi="Arial" w:cs="Arial"/>
                <w:color w:val="000000"/>
                <w:lang w:eastAsia="en-GB"/>
              </w:rPr>
            </w:pPr>
            <w:r>
              <w:rPr>
                <w:rFonts w:ascii="Arial" w:eastAsia="Times New Roman" w:hAnsi="Arial" w:cs="Arial"/>
                <w:color w:val="000000"/>
                <w:lang w:eastAsia="en-GB"/>
              </w:rPr>
              <w:t> </w:t>
            </w:r>
          </w:p>
        </w:tc>
        <w:tc>
          <w:tcPr>
            <w:tcW w:w="620" w:type="dxa"/>
            <w:shd w:val="clear" w:color="auto" w:fill="FFFFFF"/>
            <w:vAlign w:val="center"/>
            <w:hideMark/>
          </w:tcPr>
          <w:p w14:paraId="67732BEA" w14:textId="77777777" w:rsidR="0021298F" w:rsidRDefault="0021298F" w:rsidP="00760009">
            <w:pPr>
              <w:jc w:val="center"/>
              <w:rPr>
                <w:rFonts w:ascii="Arial" w:eastAsia="Times New Roman" w:hAnsi="Arial" w:cs="Arial"/>
                <w:b/>
                <w:bCs/>
                <w:color w:val="000000"/>
                <w:lang w:eastAsia="en-GB"/>
              </w:rPr>
            </w:pPr>
            <w:r>
              <w:rPr>
                <w:rFonts w:ascii="Arial" w:eastAsia="Times New Roman" w:hAnsi="Arial" w:cs="Arial"/>
                <w:b/>
                <w:bCs/>
                <w:color w:val="000000"/>
                <w:lang w:eastAsia="en-GB"/>
              </w:rPr>
              <w:t> </w:t>
            </w:r>
          </w:p>
        </w:tc>
        <w:tc>
          <w:tcPr>
            <w:tcW w:w="1960" w:type="dxa"/>
            <w:shd w:val="clear" w:color="auto" w:fill="EDFFB7"/>
            <w:vAlign w:val="center"/>
            <w:hideMark/>
          </w:tcPr>
          <w:p w14:paraId="486897DC" w14:textId="77777777" w:rsidR="0021298F" w:rsidRDefault="0021298F" w:rsidP="00760009">
            <w:pPr>
              <w:jc w:val="right"/>
              <w:rPr>
                <w:rFonts w:ascii="Arial" w:eastAsia="Times New Roman" w:hAnsi="Arial" w:cs="Arial"/>
                <w:color w:val="000000"/>
                <w:lang w:eastAsia="en-GB"/>
              </w:rPr>
            </w:pPr>
            <w:r>
              <w:rPr>
                <w:rFonts w:ascii="Arial" w:eastAsia="Times New Roman" w:hAnsi="Arial" w:cs="Arial"/>
                <w:color w:val="000000"/>
                <w:lang w:eastAsia="en-GB"/>
              </w:rPr>
              <w:t> </w:t>
            </w:r>
          </w:p>
        </w:tc>
        <w:tc>
          <w:tcPr>
            <w:tcW w:w="1960" w:type="dxa"/>
            <w:shd w:val="clear" w:color="auto" w:fill="FFFFFF"/>
            <w:noWrap/>
            <w:vAlign w:val="center"/>
            <w:hideMark/>
          </w:tcPr>
          <w:p w14:paraId="6F96A351" w14:textId="77777777" w:rsidR="0021298F" w:rsidRDefault="0021298F" w:rsidP="00760009">
            <w:pPr>
              <w:jc w:val="right"/>
              <w:rPr>
                <w:rFonts w:ascii="Arial" w:eastAsia="Times New Roman" w:hAnsi="Arial" w:cs="Arial"/>
                <w:color w:val="000000"/>
                <w:lang w:eastAsia="en-GB"/>
              </w:rPr>
            </w:pPr>
            <w:r>
              <w:rPr>
                <w:rFonts w:ascii="Arial" w:eastAsia="Times New Roman" w:hAnsi="Arial" w:cs="Arial"/>
                <w:color w:val="000000"/>
                <w:lang w:eastAsia="en-GB"/>
              </w:rPr>
              <w:t> </w:t>
            </w:r>
          </w:p>
        </w:tc>
      </w:tr>
      <w:tr w:rsidR="0021298F" w14:paraId="2E394202" w14:textId="77777777" w:rsidTr="00760009">
        <w:trPr>
          <w:trHeight w:val="330"/>
        </w:trPr>
        <w:tc>
          <w:tcPr>
            <w:tcW w:w="4840" w:type="dxa"/>
            <w:tcBorders>
              <w:top w:val="nil"/>
              <w:left w:val="nil"/>
              <w:bottom w:val="single" w:sz="8" w:space="0" w:color="auto"/>
              <w:right w:val="nil"/>
            </w:tcBorders>
            <w:shd w:val="clear" w:color="auto" w:fill="FFFFFF"/>
            <w:noWrap/>
            <w:vAlign w:val="center"/>
            <w:hideMark/>
          </w:tcPr>
          <w:p w14:paraId="1E830AC2" w14:textId="77777777" w:rsidR="0021298F" w:rsidRDefault="0021298F" w:rsidP="00760009">
            <w:pPr>
              <w:jc w:val="both"/>
              <w:rPr>
                <w:rFonts w:ascii="Arial" w:eastAsia="Times New Roman" w:hAnsi="Arial" w:cs="Arial"/>
                <w:color w:val="000000"/>
                <w:lang w:eastAsia="en-GB"/>
              </w:rPr>
            </w:pPr>
            <w:r>
              <w:rPr>
                <w:rFonts w:ascii="Arial" w:eastAsia="Times New Roman" w:hAnsi="Arial" w:cs="Arial"/>
                <w:color w:val="000000"/>
                <w:lang w:eastAsia="en-GB"/>
              </w:rPr>
              <w:t>Taxation</w:t>
            </w:r>
          </w:p>
        </w:tc>
        <w:tc>
          <w:tcPr>
            <w:tcW w:w="620" w:type="dxa"/>
            <w:tcBorders>
              <w:top w:val="nil"/>
              <w:left w:val="nil"/>
              <w:bottom w:val="single" w:sz="8" w:space="0" w:color="auto"/>
              <w:right w:val="nil"/>
            </w:tcBorders>
            <w:shd w:val="clear" w:color="auto" w:fill="FFFFFF"/>
            <w:vAlign w:val="center"/>
            <w:hideMark/>
          </w:tcPr>
          <w:p w14:paraId="244079DD" w14:textId="77777777" w:rsidR="0021298F" w:rsidRDefault="0021298F" w:rsidP="00760009">
            <w:pPr>
              <w:jc w:val="center"/>
              <w:rPr>
                <w:rFonts w:ascii="Arial" w:eastAsia="Times New Roman" w:hAnsi="Arial" w:cs="Arial"/>
                <w:b/>
                <w:bCs/>
                <w:color w:val="000000"/>
                <w:lang w:eastAsia="en-GB"/>
              </w:rPr>
            </w:pPr>
            <w:r>
              <w:rPr>
                <w:rFonts w:ascii="Arial" w:eastAsia="Times New Roman" w:hAnsi="Arial" w:cs="Arial"/>
                <w:b/>
                <w:bCs/>
                <w:color w:val="000000"/>
                <w:lang w:eastAsia="en-GB"/>
              </w:rPr>
              <w:t>6</w:t>
            </w:r>
          </w:p>
        </w:tc>
        <w:tc>
          <w:tcPr>
            <w:tcW w:w="1960" w:type="dxa"/>
            <w:tcBorders>
              <w:top w:val="nil"/>
              <w:left w:val="nil"/>
              <w:bottom w:val="single" w:sz="8" w:space="0" w:color="auto"/>
              <w:right w:val="nil"/>
            </w:tcBorders>
            <w:shd w:val="clear" w:color="auto" w:fill="EDFFB7"/>
            <w:vAlign w:val="center"/>
            <w:hideMark/>
          </w:tcPr>
          <w:p w14:paraId="588FD9E7" w14:textId="77777777" w:rsidR="0021298F" w:rsidRDefault="0021298F" w:rsidP="00760009">
            <w:pPr>
              <w:jc w:val="right"/>
              <w:rPr>
                <w:rFonts w:ascii="Arial" w:eastAsia="Times New Roman" w:hAnsi="Arial" w:cs="Arial"/>
                <w:color w:val="000000"/>
                <w:lang w:eastAsia="en-GB"/>
              </w:rPr>
            </w:pPr>
            <w:r>
              <w:rPr>
                <w:rFonts w:ascii="Arial" w:eastAsia="Times New Roman" w:hAnsi="Arial" w:cs="Arial"/>
                <w:color w:val="000000"/>
                <w:lang w:eastAsia="en-GB"/>
              </w:rPr>
              <w:t xml:space="preserve">-   </w:t>
            </w:r>
          </w:p>
        </w:tc>
        <w:tc>
          <w:tcPr>
            <w:tcW w:w="1960" w:type="dxa"/>
            <w:tcBorders>
              <w:top w:val="nil"/>
              <w:left w:val="nil"/>
              <w:bottom w:val="single" w:sz="8" w:space="0" w:color="auto"/>
              <w:right w:val="nil"/>
            </w:tcBorders>
            <w:shd w:val="clear" w:color="auto" w:fill="FFFFFF"/>
            <w:vAlign w:val="center"/>
            <w:hideMark/>
          </w:tcPr>
          <w:p w14:paraId="21A76779" w14:textId="77777777" w:rsidR="0021298F" w:rsidRDefault="0021298F" w:rsidP="00760009">
            <w:pPr>
              <w:jc w:val="right"/>
              <w:rPr>
                <w:rFonts w:ascii="Arial" w:eastAsia="Times New Roman" w:hAnsi="Arial" w:cs="Arial"/>
                <w:color w:val="000000"/>
                <w:lang w:eastAsia="en-GB"/>
              </w:rPr>
            </w:pPr>
            <w:r>
              <w:rPr>
                <w:rFonts w:ascii="Arial" w:eastAsia="Times New Roman" w:hAnsi="Arial" w:cs="Arial"/>
                <w:color w:val="000000"/>
                <w:lang w:eastAsia="en-GB"/>
              </w:rPr>
              <w:t xml:space="preserve"> (1,237)</w:t>
            </w:r>
          </w:p>
        </w:tc>
      </w:tr>
      <w:tr w:rsidR="0021298F" w14:paraId="1E839CCE" w14:textId="77777777" w:rsidTr="00760009">
        <w:trPr>
          <w:trHeight w:val="300"/>
        </w:trPr>
        <w:tc>
          <w:tcPr>
            <w:tcW w:w="4840" w:type="dxa"/>
            <w:shd w:val="clear" w:color="auto" w:fill="FFFFFF"/>
            <w:noWrap/>
            <w:vAlign w:val="center"/>
            <w:hideMark/>
          </w:tcPr>
          <w:p w14:paraId="65A61147" w14:textId="77777777" w:rsidR="0021298F" w:rsidRDefault="0021298F" w:rsidP="00760009">
            <w:pPr>
              <w:jc w:val="both"/>
              <w:rPr>
                <w:rFonts w:ascii="Arial" w:eastAsia="Times New Roman" w:hAnsi="Arial" w:cs="Arial"/>
                <w:color w:val="000000"/>
                <w:lang w:eastAsia="en-GB"/>
              </w:rPr>
            </w:pPr>
            <w:r>
              <w:rPr>
                <w:rFonts w:ascii="Arial" w:eastAsia="Times New Roman" w:hAnsi="Arial" w:cs="Arial"/>
                <w:color w:val="000000"/>
                <w:lang w:eastAsia="en-GB"/>
              </w:rPr>
              <w:t> </w:t>
            </w:r>
          </w:p>
        </w:tc>
        <w:tc>
          <w:tcPr>
            <w:tcW w:w="620" w:type="dxa"/>
            <w:shd w:val="clear" w:color="auto" w:fill="FFFFFF"/>
            <w:vAlign w:val="center"/>
            <w:hideMark/>
          </w:tcPr>
          <w:p w14:paraId="2EF1C6BB" w14:textId="77777777" w:rsidR="0021298F" w:rsidRDefault="0021298F" w:rsidP="00760009">
            <w:pPr>
              <w:jc w:val="center"/>
              <w:rPr>
                <w:rFonts w:ascii="Arial" w:eastAsia="Times New Roman" w:hAnsi="Arial" w:cs="Arial"/>
                <w:b/>
                <w:bCs/>
                <w:color w:val="000000"/>
                <w:lang w:eastAsia="en-GB"/>
              </w:rPr>
            </w:pPr>
            <w:r>
              <w:rPr>
                <w:rFonts w:ascii="Arial" w:eastAsia="Times New Roman" w:hAnsi="Arial" w:cs="Arial"/>
                <w:b/>
                <w:bCs/>
                <w:color w:val="000000"/>
                <w:lang w:eastAsia="en-GB"/>
              </w:rPr>
              <w:t> </w:t>
            </w:r>
          </w:p>
        </w:tc>
        <w:tc>
          <w:tcPr>
            <w:tcW w:w="1960" w:type="dxa"/>
            <w:shd w:val="clear" w:color="auto" w:fill="EDFFB7"/>
            <w:vAlign w:val="center"/>
            <w:hideMark/>
          </w:tcPr>
          <w:p w14:paraId="0C61CA08" w14:textId="77777777" w:rsidR="0021298F" w:rsidRDefault="0021298F" w:rsidP="00760009">
            <w:pPr>
              <w:jc w:val="right"/>
              <w:rPr>
                <w:rFonts w:ascii="Arial" w:eastAsia="Times New Roman" w:hAnsi="Arial" w:cs="Arial"/>
                <w:color w:val="000000"/>
                <w:lang w:eastAsia="en-GB"/>
              </w:rPr>
            </w:pPr>
            <w:r>
              <w:rPr>
                <w:rFonts w:ascii="Arial" w:eastAsia="Times New Roman" w:hAnsi="Arial" w:cs="Arial"/>
                <w:color w:val="000000"/>
                <w:lang w:eastAsia="en-GB"/>
              </w:rPr>
              <w:t> </w:t>
            </w:r>
          </w:p>
        </w:tc>
        <w:tc>
          <w:tcPr>
            <w:tcW w:w="1960" w:type="dxa"/>
            <w:shd w:val="clear" w:color="auto" w:fill="FFFFFF"/>
            <w:noWrap/>
            <w:vAlign w:val="center"/>
            <w:hideMark/>
          </w:tcPr>
          <w:p w14:paraId="1E903D12" w14:textId="77777777" w:rsidR="0021298F" w:rsidRDefault="0021298F" w:rsidP="00760009">
            <w:pPr>
              <w:jc w:val="right"/>
              <w:rPr>
                <w:rFonts w:ascii="Arial" w:eastAsia="Times New Roman" w:hAnsi="Arial" w:cs="Arial"/>
                <w:color w:val="000000"/>
                <w:lang w:eastAsia="en-GB"/>
              </w:rPr>
            </w:pPr>
            <w:r>
              <w:rPr>
                <w:rFonts w:ascii="Arial" w:eastAsia="Times New Roman" w:hAnsi="Arial" w:cs="Arial"/>
                <w:color w:val="000000"/>
                <w:lang w:eastAsia="en-GB"/>
              </w:rPr>
              <w:t> </w:t>
            </w:r>
          </w:p>
        </w:tc>
      </w:tr>
      <w:tr w:rsidR="0021298F" w14:paraId="7C66627D" w14:textId="77777777" w:rsidTr="00760009">
        <w:trPr>
          <w:trHeight w:val="300"/>
        </w:trPr>
        <w:tc>
          <w:tcPr>
            <w:tcW w:w="4840" w:type="dxa"/>
            <w:shd w:val="clear" w:color="auto" w:fill="FFFFFF"/>
            <w:vAlign w:val="center"/>
            <w:hideMark/>
          </w:tcPr>
          <w:p w14:paraId="3A234654" w14:textId="77777777" w:rsidR="0021298F" w:rsidRDefault="0021298F" w:rsidP="00760009">
            <w:pPr>
              <w:jc w:val="both"/>
              <w:rPr>
                <w:rFonts w:ascii="Arial" w:eastAsia="Times New Roman" w:hAnsi="Arial" w:cs="Arial"/>
                <w:b/>
                <w:bCs/>
                <w:color w:val="000000"/>
                <w:lang w:eastAsia="en-GB"/>
              </w:rPr>
            </w:pPr>
            <w:r>
              <w:rPr>
                <w:rFonts w:ascii="Arial" w:eastAsia="Times New Roman" w:hAnsi="Arial" w:cs="Arial"/>
                <w:b/>
                <w:bCs/>
                <w:color w:val="000000"/>
                <w:lang w:eastAsia="en-GB"/>
              </w:rPr>
              <w:t>Profit for the year after tax</w:t>
            </w:r>
          </w:p>
        </w:tc>
        <w:tc>
          <w:tcPr>
            <w:tcW w:w="620" w:type="dxa"/>
            <w:shd w:val="clear" w:color="auto" w:fill="FFFFFF"/>
            <w:vAlign w:val="center"/>
            <w:hideMark/>
          </w:tcPr>
          <w:p w14:paraId="764DE6E5" w14:textId="77777777" w:rsidR="0021298F" w:rsidRDefault="0021298F" w:rsidP="00760009">
            <w:pPr>
              <w:jc w:val="center"/>
              <w:rPr>
                <w:rFonts w:ascii="Arial" w:eastAsia="Times New Roman" w:hAnsi="Arial" w:cs="Arial"/>
                <w:b/>
                <w:bCs/>
                <w:color w:val="000000"/>
                <w:lang w:eastAsia="en-GB"/>
              </w:rPr>
            </w:pPr>
            <w:r>
              <w:rPr>
                <w:rFonts w:ascii="Arial" w:eastAsia="Times New Roman" w:hAnsi="Arial" w:cs="Arial"/>
                <w:b/>
                <w:bCs/>
                <w:color w:val="000000"/>
                <w:lang w:eastAsia="en-GB"/>
              </w:rPr>
              <w:t> </w:t>
            </w:r>
          </w:p>
        </w:tc>
        <w:tc>
          <w:tcPr>
            <w:tcW w:w="1960" w:type="dxa"/>
            <w:shd w:val="clear" w:color="auto" w:fill="EDFFB7"/>
            <w:vAlign w:val="center"/>
            <w:hideMark/>
          </w:tcPr>
          <w:p w14:paraId="259FCBFD" w14:textId="77777777" w:rsidR="0021298F" w:rsidRDefault="0021298F" w:rsidP="00760009">
            <w:pPr>
              <w:jc w:val="right"/>
              <w:rPr>
                <w:rFonts w:ascii="Arial" w:eastAsia="Times New Roman" w:hAnsi="Arial" w:cs="Arial"/>
                <w:b/>
                <w:bCs/>
                <w:color w:val="000000"/>
                <w:lang w:eastAsia="en-GB"/>
              </w:rPr>
            </w:pPr>
            <w:r>
              <w:rPr>
                <w:rFonts w:ascii="Arial" w:eastAsia="Times New Roman" w:hAnsi="Arial" w:cs="Arial"/>
                <w:b/>
                <w:bCs/>
                <w:color w:val="000000"/>
                <w:lang w:eastAsia="en-GB"/>
              </w:rPr>
              <w:t xml:space="preserve">14,068 </w:t>
            </w:r>
          </w:p>
        </w:tc>
        <w:tc>
          <w:tcPr>
            <w:tcW w:w="1960" w:type="dxa"/>
            <w:shd w:val="clear" w:color="auto" w:fill="FFFFFF"/>
            <w:noWrap/>
            <w:vAlign w:val="center"/>
            <w:hideMark/>
          </w:tcPr>
          <w:p w14:paraId="7E6178DB" w14:textId="77777777" w:rsidR="0021298F" w:rsidRDefault="0021298F" w:rsidP="00760009">
            <w:pPr>
              <w:jc w:val="right"/>
              <w:rPr>
                <w:rFonts w:ascii="Arial" w:eastAsia="Times New Roman" w:hAnsi="Arial" w:cs="Arial"/>
                <w:b/>
                <w:bCs/>
                <w:color w:val="000000"/>
                <w:lang w:eastAsia="en-GB"/>
              </w:rPr>
            </w:pPr>
            <w:r>
              <w:rPr>
                <w:rFonts w:ascii="Arial" w:eastAsia="Times New Roman" w:hAnsi="Arial" w:cs="Arial"/>
                <w:b/>
                <w:bCs/>
                <w:color w:val="000000"/>
                <w:lang w:eastAsia="en-GB"/>
              </w:rPr>
              <w:t>17,097</w:t>
            </w:r>
          </w:p>
        </w:tc>
      </w:tr>
      <w:tr w:rsidR="0021298F" w14:paraId="33762171" w14:textId="77777777" w:rsidTr="00760009">
        <w:trPr>
          <w:trHeight w:val="300"/>
        </w:trPr>
        <w:tc>
          <w:tcPr>
            <w:tcW w:w="4840" w:type="dxa"/>
            <w:shd w:val="clear" w:color="auto" w:fill="FFFFFF"/>
            <w:vAlign w:val="center"/>
            <w:hideMark/>
          </w:tcPr>
          <w:p w14:paraId="7EDD5C34" w14:textId="77777777" w:rsidR="0021298F" w:rsidRDefault="0021298F" w:rsidP="00760009">
            <w:pPr>
              <w:jc w:val="both"/>
              <w:rPr>
                <w:rFonts w:ascii="Arial" w:eastAsia="Times New Roman" w:hAnsi="Arial" w:cs="Arial"/>
                <w:color w:val="000000"/>
                <w:lang w:eastAsia="en-GB"/>
              </w:rPr>
            </w:pPr>
            <w:r>
              <w:rPr>
                <w:rFonts w:ascii="Arial" w:eastAsia="Times New Roman" w:hAnsi="Arial" w:cs="Arial"/>
                <w:color w:val="000000"/>
                <w:lang w:eastAsia="en-GB"/>
              </w:rPr>
              <w:t> </w:t>
            </w:r>
          </w:p>
        </w:tc>
        <w:tc>
          <w:tcPr>
            <w:tcW w:w="620" w:type="dxa"/>
            <w:shd w:val="clear" w:color="auto" w:fill="FFFFFF"/>
            <w:vAlign w:val="center"/>
            <w:hideMark/>
          </w:tcPr>
          <w:p w14:paraId="0D272E68" w14:textId="77777777" w:rsidR="0021298F" w:rsidRDefault="0021298F" w:rsidP="00760009">
            <w:pPr>
              <w:jc w:val="center"/>
              <w:rPr>
                <w:rFonts w:ascii="Arial" w:eastAsia="Times New Roman" w:hAnsi="Arial" w:cs="Arial"/>
                <w:b/>
                <w:bCs/>
                <w:color w:val="000000"/>
                <w:lang w:eastAsia="en-GB"/>
              </w:rPr>
            </w:pPr>
            <w:r>
              <w:rPr>
                <w:rFonts w:ascii="Arial" w:eastAsia="Times New Roman" w:hAnsi="Arial" w:cs="Arial"/>
                <w:b/>
                <w:bCs/>
                <w:color w:val="000000"/>
                <w:lang w:eastAsia="en-GB"/>
              </w:rPr>
              <w:t> </w:t>
            </w:r>
          </w:p>
        </w:tc>
        <w:tc>
          <w:tcPr>
            <w:tcW w:w="1960" w:type="dxa"/>
            <w:shd w:val="clear" w:color="auto" w:fill="EDFFB7"/>
            <w:vAlign w:val="center"/>
            <w:hideMark/>
          </w:tcPr>
          <w:p w14:paraId="332BF478" w14:textId="77777777" w:rsidR="0021298F" w:rsidRDefault="0021298F" w:rsidP="00760009">
            <w:pPr>
              <w:jc w:val="right"/>
              <w:rPr>
                <w:rFonts w:ascii="Arial" w:eastAsia="Times New Roman" w:hAnsi="Arial" w:cs="Arial"/>
                <w:color w:val="000000"/>
                <w:lang w:eastAsia="en-GB"/>
              </w:rPr>
            </w:pPr>
            <w:r>
              <w:rPr>
                <w:rFonts w:ascii="Arial" w:eastAsia="Times New Roman" w:hAnsi="Arial" w:cs="Arial"/>
                <w:color w:val="000000"/>
                <w:lang w:eastAsia="en-GB"/>
              </w:rPr>
              <w:t> </w:t>
            </w:r>
          </w:p>
        </w:tc>
        <w:tc>
          <w:tcPr>
            <w:tcW w:w="1960" w:type="dxa"/>
            <w:shd w:val="clear" w:color="auto" w:fill="FFFFFF"/>
            <w:noWrap/>
            <w:vAlign w:val="center"/>
            <w:hideMark/>
          </w:tcPr>
          <w:p w14:paraId="384E6B46" w14:textId="77777777" w:rsidR="0021298F" w:rsidRDefault="0021298F" w:rsidP="00760009">
            <w:pPr>
              <w:jc w:val="right"/>
              <w:rPr>
                <w:rFonts w:ascii="Arial" w:eastAsia="Times New Roman" w:hAnsi="Arial" w:cs="Arial"/>
                <w:color w:val="000000"/>
                <w:lang w:eastAsia="en-GB"/>
              </w:rPr>
            </w:pPr>
            <w:r>
              <w:rPr>
                <w:rFonts w:ascii="Arial" w:eastAsia="Times New Roman" w:hAnsi="Arial" w:cs="Arial"/>
                <w:color w:val="000000"/>
                <w:lang w:eastAsia="en-GB"/>
              </w:rPr>
              <w:t> </w:t>
            </w:r>
          </w:p>
        </w:tc>
      </w:tr>
      <w:tr w:rsidR="0021298F" w14:paraId="1A8036E5" w14:textId="77777777" w:rsidTr="00760009">
        <w:trPr>
          <w:trHeight w:val="600"/>
        </w:trPr>
        <w:tc>
          <w:tcPr>
            <w:tcW w:w="4840" w:type="dxa"/>
            <w:shd w:val="clear" w:color="auto" w:fill="FFFFFF"/>
            <w:vAlign w:val="center"/>
            <w:hideMark/>
          </w:tcPr>
          <w:p w14:paraId="55EDAAB1" w14:textId="77777777" w:rsidR="0021298F" w:rsidRDefault="0021298F" w:rsidP="00760009">
            <w:pPr>
              <w:rPr>
                <w:rFonts w:ascii="Arial" w:eastAsia="Times New Roman" w:hAnsi="Arial" w:cs="Arial"/>
                <w:b/>
                <w:bCs/>
                <w:color w:val="000000"/>
                <w:lang w:eastAsia="en-GB"/>
              </w:rPr>
            </w:pPr>
            <w:r>
              <w:rPr>
                <w:rFonts w:ascii="Arial" w:eastAsia="Times New Roman" w:hAnsi="Arial" w:cs="Arial"/>
                <w:b/>
                <w:bCs/>
                <w:color w:val="000000"/>
                <w:lang w:eastAsia="en-GB"/>
              </w:rPr>
              <w:t>Profit and total comprehensive income attributable to:</w:t>
            </w:r>
          </w:p>
        </w:tc>
        <w:tc>
          <w:tcPr>
            <w:tcW w:w="620" w:type="dxa"/>
            <w:shd w:val="clear" w:color="auto" w:fill="FFFFFF"/>
            <w:vAlign w:val="center"/>
            <w:hideMark/>
          </w:tcPr>
          <w:p w14:paraId="19BA1C73" w14:textId="77777777" w:rsidR="0021298F" w:rsidRDefault="0021298F" w:rsidP="00760009">
            <w:pPr>
              <w:jc w:val="center"/>
              <w:rPr>
                <w:rFonts w:ascii="Arial" w:eastAsia="Times New Roman" w:hAnsi="Arial" w:cs="Arial"/>
                <w:b/>
                <w:bCs/>
                <w:color w:val="000000"/>
                <w:lang w:eastAsia="en-GB"/>
              </w:rPr>
            </w:pPr>
            <w:r>
              <w:rPr>
                <w:rFonts w:ascii="Arial" w:eastAsia="Times New Roman" w:hAnsi="Arial" w:cs="Arial"/>
                <w:b/>
                <w:bCs/>
                <w:color w:val="000000"/>
                <w:lang w:eastAsia="en-GB"/>
              </w:rPr>
              <w:t> </w:t>
            </w:r>
          </w:p>
        </w:tc>
        <w:tc>
          <w:tcPr>
            <w:tcW w:w="1960" w:type="dxa"/>
            <w:shd w:val="clear" w:color="auto" w:fill="EDFFB7"/>
            <w:vAlign w:val="center"/>
            <w:hideMark/>
          </w:tcPr>
          <w:p w14:paraId="13E21A95" w14:textId="77777777" w:rsidR="0021298F" w:rsidRDefault="0021298F" w:rsidP="00760009">
            <w:pPr>
              <w:jc w:val="right"/>
              <w:rPr>
                <w:rFonts w:ascii="Arial" w:eastAsia="Times New Roman" w:hAnsi="Arial" w:cs="Arial"/>
                <w:b/>
                <w:bCs/>
                <w:color w:val="000000"/>
                <w:lang w:eastAsia="en-GB"/>
              </w:rPr>
            </w:pPr>
            <w:r>
              <w:rPr>
                <w:rFonts w:ascii="Arial" w:eastAsia="Times New Roman" w:hAnsi="Arial" w:cs="Arial"/>
                <w:b/>
                <w:bCs/>
                <w:color w:val="000000"/>
                <w:lang w:eastAsia="en-GB"/>
              </w:rPr>
              <w:t> </w:t>
            </w:r>
          </w:p>
        </w:tc>
        <w:tc>
          <w:tcPr>
            <w:tcW w:w="1960" w:type="dxa"/>
            <w:shd w:val="clear" w:color="auto" w:fill="FFFFFF"/>
            <w:noWrap/>
            <w:vAlign w:val="center"/>
            <w:hideMark/>
          </w:tcPr>
          <w:p w14:paraId="64227F72" w14:textId="77777777" w:rsidR="0021298F" w:rsidRDefault="0021298F" w:rsidP="00760009">
            <w:pPr>
              <w:jc w:val="right"/>
              <w:rPr>
                <w:rFonts w:ascii="Arial" w:eastAsia="Times New Roman" w:hAnsi="Arial" w:cs="Arial"/>
                <w:b/>
                <w:bCs/>
                <w:color w:val="000000"/>
                <w:lang w:eastAsia="en-GB"/>
              </w:rPr>
            </w:pPr>
            <w:r>
              <w:rPr>
                <w:rFonts w:ascii="Arial" w:eastAsia="Times New Roman" w:hAnsi="Arial" w:cs="Arial"/>
                <w:b/>
                <w:bCs/>
                <w:color w:val="000000"/>
                <w:lang w:eastAsia="en-GB"/>
              </w:rPr>
              <w:t> </w:t>
            </w:r>
          </w:p>
        </w:tc>
      </w:tr>
      <w:tr w:rsidR="0021298F" w14:paraId="27D8646F" w14:textId="77777777" w:rsidTr="00760009">
        <w:trPr>
          <w:trHeight w:val="300"/>
        </w:trPr>
        <w:tc>
          <w:tcPr>
            <w:tcW w:w="4840" w:type="dxa"/>
            <w:shd w:val="clear" w:color="auto" w:fill="FFFFFF"/>
            <w:vAlign w:val="center"/>
            <w:hideMark/>
          </w:tcPr>
          <w:p w14:paraId="43C6BA0B" w14:textId="77777777" w:rsidR="0021298F" w:rsidRDefault="0021298F" w:rsidP="00760009">
            <w:pPr>
              <w:jc w:val="both"/>
              <w:rPr>
                <w:rFonts w:ascii="Arial" w:eastAsia="Times New Roman" w:hAnsi="Arial" w:cs="Arial"/>
                <w:color w:val="000000"/>
                <w:lang w:eastAsia="en-GB"/>
              </w:rPr>
            </w:pPr>
            <w:r>
              <w:rPr>
                <w:rFonts w:ascii="Arial" w:eastAsia="Times New Roman" w:hAnsi="Arial" w:cs="Arial"/>
                <w:color w:val="000000"/>
                <w:lang w:eastAsia="en-GB"/>
              </w:rPr>
              <w:t>Equity holders of the Company</w:t>
            </w:r>
          </w:p>
        </w:tc>
        <w:tc>
          <w:tcPr>
            <w:tcW w:w="620" w:type="dxa"/>
            <w:shd w:val="clear" w:color="auto" w:fill="FFFFFF"/>
            <w:vAlign w:val="center"/>
            <w:hideMark/>
          </w:tcPr>
          <w:p w14:paraId="39DC2372" w14:textId="77777777" w:rsidR="0021298F" w:rsidRDefault="0021298F" w:rsidP="00760009">
            <w:pPr>
              <w:jc w:val="center"/>
              <w:rPr>
                <w:rFonts w:ascii="Arial" w:eastAsia="Times New Roman" w:hAnsi="Arial" w:cs="Arial"/>
                <w:b/>
                <w:bCs/>
                <w:color w:val="000000"/>
                <w:lang w:eastAsia="en-GB"/>
              </w:rPr>
            </w:pPr>
            <w:r>
              <w:rPr>
                <w:rFonts w:ascii="Arial" w:eastAsia="Times New Roman" w:hAnsi="Arial" w:cs="Arial"/>
                <w:b/>
                <w:bCs/>
                <w:color w:val="000000"/>
                <w:lang w:eastAsia="en-GB"/>
              </w:rPr>
              <w:t> </w:t>
            </w:r>
          </w:p>
        </w:tc>
        <w:tc>
          <w:tcPr>
            <w:tcW w:w="1960" w:type="dxa"/>
            <w:shd w:val="clear" w:color="auto" w:fill="EDFFB7"/>
            <w:vAlign w:val="center"/>
            <w:hideMark/>
          </w:tcPr>
          <w:p w14:paraId="4D489206" w14:textId="77777777" w:rsidR="0021298F" w:rsidRDefault="0021298F" w:rsidP="00760009">
            <w:pPr>
              <w:jc w:val="right"/>
              <w:rPr>
                <w:rFonts w:ascii="Arial" w:eastAsia="Times New Roman" w:hAnsi="Arial" w:cs="Arial"/>
                <w:b/>
                <w:bCs/>
                <w:color w:val="000000"/>
                <w:lang w:eastAsia="en-GB"/>
              </w:rPr>
            </w:pPr>
            <w:r>
              <w:rPr>
                <w:rFonts w:ascii="Arial" w:eastAsia="Times New Roman" w:hAnsi="Arial" w:cs="Arial"/>
                <w:b/>
                <w:bCs/>
                <w:color w:val="000000"/>
                <w:lang w:eastAsia="en-GB"/>
              </w:rPr>
              <w:t>14,068</w:t>
            </w:r>
          </w:p>
        </w:tc>
        <w:tc>
          <w:tcPr>
            <w:tcW w:w="1960" w:type="dxa"/>
            <w:shd w:val="clear" w:color="auto" w:fill="FFFFFF"/>
            <w:noWrap/>
            <w:vAlign w:val="center"/>
            <w:hideMark/>
          </w:tcPr>
          <w:p w14:paraId="7416C033" w14:textId="77777777" w:rsidR="0021298F" w:rsidRDefault="0021298F" w:rsidP="00760009">
            <w:pPr>
              <w:jc w:val="right"/>
              <w:rPr>
                <w:rFonts w:ascii="Arial" w:eastAsia="Times New Roman" w:hAnsi="Arial" w:cs="Arial"/>
                <w:b/>
                <w:bCs/>
                <w:color w:val="000000"/>
                <w:lang w:eastAsia="en-GB"/>
              </w:rPr>
            </w:pPr>
            <w:r>
              <w:rPr>
                <w:rFonts w:ascii="Arial" w:eastAsia="Times New Roman" w:hAnsi="Arial" w:cs="Arial"/>
                <w:b/>
                <w:bCs/>
                <w:color w:val="000000"/>
                <w:lang w:eastAsia="en-GB"/>
              </w:rPr>
              <w:t>17,097</w:t>
            </w:r>
          </w:p>
        </w:tc>
      </w:tr>
      <w:tr w:rsidR="0021298F" w14:paraId="01CF35BE" w14:textId="77777777" w:rsidTr="00760009">
        <w:trPr>
          <w:trHeight w:val="300"/>
        </w:trPr>
        <w:tc>
          <w:tcPr>
            <w:tcW w:w="4840" w:type="dxa"/>
            <w:shd w:val="clear" w:color="auto" w:fill="FFFFFF"/>
            <w:vAlign w:val="center"/>
            <w:hideMark/>
          </w:tcPr>
          <w:p w14:paraId="3391AC33" w14:textId="77777777" w:rsidR="0021298F" w:rsidRDefault="0021298F" w:rsidP="00760009">
            <w:pPr>
              <w:jc w:val="both"/>
              <w:rPr>
                <w:rFonts w:ascii="Arial" w:eastAsia="Times New Roman" w:hAnsi="Arial" w:cs="Arial"/>
                <w:color w:val="000000"/>
                <w:lang w:eastAsia="en-GB"/>
              </w:rPr>
            </w:pPr>
            <w:r>
              <w:rPr>
                <w:rFonts w:ascii="Arial" w:eastAsia="Times New Roman" w:hAnsi="Arial" w:cs="Arial"/>
                <w:color w:val="000000"/>
                <w:lang w:eastAsia="en-GB"/>
              </w:rPr>
              <w:t> </w:t>
            </w:r>
          </w:p>
        </w:tc>
        <w:tc>
          <w:tcPr>
            <w:tcW w:w="620" w:type="dxa"/>
            <w:shd w:val="clear" w:color="auto" w:fill="FFFFFF"/>
            <w:vAlign w:val="center"/>
            <w:hideMark/>
          </w:tcPr>
          <w:p w14:paraId="7687EB01" w14:textId="77777777" w:rsidR="0021298F" w:rsidRDefault="0021298F" w:rsidP="00760009">
            <w:pPr>
              <w:jc w:val="center"/>
              <w:rPr>
                <w:rFonts w:ascii="Arial" w:eastAsia="Times New Roman" w:hAnsi="Arial" w:cs="Arial"/>
                <w:b/>
                <w:bCs/>
                <w:color w:val="000000"/>
                <w:lang w:eastAsia="en-GB"/>
              </w:rPr>
            </w:pPr>
            <w:r>
              <w:rPr>
                <w:rFonts w:ascii="Arial" w:eastAsia="Times New Roman" w:hAnsi="Arial" w:cs="Arial"/>
                <w:b/>
                <w:bCs/>
                <w:color w:val="000000"/>
                <w:lang w:eastAsia="en-GB"/>
              </w:rPr>
              <w:t> </w:t>
            </w:r>
          </w:p>
        </w:tc>
        <w:tc>
          <w:tcPr>
            <w:tcW w:w="1960" w:type="dxa"/>
            <w:shd w:val="clear" w:color="auto" w:fill="EDFFB7"/>
            <w:vAlign w:val="center"/>
            <w:hideMark/>
          </w:tcPr>
          <w:p w14:paraId="574F7455" w14:textId="77777777" w:rsidR="0021298F" w:rsidRDefault="0021298F" w:rsidP="00760009">
            <w:pPr>
              <w:jc w:val="right"/>
              <w:rPr>
                <w:rFonts w:ascii="Arial" w:eastAsia="Times New Roman" w:hAnsi="Arial" w:cs="Arial"/>
                <w:color w:val="000000"/>
                <w:lang w:eastAsia="en-GB"/>
              </w:rPr>
            </w:pPr>
            <w:r>
              <w:rPr>
                <w:rFonts w:ascii="Arial" w:eastAsia="Times New Roman" w:hAnsi="Arial" w:cs="Arial"/>
                <w:color w:val="000000"/>
                <w:lang w:eastAsia="en-GB"/>
              </w:rPr>
              <w:t> </w:t>
            </w:r>
          </w:p>
        </w:tc>
        <w:tc>
          <w:tcPr>
            <w:tcW w:w="1960" w:type="dxa"/>
            <w:shd w:val="clear" w:color="auto" w:fill="FFFFFF"/>
            <w:noWrap/>
            <w:vAlign w:val="center"/>
            <w:hideMark/>
          </w:tcPr>
          <w:p w14:paraId="1E2EBB2B" w14:textId="77777777" w:rsidR="0021298F" w:rsidRDefault="0021298F" w:rsidP="00760009">
            <w:pPr>
              <w:jc w:val="right"/>
              <w:rPr>
                <w:rFonts w:ascii="Arial" w:eastAsia="Times New Roman" w:hAnsi="Arial" w:cs="Arial"/>
                <w:color w:val="000000"/>
                <w:lang w:eastAsia="en-GB"/>
              </w:rPr>
            </w:pPr>
            <w:r>
              <w:rPr>
                <w:rFonts w:ascii="Arial" w:eastAsia="Times New Roman" w:hAnsi="Arial" w:cs="Arial"/>
                <w:color w:val="000000"/>
                <w:lang w:eastAsia="en-GB"/>
              </w:rPr>
              <w:t> </w:t>
            </w:r>
          </w:p>
        </w:tc>
      </w:tr>
      <w:tr w:rsidR="0021298F" w14:paraId="4AD57459" w14:textId="77777777" w:rsidTr="00760009">
        <w:trPr>
          <w:trHeight w:val="315"/>
        </w:trPr>
        <w:tc>
          <w:tcPr>
            <w:tcW w:w="4840" w:type="dxa"/>
            <w:tcBorders>
              <w:top w:val="nil"/>
              <w:left w:val="nil"/>
              <w:bottom w:val="single" w:sz="8" w:space="0" w:color="auto"/>
              <w:right w:val="nil"/>
            </w:tcBorders>
            <w:shd w:val="clear" w:color="auto" w:fill="FFFFFF"/>
            <w:vAlign w:val="center"/>
            <w:hideMark/>
          </w:tcPr>
          <w:p w14:paraId="054D7AB1" w14:textId="77777777" w:rsidR="0021298F" w:rsidRDefault="0021298F" w:rsidP="00760009">
            <w:pPr>
              <w:jc w:val="both"/>
              <w:rPr>
                <w:rFonts w:ascii="Arial" w:eastAsia="Times New Roman" w:hAnsi="Arial" w:cs="Arial"/>
                <w:b/>
                <w:bCs/>
                <w:color w:val="000000"/>
                <w:lang w:eastAsia="en-GB"/>
              </w:rPr>
            </w:pPr>
            <w:r>
              <w:rPr>
                <w:rFonts w:ascii="Arial" w:eastAsia="Times New Roman" w:hAnsi="Arial" w:cs="Arial"/>
                <w:b/>
                <w:bCs/>
                <w:color w:val="000000"/>
                <w:lang w:eastAsia="en-GB"/>
              </w:rPr>
              <w:t>Earnings per share</w:t>
            </w:r>
          </w:p>
        </w:tc>
        <w:tc>
          <w:tcPr>
            <w:tcW w:w="620" w:type="dxa"/>
            <w:tcBorders>
              <w:top w:val="nil"/>
              <w:left w:val="nil"/>
              <w:bottom w:val="single" w:sz="8" w:space="0" w:color="auto"/>
              <w:right w:val="nil"/>
            </w:tcBorders>
            <w:shd w:val="clear" w:color="auto" w:fill="FFFFFF"/>
            <w:vAlign w:val="center"/>
            <w:hideMark/>
          </w:tcPr>
          <w:p w14:paraId="0868826B" w14:textId="77777777" w:rsidR="0021298F" w:rsidRDefault="0021298F" w:rsidP="00760009">
            <w:pPr>
              <w:jc w:val="center"/>
              <w:rPr>
                <w:rFonts w:ascii="Arial" w:eastAsia="Times New Roman" w:hAnsi="Arial" w:cs="Arial"/>
                <w:b/>
                <w:bCs/>
                <w:color w:val="000000"/>
                <w:lang w:eastAsia="en-GB"/>
              </w:rPr>
            </w:pPr>
            <w:r>
              <w:rPr>
                <w:rFonts w:ascii="Arial" w:eastAsia="Times New Roman" w:hAnsi="Arial" w:cs="Arial"/>
                <w:b/>
                <w:bCs/>
                <w:color w:val="000000"/>
                <w:lang w:eastAsia="en-GB"/>
              </w:rPr>
              <w:t> </w:t>
            </w:r>
          </w:p>
        </w:tc>
        <w:tc>
          <w:tcPr>
            <w:tcW w:w="1960" w:type="dxa"/>
            <w:tcBorders>
              <w:top w:val="nil"/>
              <w:left w:val="nil"/>
              <w:bottom w:val="single" w:sz="8" w:space="0" w:color="auto"/>
              <w:right w:val="nil"/>
            </w:tcBorders>
            <w:shd w:val="clear" w:color="auto" w:fill="EDFFB7"/>
            <w:vAlign w:val="center"/>
            <w:hideMark/>
          </w:tcPr>
          <w:p w14:paraId="2C5FEA20" w14:textId="77777777" w:rsidR="0021298F" w:rsidRDefault="0021298F" w:rsidP="00760009">
            <w:pPr>
              <w:jc w:val="right"/>
              <w:rPr>
                <w:rFonts w:ascii="Arial" w:eastAsia="Times New Roman" w:hAnsi="Arial" w:cs="Arial"/>
                <w:color w:val="000000"/>
                <w:lang w:eastAsia="en-GB"/>
              </w:rPr>
            </w:pPr>
            <w:r>
              <w:rPr>
                <w:rFonts w:ascii="Arial" w:eastAsia="Times New Roman" w:hAnsi="Arial" w:cs="Arial"/>
                <w:color w:val="000000"/>
                <w:lang w:eastAsia="en-GB"/>
              </w:rPr>
              <w:t> </w:t>
            </w:r>
          </w:p>
        </w:tc>
        <w:tc>
          <w:tcPr>
            <w:tcW w:w="1960" w:type="dxa"/>
            <w:tcBorders>
              <w:top w:val="nil"/>
              <w:left w:val="nil"/>
              <w:bottom w:val="single" w:sz="8" w:space="0" w:color="auto"/>
              <w:right w:val="nil"/>
            </w:tcBorders>
            <w:shd w:val="clear" w:color="auto" w:fill="FFFFFF"/>
            <w:noWrap/>
            <w:vAlign w:val="center"/>
            <w:hideMark/>
          </w:tcPr>
          <w:p w14:paraId="76A59F19" w14:textId="77777777" w:rsidR="0021298F" w:rsidRDefault="0021298F" w:rsidP="00760009">
            <w:pPr>
              <w:jc w:val="right"/>
              <w:rPr>
                <w:rFonts w:ascii="Arial" w:eastAsia="Times New Roman" w:hAnsi="Arial" w:cs="Arial"/>
                <w:color w:val="000000"/>
                <w:lang w:eastAsia="en-GB"/>
              </w:rPr>
            </w:pPr>
            <w:r>
              <w:rPr>
                <w:rFonts w:ascii="Arial" w:eastAsia="Times New Roman" w:hAnsi="Arial" w:cs="Arial"/>
                <w:color w:val="000000"/>
                <w:lang w:eastAsia="en-GB"/>
              </w:rPr>
              <w:t> </w:t>
            </w:r>
          </w:p>
        </w:tc>
      </w:tr>
      <w:tr w:rsidR="0021298F" w14:paraId="73A56981" w14:textId="77777777" w:rsidTr="00760009">
        <w:trPr>
          <w:trHeight w:val="585"/>
        </w:trPr>
        <w:tc>
          <w:tcPr>
            <w:tcW w:w="4840" w:type="dxa"/>
            <w:tcBorders>
              <w:top w:val="nil"/>
              <w:left w:val="nil"/>
              <w:bottom w:val="single" w:sz="8" w:space="0" w:color="auto"/>
              <w:right w:val="nil"/>
            </w:tcBorders>
            <w:shd w:val="clear" w:color="auto" w:fill="FFFFFF"/>
            <w:vAlign w:val="center"/>
            <w:hideMark/>
          </w:tcPr>
          <w:p w14:paraId="79DD5451" w14:textId="77777777" w:rsidR="0021298F" w:rsidRDefault="0021298F" w:rsidP="00760009">
            <w:pPr>
              <w:rPr>
                <w:rFonts w:ascii="Arial" w:eastAsia="Times New Roman" w:hAnsi="Arial" w:cs="Arial"/>
                <w:color w:val="000000"/>
                <w:lang w:eastAsia="en-GB"/>
              </w:rPr>
            </w:pPr>
            <w:r>
              <w:rPr>
                <w:rFonts w:ascii="Arial" w:eastAsia="Times New Roman" w:hAnsi="Arial" w:cs="Arial"/>
                <w:color w:val="000000"/>
                <w:lang w:eastAsia="en-GB"/>
              </w:rPr>
              <w:t>Basic and diluted earnings from continuing operations in the year (cent)</w:t>
            </w:r>
          </w:p>
        </w:tc>
        <w:tc>
          <w:tcPr>
            <w:tcW w:w="620" w:type="dxa"/>
            <w:tcBorders>
              <w:top w:val="nil"/>
              <w:left w:val="nil"/>
              <w:bottom w:val="single" w:sz="8" w:space="0" w:color="auto"/>
              <w:right w:val="nil"/>
            </w:tcBorders>
            <w:shd w:val="clear" w:color="auto" w:fill="FFFFFF"/>
            <w:vAlign w:val="center"/>
            <w:hideMark/>
          </w:tcPr>
          <w:p w14:paraId="3AF8AD66" w14:textId="77777777" w:rsidR="0021298F" w:rsidRDefault="0021298F" w:rsidP="00760009">
            <w:pPr>
              <w:jc w:val="center"/>
              <w:rPr>
                <w:rFonts w:ascii="Arial" w:eastAsia="Times New Roman" w:hAnsi="Arial" w:cs="Arial"/>
                <w:b/>
                <w:bCs/>
                <w:color w:val="000000"/>
                <w:lang w:eastAsia="en-GB"/>
              </w:rPr>
            </w:pPr>
            <w:r>
              <w:rPr>
                <w:rFonts w:ascii="Arial" w:eastAsia="Times New Roman" w:hAnsi="Arial" w:cs="Arial"/>
                <w:b/>
                <w:bCs/>
                <w:color w:val="000000"/>
                <w:lang w:eastAsia="en-GB"/>
              </w:rPr>
              <w:t>7</w:t>
            </w:r>
          </w:p>
        </w:tc>
        <w:tc>
          <w:tcPr>
            <w:tcW w:w="1960" w:type="dxa"/>
            <w:tcBorders>
              <w:top w:val="nil"/>
              <w:left w:val="nil"/>
              <w:bottom w:val="single" w:sz="8" w:space="0" w:color="auto"/>
              <w:right w:val="nil"/>
            </w:tcBorders>
            <w:shd w:val="clear" w:color="auto" w:fill="EDFFB7"/>
            <w:vAlign w:val="center"/>
            <w:hideMark/>
          </w:tcPr>
          <w:p w14:paraId="7120F333" w14:textId="77777777" w:rsidR="0021298F" w:rsidRDefault="0021298F" w:rsidP="00760009">
            <w:pPr>
              <w:jc w:val="right"/>
              <w:rPr>
                <w:rFonts w:ascii="Arial" w:eastAsia="Times New Roman" w:hAnsi="Arial" w:cs="Arial"/>
                <w:b/>
                <w:bCs/>
                <w:color w:val="000000"/>
                <w:lang w:eastAsia="en-GB"/>
              </w:rPr>
            </w:pPr>
            <w:r>
              <w:rPr>
                <w:rFonts w:ascii="Arial" w:eastAsia="Times New Roman" w:hAnsi="Arial" w:cs="Arial"/>
                <w:b/>
                <w:bCs/>
                <w:color w:val="000000"/>
                <w:lang w:eastAsia="en-GB"/>
              </w:rPr>
              <w:t>2.21</w:t>
            </w:r>
          </w:p>
        </w:tc>
        <w:tc>
          <w:tcPr>
            <w:tcW w:w="1960" w:type="dxa"/>
            <w:tcBorders>
              <w:top w:val="nil"/>
              <w:left w:val="nil"/>
              <w:bottom w:val="single" w:sz="8" w:space="0" w:color="auto"/>
              <w:right w:val="nil"/>
            </w:tcBorders>
            <w:shd w:val="clear" w:color="auto" w:fill="FFFFFF"/>
            <w:noWrap/>
            <w:vAlign w:val="center"/>
            <w:hideMark/>
          </w:tcPr>
          <w:p w14:paraId="181EE0DE" w14:textId="77777777" w:rsidR="0021298F" w:rsidRDefault="0021298F" w:rsidP="00760009">
            <w:pPr>
              <w:jc w:val="right"/>
              <w:rPr>
                <w:rFonts w:ascii="Arial" w:eastAsia="Times New Roman" w:hAnsi="Arial" w:cs="Arial"/>
                <w:b/>
                <w:bCs/>
                <w:color w:val="000000"/>
                <w:lang w:eastAsia="en-GB"/>
              </w:rPr>
            </w:pPr>
            <w:r>
              <w:rPr>
                <w:rFonts w:ascii="Arial" w:eastAsia="Times New Roman" w:hAnsi="Arial" w:cs="Arial"/>
                <w:b/>
                <w:bCs/>
                <w:color w:val="000000"/>
                <w:lang w:eastAsia="en-GB"/>
              </w:rPr>
              <w:t>3.46</w:t>
            </w:r>
          </w:p>
        </w:tc>
      </w:tr>
    </w:tbl>
    <w:p w14:paraId="2BCD774B" w14:textId="77777777" w:rsidR="0021298F" w:rsidRDefault="0021298F" w:rsidP="0021298F">
      <w:pPr>
        <w:jc w:val="both"/>
        <w:rPr>
          <w:rFonts w:ascii="Arial" w:hAnsi="Arial" w:cs="Arial"/>
        </w:rPr>
      </w:pPr>
    </w:p>
    <w:p w14:paraId="046654C9" w14:textId="77777777" w:rsidR="0021298F" w:rsidRDefault="0021298F" w:rsidP="0021298F">
      <w:pPr>
        <w:jc w:val="both"/>
        <w:rPr>
          <w:rFonts w:ascii="Arial" w:hAnsi="Arial" w:cs="Arial"/>
        </w:rPr>
      </w:pPr>
      <w:r w:rsidRPr="00584154">
        <w:rPr>
          <w:rFonts w:ascii="Arial" w:hAnsi="Arial" w:cs="Arial"/>
        </w:rPr>
        <w:t xml:space="preserve">The accompanying notes form an integral part of </w:t>
      </w:r>
      <w:r>
        <w:rPr>
          <w:rFonts w:ascii="Arial" w:hAnsi="Arial" w:cs="Arial"/>
        </w:rPr>
        <w:t>the consolidated financial statements</w:t>
      </w:r>
      <w:r w:rsidRPr="00584154">
        <w:rPr>
          <w:rFonts w:ascii="Arial" w:hAnsi="Arial" w:cs="Arial"/>
        </w:rPr>
        <w:t>.</w:t>
      </w:r>
    </w:p>
    <w:p w14:paraId="64CF6302" w14:textId="77777777" w:rsidR="0021298F" w:rsidRDefault="0021298F" w:rsidP="0021298F">
      <w:pPr>
        <w:pStyle w:val="Heading1"/>
        <w:jc w:val="both"/>
        <w:rPr>
          <w:rFonts w:cs="Arial"/>
          <w:caps/>
        </w:rPr>
      </w:pPr>
    </w:p>
    <w:p w14:paraId="03162237" w14:textId="77777777" w:rsidR="0021298F" w:rsidRPr="00892738" w:rsidRDefault="0021298F" w:rsidP="0021298F">
      <w:pPr>
        <w:pStyle w:val="Heading1"/>
        <w:jc w:val="both"/>
        <w:rPr>
          <w:rFonts w:cs="Arial"/>
          <w:caps/>
        </w:rPr>
      </w:pPr>
      <w:r w:rsidRPr="00892738">
        <w:rPr>
          <w:rFonts w:cs="Arial"/>
        </w:rPr>
        <w:t>Consolidated Statement of Financial Position</w:t>
      </w:r>
    </w:p>
    <w:p w14:paraId="032B4D55" w14:textId="77777777" w:rsidR="0021298F" w:rsidRDefault="0021298F" w:rsidP="0021298F">
      <w:pPr>
        <w:jc w:val="both"/>
        <w:rPr>
          <w:rFonts w:ascii="Arial" w:hAnsi="Arial" w:cs="Arial"/>
          <w:b/>
        </w:rPr>
      </w:pPr>
      <w:r w:rsidRPr="001226F4">
        <w:rPr>
          <w:rFonts w:ascii="Arial" w:hAnsi="Arial" w:cs="Arial"/>
          <w:b/>
        </w:rPr>
        <w:t xml:space="preserve">As at </w:t>
      </w:r>
      <w:r>
        <w:rPr>
          <w:rFonts w:ascii="Arial" w:hAnsi="Arial" w:cs="Arial"/>
          <w:b/>
        </w:rPr>
        <w:t>31 December 2020</w:t>
      </w:r>
    </w:p>
    <w:tbl>
      <w:tblPr>
        <w:tblW w:w="9914" w:type="dxa"/>
        <w:tblLook w:val="04A0" w:firstRow="1" w:lastRow="0" w:firstColumn="1" w:lastColumn="0" w:noHBand="0" w:noVBand="1"/>
      </w:tblPr>
      <w:tblGrid>
        <w:gridCol w:w="4702"/>
        <w:gridCol w:w="750"/>
        <w:gridCol w:w="2203"/>
        <w:gridCol w:w="2259"/>
      </w:tblGrid>
      <w:tr w:rsidR="0021298F" w:rsidRPr="00D1468C" w14:paraId="1FFF7A5E" w14:textId="77777777" w:rsidTr="00760009">
        <w:trPr>
          <w:trHeight w:val="615"/>
        </w:trPr>
        <w:tc>
          <w:tcPr>
            <w:tcW w:w="4737" w:type="dxa"/>
            <w:tcBorders>
              <w:top w:val="nil"/>
              <w:left w:val="nil"/>
              <w:bottom w:val="nil"/>
              <w:right w:val="nil"/>
            </w:tcBorders>
            <w:shd w:val="clear" w:color="000000" w:fill="FFFFFF"/>
            <w:vAlign w:val="center"/>
            <w:hideMark/>
          </w:tcPr>
          <w:p w14:paraId="2F4275F2" w14:textId="77777777" w:rsidR="0021298F" w:rsidRPr="00D1468C" w:rsidRDefault="0021298F" w:rsidP="00760009">
            <w:pPr>
              <w:rPr>
                <w:rFonts w:ascii="Calibri" w:eastAsia="Times New Roman" w:hAnsi="Calibri" w:cs="Calibri"/>
                <w:color w:val="000000"/>
                <w:lang w:eastAsia="en-GB"/>
              </w:rPr>
            </w:pPr>
            <w:r w:rsidRPr="00D1468C">
              <w:rPr>
                <w:rFonts w:ascii="Calibri" w:eastAsia="Times New Roman" w:hAnsi="Calibri" w:cs="Calibri"/>
                <w:color w:val="000000"/>
                <w:lang w:eastAsia="en-GB"/>
              </w:rPr>
              <w:t> </w:t>
            </w:r>
          </w:p>
        </w:tc>
        <w:tc>
          <w:tcPr>
            <w:tcW w:w="705" w:type="dxa"/>
            <w:tcBorders>
              <w:top w:val="nil"/>
              <w:left w:val="nil"/>
              <w:bottom w:val="nil"/>
              <w:right w:val="nil"/>
            </w:tcBorders>
            <w:shd w:val="clear" w:color="000000" w:fill="FFFFFF"/>
            <w:vAlign w:val="center"/>
            <w:hideMark/>
          </w:tcPr>
          <w:p w14:paraId="23B39B01" w14:textId="77777777" w:rsidR="0021298F" w:rsidRPr="00D1468C" w:rsidRDefault="0021298F" w:rsidP="00760009">
            <w:pPr>
              <w:jc w:val="both"/>
              <w:rPr>
                <w:rFonts w:ascii="Arial" w:eastAsia="Times New Roman" w:hAnsi="Arial" w:cs="Arial"/>
                <w:b/>
                <w:bCs/>
                <w:color w:val="000000"/>
                <w:lang w:eastAsia="en-GB"/>
              </w:rPr>
            </w:pPr>
            <w:r w:rsidRPr="00D1468C">
              <w:rPr>
                <w:rFonts w:ascii="Arial" w:eastAsia="Times New Roman" w:hAnsi="Arial" w:cs="Arial"/>
                <w:b/>
                <w:bCs/>
                <w:color w:val="000000"/>
                <w:lang w:eastAsia="en-GB"/>
              </w:rPr>
              <w:t> </w:t>
            </w:r>
          </w:p>
        </w:tc>
        <w:tc>
          <w:tcPr>
            <w:tcW w:w="2213" w:type="dxa"/>
            <w:tcBorders>
              <w:top w:val="nil"/>
              <w:left w:val="nil"/>
              <w:bottom w:val="nil"/>
              <w:right w:val="nil"/>
            </w:tcBorders>
            <w:shd w:val="clear" w:color="000000" w:fill="FFFFFF"/>
            <w:vAlign w:val="bottom"/>
            <w:hideMark/>
          </w:tcPr>
          <w:p w14:paraId="3C4E3C3F" w14:textId="77777777" w:rsidR="0021298F" w:rsidRPr="00D1468C" w:rsidRDefault="0021298F" w:rsidP="00760009">
            <w:pPr>
              <w:jc w:val="right"/>
              <w:rPr>
                <w:rFonts w:ascii="Arial" w:eastAsia="Times New Roman" w:hAnsi="Arial" w:cs="Arial"/>
                <w:b/>
                <w:bCs/>
                <w:color w:val="000000"/>
                <w:lang w:eastAsia="en-GB"/>
              </w:rPr>
            </w:pPr>
            <w:r w:rsidRPr="00D1468C">
              <w:rPr>
                <w:rFonts w:ascii="Arial" w:eastAsia="Times New Roman" w:hAnsi="Arial" w:cs="Arial"/>
                <w:b/>
                <w:bCs/>
                <w:color w:val="000000"/>
                <w:lang w:eastAsia="en-GB"/>
              </w:rPr>
              <w:t>31 December 2020</w:t>
            </w:r>
          </w:p>
        </w:tc>
        <w:tc>
          <w:tcPr>
            <w:tcW w:w="2259" w:type="dxa"/>
            <w:tcBorders>
              <w:top w:val="nil"/>
              <w:left w:val="nil"/>
              <w:bottom w:val="nil"/>
              <w:right w:val="nil"/>
            </w:tcBorders>
            <w:shd w:val="clear" w:color="000000" w:fill="FFFFFF"/>
            <w:vAlign w:val="bottom"/>
            <w:hideMark/>
          </w:tcPr>
          <w:p w14:paraId="206A1049" w14:textId="77777777" w:rsidR="0021298F" w:rsidRPr="00D1468C" w:rsidRDefault="0021298F" w:rsidP="00760009">
            <w:pPr>
              <w:jc w:val="right"/>
              <w:rPr>
                <w:rFonts w:ascii="Arial" w:eastAsia="Times New Roman" w:hAnsi="Arial" w:cs="Arial"/>
                <w:b/>
                <w:bCs/>
                <w:color w:val="000000"/>
                <w:lang w:eastAsia="en-GB"/>
              </w:rPr>
            </w:pPr>
            <w:r w:rsidRPr="00D1468C">
              <w:rPr>
                <w:rFonts w:ascii="Arial" w:eastAsia="Times New Roman" w:hAnsi="Arial" w:cs="Arial"/>
                <w:b/>
                <w:bCs/>
                <w:color w:val="000000"/>
                <w:lang w:eastAsia="en-GB"/>
              </w:rPr>
              <w:t>31 December 2019</w:t>
            </w:r>
          </w:p>
        </w:tc>
      </w:tr>
      <w:tr w:rsidR="0021298F" w:rsidRPr="00D1468C" w14:paraId="364FD321" w14:textId="77777777" w:rsidTr="00760009">
        <w:trPr>
          <w:trHeight w:val="615"/>
        </w:trPr>
        <w:tc>
          <w:tcPr>
            <w:tcW w:w="4737" w:type="dxa"/>
            <w:tcBorders>
              <w:top w:val="nil"/>
              <w:left w:val="nil"/>
              <w:bottom w:val="single" w:sz="8" w:space="0" w:color="auto"/>
              <w:right w:val="nil"/>
            </w:tcBorders>
            <w:shd w:val="clear" w:color="000000" w:fill="FFFFFF"/>
            <w:vAlign w:val="center"/>
            <w:hideMark/>
          </w:tcPr>
          <w:p w14:paraId="27062451" w14:textId="77777777" w:rsidR="0021298F" w:rsidRPr="00D1468C" w:rsidRDefault="0021298F" w:rsidP="00760009">
            <w:pPr>
              <w:jc w:val="both"/>
              <w:rPr>
                <w:rFonts w:ascii="Arial" w:eastAsia="Times New Roman" w:hAnsi="Arial" w:cs="Arial"/>
                <w:color w:val="000000"/>
                <w:lang w:eastAsia="en-GB"/>
              </w:rPr>
            </w:pPr>
            <w:r w:rsidRPr="00D1468C">
              <w:rPr>
                <w:rFonts w:ascii="Arial" w:eastAsia="Times New Roman" w:hAnsi="Arial" w:cs="Arial"/>
                <w:color w:val="000000"/>
                <w:lang w:eastAsia="en-GB"/>
              </w:rPr>
              <w:t> </w:t>
            </w:r>
          </w:p>
        </w:tc>
        <w:tc>
          <w:tcPr>
            <w:tcW w:w="705" w:type="dxa"/>
            <w:tcBorders>
              <w:top w:val="nil"/>
              <w:left w:val="nil"/>
              <w:bottom w:val="single" w:sz="8" w:space="0" w:color="auto"/>
              <w:right w:val="nil"/>
            </w:tcBorders>
            <w:shd w:val="clear" w:color="000000" w:fill="FFFFFF"/>
            <w:vAlign w:val="center"/>
            <w:hideMark/>
          </w:tcPr>
          <w:p w14:paraId="31AC0BCC" w14:textId="77777777" w:rsidR="0021298F" w:rsidRPr="00D1468C" w:rsidRDefault="0021298F" w:rsidP="00760009">
            <w:pPr>
              <w:jc w:val="both"/>
              <w:rPr>
                <w:rFonts w:ascii="Arial" w:eastAsia="Times New Roman" w:hAnsi="Arial" w:cs="Arial"/>
                <w:b/>
                <w:bCs/>
                <w:color w:val="000000"/>
                <w:lang w:eastAsia="en-GB"/>
              </w:rPr>
            </w:pPr>
            <w:r w:rsidRPr="00D1468C">
              <w:rPr>
                <w:rFonts w:ascii="Arial" w:eastAsia="Times New Roman" w:hAnsi="Arial" w:cs="Arial"/>
                <w:b/>
                <w:bCs/>
                <w:color w:val="000000"/>
                <w:lang w:eastAsia="en-GB"/>
              </w:rPr>
              <w:t>Note</w:t>
            </w:r>
          </w:p>
        </w:tc>
        <w:tc>
          <w:tcPr>
            <w:tcW w:w="2213" w:type="dxa"/>
            <w:tcBorders>
              <w:top w:val="nil"/>
              <w:left w:val="nil"/>
              <w:bottom w:val="single" w:sz="8" w:space="0" w:color="auto"/>
              <w:right w:val="nil"/>
            </w:tcBorders>
            <w:shd w:val="clear" w:color="000000" w:fill="FFFFFF"/>
            <w:vAlign w:val="center"/>
            <w:hideMark/>
          </w:tcPr>
          <w:p w14:paraId="304D58D1" w14:textId="77777777" w:rsidR="0021298F" w:rsidRPr="00D1468C" w:rsidRDefault="0021298F" w:rsidP="00760009">
            <w:pPr>
              <w:jc w:val="right"/>
              <w:rPr>
                <w:rFonts w:ascii="Arial" w:eastAsia="Times New Roman" w:hAnsi="Arial" w:cs="Arial"/>
                <w:b/>
                <w:bCs/>
                <w:color w:val="000000"/>
                <w:lang w:eastAsia="en-GB"/>
              </w:rPr>
            </w:pPr>
            <w:r w:rsidRPr="00D1468C">
              <w:rPr>
                <w:rFonts w:ascii="Arial" w:eastAsia="Times New Roman" w:hAnsi="Arial" w:cs="Arial"/>
                <w:b/>
                <w:bCs/>
                <w:color w:val="000000"/>
                <w:lang w:eastAsia="en-GB"/>
              </w:rPr>
              <w:t>€’000</w:t>
            </w:r>
          </w:p>
        </w:tc>
        <w:tc>
          <w:tcPr>
            <w:tcW w:w="2259" w:type="dxa"/>
            <w:tcBorders>
              <w:top w:val="nil"/>
              <w:left w:val="nil"/>
              <w:bottom w:val="single" w:sz="8" w:space="0" w:color="auto"/>
              <w:right w:val="nil"/>
            </w:tcBorders>
            <w:shd w:val="clear" w:color="000000" w:fill="FFFFFF"/>
            <w:noWrap/>
            <w:vAlign w:val="center"/>
            <w:hideMark/>
          </w:tcPr>
          <w:p w14:paraId="22551D40" w14:textId="77777777" w:rsidR="0021298F" w:rsidRPr="00D1468C" w:rsidRDefault="0021298F" w:rsidP="00760009">
            <w:pPr>
              <w:jc w:val="right"/>
              <w:rPr>
                <w:rFonts w:ascii="Arial" w:eastAsia="Times New Roman" w:hAnsi="Arial" w:cs="Arial"/>
                <w:b/>
                <w:bCs/>
                <w:color w:val="000000"/>
                <w:lang w:eastAsia="en-GB"/>
              </w:rPr>
            </w:pPr>
            <w:r w:rsidRPr="00D1468C">
              <w:rPr>
                <w:rFonts w:ascii="Arial" w:eastAsia="Times New Roman" w:hAnsi="Arial" w:cs="Arial"/>
                <w:b/>
                <w:bCs/>
                <w:color w:val="000000"/>
                <w:lang w:eastAsia="en-GB"/>
              </w:rPr>
              <w:t>€’000</w:t>
            </w:r>
          </w:p>
        </w:tc>
      </w:tr>
      <w:tr w:rsidR="0021298F" w:rsidRPr="00D1468C" w14:paraId="23F978F3" w14:textId="77777777" w:rsidTr="00760009">
        <w:trPr>
          <w:trHeight w:val="300"/>
        </w:trPr>
        <w:tc>
          <w:tcPr>
            <w:tcW w:w="4737" w:type="dxa"/>
            <w:tcBorders>
              <w:top w:val="nil"/>
              <w:left w:val="nil"/>
              <w:bottom w:val="nil"/>
              <w:right w:val="nil"/>
            </w:tcBorders>
            <w:shd w:val="clear" w:color="000000" w:fill="FFFFFF"/>
            <w:vAlign w:val="center"/>
            <w:hideMark/>
          </w:tcPr>
          <w:p w14:paraId="2F635947" w14:textId="77777777" w:rsidR="0021298F" w:rsidRPr="00D1468C" w:rsidRDefault="0021298F" w:rsidP="00760009">
            <w:pPr>
              <w:jc w:val="both"/>
              <w:rPr>
                <w:rFonts w:ascii="Arial" w:eastAsia="Times New Roman" w:hAnsi="Arial" w:cs="Arial"/>
                <w:color w:val="000000"/>
                <w:lang w:eastAsia="en-GB"/>
              </w:rPr>
            </w:pPr>
            <w:r w:rsidRPr="00D1468C">
              <w:rPr>
                <w:rFonts w:ascii="Arial" w:eastAsia="Times New Roman" w:hAnsi="Arial" w:cs="Arial"/>
                <w:color w:val="000000"/>
                <w:lang w:eastAsia="en-GB"/>
              </w:rPr>
              <w:t> </w:t>
            </w:r>
          </w:p>
        </w:tc>
        <w:tc>
          <w:tcPr>
            <w:tcW w:w="705" w:type="dxa"/>
            <w:tcBorders>
              <w:top w:val="nil"/>
              <w:left w:val="nil"/>
              <w:bottom w:val="nil"/>
              <w:right w:val="nil"/>
            </w:tcBorders>
            <w:shd w:val="clear" w:color="000000" w:fill="FFFFFF"/>
            <w:vAlign w:val="center"/>
            <w:hideMark/>
          </w:tcPr>
          <w:p w14:paraId="1164CCCA" w14:textId="77777777" w:rsidR="0021298F" w:rsidRPr="00D1468C" w:rsidRDefault="0021298F" w:rsidP="00760009">
            <w:pPr>
              <w:rPr>
                <w:rFonts w:ascii="Calibri" w:eastAsia="Times New Roman" w:hAnsi="Calibri" w:cs="Calibri"/>
                <w:color w:val="000000"/>
                <w:lang w:eastAsia="en-GB"/>
              </w:rPr>
            </w:pPr>
            <w:r w:rsidRPr="00D1468C">
              <w:rPr>
                <w:rFonts w:ascii="Calibri" w:eastAsia="Times New Roman" w:hAnsi="Calibri" w:cs="Calibri"/>
                <w:color w:val="000000"/>
                <w:lang w:eastAsia="en-GB"/>
              </w:rPr>
              <w:t> </w:t>
            </w:r>
          </w:p>
        </w:tc>
        <w:tc>
          <w:tcPr>
            <w:tcW w:w="2213" w:type="dxa"/>
            <w:tcBorders>
              <w:top w:val="nil"/>
              <w:left w:val="nil"/>
              <w:bottom w:val="nil"/>
              <w:right w:val="nil"/>
            </w:tcBorders>
            <w:shd w:val="clear" w:color="000000" w:fill="EDFFB7"/>
            <w:vAlign w:val="center"/>
            <w:hideMark/>
          </w:tcPr>
          <w:p w14:paraId="63112C9C" w14:textId="77777777" w:rsidR="0021298F" w:rsidRPr="00D1468C" w:rsidRDefault="0021298F" w:rsidP="00760009">
            <w:pPr>
              <w:jc w:val="right"/>
              <w:rPr>
                <w:rFonts w:ascii="Arial" w:eastAsia="Times New Roman" w:hAnsi="Arial" w:cs="Arial"/>
                <w:color w:val="000000"/>
                <w:lang w:eastAsia="en-GB"/>
              </w:rPr>
            </w:pPr>
            <w:r w:rsidRPr="00D1468C">
              <w:rPr>
                <w:rFonts w:ascii="Arial" w:eastAsia="Times New Roman" w:hAnsi="Arial" w:cs="Arial"/>
                <w:color w:val="000000"/>
                <w:lang w:eastAsia="en-GB"/>
              </w:rPr>
              <w:t> </w:t>
            </w:r>
          </w:p>
        </w:tc>
        <w:tc>
          <w:tcPr>
            <w:tcW w:w="2259" w:type="dxa"/>
            <w:tcBorders>
              <w:top w:val="nil"/>
              <w:left w:val="nil"/>
              <w:bottom w:val="nil"/>
              <w:right w:val="nil"/>
            </w:tcBorders>
            <w:shd w:val="clear" w:color="000000" w:fill="FFFFFF"/>
            <w:vAlign w:val="center"/>
            <w:hideMark/>
          </w:tcPr>
          <w:p w14:paraId="24E94499" w14:textId="77777777" w:rsidR="0021298F" w:rsidRPr="00D1468C" w:rsidRDefault="0021298F" w:rsidP="00760009">
            <w:pPr>
              <w:jc w:val="right"/>
              <w:rPr>
                <w:rFonts w:ascii="Arial" w:eastAsia="Times New Roman" w:hAnsi="Arial" w:cs="Arial"/>
                <w:color w:val="000000"/>
                <w:lang w:eastAsia="en-GB"/>
              </w:rPr>
            </w:pPr>
            <w:r w:rsidRPr="00D1468C">
              <w:rPr>
                <w:rFonts w:ascii="Arial" w:eastAsia="Times New Roman" w:hAnsi="Arial" w:cs="Arial"/>
                <w:color w:val="000000"/>
                <w:lang w:eastAsia="en-GB"/>
              </w:rPr>
              <w:t> </w:t>
            </w:r>
          </w:p>
        </w:tc>
      </w:tr>
      <w:tr w:rsidR="0021298F" w:rsidRPr="00D1468C" w14:paraId="5C2FE813" w14:textId="77777777" w:rsidTr="00760009">
        <w:trPr>
          <w:trHeight w:val="300"/>
        </w:trPr>
        <w:tc>
          <w:tcPr>
            <w:tcW w:w="4737" w:type="dxa"/>
            <w:tcBorders>
              <w:top w:val="nil"/>
              <w:left w:val="nil"/>
              <w:bottom w:val="nil"/>
              <w:right w:val="nil"/>
            </w:tcBorders>
            <w:shd w:val="clear" w:color="000000" w:fill="FFFFFF"/>
            <w:vAlign w:val="center"/>
            <w:hideMark/>
          </w:tcPr>
          <w:p w14:paraId="34A1D42D" w14:textId="77777777" w:rsidR="0021298F" w:rsidRPr="00D1468C" w:rsidRDefault="0021298F" w:rsidP="00760009">
            <w:pPr>
              <w:jc w:val="both"/>
              <w:rPr>
                <w:rFonts w:ascii="Arial" w:eastAsia="Times New Roman" w:hAnsi="Arial" w:cs="Arial"/>
                <w:b/>
                <w:bCs/>
                <w:color w:val="000000"/>
                <w:lang w:eastAsia="en-GB"/>
              </w:rPr>
            </w:pPr>
            <w:r w:rsidRPr="00D1468C">
              <w:rPr>
                <w:rFonts w:ascii="Arial" w:eastAsia="Times New Roman" w:hAnsi="Arial" w:cs="Arial"/>
                <w:b/>
                <w:bCs/>
                <w:color w:val="000000"/>
                <w:lang w:eastAsia="en-GB"/>
              </w:rPr>
              <w:t>Non current assets</w:t>
            </w:r>
          </w:p>
        </w:tc>
        <w:tc>
          <w:tcPr>
            <w:tcW w:w="705" w:type="dxa"/>
            <w:tcBorders>
              <w:top w:val="nil"/>
              <w:left w:val="nil"/>
              <w:bottom w:val="nil"/>
              <w:right w:val="nil"/>
            </w:tcBorders>
            <w:shd w:val="clear" w:color="000000" w:fill="FFFFFF"/>
            <w:vAlign w:val="center"/>
            <w:hideMark/>
          </w:tcPr>
          <w:p w14:paraId="3F558A47" w14:textId="77777777" w:rsidR="0021298F" w:rsidRPr="00D1468C" w:rsidRDefault="0021298F" w:rsidP="00760009">
            <w:pPr>
              <w:rPr>
                <w:rFonts w:ascii="Calibri" w:eastAsia="Times New Roman" w:hAnsi="Calibri" w:cs="Calibri"/>
                <w:color w:val="000000"/>
                <w:lang w:eastAsia="en-GB"/>
              </w:rPr>
            </w:pPr>
            <w:r w:rsidRPr="00D1468C">
              <w:rPr>
                <w:rFonts w:ascii="Calibri" w:eastAsia="Times New Roman" w:hAnsi="Calibri" w:cs="Calibri"/>
                <w:color w:val="000000"/>
                <w:lang w:eastAsia="en-GB"/>
              </w:rPr>
              <w:t> </w:t>
            </w:r>
          </w:p>
        </w:tc>
        <w:tc>
          <w:tcPr>
            <w:tcW w:w="2213" w:type="dxa"/>
            <w:tcBorders>
              <w:top w:val="nil"/>
              <w:left w:val="nil"/>
              <w:bottom w:val="nil"/>
              <w:right w:val="nil"/>
            </w:tcBorders>
            <w:shd w:val="clear" w:color="000000" w:fill="EDFFB7"/>
            <w:vAlign w:val="center"/>
            <w:hideMark/>
          </w:tcPr>
          <w:p w14:paraId="4FA6AE05" w14:textId="77777777" w:rsidR="0021298F" w:rsidRPr="00D1468C" w:rsidRDefault="0021298F" w:rsidP="00760009">
            <w:pPr>
              <w:jc w:val="right"/>
              <w:rPr>
                <w:rFonts w:ascii="Arial" w:eastAsia="Times New Roman" w:hAnsi="Arial" w:cs="Arial"/>
                <w:color w:val="000000"/>
                <w:lang w:eastAsia="en-GB"/>
              </w:rPr>
            </w:pPr>
            <w:r w:rsidRPr="00D1468C">
              <w:rPr>
                <w:rFonts w:ascii="Arial" w:eastAsia="Times New Roman" w:hAnsi="Arial" w:cs="Arial"/>
                <w:color w:val="000000"/>
                <w:lang w:eastAsia="en-GB"/>
              </w:rPr>
              <w:t> </w:t>
            </w:r>
          </w:p>
        </w:tc>
        <w:tc>
          <w:tcPr>
            <w:tcW w:w="2259" w:type="dxa"/>
            <w:tcBorders>
              <w:top w:val="nil"/>
              <w:left w:val="nil"/>
              <w:bottom w:val="nil"/>
              <w:right w:val="nil"/>
            </w:tcBorders>
            <w:shd w:val="clear" w:color="000000" w:fill="FFFFFF"/>
            <w:noWrap/>
            <w:vAlign w:val="center"/>
            <w:hideMark/>
          </w:tcPr>
          <w:p w14:paraId="486EC2B1" w14:textId="77777777" w:rsidR="0021298F" w:rsidRPr="00D1468C" w:rsidRDefault="0021298F" w:rsidP="00760009">
            <w:pPr>
              <w:jc w:val="right"/>
              <w:rPr>
                <w:rFonts w:ascii="Arial" w:eastAsia="Times New Roman" w:hAnsi="Arial" w:cs="Arial"/>
                <w:color w:val="000000"/>
                <w:lang w:eastAsia="en-GB"/>
              </w:rPr>
            </w:pPr>
            <w:r w:rsidRPr="00D1468C">
              <w:rPr>
                <w:rFonts w:ascii="Arial" w:eastAsia="Times New Roman" w:hAnsi="Arial" w:cs="Arial"/>
                <w:color w:val="000000"/>
                <w:lang w:eastAsia="en-GB"/>
              </w:rPr>
              <w:t> </w:t>
            </w:r>
          </w:p>
        </w:tc>
      </w:tr>
      <w:tr w:rsidR="0021298F" w:rsidRPr="00D1468C" w14:paraId="5C9FF4EE" w14:textId="77777777" w:rsidTr="00760009">
        <w:trPr>
          <w:trHeight w:val="315"/>
        </w:trPr>
        <w:tc>
          <w:tcPr>
            <w:tcW w:w="4737" w:type="dxa"/>
            <w:tcBorders>
              <w:top w:val="nil"/>
              <w:left w:val="nil"/>
              <w:bottom w:val="single" w:sz="8" w:space="0" w:color="auto"/>
              <w:right w:val="nil"/>
            </w:tcBorders>
            <w:shd w:val="clear" w:color="000000" w:fill="FFFFFF"/>
            <w:vAlign w:val="center"/>
            <w:hideMark/>
          </w:tcPr>
          <w:p w14:paraId="34E710B2" w14:textId="77777777" w:rsidR="0021298F" w:rsidRPr="00D1468C" w:rsidRDefault="0021298F" w:rsidP="00760009">
            <w:pPr>
              <w:rPr>
                <w:rFonts w:ascii="Arial" w:eastAsia="Times New Roman" w:hAnsi="Arial" w:cs="Arial"/>
                <w:color w:val="000000"/>
                <w:lang w:eastAsia="en-GB"/>
              </w:rPr>
            </w:pPr>
            <w:r w:rsidRPr="00D1468C">
              <w:rPr>
                <w:rFonts w:ascii="Arial" w:eastAsia="Times New Roman" w:hAnsi="Arial" w:cs="Arial"/>
                <w:color w:val="000000"/>
                <w:lang w:eastAsia="en-GB"/>
              </w:rPr>
              <w:t>Investments at fair value through profit or loss</w:t>
            </w:r>
          </w:p>
        </w:tc>
        <w:tc>
          <w:tcPr>
            <w:tcW w:w="705" w:type="dxa"/>
            <w:tcBorders>
              <w:top w:val="nil"/>
              <w:left w:val="nil"/>
              <w:bottom w:val="single" w:sz="8" w:space="0" w:color="auto"/>
              <w:right w:val="nil"/>
            </w:tcBorders>
            <w:shd w:val="clear" w:color="000000" w:fill="FFFFFF"/>
            <w:vAlign w:val="center"/>
            <w:hideMark/>
          </w:tcPr>
          <w:p w14:paraId="1F7856CE" w14:textId="77777777" w:rsidR="0021298F" w:rsidRPr="00D1468C" w:rsidRDefault="0021298F" w:rsidP="00760009">
            <w:pPr>
              <w:jc w:val="center"/>
              <w:rPr>
                <w:rFonts w:ascii="Arial" w:eastAsia="Times New Roman" w:hAnsi="Arial" w:cs="Arial"/>
                <w:b/>
                <w:bCs/>
                <w:color w:val="000000"/>
                <w:lang w:eastAsia="en-GB"/>
              </w:rPr>
            </w:pPr>
            <w:r w:rsidRPr="00D1468C">
              <w:rPr>
                <w:rFonts w:ascii="Arial" w:eastAsia="Times New Roman" w:hAnsi="Arial" w:cs="Arial"/>
                <w:b/>
                <w:bCs/>
                <w:color w:val="000000"/>
                <w:lang w:eastAsia="en-GB"/>
              </w:rPr>
              <w:t>9</w:t>
            </w:r>
          </w:p>
        </w:tc>
        <w:tc>
          <w:tcPr>
            <w:tcW w:w="2213" w:type="dxa"/>
            <w:tcBorders>
              <w:top w:val="nil"/>
              <w:left w:val="nil"/>
              <w:bottom w:val="single" w:sz="8" w:space="0" w:color="auto"/>
              <w:right w:val="nil"/>
            </w:tcBorders>
            <w:shd w:val="clear" w:color="000000" w:fill="EDFFB7"/>
            <w:vAlign w:val="center"/>
            <w:hideMark/>
          </w:tcPr>
          <w:p w14:paraId="66A6E404" w14:textId="77777777" w:rsidR="0021298F" w:rsidRPr="00D1468C" w:rsidRDefault="0021298F" w:rsidP="00760009">
            <w:pPr>
              <w:jc w:val="right"/>
              <w:rPr>
                <w:rFonts w:ascii="Arial" w:eastAsia="Times New Roman" w:hAnsi="Arial" w:cs="Arial"/>
                <w:color w:val="000000"/>
                <w:lang w:eastAsia="en-GB"/>
              </w:rPr>
            </w:pPr>
            <w:r w:rsidRPr="00D1468C">
              <w:rPr>
                <w:rFonts w:ascii="Arial" w:eastAsia="Times New Roman" w:hAnsi="Arial" w:cs="Arial"/>
                <w:color w:val="000000"/>
                <w:lang w:eastAsia="en-GB"/>
              </w:rPr>
              <w:t>944,352</w:t>
            </w:r>
          </w:p>
        </w:tc>
        <w:tc>
          <w:tcPr>
            <w:tcW w:w="2259" w:type="dxa"/>
            <w:tcBorders>
              <w:top w:val="nil"/>
              <w:left w:val="nil"/>
              <w:bottom w:val="single" w:sz="8" w:space="0" w:color="auto"/>
              <w:right w:val="nil"/>
            </w:tcBorders>
            <w:shd w:val="clear" w:color="000000" w:fill="FFFFFF"/>
            <w:noWrap/>
            <w:vAlign w:val="center"/>
            <w:hideMark/>
          </w:tcPr>
          <w:p w14:paraId="2B865CB9" w14:textId="77777777" w:rsidR="0021298F" w:rsidRPr="00D1468C" w:rsidRDefault="0021298F" w:rsidP="00760009">
            <w:pPr>
              <w:jc w:val="right"/>
              <w:rPr>
                <w:rFonts w:ascii="Arial" w:eastAsia="Times New Roman" w:hAnsi="Arial" w:cs="Arial"/>
                <w:color w:val="000000"/>
                <w:lang w:eastAsia="en-GB"/>
              </w:rPr>
            </w:pPr>
            <w:r w:rsidRPr="00D1468C">
              <w:rPr>
                <w:rFonts w:ascii="Arial" w:eastAsia="Times New Roman" w:hAnsi="Arial" w:cs="Arial"/>
                <w:color w:val="000000"/>
                <w:lang w:eastAsia="en-GB"/>
              </w:rPr>
              <w:t>850,107</w:t>
            </w:r>
          </w:p>
        </w:tc>
      </w:tr>
      <w:tr w:rsidR="0021298F" w:rsidRPr="00D1468C" w14:paraId="318F6E87" w14:textId="77777777" w:rsidTr="00760009">
        <w:trPr>
          <w:trHeight w:val="300"/>
        </w:trPr>
        <w:tc>
          <w:tcPr>
            <w:tcW w:w="4737" w:type="dxa"/>
            <w:tcBorders>
              <w:top w:val="nil"/>
              <w:left w:val="nil"/>
              <w:bottom w:val="nil"/>
              <w:right w:val="nil"/>
            </w:tcBorders>
            <w:shd w:val="clear" w:color="000000" w:fill="FFFFFF"/>
            <w:vAlign w:val="center"/>
            <w:hideMark/>
          </w:tcPr>
          <w:p w14:paraId="7F84327D" w14:textId="77777777" w:rsidR="0021298F" w:rsidRPr="00D1468C" w:rsidRDefault="0021298F" w:rsidP="00760009">
            <w:pPr>
              <w:jc w:val="both"/>
              <w:rPr>
                <w:rFonts w:ascii="Arial" w:eastAsia="Times New Roman" w:hAnsi="Arial" w:cs="Arial"/>
                <w:color w:val="000000"/>
                <w:lang w:eastAsia="en-GB"/>
              </w:rPr>
            </w:pPr>
            <w:r w:rsidRPr="00D1468C">
              <w:rPr>
                <w:rFonts w:ascii="Arial" w:eastAsia="Times New Roman" w:hAnsi="Arial" w:cs="Arial"/>
                <w:color w:val="000000"/>
                <w:lang w:eastAsia="en-GB"/>
              </w:rPr>
              <w:t> </w:t>
            </w:r>
          </w:p>
        </w:tc>
        <w:tc>
          <w:tcPr>
            <w:tcW w:w="705" w:type="dxa"/>
            <w:tcBorders>
              <w:top w:val="nil"/>
              <w:left w:val="nil"/>
              <w:bottom w:val="nil"/>
              <w:right w:val="nil"/>
            </w:tcBorders>
            <w:shd w:val="clear" w:color="000000" w:fill="FFFFFF"/>
            <w:vAlign w:val="center"/>
            <w:hideMark/>
          </w:tcPr>
          <w:p w14:paraId="0D91D20F" w14:textId="77777777" w:rsidR="0021298F" w:rsidRPr="00D1468C" w:rsidRDefault="0021298F" w:rsidP="00760009">
            <w:pPr>
              <w:rPr>
                <w:rFonts w:ascii="Calibri" w:eastAsia="Times New Roman" w:hAnsi="Calibri" w:cs="Calibri"/>
                <w:color w:val="000000"/>
                <w:lang w:eastAsia="en-GB"/>
              </w:rPr>
            </w:pPr>
            <w:r w:rsidRPr="00D1468C">
              <w:rPr>
                <w:rFonts w:ascii="Calibri" w:eastAsia="Times New Roman" w:hAnsi="Calibri" w:cs="Calibri"/>
                <w:color w:val="000000"/>
                <w:lang w:eastAsia="en-GB"/>
              </w:rPr>
              <w:t> </w:t>
            </w:r>
          </w:p>
        </w:tc>
        <w:tc>
          <w:tcPr>
            <w:tcW w:w="2213" w:type="dxa"/>
            <w:tcBorders>
              <w:top w:val="nil"/>
              <w:left w:val="nil"/>
              <w:bottom w:val="nil"/>
              <w:right w:val="nil"/>
            </w:tcBorders>
            <w:shd w:val="clear" w:color="000000" w:fill="EDFFB7"/>
            <w:vAlign w:val="center"/>
            <w:hideMark/>
          </w:tcPr>
          <w:p w14:paraId="2E344B9D" w14:textId="77777777" w:rsidR="0021298F" w:rsidRPr="00D1468C" w:rsidRDefault="0021298F" w:rsidP="00760009">
            <w:pPr>
              <w:jc w:val="right"/>
              <w:rPr>
                <w:rFonts w:ascii="Arial" w:eastAsia="Times New Roman" w:hAnsi="Arial" w:cs="Arial"/>
                <w:b/>
                <w:bCs/>
                <w:color w:val="000000"/>
                <w:lang w:eastAsia="en-GB"/>
              </w:rPr>
            </w:pPr>
            <w:r w:rsidRPr="00D1468C">
              <w:rPr>
                <w:rFonts w:ascii="Arial" w:eastAsia="Times New Roman" w:hAnsi="Arial" w:cs="Arial"/>
                <w:b/>
                <w:bCs/>
                <w:color w:val="000000"/>
                <w:lang w:eastAsia="en-GB"/>
              </w:rPr>
              <w:t>944,352</w:t>
            </w:r>
          </w:p>
        </w:tc>
        <w:tc>
          <w:tcPr>
            <w:tcW w:w="2259" w:type="dxa"/>
            <w:tcBorders>
              <w:top w:val="nil"/>
              <w:left w:val="nil"/>
              <w:bottom w:val="nil"/>
              <w:right w:val="nil"/>
            </w:tcBorders>
            <w:shd w:val="clear" w:color="000000" w:fill="FFFFFF"/>
            <w:noWrap/>
            <w:vAlign w:val="center"/>
            <w:hideMark/>
          </w:tcPr>
          <w:p w14:paraId="2745886C" w14:textId="77777777" w:rsidR="0021298F" w:rsidRPr="00D1468C" w:rsidRDefault="0021298F" w:rsidP="00760009">
            <w:pPr>
              <w:jc w:val="right"/>
              <w:rPr>
                <w:rFonts w:ascii="Arial" w:eastAsia="Times New Roman" w:hAnsi="Arial" w:cs="Arial"/>
                <w:b/>
                <w:bCs/>
                <w:color w:val="000000"/>
                <w:lang w:eastAsia="en-GB"/>
              </w:rPr>
            </w:pPr>
            <w:r w:rsidRPr="00D1468C">
              <w:rPr>
                <w:rFonts w:ascii="Arial" w:eastAsia="Times New Roman" w:hAnsi="Arial" w:cs="Arial"/>
                <w:b/>
                <w:bCs/>
                <w:color w:val="000000"/>
                <w:lang w:eastAsia="en-GB"/>
              </w:rPr>
              <w:t>850,107</w:t>
            </w:r>
          </w:p>
        </w:tc>
      </w:tr>
      <w:tr w:rsidR="0021298F" w:rsidRPr="00D1468C" w14:paraId="2686B4C7" w14:textId="77777777" w:rsidTr="00760009">
        <w:trPr>
          <w:trHeight w:val="300"/>
        </w:trPr>
        <w:tc>
          <w:tcPr>
            <w:tcW w:w="4737" w:type="dxa"/>
            <w:tcBorders>
              <w:top w:val="nil"/>
              <w:left w:val="nil"/>
              <w:bottom w:val="nil"/>
              <w:right w:val="nil"/>
            </w:tcBorders>
            <w:shd w:val="clear" w:color="000000" w:fill="FFFFFF"/>
            <w:vAlign w:val="center"/>
            <w:hideMark/>
          </w:tcPr>
          <w:p w14:paraId="668FFBF8" w14:textId="77777777" w:rsidR="0021298F" w:rsidRPr="00D1468C" w:rsidRDefault="0021298F" w:rsidP="00760009">
            <w:pPr>
              <w:jc w:val="both"/>
              <w:rPr>
                <w:rFonts w:ascii="Arial" w:eastAsia="Times New Roman" w:hAnsi="Arial" w:cs="Arial"/>
                <w:b/>
                <w:bCs/>
                <w:color w:val="000000"/>
                <w:lang w:eastAsia="en-GB"/>
              </w:rPr>
            </w:pPr>
            <w:r w:rsidRPr="00D1468C">
              <w:rPr>
                <w:rFonts w:ascii="Arial" w:eastAsia="Times New Roman" w:hAnsi="Arial" w:cs="Arial"/>
                <w:b/>
                <w:bCs/>
                <w:color w:val="000000"/>
                <w:lang w:eastAsia="en-GB"/>
              </w:rPr>
              <w:t>Current assets</w:t>
            </w:r>
          </w:p>
        </w:tc>
        <w:tc>
          <w:tcPr>
            <w:tcW w:w="705" w:type="dxa"/>
            <w:tcBorders>
              <w:top w:val="nil"/>
              <w:left w:val="nil"/>
              <w:bottom w:val="nil"/>
              <w:right w:val="nil"/>
            </w:tcBorders>
            <w:shd w:val="clear" w:color="000000" w:fill="FFFFFF"/>
            <w:vAlign w:val="center"/>
            <w:hideMark/>
          </w:tcPr>
          <w:p w14:paraId="3CC24B83" w14:textId="77777777" w:rsidR="0021298F" w:rsidRPr="00D1468C" w:rsidRDefault="0021298F" w:rsidP="00760009">
            <w:pPr>
              <w:rPr>
                <w:rFonts w:ascii="Calibri" w:eastAsia="Times New Roman" w:hAnsi="Calibri" w:cs="Calibri"/>
                <w:color w:val="000000"/>
                <w:lang w:eastAsia="en-GB"/>
              </w:rPr>
            </w:pPr>
            <w:r w:rsidRPr="00D1468C">
              <w:rPr>
                <w:rFonts w:ascii="Calibri" w:eastAsia="Times New Roman" w:hAnsi="Calibri" w:cs="Calibri"/>
                <w:color w:val="000000"/>
                <w:lang w:eastAsia="en-GB"/>
              </w:rPr>
              <w:t> </w:t>
            </w:r>
          </w:p>
        </w:tc>
        <w:tc>
          <w:tcPr>
            <w:tcW w:w="2213" w:type="dxa"/>
            <w:tcBorders>
              <w:top w:val="nil"/>
              <w:left w:val="nil"/>
              <w:bottom w:val="nil"/>
              <w:right w:val="nil"/>
            </w:tcBorders>
            <w:shd w:val="clear" w:color="000000" w:fill="EDFFB7"/>
            <w:vAlign w:val="center"/>
            <w:hideMark/>
          </w:tcPr>
          <w:p w14:paraId="04D7A215" w14:textId="77777777" w:rsidR="0021298F" w:rsidRPr="00D1468C" w:rsidRDefault="0021298F" w:rsidP="00760009">
            <w:pPr>
              <w:jc w:val="right"/>
              <w:rPr>
                <w:rFonts w:ascii="Arial" w:eastAsia="Times New Roman" w:hAnsi="Arial" w:cs="Arial"/>
                <w:color w:val="000000"/>
                <w:lang w:eastAsia="en-GB"/>
              </w:rPr>
            </w:pPr>
            <w:r w:rsidRPr="00D1468C">
              <w:rPr>
                <w:rFonts w:ascii="Arial" w:eastAsia="Times New Roman" w:hAnsi="Arial" w:cs="Arial"/>
                <w:color w:val="000000"/>
                <w:lang w:eastAsia="en-GB"/>
              </w:rPr>
              <w:t> </w:t>
            </w:r>
          </w:p>
        </w:tc>
        <w:tc>
          <w:tcPr>
            <w:tcW w:w="2259" w:type="dxa"/>
            <w:tcBorders>
              <w:top w:val="nil"/>
              <w:left w:val="nil"/>
              <w:bottom w:val="nil"/>
              <w:right w:val="nil"/>
            </w:tcBorders>
            <w:shd w:val="clear" w:color="000000" w:fill="FFFFFF"/>
            <w:noWrap/>
            <w:vAlign w:val="center"/>
            <w:hideMark/>
          </w:tcPr>
          <w:p w14:paraId="5F71A9A9" w14:textId="77777777" w:rsidR="0021298F" w:rsidRPr="00D1468C" w:rsidRDefault="0021298F" w:rsidP="00760009">
            <w:pPr>
              <w:jc w:val="right"/>
              <w:rPr>
                <w:rFonts w:ascii="Arial" w:eastAsia="Times New Roman" w:hAnsi="Arial" w:cs="Arial"/>
                <w:color w:val="000000"/>
                <w:lang w:eastAsia="en-GB"/>
              </w:rPr>
            </w:pPr>
            <w:r w:rsidRPr="00D1468C">
              <w:rPr>
                <w:rFonts w:ascii="Arial" w:eastAsia="Times New Roman" w:hAnsi="Arial" w:cs="Arial"/>
                <w:color w:val="000000"/>
                <w:lang w:eastAsia="en-GB"/>
              </w:rPr>
              <w:t> </w:t>
            </w:r>
          </w:p>
        </w:tc>
      </w:tr>
      <w:tr w:rsidR="0021298F" w:rsidRPr="00D1468C" w14:paraId="5C43E26C" w14:textId="77777777" w:rsidTr="00760009">
        <w:trPr>
          <w:trHeight w:val="300"/>
        </w:trPr>
        <w:tc>
          <w:tcPr>
            <w:tcW w:w="4737" w:type="dxa"/>
            <w:tcBorders>
              <w:top w:val="nil"/>
              <w:left w:val="nil"/>
              <w:bottom w:val="nil"/>
              <w:right w:val="nil"/>
            </w:tcBorders>
            <w:shd w:val="clear" w:color="000000" w:fill="FFFFFF"/>
            <w:vAlign w:val="center"/>
            <w:hideMark/>
          </w:tcPr>
          <w:p w14:paraId="18D1FDDA" w14:textId="77777777" w:rsidR="0021298F" w:rsidRPr="00D1468C" w:rsidRDefault="0021298F" w:rsidP="00760009">
            <w:pPr>
              <w:jc w:val="both"/>
              <w:rPr>
                <w:rFonts w:ascii="Arial" w:eastAsia="Times New Roman" w:hAnsi="Arial" w:cs="Arial"/>
                <w:color w:val="000000"/>
                <w:lang w:eastAsia="en-GB"/>
              </w:rPr>
            </w:pPr>
            <w:r w:rsidRPr="00D1468C">
              <w:rPr>
                <w:rFonts w:ascii="Arial" w:eastAsia="Times New Roman" w:hAnsi="Arial" w:cs="Arial"/>
                <w:color w:val="000000"/>
                <w:lang w:eastAsia="en-GB"/>
              </w:rPr>
              <w:t>Receivables</w:t>
            </w:r>
          </w:p>
        </w:tc>
        <w:tc>
          <w:tcPr>
            <w:tcW w:w="705" w:type="dxa"/>
            <w:tcBorders>
              <w:top w:val="nil"/>
              <w:left w:val="nil"/>
              <w:bottom w:val="nil"/>
              <w:right w:val="nil"/>
            </w:tcBorders>
            <w:shd w:val="clear" w:color="000000" w:fill="FFFFFF"/>
            <w:vAlign w:val="center"/>
            <w:hideMark/>
          </w:tcPr>
          <w:p w14:paraId="4B045994" w14:textId="77777777" w:rsidR="0021298F" w:rsidRPr="00D1468C" w:rsidRDefault="0021298F" w:rsidP="00760009">
            <w:pPr>
              <w:jc w:val="center"/>
              <w:rPr>
                <w:rFonts w:ascii="Arial" w:eastAsia="Times New Roman" w:hAnsi="Arial" w:cs="Arial"/>
                <w:b/>
                <w:bCs/>
                <w:color w:val="000000"/>
                <w:lang w:eastAsia="en-GB"/>
              </w:rPr>
            </w:pPr>
            <w:r w:rsidRPr="00D1468C">
              <w:rPr>
                <w:rFonts w:ascii="Arial" w:eastAsia="Times New Roman" w:hAnsi="Arial" w:cs="Arial"/>
                <w:b/>
                <w:bCs/>
                <w:color w:val="000000"/>
                <w:lang w:eastAsia="en-GB"/>
              </w:rPr>
              <w:t>11</w:t>
            </w:r>
          </w:p>
        </w:tc>
        <w:tc>
          <w:tcPr>
            <w:tcW w:w="2213" w:type="dxa"/>
            <w:tcBorders>
              <w:top w:val="nil"/>
              <w:left w:val="nil"/>
              <w:bottom w:val="nil"/>
              <w:right w:val="nil"/>
            </w:tcBorders>
            <w:shd w:val="clear" w:color="000000" w:fill="EDFFB7"/>
            <w:vAlign w:val="center"/>
            <w:hideMark/>
          </w:tcPr>
          <w:p w14:paraId="00ED6440" w14:textId="77777777" w:rsidR="0021298F" w:rsidRPr="00D1468C" w:rsidRDefault="0021298F" w:rsidP="00760009">
            <w:pPr>
              <w:jc w:val="right"/>
              <w:rPr>
                <w:rFonts w:ascii="Arial" w:eastAsia="Times New Roman" w:hAnsi="Arial" w:cs="Arial"/>
                <w:color w:val="000000"/>
                <w:lang w:eastAsia="en-GB"/>
              </w:rPr>
            </w:pPr>
            <w:r w:rsidRPr="00D1468C">
              <w:rPr>
                <w:rFonts w:ascii="Arial" w:eastAsia="Times New Roman" w:hAnsi="Arial" w:cs="Arial"/>
                <w:color w:val="000000"/>
                <w:lang w:eastAsia="en-GB"/>
              </w:rPr>
              <w:t>4,095</w:t>
            </w:r>
          </w:p>
        </w:tc>
        <w:tc>
          <w:tcPr>
            <w:tcW w:w="2259" w:type="dxa"/>
            <w:tcBorders>
              <w:top w:val="nil"/>
              <w:left w:val="nil"/>
              <w:bottom w:val="nil"/>
              <w:right w:val="nil"/>
            </w:tcBorders>
            <w:shd w:val="clear" w:color="000000" w:fill="FFFFFF"/>
            <w:noWrap/>
            <w:vAlign w:val="center"/>
            <w:hideMark/>
          </w:tcPr>
          <w:p w14:paraId="2E2BAACA" w14:textId="77777777" w:rsidR="0021298F" w:rsidRPr="00D1468C" w:rsidRDefault="0021298F" w:rsidP="00760009">
            <w:pPr>
              <w:jc w:val="right"/>
              <w:rPr>
                <w:rFonts w:ascii="Arial" w:eastAsia="Times New Roman" w:hAnsi="Arial" w:cs="Arial"/>
                <w:color w:val="000000"/>
                <w:lang w:eastAsia="en-GB"/>
              </w:rPr>
            </w:pPr>
            <w:r w:rsidRPr="00D1468C">
              <w:rPr>
                <w:rFonts w:ascii="Arial" w:eastAsia="Times New Roman" w:hAnsi="Arial" w:cs="Arial"/>
                <w:color w:val="000000"/>
                <w:lang w:eastAsia="en-GB"/>
              </w:rPr>
              <w:t>3,343</w:t>
            </w:r>
          </w:p>
        </w:tc>
      </w:tr>
      <w:tr w:rsidR="0021298F" w:rsidRPr="00D1468C" w14:paraId="6D895C2F" w14:textId="77777777" w:rsidTr="00760009">
        <w:trPr>
          <w:trHeight w:val="315"/>
        </w:trPr>
        <w:tc>
          <w:tcPr>
            <w:tcW w:w="4737" w:type="dxa"/>
            <w:tcBorders>
              <w:top w:val="nil"/>
              <w:left w:val="nil"/>
              <w:bottom w:val="single" w:sz="8" w:space="0" w:color="auto"/>
              <w:right w:val="nil"/>
            </w:tcBorders>
            <w:shd w:val="clear" w:color="000000" w:fill="FFFFFF"/>
            <w:vAlign w:val="center"/>
            <w:hideMark/>
          </w:tcPr>
          <w:p w14:paraId="335222D0" w14:textId="77777777" w:rsidR="0021298F" w:rsidRPr="00D1468C" w:rsidRDefault="0021298F" w:rsidP="00760009">
            <w:pPr>
              <w:jc w:val="both"/>
              <w:rPr>
                <w:rFonts w:ascii="Arial" w:eastAsia="Times New Roman" w:hAnsi="Arial" w:cs="Arial"/>
                <w:color w:val="000000"/>
                <w:lang w:eastAsia="en-GB"/>
              </w:rPr>
            </w:pPr>
            <w:r w:rsidRPr="00D1468C">
              <w:rPr>
                <w:rFonts w:ascii="Arial" w:eastAsia="Times New Roman" w:hAnsi="Arial" w:cs="Arial"/>
                <w:color w:val="000000"/>
                <w:lang w:eastAsia="en-GB"/>
              </w:rPr>
              <w:t>Cash and cash equivalents</w:t>
            </w:r>
          </w:p>
        </w:tc>
        <w:tc>
          <w:tcPr>
            <w:tcW w:w="705" w:type="dxa"/>
            <w:tcBorders>
              <w:top w:val="nil"/>
              <w:left w:val="nil"/>
              <w:bottom w:val="single" w:sz="8" w:space="0" w:color="auto"/>
              <w:right w:val="nil"/>
            </w:tcBorders>
            <w:shd w:val="clear" w:color="000000" w:fill="FFFFFF"/>
            <w:vAlign w:val="center"/>
            <w:hideMark/>
          </w:tcPr>
          <w:p w14:paraId="710E51FD" w14:textId="77777777" w:rsidR="0021298F" w:rsidRPr="00D1468C" w:rsidRDefault="0021298F" w:rsidP="00760009">
            <w:pPr>
              <w:rPr>
                <w:rFonts w:ascii="Calibri" w:eastAsia="Times New Roman" w:hAnsi="Calibri" w:cs="Calibri"/>
                <w:color w:val="000000"/>
                <w:lang w:eastAsia="en-GB"/>
              </w:rPr>
            </w:pPr>
            <w:r w:rsidRPr="00D1468C">
              <w:rPr>
                <w:rFonts w:ascii="Calibri" w:eastAsia="Times New Roman" w:hAnsi="Calibri" w:cs="Calibri"/>
                <w:color w:val="000000"/>
                <w:lang w:eastAsia="en-GB"/>
              </w:rPr>
              <w:t> </w:t>
            </w:r>
          </w:p>
        </w:tc>
        <w:tc>
          <w:tcPr>
            <w:tcW w:w="2213" w:type="dxa"/>
            <w:tcBorders>
              <w:top w:val="nil"/>
              <w:left w:val="nil"/>
              <w:bottom w:val="single" w:sz="8" w:space="0" w:color="auto"/>
              <w:right w:val="nil"/>
            </w:tcBorders>
            <w:shd w:val="clear" w:color="000000" w:fill="EDFFB7"/>
            <w:vAlign w:val="center"/>
            <w:hideMark/>
          </w:tcPr>
          <w:p w14:paraId="4D6C3B3D" w14:textId="77777777" w:rsidR="0021298F" w:rsidRPr="00D1468C" w:rsidRDefault="0021298F" w:rsidP="00760009">
            <w:pPr>
              <w:jc w:val="right"/>
              <w:rPr>
                <w:rFonts w:ascii="Arial" w:eastAsia="Times New Roman" w:hAnsi="Arial" w:cs="Arial"/>
                <w:color w:val="000000"/>
                <w:lang w:eastAsia="en-GB"/>
              </w:rPr>
            </w:pPr>
            <w:r w:rsidRPr="00D1468C">
              <w:rPr>
                <w:rFonts w:ascii="Arial" w:eastAsia="Times New Roman" w:hAnsi="Arial" w:cs="Arial"/>
                <w:color w:val="000000"/>
                <w:lang w:eastAsia="en-GB"/>
              </w:rPr>
              <w:t>16,517</w:t>
            </w:r>
          </w:p>
        </w:tc>
        <w:tc>
          <w:tcPr>
            <w:tcW w:w="2259" w:type="dxa"/>
            <w:tcBorders>
              <w:top w:val="nil"/>
              <w:left w:val="nil"/>
              <w:bottom w:val="single" w:sz="8" w:space="0" w:color="auto"/>
              <w:right w:val="nil"/>
            </w:tcBorders>
            <w:shd w:val="clear" w:color="000000" w:fill="FFFFFF"/>
            <w:noWrap/>
            <w:vAlign w:val="center"/>
            <w:hideMark/>
          </w:tcPr>
          <w:p w14:paraId="4C297564" w14:textId="77777777" w:rsidR="0021298F" w:rsidRPr="00D1468C" w:rsidRDefault="0021298F" w:rsidP="00760009">
            <w:pPr>
              <w:jc w:val="right"/>
              <w:rPr>
                <w:rFonts w:ascii="Arial" w:eastAsia="Times New Roman" w:hAnsi="Arial" w:cs="Arial"/>
                <w:color w:val="000000"/>
                <w:lang w:eastAsia="en-GB"/>
              </w:rPr>
            </w:pPr>
            <w:r w:rsidRPr="00D1468C">
              <w:rPr>
                <w:rFonts w:ascii="Arial" w:eastAsia="Times New Roman" w:hAnsi="Arial" w:cs="Arial"/>
                <w:color w:val="000000"/>
                <w:lang w:eastAsia="en-GB"/>
              </w:rPr>
              <w:t>6,020</w:t>
            </w:r>
          </w:p>
        </w:tc>
      </w:tr>
      <w:tr w:rsidR="0021298F" w:rsidRPr="00D1468C" w14:paraId="41CF0ED3" w14:textId="77777777" w:rsidTr="00760009">
        <w:trPr>
          <w:trHeight w:val="300"/>
        </w:trPr>
        <w:tc>
          <w:tcPr>
            <w:tcW w:w="4737" w:type="dxa"/>
            <w:tcBorders>
              <w:top w:val="nil"/>
              <w:left w:val="nil"/>
              <w:bottom w:val="nil"/>
              <w:right w:val="nil"/>
            </w:tcBorders>
            <w:shd w:val="clear" w:color="000000" w:fill="FFFFFF"/>
            <w:vAlign w:val="center"/>
            <w:hideMark/>
          </w:tcPr>
          <w:p w14:paraId="49A275A1" w14:textId="77777777" w:rsidR="0021298F" w:rsidRPr="00D1468C" w:rsidRDefault="0021298F" w:rsidP="00760009">
            <w:pPr>
              <w:jc w:val="both"/>
              <w:rPr>
                <w:rFonts w:ascii="Arial" w:eastAsia="Times New Roman" w:hAnsi="Arial" w:cs="Arial"/>
                <w:color w:val="000000"/>
                <w:lang w:eastAsia="en-GB"/>
              </w:rPr>
            </w:pPr>
            <w:r w:rsidRPr="00D1468C">
              <w:rPr>
                <w:rFonts w:ascii="Arial" w:eastAsia="Times New Roman" w:hAnsi="Arial" w:cs="Arial"/>
                <w:color w:val="000000"/>
                <w:lang w:eastAsia="en-GB"/>
              </w:rPr>
              <w:t> </w:t>
            </w:r>
          </w:p>
        </w:tc>
        <w:tc>
          <w:tcPr>
            <w:tcW w:w="705" w:type="dxa"/>
            <w:tcBorders>
              <w:top w:val="nil"/>
              <w:left w:val="nil"/>
              <w:bottom w:val="nil"/>
              <w:right w:val="nil"/>
            </w:tcBorders>
            <w:shd w:val="clear" w:color="000000" w:fill="FFFFFF"/>
            <w:vAlign w:val="center"/>
            <w:hideMark/>
          </w:tcPr>
          <w:p w14:paraId="78877362" w14:textId="77777777" w:rsidR="0021298F" w:rsidRPr="00D1468C" w:rsidRDefault="0021298F" w:rsidP="00760009">
            <w:pPr>
              <w:rPr>
                <w:rFonts w:ascii="Calibri" w:eastAsia="Times New Roman" w:hAnsi="Calibri" w:cs="Calibri"/>
                <w:color w:val="000000"/>
                <w:lang w:eastAsia="en-GB"/>
              </w:rPr>
            </w:pPr>
            <w:r w:rsidRPr="00D1468C">
              <w:rPr>
                <w:rFonts w:ascii="Calibri" w:eastAsia="Times New Roman" w:hAnsi="Calibri" w:cs="Calibri"/>
                <w:color w:val="000000"/>
                <w:lang w:eastAsia="en-GB"/>
              </w:rPr>
              <w:t> </w:t>
            </w:r>
          </w:p>
        </w:tc>
        <w:tc>
          <w:tcPr>
            <w:tcW w:w="2213" w:type="dxa"/>
            <w:tcBorders>
              <w:top w:val="nil"/>
              <w:left w:val="nil"/>
              <w:bottom w:val="nil"/>
              <w:right w:val="nil"/>
            </w:tcBorders>
            <w:shd w:val="clear" w:color="000000" w:fill="EDFFB7"/>
            <w:vAlign w:val="center"/>
            <w:hideMark/>
          </w:tcPr>
          <w:p w14:paraId="7F6264E4" w14:textId="77777777" w:rsidR="0021298F" w:rsidRPr="00D1468C" w:rsidRDefault="0021298F" w:rsidP="00760009">
            <w:pPr>
              <w:jc w:val="right"/>
              <w:rPr>
                <w:rFonts w:ascii="Arial" w:eastAsia="Times New Roman" w:hAnsi="Arial" w:cs="Arial"/>
                <w:color w:val="000000"/>
                <w:lang w:eastAsia="en-GB"/>
              </w:rPr>
            </w:pPr>
            <w:r w:rsidRPr="00D1468C">
              <w:rPr>
                <w:rFonts w:ascii="Arial" w:eastAsia="Times New Roman" w:hAnsi="Arial" w:cs="Arial"/>
                <w:color w:val="000000"/>
                <w:lang w:eastAsia="en-GB"/>
              </w:rPr>
              <w:t>20,612</w:t>
            </w:r>
          </w:p>
        </w:tc>
        <w:tc>
          <w:tcPr>
            <w:tcW w:w="2259" w:type="dxa"/>
            <w:tcBorders>
              <w:top w:val="nil"/>
              <w:left w:val="nil"/>
              <w:bottom w:val="nil"/>
              <w:right w:val="nil"/>
            </w:tcBorders>
            <w:shd w:val="clear" w:color="000000" w:fill="FFFFFF"/>
            <w:noWrap/>
            <w:vAlign w:val="center"/>
            <w:hideMark/>
          </w:tcPr>
          <w:p w14:paraId="7CC58D6A" w14:textId="77777777" w:rsidR="0021298F" w:rsidRPr="00D1468C" w:rsidRDefault="0021298F" w:rsidP="00760009">
            <w:pPr>
              <w:jc w:val="right"/>
              <w:rPr>
                <w:rFonts w:ascii="Arial" w:eastAsia="Times New Roman" w:hAnsi="Arial" w:cs="Arial"/>
                <w:color w:val="000000"/>
                <w:lang w:eastAsia="en-GB"/>
              </w:rPr>
            </w:pPr>
            <w:r w:rsidRPr="00D1468C">
              <w:rPr>
                <w:rFonts w:ascii="Arial" w:eastAsia="Times New Roman" w:hAnsi="Arial" w:cs="Arial"/>
                <w:color w:val="000000"/>
                <w:lang w:eastAsia="en-GB"/>
              </w:rPr>
              <w:t>9,363</w:t>
            </w:r>
          </w:p>
        </w:tc>
      </w:tr>
      <w:tr w:rsidR="0021298F" w:rsidRPr="00D1468C" w14:paraId="501227F6" w14:textId="77777777" w:rsidTr="00760009">
        <w:trPr>
          <w:trHeight w:val="300"/>
        </w:trPr>
        <w:tc>
          <w:tcPr>
            <w:tcW w:w="4737" w:type="dxa"/>
            <w:tcBorders>
              <w:top w:val="nil"/>
              <w:left w:val="nil"/>
              <w:bottom w:val="nil"/>
              <w:right w:val="nil"/>
            </w:tcBorders>
            <w:shd w:val="clear" w:color="000000" w:fill="FFFFFF"/>
            <w:vAlign w:val="center"/>
            <w:hideMark/>
          </w:tcPr>
          <w:p w14:paraId="3F787D1C" w14:textId="77777777" w:rsidR="0021298F" w:rsidRPr="00D1468C" w:rsidRDefault="0021298F" w:rsidP="00760009">
            <w:pPr>
              <w:jc w:val="both"/>
              <w:rPr>
                <w:rFonts w:ascii="Arial" w:eastAsia="Times New Roman" w:hAnsi="Arial" w:cs="Arial"/>
                <w:b/>
                <w:bCs/>
                <w:color w:val="000000"/>
                <w:lang w:eastAsia="en-GB"/>
              </w:rPr>
            </w:pPr>
            <w:r w:rsidRPr="00D1468C">
              <w:rPr>
                <w:rFonts w:ascii="Arial" w:eastAsia="Times New Roman" w:hAnsi="Arial" w:cs="Arial"/>
                <w:b/>
                <w:bCs/>
                <w:color w:val="000000"/>
                <w:lang w:eastAsia="en-GB"/>
              </w:rPr>
              <w:t>Current liabilities</w:t>
            </w:r>
          </w:p>
        </w:tc>
        <w:tc>
          <w:tcPr>
            <w:tcW w:w="705" w:type="dxa"/>
            <w:tcBorders>
              <w:top w:val="nil"/>
              <w:left w:val="nil"/>
              <w:bottom w:val="nil"/>
              <w:right w:val="nil"/>
            </w:tcBorders>
            <w:shd w:val="clear" w:color="000000" w:fill="FFFFFF"/>
            <w:vAlign w:val="center"/>
            <w:hideMark/>
          </w:tcPr>
          <w:p w14:paraId="0C646774" w14:textId="77777777" w:rsidR="0021298F" w:rsidRPr="00D1468C" w:rsidRDefault="0021298F" w:rsidP="00760009">
            <w:pPr>
              <w:rPr>
                <w:rFonts w:ascii="Calibri" w:eastAsia="Times New Roman" w:hAnsi="Calibri" w:cs="Calibri"/>
                <w:color w:val="000000"/>
                <w:lang w:eastAsia="en-GB"/>
              </w:rPr>
            </w:pPr>
            <w:r w:rsidRPr="00D1468C">
              <w:rPr>
                <w:rFonts w:ascii="Calibri" w:eastAsia="Times New Roman" w:hAnsi="Calibri" w:cs="Calibri"/>
                <w:color w:val="000000"/>
                <w:lang w:eastAsia="en-GB"/>
              </w:rPr>
              <w:t> </w:t>
            </w:r>
          </w:p>
        </w:tc>
        <w:tc>
          <w:tcPr>
            <w:tcW w:w="2213" w:type="dxa"/>
            <w:tcBorders>
              <w:top w:val="nil"/>
              <w:left w:val="nil"/>
              <w:bottom w:val="nil"/>
              <w:right w:val="nil"/>
            </w:tcBorders>
            <w:shd w:val="clear" w:color="000000" w:fill="EDFFB7"/>
            <w:vAlign w:val="center"/>
            <w:hideMark/>
          </w:tcPr>
          <w:p w14:paraId="02E17D2C" w14:textId="77777777" w:rsidR="0021298F" w:rsidRPr="00D1468C" w:rsidRDefault="0021298F" w:rsidP="00760009">
            <w:pPr>
              <w:jc w:val="right"/>
              <w:rPr>
                <w:rFonts w:ascii="Arial" w:eastAsia="Times New Roman" w:hAnsi="Arial" w:cs="Arial"/>
                <w:color w:val="000000"/>
                <w:lang w:eastAsia="en-GB"/>
              </w:rPr>
            </w:pPr>
            <w:r w:rsidRPr="00D1468C">
              <w:rPr>
                <w:rFonts w:ascii="Arial" w:eastAsia="Times New Roman" w:hAnsi="Arial" w:cs="Arial"/>
                <w:color w:val="000000"/>
                <w:lang w:eastAsia="en-GB"/>
              </w:rPr>
              <w:t> </w:t>
            </w:r>
          </w:p>
        </w:tc>
        <w:tc>
          <w:tcPr>
            <w:tcW w:w="2259" w:type="dxa"/>
            <w:tcBorders>
              <w:top w:val="nil"/>
              <w:left w:val="nil"/>
              <w:bottom w:val="nil"/>
              <w:right w:val="nil"/>
            </w:tcBorders>
            <w:shd w:val="clear" w:color="000000" w:fill="FFFFFF"/>
            <w:noWrap/>
            <w:vAlign w:val="center"/>
            <w:hideMark/>
          </w:tcPr>
          <w:p w14:paraId="1F8BC506" w14:textId="77777777" w:rsidR="0021298F" w:rsidRPr="00D1468C" w:rsidRDefault="0021298F" w:rsidP="00760009">
            <w:pPr>
              <w:jc w:val="right"/>
              <w:rPr>
                <w:rFonts w:ascii="Arial" w:eastAsia="Times New Roman" w:hAnsi="Arial" w:cs="Arial"/>
                <w:color w:val="000000"/>
                <w:lang w:eastAsia="en-GB"/>
              </w:rPr>
            </w:pPr>
            <w:r w:rsidRPr="00D1468C">
              <w:rPr>
                <w:rFonts w:ascii="Arial" w:eastAsia="Times New Roman" w:hAnsi="Arial" w:cs="Arial"/>
                <w:color w:val="000000"/>
                <w:lang w:eastAsia="en-GB"/>
              </w:rPr>
              <w:t> </w:t>
            </w:r>
          </w:p>
        </w:tc>
      </w:tr>
      <w:tr w:rsidR="0021298F" w:rsidRPr="00D1468C" w14:paraId="4031B030" w14:textId="77777777" w:rsidTr="00760009">
        <w:trPr>
          <w:trHeight w:val="300"/>
        </w:trPr>
        <w:tc>
          <w:tcPr>
            <w:tcW w:w="4737" w:type="dxa"/>
            <w:tcBorders>
              <w:top w:val="nil"/>
              <w:left w:val="nil"/>
              <w:bottom w:val="nil"/>
              <w:right w:val="nil"/>
            </w:tcBorders>
            <w:shd w:val="clear" w:color="000000" w:fill="FFFFFF"/>
            <w:vAlign w:val="center"/>
            <w:hideMark/>
          </w:tcPr>
          <w:p w14:paraId="6393DC5C" w14:textId="77777777" w:rsidR="0021298F" w:rsidRPr="00D1468C" w:rsidRDefault="0021298F" w:rsidP="00760009">
            <w:pPr>
              <w:jc w:val="both"/>
              <w:rPr>
                <w:rFonts w:ascii="Arial" w:eastAsia="Times New Roman" w:hAnsi="Arial" w:cs="Arial"/>
                <w:color w:val="000000"/>
                <w:lang w:eastAsia="en-GB"/>
              </w:rPr>
            </w:pPr>
            <w:r w:rsidRPr="00D1468C">
              <w:rPr>
                <w:rFonts w:ascii="Arial" w:eastAsia="Times New Roman" w:hAnsi="Arial" w:cs="Arial"/>
                <w:color w:val="000000"/>
                <w:lang w:eastAsia="en-GB"/>
              </w:rPr>
              <w:lastRenderedPageBreak/>
              <w:t>Loans and borrowings</w:t>
            </w:r>
          </w:p>
        </w:tc>
        <w:tc>
          <w:tcPr>
            <w:tcW w:w="705" w:type="dxa"/>
            <w:tcBorders>
              <w:top w:val="nil"/>
              <w:left w:val="nil"/>
              <w:bottom w:val="nil"/>
              <w:right w:val="nil"/>
            </w:tcBorders>
            <w:shd w:val="clear" w:color="000000" w:fill="FFFFFF"/>
            <w:vAlign w:val="center"/>
            <w:hideMark/>
          </w:tcPr>
          <w:p w14:paraId="3A79A704" w14:textId="77777777" w:rsidR="0021298F" w:rsidRPr="00D1468C" w:rsidRDefault="0021298F" w:rsidP="00760009">
            <w:pPr>
              <w:jc w:val="center"/>
              <w:rPr>
                <w:rFonts w:ascii="Arial" w:eastAsia="Times New Roman" w:hAnsi="Arial" w:cs="Arial"/>
                <w:b/>
                <w:bCs/>
                <w:color w:val="000000"/>
                <w:lang w:eastAsia="en-GB"/>
              </w:rPr>
            </w:pPr>
            <w:r w:rsidRPr="00D1468C">
              <w:rPr>
                <w:rFonts w:ascii="Arial" w:eastAsia="Times New Roman" w:hAnsi="Arial" w:cs="Arial"/>
                <w:b/>
                <w:bCs/>
                <w:color w:val="000000"/>
                <w:lang w:eastAsia="en-GB"/>
              </w:rPr>
              <w:t>13</w:t>
            </w:r>
          </w:p>
        </w:tc>
        <w:tc>
          <w:tcPr>
            <w:tcW w:w="2213" w:type="dxa"/>
            <w:tcBorders>
              <w:top w:val="nil"/>
              <w:left w:val="nil"/>
              <w:bottom w:val="nil"/>
              <w:right w:val="nil"/>
            </w:tcBorders>
            <w:shd w:val="clear" w:color="000000" w:fill="EDFFB7"/>
            <w:vAlign w:val="center"/>
            <w:hideMark/>
          </w:tcPr>
          <w:p w14:paraId="68090603" w14:textId="77777777" w:rsidR="0021298F" w:rsidRPr="00D1468C" w:rsidRDefault="0021298F" w:rsidP="00760009">
            <w:pPr>
              <w:jc w:val="right"/>
              <w:rPr>
                <w:rFonts w:ascii="Arial" w:eastAsia="Times New Roman" w:hAnsi="Arial" w:cs="Arial"/>
                <w:color w:val="000000"/>
                <w:lang w:eastAsia="en-GB"/>
              </w:rPr>
            </w:pPr>
            <w:r w:rsidRPr="00D1468C">
              <w:rPr>
                <w:rFonts w:ascii="Arial" w:eastAsia="Times New Roman" w:hAnsi="Arial" w:cs="Arial"/>
                <w:color w:val="000000"/>
                <w:lang w:eastAsia="en-GB"/>
              </w:rPr>
              <w:t xml:space="preserve"> - </w:t>
            </w:r>
          </w:p>
        </w:tc>
        <w:tc>
          <w:tcPr>
            <w:tcW w:w="2259" w:type="dxa"/>
            <w:tcBorders>
              <w:top w:val="nil"/>
              <w:left w:val="nil"/>
              <w:bottom w:val="nil"/>
              <w:right w:val="nil"/>
            </w:tcBorders>
            <w:shd w:val="clear" w:color="000000" w:fill="FFFFFF"/>
            <w:vAlign w:val="center"/>
            <w:hideMark/>
          </w:tcPr>
          <w:p w14:paraId="3D389ED2" w14:textId="77777777" w:rsidR="0021298F" w:rsidRPr="00D1468C" w:rsidRDefault="0021298F" w:rsidP="00760009">
            <w:pPr>
              <w:jc w:val="right"/>
              <w:rPr>
                <w:rFonts w:ascii="Arial" w:eastAsia="Times New Roman" w:hAnsi="Arial" w:cs="Arial"/>
                <w:color w:val="000000"/>
                <w:lang w:eastAsia="en-GB"/>
              </w:rPr>
            </w:pPr>
            <w:r w:rsidRPr="00D1468C">
              <w:rPr>
                <w:rFonts w:ascii="Arial" w:eastAsia="Times New Roman" w:hAnsi="Arial" w:cs="Arial"/>
                <w:color w:val="000000"/>
                <w:lang w:eastAsia="en-GB"/>
              </w:rPr>
              <w:t xml:space="preserve"> (206,000)</w:t>
            </w:r>
          </w:p>
        </w:tc>
      </w:tr>
      <w:tr w:rsidR="0021298F" w:rsidRPr="00D1468C" w14:paraId="5BB1F379" w14:textId="77777777" w:rsidTr="00760009">
        <w:trPr>
          <w:trHeight w:val="315"/>
        </w:trPr>
        <w:tc>
          <w:tcPr>
            <w:tcW w:w="4737" w:type="dxa"/>
            <w:tcBorders>
              <w:top w:val="nil"/>
              <w:left w:val="nil"/>
              <w:bottom w:val="single" w:sz="8" w:space="0" w:color="auto"/>
              <w:right w:val="nil"/>
            </w:tcBorders>
            <w:shd w:val="clear" w:color="000000" w:fill="FFFFFF"/>
            <w:vAlign w:val="center"/>
            <w:hideMark/>
          </w:tcPr>
          <w:p w14:paraId="4D40E95E" w14:textId="77777777" w:rsidR="0021298F" w:rsidRPr="00D1468C" w:rsidRDefault="0021298F" w:rsidP="00760009">
            <w:pPr>
              <w:jc w:val="both"/>
              <w:rPr>
                <w:rFonts w:ascii="Arial" w:eastAsia="Times New Roman" w:hAnsi="Arial" w:cs="Arial"/>
                <w:color w:val="000000"/>
                <w:lang w:eastAsia="en-GB"/>
              </w:rPr>
            </w:pPr>
            <w:r w:rsidRPr="00D1468C">
              <w:rPr>
                <w:rFonts w:ascii="Arial" w:eastAsia="Times New Roman" w:hAnsi="Arial" w:cs="Arial"/>
                <w:color w:val="000000"/>
                <w:lang w:eastAsia="en-GB"/>
              </w:rPr>
              <w:t>Payables</w:t>
            </w:r>
          </w:p>
        </w:tc>
        <w:tc>
          <w:tcPr>
            <w:tcW w:w="705" w:type="dxa"/>
            <w:tcBorders>
              <w:top w:val="nil"/>
              <w:left w:val="nil"/>
              <w:bottom w:val="single" w:sz="8" w:space="0" w:color="auto"/>
              <w:right w:val="nil"/>
            </w:tcBorders>
            <w:shd w:val="clear" w:color="000000" w:fill="FFFFFF"/>
            <w:vAlign w:val="center"/>
            <w:hideMark/>
          </w:tcPr>
          <w:p w14:paraId="4E45A360" w14:textId="77777777" w:rsidR="0021298F" w:rsidRPr="00D1468C" w:rsidRDefault="0021298F" w:rsidP="00760009">
            <w:pPr>
              <w:jc w:val="center"/>
              <w:rPr>
                <w:rFonts w:ascii="Arial" w:eastAsia="Times New Roman" w:hAnsi="Arial" w:cs="Arial"/>
                <w:b/>
                <w:bCs/>
                <w:color w:val="000000"/>
                <w:lang w:eastAsia="en-GB"/>
              </w:rPr>
            </w:pPr>
            <w:r w:rsidRPr="00D1468C">
              <w:rPr>
                <w:rFonts w:ascii="Arial" w:eastAsia="Times New Roman" w:hAnsi="Arial" w:cs="Arial"/>
                <w:b/>
                <w:bCs/>
                <w:color w:val="000000"/>
                <w:lang w:eastAsia="en-GB"/>
              </w:rPr>
              <w:t>12</w:t>
            </w:r>
          </w:p>
        </w:tc>
        <w:tc>
          <w:tcPr>
            <w:tcW w:w="2213" w:type="dxa"/>
            <w:tcBorders>
              <w:top w:val="nil"/>
              <w:left w:val="nil"/>
              <w:bottom w:val="single" w:sz="8" w:space="0" w:color="auto"/>
              <w:right w:val="nil"/>
            </w:tcBorders>
            <w:shd w:val="clear" w:color="000000" w:fill="EDFFB7"/>
            <w:vAlign w:val="center"/>
            <w:hideMark/>
          </w:tcPr>
          <w:p w14:paraId="609966C0" w14:textId="77777777" w:rsidR="0021298F" w:rsidRPr="00D1468C" w:rsidRDefault="0021298F" w:rsidP="00760009">
            <w:pPr>
              <w:jc w:val="right"/>
              <w:rPr>
                <w:rFonts w:ascii="Arial" w:eastAsia="Times New Roman" w:hAnsi="Arial" w:cs="Arial"/>
                <w:color w:val="000000"/>
                <w:lang w:eastAsia="en-GB"/>
              </w:rPr>
            </w:pPr>
            <w:r w:rsidRPr="00D1468C">
              <w:rPr>
                <w:rFonts w:ascii="Arial" w:eastAsia="Times New Roman" w:hAnsi="Arial" w:cs="Arial"/>
                <w:color w:val="000000"/>
                <w:lang w:eastAsia="en-GB"/>
              </w:rPr>
              <w:t xml:space="preserve"> (5,343)</w:t>
            </w:r>
          </w:p>
        </w:tc>
        <w:tc>
          <w:tcPr>
            <w:tcW w:w="2259" w:type="dxa"/>
            <w:tcBorders>
              <w:top w:val="nil"/>
              <w:left w:val="nil"/>
              <w:bottom w:val="single" w:sz="8" w:space="0" w:color="auto"/>
              <w:right w:val="nil"/>
            </w:tcBorders>
            <w:shd w:val="clear" w:color="000000" w:fill="FFFFFF"/>
            <w:vAlign w:val="center"/>
            <w:hideMark/>
          </w:tcPr>
          <w:p w14:paraId="7807BB86" w14:textId="77777777" w:rsidR="0021298F" w:rsidRPr="00D1468C" w:rsidRDefault="0021298F" w:rsidP="00760009">
            <w:pPr>
              <w:jc w:val="right"/>
              <w:rPr>
                <w:rFonts w:ascii="Arial" w:eastAsia="Times New Roman" w:hAnsi="Arial" w:cs="Arial"/>
                <w:color w:val="000000"/>
                <w:lang w:eastAsia="en-GB"/>
              </w:rPr>
            </w:pPr>
            <w:r w:rsidRPr="00D1468C">
              <w:rPr>
                <w:rFonts w:ascii="Arial" w:eastAsia="Times New Roman" w:hAnsi="Arial" w:cs="Arial"/>
                <w:color w:val="000000"/>
                <w:lang w:eastAsia="en-GB"/>
              </w:rPr>
              <w:t xml:space="preserve"> (3,470)</w:t>
            </w:r>
          </w:p>
        </w:tc>
      </w:tr>
      <w:tr w:rsidR="0021298F" w:rsidRPr="00D1468C" w14:paraId="122448B9" w14:textId="77777777" w:rsidTr="00760009">
        <w:trPr>
          <w:trHeight w:val="300"/>
        </w:trPr>
        <w:tc>
          <w:tcPr>
            <w:tcW w:w="4737" w:type="dxa"/>
            <w:tcBorders>
              <w:top w:val="nil"/>
              <w:left w:val="nil"/>
              <w:bottom w:val="nil"/>
              <w:right w:val="nil"/>
            </w:tcBorders>
            <w:shd w:val="clear" w:color="000000" w:fill="FFFFFF"/>
            <w:vAlign w:val="center"/>
            <w:hideMark/>
          </w:tcPr>
          <w:p w14:paraId="54D64318" w14:textId="77777777" w:rsidR="0021298F" w:rsidRPr="00D1468C" w:rsidRDefault="0021298F" w:rsidP="00760009">
            <w:pPr>
              <w:jc w:val="both"/>
              <w:rPr>
                <w:rFonts w:ascii="Arial" w:eastAsia="Times New Roman" w:hAnsi="Arial" w:cs="Arial"/>
                <w:b/>
                <w:bCs/>
                <w:color w:val="000000"/>
                <w:lang w:eastAsia="en-GB"/>
              </w:rPr>
            </w:pPr>
            <w:r w:rsidRPr="00D1468C">
              <w:rPr>
                <w:rFonts w:ascii="Arial" w:eastAsia="Times New Roman" w:hAnsi="Arial" w:cs="Arial"/>
                <w:b/>
                <w:bCs/>
                <w:color w:val="000000"/>
                <w:lang w:eastAsia="en-GB"/>
              </w:rPr>
              <w:t>Net current assets /(liabilities)</w:t>
            </w:r>
          </w:p>
        </w:tc>
        <w:tc>
          <w:tcPr>
            <w:tcW w:w="705" w:type="dxa"/>
            <w:tcBorders>
              <w:top w:val="nil"/>
              <w:left w:val="nil"/>
              <w:bottom w:val="nil"/>
              <w:right w:val="nil"/>
            </w:tcBorders>
            <w:shd w:val="clear" w:color="000000" w:fill="FFFFFF"/>
            <w:vAlign w:val="center"/>
            <w:hideMark/>
          </w:tcPr>
          <w:p w14:paraId="3AD8DD44" w14:textId="77777777" w:rsidR="0021298F" w:rsidRPr="00D1468C" w:rsidRDefault="0021298F" w:rsidP="00760009">
            <w:pPr>
              <w:rPr>
                <w:rFonts w:ascii="Calibri" w:eastAsia="Times New Roman" w:hAnsi="Calibri" w:cs="Calibri"/>
                <w:color w:val="000000"/>
                <w:lang w:eastAsia="en-GB"/>
              </w:rPr>
            </w:pPr>
            <w:r w:rsidRPr="00D1468C">
              <w:rPr>
                <w:rFonts w:ascii="Calibri" w:eastAsia="Times New Roman" w:hAnsi="Calibri" w:cs="Calibri"/>
                <w:color w:val="000000"/>
                <w:lang w:eastAsia="en-GB"/>
              </w:rPr>
              <w:t> </w:t>
            </w:r>
          </w:p>
        </w:tc>
        <w:tc>
          <w:tcPr>
            <w:tcW w:w="2213" w:type="dxa"/>
            <w:tcBorders>
              <w:top w:val="nil"/>
              <w:left w:val="nil"/>
              <w:bottom w:val="nil"/>
              <w:right w:val="nil"/>
            </w:tcBorders>
            <w:shd w:val="clear" w:color="000000" w:fill="EDFFB7"/>
            <w:vAlign w:val="center"/>
            <w:hideMark/>
          </w:tcPr>
          <w:p w14:paraId="2CAD429C" w14:textId="77777777" w:rsidR="0021298F" w:rsidRPr="00D1468C" w:rsidRDefault="0021298F" w:rsidP="00760009">
            <w:pPr>
              <w:jc w:val="right"/>
              <w:rPr>
                <w:rFonts w:ascii="Arial" w:eastAsia="Times New Roman" w:hAnsi="Arial" w:cs="Arial"/>
                <w:b/>
                <w:bCs/>
                <w:color w:val="000000"/>
                <w:lang w:eastAsia="en-GB"/>
              </w:rPr>
            </w:pPr>
            <w:r w:rsidRPr="00D1468C">
              <w:rPr>
                <w:rFonts w:ascii="Arial" w:eastAsia="Times New Roman" w:hAnsi="Arial" w:cs="Arial"/>
                <w:b/>
                <w:bCs/>
                <w:color w:val="000000"/>
                <w:lang w:eastAsia="en-GB"/>
              </w:rPr>
              <w:t xml:space="preserve">15,269 </w:t>
            </w:r>
          </w:p>
        </w:tc>
        <w:tc>
          <w:tcPr>
            <w:tcW w:w="2259" w:type="dxa"/>
            <w:tcBorders>
              <w:top w:val="nil"/>
              <w:left w:val="nil"/>
              <w:bottom w:val="nil"/>
              <w:right w:val="nil"/>
            </w:tcBorders>
            <w:shd w:val="clear" w:color="000000" w:fill="FFFFFF"/>
            <w:vAlign w:val="center"/>
            <w:hideMark/>
          </w:tcPr>
          <w:p w14:paraId="0DE12A66" w14:textId="77777777" w:rsidR="0021298F" w:rsidRPr="00D1468C" w:rsidRDefault="0021298F" w:rsidP="00760009">
            <w:pPr>
              <w:jc w:val="right"/>
              <w:rPr>
                <w:rFonts w:ascii="Arial" w:eastAsia="Times New Roman" w:hAnsi="Arial" w:cs="Arial"/>
                <w:b/>
                <w:bCs/>
                <w:color w:val="000000"/>
                <w:lang w:eastAsia="en-GB"/>
              </w:rPr>
            </w:pPr>
            <w:r w:rsidRPr="00D1468C">
              <w:rPr>
                <w:rFonts w:ascii="Arial" w:eastAsia="Times New Roman" w:hAnsi="Arial" w:cs="Arial"/>
                <w:b/>
                <w:bCs/>
                <w:color w:val="000000"/>
                <w:lang w:eastAsia="en-GB"/>
              </w:rPr>
              <w:t xml:space="preserve"> (200,107)</w:t>
            </w:r>
          </w:p>
        </w:tc>
      </w:tr>
      <w:tr w:rsidR="0021298F" w:rsidRPr="00D1468C" w14:paraId="45994430" w14:textId="77777777" w:rsidTr="00760009">
        <w:trPr>
          <w:trHeight w:val="300"/>
        </w:trPr>
        <w:tc>
          <w:tcPr>
            <w:tcW w:w="4737" w:type="dxa"/>
            <w:tcBorders>
              <w:top w:val="nil"/>
              <w:left w:val="nil"/>
              <w:bottom w:val="nil"/>
              <w:right w:val="nil"/>
            </w:tcBorders>
            <w:shd w:val="clear" w:color="000000" w:fill="FFFFFF"/>
            <w:vAlign w:val="center"/>
            <w:hideMark/>
          </w:tcPr>
          <w:p w14:paraId="1506A77E" w14:textId="77777777" w:rsidR="0021298F" w:rsidRPr="00D1468C" w:rsidRDefault="0021298F" w:rsidP="00760009">
            <w:pPr>
              <w:jc w:val="both"/>
              <w:rPr>
                <w:rFonts w:ascii="Arial" w:eastAsia="Times New Roman" w:hAnsi="Arial" w:cs="Arial"/>
                <w:b/>
                <w:bCs/>
                <w:color w:val="000000"/>
                <w:lang w:eastAsia="en-GB"/>
              </w:rPr>
            </w:pPr>
            <w:r w:rsidRPr="00D1468C">
              <w:rPr>
                <w:rFonts w:ascii="Arial" w:eastAsia="Times New Roman" w:hAnsi="Arial" w:cs="Arial"/>
                <w:b/>
                <w:bCs/>
                <w:color w:val="000000"/>
                <w:lang w:eastAsia="en-GB"/>
              </w:rPr>
              <w:t> </w:t>
            </w:r>
          </w:p>
        </w:tc>
        <w:tc>
          <w:tcPr>
            <w:tcW w:w="705" w:type="dxa"/>
            <w:tcBorders>
              <w:top w:val="nil"/>
              <w:left w:val="nil"/>
              <w:bottom w:val="nil"/>
              <w:right w:val="nil"/>
            </w:tcBorders>
            <w:shd w:val="clear" w:color="000000" w:fill="FFFFFF"/>
            <w:vAlign w:val="center"/>
            <w:hideMark/>
          </w:tcPr>
          <w:p w14:paraId="3B544EC9" w14:textId="77777777" w:rsidR="0021298F" w:rsidRPr="00D1468C" w:rsidRDefault="0021298F" w:rsidP="00760009">
            <w:pPr>
              <w:rPr>
                <w:rFonts w:ascii="Calibri" w:eastAsia="Times New Roman" w:hAnsi="Calibri" w:cs="Calibri"/>
                <w:color w:val="000000"/>
                <w:lang w:eastAsia="en-GB"/>
              </w:rPr>
            </w:pPr>
            <w:r w:rsidRPr="00D1468C">
              <w:rPr>
                <w:rFonts w:ascii="Calibri" w:eastAsia="Times New Roman" w:hAnsi="Calibri" w:cs="Calibri"/>
                <w:color w:val="000000"/>
                <w:lang w:eastAsia="en-GB"/>
              </w:rPr>
              <w:t> </w:t>
            </w:r>
          </w:p>
        </w:tc>
        <w:tc>
          <w:tcPr>
            <w:tcW w:w="2213" w:type="dxa"/>
            <w:tcBorders>
              <w:top w:val="nil"/>
              <w:left w:val="nil"/>
              <w:bottom w:val="nil"/>
              <w:right w:val="nil"/>
            </w:tcBorders>
            <w:shd w:val="clear" w:color="000000" w:fill="EDFFB7"/>
            <w:vAlign w:val="center"/>
            <w:hideMark/>
          </w:tcPr>
          <w:p w14:paraId="2C5F4FD6" w14:textId="77777777" w:rsidR="0021298F" w:rsidRPr="00D1468C" w:rsidRDefault="0021298F" w:rsidP="00760009">
            <w:pPr>
              <w:jc w:val="right"/>
              <w:rPr>
                <w:rFonts w:ascii="Arial" w:eastAsia="Times New Roman" w:hAnsi="Arial" w:cs="Arial"/>
                <w:b/>
                <w:bCs/>
                <w:color w:val="000000"/>
                <w:lang w:eastAsia="en-GB"/>
              </w:rPr>
            </w:pPr>
            <w:r w:rsidRPr="00D1468C">
              <w:rPr>
                <w:rFonts w:ascii="Arial" w:eastAsia="Times New Roman" w:hAnsi="Arial" w:cs="Arial"/>
                <w:b/>
                <w:bCs/>
                <w:color w:val="000000"/>
                <w:lang w:eastAsia="en-GB"/>
              </w:rPr>
              <w:t> </w:t>
            </w:r>
          </w:p>
        </w:tc>
        <w:tc>
          <w:tcPr>
            <w:tcW w:w="2259" w:type="dxa"/>
            <w:tcBorders>
              <w:top w:val="nil"/>
              <w:left w:val="nil"/>
              <w:bottom w:val="nil"/>
              <w:right w:val="nil"/>
            </w:tcBorders>
            <w:shd w:val="clear" w:color="000000" w:fill="FFFFFF"/>
            <w:noWrap/>
            <w:vAlign w:val="center"/>
            <w:hideMark/>
          </w:tcPr>
          <w:p w14:paraId="5F867DE9" w14:textId="77777777" w:rsidR="0021298F" w:rsidRPr="00D1468C" w:rsidRDefault="0021298F" w:rsidP="00760009">
            <w:pPr>
              <w:jc w:val="right"/>
              <w:rPr>
                <w:rFonts w:ascii="Arial" w:eastAsia="Times New Roman" w:hAnsi="Arial" w:cs="Arial"/>
                <w:b/>
                <w:bCs/>
                <w:color w:val="000000"/>
                <w:lang w:eastAsia="en-GB"/>
              </w:rPr>
            </w:pPr>
            <w:r w:rsidRPr="00D1468C">
              <w:rPr>
                <w:rFonts w:ascii="Arial" w:eastAsia="Times New Roman" w:hAnsi="Arial" w:cs="Arial"/>
                <w:b/>
                <w:bCs/>
                <w:color w:val="000000"/>
                <w:lang w:eastAsia="en-GB"/>
              </w:rPr>
              <w:t> </w:t>
            </w:r>
          </w:p>
        </w:tc>
      </w:tr>
      <w:tr w:rsidR="0021298F" w:rsidRPr="00D1468C" w14:paraId="60E63152" w14:textId="77777777" w:rsidTr="00760009">
        <w:trPr>
          <w:trHeight w:val="300"/>
        </w:trPr>
        <w:tc>
          <w:tcPr>
            <w:tcW w:w="4737" w:type="dxa"/>
            <w:tcBorders>
              <w:top w:val="nil"/>
              <w:left w:val="nil"/>
              <w:bottom w:val="nil"/>
              <w:right w:val="nil"/>
            </w:tcBorders>
            <w:shd w:val="clear" w:color="000000" w:fill="FFFFFF"/>
            <w:vAlign w:val="center"/>
            <w:hideMark/>
          </w:tcPr>
          <w:p w14:paraId="23D9B889" w14:textId="77777777" w:rsidR="0021298F" w:rsidRPr="00D1468C" w:rsidRDefault="0021298F" w:rsidP="00760009">
            <w:pPr>
              <w:jc w:val="both"/>
              <w:rPr>
                <w:rFonts w:ascii="Arial" w:eastAsia="Times New Roman" w:hAnsi="Arial" w:cs="Arial"/>
                <w:b/>
                <w:bCs/>
                <w:color w:val="000000"/>
                <w:lang w:eastAsia="en-GB"/>
              </w:rPr>
            </w:pPr>
            <w:r w:rsidRPr="00D1468C">
              <w:rPr>
                <w:rFonts w:ascii="Arial" w:eastAsia="Times New Roman" w:hAnsi="Arial" w:cs="Arial"/>
                <w:b/>
                <w:bCs/>
                <w:color w:val="000000"/>
                <w:lang w:eastAsia="en-GB"/>
              </w:rPr>
              <w:t>Non current liabilities</w:t>
            </w:r>
          </w:p>
        </w:tc>
        <w:tc>
          <w:tcPr>
            <w:tcW w:w="705" w:type="dxa"/>
            <w:tcBorders>
              <w:top w:val="nil"/>
              <w:left w:val="nil"/>
              <w:bottom w:val="nil"/>
              <w:right w:val="nil"/>
            </w:tcBorders>
            <w:shd w:val="clear" w:color="000000" w:fill="FFFFFF"/>
            <w:vAlign w:val="center"/>
            <w:hideMark/>
          </w:tcPr>
          <w:p w14:paraId="7289241A" w14:textId="77777777" w:rsidR="0021298F" w:rsidRPr="00D1468C" w:rsidRDefault="0021298F" w:rsidP="00760009">
            <w:pPr>
              <w:rPr>
                <w:rFonts w:ascii="Calibri" w:eastAsia="Times New Roman" w:hAnsi="Calibri" w:cs="Calibri"/>
                <w:color w:val="000000"/>
                <w:lang w:eastAsia="en-GB"/>
              </w:rPr>
            </w:pPr>
            <w:r w:rsidRPr="00D1468C">
              <w:rPr>
                <w:rFonts w:ascii="Calibri" w:eastAsia="Times New Roman" w:hAnsi="Calibri" w:cs="Calibri"/>
                <w:color w:val="000000"/>
                <w:lang w:eastAsia="en-GB"/>
              </w:rPr>
              <w:t> </w:t>
            </w:r>
          </w:p>
        </w:tc>
        <w:tc>
          <w:tcPr>
            <w:tcW w:w="2213" w:type="dxa"/>
            <w:tcBorders>
              <w:top w:val="nil"/>
              <w:left w:val="nil"/>
              <w:bottom w:val="nil"/>
              <w:right w:val="nil"/>
            </w:tcBorders>
            <w:shd w:val="clear" w:color="000000" w:fill="EDFFB7"/>
            <w:vAlign w:val="center"/>
            <w:hideMark/>
          </w:tcPr>
          <w:p w14:paraId="123AEC77" w14:textId="77777777" w:rsidR="0021298F" w:rsidRPr="00D1468C" w:rsidRDefault="0021298F" w:rsidP="00760009">
            <w:pPr>
              <w:jc w:val="right"/>
              <w:rPr>
                <w:rFonts w:ascii="Arial" w:eastAsia="Times New Roman" w:hAnsi="Arial" w:cs="Arial"/>
                <w:b/>
                <w:bCs/>
                <w:color w:val="000000"/>
                <w:lang w:eastAsia="en-GB"/>
              </w:rPr>
            </w:pPr>
            <w:r w:rsidRPr="00D1468C">
              <w:rPr>
                <w:rFonts w:ascii="Arial" w:eastAsia="Times New Roman" w:hAnsi="Arial" w:cs="Arial"/>
                <w:b/>
                <w:bCs/>
                <w:color w:val="000000"/>
                <w:lang w:eastAsia="en-GB"/>
              </w:rPr>
              <w:t> </w:t>
            </w:r>
          </w:p>
        </w:tc>
        <w:tc>
          <w:tcPr>
            <w:tcW w:w="2259" w:type="dxa"/>
            <w:tcBorders>
              <w:top w:val="nil"/>
              <w:left w:val="nil"/>
              <w:bottom w:val="nil"/>
              <w:right w:val="nil"/>
            </w:tcBorders>
            <w:shd w:val="clear" w:color="000000" w:fill="FFFFFF"/>
            <w:noWrap/>
            <w:vAlign w:val="center"/>
            <w:hideMark/>
          </w:tcPr>
          <w:p w14:paraId="798E3DCF" w14:textId="77777777" w:rsidR="0021298F" w:rsidRPr="00D1468C" w:rsidRDefault="0021298F" w:rsidP="00760009">
            <w:pPr>
              <w:jc w:val="right"/>
              <w:rPr>
                <w:rFonts w:ascii="Arial" w:eastAsia="Times New Roman" w:hAnsi="Arial" w:cs="Arial"/>
                <w:b/>
                <w:bCs/>
                <w:color w:val="000000"/>
                <w:lang w:eastAsia="en-GB"/>
              </w:rPr>
            </w:pPr>
            <w:r w:rsidRPr="00D1468C">
              <w:rPr>
                <w:rFonts w:ascii="Arial" w:eastAsia="Times New Roman" w:hAnsi="Arial" w:cs="Arial"/>
                <w:b/>
                <w:bCs/>
                <w:color w:val="000000"/>
                <w:lang w:eastAsia="en-GB"/>
              </w:rPr>
              <w:t> </w:t>
            </w:r>
          </w:p>
        </w:tc>
      </w:tr>
      <w:tr w:rsidR="0021298F" w:rsidRPr="00D1468C" w14:paraId="3EED4261" w14:textId="77777777" w:rsidTr="00760009">
        <w:trPr>
          <w:trHeight w:val="315"/>
        </w:trPr>
        <w:tc>
          <w:tcPr>
            <w:tcW w:w="4737" w:type="dxa"/>
            <w:tcBorders>
              <w:top w:val="nil"/>
              <w:left w:val="nil"/>
              <w:bottom w:val="single" w:sz="8" w:space="0" w:color="auto"/>
              <w:right w:val="nil"/>
            </w:tcBorders>
            <w:shd w:val="clear" w:color="000000" w:fill="FFFFFF"/>
            <w:vAlign w:val="center"/>
            <w:hideMark/>
          </w:tcPr>
          <w:p w14:paraId="79FF1231" w14:textId="77777777" w:rsidR="0021298F" w:rsidRPr="00D1468C" w:rsidRDefault="0021298F" w:rsidP="00760009">
            <w:pPr>
              <w:jc w:val="both"/>
              <w:rPr>
                <w:rFonts w:ascii="Arial" w:eastAsia="Times New Roman" w:hAnsi="Arial" w:cs="Arial"/>
                <w:color w:val="000000"/>
                <w:lang w:eastAsia="en-GB"/>
              </w:rPr>
            </w:pPr>
            <w:r w:rsidRPr="00D1468C">
              <w:rPr>
                <w:rFonts w:ascii="Arial" w:eastAsia="Times New Roman" w:hAnsi="Arial" w:cs="Arial"/>
                <w:color w:val="000000"/>
                <w:lang w:eastAsia="en-GB"/>
              </w:rPr>
              <w:t>Loans and borrowings</w:t>
            </w:r>
          </w:p>
        </w:tc>
        <w:tc>
          <w:tcPr>
            <w:tcW w:w="705" w:type="dxa"/>
            <w:tcBorders>
              <w:top w:val="nil"/>
              <w:left w:val="nil"/>
              <w:bottom w:val="single" w:sz="8" w:space="0" w:color="auto"/>
              <w:right w:val="nil"/>
            </w:tcBorders>
            <w:shd w:val="clear" w:color="000000" w:fill="FFFFFF"/>
            <w:vAlign w:val="center"/>
            <w:hideMark/>
          </w:tcPr>
          <w:p w14:paraId="4969E839" w14:textId="77777777" w:rsidR="0021298F" w:rsidRPr="00D1468C" w:rsidRDefault="0021298F" w:rsidP="00760009">
            <w:pPr>
              <w:jc w:val="center"/>
              <w:rPr>
                <w:rFonts w:ascii="Arial" w:eastAsia="Times New Roman" w:hAnsi="Arial" w:cs="Arial"/>
                <w:b/>
                <w:bCs/>
                <w:color w:val="000000"/>
                <w:lang w:eastAsia="en-GB"/>
              </w:rPr>
            </w:pPr>
            <w:r w:rsidRPr="00D1468C">
              <w:rPr>
                <w:rFonts w:ascii="Arial" w:eastAsia="Times New Roman" w:hAnsi="Arial" w:cs="Arial"/>
                <w:b/>
                <w:bCs/>
                <w:color w:val="000000"/>
                <w:lang w:eastAsia="en-GB"/>
              </w:rPr>
              <w:t>13</w:t>
            </w:r>
          </w:p>
        </w:tc>
        <w:tc>
          <w:tcPr>
            <w:tcW w:w="2213" w:type="dxa"/>
            <w:tcBorders>
              <w:top w:val="nil"/>
              <w:left w:val="nil"/>
              <w:bottom w:val="single" w:sz="8" w:space="0" w:color="auto"/>
              <w:right w:val="nil"/>
            </w:tcBorders>
            <w:shd w:val="clear" w:color="000000" w:fill="EDFFB7"/>
            <w:vAlign w:val="center"/>
            <w:hideMark/>
          </w:tcPr>
          <w:p w14:paraId="7EFEA773" w14:textId="77777777" w:rsidR="0021298F" w:rsidRPr="00D1468C" w:rsidRDefault="0021298F" w:rsidP="00760009">
            <w:pPr>
              <w:jc w:val="right"/>
              <w:rPr>
                <w:rFonts w:ascii="Arial" w:eastAsia="Times New Roman" w:hAnsi="Arial" w:cs="Arial"/>
                <w:color w:val="000000"/>
                <w:lang w:eastAsia="en-GB"/>
              </w:rPr>
            </w:pPr>
            <w:r w:rsidRPr="00D1468C">
              <w:rPr>
                <w:rFonts w:ascii="Arial" w:eastAsia="Times New Roman" w:hAnsi="Arial" w:cs="Arial"/>
                <w:color w:val="000000"/>
                <w:lang w:eastAsia="en-GB"/>
              </w:rPr>
              <w:t xml:space="preserve"> (210,808)</w:t>
            </w:r>
          </w:p>
        </w:tc>
        <w:tc>
          <w:tcPr>
            <w:tcW w:w="2259" w:type="dxa"/>
            <w:tcBorders>
              <w:top w:val="nil"/>
              <w:left w:val="nil"/>
              <w:bottom w:val="single" w:sz="8" w:space="0" w:color="auto"/>
              <w:right w:val="nil"/>
            </w:tcBorders>
            <w:shd w:val="clear" w:color="000000" w:fill="FFFFFF"/>
            <w:vAlign w:val="center"/>
            <w:hideMark/>
          </w:tcPr>
          <w:p w14:paraId="0A6AD154" w14:textId="77777777" w:rsidR="0021298F" w:rsidRPr="00D1468C" w:rsidRDefault="0021298F" w:rsidP="00760009">
            <w:pPr>
              <w:jc w:val="right"/>
              <w:rPr>
                <w:rFonts w:ascii="Arial" w:eastAsia="Times New Roman" w:hAnsi="Arial" w:cs="Arial"/>
                <w:color w:val="000000"/>
                <w:lang w:eastAsia="en-GB"/>
              </w:rPr>
            </w:pPr>
            <w:r w:rsidRPr="00D1468C">
              <w:rPr>
                <w:rFonts w:ascii="Arial" w:eastAsia="Times New Roman" w:hAnsi="Arial" w:cs="Arial"/>
                <w:color w:val="000000"/>
                <w:lang w:eastAsia="en-GB"/>
              </w:rPr>
              <w:t xml:space="preserve"> - </w:t>
            </w:r>
          </w:p>
        </w:tc>
      </w:tr>
      <w:tr w:rsidR="0021298F" w:rsidRPr="00D1468C" w14:paraId="2EB61FEF" w14:textId="77777777" w:rsidTr="00760009">
        <w:trPr>
          <w:trHeight w:val="315"/>
        </w:trPr>
        <w:tc>
          <w:tcPr>
            <w:tcW w:w="4737" w:type="dxa"/>
            <w:tcBorders>
              <w:top w:val="nil"/>
              <w:left w:val="nil"/>
              <w:bottom w:val="single" w:sz="8" w:space="0" w:color="auto"/>
              <w:right w:val="nil"/>
            </w:tcBorders>
            <w:shd w:val="clear" w:color="000000" w:fill="FFFFFF"/>
            <w:vAlign w:val="center"/>
            <w:hideMark/>
          </w:tcPr>
          <w:p w14:paraId="2F186C4A" w14:textId="77777777" w:rsidR="0021298F" w:rsidRPr="00D1468C" w:rsidRDefault="0021298F" w:rsidP="00760009">
            <w:pPr>
              <w:jc w:val="both"/>
              <w:rPr>
                <w:rFonts w:ascii="Arial" w:eastAsia="Times New Roman" w:hAnsi="Arial" w:cs="Arial"/>
                <w:b/>
                <w:bCs/>
                <w:color w:val="000000"/>
                <w:lang w:eastAsia="en-GB"/>
              </w:rPr>
            </w:pPr>
            <w:r w:rsidRPr="00D1468C">
              <w:rPr>
                <w:rFonts w:ascii="Arial" w:eastAsia="Times New Roman" w:hAnsi="Arial" w:cs="Arial"/>
                <w:b/>
                <w:bCs/>
                <w:color w:val="000000"/>
                <w:lang w:eastAsia="en-GB"/>
              </w:rPr>
              <w:t>Net assets</w:t>
            </w:r>
          </w:p>
        </w:tc>
        <w:tc>
          <w:tcPr>
            <w:tcW w:w="705" w:type="dxa"/>
            <w:tcBorders>
              <w:top w:val="nil"/>
              <w:left w:val="nil"/>
              <w:bottom w:val="single" w:sz="8" w:space="0" w:color="auto"/>
              <w:right w:val="nil"/>
            </w:tcBorders>
            <w:shd w:val="clear" w:color="000000" w:fill="FFFFFF"/>
            <w:vAlign w:val="center"/>
            <w:hideMark/>
          </w:tcPr>
          <w:p w14:paraId="56FF1FAF" w14:textId="77777777" w:rsidR="0021298F" w:rsidRPr="00D1468C" w:rsidRDefault="0021298F" w:rsidP="00760009">
            <w:pPr>
              <w:rPr>
                <w:rFonts w:ascii="Calibri" w:eastAsia="Times New Roman" w:hAnsi="Calibri" w:cs="Calibri"/>
                <w:color w:val="000000"/>
                <w:lang w:eastAsia="en-GB"/>
              </w:rPr>
            </w:pPr>
            <w:r w:rsidRPr="00D1468C">
              <w:rPr>
                <w:rFonts w:ascii="Calibri" w:eastAsia="Times New Roman" w:hAnsi="Calibri" w:cs="Calibri"/>
                <w:color w:val="000000"/>
                <w:lang w:eastAsia="en-GB"/>
              </w:rPr>
              <w:t> </w:t>
            </w:r>
          </w:p>
        </w:tc>
        <w:tc>
          <w:tcPr>
            <w:tcW w:w="2213" w:type="dxa"/>
            <w:tcBorders>
              <w:top w:val="nil"/>
              <w:left w:val="nil"/>
              <w:bottom w:val="single" w:sz="8" w:space="0" w:color="auto"/>
              <w:right w:val="nil"/>
            </w:tcBorders>
            <w:shd w:val="clear" w:color="000000" w:fill="EDFFB7"/>
            <w:vAlign w:val="center"/>
            <w:hideMark/>
          </w:tcPr>
          <w:p w14:paraId="146F5D62" w14:textId="77777777" w:rsidR="0021298F" w:rsidRPr="00D1468C" w:rsidRDefault="0021298F" w:rsidP="00760009">
            <w:pPr>
              <w:jc w:val="right"/>
              <w:rPr>
                <w:rFonts w:ascii="Arial" w:eastAsia="Times New Roman" w:hAnsi="Arial" w:cs="Arial"/>
                <w:b/>
                <w:bCs/>
                <w:color w:val="000000"/>
                <w:lang w:eastAsia="en-GB"/>
              </w:rPr>
            </w:pPr>
            <w:r w:rsidRPr="00D1468C">
              <w:rPr>
                <w:rFonts w:ascii="Arial" w:eastAsia="Times New Roman" w:hAnsi="Arial" w:cs="Arial"/>
                <w:b/>
                <w:bCs/>
                <w:color w:val="000000"/>
                <w:lang w:eastAsia="en-GB"/>
              </w:rPr>
              <w:t>748,813</w:t>
            </w:r>
          </w:p>
        </w:tc>
        <w:tc>
          <w:tcPr>
            <w:tcW w:w="2259" w:type="dxa"/>
            <w:tcBorders>
              <w:top w:val="nil"/>
              <w:left w:val="nil"/>
              <w:bottom w:val="single" w:sz="8" w:space="0" w:color="auto"/>
              <w:right w:val="nil"/>
            </w:tcBorders>
            <w:shd w:val="clear" w:color="000000" w:fill="FFFFFF"/>
            <w:noWrap/>
            <w:vAlign w:val="center"/>
            <w:hideMark/>
          </w:tcPr>
          <w:p w14:paraId="0F5E4628" w14:textId="77777777" w:rsidR="0021298F" w:rsidRPr="00D1468C" w:rsidRDefault="0021298F" w:rsidP="00760009">
            <w:pPr>
              <w:jc w:val="right"/>
              <w:rPr>
                <w:rFonts w:ascii="Arial" w:eastAsia="Times New Roman" w:hAnsi="Arial" w:cs="Arial"/>
                <w:b/>
                <w:bCs/>
                <w:color w:val="000000"/>
                <w:lang w:eastAsia="en-GB"/>
              </w:rPr>
            </w:pPr>
            <w:r w:rsidRPr="00D1468C">
              <w:rPr>
                <w:rFonts w:ascii="Arial" w:eastAsia="Times New Roman" w:hAnsi="Arial" w:cs="Arial"/>
                <w:b/>
                <w:bCs/>
                <w:color w:val="000000"/>
                <w:lang w:eastAsia="en-GB"/>
              </w:rPr>
              <w:t>650,000</w:t>
            </w:r>
          </w:p>
        </w:tc>
      </w:tr>
      <w:tr w:rsidR="0021298F" w:rsidRPr="00D1468C" w14:paraId="5671ABE5" w14:textId="77777777" w:rsidTr="00760009">
        <w:trPr>
          <w:trHeight w:val="300"/>
        </w:trPr>
        <w:tc>
          <w:tcPr>
            <w:tcW w:w="4737" w:type="dxa"/>
            <w:tcBorders>
              <w:top w:val="nil"/>
              <w:left w:val="nil"/>
              <w:bottom w:val="nil"/>
              <w:right w:val="nil"/>
            </w:tcBorders>
            <w:shd w:val="clear" w:color="000000" w:fill="FFFFFF"/>
            <w:vAlign w:val="center"/>
            <w:hideMark/>
          </w:tcPr>
          <w:p w14:paraId="1BF3DE88" w14:textId="77777777" w:rsidR="0021298F" w:rsidRPr="00D1468C" w:rsidRDefault="0021298F" w:rsidP="00760009">
            <w:pPr>
              <w:jc w:val="both"/>
              <w:rPr>
                <w:rFonts w:ascii="Arial" w:eastAsia="Times New Roman" w:hAnsi="Arial" w:cs="Arial"/>
                <w:color w:val="000000"/>
                <w:lang w:eastAsia="en-GB"/>
              </w:rPr>
            </w:pPr>
            <w:r w:rsidRPr="00D1468C">
              <w:rPr>
                <w:rFonts w:ascii="Arial" w:eastAsia="Times New Roman" w:hAnsi="Arial" w:cs="Arial"/>
                <w:color w:val="000000"/>
                <w:lang w:eastAsia="en-GB"/>
              </w:rPr>
              <w:t> </w:t>
            </w:r>
          </w:p>
        </w:tc>
        <w:tc>
          <w:tcPr>
            <w:tcW w:w="705" w:type="dxa"/>
            <w:tcBorders>
              <w:top w:val="nil"/>
              <w:left w:val="nil"/>
              <w:bottom w:val="nil"/>
              <w:right w:val="nil"/>
            </w:tcBorders>
            <w:shd w:val="clear" w:color="000000" w:fill="FFFFFF"/>
            <w:vAlign w:val="center"/>
            <w:hideMark/>
          </w:tcPr>
          <w:p w14:paraId="75ACBE8D" w14:textId="77777777" w:rsidR="0021298F" w:rsidRPr="00D1468C" w:rsidRDefault="0021298F" w:rsidP="00760009">
            <w:pPr>
              <w:rPr>
                <w:rFonts w:ascii="Calibri" w:eastAsia="Times New Roman" w:hAnsi="Calibri" w:cs="Calibri"/>
                <w:color w:val="000000"/>
                <w:lang w:eastAsia="en-GB"/>
              </w:rPr>
            </w:pPr>
            <w:r w:rsidRPr="00D1468C">
              <w:rPr>
                <w:rFonts w:ascii="Calibri" w:eastAsia="Times New Roman" w:hAnsi="Calibri" w:cs="Calibri"/>
                <w:color w:val="000000"/>
                <w:lang w:eastAsia="en-GB"/>
              </w:rPr>
              <w:t> </w:t>
            </w:r>
          </w:p>
        </w:tc>
        <w:tc>
          <w:tcPr>
            <w:tcW w:w="2213" w:type="dxa"/>
            <w:tcBorders>
              <w:top w:val="nil"/>
              <w:left w:val="nil"/>
              <w:bottom w:val="nil"/>
              <w:right w:val="nil"/>
            </w:tcBorders>
            <w:shd w:val="clear" w:color="000000" w:fill="EDFFB7"/>
            <w:vAlign w:val="center"/>
            <w:hideMark/>
          </w:tcPr>
          <w:p w14:paraId="7F171B6F" w14:textId="77777777" w:rsidR="0021298F" w:rsidRPr="00D1468C" w:rsidRDefault="0021298F" w:rsidP="00760009">
            <w:pPr>
              <w:jc w:val="right"/>
              <w:rPr>
                <w:rFonts w:ascii="Arial" w:eastAsia="Times New Roman" w:hAnsi="Arial" w:cs="Arial"/>
                <w:color w:val="000000"/>
                <w:lang w:eastAsia="en-GB"/>
              </w:rPr>
            </w:pPr>
            <w:r w:rsidRPr="00D1468C">
              <w:rPr>
                <w:rFonts w:ascii="Arial" w:eastAsia="Times New Roman" w:hAnsi="Arial" w:cs="Arial"/>
                <w:color w:val="000000"/>
                <w:lang w:eastAsia="en-GB"/>
              </w:rPr>
              <w:t> </w:t>
            </w:r>
          </w:p>
        </w:tc>
        <w:tc>
          <w:tcPr>
            <w:tcW w:w="2259" w:type="dxa"/>
            <w:tcBorders>
              <w:top w:val="nil"/>
              <w:left w:val="nil"/>
              <w:bottom w:val="nil"/>
              <w:right w:val="nil"/>
            </w:tcBorders>
            <w:shd w:val="clear" w:color="000000" w:fill="FFFFFF"/>
            <w:noWrap/>
            <w:vAlign w:val="center"/>
            <w:hideMark/>
          </w:tcPr>
          <w:p w14:paraId="3484670A" w14:textId="77777777" w:rsidR="0021298F" w:rsidRPr="00D1468C" w:rsidRDefault="0021298F" w:rsidP="00760009">
            <w:pPr>
              <w:jc w:val="right"/>
              <w:rPr>
                <w:rFonts w:ascii="Arial" w:eastAsia="Times New Roman" w:hAnsi="Arial" w:cs="Arial"/>
                <w:color w:val="000000"/>
                <w:lang w:eastAsia="en-GB"/>
              </w:rPr>
            </w:pPr>
            <w:r w:rsidRPr="00D1468C">
              <w:rPr>
                <w:rFonts w:ascii="Arial" w:eastAsia="Times New Roman" w:hAnsi="Arial" w:cs="Arial"/>
                <w:color w:val="000000"/>
                <w:lang w:eastAsia="en-GB"/>
              </w:rPr>
              <w:t> </w:t>
            </w:r>
          </w:p>
        </w:tc>
      </w:tr>
      <w:tr w:rsidR="0021298F" w:rsidRPr="00D1468C" w14:paraId="712FFBB5" w14:textId="77777777" w:rsidTr="00760009">
        <w:trPr>
          <w:trHeight w:val="300"/>
        </w:trPr>
        <w:tc>
          <w:tcPr>
            <w:tcW w:w="4737" w:type="dxa"/>
            <w:tcBorders>
              <w:top w:val="nil"/>
              <w:left w:val="nil"/>
              <w:bottom w:val="nil"/>
              <w:right w:val="nil"/>
            </w:tcBorders>
            <w:shd w:val="clear" w:color="000000" w:fill="FFFFFF"/>
            <w:vAlign w:val="center"/>
            <w:hideMark/>
          </w:tcPr>
          <w:p w14:paraId="61DC520C" w14:textId="77777777" w:rsidR="0021298F" w:rsidRPr="00D1468C" w:rsidRDefault="0021298F" w:rsidP="00760009">
            <w:pPr>
              <w:jc w:val="both"/>
              <w:rPr>
                <w:rFonts w:ascii="Arial" w:eastAsia="Times New Roman" w:hAnsi="Arial" w:cs="Arial"/>
                <w:b/>
                <w:bCs/>
                <w:color w:val="000000"/>
                <w:lang w:eastAsia="en-GB"/>
              </w:rPr>
            </w:pPr>
            <w:r w:rsidRPr="00D1468C">
              <w:rPr>
                <w:rFonts w:ascii="Arial" w:eastAsia="Times New Roman" w:hAnsi="Arial" w:cs="Arial"/>
                <w:b/>
                <w:bCs/>
                <w:color w:val="000000"/>
                <w:lang w:eastAsia="en-GB"/>
              </w:rPr>
              <w:t>Capital and reserves</w:t>
            </w:r>
          </w:p>
        </w:tc>
        <w:tc>
          <w:tcPr>
            <w:tcW w:w="705" w:type="dxa"/>
            <w:tcBorders>
              <w:top w:val="nil"/>
              <w:left w:val="nil"/>
              <w:bottom w:val="nil"/>
              <w:right w:val="nil"/>
            </w:tcBorders>
            <w:shd w:val="clear" w:color="000000" w:fill="FFFFFF"/>
            <w:vAlign w:val="center"/>
            <w:hideMark/>
          </w:tcPr>
          <w:p w14:paraId="5C4478BD" w14:textId="77777777" w:rsidR="0021298F" w:rsidRPr="00D1468C" w:rsidRDefault="0021298F" w:rsidP="00760009">
            <w:pPr>
              <w:rPr>
                <w:rFonts w:ascii="Calibri" w:eastAsia="Times New Roman" w:hAnsi="Calibri" w:cs="Calibri"/>
                <w:color w:val="000000"/>
                <w:lang w:eastAsia="en-GB"/>
              </w:rPr>
            </w:pPr>
            <w:r w:rsidRPr="00D1468C">
              <w:rPr>
                <w:rFonts w:ascii="Calibri" w:eastAsia="Times New Roman" w:hAnsi="Calibri" w:cs="Calibri"/>
                <w:color w:val="000000"/>
                <w:lang w:eastAsia="en-GB"/>
              </w:rPr>
              <w:t> </w:t>
            </w:r>
          </w:p>
        </w:tc>
        <w:tc>
          <w:tcPr>
            <w:tcW w:w="2213" w:type="dxa"/>
            <w:tcBorders>
              <w:top w:val="nil"/>
              <w:left w:val="nil"/>
              <w:bottom w:val="nil"/>
              <w:right w:val="nil"/>
            </w:tcBorders>
            <w:shd w:val="clear" w:color="000000" w:fill="EDFFB7"/>
            <w:vAlign w:val="center"/>
            <w:hideMark/>
          </w:tcPr>
          <w:p w14:paraId="49D8D775" w14:textId="77777777" w:rsidR="0021298F" w:rsidRPr="00D1468C" w:rsidRDefault="0021298F" w:rsidP="00760009">
            <w:pPr>
              <w:jc w:val="right"/>
              <w:rPr>
                <w:rFonts w:ascii="Arial" w:eastAsia="Times New Roman" w:hAnsi="Arial" w:cs="Arial"/>
                <w:color w:val="000000"/>
                <w:lang w:eastAsia="en-GB"/>
              </w:rPr>
            </w:pPr>
            <w:r w:rsidRPr="00D1468C">
              <w:rPr>
                <w:rFonts w:ascii="Arial" w:eastAsia="Times New Roman" w:hAnsi="Arial" w:cs="Arial"/>
                <w:color w:val="000000"/>
                <w:lang w:eastAsia="en-GB"/>
              </w:rPr>
              <w:t> </w:t>
            </w:r>
          </w:p>
        </w:tc>
        <w:tc>
          <w:tcPr>
            <w:tcW w:w="2259" w:type="dxa"/>
            <w:tcBorders>
              <w:top w:val="nil"/>
              <w:left w:val="nil"/>
              <w:bottom w:val="nil"/>
              <w:right w:val="nil"/>
            </w:tcBorders>
            <w:shd w:val="clear" w:color="000000" w:fill="FFFFFF"/>
            <w:noWrap/>
            <w:vAlign w:val="center"/>
            <w:hideMark/>
          </w:tcPr>
          <w:p w14:paraId="1ECE7374" w14:textId="77777777" w:rsidR="0021298F" w:rsidRPr="00D1468C" w:rsidRDefault="0021298F" w:rsidP="00760009">
            <w:pPr>
              <w:jc w:val="right"/>
              <w:rPr>
                <w:rFonts w:ascii="Arial" w:eastAsia="Times New Roman" w:hAnsi="Arial" w:cs="Arial"/>
                <w:color w:val="000000"/>
                <w:lang w:eastAsia="en-GB"/>
              </w:rPr>
            </w:pPr>
            <w:r w:rsidRPr="00D1468C">
              <w:rPr>
                <w:rFonts w:ascii="Arial" w:eastAsia="Times New Roman" w:hAnsi="Arial" w:cs="Arial"/>
                <w:color w:val="000000"/>
                <w:lang w:eastAsia="en-GB"/>
              </w:rPr>
              <w:t> </w:t>
            </w:r>
          </w:p>
        </w:tc>
      </w:tr>
      <w:tr w:rsidR="0021298F" w:rsidRPr="00D1468C" w14:paraId="3F2601A7" w14:textId="77777777" w:rsidTr="00760009">
        <w:trPr>
          <w:trHeight w:val="300"/>
        </w:trPr>
        <w:tc>
          <w:tcPr>
            <w:tcW w:w="4737" w:type="dxa"/>
            <w:tcBorders>
              <w:top w:val="nil"/>
              <w:left w:val="nil"/>
              <w:bottom w:val="nil"/>
              <w:right w:val="nil"/>
            </w:tcBorders>
            <w:shd w:val="clear" w:color="000000" w:fill="FFFFFF"/>
            <w:vAlign w:val="center"/>
            <w:hideMark/>
          </w:tcPr>
          <w:p w14:paraId="58D85566" w14:textId="77777777" w:rsidR="0021298F" w:rsidRPr="00D1468C" w:rsidRDefault="0021298F" w:rsidP="00760009">
            <w:pPr>
              <w:jc w:val="both"/>
              <w:rPr>
                <w:rFonts w:ascii="Arial" w:eastAsia="Times New Roman" w:hAnsi="Arial" w:cs="Arial"/>
                <w:color w:val="000000"/>
                <w:lang w:eastAsia="en-GB"/>
              </w:rPr>
            </w:pPr>
            <w:r w:rsidRPr="00D1468C">
              <w:rPr>
                <w:rFonts w:ascii="Arial" w:eastAsia="Times New Roman" w:hAnsi="Arial" w:cs="Arial"/>
                <w:color w:val="000000"/>
                <w:lang w:eastAsia="en-GB"/>
              </w:rPr>
              <w:t>Called up share capital</w:t>
            </w:r>
          </w:p>
        </w:tc>
        <w:tc>
          <w:tcPr>
            <w:tcW w:w="705" w:type="dxa"/>
            <w:tcBorders>
              <w:top w:val="nil"/>
              <w:left w:val="nil"/>
              <w:bottom w:val="nil"/>
              <w:right w:val="nil"/>
            </w:tcBorders>
            <w:shd w:val="clear" w:color="000000" w:fill="FFFFFF"/>
            <w:vAlign w:val="center"/>
            <w:hideMark/>
          </w:tcPr>
          <w:p w14:paraId="7E5113A0" w14:textId="77777777" w:rsidR="0021298F" w:rsidRPr="00D1468C" w:rsidRDefault="0021298F" w:rsidP="00760009">
            <w:pPr>
              <w:jc w:val="center"/>
              <w:rPr>
                <w:rFonts w:ascii="Arial" w:eastAsia="Times New Roman" w:hAnsi="Arial" w:cs="Arial"/>
                <w:b/>
                <w:bCs/>
                <w:color w:val="000000"/>
                <w:lang w:eastAsia="en-GB"/>
              </w:rPr>
            </w:pPr>
            <w:r w:rsidRPr="00D1468C">
              <w:rPr>
                <w:rFonts w:ascii="Arial" w:eastAsia="Times New Roman" w:hAnsi="Arial" w:cs="Arial"/>
                <w:b/>
                <w:bCs/>
                <w:color w:val="000000"/>
                <w:lang w:eastAsia="en-GB"/>
              </w:rPr>
              <w:t>15</w:t>
            </w:r>
          </w:p>
        </w:tc>
        <w:tc>
          <w:tcPr>
            <w:tcW w:w="2213" w:type="dxa"/>
            <w:tcBorders>
              <w:top w:val="nil"/>
              <w:left w:val="nil"/>
              <w:bottom w:val="nil"/>
              <w:right w:val="nil"/>
            </w:tcBorders>
            <w:shd w:val="clear" w:color="000000" w:fill="EDFFB7"/>
            <w:vAlign w:val="center"/>
            <w:hideMark/>
          </w:tcPr>
          <w:p w14:paraId="076ADEB5" w14:textId="77777777" w:rsidR="0021298F" w:rsidRPr="00D1468C" w:rsidRDefault="0021298F" w:rsidP="00760009">
            <w:pPr>
              <w:jc w:val="right"/>
              <w:rPr>
                <w:rFonts w:ascii="Arial" w:eastAsia="Times New Roman" w:hAnsi="Arial" w:cs="Arial"/>
                <w:color w:val="000000"/>
                <w:lang w:eastAsia="en-GB"/>
              </w:rPr>
            </w:pPr>
            <w:r w:rsidRPr="00D1468C">
              <w:rPr>
                <w:rFonts w:ascii="Arial" w:eastAsia="Times New Roman" w:hAnsi="Arial" w:cs="Arial"/>
                <w:color w:val="000000"/>
                <w:lang w:eastAsia="en-GB"/>
              </w:rPr>
              <w:t>7,412</w:t>
            </w:r>
          </w:p>
        </w:tc>
        <w:tc>
          <w:tcPr>
            <w:tcW w:w="2259" w:type="dxa"/>
            <w:tcBorders>
              <w:top w:val="nil"/>
              <w:left w:val="nil"/>
              <w:bottom w:val="nil"/>
              <w:right w:val="nil"/>
            </w:tcBorders>
            <w:shd w:val="clear" w:color="000000" w:fill="FFFFFF"/>
            <w:noWrap/>
            <w:vAlign w:val="center"/>
            <w:hideMark/>
          </w:tcPr>
          <w:p w14:paraId="29EE89B7" w14:textId="77777777" w:rsidR="0021298F" w:rsidRPr="00D1468C" w:rsidRDefault="0021298F" w:rsidP="00760009">
            <w:pPr>
              <w:jc w:val="right"/>
              <w:rPr>
                <w:rFonts w:ascii="Arial" w:eastAsia="Times New Roman" w:hAnsi="Arial" w:cs="Arial"/>
                <w:color w:val="000000"/>
                <w:lang w:eastAsia="en-GB"/>
              </w:rPr>
            </w:pPr>
            <w:r w:rsidRPr="00D1468C">
              <w:rPr>
                <w:rFonts w:ascii="Arial" w:eastAsia="Times New Roman" w:hAnsi="Arial" w:cs="Arial"/>
                <w:color w:val="000000"/>
                <w:lang w:eastAsia="en-GB"/>
              </w:rPr>
              <w:t>6,306</w:t>
            </w:r>
          </w:p>
        </w:tc>
      </w:tr>
      <w:tr w:rsidR="0021298F" w:rsidRPr="00D1468C" w14:paraId="4C1BD0DC" w14:textId="77777777" w:rsidTr="00760009">
        <w:trPr>
          <w:trHeight w:val="300"/>
        </w:trPr>
        <w:tc>
          <w:tcPr>
            <w:tcW w:w="4737" w:type="dxa"/>
            <w:tcBorders>
              <w:top w:val="nil"/>
              <w:left w:val="nil"/>
              <w:bottom w:val="nil"/>
              <w:right w:val="nil"/>
            </w:tcBorders>
            <w:shd w:val="clear" w:color="000000" w:fill="FFFFFF"/>
            <w:vAlign w:val="center"/>
            <w:hideMark/>
          </w:tcPr>
          <w:p w14:paraId="301A4B25" w14:textId="77777777" w:rsidR="0021298F" w:rsidRPr="00D1468C" w:rsidRDefault="0021298F" w:rsidP="00760009">
            <w:pPr>
              <w:jc w:val="both"/>
              <w:rPr>
                <w:rFonts w:ascii="Arial" w:eastAsia="Times New Roman" w:hAnsi="Arial" w:cs="Arial"/>
                <w:color w:val="000000"/>
                <w:lang w:eastAsia="en-GB"/>
              </w:rPr>
            </w:pPr>
            <w:r w:rsidRPr="00D1468C">
              <w:rPr>
                <w:rFonts w:ascii="Arial" w:eastAsia="Times New Roman" w:hAnsi="Arial" w:cs="Arial"/>
                <w:color w:val="000000"/>
                <w:lang w:eastAsia="en-GB"/>
              </w:rPr>
              <w:t>Share premium account</w:t>
            </w:r>
          </w:p>
        </w:tc>
        <w:tc>
          <w:tcPr>
            <w:tcW w:w="705" w:type="dxa"/>
            <w:tcBorders>
              <w:top w:val="nil"/>
              <w:left w:val="nil"/>
              <w:bottom w:val="nil"/>
              <w:right w:val="nil"/>
            </w:tcBorders>
            <w:shd w:val="clear" w:color="000000" w:fill="FFFFFF"/>
            <w:vAlign w:val="center"/>
            <w:hideMark/>
          </w:tcPr>
          <w:p w14:paraId="7BC19E5C" w14:textId="77777777" w:rsidR="0021298F" w:rsidRPr="00D1468C" w:rsidRDefault="0021298F" w:rsidP="00760009">
            <w:pPr>
              <w:jc w:val="center"/>
              <w:rPr>
                <w:rFonts w:ascii="Arial" w:eastAsia="Times New Roman" w:hAnsi="Arial" w:cs="Arial"/>
                <w:b/>
                <w:bCs/>
                <w:color w:val="000000"/>
                <w:lang w:eastAsia="en-GB"/>
              </w:rPr>
            </w:pPr>
            <w:r w:rsidRPr="00D1468C">
              <w:rPr>
                <w:rFonts w:ascii="Arial" w:eastAsia="Times New Roman" w:hAnsi="Arial" w:cs="Arial"/>
                <w:b/>
                <w:bCs/>
                <w:color w:val="000000"/>
                <w:lang w:eastAsia="en-GB"/>
              </w:rPr>
              <w:t>15</w:t>
            </w:r>
          </w:p>
        </w:tc>
        <w:tc>
          <w:tcPr>
            <w:tcW w:w="2213" w:type="dxa"/>
            <w:tcBorders>
              <w:top w:val="nil"/>
              <w:left w:val="nil"/>
              <w:bottom w:val="nil"/>
              <w:right w:val="nil"/>
            </w:tcBorders>
            <w:shd w:val="clear" w:color="000000" w:fill="EDFFB7"/>
            <w:vAlign w:val="center"/>
            <w:hideMark/>
          </w:tcPr>
          <w:p w14:paraId="4DE51A0B" w14:textId="77777777" w:rsidR="0021298F" w:rsidRPr="00D1468C" w:rsidRDefault="0021298F" w:rsidP="00760009">
            <w:pPr>
              <w:jc w:val="right"/>
              <w:rPr>
                <w:rFonts w:ascii="Arial" w:eastAsia="Times New Roman" w:hAnsi="Arial" w:cs="Arial"/>
                <w:color w:val="000000"/>
                <w:lang w:eastAsia="en-GB"/>
              </w:rPr>
            </w:pPr>
            <w:r w:rsidRPr="00D1468C">
              <w:rPr>
                <w:rFonts w:ascii="Arial" w:eastAsia="Times New Roman" w:hAnsi="Arial" w:cs="Arial"/>
                <w:color w:val="000000"/>
                <w:lang w:eastAsia="en-GB"/>
              </w:rPr>
              <w:t>507,476</w:t>
            </w:r>
          </w:p>
        </w:tc>
        <w:tc>
          <w:tcPr>
            <w:tcW w:w="2259" w:type="dxa"/>
            <w:tcBorders>
              <w:top w:val="nil"/>
              <w:left w:val="nil"/>
              <w:bottom w:val="nil"/>
              <w:right w:val="nil"/>
            </w:tcBorders>
            <w:shd w:val="clear" w:color="000000" w:fill="FFFFFF"/>
            <w:noWrap/>
            <w:vAlign w:val="center"/>
            <w:hideMark/>
          </w:tcPr>
          <w:p w14:paraId="6925041E" w14:textId="77777777" w:rsidR="0021298F" w:rsidRPr="00D1468C" w:rsidRDefault="0021298F" w:rsidP="00760009">
            <w:pPr>
              <w:jc w:val="right"/>
              <w:rPr>
                <w:rFonts w:ascii="Arial" w:eastAsia="Times New Roman" w:hAnsi="Arial" w:cs="Arial"/>
                <w:color w:val="000000"/>
                <w:lang w:eastAsia="en-GB"/>
              </w:rPr>
            </w:pPr>
            <w:r w:rsidRPr="00D1468C">
              <w:rPr>
                <w:rFonts w:ascii="Arial" w:eastAsia="Times New Roman" w:hAnsi="Arial" w:cs="Arial"/>
                <w:color w:val="000000"/>
                <w:lang w:eastAsia="en-GB"/>
              </w:rPr>
              <w:t>385,669</w:t>
            </w:r>
          </w:p>
        </w:tc>
      </w:tr>
      <w:tr w:rsidR="0021298F" w:rsidRPr="00D1468C" w14:paraId="70E1ABD4" w14:textId="77777777" w:rsidTr="00760009">
        <w:trPr>
          <w:trHeight w:val="300"/>
        </w:trPr>
        <w:tc>
          <w:tcPr>
            <w:tcW w:w="4737" w:type="dxa"/>
            <w:tcBorders>
              <w:top w:val="nil"/>
              <w:left w:val="nil"/>
              <w:bottom w:val="nil"/>
              <w:right w:val="nil"/>
            </w:tcBorders>
            <w:shd w:val="clear" w:color="000000" w:fill="FFFFFF"/>
            <w:vAlign w:val="center"/>
            <w:hideMark/>
          </w:tcPr>
          <w:p w14:paraId="62285938" w14:textId="77777777" w:rsidR="0021298F" w:rsidRPr="00D1468C" w:rsidRDefault="0021298F" w:rsidP="00760009">
            <w:pPr>
              <w:jc w:val="both"/>
              <w:rPr>
                <w:rFonts w:ascii="Arial" w:eastAsia="Times New Roman" w:hAnsi="Arial" w:cs="Arial"/>
                <w:color w:val="000000"/>
                <w:lang w:eastAsia="en-GB"/>
              </w:rPr>
            </w:pPr>
            <w:r w:rsidRPr="00D1468C">
              <w:rPr>
                <w:rFonts w:ascii="Arial" w:eastAsia="Times New Roman" w:hAnsi="Arial" w:cs="Arial"/>
                <w:color w:val="000000"/>
                <w:lang w:eastAsia="en-GB"/>
              </w:rPr>
              <w:t>Other distributable reserves</w:t>
            </w:r>
          </w:p>
        </w:tc>
        <w:tc>
          <w:tcPr>
            <w:tcW w:w="705" w:type="dxa"/>
            <w:tcBorders>
              <w:top w:val="nil"/>
              <w:left w:val="nil"/>
              <w:bottom w:val="nil"/>
              <w:right w:val="nil"/>
            </w:tcBorders>
            <w:shd w:val="clear" w:color="000000" w:fill="FFFFFF"/>
            <w:vAlign w:val="center"/>
            <w:hideMark/>
          </w:tcPr>
          <w:p w14:paraId="40F39641" w14:textId="77777777" w:rsidR="0021298F" w:rsidRPr="00D1468C" w:rsidRDefault="0021298F" w:rsidP="00760009">
            <w:pPr>
              <w:jc w:val="center"/>
              <w:rPr>
                <w:rFonts w:ascii="Arial" w:eastAsia="Times New Roman" w:hAnsi="Arial" w:cs="Arial"/>
                <w:b/>
                <w:bCs/>
                <w:color w:val="000000"/>
                <w:lang w:eastAsia="en-GB"/>
              </w:rPr>
            </w:pPr>
            <w:r w:rsidRPr="00D1468C">
              <w:rPr>
                <w:rFonts w:ascii="Arial" w:eastAsia="Times New Roman" w:hAnsi="Arial" w:cs="Arial"/>
                <w:b/>
                <w:bCs/>
                <w:color w:val="000000"/>
                <w:lang w:eastAsia="en-GB"/>
              </w:rPr>
              <w:t> </w:t>
            </w:r>
          </w:p>
        </w:tc>
        <w:tc>
          <w:tcPr>
            <w:tcW w:w="2213" w:type="dxa"/>
            <w:tcBorders>
              <w:top w:val="nil"/>
              <w:left w:val="nil"/>
              <w:bottom w:val="nil"/>
              <w:right w:val="nil"/>
            </w:tcBorders>
            <w:shd w:val="clear" w:color="000000" w:fill="EDFFB7"/>
            <w:vAlign w:val="center"/>
            <w:hideMark/>
          </w:tcPr>
          <w:p w14:paraId="5BD81E71" w14:textId="77777777" w:rsidR="0021298F" w:rsidRPr="00D1468C" w:rsidRDefault="0021298F" w:rsidP="00760009">
            <w:pPr>
              <w:jc w:val="right"/>
              <w:rPr>
                <w:rFonts w:ascii="Arial" w:eastAsia="Times New Roman" w:hAnsi="Arial" w:cs="Arial"/>
                <w:color w:val="000000"/>
                <w:lang w:eastAsia="en-GB"/>
              </w:rPr>
            </w:pPr>
            <w:r w:rsidRPr="00D1468C">
              <w:rPr>
                <w:rFonts w:ascii="Arial" w:eastAsia="Times New Roman" w:hAnsi="Arial" w:cs="Arial"/>
                <w:color w:val="000000"/>
                <w:lang w:eastAsia="en-GB"/>
              </w:rPr>
              <w:t>161,768</w:t>
            </w:r>
          </w:p>
        </w:tc>
        <w:tc>
          <w:tcPr>
            <w:tcW w:w="2259" w:type="dxa"/>
            <w:tcBorders>
              <w:top w:val="nil"/>
              <w:left w:val="nil"/>
              <w:bottom w:val="nil"/>
              <w:right w:val="nil"/>
            </w:tcBorders>
            <w:shd w:val="clear" w:color="000000" w:fill="FFFFFF"/>
            <w:noWrap/>
            <w:vAlign w:val="center"/>
            <w:hideMark/>
          </w:tcPr>
          <w:p w14:paraId="0D14C54C" w14:textId="77777777" w:rsidR="0021298F" w:rsidRPr="00D1468C" w:rsidRDefault="0021298F" w:rsidP="00760009">
            <w:pPr>
              <w:jc w:val="right"/>
              <w:rPr>
                <w:rFonts w:ascii="Arial" w:eastAsia="Times New Roman" w:hAnsi="Arial" w:cs="Arial"/>
                <w:color w:val="000000"/>
                <w:lang w:eastAsia="en-GB"/>
              </w:rPr>
            </w:pPr>
            <w:r w:rsidRPr="00D1468C">
              <w:rPr>
                <w:rFonts w:ascii="Arial" w:eastAsia="Times New Roman" w:hAnsi="Arial" w:cs="Arial"/>
                <w:color w:val="000000"/>
                <w:lang w:eastAsia="en-GB"/>
              </w:rPr>
              <w:t>199,936</w:t>
            </w:r>
          </w:p>
        </w:tc>
      </w:tr>
      <w:tr w:rsidR="0021298F" w:rsidRPr="00D1468C" w14:paraId="0EA78A70" w14:textId="77777777" w:rsidTr="00760009">
        <w:trPr>
          <w:trHeight w:val="315"/>
        </w:trPr>
        <w:tc>
          <w:tcPr>
            <w:tcW w:w="4737" w:type="dxa"/>
            <w:tcBorders>
              <w:top w:val="nil"/>
              <w:left w:val="nil"/>
              <w:bottom w:val="single" w:sz="8" w:space="0" w:color="auto"/>
              <w:right w:val="nil"/>
            </w:tcBorders>
            <w:shd w:val="clear" w:color="000000" w:fill="FFFFFF"/>
            <w:vAlign w:val="center"/>
            <w:hideMark/>
          </w:tcPr>
          <w:p w14:paraId="1C89DF33" w14:textId="77777777" w:rsidR="0021298F" w:rsidRPr="00D1468C" w:rsidRDefault="0021298F" w:rsidP="00760009">
            <w:pPr>
              <w:jc w:val="both"/>
              <w:rPr>
                <w:rFonts w:ascii="Arial" w:eastAsia="Times New Roman" w:hAnsi="Arial" w:cs="Arial"/>
                <w:color w:val="000000"/>
                <w:lang w:eastAsia="en-GB"/>
              </w:rPr>
            </w:pPr>
            <w:r w:rsidRPr="00D1468C">
              <w:rPr>
                <w:rFonts w:ascii="Arial" w:eastAsia="Times New Roman" w:hAnsi="Arial" w:cs="Arial"/>
                <w:color w:val="000000"/>
                <w:lang w:eastAsia="en-GB"/>
              </w:rPr>
              <w:t>Retained earnings</w:t>
            </w:r>
          </w:p>
        </w:tc>
        <w:tc>
          <w:tcPr>
            <w:tcW w:w="705" w:type="dxa"/>
            <w:tcBorders>
              <w:top w:val="nil"/>
              <w:left w:val="nil"/>
              <w:bottom w:val="single" w:sz="8" w:space="0" w:color="auto"/>
              <w:right w:val="nil"/>
            </w:tcBorders>
            <w:shd w:val="clear" w:color="000000" w:fill="FFFFFF"/>
            <w:vAlign w:val="center"/>
            <w:hideMark/>
          </w:tcPr>
          <w:p w14:paraId="704472AE" w14:textId="77777777" w:rsidR="0021298F" w:rsidRPr="00D1468C" w:rsidRDefault="0021298F" w:rsidP="00760009">
            <w:pPr>
              <w:rPr>
                <w:rFonts w:ascii="Calibri" w:eastAsia="Times New Roman" w:hAnsi="Calibri" w:cs="Calibri"/>
                <w:color w:val="000000"/>
                <w:lang w:eastAsia="en-GB"/>
              </w:rPr>
            </w:pPr>
            <w:r w:rsidRPr="00D1468C">
              <w:rPr>
                <w:rFonts w:ascii="Calibri" w:eastAsia="Times New Roman" w:hAnsi="Calibri" w:cs="Calibri"/>
                <w:color w:val="000000"/>
                <w:lang w:eastAsia="en-GB"/>
              </w:rPr>
              <w:t> </w:t>
            </w:r>
          </w:p>
        </w:tc>
        <w:tc>
          <w:tcPr>
            <w:tcW w:w="2213" w:type="dxa"/>
            <w:tcBorders>
              <w:top w:val="nil"/>
              <w:left w:val="nil"/>
              <w:bottom w:val="single" w:sz="8" w:space="0" w:color="auto"/>
              <w:right w:val="nil"/>
            </w:tcBorders>
            <w:shd w:val="clear" w:color="000000" w:fill="EDFFB7"/>
            <w:vAlign w:val="center"/>
            <w:hideMark/>
          </w:tcPr>
          <w:p w14:paraId="0CF05E2C" w14:textId="77777777" w:rsidR="0021298F" w:rsidRPr="00D1468C" w:rsidRDefault="0021298F" w:rsidP="00760009">
            <w:pPr>
              <w:jc w:val="right"/>
              <w:rPr>
                <w:rFonts w:ascii="Arial" w:eastAsia="Times New Roman" w:hAnsi="Arial" w:cs="Arial"/>
                <w:color w:val="000000"/>
                <w:lang w:eastAsia="en-GB"/>
              </w:rPr>
            </w:pPr>
            <w:r w:rsidRPr="00D1468C">
              <w:rPr>
                <w:rFonts w:ascii="Arial" w:eastAsia="Times New Roman" w:hAnsi="Arial" w:cs="Arial"/>
                <w:color w:val="000000"/>
                <w:lang w:eastAsia="en-GB"/>
              </w:rPr>
              <w:t>72,157</w:t>
            </w:r>
          </w:p>
        </w:tc>
        <w:tc>
          <w:tcPr>
            <w:tcW w:w="2259" w:type="dxa"/>
            <w:tcBorders>
              <w:top w:val="nil"/>
              <w:left w:val="nil"/>
              <w:bottom w:val="single" w:sz="8" w:space="0" w:color="auto"/>
              <w:right w:val="nil"/>
            </w:tcBorders>
            <w:shd w:val="clear" w:color="000000" w:fill="FFFFFF"/>
            <w:noWrap/>
            <w:vAlign w:val="center"/>
            <w:hideMark/>
          </w:tcPr>
          <w:p w14:paraId="7C597341" w14:textId="77777777" w:rsidR="0021298F" w:rsidRPr="00D1468C" w:rsidRDefault="0021298F" w:rsidP="00760009">
            <w:pPr>
              <w:jc w:val="right"/>
              <w:rPr>
                <w:rFonts w:ascii="Arial" w:eastAsia="Times New Roman" w:hAnsi="Arial" w:cs="Arial"/>
                <w:color w:val="000000"/>
                <w:lang w:eastAsia="en-GB"/>
              </w:rPr>
            </w:pPr>
            <w:r w:rsidRPr="00D1468C">
              <w:rPr>
                <w:rFonts w:ascii="Arial" w:eastAsia="Times New Roman" w:hAnsi="Arial" w:cs="Arial"/>
                <w:color w:val="000000"/>
                <w:lang w:eastAsia="en-GB"/>
              </w:rPr>
              <w:t>58,089</w:t>
            </w:r>
          </w:p>
        </w:tc>
      </w:tr>
      <w:tr w:rsidR="0021298F" w:rsidRPr="00D1468C" w14:paraId="0E438F17" w14:textId="77777777" w:rsidTr="00760009">
        <w:trPr>
          <w:trHeight w:val="315"/>
        </w:trPr>
        <w:tc>
          <w:tcPr>
            <w:tcW w:w="4737" w:type="dxa"/>
            <w:tcBorders>
              <w:top w:val="nil"/>
              <w:left w:val="nil"/>
              <w:bottom w:val="single" w:sz="8" w:space="0" w:color="auto"/>
              <w:right w:val="nil"/>
            </w:tcBorders>
            <w:shd w:val="clear" w:color="000000" w:fill="FFFFFF"/>
            <w:vAlign w:val="center"/>
            <w:hideMark/>
          </w:tcPr>
          <w:p w14:paraId="4C76AE0C" w14:textId="77777777" w:rsidR="0021298F" w:rsidRPr="00D1468C" w:rsidRDefault="0021298F" w:rsidP="00760009">
            <w:pPr>
              <w:jc w:val="both"/>
              <w:rPr>
                <w:rFonts w:ascii="Arial" w:eastAsia="Times New Roman" w:hAnsi="Arial" w:cs="Arial"/>
                <w:b/>
                <w:bCs/>
                <w:color w:val="000000"/>
                <w:lang w:eastAsia="en-GB"/>
              </w:rPr>
            </w:pPr>
            <w:r w:rsidRPr="00D1468C">
              <w:rPr>
                <w:rFonts w:ascii="Arial" w:eastAsia="Times New Roman" w:hAnsi="Arial" w:cs="Arial"/>
                <w:b/>
                <w:bCs/>
                <w:color w:val="000000"/>
                <w:lang w:eastAsia="en-GB"/>
              </w:rPr>
              <w:t>Total shareholders' funds</w:t>
            </w:r>
          </w:p>
        </w:tc>
        <w:tc>
          <w:tcPr>
            <w:tcW w:w="705" w:type="dxa"/>
            <w:tcBorders>
              <w:top w:val="nil"/>
              <w:left w:val="nil"/>
              <w:bottom w:val="single" w:sz="8" w:space="0" w:color="auto"/>
              <w:right w:val="nil"/>
            </w:tcBorders>
            <w:shd w:val="clear" w:color="000000" w:fill="FFFFFF"/>
            <w:vAlign w:val="center"/>
            <w:hideMark/>
          </w:tcPr>
          <w:p w14:paraId="7FFFE782" w14:textId="77777777" w:rsidR="0021298F" w:rsidRPr="00D1468C" w:rsidRDefault="0021298F" w:rsidP="00760009">
            <w:pPr>
              <w:rPr>
                <w:rFonts w:ascii="Calibri" w:eastAsia="Times New Roman" w:hAnsi="Calibri" w:cs="Calibri"/>
                <w:color w:val="000000"/>
                <w:lang w:eastAsia="en-GB"/>
              </w:rPr>
            </w:pPr>
            <w:r w:rsidRPr="00D1468C">
              <w:rPr>
                <w:rFonts w:ascii="Calibri" w:eastAsia="Times New Roman" w:hAnsi="Calibri" w:cs="Calibri"/>
                <w:color w:val="000000"/>
                <w:lang w:eastAsia="en-GB"/>
              </w:rPr>
              <w:t> </w:t>
            </w:r>
          </w:p>
        </w:tc>
        <w:tc>
          <w:tcPr>
            <w:tcW w:w="2213" w:type="dxa"/>
            <w:tcBorders>
              <w:top w:val="nil"/>
              <w:left w:val="nil"/>
              <w:bottom w:val="single" w:sz="8" w:space="0" w:color="auto"/>
              <w:right w:val="nil"/>
            </w:tcBorders>
            <w:shd w:val="clear" w:color="000000" w:fill="EDFFB7"/>
            <w:vAlign w:val="center"/>
            <w:hideMark/>
          </w:tcPr>
          <w:p w14:paraId="17616EAC" w14:textId="77777777" w:rsidR="0021298F" w:rsidRPr="00D1468C" w:rsidRDefault="0021298F" w:rsidP="00760009">
            <w:pPr>
              <w:jc w:val="right"/>
              <w:rPr>
                <w:rFonts w:ascii="Arial" w:eastAsia="Times New Roman" w:hAnsi="Arial" w:cs="Arial"/>
                <w:b/>
                <w:bCs/>
                <w:color w:val="000000"/>
                <w:lang w:eastAsia="en-GB"/>
              </w:rPr>
            </w:pPr>
            <w:r w:rsidRPr="00D1468C">
              <w:rPr>
                <w:rFonts w:ascii="Arial" w:eastAsia="Times New Roman" w:hAnsi="Arial" w:cs="Arial"/>
                <w:b/>
                <w:bCs/>
                <w:color w:val="000000"/>
                <w:lang w:eastAsia="en-GB"/>
              </w:rPr>
              <w:t>748,813</w:t>
            </w:r>
          </w:p>
        </w:tc>
        <w:tc>
          <w:tcPr>
            <w:tcW w:w="2259" w:type="dxa"/>
            <w:tcBorders>
              <w:top w:val="nil"/>
              <w:left w:val="nil"/>
              <w:bottom w:val="single" w:sz="8" w:space="0" w:color="auto"/>
              <w:right w:val="nil"/>
            </w:tcBorders>
            <w:shd w:val="clear" w:color="000000" w:fill="FFFFFF"/>
            <w:noWrap/>
            <w:vAlign w:val="center"/>
            <w:hideMark/>
          </w:tcPr>
          <w:p w14:paraId="0FDF8D7C" w14:textId="77777777" w:rsidR="0021298F" w:rsidRPr="00D1468C" w:rsidRDefault="0021298F" w:rsidP="00760009">
            <w:pPr>
              <w:jc w:val="right"/>
              <w:rPr>
                <w:rFonts w:ascii="Arial" w:eastAsia="Times New Roman" w:hAnsi="Arial" w:cs="Arial"/>
                <w:b/>
                <w:bCs/>
                <w:color w:val="000000"/>
                <w:lang w:eastAsia="en-GB"/>
              </w:rPr>
            </w:pPr>
            <w:r w:rsidRPr="00D1468C">
              <w:rPr>
                <w:rFonts w:ascii="Arial" w:eastAsia="Times New Roman" w:hAnsi="Arial" w:cs="Arial"/>
                <w:b/>
                <w:bCs/>
                <w:color w:val="000000"/>
                <w:lang w:eastAsia="en-GB"/>
              </w:rPr>
              <w:t>650,000</w:t>
            </w:r>
          </w:p>
        </w:tc>
      </w:tr>
      <w:tr w:rsidR="0021298F" w:rsidRPr="00D1468C" w14:paraId="645A9420" w14:textId="77777777" w:rsidTr="00760009">
        <w:trPr>
          <w:trHeight w:val="315"/>
        </w:trPr>
        <w:tc>
          <w:tcPr>
            <w:tcW w:w="4737" w:type="dxa"/>
            <w:tcBorders>
              <w:top w:val="nil"/>
              <w:left w:val="nil"/>
              <w:bottom w:val="single" w:sz="8" w:space="0" w:color="auto"/>
              <w:right w:val="nil"/>
            </w:tcBorders>
            <w:shd w:val="clear" w:color="000000" w:fill="FFFFFF"/>
            <w:vAlign w:val="center"/>
            <w:hideMark/>
          </w:tcPr>
          <w:p w14:paraId="50D50BF1" w14:textId="77777777" w:rsidR="0021298F" w:rsidRPr="00D1468C" w:rsidRDefault="0021298F" w:rsidP="00760009">
            <w:pPr>
              <w:jc w:val="both"/>
              <w:rPr>
                <w:rFonts w:ascii="Arial" w:eastAsia="Times New Roman" w:hAnsi="Arial" w:cs="Arial"/>
                <w:b/>
                <w:bCs/>
                <w:color w:val="000000"/>
                <w:lang w:eastAsia="en-GB"/>
              </w:rPr>
            </w:pPr>
            <w:r w:rsidRPr="00D1468C">
              <w:rPr>
                <w:rFonts w:ascii="Arial" w:eastAsia="Times New Roman" w:hAnsi="Arial" w:cs="Arial"/>
                <w:b/>
                <w:bCs/>
                <w:color w:val="000000"/>
                <w:lang w:eastAsia="en-GB"/>
              </w:rPr>
              <w:t>Net assets per share (cent)</w:t>
            </w:r>
          </w:p>
        </w:tc>
        <w:tc>
          <w:tcPr>
            <w:tcW w:w="705" w:type="dxa"/>
            <w:tcBorders>
              <w:top w:val="nil"/>
              <w:left w:val="nil"/>
              <w:bottom w:val="single" w:sz="8" w:space="0" w:color="auto"/>
              <w:right w:val="nil"/>
            </w:tcBorders>
            <w:shd w:val="clear" w:color="000000" w:fill="FFFFFF"/>
            <w:vAlign w:val="center"/>
            <w:hideMark/>
          </w:tcPr>
          <w:p w14:paraId="18380B4C" w14:textId="77777777" w:rsidR="0021298F" w:rsidRPr="00D1468C" w:rsidRDefault="0021298F" w:rsidP="00760009">
            <w:pPr>
              <w:jc w:val="center"/>
              <w:rPr>
                <w:rFonts w:ascii="Arial" w:eastAsia="Times New Roman" w:hAnsi="Arial" w:cs="Arial"/>
                <w:b/>
                <w:bCs/>
                <w:color w:val="000000"/>
                <w:lang w:eastAsia="en-GB"/>
              </w:rPr>
            </w:pPr>
            <w:r w:rsidRPr="00D1468C">
              <w:rPr>
                <w:rFonts w:ascii="Arial" w:eastAsia="Times New Roman" w:hAnsi="Arial" w:cs="Arial"/>
                <w:b/>
                <w:bCs/>
                <w:color w:val="000000"/>
                <w:lang w:eastAsia="en-GB"/>
              </w:rPr>
              <w:t>16</w:t>
            </w:r>
          </w:p>
        </w:tc>
        <w:tc>
          <w:tcPr>
            <w:tcW w:w="2213" w:type="dxa"/>
            <w:tcBorders>
              <w:top w:val="nil"/>
              <w:left w:val="nil"/>
              <w:bottom w:val="single" w:sz="8" w:space="0" w:color="auto"/>
              <w:right w:val="nil"/>
            </w:tcBorders>
            <w:shd w:val="clear" w:color="000000" w:fill="EDFFB7"/>
            <w:vAlign w:val="center"/>
            <w:hideMark/>
          </w:tcPr>
          <w:p w14:paraId="391627EB" w14:textId="77777777" w:rsidR="0021298F" w:rsidRPr="00D1468C" w:rsidRDefault="0021298F" w:rsidP="00760009">
            <w:pPr>
              <w:jc w:val="right"/>
              <w:rPr>
                <w:rFonts w:ascii="Arial" w:eastAsia="Times New Roman" w:hAnsi="Arial" w:cs="Arial"/>
                <w:b/>
                <w:bCs/>
                <w:color w:val="000000"/>
                <w:lang w:eastAsia="en-GB"/>
              </w:rPr>
            </w:pPr>
            <w:r w:rsidRPr="00D1468C">
              <w:rPr>
                <w:rFonts w:ascii="Arial" w:eastAsia="Times New Roman" w:hAnsi="Arial" w:cs="Arial"/>
                <w:b/>
                <w:bCs/>
                <w:color w:val="000000"/>
                <w:lang w:eastAsia="en-GB"/>
              </w:rPr>
              <w:t xml:space="preserve">101.0 </w:t>
            </w:r>
          </w:p>
        </w:tc>
        <w:tc>
          <w:tcPr>
            <w:tcW w:w="2259" w:type="dxa"/>
            <w:tcBorders>
              <w:top w:val="nil"/>
              <w:left w:val="nil"/>
              <w:bottom w:val="single" w:sz="8" w:space="0" w:color="auto"/>
              <w:right w:val="nil"/>
            </w:tcBorders>
            <w:shd w:val="clear" w:color="000000" w:fill="FFFFFF"/>
            <w:noWrap/>
            <w:vAlign w:val="center"/>
            <w:hideMark/>
          </w:tcPr>
          <w:p w14:paraId="22063CE3" w14:textId="77777777" w:rsidR="0021298F" w:rsidRPr="00D1468C" w:rsidRDefault="0021298F" w:rsidP="00760009">
            <w:pPr>
              <w:jc w:val="right"/>
              <w:rPr>
                <w:rFonts w:ascii="Arial" w:eastAsia="Times New Roman" w:hAnsi="Arial" w:cs="Arial"/>
                <w:b/>
                <w:bCs/>
                <w:color w:val="000000"/>
                <w:lang w:eastAsia="en-GB"/>
              </w:rPr>
            </w:pPr>
            <w:r w:rsidRPr="00D1468C">
              <w:rPr>
                <w:rFonts w:ascii="Arial" w:eastAsia="Times New Roman" w:hAnsi="Arial" w:cs="Arial"/>
                <w:b/>
                <w:bCs/>
                <w:color w:val="000000"/>
                <w:lang w:eastAsia="en-GB"/>
              </w:rPr>
              <w:t>103.1</w:t>
            </w:r>
          </w:p>
        </w:tc>
      </w:tr>
    </w:tbl>
    <w:p w14:paraId="01F16A4B" w14:textId="77777777" w:rsidR="0021298F" w:rsidRDefault="0021298F" w:rsidP="0021298F">
      <w:pPr>
        <w:jc w:val="both"/>
        <w:rPr>
          <w:rFonts w:ascii="Arial" w:hAnsi="Arial" w:cs="Arial"/>
          <w:b/>
        </w:rPr>
      </w:pPr>
    </w:p>
    <w:p w14:paraId="25876A7B" w14:textId="77777777" w:rsidR="0021298F" w:rsidRPr="00CE132C" w:rsidRDefault="0021298F" w:rsidP="0021298F">
      <w:pPr>
        <w:jc w:val="both"/>
        <w:rPr>
          <w:rFonts w:ascii="Arial" w:hAnsi="Arial" w:cs="Arial"/>
        </w:rPr>
      </w:pPr>
      <w:bookmarkStart w:id="9" w:name="RANGE!B5:E33"/>
      <w:bookmarkEnd w:id="9"/>
      <w:r>
        <w:rPr>
          <w:rFonts w:ascii="Arial" w:hAnsi="Arial" w:cs="Arial"/>
        </w:rPr>
        <w:t xml:space="preserve">Authorised for issue by the Board on 28 February 2021 and signed on its behalf by: </w:t>
      </w:r>
    </w:p>
    <w:p w14:paraId="570CC31B" w14:textId="77777777" w:rsidR="0021298F" w:rsidRDefault="0021298F" w:rsidP="0021298F">
      <w:pPr>
        <w:jc w:val="both"/>
        <w:rPr>
          <w:rFonts w:ascii="Arial" w:hAnsi="Arial" w:cs="Arial"/>
        </w:rPr>
      </w:pPr>
    </w:p>
    <w:p w14:paraId="1FA5CC29" w14:textId="77777777" w:rsidR="0021298F" w:rsidRPr="00CE132C" w:rsidRDefault="0021298F" w:rsidP="0021298F">
      <w:pPr>
        <w:jc w:val="both"/>
        <w:rPr>
          <w:rFonts w:ascii="Arial" w:hAnsi="Arial" w:cs="Arial"/>
        </w:rPr>
      </w:pPr>
      <w:r>
        <w:rPr>
          <w:rFonts w:ascii="Arial" w:hAnsi="Arial" w:cs="Arial"/>
        </w:rPr>
        <w:t>Rónán Murphy</w:t>
      </w:r>
      <w:r>
        <w:rPr>
          <w:rFonts w:ascii="Arial" w:hAnsi="Arial" w:cs="Arial"/>
        </w:rPr>
        <w:tab/>
      </w:r>
      <w:r>
        <w:rPr>
          <w:rFonts w:ascii="Arial" w:hAnsi="Arial" w:cs="Arial"/>
        </w:rPr>
        <w:tab/>
      </w:r>
      <w:r>
        <w:rPr>
          <w:rFonts w:ascii="Arial" w:hAnsi="Arial" w:cs="Arial"/>
        </w:rPr>
        <w:tab/>
      </w:r>
      <w:r>
        <w:rPr>
          <w:rFonts w:ascii="Arial" w:hAnsi="Arial" w:cs="Arial"/>
        </w:rPr>
        <w:tab/>
        <w:t>Kevin McNamara</w:t>
      </w:r>
    </w:p>
    <w:p w14:paraId="36960335" w14:textId="77777777" w:rsidR="0021298F" w:rsidRPr="00CE132C" w:rsidRDefault="0021298F" w:rsidP="0021298F">
      <w:pPr>
        <w:jc w:val="both"/>
        <w:rPr>
          <w:rFonts w:ascii="Arial" w:hAnsi="Arial" w:cs="Arial"/>
          <w:b/>
        </w:rPr>
      </w:pPr>
      <w:r>
        <w:rPr>
          <w:rFonts w:ascii="Arial" w:hAnsi="Arial" w:cs="Arial"/>
          <w:b/>
        </w:rPr>
        <w:t>Chairman</w:t>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t>Director</w:t>
      </w:r>
    </w:p>
    <w:p w14:paraId="3405D894" w14:textId="77777777" w:rsidR="0021298F" w:rsidRDefault="0021298F" w:rsidP="0021298F">
      <w:pPr>
        <w:pStyle w:val="Bullets"/>
        <w:numPr>
          <w:ilvl w:val="0"/>
          <w:numId w:val="0"/>
        </w:numPr>
        <w:jc w:val="both"/>
        <w:rPr>
          <w:rFonts w:cs="Arial"/>
        </w:rPr>
      </w:pPr>
    </w:p>
    <w:p w14:paraId="5F5274D0" w14:textId="77777777" w:rsidR="0021298F" w:rsidRDefault="0021298F" w:rsidP="0021298F">
      <w:pPr>
        <w:jc w:val="both"/>
        <w:rPr>
          <w:rFonts w:ascii="Arial" w:hAnsi="Arial" w:cs="Arial"/>
        </w:rPr>
      </w:pPr>
      <w:r w:rsidRPr="00584154">
        <w:rPr>
          <w:rFonts w:ascii="Arial" w:hAnsi="Arial" w:cs="Arial"/>
        </w:rPr>
        <w:t xml:space="preserve">The accompanying notes form an integral part of </w:t>
      </w:r>
      <w:r>
        <w:rPr>
          <w:rFonts w:ascii="Arial" w:hAnsi="Arial" w:cs="Arial"/>
        </w:rPr>
        <w:t>the consolidated financial statements</w:t>
      </w:r>
      <w:r w:rsidRPr="00584154">
        <w:rPr>
          <w:rFonts w:ascii="Arial" w:hAnsi="Arial" w:cs="Arial"/>
        </w:rPr>
        <w:t>.</w:t>
      </w:r>
    </w:p>
    <w:p w14:paraId="7958419A" w14:textId="77777777" w:rsidR="0021298F" w:rsidRDefault="0021298F" w:rsidP="0021298F">
      <w:pPr>
        <w:jc w:val="both"/>
        <w:rPr>
          <w:rFonts w:ascii="Arial" w:hAnsi="Arial" w:cs="Arial"/>
        </w:rPr>
      </w:pPr>
    </w:p>
    <w:p w14:paraId="49D99C51" w14:textId="77777777" w:rsidR="0021298F" w:rsidRPr="00892738" w:rsidRDefault="0021298F" w:rsidP="0021298F">
      <w:pPr>
        <w:pStyle w:val="Heading1"/>
        <w:jc w:val="both"/>
        <w:rPr>
          <w:rFonts w:cs="Arial"/>
          <w:caps/>
        </w:rPr>
      </w:pPr>
      <w:r>
        <w:rPr>
          <w:rFonts w:cs="Arial"/>
        </w:rPr>
        <w:t xml:space="preserve">Company </w:t>
      </w:r>
      <w:r w:rsidRPr="00892738">
        <w:rPr>
          <w:rFonts w:cs="Arial"/>
        </w:rPr>
        <w:t>Sta</w:t>
      </w:r>
      <w:r>
        <w:rPr>
          <w:rFonts w:cs="Arial"/>
        </w:rPr>
        <w:t>tement of Financial Position</w:t>
      </w:r>
    </w:p>
    <w:p w14:paraId="3C4EB481" w14:textId="77777777" w:rsidR="0021298F" w:rsidRDefault="0021298F" w:rsidP="0021298F">
      <w:pPr>
        <w:jc w:val="both"/>
        <w:rPr>
          <w:rFonts w:ascii="Arial" w:hAnsi="Arial" w:cs="Arial"/>
          <w:b/>
        </w:rPr>
      </w:pPr>
      <w:r w:rsidRPr="001226F4">
        <w:rPr>
          <w:rFonts w:ascii="Arial" w:hAnsi="Arial" w:cs="Arial"/>
          <w:b/>
        </w:rPr>
        <w:t xml:space="preserve">As at </w:t>
      </w:r>
      <w:r>
        <w:rPr>
          <w:rFonts w:ascii="Arial" w:hAnsi="Arial" w:cs="Arial"/>
          <w:b/>
        </w:rPr>
        <w:t>31 December 2020</w:t>
      </w:r>
    </w:p>
    <w:tbl>
      <w:tblPr>
        <w:tblW w:w="9793" w:type="dxa"/>
        <w:tblLook w:val="04A0" w:firstRow="1" w:lastRow="0" w:firstColumn="1" w:lastColumn="0" w:noHBand="0" w:noVBand="1"/>
      </w:tblPr>
      <w:tblGrid>
        <w:gridCol w:w="4685"/>
        <w:gridCol w:w="750"/>
        <w:gridCol w:w="2220"/>
        <w:gridCol w:w="2138"/>
      </w:tblGrid>
      <w:tr w:rsidR="0021298F" w:rsidRPr="00D1468C" w14:paraId="32A58CAB" w14:textId="77777777" w:rsidTr="00760009">
        <w:trPr>
          <w:trHeight w:val="630"/>
        </w:trPr>
        <w:tc>
          <w:tcPr>
            <w:tcW w:w="4720" w:type="dxa"/>
            <w:tcBorders>
              <w:top w:val="nil"/>
              <w:left w:val="nil"/>
              <w:bottom w:val="nil"/>
              <w:right w:val="nil"/>
            </w:tcBorders>
            <w:shd w:val="clear" w:color="auto" w:fill="auto"/>
            <w:vAlign w:val="center"/>
            <w:hideMark/>
          </w:tcPr>
          <w:p w14:paraId="326F93FA" w14:textId="77777777" w:rsidR="0021298F" w:rsidRPr="00D1468C" w:rsidRDefault="0021298F" w:rsidP="00760009">
            <w:pPr>
              <w:rPr>
                <w:rFonts w:ascii="Times New Roman" w:eastAsia="Times New Roman" w:hAnsi="Times New Roman" w:cs="Times New Roman"/>
                <w:lang w:eastAsia="en-GB"/>
              </w:rPr>
            </w:pPr>
          </w:p>
        </w:tc>
        <w:tc>
          <w:tcPr>
            <w:tcW w:w="705" w:type="dxa"/>
            <w:tcBorders>
              <w:top w:val="nil"/>
              <w:left w:val="nil"/>
              <w:bottom w:val="nil"/>
              <w:right w:val="nil"/>
            </w:tcBorders>
            <w:shd w:val="clear" w:color="auto" w:fill="auto"/>
            <w:vAlign w:val="bottom"/>
            <w:hideMark/>
          </w:tcPr>
          <w:p w14:paraId="7D8CB2DC" w14:textId="77777777" w:rsidR="0021298F" w:rsidRPr="00D1468C" w:rsidRDefault="0021298F" w:rsidP="00760009">
            <w:pPr>
              <w:rPr>
                <w:rFonts w:ascii="Times New Roman" w:eastAsia="Times New Roman" w:hAnsi="Times New Roman" w:cs="Times New Roman"/>
                <w:sz w:val="20"/>
                <w:szCs w:val="20"/>
                <w:lang w:eastAsia="en-GB"/>
              </w:rPr>
            </w:pPr>
          </w:p>
        </w:tc>
        <w:tc>
          <w:tcPr>
            <w:tcW w:w="2230" w:type="dxa"/>
            <w:tcBorders>
              <w:top w:val="nil"/>
              <w:left w:val="nil"/>
              <w:bottom w:val="nil"/>
              <w:right w:val="nil"/>
            </w:tcBorders>
            <w:shd w:val="clear" w:color="auto" w:fill="auto"/>
            <w:vAlign w:val="bottom"/>
            <w:hideMark/>
          </w:tcPr>
          <w:p w14:paraId="19B6A859" w14:textId="77777777" w:rsidR="0021298F" w:rsidRPr="00D1468C" w:rsidRDefault="0021298F" w:rsidP="00760009">
            <w:pPr>
              <w:jc w:val="right"/>
              <w:rPr>
                <w:rFonts w:ascii="Arial" w:eastAsia="Times New Roman" w:hAnsi="Arial" w:cs="Arial"/>
                <w:b/>
                <w:bCs/>
                <w:color w:val="000000"/>
                <w:lang w:eastAsia="en-GB"/>
              </w:rPr>
            </w:pPr>
            <w:r w:rsidRPr="00D1468C">
              <w:rPr>
                <w:rFonts w:ascii="Arial" w:eastAsia="Times New Roman" w:hAnsi="Arial" w:cs="Arial"/>
                <w:b/>
                <w:bCs/>
                <w:color w:val="000000"/>
                <w:lang w:eastAsia="en-GB"/>
              </w:rPr>
              <w:t>31 December 2020</w:t>
            </w:r>
          </w:p>
        </w:tc>
        <w:tc>
          <w:tcPr>
            <w:tcW w:w="2138" w:type="dxa"/>
            <w:tcBorders>
              <w:top w:val="nil"/>
              <w:left w:val="nil"/>
              <w:bottom w:val="nil"/>
              <w:right w:val="nil"/>
            </w:tcBorders>
            <w:shd w:val="clear" w:color="auto" w:fill="auto"/>
            <w:vAlign w:val="bottom"/>
            <w:hideMark/>
          </w:tcPr>
          <w:p w14:paraId="0F650CB7" w14:textId="77777777" w:rsidR="0021298F" w:rsidRPr="00D1468C" w:rsidRDefault="0021298F" w:rsidP="00760009">
            <w:pPr>
              <w:jc w:val="right"/>
              <w:rPr>
                <w:rFonts w:ascii="Arial" w:eastAsia="Times New Roman" w:hAnsi="Arial" w:cs="Arial"/>
                <w:b/>
                <w:bCs/>
                <w:color w:val="000000"/>
                <w:lang w:eastAsia="en-GB"/>
              </w:rPr>
            </w:pPr>
            <w:r w:rsidRPr="00D1468C">
              <w:rPr>
                <w:rFonts w:ascii="Arial" w:eastAsia="Times New Roman" w:hAnsi="Arial" w:cs="Arial"/>
                <w:b/>
                <w:bCs/>
                <w:color w:val="000000"/>
                <w:lang w:eastAsia="en-GB"/>
              </w:rPr>
              <w:t>31 December 2019</w:t>
            </w:r>
          </w:p>
        </w:tc>
      </w:tr>
      <w:tr w:rsidR="0021298F" w:rsidRPr="00D1468C" w14:paraId="4E31EAF5" w14:textId="77777777" w:rsidTr="00760009">
        <w:trPr>
          <w:trHeight w:val="615"/>
        </w:trPr>
        <w:tc>
          <w:tcPr>
            <w:tcW w:w="4720" w:type="dxa"/>
            <w:tcBorders>
              <w:top w:val="nil"/>
              <w:left w:val="nil"/>
              <w:bottom w:val="single" w:sz="8" w:space="0" w:color="auto"/>
              <w:right w:val="nil"/>
            </w:tcBorders>
            <w:shd w:val="clear" w:color="auto" w:fill="auto"/>
            <w:vAlign w:val="center"/>
            <w:hideMark/>
          </w:tcPr>
          <w:p w14:paraId="14123AD7" w14:textId="77777777" w:rsidR="0021298F" w:rsidRPr="00D1468C" w:rsidRDefault="0021298F" w:rsidP="00760009">
            <w:pPr>
              <w:jc w:val="both"/>
              <w:rPr>
                <w:rFonts w:ascii="Arial" w:eastAsia="Times New Roman" w:hAnsi="Arial" w:cs="Arial"/>
                <w:color w:val="000000"/>
                <w:lang w:eastAsia="en-GB"/>
              </w:rPr>
            </w:pPr>
            <w:r w:rsidRPr="00D1468C">
              <w:rPr>
                <w:rFonts w:ascii="Arial" w:eastAsia="Times New Roman" w:hAnsi="Arial" w:cs="Arial"/>
                <w:color w:val="000000"/>
                <w:lang w:eastAsia="en-GB"/>
              </w:rPr>
              <w:t> </w:t>
            </w:r>
          </w:p>
        </w:tc>
        <w:tc>
          <w:tcPr>
            <w:tcW w:w="705" w:type="dxa"/>
            <w:tcBorders>
              <w:top w:val="nil"/>
              <w:left w:val="nil"/>
              <w:bottom w:val="single" w:sz="8" w:space="0" w:color="auto"/>
              <w:right w:val="nil"/>
            </w:tcBorders>
            <w:shd w:val="clear" w:color="auto" w:fill="auto"/>
            <w:vAlign w:val="center"/>
            <w:hideMark/>
          </w:tcPr>
          <w:p w14:paraId="1A67FEDC" w14:textId="77777777" w:rsidR="0021298F" w:rsidRPr="00D1468C" w:rsidRDefault="0021298F" w:rsidP="00760009">
            <w:pPr>
              <w:jc w:val="both"/>
              <w:rPr>
                <w:rFonts w:ascii="Arial" w:eastAsia="Times New Roman" w:hAnsi="Arial" w:cs="Arial"/>
                <w:b/>
                <w:bCs/>
                <w:color w:val="000000"/>
                <w:lang w:eastAsia="en-GB"/>
              </w:rPr>
            </w:pPr>
            <w:r w:rsidRPr="00D1468C">
              <w:rPr>
                <w:rFonts w:ascii="Arial" w:eastAsia="Times New Roman" w:hAnsi="Arial" w:cs="Arial"/>
                <w:b/>
                <w:bCs/>
                <w:color w:val="000000"/>
                <w:lang w:eastAsia="en-GB"/>
              </w:rPr>
              <w:t>Note</w:t>
            </w:r>
          </w:p>
        </w:tc>
        <w:tc>
          <w:tcPr>
            <w:tcW w:w="2230" w:type="dxa"/>
            <w:tcBorders>
              <w:top w:val="nil"/>
              <w:left w:val="nil"/>
              <w:bottom w:val="single" w:sz="8" w:space="0" w:color="auto"/>
              <w:right w:val="nil"/>
            </w:tcBorders>
            <w:shd w:val="clear" w:color="auto" w:fill="auto"/>
            <w:vAlign w:val="center"/>
            <w:hideMark/>
          </w:tcPr>
          <w:p w14:paraId="22A8EC9B" w14:textId="77777777" w:rsidR="0021298F" w:rsidRPr="00D1468C" w:rsidRDefault="0021298F" w:rsidP="00760009">
            <w:pPr>
              <w:jc w:val="right"/>
              <w:rPr>
                <w:rFonts w:ascii="Arial" w:eastAsia="Times New Roman" w:hAnsi="Arial" w:cs="Arial"/>
                <w:b/>
                <w:bCs/>
                <w:color w:val="000000"/>
                <w:lang w:eastAsia="en-GB"/>
              </w:rPr>
            </w:pPr>
            <w:r w:rsidRPr="00D1468C">
              <w:rPr>
                <w:rFonts w:ascii="Arial" w:eastAsia="Times New Roman" w:hAnsi="Arial" w:cs="Arial"/>
                <w:b/>
                <w:bCs/>
                <w:color w:val="000000"/>
                <w:lang w:eastAsia="en-GB"/>
              </w:rPr>
              <w:t>€'000</w:t>
            </w:r>
          </w:p>
        </w:tc>
        <w:tc>
          <w:tcPr>
            <w:tcW w:w="2138" w:type="dxa"/>
            <w:tcBorders>
              <w:top w:val="nil"/>
              <w:left w:val="nil"/>
              <w:bottom w:val="single" w:sz="8" w:space="0" w:color="auto"/>
              <w:right w:val="nil"/>
            </w:tcBorders>
            <w:shd w:val="clear" w:color="auto" w:fill="auto"/>
            <w:noWrap/>
            <w:vAlign w:val="center"/>
            <w:hideMark/>
          </w:tcPr>
          <w:p w14:paraId="4589B001" w14:textId="77777777" w:rsidR="0021298F" w:rsidRPr="00D1468C" w:rsidRDefault="0021298F" w:rsidP="00760009">
            <w:pPr>
              <w:jc w:val="right"/>
              <w:rPr>
                <w:rFonts w:ascii="Arial" w:eastAsia="Times New Roman" w:hAnsi="Arial" w:cs="Arial"/>
                <w:b/>
                <w:bCs/>
                <w:color w:val="000000"/>
                <w:lang w:eastAsia="en-GB"/>
              </w:rPr>
            </w:pPr>
            <w:r w:rsidRPr="00D1468C">
              <w:rPr>
                <w:rFonts w:ascii="Arial" w:eastAsia="Times New Roman" w:hAnsi="Arial" w:cs="Arial"/>
                <w:b/>
                <w:bCs/>
                <w:color w:val="000000"/>
                <w:lang w:eastAsia="en-GB"/>
              </w:rPr>
              <w:t>€'000</w:t>
            </w:r>
          </w:p>
        </w:tc>
      </w:tr>
      <w:tr w:rsidR="0021298F" w:rsidRPr="00D1468C" w14:paraId="07A5A397" w14:textId="77777777" w:rsidTr="00760009">
        <w:trPr>
          <w:trHeight w:val="300"/>
        </w:trPr>
        <w:tc>
          <w:tcPr>
            <w:tcW w:w="4720" w:type="dxa"/>
            <w:tcBorders>
              <w:top w:val="nil"/>
              <w:left w:val="nil"/>
              <w:bottom w:val="nil"/>
              <w:right w:val="nil"/>
            </w:tcBorders>
            <w:shd w:val="clear" w:color="000000" w:fill="FFFFFF"/>
            <w:vAlign w:val="center"/>
            <w:hideMark/>
          </w:tcPr>
          <w:p w14:paraId="6C0F959D" w14:textId="77777777" w:rsidR="0021298F" w:rsidRPr="00D1468C" w:rsidRDefault="0021298F" w:rsidP="00760009">
            <w:pPr>
              <w:jc w:val="both"/>
              <w:rPr>
                <w:rFonts w:ascii="Arial" w:eastAsia="Times New Roman" w:hAnsi="Arial" w:cs="Arial"/>
                <w:color w:val="000000"/>
                <w:sz w:val="14"/>
                <w:szCs w:val="14"/>
                <w:lang w:eastAsia="en-GB"/>
              </w:rPr>
            </w:pPr>
            <w:r w:rsidRPr="00D1468C">
              <w:rPr>
                <w:rFonts w:ascii="Arial" w:eastAsia="Times New Roman" w:hAnsi="Arial" w:cs="Arial"/>
                <w:color w:val="000000"/>
                <w:sz w:val="14"/>
                <w:szCs w:val="14"/>
                <w:lang w:eastAsia="en-GB"/>
              </w:rPr>
              <w:t> </w:t>
            </w:r>
          </w:p>
        </w:tc>
        <w:tc>
          <w:tcPr>
            <w:tcW w:w="705" w:type="dxa"/>
            <w:tcBorders>
              <w:top w:val="nil"/>
              <w:left w:val="nil"/>
              <w:bottom w:val="nil"/>
              <w:right w:val="nil"/>
            </w:tcBorders>
            <w:shd w:val="clear" w:color="000000" w:fill="FFFFFF"/>
            <w:vAlign w:val="center"/>
            <w:hideMark/>
          </w:tcPr>
          <w:p w14:paraId="2CEB955B" w14:textId="77777777" w:rsidR="0021298F" w:rsidRPr="00D1468C" w:rsidRDefault="0021298F" w:rsidP="00760009">
            <w:pPr>
              <w:rPr>
                <w:rFonts w:ascii="Calibri" w:eastAsia="Times New Roman" w:hAnsi="Calibri" w:cs="Calibri"/>
                <w:color w:val="000000"/>
                <w:lang w:eastAsia="en-GB"/>
              </w:rPr>
            </w:pPr>
            <w:r w:rsidRPr="00D1468C">
              <w:rPr>
                <w:rFonts w:ascii="Calibri" w:eastAsia="Times New Roman" w:hAnsi="Calibri" w:cs="Calibri"/>
                <w:color w:val="000000"/>
                <w:lang w:eastAsia="en-GB"/>
              </w:rPr>
              <w:t> </w:t>
            </w:r>
          </w:p>
        </w:tc>
        <w:tc>
          <w:tcPr>
            <w:tcW w:w="2230" w:type="dxa"/>
            <w:tcBorders>
              <w:top w:val="nil"/>
              <w:left w:val="nil"/>
              <w:bottom w:val="nil"/>
              <w:right w:val="nil"/>
            </w:tcBorders>
            <w:shd w:val="clear" w:color="000000" w:fill="EDFFB7"/>
            <w:vAlign w:val="center"/>
            <w:hideMark/>
          </w:tcPr>
          <w:p w14:paraId="64CD9E7F" w14:textId="77777777" w:rsidR="0021298F" w:rsidRPr="00D1468C" w:rsidRDefault="0021298F" w:rsidP="00760009">
            <w:pPr>
              <w:jc w:val="right"/>
              <w:rPr>
                <w:rFonts w:ascii="Arial" w:eastAsia="Times New Roman" w:hAnsi="Arial" w:cs="Arial"/>
                <w:color w:val="000000"/>
                <w:sz w:val="14"/>
                <w:szCs w:val="14"/>
                <w:lang w:eastAsia="en-GB"/>
              </w:rPr>
            </w:pPr>
            <w:r w:rsidRPr="00D1468C">
              <w:rPr>
                <w:rFonts w:ascii="Arial" w:eastAsia="Times New Roman" w:hAnsi="Arial" w:cs="Arial"/>
                <w:color w:val="000000"/>
                <w:sz w:val="14"/>
                <w:szCs w:val="14"/>
                <w:lang w:eastAsia="en-GB"/>
              </w:rPr>
              <w:t> </w:t>
            </w:r>
          </w:p>
        </w:tc>
        <w:tc>
          <w:tcPr>
            <w:tcW w:w="2138" w:type="dxa"/>
            <w:tcBorders>
              <w:top w:val="nil"/>
              <w:left w:val="nil"/>
              <w:bottom w:val="nil"/>
              <w:right w:val="nil"/>
            </w:tcBorders>
            <w:shd w:val="clear" w:color="auto" w:fill="auto"/>
            <w:vAlign w:val="center"/>
            <w:hideMark/>
          </w:tcPr>
          <w:p w14:paraId="3F465131" w14:textId="77777777" w:rsidR="0021298F" w:rsidRPr="00D1468C" w:rsidRDefault="0021298F" w:rsidP="00760009">
            <w:pPr>
              <w:jc w:val="right"/>
              <w:rPr>
                <w:rFonts w:ascii="Arial" w:eastAsia="Times New Roman" w:hAnsi="Arial" w:cs="Arial"/>
                <w:color w:val="000000"/>
                <w:sz w:val="14"/>
                <w:szCs w:val="14"/>
                <w:lang w:eastAsia="en-GB"/>
              </w:rPr>
            </w:pPr>
          </w:p>
        </w:tc>
      </w:tr>
      <w:tr w:rsidR="0021298F" w:rsidRPr="00D1468C" w14:paraId="224BEC8D" w14:textId="77777777" w:rsidTr="00760009">
        <w:trPr>
          <w:trHeight w:val="300"/>
        </w:trPr>
        <w:tc>
          <w:tcPr>
            <w:tcW w:w="4720" w:type="dxa"/>
            <w:tcBorders>
              <w:top w:val="nil"/>
              <w:left w:val="nil"/>
              <w:bottom w:val="nil"/>
              <w:right w:val="nil"/>
            </w:tcBorders>
            <w:shd w:val="clear" w:color="000000" w:fill="FFFFFF"/>
            <w:vAlign w:val="center"/>
            <w:hideMark/>
          </w:tcPr>
          <w:p w14:paraId="788182B6" w14:textId="77777777" w:rsidR="0021298F" w:rsidRPr="00D1468C" w:rsidRDefault="0021298F" w:rsidP="00760009">
            <w:pPr>
              <w:jc w:val="both"/>
              <w:rPr>
                <w:rFonts w:ascii="Arial" w:eastAsia="Times New Roman" w:hAnsi="Arial" w:cs="Arial"/>
                <w:b/>
                <w:bCs/>
                <w:color w:val="000000"/>
                <w:lang w:eastAsia="en-GB"/>
              </w:rPr>
            </w:pPr>
            <w:r w:rsidRPr="00D1468C">
              <w:rPr>
                <w:rFonts w:ascii="Arial" w:eastAsia="Times New Roman" w:hAnsi="Arial" w:cs="Arial"/>
                <w:b/>
                <w:bCs/>
                <w:color w:val="000000"/>
                <w:lang w:eastAsia="en-GB"/>
              </w:rPr>
              <w:t>Non current assets</w:t>
            </w:r>
          </w:p>
        </w:tc>
        <w:tc>
          <w:tcPr>
            <w:tcW w:w="705" w:type="dxa"/>
            <w:tcBorders>
              <w:top w:val="nil"/>
              <w:left w:val="nil"/>
              <w:bottom w:val="nil"/>
              <w:right w:val="nil"/>
            </w:tcBorders>
            <w:shd w:val="clear" w:color="000000" w:fill="FFFFFF"/>
            <w:vAlign w:val="center"/>
            <w:hideMark/>
          </w:tcPr>
          <w:p w14:paraId="1B807C6D" w14:textId="77777777" w:rsidR="0021298F" w:rsidRPr="00D1468C" w:rsidRDefault="0021298F" w:rsidP="00760009">
            <w:pPr>
              <w:rPr>
                <w:rFonts w:ascii="Calibri" w:eastAsia="Times New Roman" w:hAnsi="Calibri" w:cs="Calibri"/>
                <w:color w:val="000000"/>
                <w:lang w:eastAsia="en-GB"/>
              </w:rPr>
            </w:pPr>
            <w:r w:rsidRPr="00D1468C">
              <w:rPr>
                <w:rFonts w:ascii="Calibri" w:eastAsia="Times New Roman" w:hAnsi="Calibri" w:cs="Calibri"/>
                <w:color w:val="000000"/>
                <w:lang w:eastAsia="en-GB"/>
              </w:rPr>
              <w:t> </w:t>
            </w:r>
          </w:p>
        </w:tc>
        <w:tc>
          <w:tcPr>
            <w:tcW w:w="2230" w:type="dxa"/>
            <w:tcBorders>
              <w:top w:val="nil"/>
              <w:left w:val="nil"/>
              <w:bottom w:val="nil"/>
              <w:right w:val="nil"/>
            </w:tcBorders>
            <w:shd w:val="clear" w:color="000000" w:fill="EDFFB7"/>
            <w:vAlign w:val="center"/>
            <w:hideMark/>
          </w:tcPr>
          <w:p w14:paraId="2B322243" w14:textId="77777777" w:rsidR="0021298F" w:rsidRPr="00D1468C" w:rsidRDefault="0021298F" w:rsidP="00760009">
            <w:pPr>
              <w:jc w:val="right"/>
              <w:rPr>
                <w:rFonts w:ascii="Arial" w:eastAsia="Times New Roman" w:hAnsi="Arial" w:cs="Arial"/>
                <w:color w:val="000000"/>
                <w:lang w:eastAsia="en-GB"/>
              </w:rPr>
            </w:pPr>
            <w:r w:rsidRPr="00D1468C">
              <w:rPr>
                <w:rFonts w:ascii="Arial" w:eastAsia="Times New Roman" w:hAnsi="Arial" w:cs="Arial"/>
                <w:color w:val="000000"/>
                <w:lang w:eastAsia="en-GB"/>
              </w:rPr>
              <w:t> </w:t>
            </w:r>
          </w:p>
        </w:tc>
        <w:tc>
          <w:tcPr>
            <w:tcW w:w="2138" w:type="dxa"/>
            <w:tcBorders>
              <w:top w:val="nil"/>
              <w:left w:val="nil"/>
              <w:bottom w:val="nil"/>
              <w:right w:val="nil"/>
            </w:tcBorders>
            <w:shd w:val="clear" w:color="auto" w:fill="auto"/>
            <w:noWrap/>
            <w:vAlign w:val="center"/>
            <w:hideMark/>
          </w:tcPr>
          <w:p w14:paraId="3D5934D0" w14:textId="77777777" w:rsidR="0021298F" w:rsidRPr="00D1468C" w:rsidRDefault="0021298F" w:rsidP="00760009">
            <w:pPr>
              <w:jc w:val="right"/>
              <w:rPr>
                <w:rFonts w:ascii="Arial" w:eastAsia="Times New Roman" w:hAnsi="Arial" w:cs="Arial"/>
                <w:color w:val="000000"/>
                <w:lang w:eastAsia="en-GB"/>
              </w:rPr>
            </w:pPr>
          </w:p>
        </w:tc>
      </w:tr>
      <w:tr w:rsidR="0021298F" w:rsidRPr="00D1468C" w14:paraId="08D3A76F" w14:textId="77777777" w:rsidTr="00760009">
        <w:trPr>
          <w:trHeight w:val="315"/>
        </w:trPr>
        <w:tc>
          <w:tcPr>
            <w:tcW w:w="4720" w:type="dxa"/>
            <w:tcBorders>
              <w:top w:val="nil"/>
              <w:left w:val="nil"/>
              <w:bottom w:val="single" w:sz="8" w:space="0" w:color="auto"/>
              <w:right w:val="nil"/>
            </w:tcBorders>
            <w:shd w:val="clear" w:color="000000" w:fill="FFFFFF"/>
            <w:vAlign w:val="center"/>
            <w:hideMark/>
          </w:tcPr>
          <w:p w14:paraId="55BEA0A8" w14:textId="77777777" w:rsidR="0021298F" w:rsidRPr="00D1468C" w:rsidRDefault="0021298F" w:rsidP="00760009">
            <w:pPr>
              <w:rPr>
                <w:rFonts w:ascii="Arial" w:eastAsia="Times New Roman" w:hAnsi="Arial" w:cs="Arial"/>
                <w:color w:val="000000"/>
                <w:lang w:eastAsia="en-GB"/>
              </w:rPr>
            </w:pPr>
            <w:r w:rsidRPr="00D1468C">
              <w:rPr>
                <w:rFonts w:ascii="Arial" w:eastAsia="Times New Roman" w:hAnsi="Arial" w:cs="Arial"/>
                <w:color w:val="000000"/>
                <w:lang w:eastAsia="en-GB"/>
              </w:rPr>
              <w:t>Investments at fair value through profit or loss</w:t>
            </w:r>
          </w:p>
        </w:tc>
        <w:tc>
          <w:tcPr>
            <w:tcW w:w="705" w:type="dxa"/>
            <w:tcBorders>
              <w:top w:val="nil"/>
              <w:left w:val="nil"/>
              <w:bottom w:val="single" w:sz="8" w:space="0" w:color="auto"/>
              <w:right w:val="nil"/>
            </w:tcBorders>
            <w:shd w:val="clear" w:color="000000" w:fill="FFFFFF"/>
            <w:vAlign w:val="center"/>
            <w:hideMark/>
          </w:tcPr>
          <w:p w14:paraId="0D263928" w14:textId="77777777" w:rsidR="0021298F" w:rsidRPr="00D1468C" w:rsidRDefault="0021298F" w:rsidP="00760009">
            <w:pPr>
              <w:jc w:val="center"/>
              <w:rPr>
                <w:rFonts w:ascii="Arial" w:eastAsia="Times New Roman" w:hAnsi="Arial" w:cs="Arial"/>
                <w:b/>
                <w:bCs/>
                <w:color w:val="000000"/>
                <w:lang w:eastAsia="en-GB"/>
              </w:rPr>
            </w:pPr>
            <w:r w:rsidRPr="00D1468C">
              <w:rPr>
                <w:rFonts w:ascii="Arial" w:eastAsia="Times New Roman" w:hAnsi="Arial" w:cs="Arial"/>
                <w:b/>
                <w:bCs/>
                <w:color w:val="000000"/>
                <w:lang w:eastAsia="en-GB"/>
              </w:rPr>
              <w:t>9</w:t>
            </w:r>
          </w:p>
        </w:tc>
        <w:tc>
          <w:tcPr>
            <w:tcW w:w="2230" w:type="dxa"/>
            <w:tcBorders>
              <w:top w:val="nil"/>
              <w:left w:val="nil"/>
              <w:bottom w:val="single" w:sz="8" w:space="0" w:color="auto"/>
              <w:right w:val="nil"/>
            </w:tcBorders>
            <w:shd w:val="clear" w:color="000000" w:fill="EDFFB7"/>
            <w:vAlign w:val="center"/>
            <w:hideMark/>
          </w:tcPr>
          <w:p w14:paraId="0E6B6B22" w14:textId="77777777" w:rsidR="0021298F" w:rsidRPr="00D1468C" w:rsidRDefault="0021298F" w:rsidP="00760009">
            <w:pPr>
              <w:jc w:val="right"/>
              <w:rPr>
                <w:rFonts w:ascii="Arial" w:eastAsia="Times New Roman" w:hAnsi="Arial" w:cs="Arial"/>
                <w:color w:val="000000"/>
                <w:lang w:eastAsia="en-GB"/>
              </w:rPr>
            </w:pPr>
            <w:r w:rsidRPr="00D1468C">
              <w:rPr>
                <w:rFonts w:ascii="Arial" w:eastAsia="Times New Roman" w:hAnsi="Arial" w:cs="Arial"/>
                <w:color w:val="000000"/>
                <w:lang w:eastAsia="en-GB"/>
              </w:rPr>
              <w:t>745,907</w:t>
            </w:r>
          </w:p>
        </w:tc>
        <w:tc>
          <w:tcPr>
            <w:tcW w:w="2138" w:type="dxa"/>
            <w:tcBorders>
              <w:top w:val="nil"/>
              <w:left w:val="nil"/>
              <w:bottom w:val="single" w:sz="8" w:space="0" w:color="auto"/>
              <w:right w:val="nil"/>
            </w:tcBorders>
            <w:shd w:val="clear" w:color="auto" w:fill="auto"/>
            <w:noWrap/>
            <w:vAlign w:val="center"/>
            <w:hideMark/>
          </w:tcPr>
          <w:p w14:paraId="49F9A249" w14:textId="77777777" w:rsidR="0021298F" w:rsidRPr="00D1468C" w:rsidRDefault="0021298F" w:rsidP="00760009">
            <w:pPr>
              <w:jc w:val="right"/>
              <w:rPr>
                <w:rFonts w:ascii="Arial" w:eastAsia="Times New Roman" w:hAnsi="Arial" w:cs="Arial"/>
                <w:color w:val="000000"/>
                <w:lang w:eastAsia="en-GB"/>
              </w:rPr>
            </w:pPr>
            <w:r w:rsidRPr="00D1468C">
              <w:rPr>
                <w:rFonts w:ascii="Arial" w:eastAsia="Times New Roman" w:hAnsi="Arial" w:cs="Arial"/>
                <w:color w:val="000000"/>
                <w:lang w:eastAsia="en-GB"/>
              </w:rPr>
              <w:t>648,797</w:t>
            </w:r>
          </w:p>
        </w:tc>
      </w:tr>
      <w:tr w:rsidR="0021298F" w:rsidRPr="00D1468C" w14:paraId="20E76558" w14:textId="77777777" w:rsidTr="00760009">
        <w:trPr>
          <w:trHeight w:val="300"/>
        </w:trPr>
        <w:tc>
          <w:tcPr>
            <w:tcW w:w="4720" w:type="dxa"/>
            <w:tcBorders>
              <w:top w:val="nil"/>
              <w:left w:val="nil"/>
              <w:bottom w:val="nil"/>
              <w:right w:val="nil"/>
            </w:tcBorders>
            <w:shd w:val="clear" w:color="000000" w:fill="FFFFFF"/>
            <w:vAlign w:val="center"/>
            <w:hideMark/>
          </w:tcPr>
          <w:p w14:paraId="3ACB09CB" w14:textId="77777777" w:rsidR="0021298F" w:rsidRPr="00D1468C" w:rsidRDefault="0021298F" w:rsidP="00760009">
            <w:pPr>
              <w:jc w:val="both"/>
              <w:rPr>
                <w:rFonts w:ascii="Arial" w:eastAsia="Times New Roman" w:hAnsi="Arial" w:cs="Arial"/>
                <w:color w:val="000000"/>
                <w:lang w:eastAsia="en-GB"/>
              </w:rPr>
            </w:pPr>
            <w:r w:rsidRPr="00D1468C">
              <w:rPr>
                <w:rFonts w:ascii="Arial" w:eastAsia="Times New Roman" w:hAnsi="Arial" w:cs="Arial"/>
                <w:color w:val="000000"/>
                <w:lang w:eastAsia="en-GB"/>
              </w:rPr>
              <w:t> </w:t>
            </w:r>
          </w:p>
        </w:tc>
        <w:tc>
          <w:tcPr>
            <w:tcW w:w="705" w:type="dxa"/>
            <w:tcBorders>
              <w:top w:val="nil"/>
              <w:left w:val="nil"/>
              <w:bottom w:val="nil"/>
              <w:right w:val="nil"/>
            </w:tcBorders>
            <w:shd w:val="clear" w:color="000000" w:fill="FFFFFF"/>
            <w:vAlign w:val="center"/>
            <w:hideMark/>
          </w:tcPr>
          <w:p w14:paraId="1A437AA1" w14:textId="77777777" w:rsidR="0021298F" w:rsidRPr="00D1468C" w:rsidRDefault="0021298F" w:rsidP="00760009">
            <w:pPr>
              <w:rPr>
                <w:rFonts w:ascii="Calibri" w:eastAsia="Times New Roman" w:hAnsi="Calibri" w:cs="Calibri"/>
                <w:color w:val="000000"/>
                <w:lang w:eastAsia="en-GB"/>
              </w:rPr>
            </w:pPr>
            <w:r w:rsidRPr="00D1468C">
              <w:rPr>
                <w:rFonts w:ascii="Calibri" w:eastAsia="Times New Roman" w:hAnsi="Calibri" w:cs="Calibri"/>
                <w:color w:val="000000"/>
                <w:lang w:eastAsia="en-GB"/>
              </w:rPr>
              <w:t> </w:t>
            </w:r>
          </w:p>
        </w:tc>
        <w:tc>
          <w:tcPr>
            <w:tcW w:w="2230" w:type="dxa"/>
            <w:tcBorders>
              <w:top w:val="nil"/>
              <w:left w:val="nil"/>
              <w:bottom w:val="nil"/>
              <w:right w:val="nil"/>
            </w:tcBorders>
            <w:shd w:val="clear" w:color="000000" w:fill="EDFFB7"/>
            <w:vAlign w:val="center"/>
            <w:hideMark/>
          </w:tcPr>
          <w:p w14:paraId="29C429B6" w14:textId="77777777" w:rsidR="0021298F" w:rsidRPr="00D1468C" w:rsidRDefault="0021298F" w:rsidP="00760009">
            <w:pPr>
              <w:jc w:val="right"/>
              <w:rPr>
                <w:rFonts w:ascii="Arial" w:eastAsia="Times New Roman" w:hAnsi="Arial" w:cs="Arial"/>
                <w:b/>
                <w:bCs/>
                <w:color w:val="000000"/>
                <w:lang w:eastAsia="en-GB"/>
              </w:rPr>
            </w:pPr>
            <w:r w:rsidRPr="00D1468C">
              <w:rPr>
                <w:rFonts w:ascii="Arial" w:eastAsia="Times New Roman" w:hAnsi="Arial" w:cs="Arial"/>
                <w:b/>
                <w:bCs/>
                <w:color w:val="000000"/>
                <w:lang w:eastAsia="en-GB"/>
              </w:rPr>
              <w:t>745,907</w:t>
            </w:r>
          </w:p>
        </w:tc>
        <w:tc>
          <w:tcPr>
            <w:tcW w:w="2138" w:type="dxa"/>
            <w:tcBorders>
              <w:top w:val="nil"/>
              <w:left w:val="nil"/>
              <w:bottom w:val="nil"/>
              <w:right w:val="nil"/>
            </w:tcBorders>
            <w:shd w:val="clear" w:color="auto" w:fill="auto"/>
            <w:noWrap/>
            <w:vAlign w:val="center"/>
            <w:hideMark/>
          </w:tcPr>
          <w:p w14:paraId="6580FFEF" w14:textId="77777777" w:rsidR="0021298F" w:rsidRPr="00D1468C" w:rsidRDefault="0021298F" w:rsidP="00760009">
            <w:pPr>
              <w:jc w:val="right"/>
              <w:rPr>
                <w:rFonts w:ascii="Arial" w:eastAsia="Times New Roman" w:hAnsi="Arial" w:cs="Arial"/>
                <w:b/>
                <w:bCs/>
                <w:color w:val="000000"/>
                <w:lang w:eastAsia="en-GB"/>
              </w:rPr>
            </w:pPr>
            <w:r w:rsidRPr="00D1468C">
              <w:rPr>
                <w:rFonts w:ascii="Arial" w:eastAsia="Times New Roman" w:hAnsi="Arial" w:cs="Arial"/>
                <w:b/>
                <w:bCs/>
                <w:color w:val="000000"/>
                <w:lang w:eastAsia="en-GB"/>
              </w:rPr>
              <w:t>648,797</w:t>
            </w:r>
          </w:p>
        </w:tc>
      </w:tr>
      <w:tr w:rsidR="0021298F" w:rsidRPr="00D1468C" w14:paraId="024E49D4" w14:textId="77777777" w:rsidTr="00760009">
        <w:trPr>
          <w:trHeight w:val="300"/>
        </w:trPr>
        <w:tc>
          <w:tcPr>
            <w:tcW w:w="4720" w:type="dxa"/>
            <w:tcBorders>
              <w:top w:val="nil"/>
              <w:left w:val="nil"/>
              <w:bottom w:val="nil"/>
              <w:right w:val="nil"/>
            </w:tcBorders>
            <w:shd w:val="clear" w:color="000000" w:fill="FFFFFF"/>
            <w:vAlign w:val="center"/>
            <w:hideMark/>
          </w:tcPr>
          <w:p w14:paraId="68279B90" w14:textId="77777777" w:rsidR="0021298F" w:rsidRPr="00D1468C" w:rsidRDefault="0021298F" w:rsidP="00760009">
            <w:pPr>
              <w:jc w:val="both"/>
              <w:rPr>
                <w:rFonts w:ascii="Arial" w:eastAsia="Times New Roman" w:hAnsi="Arial" w:cs="Arial"/>
                <w:b/>
                <w:bCs/>
                <w:color w:val="000000"/>
                <w:lang w:eastAsia="en-GB"/>
              </w:rPr>
            </w:pPr>
            <w:r w:rsidRPr="00D1468C">
              <w:rPr>
                <w:rFonts w:ascii="Arial" w:eastAsia="Times New Roman" w:hAnsi="Arial" w:cs="Arial"/>
                <w:b/>
                <w:bCs/>
                <w:color w:val="000000"/>
                <w:lang w:eastAsia="en-GB"/>
              </w:rPr>
              <w:t>Current assets</w:t>
            </w:r>
          </w:p>
        </w:tc>
        <w:tc>
          <w:tcPr>
            <w:tcW w:w="705" w:type="dxa"/>
            <w:tcBorders>
              <w:top w:val="nil"/>
              <w:left w:val="nil"/>
              <w:bottom w:val="nil"/>
              <w:right w:val="nil"/>
            </w:tcBorders>
            <w:shd w:val="clear" w:color="000000" w:fill="FFFFFF"/>
            <w:vAlign w:val="center"/>
            <w:hideMark/>
          </w:tcPr>
          <w:p w14:paraId="5287BECD" w14:textId="77777777" w:rsidR="0021298F" w:rsidRPr="00D1468C" w:rsidRDefault="0021298F" w:rsidP="00760009">
            <w:pPr>
              <w:rPr>
                <w:rFonts w:ascii="Calibri" w:eastAsia="Times New Roman" w:hAnsi="Calibri" w:cs="Calibri"/>
                <w:color w:val="000000"/>
                <w:lang w:eastAsia="en-GB"/>
              </w:rPr>
            </w:pPr>
            <w:r w:rsidRPr="00D1468C">
              <w:rPr>
                <w:rFonts w:ascii="Calibri" w:eastAsia="Times New Roman" w:hAnsi="Calibri" w:cs="Calibri"/>
                <w:color w:val="000000"/>
                <w:lang w:eastAsia="en-GB"/>
              </w:rPr>
              <w:t> </w:t>
            </w:r>
          </w:p>
        </w:tc>
        <w:tc>
          <w:tcPr>
            <w:tcW w:w="2230" w:type="dxa"/>
            <w:tcBorders>
              <w:top w:val="nil"/>
              <w:left w:val="nil"/>
              <w:bottom w:val="nil"/>
              <w:right w:val="nil"/>
            </w:tcBorders>
            <w:shd w:val="clear" w:color="000000" w:fill="EDFFB7"/>
            <w:vAlign w:val="center"/>
            <w:hideMark/>
          </w:tcPr>
          <w:p w14:paraId="3CAF8FFF" w14:textId="77777777" w:rsidR="0021298F" w:rsidRPr="00D1468C" w:rsidRDefault="0021298F" w:rsidP="00760009">
            <w:pPr>
              <w:jc w:val="right"/>
              <w:rPr>
                <w:rFonts w:ascii="Arial" w:eastAsia="Times New Roman" w:hAnsi="Arial" w:cs="Arial"/>
                <w:color w:val="000000"/>
                <w:lang w:eastAsia="en-GB"/>
              </w:rPr>
            </w:pPr>
            <w:r w:rsidRPr="00D1468C">
              <w:rPr>
                <w:rFonts w:ascii="Arial" w:eastAsia="Times New Roman" w:hAnsi="Arial" w:cs="Arial"/>
                <w:color w:val="000000"/>
                <w:lang w:eastAsia="en-GB"/>
              </w:rPr>
              <w:t> </w:t>
            </w:r>
          </w:p>
        </w:tc>
        <w:tc>
          <w:tcPr>
            <w:tcW w:w="2138" w:type="dxa"/>
            <w:tcBorders>
              <w:top w:val="nil"/>
              <w:left w:val="nil"/>
              <w:bottom w:val="nil"/>
              <w:right w:val="nil"/>
            </w:tcBorders>
            <w:shd w:val="clear" w:color="auto" w:fill="auto"/>
            <w:noWrap/>
            <w:vAlign w:val="center"/>
            <w:hideMark/>
          </w:tcPr>
          <w:p w14:paraId="3633F517" w14:textId="77777777" w:rsidR="0021298F" w:rsidRPr="00D1468C" w:rsidRDefault="0021298F" w:rsidP="00760009">
            <w:pPr>
              <w:jc w:val="right"/>
              <w:rPr>
                <w:rFonts w:ascii="Arial" w:eastAsia="Times New Roman" w:hAnsi="Arial" w:cs="Arial"/>
                <w:color w:val="000000"/>
                <w:lang w:eastAsia="en-GB"/>
              </w:rPr>
            </w:pPr>
          </w:p>
        </w:tc>
      </w:tr>
      <w:tr w:rsidR="0021298F" w:rsidRPr="00D1468C" w14:paraId="2EFD5E04" w14:textId="77777777" w:rsidTr="00760009">
        <w:trPr>
          <w:trHeight w:val="300"/>
        </w:trPr>
        <w:tc>
          <w:tcPr>
            <w:tcW w:w="4720" w:type="dxa"/>
            <w:tcBorders>
              <w:top w:val="nil"/>
              <w:left w:val="nil"/>
              <w:bottom w:val="nil"/>
              <w:right w:val="nil"/>
            </w:tcBorders>
            <w:shd w:val="clear" w:color="000000" w:fill="FFFFFF"/>
            <w:vAlign w:val="center"/>
            <w:hideMark/>
          </w:tcPr>
          <w:p w14:paraId="1072EEA9" w14:textId="77777777" w:rsidR="0021298F" w:rsidRPr="00D1468C" w:rsidRDefault="0021298F" w:rsidP="00760009">
            <w:pPr>
              <w:jc w:val="both"/>
              <w:rPr>
                <w:rFonts w:ascii="Arial" w:eastAsia="Times New Roman" w:hAnsi="Arial" w:cs="Arial"/>
                <w:color w:val="000000"/>
                <w:lang w:eastAsia="en-GB"/>
              </w:rPr>
            </w:pPr>
            <w:r w:rsidRPr="00D1468C">
              <w:rPr>
                <w:rFonts w:ascii="Arial" w:eastAsia="Times New Roman" w:hAnsi="Arial" w:cs="Arial"/>
                <w:color w:val="000000"/>
                <w:lang w:eastAsia="en-GB"/>
              </w:rPr>
              <w:t>Receivables</w:t>
            </w:r>
          </w:p>
        </w:tc>
        <w:tc>
          <w:tcPr>
            <w:tcW w:w="705" w:type="dxa"/>
            <w:tcBorders>
              <w:top w:val="nil"/>
              <w:left w:val="nil"/>
              <w:bottom w:val="nil"/>
              <w:right w:val="nil"/>
            </w:tcBorders>
            <w:shd w:val="clear" w:color="000000" w:fill="FFFFFF"/>
            <w:vAlign w:val="center"/>
            <w:hideMark/>
          </w:tcPr>
          <w:p w14:paraId="243A760E" w14:textId="77777777" w:rsidR="0021298F" w:rsidRPr="00D1468C" w:rsidRDefault="0021298F" w:rsidP="00760009">
            <w:pPr>
              <w:jc w:val="center"/>
              <w:rPr>
                <w:rFonts w:ascii="Arial" w:eastAsia="Times New Roman" w:hAnsi="Arial" w:cs="Arial"/>
                <w:b/>
                <w:bCs/>
                <w:color w:val="000000"/>
                <w:lang w:eastAsia="en-GB"/>
              </w:rPr>
            </w:pPr>
            <w:r w:rsidRPr="00D1468C">
              <w:rPr>
                <w:rFonts w:ascii="Arial" w:eastAsia="Times New Roman" w:hAnsi="Arial" w:cs="Arial"/>
                <w:b/>
                <w:bCs/>
                <w:color w:val="000000"/>
                <w:lang w:eastAsia="en-GB"/>
              </w:rPr>
              <w:t>11</w:t>
            </w:r>
          </w:p>
        </w:tc>
        <w:tc>
          <w:tcPr>
            <w:tcW w:w="2230" w:type="dxa"/>
            <w:tcBorders>
              <w:top w:val="nil"/>
              <w:left w:val="nil"/>
              <w:bottom w:val="nil"/>
              <w:right w:val="nil"/>
            </w:tcBorders>
            <w:shd w:val="clear" w:color="000000" w:fill="EDFFB7"/>
            <w:vAlign w:val="center"/>
            <w:hideMark/>
          </w:tcPr>
          <w:p w14:paraId="71CFCB74" w14:textId="77777777" w:rsidR="0021298F" w:rsidRPr="00D1468C" w:rsidRDefault="0021298F" w:rsidP="00760009">
            <w:pPr>
              <w:jc w:val="right"/>
              <w:rPr>
                <w:rFonts w:ascii="Arial" w:eastAsia="Times New Roman" w:hAnsi="Arial" w:cs="Arial"/>
                <w:color w:val="000000"/>
                <w:lang w:eastAsia="en-GB"/>
              </w:rPr>
            </w:pPr>
            <w:r w:rsidRPr="00D1468C">
              <w:rPr>
                <w:rFonts w:ascii="Arial" w:eastAsia="Times New Roman" w:hAnsi="Arial" w:cs="Arial"/>
                <w:color w:val="000000"/>
                <w:lang w:eastAsia="en-GB"/>
              </w:rPr>
              <w:t>3,772</w:t>
            </w:r>
          </w:p>
        </w:tc>
        <w:tc>
          <w:tcPr>
            <w:tcW w:w="2138" w:type="dxa"/>
            <w:tcBorders>
              <w:top w:val="nil"/>
              <w:left w:val="nil"/>
              <w:bottom w:val="nil"/>
              <w:right w:val="nil"/>
            </w:tcBorders>
            <w:shd w:val="clear" w:color="auto" w:fill="auto"/>
            <w:noWrap/>
            <w:vAlign w:val="center"/>
            <w:hideMark/>
          </w:tcPr>
          <w:p w14:paraId="4BBD0F36" w14:textId="77777777" w:rsidR="0021298F" w:rsidRPr="00D1468C" w:rsidRDefault="0021298F" w:rsidP="00760009">
            <w:pPr>
              <w:jc w:val="right"/>
              <w:rPr>
                <w:rFonts w:ascii="Arial" w:eastAsia="Times New Roman" w:hAnsi="Arial" w:cs="Arial"/>
                <w:color w:val="000000"/>
                <w:lang w:eastAsia="en-GB"/>
              </w:rPr>
            </w:pPr>
            <w:r w:rsidRPr="00D1468C">
              <w:rPr>
                <w:rFonts w:ascii="Arial" w:eastAsia="Times New Roman" w:hAnsi="Arial" w:cs="Arial"/>
                <w:color w:val="000000"/>
                <w:lang w:eastAsia="en-GB"/>
              </w:rPr>
              <w:t>3,015</w:t>
            </w:r>
          </w:p>
        </w:tc>
      </w:tr>
      <w:tr w:rsidR="0021298F" w:rsidRPr="00D1468C" w14:paraId="1DE9271C" w14:textId="77777777" w:rsidTr="00760009">
        <w:trPr>
          <w:trHeight w:val="315"/>
        </w:trPr>
        <w:tc>
          <w:tcPr>
            <w:tcW w:w="4720" w:type="dxa"/>
            <w:tcBorders>
              <w:top w:val="nil"/>
              <w:left w:val="nil"/>
              <w:bottom w:val="single" w:sz="8" w:space="0" w:color="auto"/>
              <w:right w:val="nil"/>
            </w:tcBorders>
            <w:shd w:val="clear" w:color="000000" w:fill="FFFFFF"/>
            <w:vAlign w:val="center"/>
            <w:hideMark/>
          </w:tcPr>
          <w:p w14:paraId="490C794C" w14:textId="77777777" w:rsidR="0021298F" w:rsidRPr="00D1468C" w:rsidRDefault="0021298F" w:rsidP="00760009">
            <w:pPr>
              <w:jc w:val="both"/>
              <w:rPr>
                <w:rFonts w:ascii="Arial" w:eastAsia="Times New Roman" w:hAnsi="Arial" w:cs="Arial"/>
                <w:color w:val="000000"/>
                <w:lang w:eastAsia="en-GB"/>
              </w:rPr>
            </w:pPr>
            <w:r w:rsidRPr="00D1468C">
              <w:rPr>
                <w:rFonts w:ascii="Arial" w:eastAsia="Times New Roman" w:hAnsi="Arial" w:cs="Arial"/>
                <w:color w:val="000000"/>
                <w:lang w:eastAsia="en-GB"/>
              </w:rPr>
              <w:t>Cash and cash equivalents</w:t>
            </w:r>
          </w:p>
        </w:tc>
        <w:tc>
          <w:tcPr>
            <w:tcW w:w="705" w:type="dxa"/>
            <w:tcBorders>
              <w:top w:val="nil"/>
              <w:left w:val="nil"/>
              <w:bottom w:val="single" w:sz="8" w:space="0" w:color="auto"/>
              <w:right w:val="nil"/>
            </w:tcBorders>
            <w:shd w:val="clear" w:color="000000" w:fill="FFFFFF"/>
            <w:vAlign w:val="center"/>
            <w:hideMark/>
          </w:tcPr>
          <w:p w14:paraId="7E963B23" w14:textId="77777777" w:rsidR="0021298F" w:rsidRPr="00D1468C" w:rsidRDefault="0021298F" w:rsidP="00760009">
            <w:pPr>
              <w:rPr>
                <w:rFonts w:ascii="Calibri" w:eastAsia="Times New Roman" w:hAnsi="Calibri" w:cs="Calibri"/>
                <w:color w:val="000000"/>
                <w:lang w:eastAsia="en-GB"/>
              </w:rPr>
            </w:pPr>
            <w:r w:rsidRPr="00D1468C">
              <w:rPr>
                <w:rFonts w:ascii="Calibri" w:eastAsia="Times New Roman" w:hAnsi="Calibri" w:cs="Calibri"/>
                <w:color w:val="000000"/>
                <w:lang w:eastAsia="en-GB"/>
              </w:rPr>
              <w:t> </w:t>
            </w:r>
          </w:p>
        </w:tc>
        <w:tc>
          <w:tcPr>
            <w:tcW w:w="2230" w:type="dxa"/>
            <w:tcBorders>
              <w:top w:val="nil"/>
              <w:left w:val="nil"/>
              <w:bottom w:val="single" w:sz="8" w:space="0" w:color="auto"/>
              <w:right w:val="nil"/>
            </w:tcBorders>
            <w:shd w:val="clear" w:color="000000" w:fill="EDFFB7"/>
            <w:vAlign w:val="center"/>
            <w:hideMark/>
          </w:tcPr>
          <w:p w14:paraId="6467A872" w14:textId="77777777" w:rsidR="0021298F" w:rsidRPr="00D1468C" w:rsidRDefault="0021298F" w:rsidP="00760009">
            <w:pPr>
              <w:jc w:val="right"/>
              <w:rPr>
                <w:rFonts w:ascii="Arial" w:eastAsia="Times New Roman" w:hAnsi="Arial" w:cs="Arial"/>
                <w:color w:val="000000"/>
                <w:lang w:eastAsia="en-GB"/>
              </w:rPr>
            </w:pPr>
            <w:r w:rsidRPr="00D1468C">
              <w:rPr>
                <w:rFonts w:ascii="Arial" w:eastAsia="Times New Roman" w:hAnsi="Arial" w:cs="Arial"/>
                <w:color w:val="000000"/>
                <w:lang w:eastAsia="en-GB"/>
              </w:rPr>
              <w:t xml:space="preserve">1,545 </w:t>
            </w:r>
          </w:p>
        </w:tc>
        <w:tc>
          <w:tcPr>
            <w:tcW w:w="2138" w:type="dxa"/>
            <w:tcBorders>
              <w:top w:val="nil"/>
              <w:left w:val="nil"/>
              <w:bottom w:val="single" w:sz="8" w:space="0" w:color="auto"/>
              <w:right w:val="nil"/>
            </w:tcBorders>
            <w:shd w:val="clear" w:color="auto" w:fill="auto"/>
            <w:noWrap/>
            <w:vAlign w:val="center"/>
            <w:hideMark/>
          </w:tcPr>
          <w:p w14:paraId="77B60BA1" w14:textId="77777777" w:rsidR="0021298F" w:rsidRPr="00D1468C" w:rsidRDefault="0021298F" w:rsidP="00760009">
            <w:pPr>
              <w:jc w:val="right"/>
              <w:rPr>
                <w:rFonts w:ascii="Arial" w:eastAsia="Times New Roman" w:hAnsi="Arial" w:cs="Arial"/>
                <w:color w:val="000000"/>
                <w:lang w:eastAsia="en-GB"/>
              </w:rPr>
            </w:pPr>
            <w:r w:rsidRPr="00D1468C">
              <w:rPr>
                <w:rFonts w:ascii="Arial" w:eastAsia="Times New Roman" w:hAnsi="Arial" w:cs="Arial"/>
                <w:color w:val="000000"/>
                <w:lang w:eastAsia="en-GB"/>
              </w:rPr>
              <w:t>188</w:t>
            </w:r>
          </w:p>
        </w:tc>
      </w:tr>
      <w:tr w:rsidR="0021298F" w:rsidRPr="00D1468C" w14:paraId="498FD658" w14:textId="77777777" w:rsidTr="00760009">
        <w:trPr>
          <w:trHeight w:val="300"/>
        </w:trPr>
        <w:tc>
          <w:tcPr>
            <w:tcW w:w="4720" w:type="dxa"/>
            <w:tcBorders>
              <w:top w:val="nil"/>
              <w:left w:val="nil"/>
              <w:bottom w:val="nil"/>
              <w:right w:val="nil"/>
            </w:tcBorders>
            <w:shd w:val="clear" w:color="000000" w:fill="FFFFFF"/>
            <w:vAlign w:val="center"/>
            <w:hideMark/>
          </w:tcPr>
          <w:p w14:paraId="148E2E52" w14:textId="77777777" w:rsidR="0021298F" w:rsidRPr="00D1468C" w:rsidRDefault="0021298F" w:rsidP="00760009">
            <w:pPr>
              <w:jc w:val="both"/>
              <w:rPr>
                <w:rFonts w:ascii="Arial" w:eastAsia="Times New Roman" w:hAnsi="Arial" w:cs="Arial"/>
                <w:color w:val="000000"/>
                <w:lang w:eastAsia="en-GB"/>
              </w:rPr>
            </w:pPr>
            <w:r w:rsidRPr="00D1468C">
              <w:rPr>
                <w:rFonts w:ascii="Arial" w:eastAsia="Times New Roman" w:hAnsi="Arial" w:cs="Arial"/>
                <w:color w:val="000000"/>
                <w:lang w:eastAsia="en-GB"/>
              </w:rPr>
              <w:t> </w:t>
            </w:r>
          </w:p>
        </w:tc>
        <w:tc>
          <w:tcPr>
            <w:tcW w:w="705" w:type="dxa"/>
            <w:tcBorders>
              <w:top w:val="nil"/>
              <w:left w:val="nil"/>
              <w:bottom w:val="nil"/>
              <w:right w:val="nil"/>
            </w:tcBorders>
            <w:shd w:val="clear" w:color="000000" w:fill="FFFFFF"/>
            <w:vAlign w:val="center"/>
            <w:hideMark/>
          </w:tcPr>
          <w:p w14:paraId="2D93CEC4" w14:textId="77777777" w:rsidR="0021298F" w:rsidRPr="00D1468C" w:rsidRDefault="0021298F" w:rsidP="00760009">
            <w:pPr>
              <w:jc w:val="center"/>
              <w:rPr>
                <w:rFonts w:ascii="Arial" w:eastAsia="Times New Roman" w:hAnsi="Arial" w:cs="Arial"/>
                <w:b/>
                <w:bCs/>
                <w:color w:val="000000"/>
                <w:lang w:eastAsia="en-GB"/>
              </w:rPr>
            </w:pPr>
            <w:r w:rsidRPr="00D1468C">
              <w:rPr>
                <w:rFonts w:ascii="Arial" w:eastAsia="Times New Roman" w:hAnsi="Arial" w:cs="Arial"/>
                <w:b/>
                <w:bCs/>
                <w:color w:val="000000"/>
                <w:lang w:eastAsia="en-GB"/>
              </w:rPr>
              <w:t> </w:t>
            </w:r>
          </w:p>
        </w:tc>
        <w:tc>
          <w:tcPr>
            <w:tcW w:w="2230" w:type="dxa"/>
            <w:tcBorders>
              <w:top w:val="nil"/>
              <w:left w:val="nil"/>
              <w:bottom w:val="nil"/>
              <w:right w:val="nil"/>
            </w:tcBorders>
            <w:shd w:val="clear" w:color="000000" w:fill="EDFFB7"/>
            <w:vAlign w:val="center"/>
            <w:hideMark/>
          </w:tcPr>
          <w:p w14:paraId="1A6FF9EA" w14:textId="77777777" w:rsidR="0021298F" w:rsidRPr="00D1468C" w:rsidRDefault="0021298F" w:rsidP="00760009">
            <w:pPr>
              <w:jc w:val="right"/>
              <w:rPr>
                <w:rFonts w:ascii="Arial" w:eastAsia="Times New Roman" w:hAnsi="Arial" w:cs="Arial"/>
                <w:color w:val="000000"/>
                <w:lang w:eastAsia="en-GB"/>
              </w:rPr>
            </w:pPr>
            <w:r w:rsidRPr="00D1468C">
              <w:rPr>
                <w:rFonts w:ascii="Arial" w:eastAsia="Times New Roman" w:hAnsi="Arial" w:cs="Arial"/>
                <w:color w:val="000000"/>
                <w:lang w:eastAsia="en-GB"/>
              </w:rPr>
              <w:t>5,317</w:t>
            </w:r>
          </w:p>
        </w:tc>
        <w:tc>
          <w:tcPr>
            <w:tcW w:w="2138" w:type="dxa"/>
            <w:tcBorders>
              <w:top w:val="nil"/>
              <w:left w:val="nil"/>
              <w:bottom w:val="nil"/>
              <w:right w:val="nil"/>
            </w:tcBorders>
            <w:shd w:val="clear" w:color="auto" w:fill="auto"/>
            <w:noWrap/>
            <w:vAlign w:val="center"/>
            <w:hideMark/>
          </w:tcPr>
          <w:p w14:paraId="54D34F23" w14:textId="77777777" w:rsidR="0021298F" w:rsidRPr="00D1468C" w:rsidRDefault="0021298F" w:rsidP="00760009">
            <w:pPr>
              <w:jc w:val="right"/>
              <w:rPr>
                <w:rFonts w:ascii="Arial" w:eastAsia="Times New Roman" w:hAnsi="Arial" w:cs="Arial"/>
                <w:color w:val="000000"/>
                <w:lang w:eastAsia="en-GB"/>
              </w:rPr>
            </w:pPr>
            <w:r w:rsidRPr="00D1468C">
              <w:rPr>
                <w:rFonts w:ascii="Arial" w:eastAsia="Times New Roman" w:hAnsi="Arial" w:cs="Arial"/>
                <w:color w:val="000000"/>
                <w:lang w:eastAsia="en-GB"/>
              </w:rPr>
              <w:t>3,203</w:t>
            </w:r>
          </w:p>
        </w:tc>
      </w:tr>
      <w:tr w:rsidR="0021298F" w:rsidRPr="00D1468C" w14:paraId="330151FF" w14:textId="77777777" w:rsidTr="00760009">
        <w:trPr>
          <w:trHeight w:val="300"/>
        </w:trPr>
        <w:tc>
          <w:tcPr>
            <w:tcW w:w="4720" w:type="dxa"/>
            <w:tcBorders>
              <w:top w:val="nil"/>
              <w:left w:val="nil"/>
              <w:bottom w:val="nil"/>
              <w:right w:val="nil"/>
            </w:tcBorders>
            <w:shd w:val="clear" w:color="000000" w:fill="FFFFFF"/>
            <w:vAlign w:val="center"/>
            <w:hideMark/>
          </w:tcPr>
          <w:p w14:paraId="2E1EC5A3" w14:textId="77777777" w:rsidR="0021298F" w:rsidRPr="00D1468C" w:rsidRDefault="0021298F" w:rsidP="00760009">
            <w:pPr>
              <w:jc w:val="both"/>
              <w:rPr>
                <w:rFonts w:ascii="Arial" w:eastAsia="Times New Roman" w:hAnsi="Arial" w:cs="Arial"/>
                <w:color w:val="000000"/>
                <w:lang w:eastAsia="en-GB"/>
              </w:rPr>
            </w:pPr>
            <w:r w:rsidRPr="00D1468C">
              <w:rPr>
                <w:rFonts w:ascii="Arial" w:eastAsia="Times New Roman" w:hAnsi="Arial" w:cs="Arial"/>
                <w:color w:val="000000"/>
                <w:lang w:eastAsia="en-GB"/>
              </w:rPr>
              <w:t> </w:t>
            </w:r>
          </w:p>
        </w:tc>
        <w:tc>
          <w:tcPr>
            <w:tcW w:w="705" w:type="dxa"/>
            <w:tcBorders>
              <w:top w:val="nil"/>
              <w:left w:val="nil"/>
              <w:bottom w:val="nil"/>
              <w:right w:val="nil"/>
            </w:tcBorders>
            <w:shd w:val="clear" w:color="000000" w:fill="FFFFFF"/>
            <w:vAlign w:val="center"/>
            <w:hideMark/>
          </w:tcPr>
          <w:p w14:paraId="6D90C59E" w14:textId="77777777" w:rsidR="0021298F" w:rsidRPr="00D1468C" w:rsidRDefault="0021298F" w:rsidP="00760009">
            <w:pPr>
              <w:rPr>
                <w:rFonts w:ascii="Calibri" w:eastAsia="Times New Roman" w:hAnsi="Calibri" w:cs="Calibri"/>
                <w:color w:val="000000"/>
                <w:lang w:eastAsia="en-GB"/>
              </w:rPr>
            </w:pPr>
            <w:r w:rsidRPr="00D1468C">
              <w:rPr>
                <w:rFonts w:ascii="Calibri" w:eastAsia="Times New Roman" w:hAnsi="Calibri" w:cs="Calibri"/>
                <w:color w:val="000000"/>
                <w:lang w:eastAsia="en-GB"/>
              </w:rPr>
              <w:t> </w:t>
            </w:r>
          </w:p>
        </w:tc>
        <w:tc>
          <w:tcPr>
            <w:tcW w:w="2230" w:type="dxa"/>
            <w:tcBorders>
              <w:top w:val="nil"/>
              <w:left w:val="nil"/>
              <w:bottom w:val="nil"/>
              <w:right w:val="nil"/>
            </w:tcBorders>
            <w:shd w:val="clear" w:color="000000" w:fill="EDFFB7"/>
            <w:vAlign w:val="center"/>
            <w:hideMark/>
          </w:tcPr>
          <w:p w14:paraId="65FA4292" w14:textId="77777777" w:rsidR="0021298F" w:rsidRPr="00D1468C" w:rsidRDefault="0021298F" w:rsidP="00760009">
            <w:pPr>
              <w:jc w:val="right"/>
              <w:rPr>
                <w:rFonts w:ascii="Arial" w:eastAsia="Times New Roman" w:hAnsi="Arial" w:cs="Arial"/>
                <w:b/>
                <w:bCs/>
                <w:color w:val="000000"/>
                <w:lang w:eastAsia="en-GB"/>
              </w:rPr>
            </w:pPr>
            <w:r w:rsidRPr="00D1468C">
              <w:rPr>
                <w:rFonts w:ascii="Arial" w:eastAsia="Times New Roman" w:hAnsi="Arial" w:cs="Arial"/>
                <w:b/>
                <w:bCs/>
                <w:color w:val="000000"/>
                <w:lang w:eastAsia="en-GB"/>
              </w:rPr>
              <w:t> </w:t>
            </w:r>
          </w:p>
        </w:tc>
        <w:tc>
          <w:tcPr>
            <w:tcW w:w="2138" w:type="dxa"/>
            <w:tcBorders>
              <w:top w:val="nil"/>
              <w:left w:val="nil"/>
              <w:bottom w:val="nil"/>
              <w:right w:val="nil"/>
            </w:tcBorders>
            <w:shd w:val="clear" w:color="auto" w:fill="auto"/>
            <w:noWrap/>
            <w:vAlign w:val="center"/>
            <w:hideMark/>
          </w:tcPr>
          <w:p w14:paraId="4CD8C4C3" w14:textId="77777777" w:rsidR="0021298F" w:rsidRPr="00D1468C" w:rsidRDefault="0021298F" w:rsidP="00760009">
            <w:pPr>
              <w:jc w:val="right"/>
              <w:rPr>
                <w:rFonts w:ascii="Arial" w:eastAsia="Times New Roman" w:hAnsi="Arial" w:cs="Arial"/>
                <w:b/>
                <w:bCs/>
                <w:color w:val="000000"/>
                <w:lang w:eastAsia="en-GB"/>
              </w:rPr>
            </w:pPr>
          </w:p>
        </w:tc>
      </w:tr>
      <w:tr w:rsidR="0021298F" w:rsidRPr="00D1468C" w14:paraId="7207B159" w14:textId="77777777" w:rsidTr="00760009">
        <w:trPr>
          <w:trHeight w:val="300"/>
        </w:trPr>
        <w:tc>
          <w:tcPr>
            <w:tcW w:w="4720" w:type="dxa"/>
            <w:tcBorders>
              <w:top w:val="nil"/>
              <w:left w:val="nil"/>
              <w:bottom w:val="nil"/>
              <w:right w:val="nil"/>
            </w:tcBorders>
            <w:shd w:val="clear" w:color="000000" w:fill="FFFFFF"/>
            <w:vAlign w:val="center"/>
            <w:hideMark/>
          </w:tcPr>
          <w:p w14:paraId="54B35F5B" w14:textId="77777777" w:rsidR="0021298F" w:rsidRPr="00D1468C" w:rsidRDefault="0021298F" w:rsidP="00760009">
            <w:pPr>
              <w:jc w:val="both"/>
              <w:rPr>
                <w:rFonts w:ascii="Arial" w:eastAsia="Times New Roman" w:hAnsi="Arial" w:cs="Arial"/>
                <w:b/>
                <w:bCs/>
                <w:color w:val="000000"/>
                <w:lang w:eastAsia="en-GB"/>
              </w:rPr>
            </w:pPr>
            <w:r w:rsidRPr="00D1468C">
              <w:rPr>
                <w:rFonts w:ascii="Arial" w:eastAsia="Times New Roman" w:hAnsi="Arial" w:cs="Arial"/>
                <w:b/>
                <w:bCs/>
                <w:color w:val="000000"/>
                <w:lang w:eastAsia="en-GB"/>
              </w:rPr>
              <w:t>Current liabilities</w:t>
            </w:r>
          </w:p>
        </w:tc>
        <w:tc>
          <w:tcPr>
            <w:tcW w:w="705" w:type="dxa"/>
            <w:tcBorders>
              <w:top w:val="nil"/>
              <w:left w:val="nil"/>
              <w:bottom w:val="nil"/>
              <w:right w:val="nil"/>
            </w:tcBorders>
            <w:shd w:val="clear" w:color="000000" w:fill="FFFFFF"/>
            <w:vAlign w:val="center"/>
            <w:hideMark/>
          </w:tcPr>
          <w:p w14:paraId="005DF6FC" w14:textId="77777777" w:rsidR="0021298F" w:rsidRPr="00D1468C" w:rsidRDefault="0021298F" w:rsidP="00760009">
            <w:pPr>
              <w:rPr>
                <w:rFonts w:ascii="Calibri" w:eastAsia="Times New Roman" w:hAnsi="Calibri" w:cs="Calibri"/>
                <w:color w:val="000000"/>
                <w:lang w:eastAsia="en-GB"/>
              </w:rPr>
            </w:pPr>
            <w:r w:rsidRPr="00D1468C">
              <w:rPr>
                <w:rFonts w:ascii="Calibri" w:eastAsia="Times New Roman" w:hAnsi="Calibri" w:cs="Calibri"/>
                <w:color w:val="000000"/>
                <w:lang w:eastAsia="en-GB"/>
              </w:rPr>
              <w:t> </w:t>
            </w:r>
          </w:p>
        </w:tc>
        <w:tc>
          <w:tcPr>
            <w:tcW w:w="2230" w:type="dxa"/>
            <w:tcBorders>
              <w:top w:val="nil"/>
              <w:left w:val="nil"/>
              <w:bottom w:val="nil"/>
              <w:right w:val="nil"/>
            </w:tcBorders>
            <w:shd w:val="clear" w:color="000000" w:fill="EDFFB7"/>
            <w:vAlign w:val="center"/>
            <w:hideMark/>
          </w:tcPr>
          <w:p w14:paraId="2FD8DB9E" w14:textId="77777777" w:rsidR="0021298F" w:rsidRPr="00D1468C" w:rsidRDefault="0021298F" w:rsidP="00760009">
            <w:pPr>
              <w:jc w:val="right"/>
              <w:rPr>
                <w:rFonts w:ascii="Arial" w:eastAsia="Times New Roman" w:hAnsi="Arial" w:cs="Arial"/>
                <w:color w:val="000000"/>
                <w:lang w:eastAsia="en-GB"/>
              </w:rPr>
            </w:pPr>
            <w:r w:rsidRPr="00D1468C">
              <w:rPr>
                <w:rFonts w:ascii="Arial" w:eastAsia="Times New Roman" w:hAnsi="Arial" w:cs="Arial"/>
                <w:color w:val="000000"/>
                <w:lang w:eastAsia="en-GB"/>
              </w:rPr>
              <w:t> </w:t>
            </w:r>
          </w:p>
        </w:tc>
        <w:tc>
          <w:tcPr>
            <w:tcW w:w="2138" w:type="dxa"/>
            <w:tcBorders>
              <w:top w:val="nil"/>
              <w:left w:val="nil"/>
              <w:bottom w:val="nil"/>
              <w:right w:val="nil"/>
            </w:tcBorders>
            <w:shd w:val="clear" w:color="auto" w:fill="auto"/>
            <w:noWrap/>
            <w:vAlign w:val="center"/>
            <w:hideMark/>
          </w:tcPr>
          <w:p w14:paraId="2D6E0D79" w14:textId="77777777" w:rsidR="0021298F" w:rsidRPr="00D1468C" w:rsidRDefault="0021298F" w:rsidP="00760009">
            <w:pPr>
              <w:jc w:val="right"/>
              <w:rPr>
                <w:rFonts w:ascii="Arial" w:eastAsia="Times New Roman" w:hAnsi="Arial" w:cs="Arial"/>
                <w:color w:val="000000"/>
                <w:lang w:eastAsia="en-GB"/>
              </w:rPr>
            </w:pPr>
          </w:p>
        </w:tc>
      </w:tr>
      <w:tr w:rsidR="0021298F" w:rsidRPr="00D1468C" w14:paraId="438C202B" w14:textId="77777777" w:rsidTr="00760009">
        <w:trPr>
          <w:trHeight w:val="315"/>
        </w:trPr>
        <w:tc>
          <w:tcPr>
            <w:tcW w:w="4720" w:type="dxa"/>
            <w:tcBorders>
              <w:top w:val="nil"/>
              <w:left w:val="nil"/>
              <w:bottom w:val="single" w:sz="8" w:space="0" w:color="auto"/>
              <w:right w:val="nil"/>
            </w:tcBorders>
            <w:shd w:val="clear" w:color="000000" w:fill="FFFFFF"/>
            <w:vAlign w:val="center"/>
            <w:hideMark/>
          </w:tcPr>
          <w:p w14:paraId="2C2B8DBB" w14:textId="77777777" w:rsidR="0021298F" w:rsidRPr="00D1468C" w:rsidRDefault="0021298F" w:rsidP="00760009">
            <w:pPr>
              <w:jc w:val="both"/>
              <w:rPr>
                <w:rFonts w:ascii="Arial" w:eastAsia="Times New Roman" w:hAnsi="Arial" w:cs="Arial"/>
                <w:color w:val="000000"/>
                <w:lang w:eastAsia="en-GB"/>
              </w:rPr>
            </w:pPr>
            <w:r w:rsidRPr="00D1468C">
              <w:rPr>
                <w:rFonts w:ascii="Arial" w:eastAsia="Times New Roman" w:hAnsi="Arial" w:cs="Arial"/>
                <w:color w:val="000000"/>
                <w:lang w:eastAsia="en-GB"/>
              </w:rPr>
              <w:t>Payables</w:t>
            </w:r>
          </w:p>
        </w:tc>
        <w:tc>
          <w:tcPr>
            <w:tcW w:w="705" w:type="dxa"/>
            <w:tcBorders>
              <w:top w:val="nil"/>
              <w:left w:val="nil"/>
              <w:bottom w:val="single" w:sz="8" w:space="0" w:color="auto"/>
              <w:right w:val="nil"/>
            </w:tcBorders>
            <w:shd w:val="clear" w:color="000000" w:fill="FFFFFF"/>
            <w:vAlign w:val="center"/>
            <w:hideMark/>
          </w:tcPr>
          <w:p w14:paraId="1DE91614" w14:textId="77777777" w:rsidR="0021298F" w:rsidRPr="00D1468C" w:rsidRDefault="0021298F" w:rsidP="00760009">
            <w:pPr>
              <w:jc w:val="center"/>
              <w:rPr>
                <w:rFonts w:ascii="Arial" w:eastAsia="Times New Roman" w:hAnsi="Arial" w:cs="Arial"/>
                <w:b/>
                <w:bCs/>
                <w:color w:val="000000"/>
                <w:lang w:eastAsia="en-GB"/>
              </w:rPr>
            </w:pPr>
            <w:r w:rsidRPr="00D1468C">
              <w:rPr>
                <w:rFonts w:ascii="Arial" w:eastAsia="Times New Roman" w:hAnsi="Arial" w:cs="Arial"/>
                <w:b/>
                <w:bCs/>
                <w:color w:val="000000"/>
                <w:lang w:eastAsia="en-GB"/>
              </w:rPr>
              <w:t>12</w:t>
            </w:r>
          </w:p>
        </w:tc>
        <w:tc>
          <w:tcPr>
            <w:tcW w:w="2230" w:type="dxa"/>
            <w:tcBorders>
              <w:top w:val="nil"/>
              <w:left w:val="nil"/>
              <w:bottom w:val="single" w:sz="8" w:space="0" w:color="auto"/>
              <w:right w:val="nil"/>
            </w:tcBorders>
            <w:shd w:val="clear" w:color="000000" w:fill="EDFFB7"/>
            <w:vAlign w:val="center"/>
            <w:hideMark/>
          </w:tcPr>
          <w:p w14:paraId="1200BA43" w14:textId="77777777" w:rsidR="0021298F" w:rsidRPr="00D1468C" w:rsidRDefault="0021298F" w:rsidP="00760009">
            <w:pPr>
              <w:jc w:val="right"/>
              <w:rPr>
                <w:rFonts w:ascii="Arial" w:eastAsia="Times New Roman" w:hAnsi="Arial" w:cs="Arial"/>
                <w:color w:val="000000"/>
                <w:lang w:eastAsia="en-GB"/>
              </w:rPr>
            </w:pPr>
            <w:r w:rsidRPr="00D1468C">
              <w:rPr>
                <w:rFonts w:ascii="Arial" w:eastAsia="Times New Roman" w:hAnsi="Arial" w:cs="Arial"/>
                <w:color w:val="000000"/>
                <w:lang w:eastAsia="en-GB"/>
              </w:rPr>
              <w:t xml:space="preserve"> (2,411)</w:t>
            </w:r>
          </w:p>
        </w:tc>
        <w:tc>
          <w:tcPr>
            <w:tcW w:w="2138" w:type="dxa"/>
            <w:tcBorders>
              <w:top w:val="nil"/>
              <w:left w:val="nil"/>
              <w:bottom w:val="single" w:sz="8" w:space="0" w:color="auto"/>
              <w:right w:val="nil"/>
            </w:tcBorders>
            <w:shd w:val="clear" w:color="000000" w:fill="FFFFFF"/>
            <w:vAlign w:val="center"/>
            <w:hideMark/>
          </w:tcPr>
          <w:p w14:paraId="40F64A45" w14:textId="77777777" w:rsidR="0021298F" w:rsidRPr="00D1468C" w:rsidRDefault="0021298F" w:rsidP="00760009">
            <w:pPr>
              <w:jc w:val="right"/>
              <w:rPr>
                <w:rFonts w:ascii="Arial" w:eastAsia="Times New Roman" w:hAnsi="Arial" w:cs="Arial"/>
                <w:color w:val="000000"/>
                <w:lang w:eastAsia="en-GB"/>
              </w:rPr>
            </w:pPr>
            <w:r w:rsidRPr="00D1468C">
              <w:rPr>
                <w:rFonts w:ascii="Arial" w:eastAsia="Times New Roman" w:hAnsi="Arial" w:cs="Arial"/>
                <w:color w:val="000000"/>
                <w:lang w:eastAsia="en-GB"/>
              </w:rPr>
              <w:t xml:space="preserve"> (2,000)</w:t>
            </w:r>
          </w:p>
        </w:tc>
      </w:tr>
      <w:tr w:rsidR="0021298F" w:rsidRPr="00D1468C" w14:paraId="70DCEC01" w14:textId="77777777" w:rsidTr="00760009">
        <w:trPr>
          <w:trHeight w:val="300"/>
        </w:trPr>
        <w:tc>
          <w:tcPr>
            <w:tcW w:w="4720" w:type="dxa"/>
            <w:tcBorders>
              <w:top w:val="nil"/>
              <w:left w:val="nil"/>
              <w:bottom w:val="nil"/>
              <w:right w:val="nil"/>
            </w:tcBorders>
            <w:shd w:val="clear" w:color="000000" w:fill="FFFFFF"/>
            <w:vAlign w:val="center"/>
            <w:hideMark/>
          </w:tcPr>
          <w:p w14:paraId="71BAE90F" w14:textId="77777777" w:rsidR="0021298F" w:rsidRPr="00D1468C" w:rsidRDefault="0021298F" w:rsidP="00760009">
            <w:pPr>
              <w:jc w:val="both"/>
              <w:rPr>
                <w:rFonts w:ascii="Arial" w:eastAsia="Times New Roman" w:hAnsi="Arial" w:cs="Arial"/>
                <w:color w:val="000000"/>
                <w:sz w:val="14"/>
                <w:szCs w:val="14"/>
                <w:lang w:eastAsia="en-GB"/>
              </w:rPr>
            </w:pPr>
            <w:r w:rsidRPr="00D1468C">
              <w:rPr>
                <w:rFonts w:ascii="Arial" w:eastAsia="Times New Roman" w:hAnsi="Arial" w:cs="Arial"/>
                <w:color w:val="000000"/>
                <w:sz w:val="14"/>
                <w:szCs w:val="14"/>
                <w:lang w:eastAsia="en-GB"/>
              </w:rPr>
              <w:t> </w:t>
            </w:r>
          </w:p>
        </w:tc>
        <w:tc>
          <w:tcPr>
            <w:tcW w:w="705" w:type="dxa"/>
            <w:tcBorders>
              <w:top w:val="nil"/>
              <w:left w:val="nil"/>
              <w:bottom w:val="nil"/>
              <w:right w:val="nil"/>
            </w:tcBorders>
            <w:shd w:val="clear" w:color="000000" w:fill="FFFFFF"/>
            <w:vAlign w:val="center"/>
            <w:hideMark/>
          </w:tcPr>
          <w:p w14:paraId="2A8BE3AE" w14:textId="77777777" w:rsidR="0021298F" w:rsidRPr="00D1468C" w:rsidRDefault="0021298F" w:rsidP="00760009">
            <w:pPr>
              <w:rPr>
                <w:rFonts w:ascii="Calibri" w:eastAsia="Times New Roman" w:hAnsi="Calibri" w:cs="Calibri"/>
                <w:color w:val="000000"/>
                <w:lang w:eastAsia="en-GB"/>
              </w:rPr>
            </w:pPr>
            <w:r w:rsidRPr="00D1468C">
              <w:rPr>
                <w:rFonts w:ascii="Calibri" w:eastAsia="Times New Roman" w:hAnsi="Calibri" w:cs="Calibri"/>
                <w:color w:val="000000"/>
                <w:lang w:eastAsia="en-GB"/>
              </w:rPr>
              <w:t> </w:t>
            </w:r>
          </w:p>
        </w:tc>
        <w:tc>
          <w:tcPr>
            <w:tcW w:w="2230" w:type="dxa"/>
            <w:tcBorders>
              <w:top w:val="nil"/>
              <w:left w:val="nil"/>
              <w:bottom w:val="nil"/>
              <w:right w:val="nil"/>
            </w:tcBorders>
            <w:shd w:val="clear" w:color="000000" w:fill="EDFFB7"/>
            <w:vAlign w:val="center"/>
            <w:hideMark/>
          </w:tcPr>
          <w:p w14:paraId="53AA4E2C" w14:textId="77777777" w:rsidR="0021298F" w:rsidRPr="00D1468C" w:rsidRDefault="0021298F" w:rsidP="00760009">
            <w:pPr>
              <w:jc w:val="right"/>
              <w:rPr>
                <w:rFonts w:ascii="Arial" w:eastAsia="Times New Roman" w:hAnsi="Arial" w:cs="Arial"/>
                <w:color w:val="000000"/>
                <w:sz w:val="14"/>
                <w:szCs w:val="14"/>
                <w:lang w:eastAsia="en-GB"/>
              </w:rPr>
            </w:pPr>
            <w:r w:rsidRPr="00D1468C">
              <w:rPr>
                <w:rFonts w:ascii="Arial" w:eastAsia="Times New Roman" w:hAnsi="Arial" w:cs="Arial"/>
                <w:color w:val="000000"/>
                <w:sz w:val="14"/>
                <w:szCs w:val="14"/>
                <w:lang w:eastAsia="en-GB"/>
              </w:rPr>
              <w:t> </w:t>
            </w:r>
          </w:p>
        </w:tc>
        <w:tc>
          <w:tcPr>
            <w:tcW w:w="2138" w:type="dxa"/>
            <w:tcBorders>
              <w:top w:val="nil"/>
              <w:left w:val="nil"/>
              <w:bottom w:val="nil"/>
              <w:right w:val="nil"/>
            </w:tcBorders>
            <w:shd w:val="clear" w:color="auto" w:fill="auto"/>
            <w:noWrap/>
            <w:vAlign w:val="center"/>
            <w:hideMark/>
          </w:tcPr>
          <w:p w14:paraId="4785BE28" w14:textId="77777777" w:rsidR="0021298F" w:rsidRPr="00D1468C" w:rsidRDefault="0021298F" w:rsidP="00760009">
            <w:pPr>
              <w:jc w:val="right"/>
              <w:rPr>
                <w:rFonts w:ascii="Arial" w:eastAsia="Times New Roman" w:hAnsi="Arial" w:cs="Arial"/>
                <w:color w:val="000000"/>
                <w:sz w:val="14"/>
                <w:szCs w:val="14"/>
                <w:lang w:eastAsia="en-GB"/>
              </w:rPr>
            </w:pPr>
          </w:p>
        </w:tc>
      </w:tr>
      <w:tr w:rsidR="0021298F" w:rsidRPr="00D1468C" w14:paraId="496927ED" w14:textId="77777777" w:rsidTr="00760009">
        <w:trPr>
          <w:trHeight w:val="300"/>
        </w:trPr>
        <w:tc>
          <w:tcPr>
            <w:tcW w:w="4720" w:type="dxa"/>
            <w:tcBorders>
              <w:top w:val="nil"/>
              <w:left w:val="nil"/>
              <w:bottom w:val="nil"/>
              <w:right w:val="nil"/>
            </w:tcBorders>
            <w:shd w:val="clear" w:color="000000" w:fill="FFFFFF"/>
            <w:vAlign w:val="center"/>
            <w:hideMark/>
          </w:tcPr>
          <w:p w14:paraId="6656DCA5" w14:textId="77777777" w:rsidR="0021298F" w:rsidRPr="00D1468C" w:rsidRDefault="0021298F" w:rsidP="00760009">
            <w:pPr>
              <w:jc w:val="both"/>
              <w:rPr>
                <w:rFonts w:ascii="Arial" w:eastAsia="Times New Roman" w:hAnsi="Arial" w:cs="Arial"/>
                <w:b/>
                <w:bCs/>
                <w:color w:val="000000"/>
                <w:lang w:eastAsia="en-GB"/>
              </w:rPr>
            </w:pPr>
            <w:r w:rsidRPr="00D1468C">
              <w:rPr>
                <w:rFonts w:ascii="Arial" w:eastAsia="Times New Roman" w:hAnsi="Arial" w:cs="Arial"/>
                <w:b/>
                <w:bCs/>
                <w:color w:val="000000"/>
                <w:lang w:eastAsia="en-GB"/>
              </w:rPr>
              <w:t>Net current assets</w:t>
            </w:r>
          </w:p>
        </w:tc>
        <w:tc>
          <w:tcPr>
            <w:tcW w:w="705" w:type="dxa"/>
            <w:tcBorders>
              <w:top w:val="nil"/>
              <w:left w:val="nil"/>
              <w:bottom w:val="nil"/>
              <w:right w:val="nil"/>
            </w:tcBorders>
            <w:shd w:val="clear" w:color="000000" w:fill="FFFFFF"/>
            <w:vAlign w:val="center"/>
            <w:hideMark/>
          </w:tcPr>
          <w:p w14:paraId="2D5B9091" w14:textId="77777777" w:rsidR="0021298F" w:rsidRPr="00D1468C" w:rsidRDefault="0021298F" w:rsidP="00760009">
            <w:pPr>
              <w:rPr>
                <w:rFonts w:ascii="Calibri" w:eastAsia="Times New Roman" w:hAnsi="Calibri" w:cs="Calibri"/>
                <w:color w:val="000000"/>
                <w:lang w:eastAsia="en-GB"/>
              </w:rPr>
            </w:pPr>
            <w:r w:rsidRPr="00D1468C">
              <w:rPr>
                <w:rFonts w:ascii="Calibri" w:eastAsia="Times New Roman" w:hAnsi="Calibri" w:cs="Calibri"/>
                <w:color w:val="000000"/>
                <w:lang w:eastAsia="en-GB"/>
              </w:rPr>
              <w:t> </w:t>
            </w:r>
          </w:p>
        </w:tc>
        <w:tc>
          <w:tcPr>
            <w:tcW w:w="2230" w:type="dxa"/>
            <w:tcBorders>
              <w:top w:val="nil"/>
              <w:left w:val="nil"/>
              <w:bottom w:val="nil"/>
              <w:right w:val="nil"/>
            </w:tcBorders>
            <w:shd w:val="clear" w:color="000000" w:fill="EDFFB7"/>
            <w:vAlign w:val="center"/>
            <w:hideMark/>
          </w:tcPr>
          <w:p w14:paraId="2CC5D05C" w14:textId="77777777" w:rsidR="0021298F" w:rsidRPr="00D1468C" w:rsidRDefault="0021298F" w:rsidP="00760009">
            <w:pPr>
              <w:jc w:val="right"/>
              <w:rPr>
                <w:rFonts w:ascii="Arial" w:eastAsia="Times New Roman" w:hAnsi="Arial" w:cs="Arial"/>
                <w:b/>
                <w:bCs/>
                <w:color w:val="000000"/>
                <w:lang w:eastAsia="en-GB"/>
              </w:rPr>
            </w:pPr>
            <w:r w:rsidRPr="00D1468C">
              <w:rPr>
                <w:rFonts w:ascii="Arial" w:eastAsia="Times New Roman" w:hAnsi="Arial" w:cs="Arial"/>
                <w:b/>
                <w:bCs/>
                <w:color w:val="000000"/>
                <w:lang w:eastAsia="en-GB"/>
              </w:rPr>
              <w:t>2,906</w:t>
            </w:r>
          </w:p>
        </w:tc>
        <w:tc>
          <w:tcPr>
            <w:tcW w:w="2138" w:type="dxa"/>
            <w:tcBorders>
              <w:top w:val="nil"/>
              <w:left w:val="nil"/>
              <w:bottom w:val="nil"/>
              <w:right w:val="nil"/>
            </w:tcBorders>
            <w:shd w:val="clear" w:color="auto" w:fill="auto"/>
            <w:noWrap/>
            <w:vAlign w:val="center"/>
            <w:hideMark/>
          </w:tcPr>
          <w:p w14:paraId="3BD7306A" w14:textId="77777777" w:rsidR="0021298F" w:rsidRPr="00D1468C" w:rsidRDefault="0021298F" w:rsidP="00760009">
            <w:pPr>
              <w:jc w:val="right"/>
              <w:rPr>
                <w:rFonts w:ascii="Arial" w:eastAsia="Times New Roman" w:hAnsi="Arial" w:cs="Arial"/>
                <w:b/>
                <w:bCs/>
                <w:color w:val="000000"/>
                <w:lang w:eastAsia="en-GB"/>
              </w:rPr>
            </w:pPr>
            <w:r w:rsidRPr="00D1468C">
              <w:rPr>
                <w:rFonts w:ascii="Arial" w:eastAsia="Times New Roman" w:hAnsi="Arial" w:cs="Arial"/>
                <w:b/>
                <w:bCs/>
                <w:color w:val="000000"/>
                <w:lang w:eastAsia="en-GB"/>
              </w:rPr>
              <w:t>1,203</w:t>
            </w:r>
          </w:p>
        </w:tc>
      </w:tr>
      <w:tr w:rsidR="0021298F" w:rsidRPr="00D1468C" w14:paraId="1E37F3EC" w14:textId="77777777" w:rsidTr="00760009">
        <w:trPr>
          <w:trHeight w:val="300"/>
        </w:trPr>
        <w:tc>
          <w:tcPr>
            <w:tcW w:w="4720" w:type="dxa"/>
            <w:tcBorders>
              <w:top w:val="nil"/>
              <w:left w:val="nil"/>
              <w:bottom w:val="single" w:sz="4" w:space="0" w:color="auto"/>
              <w:right w:val="nil"/>
            </w:tcBorders>
            <w:shd w:val="clear" w:color="000000" w:fill="FFFFFF"/>
            <w:vAlign w:val="center"/>
            <w:hideMark/>
          </w:tcPr>
          <w:p w14:paraId="622D8BA2" w14:textId="77777777" w:rsidR="0021298F" w:rsidRPr="00D1468C" w:rsidRDefault="0021298F" w:rsidP="00760009">
            <w:pPr>
              <w:jc w:val="both"/>
              <w:rPr>
                <w:rFonts w:ascii="Arial" w:eastAsia="Times New Roman" w:hAnsi="Arial" w:cs="Arial"/>
                <w:b/>
                <w:bCs/>
                <w:color w:val="000000"/>
                <w:sz w:val="14"/>
                <w:szCs w:val="14"/>
                <w:lang w:eastAsia="en-GB"/>
              </w:rPr>
            </w:pPr>
            <w:r w:rsidRPr="00D1468C">
              <w:rPr>
                <w:rFonts w:ascii="Arial" w:eastAsia="Times New Roman" w:hAnsi="Arial" w:cs="Arial"/>
                <w:b/>
                <w:bCs/>
                <w:color w:val="000000"/>
                <w:sz w:val="14"/>
                <w:szCs w:val="14"/>
                <w:lang w:eastAsia="en-GB"/>
              </w:rPr>
              <w:t> </w:t>
            </w:r>
          </w:p>
        </w:tc>
        <w:tc>
          <w:tcPr>
            <w:tcW w:w="705" w:type="dxa"/>
            <w:tcBorders>
              <w:top w:val="nil"/>
              <w:left w:val="nil"/>
              <w:bottom w:val="single" w:sz="4" w:space="0" w:color="auto"/>
              <w:right w:val="nil"/>
            </w:tcBorders>
            <w:shd w:val="clear" w:color="000000" w:fill="FFFFFF"/>
            <w:vAlign w:val="center"/>
            <w:hideMark/>
          </w:tcPr>
          <w:p w14:paraId="0852AC35" w14:textId="77777777" w:rsidR="0021298F" w:rsidRPr="00D1468C" w:rsidRDefault="0021298F" w:rsidP="00760009">
            <w:pPr>
              <w:rPr>
                <w:rFonts w:ascii="Calibri" w:eastAsia="Times New Roman" w:hAnsi="Calibri" w:cs="Calibri"/>
                <w:color w:val="000000"/>
                <w:lang w:eastAsia="en-GB"/>
              </w:rPr>
            </w:pPr>
            <w:r w:rsidRPr="00D1468C">
              <w:rPr>
                <w:rFonts w:ascii="Calibri" w:eastAsia="Times New Roman" w:hAnsi="Calibri" w:cs="Calibri"/>
                <w:color w:val="000000"/>
                <w:lang w:eastAsia="en-GB"/>
              </w:rPr>
              <w:t> </w:t>
            </w:r>
          </w:p>
        </w:tc>
        <w:tc>
          <w:tcPr>
            <w:tcW w:w="2230" w:type="dxa"/>
            <w:tcBorders>
              <w:top w:val="nil"/>
              <w:left w:val="nil"/>
              <w:bottom w:val="single" w:sz="4" w:space="0" w:color="auto"/>
              <w:right w:val="nil"/>
            </w:tcBorders>
            <w:shd w:val="clear" w:color="000000" w:fill="EDFFB7"/>
            <w:vAlign w:val="center"/>
            <w:hideMark/>
          </w:tcPr>
          <w:p w14:paraId="66A52560" w14:textId="77777777" w:rsidR="0021298F" w:rsidRPr="00D1468C" w:rsidRDefault="0021298F" w:rsidP="00760009">
            <w:pPr>
              <w:jc w:val="right"/>
              <w:rPr>
                <w:rFonts w:ascii="Arial" w:eastAsia="Times New Roman" w:hAnsi="Arial" w:cs="Arial"/>
                <w:b/>
                <w:bCs/>
                <w:color w:val="000000"/>
                <w:sz w:val="14"/>
                <w:szCs w:val="14"/>
                <w:lang w:eastAsia="en-GB"/>
              </w:rPr>
            </w:pPr>
            <w:r w:rsidRPr="00D1468C">
              <w:rPr>
                <w:rFonts w:ascii="Arial" w:eastAsia="Times New Roman" w:hAnsi="Arial" w:cs="Arial"/>
                <w:b/>
                <w:bCs/>
                <w:color w:val="000000"/>
                <w:sz w:val="14"/>
                <w:szCs w:val="14"/>
                <w:lang w:eastAsia="en-GB"/>
              </w:rPr>
              <w:t> </w:t>
            </w:r>
          </w:p>
        </w:tc>
        <w:tc>
          <w:tcPr>
            <w:tcW w:w="2138" w:type="dxa"/>
            <w:tcBorders>
              <w:top w:val="nil"/>
              <w:left w:val="nil"/>
              <w:bottom w:val="single" w:sz="4" w:space="0" w:color="auto"/>
              <w:right w:val="nil"/>
            </w:tcBorders>
            <w:shd w:val="clear" w:color="auto" w:fill="auto"/>
            <w:noWrap/>
            <w:vAlign w:val="center"/>
            <w:hideMark/>
          </w:tcPr>
          <w:p w14:paraId="6897AF96" w14:textId="77777777" w:rsidR="0021298F" w:rsidRPr="00D1468C" w:rsidRDefault="0021298F" w:rsidP="00760009">
            <w:pPr>
              <w:jc w:val="right"/>
              <w:rPr>
                <w:rFonts w:ascii="Arial" w:eastAsia="Times New Roman" w:hAnsi="Arial" w:cs="Arial"/>
                <w:b/>
                <w:bCs/>
                <w:color w:val="000000"/>
                <w:sz w:val="14"/>
                <w:szCs w:val="14"/>
                <w:lang w:eastAsia="en-GB"/>
              </w:rPr>
            </w:pPr>
            <w:r w:rsidRPr="00D1468C">
              <w:rPr>
                <w:rFonts w:ascii="Arial" w:eastAsia="Times New Roman" w:hAnsi="Arial" w:cs="Arial"/>
                <w:b/>
                <w:bCs/>
                <w:color w:val="000000"/>
                <w:sz w:val="14"/>
                <w:szCs w:val="14"/>
                <w:lang w:eastAsia="en-GB"/>
              </w:rPr>
              <w:t> </w:t>
            </w:r>
          </w:p>
        </w:tc>
      </w:tr>
      <w:tr w:rsidR="0021298F" w:rsidRPr="00D1468C" w14:paraId="38E1730E" w14:textId="77777777" w:rsidTr="00760009">
        <w:trPr>
          <w:trHeight w:val="315"/>
        </w:trPr>
        <w:tc>
          <w:tcPr>
            <w:tcW w:w="4720" w:type="dxa"/>
            <w:tcBorders>
              <w:top w:val="nil"/>
              <w:left w:val="nil"/>
              <w:bottom w:val="single" w:sz="8" w:space="0" w:color="auto"/>
              <w:right w:val="nil"/>
            </w:tcBorders>
            <w:shd w:val="clear" w:color="000000" w:fill="FFFFFF"/>
            <w:vAlign w:val="center"/>
            <w:hideMark/>
          </w:tcPr>
          <w:p w14:paraId="639563D2" w14:textId="77777777" w:rsidR="0021298F" w:rsidRPr="00D1468C" w:rsidRDefault="0021298F" w:rsidP="00760009">
            <w:pPr>
              <w:jc w:val="both"/>
              <w:rPr>
                <w:rFonts w:ascii="Arial" w:eastAsia="Times New Roman" w:hAnsi="Arial" w:cs="Arial"/>
                <w:b/>
                <w:bCs/>
                <w:color w:val="000000"/>
                <w:lang w:eastAsia="en-GB"/>
              </w:rPr>
            </w:pPr>
            <w:r w:rsidRPr="00D1468C">
              <w:rPr>
                <w:rFonts w:ascii="Arial" w:eastAsia="Times New Roman" w:hAnsi="Arial" w:cs="Arial"/>
                <w:b/>
                <w:bCs/>
                <w:color w:val="000000"/>
                <w:lang w:eastAsia="en-GB"/>
              </w:rPr>
              <w:lastRenderedPageBreak/>
              <w:t>Net assets</w:t>
            </w:r>
          </w:p>
        </w:tc>
        <w:tc>
          <w:tcPr>
            <w:tcW w:w="705" w:type="dxa"/>
            <w:tcBorders>
              <w:top w:val="nil"/>
              <w:left w:val="nil"/>
              <w:bottom w:val="single" w:sz="8" w:space="0" w:color="auto"/>
              <w:right w:val="nil"/>
            </w:tcBorders>
            <w:shd w:val="clear" w:color="000000" w:fill="FFFFFF"/>
            <w:vAlign w:val="center"/>
            <w:hideMark/>
          </w:tcPr>
          <w:p w14:paraId="75236D3E" w14:textId="77777777" w:rsidR="0021298F" w:rsidRPr="00D1468C" w:rsidRDefault="0021298F" w:rsidP="00760009">
            <w:pPr>
              <w:rPr>
                <w:rFonts w:ascii="Calibri" w:eastAsia="Times New Roman" w:hAnsi="Calibri" w:cs="Calibri"/>
                <w:color w:val="000000"/>
                <w:lang w:eastAsia="en-GB"/>
              </w:rPr>
            </w:pPr>
            <w:r w:rsidRPr="00D1468C">
              <w:rPr>
                <w:rFonts w:ascii="Calibri" w:eastAsia="Times New Roman" w:hAnsi="Calibri" w:cs="Calibri"/>
                <w:color w:val="000000"/>
                <w:lang w:eastAsia="en-GB"/>
              </w:rPr>
              <w:t> </w:t>
            </w:r>
          </w:p>
        </w:tc>
        <w:tc>
          <w:tcPr>
            <w:tcW w:w="2230" w:type="dxa"/>
            <w:tcBorders>
              <w:top w:val="nil"/>
              <w:left w:val="nil"/>
              <w:bottom w:val="single" w:sz="8" w:space="0" w:color="auto"/>
              <w:right w:val="nil"/>
            </w:tcBorders>
            <w:shd w:val="clear" w:color="000000" w:fill="EDFFB7"/>
            <w:vAlign w:val="center"/>
            <w:hideMark/>
          </w:tcPr>
          <w:p w14:paraId="6B22CA53" w14:textId="77777777" w:rsidR="0021298F" w:rsidRPr="00D1468C" w:rsidRDefault="0021298F" w:rsidP="00760009">
            <w:pPr>
              <w:jc w:val="right"/>
              <w:rPr>
                <w:rFonts w:ascii="Arial" w:eastAsia="Times New Roman" w:hAnsi="Arial" w:cs="Arial"/>
                <w:b/>
                <w:bCs/>
                <w:color w:val="000000"/>
                <w:lang w:eastAsia="en-GB"/>
              </w:rPr>
            </w:pPr>
            <w:r w:rsidRPr="00D1468C">
              <w:rPr>
                <w:rFonts w:ascii="Arial" w:eastAsia="Times New Roman" w:hAnsi="Arial" w:cs="Arial"/>
                <w:b/>
                <w:bCs/>
                <w:color w:val="000000"/>
                <w:lang w:eastAsia="en-GB"/>
              </w:rPr>
              <w:t>748,813</w:t>
            </w:r>
          </w:p>
        </w:tc>
        <w:tc>
          <w:tcPr>
            <w:tcW w:w="2138" w:type="dxa"/>
            <w:tcBorders>
              <w:top w:val="nil"/>
              <w:left w:val="nil"/>
              <w:bottom w:val="single" w:sz="8" w:space="0" w:color="auto"/>
              <w:right w:val="nil"/>
            </w:tcBorders>
            <w:shd w:val="clear" w:color="auto" w:fill="auto"/>
            <w:noWrap/>
            <w:vAlign w:val="center"/>
            <w:hideMark/>
          </w:tcPr>
          <w:p w14:paraId="30B8B416" w14:textId="77777777" w:rsidR="0021298F" w:rsidRPr="00D1468C" w:rsidRDefault="0021298F" w:rsidP="00760009">
            <w:pPr>
              <w:jc w:val="right"/>
              <w:rPr>
                <w:rFonts w:ascii="Arial" w:eastAsia="Times New Roman" w:hAnsi="Arial" w:cs="Arial"/>
                <w:b/>
                <w:bCs/>
                <w:color w:val="000000"/>
                <w:lang w:eastAsia="en-GB"/>
              </w:rPr>
            </w:pPr>
            <w:r w:rsidRPr="00D1468C">
              <w:rPr>
                <w:rFonts w:ascii="Arial" w:eastAsia="Times New Roman" w:hAnsi="Arial" w:cs="Arial"/>
                <w:b/>
                <w:bCs/>
                <w:color w:val="000000"/>
                <w:lang w:eastAsia="en-GB"/>
              </w:rPr>
              <w:t>650,000</w:t>
            </w:r>
          </w:p>
        </w:tc>
      </w:tr>
      <w:tr w:rsidR="0021298F" w:rsidRPr="00D1468C" w14:paraId="71B787A3" w14:textId="77777777" w:rsidTr="00760009">
        <w:trPr>
          <w:trHeight w:val="300"/>
        </w:trPr>
        <w:tc>
          <w:tcPr>
            <w:tcW w:w="4720" w:type="dxa"/>
            <w:tcBorders>
              <w:top w:val="nil"/>
              <w:left w:val="nil"/>
              <w:bottom w:val="nil"/>
              <w:right w:val="nil"/>
            </w:tcBorders>
            <w:shd w:val="clear" w:color="000000" w:fill="FFFFFF"/>
            <w:vAlign w:val="center"/>
            <w:hideMark/>
          </w:tcPr>
          <w:p w14:paraId="3C07A95E" w14:textId="77777777" w:rsidR="0021298F" w:rsidRPr="00D1468C" w:rsidRDefault="0021298F" w:rsidP="00760009">
            <w:pPr>
              <w:jc w:val="both"/>
              <w:rPr>
                <w:rFonts w:ascii="Arial" w:eastAsia="Times New Roman" w:hAnsi="Arial" w:cs="Arial"/>
                <w:color w:val="000000"/>
                <w:sz w:val="14"/>
                <w:szCs w:val="14"/>
                <w:lang w:eastAsia="en-GB"/>
              </w:rPr>
            </w:pPr>
            <w:r w:rsidRPr="00D1468C">
              <w:rPr>
                <w:rFonts w:ascii="Arial" w:eastAsia="Times New Roman" w:hAnsi="Arial" w:cs="Arial"/>
                <w:color w:val="000000"/>
                <w:sz w:val="14"/>
                <w:szCs w:val="14"/>
                <w:lang w:eastAsia="en-GB"/>
              </w:rPr>
              <w:t> </w:t>
            </w:r>
          </w:p>
        </w:tc>
        <w:tc>
          <w:tcPr>
            <w:tcW w:w="705" w:type="dxa"/>
            <w:tcBorders>
              <w:top w:val="nil"/>
              <w:left w:val="nil"/>
              <w:bottom w:val="nil"/>
              <w:right w:val="nil"/>
            </w:tcBorders>
            <w:shd w:val="clear" w:color="000000" w:fill="FFFFFF"/>
            <w:vAlign w:val="center"/>
            <w:hideMark/>
          </w:tcPr>
          <w:p w14:paraId="0CF9475B" w14:textId="77777777" w:rsidR="0021298F" w:rsidRPr="00D1468C" w:rsidRDefault="0021298F" w:rsidP="00760009">
            <w:pPr>
              <w:rPr>
                <w:rFonts w:ascii="Calibri" w:eastAsia="Times New Roman" w:hAnsi="Calibri" w:cs="Calibri"/>
                <w:color w:val="000000"/>
                <w:lang w:eastAsia="en-GB"/>
              </w:rPr>
            </w:pPr>
            <w:r w:rsidRPr="00D1468C">
              <w:rPr>
                <w:rFonts w:ascii="Calibri" w:eastAsia="Times New Roman" w:hAnsi="Calibri" w:cs="Calibri"/>
                <w:color w:val="000000"/>
                <w:lang w:eastAsia="en-GB"/>
              </w:rPr>
              <w:t> </w:t>
            </w:r>
          </w:p>
        </w:tc>
        <w:tc>
          <w:tcPr>
            <w:tcW w:w="2230" w:type="dxa"/>
            <w:tcBorders>
              <w:top w:val="nil"/>
              <w:left w:val="nil"/>
              <w:bottom w:val="nil"/>
              <w:right w:val="nil"/>
            </w:tcBorders>
            <w:shd w:val="clear" w:color="000000" w:fill="EDFFB7"/>
            <w:vAlign w:val="center"/>
            <w:hideMark/>
          </w:tcPr>
          <w:p w14:paraId="5233171E" w14:textId="77777777" w:rsidR="0021298F" w:rsidRPr="00D1468C" w:rsidRDefault="0021298F" w:rsidP="00760009">
            <w:pPr>
              <w:jc w:val="right"/>
              <w:rPr>
                <w:rFonts w:ascii="Arial" w:eastAsia="Times New Roman" w:hAnsi="Arial" w:cs="Arial"/>
                <w:color w:val="000000"/>
                <w:sz w:val="14"/>
                <w:szCs w:val="14"/>
                <w:lang w:eastAsia="en-GB"/>
              </w:rPr>
            </w:pPr>
            <w:r w:rsidRPr="00D1468C">
              <w:rPr>
                <w:rFonts w:ascii="Arial" w:eastAsia="Times New Roman" w:hAnsi="Arial" w:cs="Arial"/>
                <w:color w:val="000000"/>
                <w:sz w:val="14"/>
                <w:szCs w:val="14"/>
                <w:lang w:eastAsia="en-GB"/>
              </w:rPr>
              <w:t> </w:t>
            </w:r>
          </w:p>
        </w:tc>
        <w:tc>
          <w:tcPr>
            <w:tcW w:w="2138" w:type="dxa"/>
            <w:tcBorders>
              <w:top w:val="nil"/>
              <w:left w:val="nil"/>
              <w:bottom w:val="nil"/>
              <w:right w:val="nil"/>
            </w:tcBorders>
            <w:shd w:val="clear" w:color="auto" w:fill="auto"/>
            <w:noWrap/>
            <w:vAlign w:val="center"/>
            <w:hideMark/>
          </w:tcPr>
          <w:p w14:paraId="0D0AC86C" w14:textId="77777777" w:rsidR="0021298F" w:rsidRPr="00D1468C" w:rsidRDefault="0021298F" w:rsidP="00760009">
            <w:pPr>
              <w:jc w:val="right"/>
              <w:rPr>
                <w:rFonts w:ascii="Arial" w:eastAsia="Times New Roman" w:hAnsi="Arial" w:cs="Arial"/>
                <w:color w:val="000000"/>
                <w:sz w:val="14"/>
                <w:szCs w:val="14"/>
                <w:lang w:eastAsia="en-GB"/>
              </w:rPr>
            </w:pPr>
          </w:p>
        </w:tc>
      </w:tr>
      <w:tr w:rsidR="0021298F" w:rsidRPr="00D1468C" w14:paraId="56C4B78A" w14:textId="77777777" w:rsidTr="00760009">
        <w:trPr>
          <w:trHeight w:val="300"/>
        </w:trPr>
        <w:tc>
          <w:tcPr>
            <w:tcW w:w="4720" w:type="dxa"/>
            <w:tcBorders>
              <w:top w:val="nil"/>
              <w:left w:val="nil"/>
              <w:bottom w:val="nil"/>
              <w:right w:val="nil"/>
            </w:tcBorders>
            <w:shd w:val="clear" w:color="000000" w:fill="FFFFFF"/>
            <w:vAlign w:val="center"/>
            <w:hideMark/>
          </w:tcPr>
          <w:p w14:paraId="28DB5F18" w14:textId="77777777" w:rsidR="0021298F" w:rsidRPr="00D1468C" w:rsidRDefault="0021298F" w:rsidP="00760009">
            <w:pPr>
              <w:jc w:val="both"/>
              <w:rPr>
                <w:rFonts w:ascii="Arial" w:eastAsia="Times New Roman" w:hAnsi="Arial" w:cs="Arial"/>
                <w:b/>
                <w:bCs/>
                <w:color w:val="000000"/>
                <w:lang w:eastAsia="en-GB"/>
              </w:rPr>
            </w:pPr>
            <w:r w:rsidRPr="00D1468C">
              <w:rPr>
                <w:rFonts w:ascii="Arial" w:eastAsia="Times New Roman" w:hAnsi="Arial" w:cs="Arial"/>
                <w:b/>
                <w:bCs/>
                <w:color w:val="000000"/>
                <w:lang w:eastAsia="en-GB"/>
              </w:rPr>
              <w:t>Capital and reserves</w:t>
            </w:r>
          </w:p>
        </w:tc>
        <w:tc>
          <w:tcPr>
            <w:tcW w:w="705" w:type="dxa"/>
            <w:tcBorders>
              <w:top w:val="nil"/>
              <w:left w:val="nil"/>
              <w:bottom w:val="nil"/>
              <w:right w:val="nil"/>
            </w:tcBorders>
            <w:shd w:val="clear" w:color="000000" w:fill="FFFFFF"/>
            <w:vAlign w:val="center"/>
            <w:hideMark/>
          </w:tcPr>
          <w:p w14:paraId="02DBDE56" w14:textId="77777777" w:rsidR="0021298F" w:rsidRPr="00D1468C" w:rsidRDefault="0021298F" w:rsidP="00760009">
            <w:pPr>
              <w:rPr>
                <w:rFonts w:ascii="Calibri" w:eastAsia="Times New Roman" w:hAnsi="Calibri" w:cs="Calibri"/>
                <w:color w:val="000000"/>
                <w:lang w:eastAsia="en-GB"/>
              </w:rPr>
            </w:pPr>
            <w:r w:rsidRPr="00D1468C">
              <w:rPr>
                <w:rFonts w:ascii="Calibri" w:eastAsia="Times New Roman" w:hAnsi="Calibri" w:cs="Calibri"/>
                <w:color w:val="000000"/>
                <w:lang w:eastAsia="en-GB"/>
              </w:rPr>
              <w:t> </w:t>
            </w:r>
          </w:p>
        </w:tc>
        <w:tc>
          <w:tcPr>
            <w:tcW w:w="2230" w:type="dxa"/>
            <w:tcBorders>
              <w:top w:val="nil"/>
              <w:left w:val="nil"/>
              <w:bottom w:val="nil"/>
              <w:right w:val="nil"/>
            </w:tcBorders>
            <w:shd w:val="clear" w:color="000000" w:fill="EDFFB7"/>
            <w:vAlign w:val="center"/>
            <w:hideMark/>
          </w:tcPr>
          <w:p w14:paraId="47ED28B6" w14:textId="77777777" w:rsidR="0021298F" w:rsidRPr="00D1468C" w:rsidRDefault="0021298F" w:rsidP="00760009">
            <w:pPr>
              <w:jc w:val="right"/>
              <w:rPr>
                <w:rFonts w:ascii="Arial" w:eastAsia="Times New Roman" w:hAnsi="Arial" w:cs="Arial"/>
                <w:color w:val="000000"/>
                <w:lang w:eastAsia="en-GB"/>
              </w:rPr>
            </w:pPr>
            <w:r w:rsidRPr="00D1468C">
              <w:rPr>
                <w:rFonts w:ascii="Arial" w:eastAsia="Times New Roman" w:hAnsi="Arial" w:cs="Arial"/>
                <w:color w:val="000000"/>
                <w:lang w:eastAsia="en-GB"/>
              </w:rPr>
              <w:t> </w:t>
            </w:r>
          </w:p>
        </w:tc>
        <w:tc>
          <w:tcPr>
            <w:tcW w:w="2138" w:type="dxa"/>
            <w:tcBorders>
              <w:top w:val="nil"/>
              <w:left w:val="nil"/>
              <w:bottom w:val="nil"/>
              <w:right w:val="nil"/>
            </w:tcBorders>
            <w:shd w:val="clear" w:color="auto" w:fill="auto"/>
            <w:noWrap/>
            <w:vAlign w:val="center"/>
            <w:hideMark/>
          </w:tcPr>
          <w:p w14:paraId="703FB30C" w14:textId="77777777" w:rsidR="0021298F" w:rsidRPr="00D1468C" w:rsidRDefault="0021298F" w:rsidP="00760009">
            <w:pPr>
              <w:jc w:val="right"/>
              <w:rPr>
                <w:rFonts w:ascii="Arial" w:eastAsia="Times New Roman" w:hAnsi="Arial" w:cs="Arial"/>
                <w:color w:val="000000"/>
                <w:lang w:eastAsia="en-GB"/>
              </w:rPr>
            </w:pPr>
          </w:p>
        </w:tc>
      </w:tr>
      <w:tr w:rsidR="0021298F" w:rsidRPr="00D1468C" w14:paraId="5A0CA9AD" w14:textId="77777777" w:rsidTr="00760009">
        <w:trPr>
          <w:trHeight w:val="300"/>
        </w:trPr>
        <w:tc>
          <w:tcPr>
            <w:tcW w:w="4720" w:type="dxa"/>
            <w:tcBorders>
              <w:top w:val="nil"/>
              <w:left w:val="nil"/>
              <w:bottom w:val="nil"/>
              <w:right w:val="nil"/>
            </w:tcBorders>
            <w:shd w:val="clear" w:color="000000" w:fill="FFFFFF"/>
            <w:vAlign w:val="center"/>
            <w:hideMark/>
          </w:tcPr>
          <w:p w14:paraId="53C1FD6D" w14:textId="77777777" w:rsidR="0021298F" w:rsidRPr="00D1468C" w:rsidRDefault="0021298F" w:rsidP="00760009">
            <w:pPr>
              <w:jc w:val="both"/>
              <w:rPr>
                <w:rFonts w:ascii="Arial" w:eastAsia="Times New Roman" w:hAnsi="Arial" w:cs="Arial"/>
                <w:color w:val="000000"/>
                <w:lang w:eastAsia="en-GB"/>
              </w:rPr>
            </w:pPr>
            <w:r w:rsidRPr="00D1468C">
              <w:rPr>
                <w:rFonts w:ascii="Arial" w:eastAsia="Times New Roman" w:hAnsi="Arial" w:cs="Arial"/>
                <w:color w:val="000000"/>
                <w:lang w:eastAsia="en-GB"/>
              </w:rPr>
              <w:t>Called up share capital</w:t>
            </w:r>
          </w:p>
        </w:tc>
        <w:tc>
          <w:tcPr>
            <w:tcW w:w="705" w:type="dxa"/>
            <w:tcBorders>
              <w:top w:val="nil"/>
              <w:left w:val="nil"/>
              <w:bottom w:val="nil"/>
              <w:right w:val="nil"/>
            </w:tcBorders>
            <w:shd w:val="clear" w:color="000000" w:fill="FFFFFF"/>
            <w:vAlign w:val="center"/>
            <w:hideMark/>
          </w:tcPr>
          <w:p w14:paraId="542425B3" w14:textId="77777777" w:rsidR="0021298F" w:rsidRPr="00D1468C" w:rsidRDefault="0021298F" w:rsidP="00760009">
            <w:pPr>
              <w:jc w:val="center"/>
              <w:rPr>
                <w:rFonts w:ascii="Arial" w:eastAsia="Times New Roman" w:hAnsi="Arial" w:cs="Arial"/>
                <w:b/>
                <w:bCs/>
                <w:color w:val="000000"/>
                <w:lang w:eastAsia="en-GB"/>
              </w:rPr>
            </w:pPr>
            <w:r w:rsidRPr="00D1468C">
              <w:rPr>
                <w:rFonts w:ascii="Arial" w:eastAsia="Times New Roman" w:hAnsi="Arial" w:cs="Arial"/>
                <w:b/>
                <w:bCs/>
                <w:color w:val="000000"/>
                <w:lang w:eastAsia="en-GB"/>
              </w:rPr>
              <w:t>15</w:t>
            </w:r>
          </w:p>
        </w:tc>
        <w:tc>
          <w:tcPr>
            <w:tcW w:w="2230" w:type="dxa"/>
            <w:tcBorders>
              <w:top w:val="nil"/>
              <w:left w:val="nil"/>
              <w:bottom w:val="nil"/>
              <w:right w:val="nil"/>
            </w:tcBorders>
            <w:shd w:val="clear" w:color="000000" w:fill="EDFFB7"/>
            <w:vAlign w:val="center"/>
            <w:hideMark/>
          </w:tcPr>
          <w:p w14:paraId="09C71B79" w14:textId="77777777" w:rsidR="0021298F" w:rsidRPr="00D1468C" w:rsidRDefault="0021298F" w:rsidP="00760009">
            <w:pPr>
              <w:jc w:val="right"/>
              <w:rPr>
                <w:rFonts w:ascii="Arial" w:eastAsia="Times New Roman" w:hAnsi="Arial" w:cs="Arial"/>
                <w:color w:val="000000"/>
                <w:lang w:eastAsia="en-GB"/>
              </w:rPr>
            </w:pPr>
            <w:r w:rsidRPr="00D1468C">
              <w:rPr>
                <w:rFonts w:ascii="Arial" w:eastAsia="Times New Roman" w:hAnsi="Arial" w:cs="Arial"/>
                <w:color w:val="000000"/>
                <w:lang w:eastAsia="en-GB"/>
              </w:rPr>
              <w:t>7,412</w:t>
            </w:r>
          </w:p>
        </w:tc>
        <w:tc>
          <w:tcPr>
            <w:tcW w:w="2138" w:type="dxa"/>
            <w:tcBorders>
              <w:top w:val="nil"/>
              <w:left w:val="nil"/>
              <w:bottom w:val="nil"/>
              <w:right w:val="nil"/>
            </w:tcBorders>
            <w:shd w:val="clear" w:color="auto" w:fill="auto"/>
            <w:noWrap/>
            <w:vAlign w:val="center"/>
            <w:hideMark/>
          </w:tcPr>
          <w:p w14:paraId="3675A376" w14:textId="77777777" w:rsidR="0021298F" w:rsidRPr="00D1468C" w:rsidRDefault="0021298F" w:rsidP="00760009">
            <w:pPr>
              <w:jc w:val="right"/>
              <w:rPr>
                <w:rFonts w:ascii="Arial" w:eastAsia="Times New Roman" w:hAnsi="Arial" w:cs="Arial"/>
                <w:color w:val="000000"/>
                <w:lang w:eastAsia="en-GB"/>
              </w:rPr>
            </w:pPr>
            <w:r w:rsidRPr="00D1468C">
              <w:rPr>
                <w:rFonts w:ascii="Arial" w:eastAsia="Times New Roman" w:hAnsi="Arial" w:cs="Arial"/>
                <w:color w:val="000000"/>
                <w:lang w:eastAsia="en-GB"/>
              </w:rPr>
              <w:t>6,306</w:t>
            </w:r>
          </w:p>
        </w:tc>
      </w:tr>
      <w:tr w:rsidR="0021298F" w:rsidRPr="00D1468C" w14:paraId="34878514" w14:textId="77777777" w:rsidTr="00760009">
        <w:trPr>
          <w:trHeight w:val="300"/>
        </w:trPr>
        <w:tc>
          <w:tcPr>
            <w:tcW w:w="4720" w:type="dxa"/>
            <w:tcBorders>
              <w:top w:val="nil"/>
              <w:left w:val="nil"/>
              <w:bottom w:val="nil"/>
              <w:right w:val="nil"/>
            </w:tcBorders>
            <w:shd w:val="clear" w:color="000000" w:fill="FFFFFF"/>
            <w:vAlign w:val="center"/>
            <w:hideMark/>
          </w:tcPr>
          <w:p w14:paraId="32D63A73" w14:textId="77777777" w:rsidR="0021298F" w:rsidRPr="00D1468C" w:rsidRDefault="0021298F" w:rsidP="00760009">
            <w:pPr>
              <w:jc w:val="both"/>
              <w:rPr>
                <w:rFonts w:ascii="Arial" w:eastAsia="Times New Roman" w:hAnsi="Arial" w:cs="Arial"/>
                <w:color w:val="000000"/>
                <w:lang w:eastAsia="en-GB"/>
              </w:rPr>
            </w:pPr>
            <w:r w:rsidRPr="00D1468C">
              <w:rPr>
                <w:rFonts w:ascii="Arial" w:eastAsia="Times New Roman" w:hAnsi="Arial" w:cs="Arial"/>
                <w:color w:val="000000"/>
                <w:lang w:eastAsia="en-GB"/>
              </w:rPr>
              <w:t>Share premium account</w:t>
            </w:r>
          </w:p>
        </w:tc>
        <w:tc>
          <w:tcPr>
            <w:tcW w:w="705" w:type="dxa"/>
            <w:tcBorders>
              <w:top w:val="nil"/>
              <w:left w:val="nil"/>
              <w:bottom w:val="nil"/>
              <w:right w:val="nil"/>
            </w:tcBorders>
            <w:shd w:val="clear" w:color="000000" w:fill="FFFFFF"/>
            <w:vAlign w:val="center"/>
            <w:hideMark/>
          </w:tcPr>
          <w:p w14:paraId="5F8D1721" w14:textId="77777777" w:rsidR="0021298F" w:rsidRPr="00D1468C" w:rsidRDefault="0021298F" w:rsidP="00760009">
            <w:pPr>
              <w:jc w:val="center"/>
              <w:rPr>
                <w:rFonts w:ascii="Arial" w:eastAsia="Times New Roman" w:hAnsi="Arial" w:cs="Arial"/>
                <w:b/>
                <w:bCs/>
                <w:color w:val="000000"/>
                <w:lang w:eastAsia="en-GB"/>
              </w:rPr>
            </w:pPr>
            <w:r w:rsidRPr="00D1468C">
              <w:rPr>
                <w:rFonts w:ascii="Arial" w:eastAsia="Times New Roman" w:hAnsi="Arial" w:cs="Arial"/>
                <w:b/>
                <w:bCs/>
                <w:color w:val="000000"/>
                <w:lang w:eastAsia="en-GB"/>
              </w:rPr>
              <w:t>15</w:t>
            </w:r>
          </w:p>
        </w:tc>
        <w:tc>
          <w:tcPr>
            <w:tcW w:w="2230" w:type="dxa"/>
            <w:tcBorders>
              <w:top w:val="nil"/>
              <w:left w:val="nil"/>
              <w:bottom w:val="nil"/>
              <w:right w:val="nil"/>
            </w:tcBorders>
            <w:shd w:val="clear" w:color="000000" w:fill="EDFFB7"/>
            <w:vAlign w:val="center"/>
            <w:hideMark/>
          </w:tcPr>
          <w:p w14:paraId="42BD4686" w14:textId="77777777" w:rsidR="0021298F" w:rsidRPr="00D1468C" w:rsidRDefault="0021298F" w:rsidP="00760009">
            <w:pPr>
              <w:jc w:val="right"/>
              <w:rPr>
                <w:rFonts w:ascii="Arial" w:eastAsia="Times New Roman" w:hAnsi="Arial" w:cs="Arial"/>
                <w:color w:val="000000"/>
                <w:lang w:eastAsia="en-GB"/>
              </w:rPr>
            </w:pPr>
            <w:r w:rsidRPr="00D1468C">
              <w:rPr>
                <w:rFonts w:ascii="Arial" w:eastAsia="Times New Roman" w:hAnsi="Arial" w:cs="Arial"/>
                <w:color w:val="000000"/>
                <w:lang w:eastAsia="en-GB"/>
              </w:rPr>
              <w:t>507,476</w:t>
            </w:r>
          </w:p>
        </w:tc>
        <w:tc>
          <w:tcPr>
            <w:tcW w:w="2138" w:type="dxa"/>
            <w:tcBorders>
              <w:top w:val="nil"/>
              <w:left w:val="nil"/>
              <w:bottom w:val="nil"/>
              <w:right w:val="nil"/>
            </w:tcBorders>
            <w:shd w:val="clear" w:color="auto" w:fill="auto"/>
            <w:noWrap/>
            <w:vAlign w:val="center"/>
            <w:hideMark/>
          </w:tcPr>
          <w:p w14:paraId="72474DFB" w14:textId="77777777" w:rsidR="0021298F" w:rsidRPr="00D1468C" w:rsidRDefault="0021298F" w:rsidP="00760009">
            <w:pPr>
              <w:jc w:val="right"/>
              <w:rPr>
                <w:rFonts w:ascii="Arial" w:eastAsia="Times New Roman" w:hAnsi="Arial" w:cs="Arial"/>
                <w:color w:val="000000"/>
                <w:lang w:eastAsia="en-GB"/>
              </w:rPr>
            </w:pPr>
            <w:r w:rsidRPr="00D1468C">
              <w:rPr>
                <w:rFonts w:ascii="Arial" w:eastAsia="Times New Roman" w:hAnsi="Arial" w:cs="Arial"/>
                <w:color w:val="000000"/>
                <w:lang w:eastAsia="en-GB"/>
              </w:rPr>
              <w:t>385,669</w:t>
            </w:r>
          </w:p>
        </w:tc>
      </w:tr>
      <w:tr w:rsidR="0021298F" w:rsidRPr="00D1468C" w14:paraId="17568346" w14:textId="77777777" w:rsidTr="00760009">
        <w:trPr>
          <w:trHeight w:val="300"/>
        </w:trPr>
        <w:tc>
          <w:tcPr>
            <w:tcW w:w="4720" w:type="dxa"/>
            <w:tcBorders>
              <w:top w:val="nil"/>
              <w:left w:val="nil"/>
              <w:bottom w:val="nil"/>
              <w:right w:val="nil"/>
            </w:tcBorders>
            <w:shd w:val="clear" w:color="000000" w:fill="FFFFFF"/>
            <w:vAlign w:val="center"/>
            <w:hideMark/>
          </w:tcPr>
          <w:p w14:paraId="4E092383" w14:textId="77777777" w:rsidR="0021298F" w:rsidRPr="00D1468C" w:rsidRDefault="0021298F" w:rsidP="00760009">
            <w:pPr>
              <w:jc w:val="both"/>
              <w:rPr>
                <w:rFonts w:ascii="Arial" w:eastAsia="Times New Roman" w:hAnsi="Arial" w:cs="Arial"/>
                <w:color w:val="000000"/>
                <w:lang w:eastAsia="en-GB"/>
              </w:rPr>
            </w:pPr>
            <w:r w:rsidRPr="00D1468C">
              <w:rPr>
                <w:rFonts w:ascii="Arial" w:eastAsia="Times New Roman" w:hAnsi="Arial" w:cs="Arial"/>
                <w:color w:val="000000"/>
                <w:lang w:eastAsia="en-GB"/>
              </w:rPr>
              <w:t>Other distributable reserves</w:t>
            </w:r>
          </w:p>
        </w:tc>
        <w:tc>
          <w:tcPr>
            <w:tcW w:w="705" w:type="dxa"/>
            <w:tcBorders>
              <w:top w:val="nil"/>
              <w:left w:val="nil"/>
              <w:bottom w:val="nil"/>
              <w:right w:val="nil"/>
            </w:tcBorders>
            <w:shd w:val="clear" w:color="000000" w:fill="FFFFFF"/>
            <w:vAlign w:val="center"/>
            <w:hideMark/>
          </w:tcPr>
          <w:p w14:paraId="4FA42ADC" w14:textId="77777777" w:rsidR="0021298F" w:rsidRPr="00D1468C" w:rsidRDefault="0021298F" w:rsidP="00760009">
            <w:pPr>
              <w:jc w:val="center"/>
              <w:rPr>
                <w:rFonts w:ascii="Arial" w:eastAsia="Times New Roman" w:hAnsi="Arial" w:cs="Arial"/>
                <w:b/>
                <w:bCs/>
                <w:color w:val="000000"/>
                <w:lang w:eastAsia="en-GB"/>
              </w:rPr>
            </w:pPr>
            <w:r w:rsidRPr="00D1468C">
              <w:rPr>
                <w:rFonts w:ascii="Arial" w:eastAsia="Times New Roman" w:hAnsi="Arial" w:cs="Arial"/>
                <w:b/>
                <w:bCs/>
                <w:color w:val="000000"/>
                <w:lang w:eastAsia="en-GB"/>
              </w:rPr>
              <w:t> </w:t>
            </w:r>
          </w:p>
        </w:tc>
        <w:tc>
          <w:tcPr>
            <w:tcW w:w="2230" w:type="dxa"/>
            <w:tcBorders>
              <w:top w:val="nil"/>
              <w:left w:val="nil"/>
              <w:bottom w:val="nil"/>
              <w:right w:val="nil"/>
            </w:tcBorders>
            <w:shd w:val="clear" w:color="000000" w:fill="EDFFB7"/>
            <w:vAlign w:val="center"/>
            <w:hideMark/>
          </w:tcPr>
          <w:p w14:paraId="680D24B1" w14:textId="77777777" w:rsidR="0021298F" w:rsidRPr="00D1468C" w:rsidRDefault="0021298F" w:rsidP="00760009">
            <w:pPr>
              <w:jc w:val="right"/>
              <w:rPr>
                <w:rFonts w:ascii="Arial" w:eastAsia="Times New Roman" w:hAnsi="Arial" w:cs="Arial"/>
                <w:color w:val="000000"/>
                <w:lang w:eastAsia="en-GB"/>
              </w:rPr>
            </w:pPr>
            <w:r w:rsidRPr="00D1468C">
              <w:rPr>
                <w:rFonts w:ascii="Arial" w:eastAsia="Times New Roman" w:hAnsi="Arial" w:cs="Arial"/>
                <w:color w:val="000000"/>
                <w:lang w:eastAsia="en-GB"/>
              </w:rPr>
              <w:t>161,768</w:t>
            </w:r>
          </w:p>
        </w:tc>
        <w:tc>
          <w:tcPr>
            <w:tcW w:w="2138" w:type="dxa"/>
            <w:tcBorders>
              <w:top w:val="nil"/>
              <w:left w:val="nil"/>
              <w:bottom w:val="nil"/>
              <w:right w:val="nil"/>
            </w:tcBorders>
            <w:shd w:val="clear" w:color="auto" w:fill="auto"/>
            <w:noWrap/>
            <w:vAlign w:val="center"/>
            <w:hideMark/>
          </w:tcPr>
          <w:p w14:paraId="5B459448" w14:textId="77777777" w:rsidR="0021298F" w:rsidRPr="00D1468C" w:rsidRDefault="0021298F" w:rsidP="00760009">
            <w:pPr>
              <w:jc w:val="right"/>
              <w:rPr>
                <w:rFonts w:ascii="Arial" w:eastAsia="Times New Roman" w:hAnsi="Arial" w:cs="Arial"/>
                <w:color w:val="000000"/>
                <w:lang w:eastAsia="en-GB"/>
              </w:rPr>
            </w:pPr>
            <w:r w:rsidRPr="00D1468C">
              <w:rPr>
                <w:rFonts w:ascii="Arial" w:eastAsia="Times New Roman" w:hAnsi="Arial" w:cs="Arial"/>
                <w:color w:val="000000"/>
                <w:lang w:eastAsia="en-GB"/>
              </w:rPr>
              <w:t>199,936</w:t>
            </w:r>
          </w:p>
        </w:tc>
      </w:tr>
      <w:tr w:rsidR="0021298F" w:rsidRPr="00D1468C" w14:paraId="3AB90BEA" w14:textId="77777777" w:rsidTr="00760009">
        <w:trPr>
          <w:trHeight w:val="315"/>
        </w:trPr>
        <w:tc>
          <w:tcPr>
            <w:tcW w:w="4720" w:type="dxa"/>
            <w:tcBorders>
              <w:top w:val="nil"/>
              <w:left w:val="nil"/>
              <w:bottom w:val="single" w:sz="8" w:space="0" w:color="auto"/>
              <w:right w:val="nil"/>
            </w:tcBorders>
            <w:shd w:val="clear" w:color="000000" w:fill="FFFFFF"/>
            <w:vAlign w:val="center"/>
            <w:hideMark/>
          </w:tcPr>
          <w:p w14:paraId="6CF6C43B" w14:textId="77777777" w:rsidR="0021298F" w:rsidRPr="00D1468C" w:rsidRDefault="0021298F" w:rsidP="00760009">
            <w:pPr>
              <w:jc w:val="both"/>
              <w:rPr>
                <w:rFonts w:ascii="Arial" w:eastAsia="Times New Roman" w:hAnsi="Arial" w:cs="Arial"/>
                <w:color w:val="000000"/>
                <w:lang w:eastAsia="en-GB"/>
              </w:rPr>
            </w:pPr>
            <w:r w:rsidRPr="00D1468C">
              <w:rPr>
                <w:rFonts w:ascii="Arial" w:eastAsia="Times New Roman" w:hAnsi="Arial" w:cs="Arial"/>
                <w:color w:val="000000"/>
                <w:lang w:eastAsia="en-GB"/>
              </w:rPr>
              <w:t>Retained earnings</w:t>
            </w:r>
          </w:p>
        </w:tc>
        <w:tc>
          <w:tcPr>
            <w:tcW w:w="705" w:type="dxa"/>
            <w:tcBorders>
              <w:top w:val="nil"/>
              <w:left w:val="nil"/>
              <w:bottom w:val="single" w:sz="8" w:space="0" w:color="auto"/>
              <w:right w:val="nil"/>
            </w:tcBorders>
            <w:shd w:val="clear" w:color="000000" w:fill="FFFFFF"/>
            <w:vAlign w:val="center"/>
            <w:hideMark/>
          </w:tcPr>
          <w:p w14:paraId="51D3074A" w14:textId="77777777" w:rsidR="0021298F" w:rsidRPr="00D1468C" w:rsidRDefault="0021298F" w:rsidP="00760009">
            <w:pPr>
              <w:rPr>
                <w:rFonts w:ascii="Calibri" w:eastAsia="Times New Roman" w:hAnsi="Calibri" w:cs="Calibri"/>
                <w:color w:val="000000"/>
                <w:lang w:eastAsia="en-GB"/>
              </w:rPr>
            </w:pPr>
            <w:r w:rsidRPr="00D1468C">
              <w:rPr>
                <w:rFonts w:ascii="Calibri" w:eastAsia="Times New Roman" w:hAnsi="Calibri" w:cs="Calibri"/>
                <w:color w:val="000000"/>
                <w:lang w:eastAsia="en-GB"/>
              </w:rPr>
              <w:t> </w:t>
            </w:r>
          </w:p>
        </w:tc>
        <w:tc>
          <w:tcPr>
            <w:tcW w:w="2230" w:type="dxa"/>
            <w:tcBorders>
              <w:top w:val="nil"/>
              <w:left w:val="nil"/>
              <w:bottom w:val="single" w:sz="8" w:space="0" w:color="auto"/>
              <w:right w:val="nil"/>
            </w:tcBorders>
            <w:shd w:val="clear" w:color="000000" w:fill="EDFFB7"/>
            <w:vAlign w:val="center"/>
            <w:hideMark/>
          </w:tcPr>
          <w:p w14:paraId="27CB8577" w14:textId="77777777" w:rsidR="0021298F" w:rsidRPr="00D1468C" w:rsidRDefault="0021298F" w:rsidP="00760009">
            <w:pPr>
              <w:jc w:val="right"/>
              <w:rPr>
                <w:rFonts w:ascii="Arial" w:eastAsia="Times New Roman" w:hAnsi="Arial" w:cs="Arial"/>
                <w:color w:val="000000"/>
                <w:lang w:eastAsia="en-GB"/>
              </w:rPr>
            </w:pPr>
            <w:r w:rsidRPr="00D1468C">
              <w:rPr>
                <w:rFonts w:ascii="Arial" w:eastAsia="Times New Roman" w:hAnsi="Arial" w:cs="Arial"/>
                <w:color w:val="000000"/>
                <w:lang w:eastAsia="en-GB"/>
              </w:rPr>
              <w:t>72,157</w:t>
            </w:r>
          </w:p>
        </w:tc>
        <w:tc>
          <w:tcPr>
            <w:tcW w:w="2138" w:type="dxa"/>
            <w:tcBorders>
              <w:top w:val="nil"/>
              <w:left w:val="nil"/>
              <w:bottom w:val="single" w:sz="8" w:space="0" w:color="auto"/>
              <w:right w:val="nil"/>
            </w:tcBorders>
            <w:shd w:val="clear" w:color="auto" w:fill="auto"/>
            <w:noWrap/>
            <w:vAlign w:val="center"/>
            <w:hideMark/>
          </w:tcPr>
          <w:p w14:paraId="45CBE911" w14:textId="77777777" w:rsidR="0021298F" w:rsidRPr="00D1468C" w:rsidRDefault="0021298F" w:rsidP="00760009">
            <w:pPr>
              <w:jc w:val="right"/>
              <w:rPr>
                <w:rFonts w:ascii="Arial" w:eastAsia="Times New Roman" w:hAnsi="Arial" w:cs="Arial"/>
                <w:color w:val="000000"/>
                <w:lang w:eastAsia="en-GB"/>
              </w:rPr>
            </w:pPr>
            <w:r w:rsidRPr="00D1468C">
              <w:rPr>
                <w:rFonts w:ascii="Arial" w:eastAsia="Times New Roman" w:hAnsi="Arial" w:cs="Arial"/>
                <w:color w:val="000000"/>
                <w:lang w:eastAsia="en-GB"/>
              </w:rPr>
              <w:t>58,089</w:t>
            </w:r>
          </w:p>
        </w:tc>
      </w:tr>
      <w:tr w:rsidR="0021298F" w:rsidRPr="00D1468C" w14:paraId="04453AAA" w14:textId="77777777" w:rsidTr="00760009">
        <w:trPr>
          <w:trHeight w:val="315"/>
        </w:trPr>
        <w:tc>
          <w:tcPr>
            <w:tcW w:w="4720" w:type="dxa"/>
            <w:tcBorders>
              <w:top w:val="nil"/>
              <w:left w:val="nil"/>
              <w:bottom w:val="single" w:sz="8" w:space="0" w:color="auto"/>
              <w:right w:val="nil"/>
            </w:tcBorders>
            <w:shd w:val="clear" w:color="000000" w:fill="FFFFFF"/>
            <w:vAlign w:val="center"/>
            <w:hideMark/>
          </w:tcPr>
          <w:p w14:paraId="680AE892" w14:textId="77777777" w:rsidR="0021298F" w:rsidRPr="00D1468C" w:rsidRDefault="0021298F" w:rsidP="00760009">
            <w:pPr>
              <w:jc w:val="both"/>
              <w:rPr>
                <w:rFonts w:ascii="Arial" w:eastAsia="Times New Roman" w:hAnsi="Arial" w:cs="Arial"/>
                <w:b/>
                <w:bCs/>
                <w:color w:val="000000"/>
                <w:lang w:eastAsia="en-GB"/>
              </w:rPr>
            </w:pPr>
            <w:r w:rsidRPr="00D1468C">
              <w:rPr>
                <w:rFonts w:ascii="Arial" w:eastAsia="Times New Roman" w:hAnsi="Arial" w:cs="Arial"/>
                <w:b/>
                <w:bCs/>
                <w:color w:val="000000"/>
                <w:lang w:eastAsia="en-GB"/>
              </w:rPr>
              <w:t>Total shareholders' funds</w:t>
            </w:r>
          </w:p>
        </w:tc>
        <w:tc>
          <w:tcPr>
            <w:tcW w:w="705" w:type="dxa"/>
            <w:tcBorders>
              <w:top w:val="nil"/>
              <w:left w:val="nil"/>
              <w:bottom w:val="single" w:sz="8" w:space="0" w:color="auto"/>
              <w:right w:val="nil"/>
            </w:tcBorders>
            <w:shd w:val="clear" w:color="000000" w:fill="FFFFFF"/>
            <w:vAlign w:val="center"/>
            <w:hideMark/>
          </w:tcPr>
          <w:p w14:paraId="05891DB5" w14:textId="77777777" w:rsidR="0021298F" w:rsidRPr="00D1468C" w:rsidRDefault="0021298F" w:rsidP="00760009">
            <w:pPr>
              <w:rPr>
                <w:rFonts w:ascii="Calibri" w:eastAsia="Times New Roman" w:hAnsi="Calibri" w:cs="Calibri"/>
                <w:color w:val="000000"/>
                <w:lang w:eastAsia="en-GB"/>
              </w:rPr>
            </w:pPr>
            <w:r w:rsidRPr="00D1468C">
              <w:rPr>
                <w:rFonts w:ascii="Calibri" w:eastAsia="Times New Roman" w:hAnsi="Calibri" w:cs="Calibri"/>
                <w:color w:val="000000"/>
                <w:lang w:eastAsia="en-GB"/>
              </w:rPr>
              <w:t> </w:t>
            </w:r>
          </w:p>
        </w:tc>
        <w:tc>
          <w:tcPr>
            <w:tcW w:w="2230" w:type="dxa"/>
            <w:tcBorders>
              <w:top w:val="nil"/>
              <w:left w:val="nil"/>
              <w:bottom w:val="single" w:sz="8" w:space="0" w:color="auto"/>
              <w:right w:val="nil"/>
            </w:tcBorders>
            <w:shd w:val="clear" w:color="000000" w:fill="EDFFB7"/>
            <w:vAlign w:val="center"/>
            <w:hideMark/>
          </w:tcPr>
          <w:p w14:paraId="7845551C" w14:textId="77777777" w:rsidR="0021298F" w:rsidRPr="00D1468C" w:rsidRDefault="0021298F" w:rsidP="00760009">
            <w:pPr>
              <w:jc w:val="right"/>
              <w:rPr>
                <w:rFonts w:ascii="Arial" w:eastAsia="Times New Roman" w:hAnsi="Arial" w:cs="Arial"/>
                <w:b/>
                <w:bCs/>
                <w:color w:val="000000"/>
                <w:lang w:eastAsia="en-GB"/>
              </w:rPr>
            </w:pPr>
            <w:r w:rsidRPr="00D1468C">
              <w:rPr>
                <w:rFonts w:ascii="Arial" w:eastAsia="Times New Roman" w:hAnsi="Arial" w:cs="Arial"/>
                <w:b/>
                <w:bCs/>
                <w:color w:val="000000"/>
                <w:lang w:eastAsia="en-GB"/>
              </w:rPr>
              <w:t>748,813</w:t>
            </w:r>
          </w:p>
        </w:tc>
        <w:tc>
          <w:tcPr>
            <w:tcW w:w="2138" w:type="dxa"/>
            <w:tcBorders>
              <w:top w:val="nil"/>
              <w:left w:val="nil"/>
              <w:bottom w:val="single" w:sz="8" w:space="0" w:color="auto"/>
              <w:right w:val="nil"/>
            </w:tcBorders>
            <w:shd w:val="clear" w:color="auto" w:fill="auto"/>
            <w:noWrap/>
            <w:vAlign w:val="center"/>
            <w:hideMark/>
          </w:tcPr>
          <w:p w14:paraId="16DF0165" w14:textId="77777777" w:rsidR="0021298F" w:rsidRPr="00D1468C" w:rsidRDefault="0021298F" w:rsidP="00760009">
            <w:pPr>
              <w:jc w:val="right"/>
              <w:rPr>
                <w:rFonts w:ascii="Arial" w:eastAsia="Times New Roman" w:hAnsi="Arial" w:cs="Arial"/>
                <w:b/>
                <w:bCs/>
                <w:color w:val="000000"/>
                <w:lang w:eastAsia="en-GB"/>
              </w:rPr>
            </w:pPr>
            <w:r w:rsidRPr="00D1468C">
              <w:rPr>
                <w:rFonts w:ascii="Arial" w:eastAsia="Times New Roman" w:hAnsi="Arial" w:cs="Arial"/>
                <w:b/>
                <w:bCs/>
                <w:color w:val="000000"/>
                <w:lang w:eastAsia="en-GB"/>
              </w:rPr>
              <w:t>650,000</w:t>
            </w:r>
          </w:p>
        </w:tc>
      </w:tr>
      <w:tr w:rsidR="0021298F" w:rsidRPr="00D1468C" w14:paraId="0B72745A" w14:textId="77777777" w:rsidTr="00760009">
        <w:trPr>
          <w:trHeight w:val="315"/>
        </w:trPr>
        <w:tc>
          <w:tcPr>
            <w:tcW w:w="4720" w:type="dxa"/>
            <w:tcBorders>
              <w:top w:val="nil"/>
              <w:left w:val="nil"/>
              <w:bottom w:val="single" w:sz="8" w:space="0" w:color="auto"/>
              <w:right w:val="nil"/>
            </w:tcBorders>
            <w:shd w:val="clear" w:color="000000" w:fill="FFFFFF"/>
            <w:vAlign w:val="center"/>
            <w:hideMark/>
          </w:tcPr>
          <w:p w14:paraId="6EE83D5C" w14:textId="77777777" w:rsidR="0021298F" w:rsidRPr="00D1468C" w:rsidRDefault="0021298F" w:rsidP="00760009">
            <w:pPr>
              <w:jc w:val="both"/>
              <w:rPr>
                <w:rFonts w:ascii="Arial" w:eastAsia="Times New Roman" w:hAnsi="Arial" w:cs="Arial"/>
                <w:b/>
                <w:bCs/>
                <w:color w:val="000000"/>
                <w:lang w:eastAsia="en-GB"/>
              </w:rPr>
            </w:pPr>
            <w:r w:rsidRPr="00D1468C">
              <w:rPr>
                <w:rFonts w:ascii="Arial" w:eastAsia="Times New Roman" w:hAnsi="Arial" w:cs="Arial"/>
                <w:b/>
                <w:bCs/>
                <w:color w:val="000000"/>
                <w:lang w:eastAsia="en-GB"/>
              </w:rPr>
              <w:t>Net assets per share (cent)</w:t>
            </w:r>
          </w:p>
        </w:tc>
        <w:tc>
          <w:tcPr>
            <w:tcW w:w="705" w:type="dxa"/>
            <w:tcBorders>
              <w:top w:val="nil"/>
              <w:left w:val="nil"/>
              <w:bottom w:val="single" w:sz="8" w:space="0" w:color="auto"/>
              <w:right w:val="nil"/>
            </w:tcBorders>
            <w:shd w:val="clear" w:color="000000" w:fill="FFFFFF"/>
            <w:vAlign w:val="center"/>
            <w:hideMark/>
          </w:tcPr>
          <w:p w14:paraId="5E86D5B3" w14:textId="77777777" w:rsidR="0021298F" w:rsidRPr="00D1468C" w:rsidRDefault="0021298F" w:rsidP="00760009">
            <w:pPr>
              <w:jc w:val="center"/>
              <w:rPr>
                <w:rFonts w:ascii="Arial" w:eastAsia="Times New Roman" w:hAnsi="Arial" w:cs="Arial"/>
                <w:b/>
                <w:bCs/>
                <w:color w:val="000000"/>
                <w:lang w:eastAsia="en-GB"/>
              </w:rPr>
            </w:pPr>
            <w:r w:rsidRPr="00D1468C">
              <w:rPr>
                <w:rFonts w:ascii="Arial" w:eastAsia="Times New Roman" w:hAnsi="Arial" w:cs="Arial"/>
                <w:b/>
                <w:bCs/>
                <w:color w:val="000000"/>
                <w:lang w:eastAsia="en-GB"/>
              </w:rPr>
              <w:t>16</w:t>
            </w:r>
          </w:p>
        </w:tc>
        <w:tc>
          <w:tcPr>
            <w:tcW w:w="2230" w:type="dxa"/>
            <w:tcBorders>
              <w:top w:val="nil"/>
              <w:left w:val="nil"/>
              <w:bottom w:val="single" w:sz="8" w:space="0" w:color="auto"/>
              <w:right w:val="nil"/>
            </w:tcBorders>
            <w:shd w:val="clear" w:color="000000" w:fill="EDFFB7"/>
            <w:vAlign w:val="center"/>
            <w:hideMark/>
          </w:tcPr>
          <w:p w14:paraId="75C127CA" w14:textId="77777777" w:rsidR="0021298F" w:rsidRPr="00D1468C" w:rsidRDefault="0021298F" w:rsidP="00760009">
            <w:pPr>
              <w:jc w:val="right"/>
              <w:rPr>
                <w:rFonts w:ascii="Arial" w:eastAsia="Times New Roman" w:hAnsi="Arial" w:cs="Arial"/>
                <w:b/>
                <w:bCs/>
                <w:color w:val="000000"/>
                <w:lang w:eastAsia="en-GB"/>
              </w:rPr>
            </w:pPr>
            <w:r w:rsidRPr="00D1468C">
              <w:rPr>
                <w:rFonts w:ascii="Arial" w:eastAsia="Times New Roman" w:hAnsi="Arial" w:cs="Arial"/>
                <w:b/>
                <w:bCs/>
                <w:color w:val="000000"/>
                <w:lang w:eastAsia="en-GB"/>
              </w:rPr>
              <w:t xml:space="preserve">101.0 </w:t>
            </w:r>
          </w:p>
        </w:tc>
        <w:tc>
          <w:tcPr>
            <w:tcW w:w="2138" w:type="dxa"/>
            <w:tcBorders>
              <w:top w:val="nil"/>
              <w:left w:val="nil"/>
              <w:bottom w:val="single" w:sz="8" w:space="0" w:color="auto"/>
              <w:right w:val="nil"/>
            </w:tcBorders>
            <w:shd w:val="clear" w:color="auto" w:fill="auto"/>
            <w:noWrap/>
            <w:vAlign w:val="center"/>
            <w:hideMark/>
          </w:tcPr>
          <w:p w14:paraId="0E206294" w14:textId="77777777" w:rsidR="0021298F" w:rsidRPr="00D1468C" w:rsidRDefault="0021298F" w:rsidP="00760009">
            <w:pPr>
              <w:jc w:val="right"/>
              <w:rPr>
                <w:rFonts w:ascii="Arial" w:eastAsia="Times New Roman" w:hAnsi="Arial" w:cs="Arial"/>
                <w:b/>
                <w:bCs/>
                <w:color w:val="000000"/>
                <w:lang w:eastAsia="en-GB"/>
              </w:rPr>
            </w:pPr>
            <w:r w:rsidRPr="00D1468C">
              <w:rPr>
                <w:rFonts w:ascii="Arial" w:eastAsia="Times New Roman" w:hAnsi="Arial" w:cs="Arial"/>
                <w:b/>
                <w:bCs/>
                <w:color w:val="000000"/>
                <w:lang w:eastAsia="en-GB"/>
              </w:rPr>
              <w:t>103.1</w:t>
            </w:r>
          </w:p>
        </w:tc>
      </w:tr>
    </w:tbl>
    <w:p w14:paraId="40E65718" w14:textId="77777777" w:rsidR="0021298F" w:rsidRPr="001226F4" w:rsidRDefault="0021298F" w:rsidP="0021298F">
      <w:pPr>
        <w:jc w:val="both"/>
        <w:rPr>
          <w:rFonts w:ascii="Arial" w:hAnsi="Arial" w:cs="Arial"/>
          <w:b/>
        </w:rPr>
      </w:pPr>
    </w:p>
    <w:p w14:paraId="5FA8089C" w14:textId="77777777" w:rsidR="0021298F" w:rsidRDefault="0021298F" w:rsidP="0021298F">
      <w:pPr>
        <w:jc w:val="both"/>
        <w:rPr>
          <w:rFonts w:ascii="Arial" w:eastAsia="Times New Roman" w:hAnsi="Arial" w:cs="Arial"/>
        </w:rPr>
      </w:pPr>
      <w:bookmarkStart w:id="10" w:name="RANGE!B5:E34"/>
      <w:bookmarkEnd w:id="10"/>
      <w:r w:rsidRPr="00313249">
        <w:rPr>
          <w:rFonts w:ascii="Arial" w:eastAsia="Times New Roman" w:hAnsi="Arial" w:cs="Arial"/>
        </w:rPr>
        <w:t>The Company has taken advantage of the exemption under section 304 of the Companies Act 2014 and accordingly has not presented a Statement of Comprehensive In</w:t>
      </w:r>
      <w:r>
        <w:rPr>
          <w:rFonts w:ascii="Arial" w:eastAsia="Times New Roman" w:hAnsi="Arial" w:cs="Arial"/>
        </w:rPr>
        <w:t xml:space="preserve">come for the Company alone. The profit </w:t>
      </w:r>
      <w:r w:rsidRPr="00313249">
        <w:rPr>
          <w:rFonts w:ascii="Arial" w:eastAsia="Times New Roman" w:hAnsi="Arial" w:cs="Arial"/>
        </w:rPr>
        <w:t xml:space="preserve">after tax of the Company for the </w:t>
      </w:r>
      <w:r>
        <w:rPr>
          <w:rFonts w:ascii="Arial" w:eastAsia="Times New Roman" w:hAnsi="Arial" w:cs="Arial"/>
        </w:rPr>
        <w:t>year</w:t>
      </w:r>
      <w:r w:rsidRPr="00313249">
        <w:rPr>
          <w:rFonts w:ascii="Arial" w:eastAsia="Times New Roman" w:hAnsi="Arial" w:cs="Arial"/>
        </w:rPr>
        <w:t xml:space="preserve"> was </w:t>
      </w:r>
      <w:r w:rsidRPr="00C66982">
        <w:rPr>
          <w:rFonts w:ascii="Arial" w:eastAsia="Times New Roman" w:hAnsi="Arial" w:cs="Arial"/>
        </w:rPr>
        <w:t>€</w:t>
      </w:r>
      <w:r>
        <w:rPr>
          <w:rFonts w:ascii="Arial" w:eastAsia="Times New Roman" w:hAnsi="Arial" w:cs="Arial"/>
        </w:rPr>
        <w:t>14,067,469</w:t>
      </w:r>
      <w:r w:rsidRPr="00C66982">
        <w:rPr>
          <w:rFonts w:ascii="Calibri" w:eastAsia="Times New Roman" w:hAnsi="Calibri" w:cs="Calibri"/>
          <w:color w:val="000000"/>
          <w:lang w:eastAsia="en-GB"/>
        </w:rPr>
        <w:t xml:space="preserve"> </w:t>
      </w:r>
      <w:r>
        <w:rPr>
          <w:rFonts w:ascii="Arial" w:eastAsia="Times New Roman" w:hAnsi="Arial" w:cs="Arial"/>
        </w:rPr>
        <w:t>(2019: €</w:t>
      </w:r>
      <w:r w:rsidRPr="00872EEE">
        <w:rPr>
          <w:rFonts w:ascii="Arial" w:eastAsia="Times New Roman" w:hAnsi="Arial" w:cs="Arial"/>
        </w:rPr>
        <w:t>1</w:t>
      </w:r>
      <w:r>
        <w:rPr>
          <w:rFonts w:ascii="Arial" w:eastAsia="Times New Roman" w:hAnsi="Arial" w:cs="Arial"/>
        </w:rPr>
        <w:t>7</w:t>
      </w:r>
      <w:r w:rsidRPr="00872EEE">
        <w:rPr>
          <w:rFonts w:ascii="Arial" w:eastAsia="Times New Roman" w:hAnsi="Arial" w:cs="Arial"/>
        </w:rPr>
        <w:t>,</w:t>
      </w:r>
      <w:r>
        <w:rPr>
          <w:rFonts w:ascii="Arial" w:eastAsia="Times New Roman" w:hAnsi="Arial" w:cs="Arial"/>
        </w:rPr>
        <w:t>097</w:t>
      </w:r>
      <w:r w:rsidRPr="00872EEE">
        <w:rPr>
          <w:rFonts w:ascii="Arial" w:eastAsia="Times New Roman" w:hAnsi="Arial" w:cs="Arial"/>
        </w:rPr>
        <w:t>,</w:t>
      </w:r>
      <w:r>
        <w:rPr>
          <w:rFonts w:ascii="Arial" w:eastAsia="Times New Roman" w:hAnsi="Arial" w:cs="Arial"/>
        </w:rPr>
        <w:t>394)</w:t>
      </w:r>
      <w:r w:rsidRPr="00E57CC8">
        <w:rPr>
          <w:rFonts w:ascii="Arial" w:eastAsia="Times New Roman" w:hAnsi="Arial" w:cs="Arial"/>
        </w:rPr>
        <w:t>.</w:t>
      </w:r>
      <w:r w:rsidRPr="00313249">
        <w:rPr>
          <w:rFonts w:ascii="Arial" w:eastAsia="Times New Roman" w:hAnsi="Arial" w:cs="Arial"/>
        </w:rPr>
        <w:t xml:space="preserve"> </w:t>
      </w:r>
    </w:p>
    <w:p w14:paraId="4C5F4128" w14:textId="77777777" w:rsidR="0021298F" w:rsidRPr="00CE132C" w:rsidRDefault="0021298F" w:rsidP="0021298F">
      <w:pPr>
        <w:jc w:val="both"/>
        <w:rPr>
          <w:rFonts w:ascii="Arial" w:hAnsi="Arial" w:cs="Arial"/>
        </w:rPr>
      </w:pPr>
      <w:r>
        <w:rPr>
          <w:rFonts w:ascii="Arial" w:hAnsi="Arial" w:cs="Arial"/>
        </w:rPr>
        <w:t xml:space="preserve">Authorised for issue by the Board on 28 February 2021 and signed on its behalf by: </w:t>
      </w:r>
    </w:p>
    <w:p w14:paraId="7D53785D" w14:textId="77777777" w:rsidR="0021298F" w:rsidRDefault="0021298F" w:rsidP="0021298F">
      <w:pPr>
        <w:jc w:val="both"/>
        <w:rPr>
          <w:rFonts w:ascii="Arial" w:hAnsi="Arial" w:cs="Arial"/>
        </w:rPr>
      </w:pPr>
    </w:p>
    <w:p w14:paraId="063D8A04" w14:textId="77777777" w:rsidR="0021298F" w:rsidRPr="00CE132C" w:rsidRDefault="0021298F" w:rsidP="0021298F">
      <w:pPr>
        <w:jc w:val="both"/>
        <w:rPr>
          <w:rFonts w:ascii="Arial" w:hAnsi="Arial" w:cs="Arial"/>
        </w:rPr>
      </w:pPr>
      <w:r>
        <w:rPr>
          <w:rFonts w:ascii="Arial" w:hAnsi="Arial" w:cs="Arial"/>
        </w:rPr>
        <w:t>Rónán Murphy</w:t>
      </w:r>
      <w:r>
        <w:rPr>
          <w:rFonts w:ascii="Arial" w:hAnsi="Arial" w:cs="Arial"/>
        </w:rPr>
        <w:tab/>
      </w:r>
      <w:r>
        <w:rPr>
          <w:rFonts w:ascii="Arial" w:hAnsi="Arial" w:cs="Arial"/>
        </w:rPr>
        <w:tab/>
      </w:r>
      <w:r>
        <w:rPr>
          <w:rFonts w:ascii="Arial" w:hAnsi="Arial" w:cs="Arial"/>
        </w:rPr>
        <w:tab/>
      </w:r>
      <w:r>
        <w:rPr>
          <w:rFonts w:ascii="Arial" w:hAnsi="Arial" w:cs="Arial"/>
        </w:rPr>
        <w:tab/>
        <w:t>Kevin McNamara</w:t>
      </w:r>
    </w:p>
    <w:p w14:paraId="01E4633F" w14:textId="77777777" w:rsidR="0021298F" w:rsidRPr="00456532" w:rsidRDefault="0021298F" w:rsidP="0021298F">
      <w:pPr>
        <w:jc w:val="both"/>
        <w:rPr>
          <w:rFonts w:ascii="Arial" w:hAnsi="Arial" w:cs="Arial"/>
          <w:b/>
        </w:rPr>
      </w:pPr>
      <w:r w:rsidRPr="00456532">
        <w:rPr>
          <w:rFonts w:ascii="Arial" w:hAnsi="Arial" w:cs="Arial"/>
          <w:b/>
        </w:rPr>
        <w:t>Chairman</w:t>
      </w:r>
      <w:r w:rsidRPr="00456532">
        <w:rPr>
          <w:rFonts w:ascii="Arial" w:hAnsi="Arial" w:cs="Arial"/>
          <w:b/>
        </w:rPr>
        <w:tab/>
      </w:r>
      <w:r w:rsidRPr="00456532">
        <w:rPr>
          <w:rFonts w:ascii="Arial" w:hAnsi="Arial" w:cs="Arial"/>
          <w:b/>
        </w:rPr>
        <w:tab/>
      </w:r>
      <w:r w:rsidRPr="00456532">
        <w:rPr>
          <w:rFonts w:ascii="Arial" w:hAnsi="Arial" w:cs="Arial"/>
          <w:b/>
        </w:rPr>
        <w:tab/>
      </w:r>
      <w:r w:rsidRPr="00456532">
        <w:rPr>
          <w:rFonts w:ascii="Arial" w:hAnsi="Arial" w:cs="Arial"/>
          <w:b/>
        </w:rPr>
        <w:tab/>
      </w:r>
      <w:r w:rsidRPr="00456532">
        <w:rPr>
          <w:rFonts w:ascii="Arial" w:hAnsi="Arial" w:cs="Arial"/>
          <w:b/>
        </w:rPr>
        <w:tab/>
        <w:t>Director</w:t>
      </w:r>
    </w:p>
    <w:p w14:paraId="31C0064F" w14:textId="77777777" w:rsidR="0021298F" w:rsidRDefault="0021298F" w:rsidP="0021298F">
      <w:pPr>
        <w:jc w:val="both"/>
        <w:rPr>
          <w:rFonts w:ascii="Arial" w:hAnsi="Arial" w:cs="Arial"/>
        </w:rPr>
      </w:pPr>
    </w:p>
    <w:p w14:paraId="2EBED4CD" w14:textId="77777777" w:rsidR="0021298F" w:rsidRDefault="0021298F" w:rsidP="0021298F">
      <w:pPr>
        <w:jc w:val="both"/>
        <w:rPr>
          <w:rFonts w:cs="Arial"/>
        </w:rPr>
      </w:pPr>
      <w:r w:rsidRPr="00030698">
        <w:rPr>
          <w:rFonts w:ascii="Arial" w:hAnsi="Arial" w:cs="Arial"/>
        </w:rPr>
        <w:t xml:space="preserve">The accompanying notes form an integral part of </w:t>
      </w:r>
      <w:r>
        <w:rPr>
          <w:rFonts w:ascii="Arial" w:hAnsi="Arial" w:cs="Arial"/>
        </w:rPr>
        <w:t>the consolidated financial statements</w:t>
      </w:r>
      <w:r w:rsidRPr="00030698">
        <w:rPr>
          <w:rFonts w:ascii="Arial" w:hAnsi="Arial" w:cs="Arial"/>
        </w:rPr>
        <w:t>.</w:t>
      </w:r>
      <w:r>
        <w:rPr>
          <w:rFonts w:cs="Arial"/>
        </w:rPr>
        <w:t xml:space="preserve"> </w:t>
      </w:r>
    </w:p>
    <w:p w14:paraId="69F68D9E" w14:textId="77777777" w:rsidR="0021298F" w:rsidRDefault="0021298F" w:rsidP="0021298F">
      <w:pPr>
        <w:jc w:val="both"/>
        <w:rPr>
          <w:rFonts w:cs="Arial"/>
        </w:rPr>
      </w:pPr>
    </w:p>
    <w:p w14:paraId="32A3DBBD" w14:textId="77777777" w:rsidR="0021298F" w:rsidRPr="00892738" w:rsidRDefault="0021298F" w:rsidP="0021298F">
      <w:pPr>
        <w:pStyle w:val="Heading1"/>
        <w:jc w:val="both"/>
        <w:rPr>
          <w:rFonts w:cs="Arial"/>
          <w:caps/>
        </w:rPr>
      </w:pPr>
      <w:r w:rsidRPr="00892738">
        <w:rPr>
          <w:rFonts w:cs="Arial"/>
        </w:rPr>
        <w:t xml:space="preserve">Consolidated and Company Statement of Changes in </w:t>
      </w:r>
      <w:r>
        <w:rPr>
          <w:rFonts w:cs="Arial"/>
        </w:rPr>
        <w:t>E</w:t>
      </w:r>
      <w:r w:rsidRPr="00892738">
        <w:rPr>
          <w:rFonts w:cs="Arial"/>
        </w:rPr>
        <w:t>quity</w:t>
      </w:r>
    </w:p>
    <w:p w14:paraId="5331A65E" w14:textId="77777777" w:rsidR="0021298F" w:rsidRDefault="0021298F" w:rsidP="0021298F">
      <w:pPr>
        <w:pStyle w:val="Bullets"/>
        <w:numPr>
          <w:ilvl w:val="0"/>
          <w:numId w:val="0"/>
        </w:numPr>
        <w:jc w:val="both"/>
        <w:rPr>
          <w:rFonts w:cs="Arial"/>
          <w:b/>
        </w:rPr>
      </w:pPr>
      <w:r w:rsidRPr="001226F4">
        <w:rPr>
          <w:rFonts w:cs="Arial"/>
          <w:b/>
        </w:rPr>
        <w:t xml:space="preserve">For the </w:t>
      </w:r>
      <w:r>
        <w:rPr>
          <w:rFonts w:cs="Arial"/>
          <w:b/>
        </w:rPr>
        <w:t>year ended 31 December 2020</w:t>
      </w:r>
    </w:p>
    <w:p w14:paraId="32C853A5" w14:textId="77777777" w:rsidR="0021298F" w:rsidRDefault="0021298F" w:rsidP="0021298F">
      <w:pPr>
        <w:pStyle w:val="Bullets"/>
        <w:numPr>
          <w:ilvl w:val="0"/>
          <w:numId w:val="0"/>
        </w:numPr>
        <w:jc w:val="both"/>
        <w:rPr>
          <w:rFonts w:cs="Arial"/>
          <w:b/>
        </w:rPr>
      </w:pPr>
    </w:p>
    <w:tbl>
      <w:tblPr>
        <w:tblW w:w="9500" w:type="dxa"/>
        <w:tblLook w:val="04A0" w:firstRow="1" w:lastRow="0" w:firstColumn="1" w:lastColumn="0" w:noHBand="0" w:noVBand="1"/>
      </w:tblPr>
      <w:tblGrid>
        <w:gridCol w:w="2619"/>
        <w:gridCol w:w="661"/>
        <w:gridCol w:w="1200"/>
        <w:gridCol w:w="1200"/>
        <w:gridCol w:w="1440"/>
        <w:gridCol w:w="1180"/>
        <w:gridCol w:w="1200"/>
      </w:tblGrid>
      <w:tr w:rsidR="0021298F" w:rsidRPr="00D1468C" w14:paraId="031BA41D" w14:textId="77777777" w:rsidTr="00760009">
        <w:trPr>
          <w:trHeight w:val="600"/>
        </w:trPr>
        <w:tc>
          <w:tcPr>
            <w:tcW w:w="2619" w:type="dxa"/>
            <w:vMerge w:val="restart"/>
            <w:tcBorders>
              <w:top w:val="nil"/>
              <w:left w:val="nil"/>
              <w:bottom w:val="single" w:sz="8" w:space="0" w:color="000000"/>
              <w:right w:val="nil"/>
            </w:tcBorders>
            <w:shd w:val="clear" w:color="000000" w:fill="FFFFFF"/>
            <w:vAlign w:val="center"/>
            <w:hideMark/>
          </w:tcPr>
          <w:p w14:paraId="4A3D9F35" w14:textId="77777777" w:rsidR="0021298F" w:rsidRPr="00D1468C" w:rsidRDefault="0021298F" w:rsidP="00760009">
            <w:pPr>
              <w:jc w:val="both"/>
              <w:rPr>
                <w:rFonts w:ascii="Arial" w:eastAsia="Times New Roman" w:hAnsi="Arial" w:cs="Arial"/>
                <w:b/>
                <w:bCs/>
                <w:color w:val="000000"/>
                <w:sz w:val="20"/>
                <w:szCs w:val="20"/>
                <w:lang w:eastAsia="en-GB"/>
              </w:rPr>
            </w:pPr>
            <w:r>
              <w:rPr>
                <w:rFonts w:cs="Arial"/>
                <w:b/>
              </w:rPr>
              <w:tab/>
            </w:r>
            <w:r w:rsidRPr="00D1468C">
              <w:rPr>
                <w:rFonts w:ascii="Arial" w:eastAsia="Times New Roman" w:hAnsi="Arial" w:cs="Arial"/>
                <w:b/>
                <w:bCs/>
                <w:color w:val="000000"/>
                <w:sz w:val="20"/>
                <w:szCs w:val="20"/>
                <w:lang w:eastAsia="en-GB"/>
              </w:rPr>
              <w:t> </w:t>
            </w:r>
          </w:p>
        </w:tc>
        <w:tc>
          <w:tcPr>
            <w:tcW w:w="661" w:type="dxa"/>
            <w:vMerge w:val="restart"/>
            <w:tcBorders>
              <w:top w:val="nil"/>
              <w:left w:val="nil"/>
              <w:bottom w:val="single" w:sz="8" w:space="0" w:color="000000"/>
              <w:right w:val="nil"/>
            </w:tcBorders>
            <w:shd w:val="clear" w:color="000000" w:fill="FFFFFF"/>
            <w:vAlign w:val="bottom"/>
            <w:hideMark/>
          </w:tcPr>
          <w:p w14:paraId="39118BEC" w14:textId="77777777" w:rsidR="0021298F" w:rsidRPr="00D1468C" w:rsidRDefault="0021298F" w:rsidP="00760009">
            <w:pPr>
              <w:jc w:val="center"/>
              <w:rPr>
                <w:rFonts w:ascii="Arial" w:eastAsia="Times New Roman" w:hAnsi="Arial" w:cs="Arial"/>
                <w:b/>
                <w:bCs/>
                <w:color w:val="000000"/>
                <w:sz w:val="20"/>
                <w:szCs w:val="20"/>
                <w:lang w:eastAsia="en-GB"/>
              </w:rPr>
            </w:pPr>
            <w:r w:rsidRPr="00D1468C">
              <w:rPr>
                <w:rFonts w:ascii="Arial" w:eastAsia="Times New Roman" w:hAnsi="Arial" w:cs="Arial"/>
                <w:b/>
                <w:bCs/>
                <w:color w:val="000000"/>
                <w:sz w:val="20"/>
                <w:szCs w:val="20"/>
                <w:lang w:eastAsia="en-GB"/>
              </w:rPr>
              <w:t>Note</w:t>
            </w:r>
          </w:p>
        </w:tc>
        <w:tc>
          <w:tcPr>
            <w:tcW w:w="1200" w:type="dxa"/>
            <w:vMerge w:val="restart"/>
            <w:tcBorders>
              <w:top w:val="nil"/>
              <w:left w:val="nil"/>
              <w:bottom w:val="nil"/>
              <w:right w:val="nil"/>
            </w:tcBorders>
            <w:shd w:val="clear" w:color="000000" w:fill="FFFFFF"/>
            <w:vAlign w:val="bottom"/>
            <w:hideMark/>
          </w:tcPr>
          <w:p w14:paraId="7131A423" w14:textId="77777777" w:rsidR="0021298F" w:rsidRPr="00D1468C" w:rsidRDefault="0021298F" w:rsidP="00760009">
            <w:pPr>
              <w:jc w:val="right"/>
              <w:rPr>
                <w:rFonts w:ascii="Arial" w:eastAsia="Times New Roman" w:hAnsi="Arial" w:cs="Arial"/>
                <w:b/>
                <w:bCs/>
                <w:color w:val="000000"/>
                <w:sz w:val="20"/>
                <w:szCs w:val="20"/>
                <w:lang w:eastAsia="en-GB"/>
              </w:rPr>
            </w:pPr>
            <w:r w:rsidRPr="00D1468C">
              <w:rPr>
                <w:rFonts w:ascii="Arial" w:eastAsia="Times New Roman" w:hAnsi="Arial" w:cs="Arial"/>
                <w:b/>
                <w:bCs/>
                <w:color w:val="000000"/>
                <w:sz w:val="20"/>
                <w:szCs w:val="20"/>
                <w:lang w:eastAsia="en-GB"/>
              </w:rPr>
              <w:t>Share capital</w:t>
            </w:r>
          </w:p>
        </w:tc>
        <w:tc>
          <w:tcPr>
            <w:tcW w:w="1200" w:type="dxa"/>
            <w:vMerge w:val="restart"/>
            <w:tcBorders>
              <w:top w:val="nil"/>
              <w:left w:val="nil"/>
              <w:bottom w:val="nil"/>
              <w:right w:val="nil"/>
            </w:tcBorders>
            <w:shd w:val="clear" w:color="000000" w:fill="FFFFFF"/>
            <w:vAlign w:val="bottom"/>
            <w:hideMark/>
          </w:tcPr>
          <w:p w14:paraId="1872D6E4" w14:textId="77777777" w:rsidR="0021298F" w:rsidRPr="00D1468C" w:rsidRDefault="0021298F" w:rsidP="00760009">
            <w:pPr>
              <w:jc w:val="right"/>
              <w:rPr>
                <w:rFonts w:ascii="Arial" w:eastAsia="Times New Roman" w:hAnsi="Arial" w:cs="Arial"/>
                <w:b/>
                <w:bCs/>
                <w:color w:val="000000"/>
                <w:sz w:val="20"/>
                <w:szCs w:val="20"/>
                <w:lang w:eastAsia="en-GB"/>
              </w:rPr>
            </w:pPr>
            <w:r w:rsidRPr="00D1468C">
              <w:rPr>
                <w:rFonts w:ascii="Arial" w:eastAsia="Times New Roman" w:hAnsi="Arial" w:cs="Arial"/>
                <w:b/>
                <w:bCs/>
                <w:color w:val="000000"/>
                <w:sz w:val="20"/>
                <w:szCs w:val="20"/>
                <w:lang w:eastAsia="en-GB"/>
              </w:rPr>
              <w:t>Share premium</w:t>
            </w:r>
          </w:p>
        </w:tc>
        <w:tc>
          <w:tcPr>
            <w:tcW w:w="1440" w:type="dxa"/>
            <w:vMerge w:val="restart"/>
            <w:tcBorders>
              <w:top w:val="nil"/>
              <w:left w:val="nil"/>
              <w:bottom w:val="nil"/>
              <w:right w:val="nil"/>
            </w:tcBorders>
            <w:shd w:val="clear" w:color="000000" w:fill="FFFFFF"/>
            <w:vAlign w:val="bottom"/>
            <w:hideMark/>
          </w:tcPr>
          <w:p w14:paraId="08AAAC31" w14:textId="77777777" w:rsidR="0021298F" w:rsidRPr="00D1468C" w:rsidRDefault="0021298F" w:rsidP="00760009">
            <w:pPr>
              <w:jc w:val="right"/>
              <w:rPr>
                <w:rFonts w:ascii="Arial" w:eastAsia="Times New Roman" w:hAnsi="Arial" w:cs="Arial"/>
                <w:b/>
                <w:bCs/>
                <w:color w:val="000000"/>
                <w:sz w:val="20"/>
                <w:szCs w:val="20"/>
                <w:lang w:eastAsia="en-GB"/>
              </w:rPr>
            </w:pPr>
            <w:r w:rsidRPr="00D1468C">
              <w:rPr>
                <w:rFonts w:ascii="Arial" w:eastAsia="Times New Roman" w:hAnsi="Arial" w:cs="Arial"/>
                <w:b/>
                <w:bCs/>
                <w:color w:val="000000"/>
                <w:sz w:val="20"/>
                <w:szCs w:val="20"/>
                <w:lang w:eastAsia="en-GB"/>
              </w:rPr>
              <w:t xml:space="preserve">Other </w:t>
            </w:r>
            <w:r>
              <w:rPr>
                <w:rFonts w:ascii="Arial" w:eastAsia="Times New Roman" w:hAnsi="Arial" w:cs="Arial"/>
                <w:b/>
                <w:bCs/>
                <w:color w:val="000000"/>
                <w:sz w:val="20"/>
                <w:szCs w:val="20"/>
                <w:lang w:eastAsia="en-GB"/>
              </w:rPr>
              <w:t>d</w:t>
            </w:r>
            <w:r w:rsidRPr="00D1468C">
              <w:rPr>
                <w:rFonts w:ascii="Arial" w:eastAsia="Times New Roman" w:hAnsi="Arial" w:cs="Arial"/>
                <w:b/>
                <w:bCs/>
                <w:color w:val="000000"/>
                <w:sz w:val="20"/>
                <w:szCs w:val="20"/>
                <w:lang w:eastAsia="en-GB"/>
              </w:rPr>
              <w:t xml:space="preserve">istributable </w:t>
            </w:r>
            <w:r>
              <w:rPr>
                <w:rFonts w:ascii="Arial" w:eastAsia="Times New Roman" w:hAnsi="Arial" w:cs="Arial"/>
                <w:b/>
                <w:bCs/>
                <w:color w:val="000000"/>
                <w:sz w:val="20"/>
                <w:szCs w:val="20"/>
                <w:lang w:eastAsia="en-GB"/>
              </w:rPr>
              <w:t>r</w:t>
            </w:r>
            <w:r w:rsidRPr="00D1468C">
              <w:rPr>
                <w:rFonts w:ascii="Arial" w:eastAsia="Times New Roman" w:hAnsi="Arial" w:cs="Arial"/>
                <w:b/>
                <w:bCs/>
                <w:color w:val="000000"/>
                <w:sz w:val="20"/>
                <w:szCs w:val="20"/>
                <w:lang w:eastAsia="en-GB"/>
              </w:rPr>
              <w:t>eserves</w:t>
            </w:r>
          </w:p>
        </w:tc>
        <w:tc>
          <w:tcPr>
            <w:tcW w:w="1180" w:type="dxa"/>
            <w:vMerge w:val="restart"/>
            <w:tcBorders>
              <w:top w:val="nil"/>
              <w:left w:val="nil"/>
              <w:bottom w:val="nil"/>
              <w:right w:val="nil"/>
            </w:tcBorders>
            <w:shd w:val="clear" w:color="000000" w:fill="FFFFFF"/>
            <w:vAlign w:val="bottom"/>
            <w:hideMark/>
          </w:tcPr>
          <w:p w14:paraId="169C9298" w14:textId="77777777" w:rsidR="0021298F" w:rsidRPr="00D1468C" w:rsidRDefault="0021298F" w:rsidP="00760009">
            <w:pPr>
              <w:jc w:val="right"/>
              <w:rPr>
                <w:rFonts w:ascii="Arial" w:eastAsia="Times New Roman" w:hAnsi="Arial" w:cs="Arial"/>
                <w:b/>
                <w:bCs/>
                <w:color w:val="000000"/>
                <w:sz w:val="20"/>
                <w:szCs w:val="20"/>
                <w:lang w:eastAsia="en-GB"/>
              </w:rPr>
            </w:pPr>
            <w:r w:rsidRPr="00D1468C">
              <w:rPr>
                <w:rFonts w:ascii="Arial" w:eastAsia="Times New Roman" w:hAnsi="Arial" w:cs="Arial"/>
                <w:b/>
                <w:bCs/>
                <w:color w:val="000000"/>
                <w:sz w:val="20"/>
                <w:szCs w:val="20"/>
                <w:lang w:eastAsia="en-GB"/>
              </w:rPr>
              <w:t>Retained earnings</w:t>
            </w:r>
          </w:p>
        </w:tc>
        <w:tc>
          <w:tcPr>
            <w:tcW w:w="1200" w:type="dxa"/>
            <w:vMerge w:val="restart"/>
            <w:tcBorders>
              <w:top w:val="nil"/>
              <w:left w:val="nil"/>
              <w:bottom w:val="nil"/>
              <w:right w:val="nil"/>
            </w:tcBorders>
            <w:shd w:val="clear" w:color="000000" w:fill="FFFFFF"/>
            <w:vAlign w:val="bottom"/>
            <w:hideMark/>
          </w:tcPr>
          <w:p w14:paraId="0FB08CF1" w14:textId="77777777" w:rsidR="0021298F" w:rsidRPr="00D1468C" w:rsidRDefault="0021298F" w:rsidP="00760009">
            <w:pPr>
              <w:jc w:val="right"/>
              <w:rPr>
                <w:rFonts w:ascii="Arial" w:eastAsia="Times New Roman" w:hAnsi="Arial" w:cs="Arial"/>
                <w:b/>
                <w:bCs/>
                <w:color w:val="000000"/>
                <w:sz w:val="20"/>
                <w:szCs w:val="20"/>
                <w:lang w:eastAsia="en-GB"/>
              </w:rPr>
            </w:pPr>
            <w:r w:rsidRPr="00D1468C">
              <w:rPr>
                <w:rFonts w:ascii="Arial" w:eastAsia="Times New Roman" w:hAnsi="Arial" w:cs="Arial"/>
                <w:b/>
                <w:bCs/>
                <w:color w:val="000000"/>
                <w:sz w:val="20"/>
                <w:szCs w:val="20"/>
                <w:lang w:eastAsia="en-GB"/>
              </w:rPr>
              <w:t>Total</w:t>
            </w:r>
          </w:p>
        </w:tc>
      </w:tr>
      <w:tr w:rsidR="0021298F" w:rsidRPr="00D1468C" w14:paraId="3F9F385E" w14:textId="77777777" w:rsidTr="00760009">
        <w:trPr>
          <w:trHeight w:val="509"/>
        </w:trPr>
        <w:tc>
          <w:tcPr>
            <w:tcW w:w="2619" w:type="dxa"/>
            <w:vMerge/>
            <w:tcBorders>
              <w:top w:val="nil"/>
              <w:left w:val="nil"/>
              <w:bottom w:val="single" w:sz="8" w:space="0" w:color="000000"/>
              <w:right w:val="nil"/>
            </w:tcBorders>
            <w:vAlign w:val="center"/>
            <w:hideMark/>
          </w:tcPr>
          <w:p w14:paraId="5673A69B" w14:textId="77777777" w:rsidR="0021298F" w:rsidRPr="00D1468C" w:rsidRDefault="0021298F" w:rsidP="00760009">
            <w:pPr>
              <w:rPr>
                <w:rFonts w:ascii="Arial" w:eastAsia="Times New Roman" w:hAnsi="Arial" w:cs="Arial"/>
                <w:b/>
                <w:bCs/>
                <w:color w:val="000000"/>
                <w:sz w:val="20"/>
                <w:szCs w:val="20"/>
                <w:lang w:eastAsia="en-GB"/>
              </w:rPr>
            </w:pPr>
          </w:p>
        </w:tc>
        <w:tc>
          <w:tcPr>
            <w:tcW w:w="661" w:type="dxa"/>
            <w:vMerge/>
            <w:tcBorders>
              <w:top w:val="nil"/>
              <w:left w:val="nil"/>
              <w:bottom w:val="single" w:sz="8" w:space="0" w:color="000000"/>
              <w:right w:val="nil"/>
            </w:tcBorders>
            <w:vAlign w:val="center"/>
            <w:hideMark/>
          </w:tcPr>
          <w:p w14:paraId="2DCB5963" w14:textId="77777777" w:rsidR="0021298F" w:rsidRPr="00D1468C" w:rsidRDefault="0021298F" w:rsidP="00760009">
            <w:pPr>
              <w:rPr>
                <w:rFonts w:ascii="Arial" w:eastAsia="Times New Roman" w:hAnsi="Arial" w:cs="Arial"/>
                <w:b/>
                <w:bCs/>
                <w:color w:val="000000"/>
                <w:sz w:val="20"/>
                <w:szCs w:val="20"/>
                <w:lang w:eastAsia="en-GB"/>
              </w:rPr>
            </w:pPr>
          </w:p>
        </w:tc>
        <w:tc>
          <w:tcPr>
            <w:tcW w:w="1200" w:type="dxa"/>
            <w:vMerge/>
            <w:tcBorders>
              <w:top w:val="nil"/>
              <w:left w:val="nil"/>
              <w:bottom w:val="nil"/>
              <w:right w:val="nil"/>
            </w:tcBorders>
            <w:vAlign w:val="center"/>
            <w:hideMark/>
          </w:tcPr>
          <w:p w14:paraId="6D30E39C" w14:textId="77777777" w:rsidR="0021298F" w:rsidRPr="00D1468C" w:rsidRDefault="0021298F" w:rsidP="00760009">
            <w:pPr>
              <w:rPr>
                <w:rFonts w:ascii="Arial" w:eastAsia="Times New Roman" w:hAnsi="Arial" w:cs="Arial"/>
                <w:b/>
                <w:bCs/>
                <w:color w:val="000000"/>
                <w:sz w:val="20"/>
                <w:szCs w:val="20"/>
                <w:lang w:eastAsia="en-GB"/>
              </w:rPr>
            </w:pPr>
          </w:p>
        </w:tc>
        <w:tc>
          <w:tcPr>
            <w:tcW w:w="1200" w:type="dxa"/>
            <w:vMerge/>
            <w:tcBorders>
              <w:top w:val="nil"/>
              <w:left w:val="nil"/>
              <w:bottom w:val="nil"/>
              <w:right w:val="nil"/>
            </w:tcBorders>
            <w:vAlign w:val="center"/>
            <w:hideMark/>
          </w:tcPr>
          <w:p w14:paraId="0798BDCE" w14:textId="77777777" w:rsidR="0021298F" w:rsidRPr="00D1468C" w:rsidRDefault="0021298F" w:rsidP="00760009">
            <w:pPr>
              <w:rPr>
                <w:rFonts w:ascii="Arial" w:eastAsia="Times New Roman" w:hAnsi="Arial" w:cs="Arial"/>
                <w:b/>
                <w:bCs/>
                <w:color w:val="000000"/>
                <w:sz w:val="20"/>
                <w:szCs w:val="20"/>
                <w:lang w:eastAsia="en-GB"/>
              </w:rPr>
            </w:pPr>
          </w:p>
        </w:tc>
        <w:tc>
          <w:tcPr>
            <w:tcW w:w="1440" w:type="dxa"/>
            <w:vMerge/>
            <w:tcBorders>
              <w:top w:val="nil"/>
              <w:left w:val="nil"/>
              <w:bottom w:val="nil"/>
              <w:right w:val="nil"/>
            </w:tcBorders>
            <w:vAlign w:val="center"/>
            <w:hideMark/>
          </w:tcPr>
          <w:p w14:paraId="09B62B21" w14:textId="77777777" w:rsidR="0021298F" w:rsidRPr="00D1468C" w:rsidRDefault="0021298F" w:rsidP="00760009">
            <w:pPr>
              <w:rPr>
                <w:rFonts w:ascii="Arial" w:eastAsia="Times New Roman" w:hAnsi="Arial" w:cs="Arial"/>
                <w:b/>
                <w:bCs/>
                <w:color w:val="000000"/>
                <w:sz w:val="20"/>
                <w:szCs w:val="20"/>
                <w:lang w:eastAsia="en-GB"/>
              </w:rPr>
            </w:pPr>
          </w:p>
        </w:tc>
        <w:tc>
          <w:tcPr>
            <w:tcW w:w="1180" w:type="dxa"/>
            <w:vMerge/>
            <w:tcBorders>
              <w:top w:val="nil"/>
              <w:left w:val="nil"/>
              <w:bottom w:val="nil"/>
              <w:right w:val="nil"/>
            </w:tcBorders>
            <w:vAlign w:val="center"/>
            <w:hideMark/>
          </w:tcPr>
          <w:p w14:paraId="2CA159AC" w14:textId="77777777" w:rsidR="0021298F" w:rsidRPr="00D1468C" w:rsidRDefault="0021298F" w:rsidP="00760009">
            <w:pPr>
              <w:rPr>
                <w:rFonts w:ascii="Arial" w:eastAsia="Times New Roman" w:hAnsi="Arial" w:cs="Arial"/>
                <w:b/>
                <w:bCs/>
                <w:color w:val="000000"/>
                <w:sz w:val="20"/>
                <w:szCs w:val="20"/>
                <w:lang w:eastAsia="en-GB"/>
              </w:rPr>
            </w:pPr>
          </w:p>
        </w:tc>
        <w:tc>
          <w:tcPr>
            <w:tcW w:w="1200" w:type="dxa"/>
            <w:vMerge/>
            <w:tcBorders>
              <w:top w:val="nil"/>
              <w:left w:val="nil"/>
              <w:bottom w:val="nil"/>
              <w:right w:val="nil"/>
            </w:tcBorders>
            <w:vAlign w:val="center"/>
            <w:hideMark/>
          </w:tcPr>
          <w:p w14:paraId="44F9D64E" w14:textId="77777777" w:rsidR="0021298F" w:rsidRPr="00D1468C" w:rsidRDefault="0021298F" w:rsidP="00760009">
            <w:pPr>
              <w:rPr>
                <w:rFonts w:ascii="Arial" w:eastAsia="Times New Roman" w:hAnsi="Arial" w:cs="Arial"/>
                <w:b/>
                <w:bCs/>
                <w:color w:val="000000"/>
                <w:sz w:val="20"/>
                <w:szCs w:val="20"/>
                <w:lang w:eastAsia="en-GB"/>
              </w:rPr>
            </w:pPr>
          </w:p>
        </w:tc>
      </w:tr>
      <w:tr w:rsidR="0021298F" w:rsidRPr="00D1468C" w14:paraId="4C30B962" w14:textId="77777777" w:rsidTr="00760009">
        <w:trPr>
          <w:trHeight w:val="289"/>
        </w:trPr>
        <w:tc>
          <w:tcPr>
            <w:tcW w:w="2619" w:type="dxa"/>
            <w:vMerge/>
            <w:tcBorders>
              <w:top w:val="nil"/>
              <w:left w:val="nil"/>
              <w:bottom w:val="single" w:sz="8" w:space="0" w:color="000000"/>
              <w:right w:val="nil"/>
            </w:tcBorders>
            <w:vAlign w:val="center"/>
            <w:hideMark/>
          </w:tcPr>
          <w:p w14:paraId="5A42334E" w14:textId="77777777" w:rsidR="0021298F" w:rsidRPr="00D1468C" w:rsidRDefault="0021298F" w:rsidP="00760009">
            <w:pPr>
              <w:rPr>
                <w:rFonts w:ascii="Arial" w:eastAsia="Times New Roman" w:hAnsi="Arial" w:cs="Arial"/>
                <w:b/>
                <w:bCs/>
                <w:color w:val="000000"/>
                <w:sz w:val="20"/>
                <w:szCs w:val="20"/>
                <w:lang w:eastAsia="en-GB"/>
              </w:rPr>
            </w:pPr>
          </w:p>
        </w:tc>
        <w:tc>
          <w:tcPr>
            <w:tcW w:w="661" w:type="dxa"/>
            <w:vMerge/>
            <w:tcBorders>
              <w:top w:val="nil"/>
              <w:left w:val="nil"/>
              <w:bottom w:val="single" w:sz="8" w:space="0" w:color="000000"/>
              <w:right w:val="nil"/>
            </w:tcBorders>
            <w:vAlign w:val="center"/>
            <w:hideMark/>
          </w:tcPr>
          <w:p w14:paraId="38B72A47" w14:textId="77777777" w:rsidR="0021298F" w:rsidRPr="00D1468C" w:rsidRDefault="0021298F" w:rsidP="00760009">
            <w:pPr>
              <w:rPr>
                <w:rFonts w:ascii="Arial" w:eastAsia="Times New Roman" w:hAnsi="Arial" w:cs="Arial"/>
                <w:b/>
                <w:bCs/>
                <w:color w:val="000000"/>
                <w:sz w:val="20"/>
                <w:szCs w:val="20"/>
                <w:lang w:eastAsia="en-GB"/>
              </w:rPr>
            </w:pPr>
          </w:p>
        </w:tc>
        <w:tc>
          <w:tcPr>
            <w:tcW w:w="1200" w:type="dxa"/>
            <w:tcBorders>
              <w:top w:val="nil"/>
              <w:left w:val="nil"/>
              <w:bottom w:val="single" w:sz="8" w:space="0" w:color="auto"/>
              <w:right w:val="nil"/>
            </w:tcBorders>
            <w:shd w:val="clear" w:color="000000" w:fill="FFFFFF"/>
            <w:vAlign w:val="center"/>
            <w:hideMark/>
          </w:tcPr>
          <w:p w14:paraId="65DDB1B1" w14:textId="77777777" w:rsidR="0021298F" w:rsidRPr="00D1468C" w:rsidRDefault="0021298F" w:rsidP="00760009">
            <w:pPr>
              <w:jc w:val="right"/>
              <w:rPr>
                <w:rFonts w:ascii="Arial" w:eastAsia="Times New Roman" w:hAnsi="Arial" w:cs="Arial"/>
                <w:b/>
                <w:bCs/>
                <w:color w:val="000000"/>
                <w:sz w:val="20"/>
                <w:szCs w:val="20"/>
                <w:lang w:eastAsia="en-GB"/>
              </w:rPr>
            </w:pPr>
            <w:r w:rsidRPr="00D1468C">
              <w:rPr>
                <w:rFonts w:ascii="Arial" w:eastAsia="Times New Roman" w:hAnsi="Arial" w:cs="Arial"/>
                <w:b/>
                <w:bCs/>
                <w:color w:val="000000"/>
                <w:sz w:val="20"/>
                <w:szCs w:val="20"/>
                <w:lang w:eastAsia="en-GB"/>
              </w:rPr>
              <w:t>€’000</w:t>
            </w:r>
          </w:p>
        </w:tc>
        <w:tc>
          <w:tcPr>
            <w:tcW w:w="1200" w:type="dxa"/>
            <w:tcBorders>
              <w:top w:val="nil"/>
              <w:left w:val="nil"/>
              <w:bottom w:val="single" w:sz="8" w:space="0" w:color="auto"/>
              <w:right w:val="nil"/>
            </w:tcBorders>
            <w:shd w:val="clear" w:color="000000" w:fill="FFFFFF"/>
            <w:vAlign w:val="center"/>
            <w:hideMark/>
          </w:tcPr>
          <w:p w14:paraId="04F6D395" w14:textId="77777777" w:rsidR="0021298F" w:rsidRPr="00D1468C" w:rsidRDefault="0021298F" w:rsidP="00760009">
            <w:pPr>
              <w:jc w:val="right"/>
              <w:rPr>
                <w:rFonts w:ascii="Arial" w:eastAsia="Times New Roman" w:hAnsi="Arial" w:cs="Arial"/>
                <w:b/>
                <w:bCs/>
                <w:color w:val="000000"/>
                <w:sz w:val="20"/>
                <w:szCs w:val="20"/>
                <w:lang w:eastAsia="en-GB"/>
              </w:rPr>
            </w:pPr>
            <w:r w:rsidRPr="00D1468C">
              <w:rPr>
                <w:rFonts w:ascii="Arial" w:eastAsia="Times New Roman" w:hAnsi="Arial" w:cs="Arial"/>
                <w:b/>
                <w:bCs/>
                <w:color w:val="000000"/>
                <w:sz w:val="20"/>
                <w:szCs w:val="20"/>
                <w:lang w:eastAsia="en-GB"/>
              </w:rPr>
              <w:t>€’000</w:t>
            </w:r>
          </w:p>
        </w:tc>
        <w:tc>
          <w:tcPr>
            <w:tcW w:w="1440" w:type="dxa"/>
            <w:tcBorders>
              <w:top w:val="nil"/>
              <w:left w:val="nil"/>
              <w:bottom w:val="single" w:sz="8" w:space="0" w:color="auto"/>
              <w:right w:val="nil"/>
            </w:tcBorders>
            <w:shd w:val="clear" w:color="000000" w:fill="FFFFFF"/>
            <w:vAlign w:val="center"/>
            <w:hideMark/>
          </w:tcPr>
          <w:p w14:paraId="0C1FAD69" w14:textId="77777777" w:rsidR="0021298F" w:rsidRPr="00D1468C" w:rsidRDefault="0021298F" w:rsidP="00760009">
            <w:pPr>
              <w:jc w:val="right"/>
              <w:rPr>
                <w:rFonts w:ascii="Arial" w:eastAsia="Times New Roman" w:hAnsi="Arial" w:cs="Arial"/>
                <w:b/>
                <w:bCs/>
                <w:color w:val="000000"/>
                <w:sz w:val="20"/>
                <w:szCs w:val="20"/>
                <w:lang w:eastAsia="en-GB"/>
              </w:rPr>
            </w:pPr>
            <w:r w:rsidRPr="00D1468C">
              <w:rPr>
                <w:rFonts w:ascii="Arial" w:eastAsia="Times New Roman" w:hAnsi="Arial" w:cs="Arial"/>
                <w:b/>
                <w:bCs/>
                <w:color w:val="000000"/>
                <w:sz w:val="20"/>
                <w:szCs w:val="20"/>
                <w:lang w:eastAsia="en-GB"/>
              </w:rPr>
              <w:t>€’000</w:t>
            </w:r>
          </w:p>
        </w:tc>
        <w:tc>
          <w:tcPr>
            <w:tcW w:w="1180" w:type="dxa"/>
            <w:tcBorders>
              <w:top w:val="nil"/>
              <w:left w:val="nil"/>
              <w:bottom w:val="single" w:sz="8" w:space="0" w:color="auto"/>
              <w:right w:val="nil"/>
            </w:tcBorders>
            <w:shd w:val="clear" w:color="000000" w:fill="FFFFFF"/>
            <w:vAlign w:val="center"/>
            <w:hideMark/>
          </w:tcPr>
          <w:p w14:paraId="364C440D" w14:textId="77777777" w:rsidR="0021298F" w:rsidRPr="00D1468C" w:rsidRDefault="0021298F" w:rsidP="00760009">
            <w:pPr>
              <w:jc w:val="right"/>
              <w:rPr>
                <w:rFonts w:ascii="Arial" w:eastAsia="Times New Roman" w:hAnsi="Arial" w:cs="Arial"/>
                <w:b/>
                <w:bCs/>
                <w:color w:val="000000"/>
                <w:sz w:val="20"/>
                <w:szCs w:val="20"/>
                <w:lang w:eastAsia="en-GB"/>
              </w:rPr>
            </w:pPr>
            <w:r w:rsidRPr="00D1468C">
              <w:rPr>
                <w:rFonts w:ascii="Arial" w:eastAsia="Times New Roman" w:hAnsi="Arial" w:cs="Arial"/>
                <w:b/>
                <w:bCs/>
                <w:color w:val="000000"/>
                <w:sz w:val="20"/>
                <w:szCs w:val="20"/>
                <w:lang w:eastAsia="en-GB"/>
              </w:rPr>
              <w:t>€’000</w:t>
            </w:r>
          </w:p>
        </w:tc>
        <w:tc>
          <w:tcPr>
            <w:tcW w:w="1200" w:type="dxa"/>
            <w:tcBorders>
              <w:top w:val="nil"/>
              <w:left w:val="nil"/>
              <w:bottom w:val="single" w:sz="8" w:space="0" w:color="auto"/>
              <w:right w:val="nil"/>
            </w:tcBorders>
            <w:shd w:val="clear" w:color="000000" w:fill="FFFFFF"/>
            <w:vAlign w:val="center"/>
            <w:hideMark/>
          </w:tcPr>
          <w:p w14:paraId="26DB7553" w14:textId="77777777" w:rsidR="0021298F" w:rsidRPr="00D1468C" w:rsidRDefault="0021298F" w:rsidP="00760009">
            <w:pPr>
              <w:jc w:val="right"/>
              <w:rPr>
                <w:rFonts w:ascii="Arial" w:eastAsia="Times New Roman" w:hAnsi="Arial" w:cs="Arial"/>
                <w:b/>
                <w:bCs/>
                <w:color w:val="000000"/>
                <w:sz w:val="20"/>
                <w:szCs w:val="20"/>
                <w:lang w:eastAsia="en-GB"/>
              </w:rPr>
            </w:pPr>
            <w:r w:rsidRPr="00D1468C">
              <w:rPr>
                <w:rFonts w:ascii="Arial" w:eastAsia="Times New Roman" w:hAnsi="Arial" w:cs="Arial"/>
                <w:b/>
                <w:bCs/>
                <w:color w:val="000000"/>
                <w:sz w:val="20"/>
                <w:szCs w:val="20"/>
                <w:lang w:eastAsia="en-GB"/>
              </w:rPr>
              <w:t>€’000</w:t>
            </w:r>
          </w:p>
        </w:tc>
      </w:tr>
      <w:tr w:rsidR="0021298F" w:rsidRPr="00D1468C" w14:paraId="7B07CBAC" w14:textId="77777777" w:rsidTr="00760009">
        <w:trPr>
          <w:trHeight w:val="765"/>
        </w:trPr>
        <w:tc>
          <w:tcPr>
            <w:tcW w:w="2619" w:type="dxa"/>
            <w:tcBorders>
              <w:top w:val="nil"/>
              <w:left w:val="nil"/>
              <w:bottom w:val="nil"/>
              <w:right w:val="nil"/>
            </w:tcBorders>
            <w:shd w:val="clear" w:color="000000" w:fill="FFFFFF"/>
            <w:vAlign w:val="center"/>
            <w:hideMark/>
          </w:tcPr>
          <w:p w14:paraId="0444C257" w14:textId="77777777" w:rsidR="0021298F" w:rsidRPr="00D1468C" w:rsidRDefault="0021298F" w:rsidP="00760009">
            <w:pPr>
              <w:rPr>
                <w:rFonts w:ascii="Arial" w:eastAsia="Times New Roman" w:hAnsi="Arial" w:cs="Arial"/>
                <w:color w:val="000000"/>
                <w:sz w:val="20"/>
                <w:szCs w:val="20"/>
                <w:lang w:eastAsia="en-GB"/>
              </w:rPr>
            </w:pPr>
            <w:r w:rsidRPr="00D1468C">
              <w:rPr>
                <w:rFonts w:ascii="Arial" w:eastAsia="Times New Roman" w:hAnsi="Arial" w:cs="Arial"/>
                <w:color w:val="000000"/>
                <w:sz w:val="20"/>
                <w:szCs w:val="20"/>
                <w:lang w:eastAsia="en-GB"/>
              </w:rPr>
              <w:t xml:space="preserve">Opening net assets attributable to shareholders (1 January 2020) </w:t>
            </w:r>
          </w:p>
        </w:tc>
        <w:tc>
          <w:tcPr>
            <w:tcW w:w="661" w:type="dxa"/>
            <w:tcBorders>
              <w:top w:val="nil"/>
              <w:left w:val="nil"/>
              <w:bottom w:val="nil"/>
              <w:right w:val="nil"/>
            </w:tcBorders>
            <w:shd w:val="clear" w:color="000000" w:fill="FFFFFF"/>
            <w:vAlign w:val="center"/>
            <w:hideMark/>
          </w:tcPr>
          <w:p w14:paraId="5CE03FFF" w14:textId="77777777" w:rsidR="0021298F" w:rsidRPr="00D1468C" w:rsidRDefault="0021298F" w:rsidP="00760009">
            <w:pPr>
              <w:rPr>
                <w:rFonts w:ascii="Calibri" w:eastAsia="Times New Roman" w:hAnsi="Calibri" w:cs="Calibri"/>
                <w:color w:val="000000"/>
                <w:lang w:eastAsia="en-GB"/>
              </w:rPr>
            </w:pPr>
            <w:r w:rsidRPr="00D1468C">
              <w:rPr>
                <w:rFonts w:ascii="Calibri" w:eastAsia="Times New Roman" w:hAnsi="Calibri" w:cs="Calibri"/>
                <w:color w:val="000000"/>
                <w:lang w:eastAsia="en-GB"/>
              </w:rPr>
              <w:t> </w:t>
            </w:r>
          </w:p>
        </w:tc>
        <w:tc>
          <w:tcPr>
            <w:tcW w:w="1200" w:type="dxa"/>
            <w:tcBorders>
              <w:top w:val="nil"/>
              <w:left w:val="nil"/>
              <w:bottom w:val="nil"/>
              <w:right w:val="nil"/>
            </w:tcBorders>
            <w:shd w:val="clear" w:color="000000" w:fill="EDFFB7"/>
            <w:noWrap/>
            <w:vAlign w:val="center"/>
            <w:hideMark/>
          </w:tcPr>
          <w:p w14:paraId="220402EA" w14:textId="77777777" w:rsidR="0021298F" w:rsidRPr="00D1468C" w:rsidRDefault="0021298F" w:rsidP="00760009">
            <w:pPr>
              <w:jc w:val="right"/>
              <w:rPr>
                <w:rFonts w:ascii="Arial" w:eastAsia="Times New Roman" w:hAnsi="Arial" w:cs="Arial"/>
                <w:b/>
                <w:bCs/>
                <w:color w:val="000000"/>
                <w:sz w:val="20"/>
                <w:szCs w:val="20"/>
                <w:lang w:eastAsia="en-GB"/>
              </w:rPr>
            </w:pPr>
            <w:r w:rsidRPr="00D1468C">
              <w:rPr>
                <w:rFonts w:ascii="Arial" w:eastAsia="Times New Roman" w:hAnsi="Arial" w:cs="Arial"/>
                <w:b/>
                <w:bCs/>
                <w:color w:val="000000"/>
                <w:sz w:val="20"/>
                <w:szCs w:val="20"/>
                <w:lang w:eastAsia="en-GB"/>
              </w:rPr>
              <w:t>6,306</w:t>
            </w:r>
          </w:p>
        </w:tc>
        <w:tc>
          <w:tcPr>
            <w:tcW w:w="1200" w:type="dxa"/>
            <w:tcBorders>
              <w:top w:val="nil"/>
              <w:left w:val="nil"/>
              <w:bottom w:val="nil"/>
              <w:right w:val="nil"/>
            </w:tcBorders>
            <w:shd w:val="clear" w:color="000000" w:fill="EDFFB7"/>
            <w:noWrap/>
            <w:vAlign w:val="center"/>
            <w:hideMark/>
          </w:tcPr>
          <w:p w14:paraId="0EF0865B" w14:textId="77777777" w:rsidR="0021298F" w:rsidRPr="00D1468C" w:rsidRDefault="0021298F" w:rsidP="00760009">
            <w:pPr>
              <w:jc w:val="right"/>
              <w:rPr>
                <w:rFonts w:ascii="Arial" w:eastAsia="Times New Roman" w:hAnsi="Arial" w:cs="Arial"/>
                <w:b/>
                <w:bCs/>
                <w:color w:val="000000"/>
                <w:sz w:val="20"/>
                <w:szCs w:val="20"/>
                <w:lang w:eastAsia="en-GB"/>
              </w:rPr>
            </w:pPr>
            <w:r w:rsidRPr="00D1468C">
              <w:rPr>
                <w:rFonts w:ascii="Arial" w:eastAsia="Times New Roman" w:hAnsi="Arial" w:cs="Arial"/>
                <w:b/>
                <w:bCs/>
                <w:color w:val="000000"/>
                <w:sz w:val="20"/>
                <w:szCs w:val="20"/>
                <w:lang w:eastAsia="en-GB"/>
              </w:rPr>
              <w:t>385,669</w:t>
            </w:r>
          </w:p>
        </w:tc>
        <w:tc>
          <w:tcPr>
            <w:tcW w:w="1440" w:type="dxa"/>
            <w:tcBorders>
              <w:top w:val="nil"/>
              <w:left w:val="nil"/>
              <w:bottom w:val="nil"/>
              <w:right w:val="nil"/>
            </w:tcBorders>
            <w:shd w:val="clear" w:color="000000" w:fill="EDFFB7"/>
            <w:vAlign w:val="center"/>
            <w:hideMark/>
          </w:tcPr>
          <w:p w14:paraId="3C5EFF24" w14:textId="77777777" w:rsidR="0021298F" w:rsidRPr="00D1468C" w:rsidRDefault="0021298F" w:rsidP="00760009">
            <w:pPr>
              <w:jc w:val="right"/>
              <w:rPr>
                <w:rFonts w:ascii="Arial" w:eastAsia="Times New Roman" w:hAnsi="Arial" w:cs="Arial"/>
                <w:b/>
                <w:bCs/>
                <w:color w:val="000000"/>
                <w:sz w:val="20"/>
                <w:szCs w:val="20"/>
                <w:lang w:eastAsia="en-GB"/>
              </w:rPr>
            </w:pPr>
            <w:r w:rsidRPr="00D1468C">
              <w:rPr>
                <w:rFonts w:ascii="Arial" w:eastAsia="Times New Roman" w:hAnsi="Arial" w:cs="Arial"/>
                <w:b/>
                <w:bCs/>
                <w:color w:val="000000"/>
                <w:sz w:val="20"/>
                <w:szCs w:val="20"/>
                <w:lang w:eastAsia="en-GB"/>
              </w:rPr>
              <w:t>199,936</w:t>
            </w:r>
          </w:p>
        </w:tc>
        <w:tc>
          <w:tcPr>
            <w:tcW w:w="1180" w:type="dxa"/>
            <w:tcBorders>
              <w:top w:val="nil"/>
              <w:left w:val="nil"/>
              <w:bottom w:val="nil"/>
              <w:right w:val="nil"/>
            </w:tcBorders>
            <w:shd w:val="clear" w:color="000000" w:fill="EDFFB7"/>
            <w:noWrap/>
            <w:vAlign w:val="center"/>
            <w:hideMark/>
          </w:tcPr>
          <w:p w14:paraId="236ED6C1" w14:textId="77777777" w:rsidR="0021298F" w:rsidRPr="00D1468C" w:rsidRDefault="0021298F" w:rsidP="00760009">
            <w:pPr>
              <w:jc w:val="right"/>
              <w:rPr>
                <w:rFonts w:ascii="Arial" w:eastAsia="Times New Roman" w:hAnsi="Arial" w:cs="Arial"/>
                <w:b/>
                <w:bCs/>
                <w:color w:val="000000"/>
                <w:sz w:val="20"/>
                <w:szCs w:val="20"/>
                <w:lang w:eastAsia="en-GB"/>
              </w:rPr>
            </w:pPr>
            <w:r w:rsidRPr="00D1468C">
              <w:rPr>
                <w:rFonts w:ascii="Arial" w:eastAsia="Times New Roman" w:hAnsi="Arial" w:cs="Arial"/>
                <w:b/>
                <w:bCs/>
                <w:color w:val="000000"/>
                <w:sz w:val="20"/>
                <w:szCs w:val="20"/>
                <w:lang w:eastAsia="en-GB"/>
              </w:rPr>
              <w:t>58,089</w:t>
            </w:r>
          </w:p>
        </w:tc>
        <w:tc>
          <w:tcPr>
            <w:tcW w:w="1200" w:type="dxa"/>
            <w:tcBorders>
              <w:top w:val="nil"/>
              <w:left w:val="nil"/>
              <w:bottom w:val="nil"/>
              <w:right w:val="nil"/>
            </w:tcBorders>
            <w:shd w:val="clear" w:color="000000" w:fill="EDFFB7"/>
            <w:vAlign w:val="center"/>
            <w:hideMark/>
          </w:tcPr>
          <w:p w14:paraId="6E31794F" w14:textId="77777777" w:rsidR="0021298F" w:rsidRPr="00D1468C" w:rsidRDefault="0021298F" w:rsidP="00760009">
            <w:pPr>
              <w:jc w:val="right"/>
              <w:rPr>
                <w:rFonts w:ascii="Arial" w:eastAsia="Times New Roman" w:hAnsi="Arial" w:cs="Arial"/>
                <w:b/>
                <w:bCs/>
                <w:color w:val="000000"/>
                <w:sz w:val="20"/>
                <w:szCs w:val="20"/>
                <w:lang w:eastAsia="en-GB"/>
              </w:rPr>
            </w:pPr>
            <w:r w:rsidRPr="00D1468C">
              <w:rPr>
                <w:rFonts w:ascii="Arial" w:eastAsia="Times New Roman" w:hAnsi="Arial" w:cs="Arial"/>
                <w:b/>
                <w:bCs/>
                <w:color w:val="000000"/>
                <w:sz w:val="20"/>
                <w:szCs w:val="20"/>
                <w:lang w:eastAsia="en-GB"/>
              </w:rPr>
              <w:t>650,000</w:t>
            </w:r>
          </w:p>
        </w:tc>
      </w:tr>
      <w:tr w:rsidR="0021298F" w:rsidRPr="00D1468C" w14:paraId="38B03A5F" w14:textId="77777777" w:rsidTr="00760009">
        <w:trPr>
          <w:trHeight w:val="300"/>
        </w:trPr>
        <w:tc>
          <w:tcPr>
            <w:tcW w:w="2619" w:type="dxa"/>
            <w:tcBorders>
              <w:top w:val="nil"/>
              <w:left w:val="nil"/>
              <w:bottom w:val="nil"/>
              <w:right w:val="nil"/>
            </w:tcBorders>
            <w:shd w:val="clear" w:color="000000" w:fill="FFFFFF"/>
            <w:vAlign w:val="center"/>
            <w:hideMark/>
          </w:tcPr>
          <w:p w14:paraId="751D8EFA" w14:textId="77777777" w:rsidR="0021298F" w:rsidRPr="00D1468C" w:rsidRDefault="0021298F" w:rsidP="00760009">
            <w:pPr>
              <w:rPr>
                <w:rFonts w:ascii="Arial" w:eastAsia="Times New Roman" w:hAnsi="Arial" w:cs="Arial"/>
                <w:color w:val="000000"/>
                <w:sz w:val="20"/>
                <w:szCs w:val="20"/>
                <w:lang w:eastAsia="en-GB"/>
              </w:rPr>
            </w:pPr>
            <w:r w:rsidRPr="00D1468C">
              <w:rPr>
                <w:rFonts w:ascii="Arial" w:eastAsia="Times New Roman" w:hAnsi="Arial" w:cs="Arial"/>
                <w:color w:val="000000"/>
                <w:sz w:val="20"/>
                <w:szCs w:val="20"/>
                <w:lang w:eastAsia="en-GB"/>
              </w:rPr>
              <w:t>Issue of share capital</w:t>
            </w:r>
          </w:p>
        </w:tc>
        <w:tc>
          <w:tcPr>
            <w:tcW w:w="661" w:type="dxa"/>
            <w:tcBorders>
              <w:top w:val="nil"/>
              <w:left w:val="nil"/>
              <w:bottom w:val="nil"/>
              <w:right w:val="nil"/>
            </w:tcBorders>
            <w:shd w:val="clear" w:color="000000" w:fill="FFFFFF"/>
            <w:vAlign w:val="center"/>
            <w:hideMark/>
          </w:tcPr>
          <w:p w14:paraId="0A02F2A7" w14:textId="77777777" w:rsidR="0021298F" w:rsidRPr="00D1468C" w:rsidRDefault="0021298F" w:rsidP="00760009">
            <w:pPr>
              <w:jc w:val="center"/>
              <w:rPr>
                <w:rFonts w:ascii="Arial" w:eastAsia="Times New Roman" w:hAnsi="Arial" w:cs="Arial"/>
                <w:b/>
                <w:bCs/>
                <w:color w:val="000000"/>
                <w:sz w:val="20"/>
                <w:szCs w:val="20"/>
                <w:lang w:eastAsia="en-GB"/>
              </w:rPr>
            </w:pPr>
            <w:r w:rsidRPr="00D1468C">
              <w:rPr>
                <w:rFonts w:ascii="Arial" w:eastAsia="Times New Roman" w:hAnsi="Arial" w:cs="Arial"/>
                <w:b/>
                <w:bCs/>
                <w:color w:val="000000"/>
                <w:sz w:val="20"/>
                <w:szCs w:val="20"/>
                <w:lang w:eastAsia="en-GB"/>
              </w:rPr>
              <w:t>15</w:t>
            </w:r>
          </w:p>
        </w:tc>
        <w:tc>
          <w:tcPr>
            <w:tcW w:w="1200" w:type="dxa"/>
            <w:tcBorders>
              <w:top w:val="nil"/>
              <w:left w:val="nil"/>
              <w:bottom w:val="nil"/>
              <w:right w:val="nil"/>
            </w:tcBorders>
            <w:shd w:val="clear" w:color="000000" w:fill="EDFFB7"/>
            <w:noWrap/>
            <w:vAlign w:val="center"/>
            <w:hideMark/>
          </w:tcPr>
          <w:p w14:paraId="2E239E73" w14:textId="77777777" w:rsidR="0021298F" w:rsidRPr="00D1468C" w:rsidRDefault="0021298F" w:rsidP="00760009">
            <w:pPr>
              <w:jc w:val="right"/>
              <w:rPr>
                <w:rFonts w:ascii="Arial" w:eastAsia="Times New Roman" w:hAnsi="Arial" w:cs="Arial"/>
                <w:color w:val="000000"/>
                <w:sz w:val="20"/>
                <w:szCs w:val="20"/>
                <w:lang w:eastAsia="en-GB"/>
              </w:rPr>
            </w:pPr>
            <w:r w:rsidRPr="00D1468C">
              <w:rPr>
                <w:rFonts w:ascii="Arial" w:eastAsia="Times New Roman" w:hAnsi="Arial" w:cs="Arial"/>
                <w:color w:val="000000"/>
                <w:sz w:val="20"/>
                <w:szCs w:val="20"/>
                <w:lang w:eastAsia="en-GB"/>
              </w:rPr>
              <w:t>1,106</w:t>
            </w:r>
          </w:p>
        </w:tc>
        <w:tc>
          <w:tcPr>
            <w:tcW w:w="1200" w:type="dxa"/>
            <w:tcBorders>
              <w:top w:val="nil"/>
              <w:left w:val="nil"/>
              <w:bottom w:val="nil"/>
              <w:right w:val="nil"/>
            </w:tcBorders>
            <w:shd w:val="clear" w:color="000000" w:fill="EDFFB7"/>
            <w:noWrap/>
            <w:vAlign w:val="center"/>
            <w:hideMark/>
          </w:tcPr>
          <w:p w14:paraId="27827AF2" w14:textId="77777777" w:rsidR="0021298F" w:rsidRPr="00D1468C" w:rsidRDefault="0021298F" w:rsidP="00760009">
            <w:pPr>
              <w:jc w:val="right"/>
              <w:rPr>
                <w:rFonts w:ascii="Arial" w:eastAsia="Times New Roman" w:hAnsi="Arial" w:cs="Arial"/>
                <w:color w:val="000000"/>
                <w:sz w:val="20"/>
                <w:szCs w:val="20"/>
                <w:lang w:eastAsia="en-GB"/>
              </w:rPr>
            </w:pPr>
            <w:r w:rsidRPr="00D1468C">
              <w:rPr>
                <w:rFonts w:ascii="Arial" w:eastAsia="Times New Roman" w:hAnsi="Arial" w:cs="Arial"/>
                <w:color w:val="000000"/>
                <w:sz w:val="20"/>
                <w:szCs w:val="20"/>
                <w:lang w:eastAsia="en-GB"/>
              </w:rPr>
              <w:t>123,894</w:t>
            </w:r>
          </w:p>
        </w:tc>
        <w:tc>
          <w:tcPr>
            <w:tcW w:w="1440" w:type="dxa"/>
            <w:tcBorders>
              <w:top w:val="nil"/>
              <w:left w:val="nil"/>
              <w:bottom w:val="nil"/>
              <w:right w:val="nil"/>
            </w:tcBorders>
            <w:shd w:val="clear" w:color="000000" w:fill="EDFFB7"/>
            <w:noWrap/>
            <w:vAlign w:val="center"/>
            <w:hideMark/>
          </w:tcPr>
          <w:p w14:paraId="53B34F3C" w14:textId="77777777" w:rsidR="0021298F" w:rsidRPr="00D1468C" w:rsidRDefault="0021298F" w:rsidP="00760009">
            <w:pPr>
              <w:jc w:val="right"/>
              <w:rPr>
                <w:rFonts w:ascii="Arial" w:eastAsia="Times New Roman" w:hAnsi="Arial" w:cs="Arial"/>
                <w:color w:val="000000"/>
                <w:sz w:val="20"/>
                <w:szCs w:val="20"/>
                <w:lang w:eastAsia="en-GB"/>
              </w:rPr>
            </w:pPr>
            <w:r w:rsidRPr="00D1468C">
              <w:rPr>
                <w:rFonts w:ascii="Arial" w:eastAsia="Times New Roman" w:hAnsi="Arial" w:cs="Arial"/>
                <w:color w:val="000000"/>
                <w:sz w:val="20"/>
                <w:szCs w:val="20"/>
                <w:lang w:eastAsia="en-GB"/>
              </w:rPr>
              <w:t>-</w:t>
            </w:r>
          </w:p>
        </w:tc>
        <w:tc>
          <w:tcPr>
            <w:tcW w:w="1180" w:type="dxa"/>
            <w:tcBorders>
              <w:top w:val="nil"/>
              <w:left w:val="nil"/>
              <w:bottom w:val="nil"/>
              <w:right w:val="nil"/>
            </w:tcBorders>
            <w:shd w:val="clear" w:color="000000" w:fill="EDFFB7"/>
            <w:noWrap/>
            <w:vAlign w:val="center"/>
            <w:hideMark/>
          </w:tcPr>
          <w:p w14:paraId="20F388EA" w14:textId="77777777" w:rsidR="0021298F" w:rsidRPr="00D1468C" w:rsidRDefault="0021298F" w:rsidP="00760009">
            <w:pPr>
              <w:jc w:val="right"/>
              <w:rPr>
                <w:rFonts w:ascii="Arial" w:eastAsia="Times New Roman" w:hAnsi="Arial" w:cs="Arial"/>
                <w:color w:val="000000"/>
                <w:sz w:val="20"/>
                <w:szCs w:val="20"/>
                <w:lang w:eastAsia="en-GB"/>
              </w:rPr>
            </w:pPr>
            <w:r w:rsidRPr="00D1468C">
              <w:rPr>
                <w:rFonts w:ascii="Arial" w:eastAsia="Times New Roman" w:hAnsi="Arial" w:cs="Arial"/>
                <w:color w:val="000000"/>
                <w:sz w:val="20"/>
                <w:szCs w:val="20"/>
                <w:lang w:eastAsia="en-GB"/>
              </w:rPr>
              <w:t>-</w:t>
            </w:r>
          </w:p>
        </w:tc>
        <w:tc>
          <w:tcPr>
            <w:tcW w:w="1200" w:type="dxa"/>
            <w:tcBorders>
              <w:top w:val="nil"/>
              <w:left w:val="nil"/>
              <w:bottom w:val="nil"/>
              <w:right w:val="nil"/>
            </w:tcBorders>
            <w:shd w:val="clear" w:color="000000" w:fill="EDFFB7"/>
            <w:noWrap/>
            <w:vAlign w:val="center"/>
            <w:hideMark/>
          </w:tcPr>
          <w:p w14:paraId="39D843DD" w14:textId="77777777" w:rsidR="0021298F" w:rsidRPr="00D1468C" w:rsidRDefault="0021298F" w:rsidP="00760009">
            <w:pPr>
              <w:jc w:val="right"/>
              <w:rPr>
                <w:rFonts w:ascii="Arial" w:eastAsia="Times New Roman" w:hAnsi="Arial" w:cs="Arial"/>
                <w:b/>
                <w:bCs/>
                <w:color w:val="000000"/>
                <w:sz w:val="20"/>
                <w:szCs w:val="20"/>
                <w:lang w:eastAsia="en-GB"/>
              </w:rPr>
            </w:pPr>
            <w:r w:rsidRPr="00D1468C">
              <w:rPr>
                <w:rFonts w:ascii="Arial" w:eastAsia="Times New Roman" w:hAnsi="Arial" w:cs="Arial"/>
                <w:b/>
                <w:bCs/>
                <w:color w:val="000000"/>
                <w:sz w:val="20"/>
                <w:szCs w:val="20"/>
                <w:lang w:eastAsia="en-GB"/>
              </w:rPr>
              <w:t>125,000</w:t>
            </w:r>
          </w:p>
        </w:tc>
      </w:tr>
      <w:tr w:rsidR="0021298F" w:rsidRPr="00D1468C" w14:paraId="5D4AE18D" w14:textId="77777777" w:rsidTr="00760009">
        <w:trPr>
          <w:trHeight w:val="300"/>
        </w:trPr>
        <w:tc>
          <w:tcPr>
            <w:tcW w:w="2619" w:type="dxa"/>
            <w:tcBorders>
              <w:top w:val="nil"/>
              <w:left w:val="nil"/>
              <w:bottom w:val="nil"/>
              <w:right w:val="nil"/>
            </w:tcBorders>
            <w:shd w:val="clear" w:color="000000" w:fill="FFFFFF"/>
            <w:vAlign w:val="center"/>
            <w:hideMark/>
          </w:tcPr>
          <w:p w14:paraId="5BBC141E" w14:textId="77777777" w:rsidR="0021298F" w:rsidRPr="00D1468C" w:rsidRDefault="0021298F" w:rsidP="00760009">
            <w:pPr>
              <w:rPr>
                <w:rFonts w:ascii="Arial" w:eastAsia="Times New Roman" w:hAnsi="Arial" w:cs="Arial"/>
                <w:color w:val="000000"/>
                <w:sz w:val="20"/>
                <w:szCs w:val="20"/>
                <w:lang w:eastAsia="en-GB"/>
              </w:rPr>
            </w:pPr>
            <w:r w:rsidRPr="00D1468C">
              <w:rPr>
                <w:rFonts w:ascii="Arial" w:eastAsia="Times New Roman" w:hAnsi="Arial" w:cs="Arial"/>
                <w:color w:val="000000"/>
                <w:sz w:val="20"/>
                <w:szCs w:val="20"/>
                <w:lang w:eastAsia="en-GB"/>
              </w:rPr>
              <w:t xml:space="preserve">Share issue costs </w:t>
            </w:r>
          </w:p>
        </w:tc>
        <w:tc>
          <w:tcPr>
            <w:tcW w:w="661" w:type="dxa"/>
            <w:tcBorders>
              <w:top w:val="nil"/>
              <w:left w:val="nil"/>
              <w:bottom w:val="nil"/>
              <w:right w:val="nil"/>
            </w:tcBorders>
            <w:shd w:val="clear" w:color="000000" w:fill="FFFFFF"/>
            <w:vAlign w:val="center"/>
            <w:hideMark/>
          </w:tcPr>
          <w:p w14:paraId="595CB949" w14:textId="77777777" w:rsidR="0021298F" w:rsidRPr="00D1468C" w:rsidRDefault="0021298F" w:rsidP="00760009">
            <w:pPr>
              <w:jc w:val="center"/>
              <w:rPr>
                <w:rFonts w:ascii="Arial" w:eastAsia="Times New Roman" w:hAnsi="Arial" w:cs="Arial"/>
                <w:b/>
                <w:bCs/>
                <w:color w:val="000000"/>
                <w:sz w:val="20"/>
                <w:szCs w:val="20"/>
                <w:lang w:eastAsia="en-GB"/>
              </w:rPr>
            </w:pPr>
            <w:r w:rsidRPr="00D1468C">
              <w:rPr>
                <w:rFonts w:ascii="Arial" w:eastAsia="Times New Roman" w:hAnsi="Arial" w:cs="Arial"/>
                <w:b/>
                <w:bCs/>
                <w:color w:val="000000"/>
                <w:sz w:val="20"/>
                <w:szCs w:val="20"/>
                <w:lang w:eastAsia="en-GB"/>
              </w:rPr>
              <w:t>15</w:t>
            </w:r>
          </w:p>
        </w:tc>
        <w:tc>
          <w:tcPr>
            <w:tcW w:w="1200" w:type="dxa"/>
            <w:tcBorders>
              <w:top w:val="nil"/>
              <w:left w:val="nil"/>
              <w:bottom w:val="nil"/>
              <w:right w:val="nil"/>
            </w:tcBorders>
            <w:shd w:val="clear" w:color="000000" w:fill="EDFFB7"/>
            <w:noWrap/>
            <w:vAlign w:val="center"/>
            <w:hideMark/>
          </w:tcPr>
          <w:p w14:paraId="553CFF0F" w14:textId="77777777" w:rsidR="0021298F" w:rsidRPr="00D1468C" w:rsidRDefault="0021298F" w:rsidP="00760009">
            <w:pPr>
              <w:jc w:val="right"/>
              <w:rPr>
                <w:rFonts w:ascii="Arial" w:eastAsia="Times New Roman" w:hAnsi="Arial" w:cs="Arial"/>
                <w:color w:val="000000"/>
                <w:sz w:val="20"/>
                <w:szCs w:val="20"/>
                <w:lang w:eastAsia="en-GB"/>
              </w:rPr>
            </w:pPr>
            <w:r w:rsidRPr="00D1468C">
              <w:rPr>
                <w:rFonts w:ascii="Arial" w:eastAsia="Times New Roman" w:hAnsi="Arial" w:cs="Arial"/>
                <w:color w:val="000000"/>
                <w:sz w:val="20"/>
                <w:szCs w:val="20"/>
                <w:lang w:eastAsia="en-GB"/>
              </w:rPr>
              <w:t>-</w:t>
            </w:r>
          </w:p>
        </w:tc>
        <w:tc>
          <w:tcPr>
            <w:tcW w:w="1200" w:type="dxa"/>
            <w:tcBorders>
              <w:top w:val="nil"/>
              <w:left w:val="nil"/>
              <w:bottom w:val="nil"/>
              <w:right w:val="nil"/>
            </w:tcBorders>
            <w:shd w:val="clear" w:color="000000" w:fill="EDFFB7"/>
            <w:vAlign w:val="center"/>
            <w:hideMark/>
          </w:tcPr>
          <w:p w14:paraId="2011BE9D" w14:textId="77777777" w:rsidR="0021298F" w:rsidRPr="00D1468C" w:rsidRDefault="0021298F" w:rsidP="00760009">
            <w:pPr>
              <w:jc w:val="right"/>
              <w:rPr>
                <w:rFonts w:ascii="Arial" w:eastAsia="Times New Roman" w:hAnsi="Arial" w:cs="Arial"/>
                <w:color w:val="000000"/>
                <w:sz w:val="20"/>
                <w:szCs w:val="20"/>
                <w:lang w:eastAsia="en-GB"/>
              </w:rPr>
            </w:pPr>
            <w:r w:rsidRPr="00D1468C">
              <w:rPr>
                <w:rFonts w:ascii="Arial" w:eastAsia="Times New Roman" w:hAnsi="Arial" w:cs="Arial"/>
                <w:color w:val="000000"/>
                <w:sz w:val="20"/>
                <w:szCs w:val="20"/>
                <w:lang w:eastAsia="en-GB"/>
              </w:rPr>
              <w:t xml:space="preserve"> (2,087)</w:t>
            </w:r>
          </w:p>
        </w:tc>
        <w:tc>
          <w:tcPr>
            <w:tcW w:w="1440" w:type="dxa"/>
            <w:tcBorders>
              <w:top w:val="nil"/>
              <w:left w:val="nil"/>
              <w:bottom w:val="nil"/>
              <w:right w:val="nil"/>
            </w:tcBorders>
            <w:shd w:val="clear" w:color="000000" w:fill="EDFFB7"/>
            <w:noWrap/>
            <w:vAlign w:val="center"/>
            <w:hideMark/>
          </w:tcPr>
          <w:p w14:paraId="63CA508B" w14:textId="77777777" w:rsidR="0021298F" w:rsidRPr="00D1468C" w:rsidRDefault="0021298F" w:rsidP="00760009">
            <w:pPr>
              <w:jc w:val="right"/>
              <w:rPr>
                <w:rFonts w:ascii="Arial" w:eastAsia="Times New Roman" w:hAnsi="Arial" w:cs="Arial"/>
                <w:color w:val="000000"/>
                <w:sz w:val="20"/>
                <w:szCs w:val="20"/>
                <w:lang w:eastAsia="en-GB"/>
              </w:rPr>
            </w:pPr>
            <w:r w:rsidRPr="00D1468C">
              <w:rPr>
                <w:rFonts w:ascii="Arial" w:eastAsia="Times New Roman" w:hAnsi="Arial" w:cs="Arial"/>
                <w:color w:val="000000"/>
                <w:sz w:val="20"/>
                <w:szCs w:val="20"/>
                <w:lang w:eastAsia="en-GB"/>
              </w:rPr>
              <w:t>-</w:t>
            </w:r>
          </w:p>
        </w:tc>
        <w:tc>
          <w:tcPr>
            <w:tcW w:w="1180" w:type="dxa"/>
            <w:tcBorders>
              <w:top w:val="nil"/>
              <w:left w:val="nil"/>
              <w:bottom w:val="nil"/>
              <w:right w:val="nil"/>
            </w:tcBorders>
            <w:shd w:val="clear" w:color="000000" w:fill="EDFFB7"/>
            <w:noWrap/>
            <w:vAlign w:val="center"/>
            <w:hideMark/>
          </w:tcPr>
          <w:p w14:paraId="6380D796" w14:textId="77777777" w:rsidR="0021298F" w:rsidRPr="00D1468C" w:rsidRDefault="0021298F" w:rsidP="00760009">
            <w:pPr>
              <w:jc w:val="right"/>
              <w:rPr>
                <w:rFonts w:ascii="Arial" w:eastAsia="Times New Roman" w:hAnsi="Arial" w:cs="Arial"/>
                <w:color w:val="000000"/>
                <w:sz w:val="20"/>
                <w:szCs w:val="20"/>
                <w:lang w:eastAsia="en-GB"/>
              </w:rPr>
            </w:pPr>
            <w:r w:rsidRPr="00D1468C">
              <w:rPr>
                <w:rFonts w:ascii="Arial" w:eastAsia="Times New Roman" w:hAnsi="Arial" w:cs="Arial"/>
                <w:color w:val="000000"/>
                <w:sz w:val="20"/>
                <w:szCs w:val="20"/>
                <w:lang w:eastAsia="en-GB"/>
              </w:rPr>
              <w:t>-</w:t>
            </w:r>
          </w:p>
        </w:tc>
        <w:tc>
          <w:tcPr>
            <w:tcW w:w="1200" w:type="dxa"/>
            <w:tcBorders>
              <w:top w:val="nil"/>
              <w:left w:val="nil"/>
              <w:bottom w:val="nil"/>
              <w:right w:val="nil"/>
            </w:tcBorders>
            <w:shd w:val="clear" w:color="000000" w:fill="EDFFB7"/>
            <w:vAlign w:val="center"/>
            <w:hideMark/>
          </w:tcPr>
          <w:p w14:paraId="60DB6F54" w14:textId="77777777" w:rsidR="0021298F" w:rsidRPr="00D1468C" w:rsidRDefault="0021298F" w:rsidP="00760009">
            <w:pPr>
              <w:jc w:val="right"/>
              <w:rPr>
                <w:rFonts w:ascii="Arial" w:eastAsia="Times New Roman" w:hAnsi="Arial" w:cs="Arial"/>
                <w:b/>
                <w:bCs/>
                <w:color w:val="000000"/>
                <w:sz w:val="20"/>
                <w:szCs w:val="20"/>
                <w:lang w:eastAsia="en-GB"/>
              </w:rPr>
            </w:pPr>
            <w:r w:rsidRPr="00D1468C">
              <w:rPr>
                <w:rFonts w:ascii="Arial" w:eastAsia="Times New Roman" w:hAnsi="Arial" w:cs="Arial"/>
                <w:b/>
                <w:bCs/>
                <w:color w:val="000000"/>
                <w:sz w:val="20"/>
                <w:szCs w:val="20"/>
                <w:lang w:eastAsia="en-GB"/>
              </w:rPr>
              <w:t xml:space="preserve"> (2,087)</w:t>
            </w:r>
          </w:p>
        </w:tc>
      </w:tr>
      <w:tr w:rsidR="0021298F" w:rsidRPr="00D1468C" w14:paraId="670E72F0" w14:textId="77777777" w:rsidTr="00760009">
        <w:trPr>
          <w:trHeight w:val="300"/>
        </w:trPr>
        <w:tc>
          <w:tcPr>
            <w:tcW w:w="2619" w:type="dxa"/>
            <w:tcBorders>
              <w:top w:val="nil"/>
              <w:left w:val="nil"/>
              <w:bottom w:val="nil"/>
              <w:right w:val="nil"/>
            </w:tcBorders>
            <w:shd w:val="clear" w:color="000000" w:fill="FFFFFF"/>
            <w:vAlign w:val="center"/>
            <w:hideMark/>
          </w:tcPr>
          <w:p w14:paraId="1CBBB79D" w14:textId="77777777" w:rsidR="0021298F" w:rsidRPr="00D1468C" w:rsidRDefault="0021298F" w:rsidP="00760009">
            <w:pPr>
              <w:rPr>
                <w:rFonts w:ascii="Arial" w:eastAsia="Times New Roman" w:hAnsi="Arial" w:cs="Arial"/>
                <w:color w:val="000000"/>
                <w:sz w:val="20"/>
                <w:szCs w:val="20"/>
                <w:lang w:eastAsia="en-GB"/>
              </w:rPr>
            </w:pPr>
            <w:r w:rsidRPr="00D1468C">
              <w:rPr>
                <w:rFonts w:ascii="Arial" w:eastAsia="Times New Roman" w:hAnsi="Arial" w:cs="Arial"/>
                <w:color w:val="000000"/>
                <w:sz w:val="20"/>
                <w:szCs w:val="20"/>
                <w:lang w:eastAsia="en-GB"/>
              </w:rPr>
              <w:t>Dividends</w:t>
            </w:r>
          </w:p>
        </w:tc>
        <w:tc>
          <w:tcPr>
            <w:tcW w:w="661" w:type="dxa"/>
            <w:tcBorders>
              <w:top w:val="nil"/>
              <w:left w:val="nil"/>
              <w:bottom w:val="nil"/>
              <w:right w:val="nil"/>
            </w:tcBorders>
            <w:shd w:val="clear" w:color="000000" w:fill="FFFFFF"/>
            <w:vAlign w:val="center"/>
            <w:hideMark/>
          </w:tcPr>
          <w:p w14:paraId="687FD042" w14:textId="77777777" w:rsidR="0021298F" w:rsidRPr="00D1468C" w:rsidRDefault="0021298F" w:rsidP="00760009">
            <w:pPr>
              <w:jc w:val="center"/>
              <w:rPr>
                <w:rFonts w:ascii="Arial" w:eastAsia="Times New Roman" w:hAnsi="Arial" w:cs="Arial"/>
                <w:b/>
                <w:bCs/>
                <w:color w:val="000000"/>
                <w:sz w:val="20"/>
                <w:szCs w:val="20"/>
                <w:lang w:eastAsia="en-GB"/>
              </w:rPr>
            </w:pPr>
            <w:r w:rsidRPr="00D1468C">
              <w:rPr>
                <w:rFonts w:ascii="Arial" w:eastAsia="Times New Roman" w:hAnsi="Arial" w:cs="Arial"/>
                <w:b/>
                <w:bCs/>
                <w:color w:val="000000"/>
                <w:sz w:val="20"/>
                <w:szCs w:val="20"/>
                <w:lang w:eastAsia="en-GB"/>
              </w:rPr>
              <w:t>8</w:t>
            </w:r>
          </w:p>
        </w:tc>
        <w:tc>
          <w:tcPr>
            <w:tcW w:w="1200" w:type="dxa"/>
            <w:tcBorders>
              <w:top w:val="nil"/>
              <w:left w:val="nil"/>
              <w:bottom w:val="nil"/>
              <w:right w:val="nil"/>
            </w:tcBorders>
            <w:shd w:val="clear" w:color="000000" w:fill="EDFFB7"/>
            <w:noWrap/>
            <w:vAlign w:val="center"/>
            <w:hideMark/>
          </w:tcPr>
          <w:p w14:paraId="0A656619" w14:textId="77777777" w:rsidR="0021298F" w:rsidRPr="00D1468C" w:rsidRDefault="0021298F" w:rsidP="00760009">
            <w:pPr>
              <w:jc w:val="right"/>
              <w:rPr>
                <w:rFonts w:ascii="Arial" w:eastAsia="Times New Roman" w:hAnsi="Arial" w:cs="Arial"/>
                <w:color w:val="000000"/>
                <w:sz w:val="20"/>
                <w:szCs w:val="20"/>
                <w:lang w:eastAsia="en-GB"/>
              </w:rPr>
            </w:pPr>
            <w:r w:rsidRPr="00D1468C">
              <w:rPr>
                <w:rFonts w:ascii="Arial" w:eastAsia="Times New Roman" w:hAnsi="Arial" w:cs="Arial"/>
                <w:color w:val="000000"/>
                <w:sz w:val="20"/>
                <w:szCs w:val="20"/>
                <w:lang w:eastAsia="en-GB"/>
              </w:rPr>
              <w:t>-</w:t>
            </w:r>
          </w:p>
        </w:tc>
        <w:tc>
          <w:tcPr>
            <w:tcW w:w="1200" w:type="dxa"/>
            <w:tcBorders>
              <w:top w:val="nil"/>
              <w:left w:val="nil"/>
              <w:bottom w:val="nil"/>
              <w:right w:val="nil"/>
            </w:tcBorders>
            <w:shd w:val="clear" w:color="000000" w:fill="EDFFB7"/>
            <w:noWrap/>
            <w:vAlign w:val="center"/>
            <w:hideMark/>
          </w:tcPr>
          <w:p w14:paraId="6F0A72B2" w14:textId="77777777" w:rsidR="0021298F" w:rsidRPr="00D1468C" w:rsidRDefault="0021298F" w:rsidP="00760009">
            <w:pPr>
              <w:jc w:val="right"/>
              <w:rPr>
                <w:rFonts w:ascii="Arial" w:eastAsia="Times New Roman" w:hAnsi="Arial" w:cs="Arial"/>
                <w:color w:val="000000"/>
                <w:sz w:val="20"/>
                <w:szCs w:val="20"/>
                <w:lang w:eastAsia="en-GB"/>
              </w:rPr>
            </w:pPr>
            <w:r w:rsidRPr="00D1468C">
              <w:rPr>
                <w:rFonts w:ascii="Arial" w:eastAsia="Times New Roman" w:hAnsi="Arial" w:cs="Arial"/>
                <w:color w:val="000000"/>
                <w:sz w:val="20"/>
                <w:szCs w:val="20"/>
                <w:lang w:eastAsia="en-GB"/>
              </w:rPr>
              <w:t>-</w:t>
            </w:r>
          </w:p>
        </w:tc>
        <w:tc>
          <w:tcPr>
            <w:tcW w:w="1440" w:type="dxa"/>
            <w:tcBorders>
              <w:top w:val="nil"/>
              <w:left w:val="nil"/>
              <w:bottom w:val="nil"/>
              <w:right w:val="nil"/>
            </w:tcBorders>
            <w:shd w:val="clear" w:color="000000" w:fill="EDFFB7"/>
            <w:vAlign w:val="center"/>
            <w:hideMark/>
          </w:tcPr>
          <w:p w14:paraId="7EDEF78B" w14:textId="77777777" w:rsidR="0021298F" w:rsidRPr="00D1468C" w:rsidRDefault="0021298F" w:rsidP="00760009">
            <w:pPr>
              <w:jc w:val="right"/>
              <w:rPr>
                <w:rFonts w:ascii="Arial" w:eastAsia="Times New Roman" w:hAnsi="Arial" w:cs="Arial"/>
                <w:color w:val="000000"/>
                <w:sz w:val="20"/>
                <w:szCs w:val="20"/>
                <w:lang w:eastAsia="en-GB"/>
              </w:rPr>
            </w:pPr>
            <w:r w:rsidRPr="00D1468C">
              <w:rPr>
                <w:rFonts w:ascii="Arial" w:eastAsia="Times New Roman" w:hAnsi="Arial" w:cs="Arial"/>
                <w:color w:val="000000"/>
                <w:sz w:val="20"/>
                <w:szCs w:val="20"/>
                <w:lang w:eastAsia="en-GB"/>
              </w:rPr>
              <w:t xml:space="preserve"> (38,168)</w:t>
            </w:r>
          </w:p>
        </w:tc>
        <w:tc>
          <w:tcPr>
            <w:tcW w:w="1180" w:type="dxa"/>
            <w:tcBorders>
              <w:top w:val="nil"/>
              <w:left w:val="nil"/>
              <w:bottom w:val="nil"/>
              <w:right w:val="nil"/>
            </w:tcBorders>
            <w:shd w:val="clear" w:color="000000" w:fill="EDFFB7"/>
            <w:noWrap/>
            <w:vAlign w:val="center"/>
            <w:hideMark/>
          </w:tcPr>
          <w:p w14:paraId="4ACB8A74" w14:textId="77777777" w:rsidR="0021298F" w:rsidRPr="00D1468C" w:rsidRDefault="0021298F" w:rsidP="00760009">
            <w:pPr>
              <w:jc w:val="right"/>
              <w:rPr>
                <w:rFonts w:ascii="Arial" w:eastAsia="Times New Roman" w:hAnsi="Arial" w:cs="Arial"/>
                <w:color w:val="000000"/>
                <w:sz w:val="20"/>
                <w:szCs w:val="20"/>
                <w:lang w:eastAsia="en-GB"/>
              </w:rPr>
            </w:pPr>
            <w:r w:rsidRPr="00D1468C">
              <w:rPr>
                <w:rFonts w:ascii="Arial" w:eastAsia="Times New Roman" w:hAnsi="Arial" w:cs="Arial"/>
                <w:color w:val="000000"/>
                <w:sz w:val="20"/>
                <w:szCs w:val="20"/>
                <w:lang w:eastAsia="en-GB"/>
              </w:rPr>
              <w:t>-</w:t>
            </w:r>
          </w:p>
        </w:tc>
        <w:tc>
          <w:tcPr>
            <w:tcW w:w="1200" w:type="dxa"/>
            <w:tcBorders>
              <w:top w:val="nil"/>
              <w:left w:val="nil"/>
              <w:bottom w:val="nil"/>
              <w:right w:val="nil"/>
            </w:tcBorders>
            <w:shd w:val="clear" w:color="000000" w:fill="EDFFB7"/>
            <w:vAlign w:val="center"/>
            <w:hideMark/>
          </w:tcPr>
          <w:p w14:paraId="7D8B60D3" w14:textId="77777777" w:rsidR="0021298F" w:rsidRPr="00D1468C" w:rsidRDefault="0021298F" w:rsidP="00760009">
            <w:pPr>
              <w:jc w:val="right"/>
              <w:rPr>
                <w:rFonts w:ascii="Arial" w:eastAsia="Times New Roman" w:hAnsi="Arial" w:cs="Arial"/>
                <w:b/>
                <w:bCs/>
                <w:color w:val="000000"/>
                <w:sz w:val="20"/>
                <w:szCs w:val="20"/>
                <w:lang w:eastAsia="en-GB"/>
              </w:rPr>
            </w:pPr>
            <w:r w:rsidRPr="00D1468C">
              <w:rPr>
                <w:rFonts w:ascii="Arial" w:eastAsia="Times New Roman" w:hAnsi="Arial" w:cs="Arial"/>
                <w:b/>
                <w:bCs/>
                <w:color w:val="000000"/>
                <w:sz w:val="20"/>
                <w:szCs w:val="20"/>
                <w:lang w:eastAsia="en-GB"/>
              </w:rPr>
              <w:t xml:space="preserve"> (38,168)</w:t>
            </w:r>
          </w:p>
        </w:tc>
      </w:tr>
      <w:tr w:rsidR="0021298F" w:rsidRPr="00D1468C" w14:paraId="76A19A5F" w14:textId="77777777" w:rsidTr="00760009">
        <w:trPr>
          <w:trHeight w:val="780"/>
        </w:trPr>
        <w:tc>
          <w:tcPr>
            <w:tcW w:w="2619" w:type="dxa"/>
            <w:tcBorders>
              <w:top w:val="nil"/>
              <w:left w:val="nil"/>
              <w:bottom w:val="single" w:sz="8" w:space="0" w:color="auto"/>
              <w:right w:val="nil"/>
            </w:tcBorders>
            <w:shd w:val="clear" w:color="000000" w:fill="FFFFFF"/>
            <w:vAlign w:val="center"/>
            <w:hideMark/>
          </w:tcPr>
          <w:p w14:paraId="305C5DCB" w14:textId="77777777" w:rsidR="0021298F" w:rsidRPr="00D1468C" w:rsidRDefault="0021298F" w:rsidP="00760009">
            <w:pPr>
              <w:rPr>
                <w:rFonts w:ascii="Arial" w:eastAsia="Times New Roman" w:hAnsi="Arial" w:cs="Arial"/>
                <w:color w:val="000000"/>
                <w:sz w:val="20"/>
                <w:szCs w:val="20"/>
                <w:lang w:eastAsia="en-GB"/>
              </w:rPr>
            </w:pPr>
            <w:r w:rsidRPr="00D1468C">
              <w:rPr>
                <w:rFonts w:ascii="Arial" w:eastAsia="Times New Roman" w:hAnsi="Arial" w:cs="Arial"/>
                <w:color w:val="000000"/>
                <w:sz w:val="20"/>
                <w:szCs w:val="20"/>
                <w:lang w:eastAsia="en-GB"/>
              </w:rPr>
              <w:t>Profit and total comprehensive income for the year</w:t>
            </w:r>
          </w:p>
        </w:tc>
        <w:tc>
          <w:tcPr>
            <w:tcW w:w="661" w:type="dxa"/>
            <w:tcBorders>
              <w:top w:val="nil"/>
              <w:left w:val="nil"/>
              <w:bottom w:val="single" w:sz="8" w:space="0" w:color="auto"/>
              <w:right w:val="nil"/>
            </w:tcBorders>
            <w:shd w:val="clear" w:color="000000" w:fill="FFFFFF"/>
            <w:vAlign w:val="center"/>
            <w:hideMark/>
          </w:tcPr>
          <w:p w14:paraId="62871135" w14:textId="77777777" w:rsidR="0021298F" w:rsidRPr="00D1468C" w:rsidRDefault="0021298F" w:rsidP="00760009">
            <w:pPr>
              <w:rPr>
                <w:rFonts w:ascii="Calibri" w:eastAsia="Times New Roman" w:hAnsi="Calibri" w:cs="Calibri"/>
                <w:color w:val="000000"/>
                <w:lang w:eastAsia="en-GB"/>
              </w:rPr>
            </w:pPr>
            <w:r w:rsidRPr="00D1468C">
              <w:rPr>
                <w:rFonts w:ascii="Calibri" w:eastAsia="Times New Roman" w:hAnsi="Calibri" w:cs="Calibri"/>
                <w:color w:val="000000"/>
                <w:lang w:eastAsia="en-GB"/>
              </w:rPr>
              <w:t> </w:t>
            </w:r>
          </w:p>
        </w:tc>
        <w:tc>
          <w:tcPr>
            <w:tcW w:w="1200" w:type="dxa"/>
            <w:tcBorders>
              <w:top w:val="nil"/>
              <w:left w:val="nil"/>
              <w:bottom w:val="single" w:sz="8" w:space="0" w:color="auto"/>
              <w:right w:val="nil"/>
            </w:tcBorders>
            <w:shd w:val="clear" w:color="000000" w:fill="EDFFB7"/>
            <w:vAlign w:val="center"/>
            <w:hideMark/>
          </w:tcPr>
          <w:p w14:paraId="72ABFDA3" w14:textId="77777777" w:rsidR="0021298F" w:rsidRPr="00D1468C" w:rsidRDefault="0021298F" w:rsidP="00760009">
            <w:pPr>
              <w:jc w:val="right"/>
              <w:rPr>
                <w:rFonts w:ascii="Arial" w:eastAsia="Times New Roman" w:hAnsi="Arial" w:cs="Arial"/>
                <w:color w:val="000000"/>
                <w:sz w:val="20"/>
                <w:szCs w:val="20"/>
                <w:lang w:eastAsia="en-GB"/>
              </w:rPr>
            </w:pPr>
            <w:r w:rsidRPr="00D1468C">
              <w:rPr>
                <w:rFonts w:ascii="Arial" w:eastAsia="Times New Roman" w:hAnsi="Arial" w:cs="Arial"/>
                <w:color w:val="000000"/>
                <w:sz w:val="20"/>
                <w:szCs w:val="20"/>
                <w:lang w:eastAsia="en-GB"/>
              </w:rPr>
              <w:t xml:space="preserve"> - </w:t>
            </w:r>
          </w:p>
        </w:tc>
        <w:tc>
          <w:tcPr>
            <w:tcW w:w="1200" w:type="dxa"/>
            <w:tcBorders>
              <w:top w:val="nil"/>
              <w:left w:val="nil"/>
              <w:bottom w:val="single" w:sz="8" w:space="0" w:color="auto"/>
              <w:right w:val="nil"/>
            </w:tcBorders>
            <w:shd w:val="clear" w:color="000000" w:fill="EDFFB7"/>
            <w:vAlign w:val="center"/>
            <w:hideMark/>
          </w:tcPr>
          <w:p w14:paraId="4B2E38D2" w14:textId="77777777" w:rsidR="0021298F" w:rsidRPr="00D1468C" w:rsidRDefault="0021298F" w:rsidP="00760009">
            <w:pPr>
              <w:jc w:val="right"/>
              <w:rPr>
                <w:rFonts w:ascii="Arial" w:eastAsia="Times New Roman" w:hAnsi="Arial" w:cs="Arial"/>
                <w:color w:val="000000"/>
                <w:sz w:val="20"/>
                <w:szCs w:val="20"/>
                <w:lang w:eastAsia="en-GB"/>
              </w:rPr>
            </w:pPr>
            <w:r w:rsidRPr="00D1468C">
              <w:rPr>
                <w:rFonts w:ascii="Arial" w:eastAsia="Times New Roman" w:hAnsi="Arial" w:cs="Arial"/>
                <w:color w:val="000000"/>
                <w:sz w:val="20"/>
                <w:szCs w:val="20"/>
                <w:lang w:eastAsia="en-GB"/>
              </w:rPr>
              <w:t xml:space="preserve"> - </w:t>
            </w:r>
          </w:p>
        </w:tc>
        <w:tc>
          <w:tcPr>
            <w:tcW w:w="1440" w:type="dxa"/>
            <w:tcBorders>
              <w:top w:val="nil"/>
              <w:left w:val="nil"/>
              <w:bottom w:val="single" w:sz="8" w:space="0" w:color="auto"/>
              <w:right w:val="nil"/>
            </w:tcBorders>
            <w:shd w:val="clear" w:color="000000" w:fill="EDFFB7"/>
            <w:vAlign w:val="center"/>
            <w:hideMark/>
          </w:tcPr>
          <w:p w14:paraId="4746ABA0" w14:textId="77777777" w:rsidR="0021298F" w:rsidRPr="00D1468C" w:rsidRDefault="0021298F" w:rsidP="00760009">
            <w:pPr>
              <w:jc w:val="right"/>
              <w:rPr>
                <w:rFonts w:ascii="Arial" w:eastAsia="Times New Roman" w:hAnsi="Arial" w:cs="Arial"/>
                <w:color w:val="000000"/>
                <w:sz w:val="20"/>
                <w:szCs w:val="20"/>
                <w:lang w:eastAsia="en-GB"/>
              </w:rPr>
            </w:pPr>
            <w:r w:rsidRPr="00D1468C">
              <w:rPr>
                <w:rFonts w:ascii="Arial" w:eastAsia="Times New Roman" w:hAnsi="Arial" w:cs="Arial"/>
                <w:color w:val="000000"/>
                <w:sz w:val="20"/>
                <w:szCs w:val="20"/>
                <w:lang w:eastAsia="en-GB"/>
              </w:rPr>
              <w:t xml:space="preserve"> - </w:t>
            </w:r>
          </w:p>
        </w:tc>
        <w:tc>
          <w:tcPr>
            <w:tcW w:w="1180" w:type="dxa"/>
            <w:tcBorders>
              <w:top w:val="nil"/>
              <w:left w:val="nil"/>
              <w:bottom w:val="single" w:sz="8" w:space="0" w:color="auto"/>
              <w:right w:val="nil"/>
            </w:tcBorders>
            <w:shd w:val="clear" w:color="000000" w:fill="EDFFB7"/>
            <w:vAlign w:val="center"/>
            <w:hideMark/>
          </w:tcPr>
          <w:p w14:paraId="7D330312" w14:textId="77777777" w:rsidR="0021298F" w:rsidRPr="00D1468C" w:rsidRDefault="0021298F" w:rsidP="00760009">
            <w:pPr>
              <w:jc w:val="right"/>
              <w:rPr>
                <w:rFonts w:ascii="Arial" w:eastAsia="Times New Roman" w:hAnsi="Arial" w:cs="Arial"/>
                <w:color w:val="000000"/>
                <w:sz w:val="20"/>
                <w:szCs w:val="20"/>
                <w:lang w:eastAsia="en-GB"/>
              </w:rPr>
            </w:pPr>
            <w:r w:rsidRPr="00D1468C">
              <w:rPr>
                <w:rFonts w:ascii="Arial" w:eastAsia="Times New Roman" w:hAnsi="Arial" w:cs="Arial"/>
                <w:color w:val="000000"/>
                <w:sz w:val="20"/>
                <w:szCs w:val="20"/>
                <w:lang w:eastAsia="en-GB"/>
              </w:rPr>
              <w:t xml:space="preserve">14,068 </w:t>
            </w:r>
          </w:p>
        </w:tc>
        <w:tc>
          <w:tcPr>
            <w:tcW w:w="1200" w:type="dxa"/>
            <w:tcBorders>
              <w:top w:val="nil"/>
              <w:left w:val="nil"/>
              <w:bottom w:val="single" w:sz="8" w:space="0" w:color="auto"/>
              <w:right w:val="nil"/>
            </w:tcBorders>
            <w:shd w:val="clear" w:color="000000" w:fill="EDFFB7"/>
            <w:vAlign w:val="center"/>
            <w:hideMark/>
          </w:tcPr>
          <w:p w14:paraId="2909C399" w14:textId="77777777" w:rsidR="0021298F" w:rsidRPr="00D1468C" w:rsidRDefault="0021298F" w:rsidP="00760009">
            <w:pPr>
              <w:jc w:val="right"/>
              <w:rPr>
                <w:rFonts w:ascii="Arial" w:eastAsia="Times New Roman" w:hAnsi="Arial" w:cs="Arial"/>
                <w:b/>
                <w:bCs/>
                <w:color w:val="000000"/>
                <w:sz w:val="20"/>
                <w:szCs w:val="20"/>
                <w:lang w:eastAsia="en-GB"/>
              </w:rPr>
            </w:pPr>
            <w:r w:rsidRPr="00D1468C">
              <w:rPr>
                <w:rFonts w:ascii="Arial" w:eastAsia="Times New Roman" w:hAnsi="Arial" w:cs="Arial"/>
                <w:b/>
                <w:bCs/>
                <w:color w:val="000000"/>
                <w:sz w:val="20"/>
                <w:szCs w:val="20"/>
                <w:lang w:eastAsia="en-GB"/>
              </w:rPr>
              <w:t xml:space="preserve">14,068 </w:t>
            </w:r>
          </w:p>
        </w:tc>
      </w:tr>
      <w:tr w:rsidR="0021298F" w:rsidRPr="00D1468C" w14:paraId="6B4E0D69" w14:textId="77777777" w:rsidTr="00760009">
        <w:trPr>
          <w:trHeight w:val="780"/>
        </w:trPr>
        <w:tc>
          <w:tcPr>
            <w:tcW w:w="2619" w:type="dxa"/>
            <w:tcBorders>
              <w:top w:val="nil"/>
              <w:left w:val="nil"/>
              <w:bottom w:val="single" w:sz="8" w:space="0" w:color="auto"/>
              <w:right w:val="nil"/>
            </w:tcBorders>
            <w:shd w:val="clear" w:color="000000" w:fill="FFFFFF"/>
            <w:vAlign w:val="center"/>
            <w:hideMark/>
          </w:tcPr>
          <w:p w14:paraId="30AC2DE4" w14:textId="77777777" w:rsidR="0021298F" w:rsidRPr="00D1468C" w:rsidRDefault="0021298F" w:rsidP="00760009">
            <w:pPr>
              <w:rPr>
                <w:rFonts w:ascii="Arial" w:eastAsia="Times New Roman" w:hAnsi="Arial" w:cs="Arial"/>
                <w:b/>
                <w:bCs/>
                <w:color w:val="000000"/>
                <w:sz w:val="20"/>
                <w:szCs w:val="20"/>
                <w:lang w:eastAsia="en-GB"/>
              </w:rPr>
            </w:pPr>
            <w:r w:rsidRPr="00D1468C">
              <w:rPr>
                <w:rFonts w:ascii="Arial" w:eastAsia="Times New Roman" w:hAnsi="Arial" w:cs="Arial"/>
                <w:b/>
                <w:bCs/>
                <w:color w:val="000000"/>
                <w:sz w:val="20"/>
                <w:szCs w:val="20"/>
                <w:lang w:eastAsia="en-GB"/>
              </w:rPr>
              <w:t>Closing net assets attributable to shareholders</w:t>
            </w:r>
          </w:p>
        </w:tc>
        <w:tc>
          <w:tcPr>
            <w:tcW w:w="661" w:type="dxa"/>
            <w:tcBorders>
              <w:top w:val="nil"/>
              <w:left w:val="nil"/>
              <w:bottom w:val="single" w:sz="8" w:space="0" w:color="auto"/>
              <w:right w:val="nil"/>
            </w:tcBorders>
            <w:shd w:val="clear" w:color="000000" w:fill="FFFFFF"/>
            <w:vAlign w:val="center"/>
            <w:hideMark/>
          </w:tcPr>
          <w:p w14:paraId="58695593" w14:textId="77777777" w:rsidR="0021298F" w:rsidRPr="00D1468C" w:rsidRDefault="0021298F" w:rsidP="00760009">
            <w:pPr>
              <w:jc w:val="center"/>
              <w:rPr>
                <w:rFonts w:ascii="Arial" w:eastAsia="Times New Roman" w:hAnsi="Arial" w:cs="Arial"/>
                <w:b/>
                <w:bCs/>
                <w:color w:val="000000"/>
                <w:sz w:val="20"/>
                <w:szCs w:val="20"/>
                <w:lang w:eastAsia="en-GB"/>
              </w:rPr>
            </w:pPr>
            <w:r w:rsidRPr="00D1468C">
              <w:rPr>
                <w:rFonts w:ascii="Arial" w:eastAsia="Times New Roman" w:hAnsi="Arial" w:cs="Arial"/>
                <w:b/>
                <w:bCs/>
                <w:color w:val="000000"/>
                <w:sz w:val="20"/>
                <w:szCs w:val="20"/>
                <w:lang w:eastAsia="en-GB"/>
              </w:rPr>
              <w:t> </w:t>
            </w:r>
          </w:p>
        </w:tc>
        <w:tc>
          <w:tcPr>
            <w:tcW w:w="1200" w:type="dxa"/>
            <w:tcBorders>
              <w:top w:val="nil"/>
              <w:left w:val="nil"/>
              <w:bottom w:val="single" w:sz="8" w:space="0" w:color="auto"/>
              <w:right w:val="nil"/>
            </w:tcBorders>
            <w:shd w:val="clear" w:color="000000" w:fill="EDFFB7"/>
            <w:noWrap/>
            <w:vAlign w:val="center"/>
            <w:hideMark/>
          </w:tcPr>
          <w:p w14:paraId="5C04C8C2" w14:textId="77777777" w:rsidR="0021298F" w:rsidRPr="00D1468C" w:rsidRDefault="0021298F" w:rsidP="00760009">
            <w:pPr>
              <w:jc w:val="right"/>
              <w:rPr>
                <w:rFonts w:ascii="Arial" w:eastAsia="Times New Roman" w:hAnsi="Arial" w:cs="Arial"/>
                <w:b/>
                <w:bCs/>
                <w:color w:val="000000"/>
                <w:sz w:val="20"/>
                <w:szCs w:val="20"/>
                <w:lang w:eastAsia="en-GB"/>
              </w:rPr>
            </w:pPr>
            <w:r w:rsidRPr="00D1468C">
              <w:rPr>
                <w:rFonts w:ascii="Arial" w:eastAsia="Times New Roman" w:hAnsi="Arial" w:cs="Arial"/>
                <w:b/>
                <w:bCs/>
                <w:color w:val="000000"/>
                <w:sz w:val="20"/>
                <w:szCs w:val="20"/>
                <w:lang w:eastAsia="en-GB"/>
              </w:rPr>
              <w:t>7,412</w:t>
            </w:r>
          </w:p>
        </w:tc>
        <w:tc>
          <w:tcPr>
            <w:tcW w:w="1200" w:type="dxa"/>
            <w:tcBorders>
              <w:top w:val="nil"/>
              <w:left w:val="nil"/>
              <w:bottom w:val="single" w:sz="8" w:space="0" w:color="auto"/>
              <w:right w:val="nil"/>
            </w:tcBorders>
            <w:shd w:val="clear" w:color="000000" w:fill="EDFFB7"/>
            <w:noWrap/>
            <w:vAlign w:val="center"/>
            <w:hideMark/>
          </w:tcPr>
          <w:p w14:paraId="3E96AAF2" w14:textId="77777777" w:rsidR="0021298F" w:rsidRPr="00D1468C" w:rsidRDefault="0021298F" w:rsidP="00760009">
            <w:pPr>
              <w:jc w:val="right"/>
              <w:rPr>
                <w:rFonts w:ascii="Arial" w:eastAsia="Times New Roman" w:hAnsi="Arial" w:cs="Arial"/>
                <w:b/>
                <w:bCs/>
                <w:color w:val="000000"/>
                <w:sz w:val="20"/>
                <w:szCs w:val="20"/>
                <w:lang w:eastAsia="en-GB"/>
              </w:rPr>
            </w:pPr>
            <w:r w:rsidRPr="00D1468C">
              <w:rPr>
                <w:rFonts w:ascii="Arial" w:eastAsia="Times New Roman" w:hAnsi="Arial" w:cs="Arial"/>
                <w:b/>
                <w:bCs/>
                <w:color w:val="000000"/>
                <w:sz w:val="20"/>
                <w:szCs w:val="20"/>
                <w:lang w:eastAsia="en-GB"/>
              </w:rPr>
              <w:t>507,476</w:t>
            </w:r>
          </w:p>
        </w:tc>
        <w:tc>
          <w:tcPr>
            <w:tcW w:w="1440" w:type="dxa"/>
            <w:tcBorders>
              <w:top w:val="nil"/>
              <w:left w:val="nil"/>
              <w:bottom w:val="single" w:sz="8" w:space="0" w:color="auto"/>
              <w:right w:val="nil"/>
            </w:tcBorders>
            <w:shd w:val="clear" w:color="000000" w:fill="EDFFB7"/>
            <w:noWrap/>
            <w:vAlign w:val="center"/>
            <w:hideMark/>
          </w:tcPr>
          <w:p w14:paraId="3528D20B" w14:textId="77777777" w:rsidR="0021298F" w:rsidRPr="00D1468C" w:rsidRDefault="0021298F" w:rsidP="00760009">
            <w:pPr>
              <w:jc w:val="right"/>
              <w:rPr>
                <w:rFonts w:ascii="Arial" w:eastAsia="Times New Roman" w:hAnsi="Arial" w:cs="Arial"/>
                <w:b/>
                <w:bCs/>
                <w:color w:val="000000"/>
                <w:sz w:val="20"/>
                <w:szCs w:val="20"/>
                <w:lang w:eastAsia="en-GB"/>
              </w:rPr>
            </w:pPr>
            <w:r w:rsidRPr="00D1468C">
              <w:rPr>
                <w:rFonts w:ascii="Arial" w:eastAsia="Times New Roman" w:hAnsi="Arial" w:cs="Arial"/>
                <w:b/>
                <w:bCs/>
                <w:color w:val="000000"/>
                <w:sz w:val="20"/>
                <w:szCs w:val="20"/>
                <w:lang w:eastAsia="en-GB"/>
              </w:rPr>
              <w:t>161,768</w:t>
            </w:r>
          </w:p>
        </w:tc>
        <w:tc>
          <w:tcPr>
            <w:tcW w:w="1180" w:type="dxa"/>
            <w:tcBorders>
              <w:top w:val="nil"/>
              <w:left w:val="nil"/>
              <w:bottom w:val="single" w:sz="8" w:space="0" w:color="auto"/>
              <w:right w:val="nil"/>
            </w:tcBorders>
            <w:shd w:val="clear" w:color="000000" w:fill="EDFFB7"/>
            <w:noWrap/>
            <w:vAlign w:val="center"/>
            <w:hideMark/>
          </w:tcPr>
          <w:p w14:paraId="7A0EB873" w14:textId="77777777" w:rsidR="0021298F" w:rsidRPr="00D1468C" w:rsidRDefault="0021298F" w:rsidP="00760009">
            <w:pPr>
              <w:jc w:val="right"/>
              <w:rPr>
                <w:rFonts w:ascii="Arial" w:eastAsia="Times New Roman" w:hAnsi="Arial" w:cs="Arial"/>
                <w:b/>
                <w:bCs/>
                <w:color w:val="000000"/>
                <w:sz w:val="20"/>
                <w:szCs w:val="20"/>
                <w:lang w:eastAsia="en-GB"/>
              </w:rPr>
            </w:pPr>
            <w:r w:rsidRPr="00D1468C">
              <w:rPr>
                <w:rFonts w:ascii="Arial" w:eastAsia="Times New Roman" w:hAnsi="Arial" w:cs="Arial"/>
                <w:b/>
                <w:bCs/>
                <w:color w:val="000000"/>
                <w:sz w:val="20"/>
                <w:szCs w:val="20"/>
                <w:lang w:eastAsia="en-GB"/>
              </w:rPr>
              <w:t>72,157</w:t>
            </w:r>
          </w:p>
        </w:tc>
        <w:tc>
          <w:tcPr>
            <w:tcW w:w="1200" w:type="dxa"/>
            <w:tcBorders>
              <w:top w:val="nil"/>
              <w:left w:val="nil"/>
              <w:bottom w:val="single" w:sz="8" w:space="0" w:color="auto"/>
              <w:right w:val="nil"/>
            </w:tcBorders>
            <w:shd w:val="clear" w:color="000000" w:fill="EDFFB7"/>
            <w:noWrap/>
            <w:vAlign w:val="center"/>
            <w:hideMark/>
          </w:tcPr>
          <w:p w14:paraId="21C7066B" w14:textId="77777777" w:rsidR="0021298F" w:rsidRPr="00D1468C" w:rsidRDefault="0021298F" w:rsidP="00760009">
            <w:pPr>
              <w:jc w:val="right"/>
              <w:rPr>
                <w:rFonts w:ascii="Arial" w:eastAsia="Times New Roman" w:hAnsi="Arial" w:cs="Arial"/>
                <w:b/>
                <w:bCs/>
                <w:color w:val="000000"/>
                <w:sz w:val="20"/>
                <w:szCs w:val="20"/>
                <w:lang w:eastAsia="en-GB"/>
              </w:rPr>
            </w:pPr>
            <w:r w:rsidRPr="00D1468C">
              <w:rPr>
                <w:rFonts w:ascii="Arial" w:eastAsia="Times New Roman" w:hAnsi="Arial" w:cs="Arial"/>
                <w:b/>
                <w:bCs/>
                <w:color w:val="000000"/>
                <w:sz w:val="20"/>
                <w:szCs w:val="20"/>
                <w:lang w:eastAsia="en-GB"/>
              </w:rPr>
              <w:t>748,813</w:t>
            </w:r>
          </w:p>
        </w:tc>
      </w:tr>
    </w:tbl>
    <w:p w14:paraId="2C656D7B" w14:textId="77777777" w:rsidR="0021298F" w:rsidRPr="001226F4" w:rsidRDefault="0021298F" w:rsidP="0021298F">
      <w:pPr>
        <w:pStyle w:val="Bullets"/>
        <w:numPr>
          <w:ilvl w:val="0"/>
          <w:numId w:val="0"/>
        </w:numPr>
        <w:jc w:val="both"/>
        <w:rPr>
          <w:rFonts w:cs="Arial"/>
          <w:b/>
        </w:rPr>
      </w:pPr>
    </w:p>
    <w:p w14:paraId="4A25D6BC" w14:textId="77777777" w:rsidR="0021298F" w:rsidRDefault="0021298F" w:rsidP="0021298F">
      <w:pPr>
        <w:jc w:val="both"/>
        <w:rPr>
          <w:rFonts w:ascii="Arial" w:hAnsi="Arial" w:cs="Arial"/>
        </w:rPr>
      </w:pPr>
      <w:r w:rsidRPr="00DB0622">
        <w:rPr>
          <w:rFonts w:ascii="Arial" w:hAnsi="Arial" w:cs="Arial"/>
        </w:rPr>
        <w:t xml:space="preserve">After taking account of cumulative unrealised gains </w:t>
      </w:r>
      <w:r w:rsidRPr="00E60172">
        <w:rPr>
          <w:rFonts w:ascii="Arial" w:hAnsi="Arial" w:cs="Arial"/>
        </w:rPr>
        <w:t>of €</w:t>
      </w:r>
      <w:r w:rsidRPr="00AE47CC">
        <w:rPr>
          <w:rFonts w:ascii="Arial" w:hAnsi="Arial" w:cs="Arial"/>
        </w:rPr>
        <w:t>67,040,313</w:t>
      </w:r>
      <w:r w:rsidRPr="00E60172">
        <w:rPr>
          <w:rFonts w:ascii="Arial" w:hAnsi="Arial" w:cs="Arial"/>
        </w:rPr>
        <w:t>, the</w:t>
      </w:r>
      <w:r w:rsidRPr="00470DA1">
        <w:rPr>
          <w:rFonts w:ascii="Arial" w:hAnsi="Arial" w:cs="Arial"/>
        </w:rPr>
        <w:t xml:space="preserve"> total reserves distributable by way of a dividend as at 31 December 2020 were </w:t>
      </w:r>
      <w:r w:rsidRPr="00E60172">
        <w:rPr>
          <w:rFonts w:ascii="Arial" w:hAnsi="Arial" w:cs="Arial"/>
        </w:rPr>
        <w:t>€166,</w:t>
      </w:r>
      <w:r w:rsidRPr="00AE47CC">
        <w:rPr>
          <w:rFonts w:ascii="Arial" w:hAnsi="Arial" w:cs="Arial"/>
        </w:rPr>
        <w:t>884,139</w:t>
      </w:r>
      <w:r w:rsidRPr="00E60172">
        <w:rPr>
          <w:rFonts w:ascii="Arial" w:hAnsi="Arial" w:cs="Arial"/>
        </w:rPr>
        <w:t>.</w:t>
      </w:r>
    </w:p>
    <w:p w14:paraId="28ABB5FA" w14:textId="77777777" w:rsidR="0021298F" w:rsidRDefault="0021298F" w:rsidP="0021298F">
      <w:pPr>
        <w:jc w:val="both"/>
        <w:rPr>
          <w:rFonts w:ascii="Arial" w:hAnsi="Arial" w:cs="Arial"/>
        </w:rPr>
      </w:pPr>
    </w:p>
    <w:p w14:paraId="5E70FCD4" w14:textId="77777777" w:rsidR="0021298F" w:rsidRDefault="0021298F" w:rsidP="0021298F">
      <w:pPr>
        <w:pStyle w:val="Bullets"/>
        <w:numPr>
          <w:ilvl w:val="0"/>
          <w:numId w:val="0"/>
        </w:numPr>
        <w:jc w:val="both"/>
        <w:rPr>
          <w:rFonts w:cs="Arial"/>
          <w:b/>
        </w:rPr>
      </w:pPr>
      <w:r>
        <w:rPr>
          <w:rFonts w:cs="Arial"/>
          <w:b/>
        </w:rPr>
        <w:t>For the year ended 31 December 2019</w:t>
      </w:r>
    </w:p>
    <w:tbl>
      <w:tblPr>
        <w:tblW w:w="9500" w:type="dxa"/>
        <w:tblLook w:val="04A0" w:firstRow="1" w:lastRow="0" w:firstColumn="1" w:lastColumn="0" w:noHBand="0" w:noVBand="1"/>
      </w:tblPr>
      <w:tblGrid>
        <w:gridCol w:w="2619"/>
        <w:gridCol w:w="661"/>
        <w:gridCol w:w="1200"/>
        <w:gridCol w:w="1200"/>
        <w:gridCol w:w="1440"/>
        <w:gridCol w:w="1180"/>
        <w:gridCol w:w="1200"/>
      </w:tblGrid>
      <w:tr w:rsidR="0021298F" w:rsidRPr="00FD2040" w14:paraId="5FECEC10" w14:textId="77777777" w:rsidTr="00760009">
        <w:trPr>
          <w:trHeight w:val="509"/>
        </w:trPr>
        <w:tc>
          <w:tcPr>
            <w:tcW w:w="2619" w:type="dxa"/>
            <w:vMerge w:val="restart"/>
            <w:tcBorders>
              <w:top w:val="nil"/>
              <w:left w:val="nil"/>
              <w:bottom w:val="single" w:sz="8" w:space="0" w:color="000000"/>
              <w:right w:val="nil"/>
            </w:tcBorders>
            <w:shd w:val="clear" w:color="000000" w:fill="FFFFFF"/>
            <w:vAlign w:val="center"/>
            <w:hideMark/>
          </w:tcPr>
          <w:p w14:paraId="2FA03605" w14:textId="77777777" w:rsidR="0021298F" w:rsidRPr="00FD2040" w:rsidRDefault="0021298F" w:rsidP="00760009">
            <w:pPr>
              <w:jc w:val="both"/>
              <w:rPr>
                <w:rFonts w:ascii="Arial" w:eastAsia="Times New Roman" w:hAnsi="Arial" w:cs="Arial"/>
                <w:b/>
                <w:bCs/>
                <w:color w:val="000000"/>
                <w:sz w:val="20"/>
                <w:szCs w:val="20"/>
                <w:lang w:eastAsia="en-GB"/>
              </w:rPr>
            </w:pPr>
            <w:r w:rsidRPr="00FD2040">
              <w:rPr>
                <w:rFonts w:ascii="Arial" w:eastAsia="Times New Roman" w:hAnsi="Arial" w:cs="Arial"/>
                <w:b/>
                <w:bCs/>
                <w:color w:val="000000"/>
                <w:sz w:val="20"/>
                <w:szCs w:val="20"/>
                <w:lang w:eastAsia="en-GB"/>
              </w:rPr>
              <w:lastRenderedPageBreak/>
              <w:t> </w:t>
            </w:r>
          </w:p>
        </w:tc>
        <w:tc>
          <w:tcPr>
            <w:tcW w:w="661" w:type="dxa"/>
            <w:vMerge w:val="restart"/>
            <w:tcBorders>
              <w:top w:val="nil"/>
              <w:left w:val="nil"/>
              <w:bottom w:val="single" w:sz="8" w:space="0" w:color="000000"/>
              <w:right w:val="nil"/>
            </w:tcBorders>
            <w:shd w:val="clear" w:color="000000" w:fill="FFFFFF"/>
            <w:vAlign w:val="bottom"/>
            <w:hideMark/>
          </w:tcPr>
          <w:p w14:paraId="304531F6" w14:textId="77777777" w:rsidR="0021298F" w:rsidRPr="00FD2040" w:rsidRDefault="0021298F" w:rsidP="00760009">
            <w:pPr>
              <w:jc w:val="center"/>
              <w:rPr>
                <w:rFonts w:ascii="Arial" w:eastAsia="Times New Roman" w:hAnsi="Arial" w:cs="Arial"/>
                <w:b/>
                <w:bCs/>
                <w:color w:val="000000"/>
                <w:sz w:val="20"/>
                <w:szCs w:val="20"/>
                <w:lang w:eastAsia="en-GB"/>
              </w:rPr>
            </w:pPr>
            <w:r w:rsidRPr="00FD2040">
              <w:rPr>
                <w:rFonts w:ascii="Arial" w:eastAsia="Times New Roman" w:hAnsi="Arial" w:cs="Arial"/>
                <w:b/>
                <w:bCs/>
                <w:color w:val="000000"/>
                <w:sz w:val="20"/>
                <w:szCs w:val="20"/>
                <w:lang w:eastAsia="en-GB"/>
              </w:rPr>
              <w:t>Note</w:t>
            </w:r>
          </w:p>
        </w:tc>
        <w:tc>
          <w:tcPr>
            <w:tcW w:w="1200" w:type="dxa"/>
            <w:vMerge w:val="restart"/>
            <w:tcBorders>
              <w:top w:val="nil"/>
              <w:left w:val="nil"/>
              <w:bottom w:val="nil"/>
              <w:right w:val="nil"/>
            </w:tcBorders>
            <w:shd w:val="clear" w:color="000000" w:fill="FFFFFF"/>
            <w:vAlign w:val="bottom"/>
            <w:hideMark/>
          </w:tcPr>
          <w:p w14:paraId="699A8388" w14:textId="77777777" w:rsidR="0021298F" w:rsidRPr="00FD2040" w:rsidRDefault="0021298F" w:rsidP="00760009">
            <w:pPr>
              <w:jc w:val="right"/>
              <w:rPr>
                <w:rFonts w:ascii="Arial" w:eastAsia="Times New Roman" w:hAnsi="Arial" w:cs="Arial"/>
                <w:b/>
                <w:bCs/>
                <w:color w:val="000000"/>
                <w:sz w:val="20"/>
                <w:szCs w:val="20"/>
                <w:lang w:eastAsia="en-GB"/>
              </w:rPr>
            </w:pPr>
            <w:r w:rsidRPr="00FD2040">
              <w:rPr>
                <w:rFonts w:ascii="Arial" w:eastAsia="Times New Roman" w:hAnsi="Arial" w:cs="Arial"/>
                <w:b/>
                <w:bCs/>
                <w:color w:val="000000"/>
                <w:sz w:val="20"/>
                <w:szCs w:val="20"/>
                <w:lang w:eastAsia="en-GB"/>
              </w:rPr>
              <w:t>Share capital</w:t>
            </w:r>
          </w:p>
        </w:tc>
        <w:tc>
          <w:tcPr>
            <w:tcW w:w="1200" w:type="dxa"/>
            <w:vMerge w:val="restart"/>
            <w:tcBorders>
              <w:top w:val="nil"/>
              <w:left w:val="nil"/>
              <w:bottom w:val="nil"/>
              <w:right w:val="nil"/>
            </w:tcBorders>
            <w:shd w:val="clear" w:color="000000" w:fill="FFFFFF"/>
            <w:vAlign w:val="bottom"/>
            <w:hideMark/>
          </w:tcPr>
          <w:p w14:paraId="67B4D816" w14:textId="77777777" w:rsidR="0021298F" w:rsidRPr="00FD2040" w:rsidRDefault="0021298F" w:rsidP="00760009">
            <w:pPr>
              <w:jc w:val="right"/>
              <w:rPr>
                <w:rFonts w:ascii="Arial" w:eastAsia="Times New Roman" w:hAnsi="Arial" w:cs="Arial"/>
                <w:b/>
                <w:bCs/>
                <w:color w:val="000000"/>
                <w:sz w:val="20"/>
                <w:szCs w:val="20"/>
                <w:lang w:eastAsia="en-GB"/>
              </w:rPr>
            </w:pPr>
            <w:r w:rsidRPr="00FD2040">
              <w:rPr>
                <w:rFonts w:ascii="Arial" w:eastAsia="Times New Roman" w:hAnsi="Arial" w:cs="Arial"/>
                <w:b/>
                <w:bCs/>
                <w:color w:val="000000"/>
                <w:sz w:val="20"/>
                <w:szCs w:val="20"/>
                <w:lang w:eastAsia="en-GB"/>
              </w:rPr>
              <w:t>Share premium</w:t>
            </w:r>
          </w:p>
        </w:tc>
        <w:tc>
          <w:tcPr>
            <w:tcW w:w="1440" w:type="dxa"/>
            <w:vMerge w:val="restart"/>
            <w:tcBorders>
              <w:top w:val="nil"/>
              <w:left w:val="nil"/>
              <w:bottom w:val="nil"/>
              <w:right w:val="nil"/>
            </w:tcBorders>
            <w:shd w:val="clear" w:color="000000" w:fill="FFFFFF"/>
            <w:vAlign w:val="bottom"/>
            <w:hideMark/>
          </w:tcPr>
          <w:p w14:paraId="1FD2C279" w14:textId="77777777" w:rsidR="0021298F" w:rsidRPr="00FD2040" w:rsidRDefault="0021298F" w:rsidP="00760009">
            <w:pPr>
              <w:jc w:val="right"/>
              <w:rPr>
                <w:rFonts w:ascii="Arial" w:eastAsia="Times New Roman" w:hAnsi="Arial" w:cs="Arial"/>
                <w:b/>
                <w:bCs/>
                <w:color w:val="000000"/>
                <w:sz w:val="20"/>
                <w:szCs w:val="20"/>
                <w:lang w:eastAsia="en-GB"/>
              </w:rPr>
            </w:pPr>
            <w:r w:rsidRPr="00FD2040">
              <w:rPr>
                <w:rFonts w:ascii="Arial" w:eastAsia="Times New Roman" w:hAnsi="Arial" w:cs="Arial"/>
                <w:b/>
                <w:bCs/>
                <w:color w:val="000000"/>
                <w:sz w:val="20"/>
                <w:szCs w:val="20"/>
                <w:lang w:eastAsia="en-GB"/>
              </w:rPr>
              <w:t xml:space="preserve">Other </w:t>
            </w:r>
            <w:r>
              <w:rPr>
                <w:rFonts w:ascii="Arial" w:eastAsia="Times New Roman" w:hAnsi="Arial" w:cs="Arial"/>
                <w:b/>
                <w:bCs/>
                <w:color w:val="000000"/>
                <w:sz w:val="20"/>
                <w:szCs w:val="20"/>
                <w:lang w:eastAsia="en-GB"/>
              </w:rPr>
              <w:t>d</w:t>
            </w:r>
            <w:r w:rsidRPr="00FD2040">
              <w:rPr>
                <w:rFonts w:ascii="Arial" w:eastAsia="Times New Roman" w:hAnsi="Arial" w:cs="Arial"/>
                <w:b/>
                <w:bCs/>
                <w:color w:val="000000"/>
                <w:sz w:val="20"/>
                <w:szCs w:val="20"/>
                <w:lang w:eastAsia="en-GB"/>
              </w:rPr>
              <w:t xml:space="preserve">istributable </w:t>
            </w:r>
            <w:r>
              <w:rPr>
                <w:rFonts w:ascii="Arial" w:eastAsia="Times New Roman" w:hAnsi="Arial" w:cs="Arial"/>
                <w:b/>
                <w:bCs/>
                <w:color w:val="000000"/>
                <w:sz w:val="20"/>
                <w:szCs w:val="20"/>
                <w:lang w:eastAsia="en-GB"/>
              </w:rPr>
              <w:t>r</w:t>
            </w:r>
            <w:r w:rsidRPr="00FD2040">
              <w:rPr>
                <w:rFonts w:ascii="Arial" w:eastAsia="Times New Roman" w:hAnsi="Arial" w:cs="Arial"/>
                <w:b/>
                <w:bCs/>
                <w:color w:val="000000"/>
                <w:sz w:val="20"/>
                <w:szCs w:val="20"/>
                <w:lang w:eastAsia="en-GB"/>
              </w:rPr>
              <w:t>eserves</w:t>
            </w:r>
          </w:p>
        </w:tc>
        <w:tc>
          <w:tcPr>
            <w:tcW w:w="1180" w:type="dxa"/>
            <w:vMerge w:val="restart"/>
            <w:tcBorders>
              <w:top w:val="nil"/>
              <w:left w:val="nil"/>
              <w:bottom w:val="nil"/>
              <w:right w:val="nil"/>
            </w:tcBorders>
            <w:shd w:val="clear" w:color="000000" w:fill="FFFFFF"/>
            <w:vAlign w:val="bottom"/>
            <w:hideMark/>
          </w:tcPr>
          <w:p w14:paraId="737B66CF" w14:textId="77777777" w:rsidR="0021298F" w:rsidRPr="00FD2040" w:rsidRDefault="0021298F" w:rsidP="00760009">
            <w:pPr>
              <w:jc w:val="right"/>
              <w:rPr>
                <w:rFonts w:ascii="Arial" w:eastAsia="Times New Roman" w:hAnsi="Arial" w:cs="Arial"/>
                <w:b/>
                <w:bCs/>
                <w:color w:val="000000"/>
                <w:sz w:val="20"/>
                <w:szCs w:val="20"/>
                <w:lang w:eastAsia="en-GB"/>
              </w:rPr>
            </w:pPr>
            <w:r w:rsidRPr="00FD2040">
              <w:rPr>
                <w:rFonts w:ascii="Arial" w:eastAsia="Times New Roman" w:hAnsi="Arial" w:cs="Arial"/>
                <w:b/>
                <w:bCs/>
                <w:color w:val="000000"/>
                <w:sz w:val="20"/>
                <w:szCs w:val="20"/>
                <w:lang w:eastAsia="en-GB"/>
              </w:rPr>
              <w:t>Retained earnings</w:t>
            </w:r>
          </w:p>
        </w:tc>
        <w:tc>
          <w:tcPr>
            <w:tcW w:w="1200" w:type="dxa"/>
            <w:vMerge w:val="restart"/>
            <w:tcBorders>
              <w:top w:val="nil"/>
              <w:left w:val="nil"/>
              <w:bottom w:val="nil"/>
              <w:right w:val="nil"/>
            </w:tcBorders>
            <w:shd w:val="clear" w:color="000000" w:fill="FFFFFF"/>
            <w:vAlign w:val="bottom"/>
            <w:hideMark/>
          </w:tcPr>
          <w:p w14:paraId="6023FEA5" w14:textId="77777777" w:rsidR="0021298F" w:rsidRPr="00FD2040" w:rsidRDefault="0021298F" w:rsidP="00760009">
            <w:pPr>
              <w:jc w:val="right"/>
              <w:rPr>
                <w:rFonts w:ascii="Arial" w:eastAsia="Times New Roman" w:hAnsi="Arial" w:cs="Arial"/>
                <w:b/>
                <w:bCs/>
                <w:color w:val="000000"/>
                <w:sz w:val="20"/>
                <w:szCs w:val="20"/>
                <w:lang w:eastAsia="en-GB"/>
              </w:rPr>
            </w:pPr>
            <w:r w:rsidRPr="00FD2040">
              <w:rPr>
                <w:rFonts w:ascii="Arial" w:eastAsia="Times New Roman" w:hAnsi="Arial" w:cs="Arial"/>
                <w:b/>
                <w:bCs/>
                <w:color w:val="000000"/>
                <w:sz w:val="20"/>
                <w:szCs w:val="20"/>
                <w:lang w:eastAsia="en-GB"/>
              </w:rPr>
              <w:t>Total</w:t>
            </w:r>
          </w:p>
        </w:tc>
      </w:tr>
      <w:tr w:rsidR="0021298F" w:rsidRPr="00FD2040" w14:paraId="3557B020" w14:textId="77777777" w:rsidTr="00760009">
        <w:trPr>
          <w:trHeight w:val="529"/>
        </w:trPr>
        <w:tc>
          <w:tcPr>
            <w:tcW w:w="2619" w:type="dxa"/>
            <w:vMerge/>
            <w:tcBorders>
              <w:top w:val="nil"/>
              <w:left w:val="nil"/>
              <w:bottom w:val="single" w:sz="8" w:space="0" w:color="000000"/>
              <w:right w:val="nil"/>
            </w:tcBorders>
            <w:vAlign w:val="center"/>
            <w:hideMark/>
          </w:tcPr>
          <w:p w14:paraId="1F28FFC6" w14:textId="77777777" w:rsidR="0021298F" w:rsidRPr="00FD2040" w:rsidRDefault="0021298F" w:rsidP="00760009">
            <w:pPr>
              <w:rPr>
                <w:rFonts w:ascii="Arial" w:eastAsia="Times New Roman" w:hAnsi="Arial" w:cs="Arial"/>
                <w:b/>
                <w:bCs/>
                <w:color w:val="000000"/>
                <w:sz w:val="20"/>
                <w:szCs w:val="20"/>
                <w:lang w:eastAsia="en-GB"/>
              </w:rPr>
            </w:pPr>
          </w:p>
        </w:tc>
        <w:tc>
          <w:tcPr>
            <w:tcW w:w="661" w:type="dxa"/>
            <w:vMerge/>
            <w:tcBorders>
              <w:top w:val="nil"/>
              <w:left w:val="nil"/>
              <w:bottom w:val="single" w:sz="8" w:space="0" w:color="000000"/>
              <w:right w:val="nil"/>
            </w:tcBorders>
            <w:vAlign w:val="center"/>
            <w:hideMark/>
          </w:tcPr>
          <w:p w14:paraId="02E9203B" w14:textId="77777777" w:rsidR="0021298F" w:rsidRPr="00FD2040" w:rsidRDefault="0021298F" w:rsidP="00760009">
            <w:pPr>
              <w:rPr>
                <w:rFonts w:ascii="Arial" w:eastAsia="Times New Roman" w:hAnsi="Arial" w:cs="Arial"/>
                <w:b/>
                <w:bCs/>
                <w:color w:val="000000"/>
                <w:sz w:val="20"/>
                <w:szCs w:val="20"/>
                <w:lang w:eastAsia="en-GB"/>
              </w:rPr>
            </w:pPr>
          </w:p>
        </w:tc>
        <w:tc>
          <w:tcPr>
            <w:tcW w:w="1200" w:type="dxa"/>
            <w:vMerge/>
            <w:tcBorders>
              <w:top w:val="nil"/>
              <w:left w:val="nil"/>
              <w:bottom w:val="nil"/>
              <w:right w:val="nil"/>
            </w:tcBorders>
            <w:vAlign w:val="center"/>
            <w:hideMark/>
          </w:tcPr>
          <w:p w14:paraId="44862DFB" w14:textId="77777777" w:rsidR="0021298F" w:rsidRPr="00FD2040" w:rsidRDefault="0021298F" w:rsidP="00760009">
            <w:pPr>
              <w:rPr>
                <w:rFonts w:ascii="Arial" w:eastAsia="Times New Roman" w:hAnsi="Arial" w:cs="Arial"/>
                <w:b/>
                <w:bCs/>
                <w:color w:val="000000"/>
                <w:sz w:val="20"/>
                <w:szCs w:val="20"/>
                <w:lang w:eastAsia="en-GB"/>
              </w:rPr>
            </w:pPr>
          </w:p>
        </w:tc>
        <w:tc>
          <w:tcPr>
            <w:tcW w:w="1200" w:type="dxa"/>
            <w:vMerge/>
            <w:tcBorders>
              <w:top w:val="nil"/>
              <w:left w:val="nil"/>
              <w:bottom w:val="nil"/>
              <w:right w:val="nil"/>
            </w:tcBorders>
            <w:vAlign w:val="center"/>
            <w:hideMark/>
          </w:tcPr>
          <w:p w14:paraId="6A9ED904" w14:textId="77777777" w:rsidR="0021298F" w:rsidRPr="00FD2040" w:rsidRDefault="0021298F" w:rsidP="00760009">
            <w:pPr>
              <w:rPr>
                <w:rFonts w:ascii="Arial" w:eastAsia="Times New Roman" w:hAnsi="Arial" w:cs="Arial"/>
                <w:b/>
                <w:bCs/>
                <w:color w:val="000000"/>
                <w:sz w:val="20"/>
                <w:szCs w:val="20"/>
                <w:lang w:eastAsia="en-GB"/>
              </w:rPr>
            </w:pPr>
          </w:p>
        </w:tc>
        <w:tc>
          <w:tcPr>
            <w:tcW w:w="1440" w:type="dxa"/>
            <w:vMerge/>
            <w:tcBorders>
              <w:top w:val="nil"/>
              <w:left w:val="nil"/>
              <w:bottom w:val="nil"/>
              <w:right w:val="nil"/>
            </w:tcBorders>
            <w:vAlign w:val="center"/>
            <w:hideMark/>
          </w:tcPr>
          <w:p w14:paraId="6AF84F55" w14:textId="77777777" w:rsidR="0021298F" w:rsidRPr="00FD2040" w:rsidRDefault="0021298F" w:rsidP="00760009">
            <w:pPr>
              <w:rPr>
                <w:rFonts w:ascii="Arial" w:eastAsia="Times New Roman" w:hAnsi="Arial" w:cs="Arial"/>
                <w:b/>
                <w:bCs/>
                <w:color w:val="000000"/>
                <w:sz w:val="20"/>
                <w:szCs w:val="20"/>
                <w:lang w:eastAsia="en-GB"/>
              </w:rPr>
            </w:pPr>
          </w:p>
        </w:tc>
        <w:tc>
          <w:tcPr>
            <w:tcW w:w="1180" w:type="dxa"/>
            <w:vMerge/>
            <w:tcBorders>
              <w:top w:val="nil"/>
              <w:left w:val="nil"/>
              <w:bottom w:val="nil"/>
              <w:right w:val="nil"/>
            </w:tcBorders>
            <w:vAlign w:val="center"/>
            <w:hideMark/>
          </w:tcPr>
          <w:p w14:paraId="53086AC3" w14:textId="77777777" w:rsidR="0021298F" w:rsidRPr="00FD2040" w:rsidRDefault="0021298F" w:rsidP="00760009">
            <w:pPr>
              <w:rPr>
                <w:rFonts w:ascii="Arial" w:eastAsia="Times New Roman" w:hAnsi="Arial" w:cs="Arial"/>
                <w:b/>
                <w:bCs/>
                <w:color w:val="000000"/>
                <w:sz w:val="20"/>
                <w:szCs w:val="20"/>
                <w:lang w:eastAsia="en-GB"/>
              </w:rPr>
            </w:pPr>
          </w:p>
        </w:tc>
        <w:tc>
          <w:tcPr>
            <w:tcW w:w="1200" w:type="dxa"/>
            <w:vMerge/>
            <w:tcBorders>
              <w:top w:val="nil"/>
              <w:left w:val="nil"/>
              <w:bottom w:val="nil"/>
              <w:right w:val="nil"/>
            </w:tcBorders>
            <w:vAlign w:val="center"/>
            <w:hideMark/>
          </w:tcPr>
          <w:p w14:paraId="04F4907D" w14:textId="77777777" w:rsidR="0021298F" w:rsidRPr="00FD2040" w:rsidRDefault="0021298F" w:rsidP="00760009">
            <w:pPr>
              <w:rPr>
                <w:rFonts w:ascii="Arial" w:eastAsia="Times New Roman" w:hAnsi="Arial" w:cs="Arial"/>
                <w:b/>
                <w:bCs/>
                <w:color w:val="000000"/>
                <w:sz w:val="20"/>
                <w:szCs w:val="20"/>
                <w:lang w:eastAsia="en-GB"/>
              </w:rPr>
            </w:pPr>
          </w:p>
        </w:tc>
      </w:tr>
      <w:tr w:rsidR="0021298F" w:rsidRPr="00FD2040" w14:paraId="5AB1778A" w14:textId="77777777" w:rsidTr="00760009">
        <w:trPr>
          <w:trHeight w:val="289"/>
        </w:trPr>
        <w:tc>
          <w:tcPr>
            <w:tcW w:w="2619" w:type="dxa"/>
            <w:vMerge/>
            <w:tcBorders>
              <w:top w:val="nil"/>
              <w:left w:val="nil"/>
              <w:bottom w:val="single" w:sz="8" w:space="0" w:color="000000"/>
              <w:right w:val="nil"/>
            </w:tcBorders>
            <w:vAlign w:val="center"/>
            <w:hideMark/>
          </w:tcPr>
          <w:p w14:paraId="000C959E" w14:textId="77777777" w:rsidR="0021298F" w:rsidRPr="00FD2040" w:rsidRDefault="0021298F" w:rsidP="00760009">
            <w:pPr>
              <w:rPr>
                <w:rFonts w:ascii="Arial" w:eastAsia="Times New Roman" w:hAnsi="Arial" w:cs="Arial"/>
                <w:b/>
                <w:bCs/>
                <w:color w:val="000000"/>
                <w:sz w:val="20"/>
                <w:szCs w:val="20"/>
                <w:lang w:eastAsia="en-GB"/>
              </w:rPr>
            </w:pPr>
          </w:p>
        </w:tc>
        <w:tc>
          <w:tcPr>
            <w:tcW w:w="661" w:type="dxa"/>
            <w:vMerge/>
            <w:tcBorders>
              <w:top w:val="nil"/>
              <w:left w:val="nil"/>
              <w:bottom w:val="single" w:sz="8" w:space="0" w:color="000000"/>
              <w:right w:val="nil"/>
            </w:tcBorders>
            <w:vAlign w:val="center"/>
            <w:hideMark/>
          </w:tcPr>
          <w:p w14:paraId="7DD487A4" w14:textId="77777777" w:rsidR="0021298F" w:rsidRPr="00FD2040" w:rsidRDefault="0021298F" w:rsidP="00760009">
            <w:pPr>
              <w:rPr>
                <w:rFonts w:ascii="Arial" w:eastAsia="Times New Roman" w:hAnsi="Arial" w:cs="Arial"/>
                <w:b/>
                <w:bCs/>
                <w:color w:val="000000"/>
                <w:sz w:val="20"/>
                <w:szCs w:val="20"/>
                <w:lang w:eastAsia="en-GB"/>
              </w:rPr>
            </w:pPr>
          </w:p>
        </w:tc>
        <w:tc>
          <w:tcPr>
            <w:tcW w:w="1200" w:type="dxa"/>
            <w:tcBorders>
              <w:top w:val="nil"/>
              <w:left w:val="nil"/>
              <w:bottom w:val="single" w:sz="8" w:space="0" w:color="auto"/>
              <w:right w:val="nil"/>
            </w:tcBorders>
            <w:shd w:val="clear" w:color="000000" w:fill="FFFFFF"/>
            <w:vAlign w:val="center"/>
            <w:hideMark/>
          </w:tcPr>
          <w:p w14:paraId="5D649617" w14:textId="77777777" w:rsidR="0021298F" w:rsidRPr="00FD2040" w:rsidRDefault="0021298F" w:rsidP="00760009">
            <w:pPr>
              <w:jc w:val="right"/>
              <w:rPr>
                <w:rFonts w:ascii="Arial" w:eastAsia="Times New Roman" w:hAnsi="Arial" w:cs="Arial"/>
                <w:b/>
                <w:bCs/>
                <w:color w:val="000000"/>
                <w:sz w:val="20"/>
                <w:szCs w:val="20"/>
                <w:lang w:eastAsia="en-GB"/>
              </w:rPr>
            </w:pPr>
            <w:r w:rsidRPr="00FD2040">
              <w:rPr>
                <w:rFonts w:ascii="Arial" w:eastAsia="Times New Roman" w:hAnsi="Arial" w:cs="Arial"/>
                <w:b/>
                <w:bCs/>
                <w:color w:val="000000"/>
                <w:sz w:val="20"/>
                <w:szCs w:val="20"/>
                <w:lang w:eastAsia="en-GB"/>
              </w:rPr>
              <w:t>€’000</w:t>
            </w:r>
          </w:p>
        </w:tc>
        <w:tc>
          <w:tcPr>
            <w:tcW w:w="1200" w:type="dxa"/>
            <w:tcBorders>
              <w:top w:val="nil"/>
              <w:left w:val="nil"/>
              <w:bottom w:val="single" w:sz="8" w:space="0" w:color="auto"/>
              <w:right w:val="nil"/>
            </w:tcBorders>
            <w:shd w:val="clear" w:color="000000" w:fill="FFFFFF"/>
            <w:vAlign w:val="center"/>
            <w:hideMark/>
          </w:tcPr>
          <w:p w14:paraId="76DECD0A" w14:textId="77777777" w:rsidR="0021298F" w:rsidRPr="00FD2040" w:rsidRDefault="0021298F" w:rsidP="00760009">
            <w:pPr>
              <w:jc w:val="right"/>
              <w:rPr>
                <w:rFonts w:ascii="Arial" w:eastAsia="Times New Roman" w:hAnsi="Arial" w:cs="Arial"/>
                <w:b/>
                <w:bCs/>
                <w:color w:val="000000"/>
                <w:sz w:val="20"/>
                <w:szCs w:val="20"/>
                <w:lang w:eastAsia="en-GB"/>
              </w:rPr>
            </w:pPr>
            <w:r w:rsidRPr="00FD2040">
              <w:rPr>
                <w:rFonts w:ascii="Arial" w:eastAsia="Times New Roman" w:hAnsi="Arial" w:cs="Arial"/>
                <w:b/>
                <w:bCs/>
                <w:color w:val="000000"/>
                <w:sz w:val="20"/>
                <w:szCs w:val="20"/>
                <w:lang w:eastAsia="en-GB"/>
              </w:rPr>
              <w:t>€’000</w:t>
            </w:r>
          </w:p>
        </w:tc>
        <w:tc>
          <w:tcPr>
            <w:tcW w:w="1440" w:type="dxa"/>
            <w:tcBorders>
              <w:top w:val="nil"/>
              <w:left w:val="nil"/>
              <w:bottom w:val="single" w:sz="8" w:space="0" w:color="auto"/>
              <w:right w:val="nil"/>
            </w:tcBorders>
            <w:shd w:val="clear" w:color="000000" w:fill="FFFFFF"/>
            <w:vAlign w:val="center"/>
            <w:hideMark/>
          </w:tcPr>
          <w:p w14:paraId="5C6CECEC" w14:textId="77777777" w:rsidR="0021298F" w:rsidRPr="00FD2040" w:rsidRDefault="0021298F" w:rsidP="00760009">
            <w:pPr>
              <w:jc w:val="right"/>
              <w:rPr>
                <w:rFonts w:ascii="Arial" w:eastAsia="Times New Roman" w:hAnsi="Arial" w:cs="Arial"/>
                <w:b/>
                <w:bCs/>
                <w:color w:val="000000"/>
                <w:sz w:val="20"/>
                <w:szCs w:val="20"/>
                <w:lang w:eastAsia="en-GB"/>
              </w:rPr>
            </w:pPr>
            <w:r w:rsidRPr="00FD2040">
              <w:rPr>
                <w:rFonts w:ascii="Arial" w:eastAsia="Times New Roman" w:hAnsi="Arial" w:cs="Arial"/>
                <w:b/>
                <w:bCs/>
                <w:color w:val="000000"/>
                <w:sz w:val="20"/>
                <w:szCs w:val="20"/>
                <w:lang w:eastAsia="en-GB"/>
              </w:rPr>
              <w:t>€’000</w:t>
            </w:r>
          </w:p>
        </w:tc>
        <w:tc>
          <w:tcPr>
            <w:tcW w:w="1180" w:type="dxa"/>
            <w:tcBorders>
              <w:top w:val="nil"/>
              <w:left w:val="nil"/>
              <w:bottom w:val="single" w:sz="8" w:space="0" w:color="auto"/>
              <w:right w:val="nil"/>
            </w:tcBorders>
            <w:shd w:val="clear" w:color="000000" w:fill="FFFFFF"/>
            <w:vAlign w:val="center"/>
            <w:hideMark/>
          </w:tcPr>
          <w:p w14:paraId="59C9EFFA" w14:textId="77777777" w:rsidR="0021298F" w:rsidRPr="00FD2040" w:rsidRDefault="0021298F" w:rsidP="00760009">
            <w:pPr>
              <w:jc w:val="right"/>
              <w:rPr>
                <w:rFonts w:ascii="Arial" w:eastAsia="Times New Roman" w:hAnsi="Arial" w:cs="Arial"/>
                <w:b/>
                <w:bCs/>
                <w:color w:val="000000"/>
                <w:sz w:val="20"/>
                <w:szCs w:val="20"/>
                <w:lang w:eastAsia="en-GB"/>
              </w:rPr>
            </w:pPr>
            <w:r w:rsidRPr="00FD2040">
              <w:rPr>
                <w:rFonts w:ascii="Arial" w:eastAsia="Times New Roman" w:hAnsi="Arial" w:cs="Arial"/>
                <w:b/>
                <w:bCs/>
                <w:color w:val="000000"/>
                <w:sz w:val="20"/>
                <w:szCs w:val="20"/>
                <w:lang w:eastAsia="en-GB"/>
              </w:rPr>
              <w:t>€’000</w:t>
            </w:r>
          </w:p>
        </w:tc>
        <w:tc>
          <w:tcPr>
            <w:tcW w:w="1200" w:type="dxa"/>
            <w:tcBorders>
              <w:top w:val="nil"/>
              <w:left w:val="nil"/>
              <w:bottom w:val="single" w:sz="8" w:space="0" w:color="auto"/>
              <w:right w:val="nil"/>
            </w:tcBorders>
            <w:shd w:val="clear" w:color="000000" w:fill="FFFFFF"/>
            <w:vAlign w:val="center"/>
            <w:hideMark/>
          </w:tcPr>
          <w:p w14:paraId="33082648" w14:textId="77777777" w:rsidR="0021298F" w:rsidRPr="00FD2040" w:rsidRDefault="0021298F" w:rsidP="00760009">
            <w:pPr>
              <w:jc w:val="right"/>
              <w:rPr>
                <w:rFonts w:ascii="Arial" w:eastAsia="Times New Roman" w:hAnsi="Arial" w:cs="Arial"/>
                <w:b/>
                <w:bCs/>
                <w:color w:val="000000"/>
                <w:sz w:val="20"/>
                <w:szCs w:val="20"/>
                <w:lang w:eastAsia="en-GB"/>
              </w:rPr>
            </w:pPr>
            <w:r w:rsidRPr="00FD2040">
              <w:rPr>
                <w:rFonts w:ascii="Arial" w:eastAsia="Times New Roman" w:hAnsi="Arial" w:cs="Arial"/>
                <w:b/>
                <w:bCs/>
                <w:color w:val="000000"/>
                <w:sz w:val="20"/>
                <w:szCs w:val="20"/>
                <w:lang w:eastAsia="en-GB"/>
              </w:rPr>
              <w:t>€’000</w:t>
            </w:r>
          </w:p>
        </w:tc>
      </w:tr>
      <w:tr w:rsidR="0021298F" w:rsidRPr="00FD2040" w14:paraId="4A95B993" w14:textId="77777777" w:rsidTr="00760009">
        <w:trPr>
          <w:trHeight w:val="765"/>
        </w:trPr>
        <w:tc>
          <w:tcPr>
            <w:tcW w:w="2619" w:type="dxa"/>
            <w:tcBorders>
              <w:top w:val="nil"/>
              <w:left w:val="nil"/>
              <w:bottom w:val="nil"/>
              <w:right w:val="nil"/>
            </w:tcBorders>
            <w:shd w:val="clear" w:color="000000" w:fill="FFFFFF"/>
            <w:vAlign w:val="center"/>
            <w:hideMark/>
          </w:tcPr>
          <w:p w14:paraId="6543CBBD" w14:textId="77777777" w:rsidR="0021298F" w:rsidRPr="00FD2040" w:rsidRDefault="0021298F" w:rsidP="00760009">
            <w:pPr>
              <w:rPr>
                <w:rFonts w:ascii="Arial" w:eastAsia="Times New Roman" w:hAnsi="Arial" w:cs="Arial"/>
                <w:color w:val="000000"/>
                <w:sz w:val="20"/>
                <w:szCs w:val="20"/>
                <w:lang w:eastAsia="en-GB"/>
              </w:rPr>
            </w:pPr>
            <w:r w:rsidRPr="00FD2040">
              <w:rPr>
                <w:rFonts w:ascii="Arial" w:eastAsia="Times New Roman" w:hAnsi="Arial" w:cs="Arial"/>
                <w:color w:val="000000"/>
                <w:sz w:val="20"/>
                <w:szCs w:val="20"/>
                <w:lang w:eastAsia="en-GB"/>
              </w:rPr>
              <w:t xml:space="preserve">Opening net assets attributable to shareholders (1 January 2019) </w:t>
            </w:r>
          </w:p>
        </w:tc>
        <w:tc>
          <w:tcPr>
            <w:tcW w:w="661" w:type="dxa"/>
            <w:tcBorders>
              <w:top w:val="nil"/>
              <w:left w:val="nil"/>
              <w:bottom w:val="nil"/>
              <w:right w:val="nil"/>
            </w:tcBorders>
            <w:shd w:val="clear" w:color="000000" w:fill="FFFFFF"/>
            <w:vAlign w:val="center"/>
            <w:hideMark/>
          </w:tcPr>
          <w:p w14:paraId="74EBECFF" w14:textId="77777777" w:rsidR="0021298F" w:rsidRPr="00FD2040" w:rsidRDefault="0021298F" w:rsidP="00760009">
            <w:pPr>
              <w:rPr>
                <w:rFonts w:ascii="Calibri" w:eastAsia="Times New Roman" w:hAnsi="Calibri" w:cs="Calibri"/>
                <w:color w:val="000000"/>
                <w:lang w:eastAsia="en-GB"/>
              </w:rPr>
            </w:pPr>
            <w:r w:rsidRPr="00FD2040">
              <w:rPr>
                <w:rFonts w:ascii="Calibri" w:eastAsia="Times New Roman" w:hAnsi="Calibri" w:cs="Calibri"/>
                <w:color w:val="000000"/>
                <w:lang w:eastAsia="en-GB"/>
              </w:rPr>
              <w:t> </w:t>
            </w:r>
          </w:p>
        </w:tc>
        <w:tc>
          <w:tcPr>
            <w:tcW w:w="1200" w:type="dxa"/>
            <w:tcBorders>
              <w:top w:val="nil"/>
              <w:left w:val="nil"/>
              <w:bottom w:val="nil"/>
              <w:right w:val="nil"/>
            </w:tcBorders>
            <w:shd w:val="clear" w:color="000000" w:fill="FFFFFF"/>
            <w:noWrap/>
            <w:vAlign w:val="center"/>
            <w:hideMark/>
          </w:tcPr>
          <w:p w14:paraId="19EFDC97" w14:textId="77777777" w:rsidR="0021298F" w:rsidRPr="00FD2040" w:rsidRDefault="0021298F" w:rsidP="00760009">
            <w:pPr>
              <w:jc w:val="right"/>
              <w:rPr>
                <w:rFonts w:ascii="Arial" w:eastAsia="Times New Roman" w:hAnsi="Arial" w:cs="Arial"/>
                <w:b/>
                <w:bCs/>
                <w:color w:val="000000"/>
                <w:sz w:val="20"/>
                <w:szCs w:val="20"/>
                <w:lang w:eastAsia="en-GB"/>
              </w:rPr>
            </w:pPr>
            <w:r w:rsidRPr="00FD2040">
              <w:rPr>
                <w:rFonts w:ascii="Arial" w:eastAsia="Times New Roman" w:hAnsi="Arial" w:cs="Arial"/>
                <w:b/>
                <w:bCs/>
                <w:color w:val="000000"/>
                <w:sz w:val="20"/>
                <w:szCs w:val="20"/>
                <w:lang w:eastAsia="en-GB"/>
              </w:rPr>
              <w:t>3,800</w:t>
            </w:r>
          </w:p>
        </w:tc>
        <w:tc>
          <w:tcPr>
            <w:tcW w:w="1200" w:type="dxa"/>
            <w:tcBorders>
              <w:top w:val="nil"/>
              <w:left w:val="nil"/>
              <w:bottom w:val="nil"/>
              <w:right w:val="nil"/>
            </w:tcBorders>
            <w:shd w:val="clear" w:color="000000" w:fill="FFFFFF"/>
            <w:noWrap/>
            <w:vAlign w:val="center"/>
            <w:hideMark/>
          </w:tcPr>
          <w:p w14:paraId="21EE3A57" w14:textId="77777777" w:rsidR="0021298F" w:rsidRPr="00FD2040" w:rsidRDefault="0021298F" w:rsidP="00760009">
            <w:pPr>
              <w:jc w:val="right"/>
              <w:rPr>
                <w:rFonts w:ascii="Arial" w:eastAsia="Times New Roman" w:hAnsi="Arial" w:cs="Arial"/>
                <w:b/>
                <w:bCs/>
                <w:color w:val="000000"/>
                <w:sz w:val="20"/>
                <w:szCs w:val="20"/>
                <w:lang w:eastAsia="en-GB"/>
              </w:rPr>
            </w:pPr>
            <w:r w:rsidRPr="00FD2040">
              <w:rPr>
                <w:rFonts w:ascii="Arial" w:eastAsia="Times New Roman" w:hAnsi="Arial" w:cs="Arial"/>
                <w:b/>
                <w:bCs/>
                <w:color w:val="000000"/>
                <w:sz w:val="20"/>
                <w:szCs w:val="20"/>
                <w:lang w:eastAsia="en-GB"/>
              </w:rPr>
              <w:t>120,009</w:t>
            </w:r>
          </w:p>
        </w:tc>
        <w:tc>
          <w:tcPr>
            <w:tcW w:w="1440" w:type="dxa"/>
            <w:tcBorders>
              <w:top w:val="nil"/>
              <w:left w:val="nil"/>
              <w:bottom w:val="nil"/>
              <w:right w:val="nil"/>
            </w:tcBorders>
            <w:shd w:val="clear" w:color="000000" w:fill="FFFFFF"/>
            <w:vAlign w:val="center"/>
            <w:hideMark/>
          </w:tcPr>
          <w:p w14:paraId="4B40D8E5" w14:textId="77777777" w:rsidR="0021298F" w:rsidRPr="00FD2040" w:rsidRDefault="0021298F" w:rsidP="00760009">
            <w:pPr>
              <w:jc w:val="right"/>
              <w:rPr>
                <w:rFonts w:ascii="Arial" w:eastAsia="Times New Roman" w:hAnsi="Arial" w:cs="Arial"/>
                <w:b/>
                <w:bCs/>
                <w:color w:val="000000"/>
                <w:sz w:val="20"/>
                <w:szCs w:val="20"/>
                <w:lang w:eastAsia="en-GB"/>
              </w:rPr>
            </w:pPr>
            <w:r w:rsidRPr="00FD2040">
              <w:rPr>
                <w:rFonts w:ascii="Arial" w:eastAsia="Times New Roman" w:hAnsi="Arial" w:cs="Arial"/>
                <w:b/>
                <w:bCs/>
                <w:color w:val="000000"/>
                <w:sz w:val="20"/>
                <w:szCs w:val="20"/>
                <w:lang w:eastAsia="en-GB"/>
              </w:rPr>
              <w:t>229,153</w:t>
            </w:r>
          </w:p>
        </w:tc>
        <w:tc>
          <w:tcPr>
            <w:tcW w:w="1180" w:type="dxa"/>
            <w:tcBorders>
              <w:top w:val="nil"/>
              <w:left w:val="nil"/>
              <w:bottom w:val="nil"/>
              <w:right w:val="nil"/>
            </w:tcBorders>
            <w:shd w:val="clear" w:color="000000" w:fill="FFFFFF"/>
            <w:noWrap/>
            <w:vAlign w:val="center"/>
            <w:hideMark/>
          </w:tcPr>
          <w:p w14:paraId="11CDB95D" w14:textId="77777777" w:rsidR="0021298F" w:rsidRPr="00FD2040" w:rsidRDefault="0021298F" w:rsidP="00760009">
            <w:pPr>
              <w:jc w:val="right"/>
              <w:rPr>
                <w:rFonts w:ascii="Arial" w:eastAsia="Times New Roman" w:hAnsi="Arial" w:cs="Arial"/>
                <w:b/>
                <w:bCs/>
                <w:color w:val="000000"/>
                <w:sz w:val="20"/>
                <w:szCs w:val="20"/>
                <w:lang w:eastAsia="en-GB"/>
              </w:rPr>
            </w:pPr>
            <w:r w:rsidRPr="00FD2040">
              <w:rPr>
                <w:rFonts w:ascii="Arial" w:eastAsia="Times New Roman" w:hAnsi="Arial" w:cs="Arial"/>
                <w:b/>
                <w:bCs/>
                <w:color w:val="000000"/>
                <w:sz w:val="20"/>
                <w:szCs w:val="20"/>
                <w:lang w:eastAsia="en-GB"/>
              </w:rPr>
              <w:t>40,992</w:t>
            </w:r>
          </w:p>
        </w:tc>
        <w:tc>
          <w:tcPr>
            <w:tcW w:w="1200" w:type="dxa"/>
            <w:tcBorders>
              <w:top w:val="nil"/>
              <w:left w:val="nil"/>
              <w:bottom w:val="nil"/>
              <w:right w:val="nil"/>
            </w:tcBorders>
            <w:shd w:val="clear" w:color="000000" w:fill="FFFFFF"/>
            <w:vAlign w:val="center"/>
            <w:hideMark/>
          </w:tcPr>
          <w:p w14:paraId="1C4CD50B" w14:textId="77777777" w:rsidR="0021298F" w:rsidRPr="00FD2040" w:rsidRDefault="0021298F" w:rsidP="00760009">
            <w:pPr>
              <w:jc w:val="right"/>
              <w:rPr>
                <w:rFonts w:ascii="Arial" w:eastAsia="Times New Roman" w:hAnsi="Arial" w:cs="Arial"/>
                <w:b/>
                <w:bCs/>
                <w:color w:val="000000"/>
                <w:sz w:val="20"/>
                <w:szCs w:val="20"/>
                <w:lang w:eastAsia="en-GB"/>
              </w:rPr>
            </w:pPr>
            <w:r w:rsidRPr="00FD2040">
              <w:rPr>
                <w:rFonts w:ascii="Arial" w:eastAsia="Times New Roman" w:hAnsi="Arial" w:cs="Arial"/>
                <w:b/>
                <w:bCs/>
                <w:color w:val="000000"/>
                <w:sz w:val="20"/>
                <w:szCs w:val="20"/>
                <w:lang w:eastAsia="en-GB"/>
              </w:rPr>
              <w:t>393,954</w:t>
            </w:r>
          </w:p>
        </w:tc>
      </w:tr>
      <w:tr w:rsidR="0021298F" w:rsidRPr="00FD2040" w14:paraId="4AA79FDB" w14:textId="77777777" w:rsidTr="00760009">
        <w:trPr>
          <w:trHeight w:val="300"/>
        </w:trPr>
        <w:tc>
          <w:tcPr>
            <w:tcW w:w="2619" w:type="dxa"/>
            <w:tcBorders>
              <w:top w:val="nil"/>
              <w:left w:val="nil"/>
              <w:bottom w:val="nil"/>
              <w:right w:val="nil"/>
            </w:tcBorders>
            <w:shd w:val="clear" w:color="000000" w:fill="FFFFFF"/>
            <w:vAlign w:val="center"/>
            <w:hideMark/>
          </w:tcPr>
          <w:p w14:paraId="6CFD072E" w14:textId="77777777" w:rsidR="0021298F" w:rsidRPr="00FD2040" w:rsidRDefault="0021298F" w:rsidP="00760009">
            <w:pPr>
              <w:rPr>
                <w:rFonts w:ascii="Arial" w:eastAsia="Times New Roman" w:hAnsi="Arial" w:cs="Arial"/>
                <w:color w:val="000000"/>
                <w:sz w:val="20"/>
                <w:szCs w:val="20"/>
                <w:lang w:eastAsia="en-GB"/>
              </w:rPr>
            </w:pPr>
            <w:r w:rsidRPr="00FD2040">
              <w:rPr>
                <w:rFonts w:ascii="Arial" w:eastAsia="Times New Roman" w:hAnsi="Arial" w:cs="Arial"/>
                <w:color w:val="000000"/>
                <w:sz w:val="20"/>
                <w:szCs w:val="20"/>
                <w:lang w:eastAsia="en-GB"/>
              </w:rPr>
              <w:t>Issue of share capital</w:t>
            </w:r>
          </w:p>
        </w:tc>
        <w:tc>
          <w:tcPr>
            <w:tcW w:w="661" w:type="dxa"/>
            <w:tcBorders>
              <w:top w:val="nil"/>
              <w:left w:val="nil"/>
              <w:bottom w:val="nil"/>
              <w:right w:val="nil"/>
            </w:tcBorders>
            <w:shd w:val="clear" w:color="000000" w:fill="FFFFFF"/>
            <w:vAlign w:val="center"/>
            <w:hideMark/>
          </w:tcPr>
          <w:p w14:paraId="42095431" w14:textId="77777777" w:rsidR="0021298F" w:rsidRPr="00FD2040" w:rsidRDefault="0021298F" w:rsidP="00760009">
            <w:pPr>
              <w:jc w:val="center"/>
              <w:rPr>
                <w:rFonts w:ascii="Arial" w:eastAsia="Times New Roman" w:hAnsi="Arial" w:cs="Arial"/>
                <w:b/>
                <w:bCs/>
                <w:color w:val="000000"/>
                <w:sz w:val="20"/>
                <w:szCs w:val="20"/>
                <w:lang w:eastAsia="en-GB"/>
              </w:rPr>
            </w:pPr>
            <w:r w:rsidRPr="00FD2040">
              <w:rPr>
                <w:rFonts w:ascii="Arial" w:eastAsia="Times New Roman" w:hAnsi="Arial" w:cs="Arial"/>
                <w:b/>
                <w:bCs/>
                <w:color w:val="000000"/>
                <w:sz w:val="20"/>
                <w:szCs w:val="20"/>
                <w:lang w:eastAsia="en-GB"/>
              </w:rPr>
              <w:t>15</w:t>
            </w:r>
          </w:p>
        </w:tc>
        <w:tc>
          <w:tcPr>
            <w:tcW w:w="1200" w:type="dxa"/>
            <w:tcBorders>
              <w:top w:val="nil"/>
              <w:left w:val="nil"/>
              <w:bottom w:val="nil"/>
              <w:right w:val="nil"/>
            </w:tcBorders>
            <w:shd w:val="clear" w:color="000000" w:fill="FFFFFF"/>
            <w:noWrap/>
            <w:vAlign w:val="center"/>
            <w:hideMark/>
          </w:tcPr>
          <w:p w14:paraId="7AEFA59A" w14:textId="77777777" w:rsidR="0021298F" w:rsidRPr="00FD2040" w:rsidRDefault="0021298F" w:rsidP="00760009">
            <w:pPr>
              <w:jc w:val="right"/>
              <w:rPr>
                <w:rFonts w:ascii="Arial" w:eastAsia="Times New Roman" w:hAnsi="Arial" w:cs="Arial"/>
                <w:color w:val="000000"/>
                <w:sz w:val="20"/>
                <w:szCs w:val="20"/>
                <w:lang w:eastAsia="en-GB"/>
              </w:rPr>
            </w:pPr>
            <w:r w:rsidRPr="00FD2040">
              <w:rPr>
                <w:rFonts w:ascii="Arial" w:eastAsia="Times New Roman" w:hAnsi="Arial" w:cs="Arial"/>
                <w:color w:val="000000"/>
                <w:sz w:val="20"/>
                <w:szCs w:val="20"/>
                <w:lang w:eastAsia="en-GB"/>
              </w:rPr>
              <w:t>2,506</w:t>
            </w:r>
          </w:p>
        </w:tc>
        <w:tc>
          <w:tcPr>
            <w:tcW w:w="1200" w:type="dxa"/>
            <w:tcBorders>
              <w:top w:val="nil"/>
              <w:left w:val="nil"/>
              <w:bottom w:val="nil"/>
              <w:right w:val="nil"/>
            </w:tcBorders>
            <w:shd w:val="clear" w:color="000000" w:fill="FFFFFF"/>
            <w:noWrap/>
            <w:vAlign w:val="center"/>
            <w:hideMark/>
          </w:tcPr>
          <w:p w14:paraId="56B101ED" w14:textId="77777777" w:rsidR="0021298F" w:rsidRPr="00FD2040" w:rsidRDefault="0021298F" w:rsidP="00760009">
            <w:pPr>
              <w:jc w:val="right"/>
              <w:rPr>
                <w:rFonts w:ascii="Arial" w:eastAsia="Times New Roman" w:hAnsi="Arial" w:cs="Arial"/>
                <w:color w:val="000000"/>
                <w:sz w:val="20"/>
                <w:szCs w:val="20"/>
                <w:lang w:eastAsia="en-GB"/>
              </w:rPr>
            </w:pPr>
            <w:r w:rsidRPr="00FD2040">
              <w:rPr>
                <w:rFonts w:ascii="Arial" w:eastAsia="Times New Roman" w:hAnsi="Arial" w:cs="Arial"/>
                <w:color w:val="000000"/>
                <w:sz w:val="20"/>
                <w:szCs w:val="20"/>
                <w:lang w:eastAsia="en-GB"/>
              </w:rPr>
              <w:t>270,194</w:t>
            </w:r>
          </w:p>
        </w:tc>
        <w:tc>
          <w:tcPr>
            <w:tcW w:w="1440" w:type="dxa"/>
            <w:tcBorders>
              <w:top w:val="nil"/>
              <w:left w:val="nil"/>
              <w:bottom w:val="nil"/>
              <w:right w:val="nil"/>
            </w:tcBorders>
            <w:shd w:val="clear" w:color="000000" w:fill="FFFFFF"/>
            <w:noWrap/>
            <w:vAlign w:val="center"/>
            <w:hideMark/>
          </w:tcPr>
          <w:p w14:paraId="5FA3BA09" w14:textId="77777777" w:rsidR="0021298F" w:rsidRPr="00FD2040" w:rsidRDefault="0021298F" w:rsidP="00760009">
            <w:pPr>
              <w:jc w:val="right"/>
              <w:rPr>
                <w:rFonts w:ascii="Arial" w:eastAsia="Times New Roman" w:hAnsi="Arial" w:cs="Arial"/>
                <w:color w:val="000000"/>
                <w:sz w:val="20"/>
                <w:szCs w:val="20"/>
                <w:lang w:eastAsia="en-GB"/>
              </w:rPr>
            </w:pPr>
            <w:r w:rsidRPr="00FD2040">
              <w:rPr>
                <w:rFonts w:ascii="Arial" w:eastAsia="Times New Roman" w:hAnsi="Arial" w:cs="Arial"/>
                <w:color w:val="000000"/>
                <w:sz w:val="20"/>
                <w:szCs w:val="20"/>
                <w:lang w:eastAsia="en-GB"/>
              </w:rPr>
              <w:t>-</w:t>
            </w:r>
          </w:p>
        </w:tc>
        <w:tc>
          <w:tcPr>
            <w:tcW w:w="1180" w:type="dxa"/>
            <w:tcBorders>
              <w:top w:val="nil"/>
              <w:left w:val="nil"/>
              <w:bottom w:val="nil"/>
              <w:right w:val="nil"/>
            </w:tcBorders>
            <w:shd w:val="clear" w:color="000000" w:fill="FFFFFF"/>
            <w:noWrap/>
            <w:vAlign w:val="center"/>
            <w:hideMark/>
          </w:tcPr>
          <w:p w14:paraId="2724DC6A" w14:textId="77777777" w:rsidR="0021298F" w:rsidRPr="00FD2040" w:rsidRDefault="0021298F" w:rsidP="00760009">
            <w:pPr>
              <w:jc w:val="right"/>
              <w:rPr>
                <w:rFonts w:ascii="Arial" w:eastAsia="Times New Roman" w:hAnsi="Arial" w:cs="Arial"/>
                <w:color w:val="000000"/>
                <w:sz w:val="20"/>
                <w:szCs w:val="20"/>
                <w:lang w:eastAsia="en-GB"/>
              </w:rPr>
            </w:pPr>
            <w:r w:rsidRPr="00FD2040">
              <w:rPr>
                <w:rFonts w:ascii="Arial" w:eastAsia="Times New Roman" w:hAnsi="Arial" w:cs="Arial"/>
                <w:color w:val="000000"/>
                <w:sz w:val="20"/>
                <w:szCs w:val="20"/>
                <w:lang w:eastAsia="en-GB"/>
              </w:rPr>
              <w:t>-</w:t>
            </w:r>
          </w:p>
        </w:tc>
        <w:tc>
          <w:tcPr>
            <w:tcW w:w="1200" w:type="dxa"/>
            <w:tcBorders>
              <w:top w:val="nil"/>
              <w:left w:val="nil"/>
              <w:bottom w:val="nil"/>
              <w:right w:val="nil"/>
            </w:tcBorders>
            <w:shd w:val="clear" w:color="000000" w:fill="FFFFFF"/>
            <w:noWrap/>
            <w:vAlign w:val="center"/>
            <w:hideMark/>
          </w:tcPr>
          <w:p w14:paraId="4C288C9F" w14:textId="77777777" w:rsidR="0021298F" w:rsidRPr="00FD2040" w:rsidRDefault="0021298F" w:rsidP="00760009">
            <w:pPr>
              <w:jc w:val="right"/>
              <w:rPr>
                <w:rFonts w:ascii="Arial" w:eastAsia="Times New Roman" w:hAnsi="Arial" w:cs="Arial"/>
                <w:b/>
                <w:bCs/>
                <w:color w:val="000000"/>
                <w:sz w:val="20"/>
                <w:szCs w:val="20"/>
                <w:lang w:eastAsia="en-GB"/>
              </w:rPr>
            </w:pPr>
            <w:r w:rsidRPr="00FD2040">
              <w:rPr>
                <w:rFonts w:ascii="Arial" w:eastAsia="Times New Roman" w:hAnsi="Arial" w:cs="Arial"/>
                <w:b/>
                <w:bCs/>
                <w:color w:val="000000"/>
                <w:sz w:val="20"/>
                <w:szCs w:val="20"/>
                <w:lang w:eastAsia="en-GB"/>
              </w:rPr>
              <w:t>272,700</w:t>
            </w:r>
          </w:p>
        </w:tc>
      </w:tr>
      <w:tr w:rsidR="0021298F" w:rsidRPr="00FD2040" w14:paraId="7DD2D83A" w14:textId="77777777" w:rsidTr="00760009">
        <w:trPr>
          <w:trHeight w:val="300"/>
        </w:trPr>
        <w:tc>
          <w:tcPr>
            <w:tcW w:w="2619" w:type="dxa"/>
            <w:tcBorders>
              <w:top w:val="nil"/>
              <w:left w:val="nil"/>
              <w:bottom w:val="nil"/>
              <w:right w:val="nil"/>
            </w:tcBorders>
            <w:shd w:val="clear" w:color="000000" w:fill="FFFFFF"/>
            <w:vAlign w:val="center"/>
            <w:hideMark/>
          </w:tcPr>
          <w:p w14:paraId="1BAC6436" w14:textId="77777777" w:rsidR="0021298F" w:rsidRPr="00FD2040" w:rsidRDefault="0021298F" w:rsidP="00760009">
            <w:pPr>
              <w:rPr>
                <w:rFonts w:ascii="Arial" w:eastAsia="Times New Roman" w:hAnsi="Arial" w:cs="Arial"/>
                <w:color w:val="000000"/>
                <w:sz w:val="20"/>
                <w:szCs w:val="20"/>
                <w:lang w:eastAsia="en-GB"/>
              </w:rPr>
            </w:pPr>
            <w:r w:rsidRPr="00FD2040">
              <w:rPr>
                <w:rFonts w:ascii="Arial" w:eastAsia="Times New Roman" w:hAnsi="Arial" w:cs="Arial"/>
                <w:color w:val="000000"/>
                <w:sz w:val="20"/>
                <w:szCs w:val="20"/>
                <w:lang w:eastAsia="en-GB"/>
              </w:rPr>
              <w:t xml:space="preserve">Share issue costs </w:t>
            </w:r>
          </w:p>
        </w:tc>
        <w:tc>
          <w:tcPr>
            <w:tcW w:w="661" w:type="dxa"/>
            <w:tcBorders>
              <w:top w:val="nil"/>
              <w:left w:val="nil"/>
              <w:bottom w:val="nil"/>
              <w:right w:val="nil"/>
            </w:tcBorders>
            <w:shd w:val="clear" w:color="000000" w:fill="FFFFFF"/>
            <w:vAlign w:val="center"/>
            <w:hideMark/>
          </w:tcPr>
          <w:p w14:paraId="3F8D2251" w14:textId="77777777" w:rsidR="0021298F" w:rsidRPr="00FD2040" w:rsidRDefault="0021298F" w:rsidP="00760009">
            <w:pPr>
              <w:jc w:val="center"/>
              <w:rPr>
                <w:rFonts w:ascii="Arial" w:eastAsia="Times New Roman" w:hAnsi="Arial" w:cs="Arial"/>
                <w:b/>
                <w:bCs/>
                <w:color w:val="000000"/>
                <w:sz w:val="20"/>
                <w:szCs w:val="20"/>
                <w:lang w:eastAsia="en-GB"/>
              </w:rPr>
            </w:pPr>
            <w:r w:rsidRPr="00FD2040">
              <w:rPr>
                <w:rFonts w:ascii="Arial" w:eastAsia="Times New Roman" w:hAnsi="Arial" w:cs="Arial"/>
                <w:b/>
                <w:bCs/>
                <w:color w:val="000000"/>
                <w:sz w:val="20"/>
                <w:szCs w:val="20"/>
                <w:lang w:eastAsia="en-GB"/>
              </w:rPr>
              <w:t>15</w:t>
            </w:r>
          </w:p>
        </w:tc>
        <w:tc>
          <w:tcPr>
            <w:tcW w:w="1200" w:type="dxa"/>
            <w:tcBorders>
              <w:top w:val="nil"/>
              <w:left w:val="nil"/>
              <w:bottom w:val="nil"/>
              <w:right w:val="nil"/>
            </w:tcBorders>
            <w:shd w:val="clear" w:color="000000" w:fill="FFFFFF"/>
            <w:noWrap/>
            <w:vAlign w:val="center"/>
            <w:hideMark/>
          </w:tcPr>
          <w:p w14:paraId="246A47D5" w14:textId="77777777" w:rsidR="0021298F" w:rsidRPr="00FD2040" w:rsidRDefault="0021298F" w:rsidP="00760009">
            <w:pPr>
              <w:jc w:val="right"/>
              <w:rPr>
                <w:rFonts w:ascii="Arial" w:eastAsia="Times New Roman" w:hAnsi="Arial" w:cs="Arial"/>
                <w:color w:val="000000"/>
                <w:sz w:val="20"/>
                <w:szCs w:val="20"/>
                <w:lang w:eastAsia="en-GB"/>
              </w:rPr>
            </w:pPr>
            <w:r w:rsidRPr="00FD2040">
              <w:rPr>
                <w:rFonts w:ascii="Arial" w:eastAsia="Times New Roman" w:hAnsi="Arial" w:cs="Arial"/>
                <w:color w:val="000000"/>
                <w:sz w:val="20"/>
                <w:szCs w:val="20"/>
                <w:lang w:eastAsia="en-GB"/>
              </w:rPr>
              <w:t>-</w:t>
            </w:r>
          </w:p>
        </w:tc>
        <w:tc>
          <w:tcPr>
            <w:tcW w:w="1200" w:type="dxa"/>
            <w:tcBorders>
              <w:top w:val="nil"/>
              <w:left w:val="nil"/>
              <w:bottom w:val="nil"/>
              <w:right w:val="nil"/>
            </w:tcBorders>
            <w:shd w:val="clear" w:color="000000" w:fill="FFFFFF"/>
            <w:vAlign w:val="center"/>
            <w:hideMark/>
          </w:tcPr>
          <w:p w14:paraId="1C527805" w14:textId="77777777" w:rsidR="0021298F" w:rsidRPr="00FD2040" w:rsidRDefault="0021298F" w:rsidP="00760009">
            <w:pPr>
              <w:jc w:val="right"/>
              <w:rPr>
                <w:rFonts w:ascii="Arial" w:eastAsia="Times New Roman" w:hAnsi="Arial" w:cs="Arial"/>
                <w:color w:val="000000"/>
                <w:sz w:val="20"/>
                <w:szCs w:val="20"/>
                <w:lang w:eastAsia="en-GB"/>
              </w:rPr>
            </w:pPr>
            <w:r w:rsidRPr="00FD2040">
              <w:rPr>
                <w:rFonts w:ascii="Arial" w:eastAsia="Times New Roman" w:hAnsi="Arial" w:cs="Arial"/>
                <w:color w:val="000000"/>
                <w:sz w:val="20"/>
                <w:szCs w:val="20"/>
                <w:lang w:eastAsia="en-GB"/>
              </w:rPr>
              <w:t xml:space="preserve"> (4,534)</w:t>
            </w:r>
          </w:p>
        </w:tc>
        <w:tc>
          <w:tcPr>
            <w:tcW w:w="1440" w:type="dxa"/>
            <w:tcBorders>
              <w:top w:val="nil"/>
              <w:left w:val="nil"/>
              <w:bottom w:val="nil"/>
              <w:right w:val="nil"/>
            </w:tcBorders>
            <w:shd w:val="clear" w:color="000000" w:fill="FFFFFF"/>
            <w:noWrap/>
            <w:vAlign w:val="center"/>
            <w:hideMark/>
          </w:tcPr>
          <w:p w14:paraId="22D30FCA" w14:textId="77777777" w:rsidR="0021298F" w:rsidRPr="00FD2040" w:rsidRDefault="0021298F" w:rsidP="00760009">
            <w:pPr>
              <w:jc w:val="right"/>
              <w:rPr>
                <w:rFonts w:ascii="Arial" w:eastAsia="Times New Roman" w:hAnsi="Arial" w:cs="Arial"/>
                <w:color w:val="000000"/>
                <w:sz w:val="20"/>
                <w:szCs w:val="20"/>
                <w:lang w:eastAsia="en-GB"/>
              </w:rPr>
            </w:pPr>
            <w:r w:rsidRPr="00FD2040">
              <w:rPr>
                <w:rFonts w:ascii="Arial" w:eastAsia="Times New Roman" w:hAnsi="Arial" w:cs="Arial"/>
                <w:color w:val="000000"/>
                <w:sz w:val="20"/>
                <w:szCs w:val="20"/>
                <w:lang w:eastAsia="en-GB"/>
              </w:rPr>
              <w:t>-</w:t>
            </w:r>
          </w:p>
        </w:tc>
        <w:tc>
          <w:tcPr>
            <w:tcW w:w="1180" w:type="dxa"/>
            <w:tcBorders>
              <w:top w:val="nil"/>
              <w:left w:val="nil"/>
              <w:bottom w:val="nil"/>
              <w:right w:val="nil"/>
            </w:tcBorders>
            <w:shd w:val="clear" w:color="000000" w:fill="FFFFFF"/>
            <w:noWrap/>
            <w:vAlign w:val="center"/>
            <w:hideMark/>
          </w:tcPr>
          <w:p w14:paraId="16118629" w14:textId="77777777" w:rsidR="0021298F" w:rsidRPr="00FD2040" w:rsidRDefault="0021298F" w:rsidP="00760009">
            <w:pPr>
              <w:jc w:val="right"/>
              <w:rPr>
                <w:rFonts w:ascii="Arial" w:eastAsia="Times New Roman" w:hAnsi="Arial" w:cs="Arial"/>
                <w:color w:val="000000"/>
                <w:sz w:val="20"/>
                <w:szCs w:val="20"/>
                <w:lang w:eastAsia="en-GB"/>
              </w:rPr>
            </w:pPr>
            <w:r w:rsidRPr="00FD2040">
              <w:rPr>
                <w:rFonts w:ascii="Arial" w:eastAsia="Times New Roman" w:hAnsi="Arial" w:cs="Arial"/>
                <w:color w:val="000000"/>
                <w:sz w:val="20"/>
                <w:szCs w:val="20"/>
                <w:lang w:eastAsia="en-GB"/>
              </w:rPr>
              <w:t>-</w:t>
            </w:r>
          </w:p>
        </w:tc>
        <w:tc>
          <w:tcPr>
            <w:tcW w:w="1200" w:type="dxa"/>
            <w:tcBorders>
              <w:top w:val="nil"/>
              <w:left w:val="nil"/>
              <w:bottom w:val="nil"/>
              <w:right w:val="nil"/>
            </w:tcBorders>
            <w:shd w:val="clear" w:color="000000" w:fill="FFFFFF"/>
            <w:vAlign w:val="center"/>
            <w:hideMark/>
          </w:tcPr>
          <w:p w14:paraId="39549B33" w14:textId="77777777" w:rsidR="0021298F" w:rsidRPr="00FD2040" w:rsidRDefault="0021298F" w:rsidP="00760009">
            <w:pPr>
              <w:jc w:val="right"/>
              <w:rPr>
                <w:rFonts w:ascii="Arial" w:eastAsia="Times New Roman" w:hAnsi="Arial" w:cs="Arial"/>
                <w:b/>
                <w:bCs/>
                <w:color w:val="000000"/>
                <w:sz w:val="20"/>
                <w:szCs w:val="20"/>
                <w:lang w:eastAsia="en-GB"/>
              </w:rPr>
            </w:pPr>
            <w:r w:rsidRPr="00FD2040">
              <w:rPr>
                <w:rFonts w:ascii="Arial" w:eastAsia="Times New Roman" w:hAnsi="Arial" w:cs="Arial"/>
                <w:b/>
                <w:bCs/>
                <w:color w:val="000000"/>
                <w:sz w:val="20"/>
                <w:szCs w:val="20"/>
                <w:lang w:eastAsia="en-GB"/>
              </w:rPr>
              <w:t xml:space="preserve"> (4,534)</w:t>
            </w:r>
          </w:p>
        </w:tc>
      </w:tr>
      <w:tr w:rsidR="0021298F" w:rsidRPr="00FD2040" w14:paraId="7C462561" w14:textId="77777777" w:rsidTr="00760009">
        <w:trPr>
          <w:trHeight w:val="300"/>
        </w:trPr>
        <w:tc>
          <w:tcPr>
            <w:tcW w:w="2619" w:type="dxa"/>
            <w:tcBorders>
              <w:top w:val="nil"/>
              <w:left w:val="nil"/>
              <w:bottom w:val="nil"/>
              <w:right w:val="nil"/>
            </w:tcBorders>
            <w:shd w:val="clear" w:color="000000" w:fill="FFFFFF"/>
            <w:vAlign w:val="center"/>
            <w:hideMark/>
          </w:tcPr>
          <w:p w14:paraId="1CBE2E12" w14:textId="77777777" w:rsidR="0021298F" w:rsidRPr="00FD2040" w:rsidRDefault="0021298F" w:rsidP="00760009">
            <w:pPr>
              <w:rPr>
                <w:rFonts w:ascii="Arial" w:eastAsia="Times New Roman" w:hAnsi="Arial" w:cs="Arial"/>
                <w:color w:val="000000"/>
                <w:sz w:val="20"/>
                <w:szCs w:val="20"/>
                <w:lang w:eastAsia="en-GB"/>
              </w:rPr>
            </w:pPr>
            <w:r w:rsidRPr="00FD2040">
              <w:rPr>
                <w:rFonts w:ascii="Arial" w:eastAsia="Times New Roman" w:hAnsi="Arial" w:cs="Arial"/>
                <w:color w:val="000000"/>
                <w:sz w:val="20"/>
                <w:szCs w:val="20"/>
                <w:lang w:eastAsia="en-GB"/>
              </w:rPr>
              <w:t>Dividends</w:t>
            </w:r>
          </w:p>
        </w:tc>
        <w:tc>
          <w:tcPr>
            <w:tcW w:w="661" w:type="dxa"/>
            <w:tcBorders>
              <w:top w:val="nil"/>
              <w:left w:val="nil"/>
              <w:bottom w:val="nil"/>
              <w:right w:val="nil"/>
            </w:tcBorders>
            <w:shd w:val="clear" w:color="000000" w:fill="FFFFFF"/>
            <w:vAlign w:val="center"/>
            <w:hideMark/>
          </w:tcPr>
          <w:p w14:paraId="46FA2BE6" w14:textId="77777777" w:rsidR="0021298F" w:rsidRPr="00FD2040" w:rsidRDefault="0021298F" w:rsidP="00760009">
            <w:pPr>
              <w:jc w:val="center"/>
              <w:rPr>
                <w:rFonts w:ascii="Arial" w:eastAsia="Times New Roman" w:hAnsi="Arial" w:cs="Arial"/>
                <w:b/>
                <w:bCs/>
                <w:color w:val="000000"/>
                <w:sz w:val="20"/>
                <w:szCs w:val="20"/>
                <w:lang w:eastAsia="en-GB"/>
              </w:rPr>
            </w:pPr>
            <w:r w:rsidRPr="00FD2040">
              <w:rPr>
                <w:rFonts w:ascii="Arial" w:eastAsia="Times New Roman" w:hAnsi="Arial" w:cs="Arial"/>
                <w:b/>
                <w:bCs/>
                <w:color w:val="000000"/>
                <w:sz w:val="20"/>
                <w:szCs w:val="20"/>
                <w:lang w:eastAsia="en-GB"/>
              </w:rPr>
              <w:t>8</w:t>
            </w:r>
          </w:p>
        </w:tc>
        <w:tc>
          <w:tcPr>
            <w:tcW w:w="1200" w:type="dxa"/>
            <w:tcBorders>
              <w:top w:val="nil"/>
              <w:left w:val="nil"/>
              <w:bottom w:val="nil"/>
              <w:right w:val="nil"/>
            </w:tcBorders>
            <w:shd w:val="clear" w:color="000000" w:fill="FFFFFF"/>
            <w:noWrap/>
            <w:vAlign w:val="center"/>
            <w:hideMark/>
          </w:tcPr>
          <w:p w14:paraId="0672FBB6" w14:textId="77777777" w:rsidR="0021298F" w:rsidRPr="00FD2040" w:rsidRDefault="0021298F" w:rsidP="00760009">
            <w:pPr>
              <w:jc w:val="right"/>
              <w:rPr>
                <w:rFonts w:ascii="Arial" w:eastAsia="Times New Roman" w:hAnsi="Arial" w:cs="Arial"/>
                <w:color w:val="000000"/>
                <w:sz w:val="20"/>
                <w:szCs w:val="20"/>
                <w:lang w:eastAsia="en-GB"/>
              </w:rPr>
            </w:pPr>
            <w:r w:rsidRPr="00FD2040">
              <w:rPr>
                <w:rFonts w:ascii="Arial" w:eastAsia="Times New Roman" w:hAnsi="Arial" w:cs="Arial"/>
                <w:color w:val="000000"/>
                <w:sz w:val="20"/>
                <w:szCs w:val="20"/>
                <w:lang w:eastAsia="en-GB"/>
              </w:rPr>
              <w:t>-</w:t>
            </w:r>
          </w:p>
        </w:tc>
        <w:tc>
          <w:tcPr>
            <w:tcW w:w="1200" w:type="dxa"/>
            <w:tcBorders>
              <w:top w:val="nil"/>
              <w:left w:val="nil"/>
              <w:bottom w:val="nil"/>
              <w:right w:val="nil"/>
            </w:tcBorders>
            <w:shd w:val="clear" w:color="000000" w:fill="FFFFFF"/>
            <w:noWrap/>
            <w:vAlign w:val="center"/>
            <w:hideMark/>
          </w:tcPr>
          <w:p w14:paraId="042F30D7" w14:textId="77777777" w:rsidR="0021298F" w:rsidRPr="00FD2040" w:rsidRDefault="0021298F" w:rsidP="00760009">
            <w:pPr>
              <w:jc w:val="right"/>
              <w:rPr>
                <w:rFonts w:ascii="Arial" w:eastAsia="Times New Roman" w:hAnsi="Arial" w:cs="Arial"/>
                <w:color w:val="000000"/>
                <w:sz w:val="20"/>
                <w:szCs w:val="20"/>
                <w:lang w:eastAsia="en-GB"/>
              </w:rPr>
            </w:pPr>
            <w:r w:rsidRPr="00FD2040">
              <w:rPr>
                <w:rFonts w:ascii="Arial" w:eastAsia="Times New Roman" w:hAnsi="Arial" w:cs="Arial"/>
                <w:color w:val="000000"/>
                <w:sz w:val="20"/>
                <w:szCs w:val="20"/>
                <w:lang w:eastAsia="en-GB"/>
              </w:rPr>
              <w:t>-</w:t>
            </w:r>
          </w:p>
        </w:tc>
        <w:tc>
          <w:tcPr>
            <w:tcW w:w="1440" w:type="dxa"/>
            <w:tcBorders>
              <w:top w:val="nil"/>
              <w:left w:val="nil"/>
              <w:bottom w:val="nil"/>
              <w:right w:val="nil"/>
            </w:tcBorders>
            <w:shd w:val="clear" w:color="000000" w:fill="FFFFFF"/>
            <w:vAlign w:val="center"/>
            <w:hideMark/>
          </w:tcPr>
          <w:p w14:paraId="217152AB" w14:textId="77777777" w:rsidR="0021298F" w:rsidRPr="00FD2040" w:rsidRDefault="0021298F" w:rsidP="00760009">
            <w:pPr>
              <w:jc w:val="right"/>
              <w:rPr>
                <w:rFonts w:ascii="Arial" w:eastAsia="Times New Roman" w:hAnsi="Arial" w:cs="Arial"/>
                <w:color w:val="000000"/>
                <w:sz w:val="20"/>
                <w:szCs w:val="20"/>
                <w:lang w:eastAsia="en-GB"/>
              </w:rPr>
            </w:pPr>
            <w:r w:rsidRPr="00FD2040">
              <w:rPr>
                <w:rFonts w:ascii="Arial" w:eastAsia="Times New Roman" w:hAnsi="Arial" w:cs="Arial"/>
                <w:color w:val="000000"/>
                <w:sz w:val="20"/>
                <w:szCs w:val="20"/>
                <w:lang w:eastAsia="en-GB"/>
              </w:rPr>
              <w:t xml:space="preserve"> (29,217)</w:t>
            </w:r>
          </w:p>
        </w:tc>
        <w:tc>
          <w:tcPr>
            <w:tcW w:w="1180" w:type="dxa"/>
            <w:tcBorders>
              <w:top w:val="nil"/>
              <w:left w:val="nil"/>
              <w:bottom w:val="nil"/>
              <w:right w:val="nil"/>
            </w:tcBorders>
            <w:shd w:val="clear" w:color="000000" w:fill="FFFFFF"/>
            <w:noWrap/>
            <w:vAlign w:val="center"/>
            <w:hideMark/>
          </w:tcPr>
          <w:p w14:paraId="137D2432" w14:textId="77777777" w:rsidR="0021298F" w:rsidRPr="00FD2040" w:rsidRDefault="0021298F" w:rsidP="00760009">
            <w:pPr>
              <w:jc w:val="right"/>
              <w:rPr>
                <w:rFonts w:ascii="Arial" w:eastAsia="Times New Roman" w:hAnsi="Arial" w:cs="Arial"/>
                <w:color w:val="000000"/>
                <w:sz w:val="20"/>
                <w:szCs w:val="20"/>
                <w:lang w:eastAsia="en-GB"/>
              </w:rPr>
            </w:pPr>
            <w:r w:rsidRPr="00FD2040">
              <w:rPr>
                <w:rFonts w:ascii="Arial" w:eastAsia="Times New Roman" w:hAnsi="Arial" w:cs="Arial"/>
                <w:color w:val="000000"/>
                <w:sz w:val="20"/>
                <w:szCs w:val="20"/>
                <w:lang w:eastAsia="en-GB"/>
              </w:rPr>
              <w:t>-</w:t>
            </w:r>
          </w:p>
        </w:tc>
        <w:tc>
          <w:tcPr>
            <w:tcW w:w="1200" w:type="dxa"/>
            <w:tcBorders>
              <w:top w:val="nil"/>
              <w:left w:val="nil"/>
              <w:bottom w:val="nil"/>
              <w:right w:val="nil"/>
            </w:tcBorders>
            <w:shd w:val="clear" w:color="000000" w:fill="FFFFFF"/>
            <w:vAlign w:val="center"/>
            <w:hideMark/>
          </w:tcPr>
          <w:p w14:paraId="42E23CE0" w14:textId="77777777" w:rsidR="0021298F" w:rsidRPr="00FD2040" w:rsidRDefault="0021298F" w:rsidP="00760009">
            <w:pPr>
              <w:jc w:val="right"/>
              <w:rPr>
                <w:rFonts w:ascii="Arial" w:eastAsia="Times New Roman" w:hAnsi="Arial" w:cs="Arial"/>
                <w:b/>
                <w:bCs/>
                <w:color w:val="000000"/>
                <w:sz w:val="20"/>
                <w:szCs w:val="20"/>
                <w:lang w:eastAsia="en-GB"/>
              </w:rPr>
            </w:pPr>
            <w:r w:rsidRPr="00FD2040">
              <w:rPr>
                <w:rFonts w:ascii="Arial" w:eastAsia="Times New Roman" w:hAnsi="Arial" w:cs="Arial"/>
                <w:b/>
                <w:bCs/>
                <w:color w:val="000000"/>
                <w:sz w:val="20"/>
                <w:szCs w:val="20"/>
                <w:lang w:eastAsia="en-GB"/>
              </w:rPr>
              <w:t>(29,217)</w:t>
            </w:r>
          </w:p>
        </w:tc>
      </w:tr>
      <w:tr w:rsidR="0021298F" w:rsidRPr="00FD2040" w14:paraId="16CCF0DF" w14:textId="77777777" w:rsidTr="00760009">
        <w:trPr>
          <w:trHeight w:val="780"/>
        </w:trPr>
        <w:tc>
          <w:tcPr>
            <w:tcW w:w="2619" w:type="dxa"/>
            <w:tcBorders>
              <w:top w:val="nil"/>
              <w:left w:val="nil"/>
              <w:bottom w:val="single" w:sz="8" w:space="0" w:color="auto"/>
              <w:right w:val="nil"/>
            </w:tcBorders>
            <w:shd w:val="clear" w:color="000000" w:fill="FFFFFF"/>
            <w:vAlign w:val="center"/>
            <w:hideMark/>
          </w:tcPr>
          <w:p w14:paraId="2A14E96F" w14:textId="77777777" w:rsidR="0021298F" w:rsidRPr="00FD2040" w:rsidRDefault="0021298F" w:rsidP="00760009">
            <w:pPr>
              <w:rPr>
                <w:rFonts w:ascii="Arial" w:eastAsia="Times New Roman" w:hAnsi="Arial" w:cs="Arial"/>
                <w:color w:val="000000"/>
                <w:sz w:val="20"/>
                <w:szCs w:val="20"/>
                <w:lang w:eastAsia="en-GB"/>
              </w:rPr>
            </w:pPr>
            <w:r w:rsidRPr="00FD2040">
              <w:rPr>
                <w:rFonts w:ascii="Arial" w:eastAsia="Times New Roman" w:hAnsi="Arial" w:cs="Arial"/>
                <w:color w:val="000000"/>
                <w:sz w:val="20"/>
                <w:szCs w:val="20"/>
                <w:lang w:eastAsia="en-GB"/>
              </w:rPr>
              <w:t>Profit and total comprehensive income for the year</w:t>
            </w:r>
          </w:p>
        </w:tc>
        <w:tc>
          <w:tcPr>
            <w:tcW w:w="661" w:type="dxa"/>
            <w:tcBorders>
              <w:top w:val="nil"/>
              <w:left w:val="nil"/>
              <w:bottom w:val="single" w:sz="8" w:space="0" w:color="auto"/>
              <w:right w:val="nil"/>
            </w:tcBorders>
            <w:shd w:val="clear" w:color="000000" w:fill="FFFFFF"/>
            <w:vAlign w:val="center"/>
            <w:hideMark/>
          </w:tcPr>
          <w:p w14:paraId="7F4C1013" w14:textId="77777777" w:rsidR="0021298F" w:rsidRPr="00FD2040" w:rsidRDefault="0021298F" w:rsidP="00760009">
            <w:pPr>
              <w:rPr>
                <w:rFonts w:ascii="Calibri" w:eastAsia="Times New Roman" w:hAnsi="Calibri" w:cs="Calibri"/>
                <w:color w:val="000000"/>
                <w:lang w:eastAsia="en-GB"/>
              </w:rPr>
            </w:pPr>
            <w:r w:rsidRPr="00FD2040">
              <w:rPr>
                <w:rFonts w:ascii="Calibri" w:eastAsia="Times New Roman" w:hAnsi="Calibri" w:cs="Calibri"/>
                <w:color w:val="000000"/>
                <w:lang w:eastAsia="en-GB"/>
              </w:rPr>
              <w:t> </w:t>
            </w:r>
          </w:p>
        </w:tc>
        <w:tc>
          <w:tcPr>
            <w:tcW w:w="1200" w:type="dxa"/>
            <w:tcBorders>
              <w:top w:val="nil"/>
              <w:left w:val="nil"/>
              <w:bottom w:val="single" w:sz="8" w:space="0" w:color="auto"/>
              <w:right w:val="nil"/>
            </w:tcBorders>
            <w:shd w:val="clear" w:color="000000" w:fill="FFFFFF"/>
            <w:vAlign w:val="center"/>
            <w:hideMark/>
          </w:tcPr>
          <w:p w14:paraId="2411B76B" w14:textId="77777777" w:rsidR="0021298F" w:rsidRPr="00FD2040" w:rsidRDefault="0021298F" w:rsidP="00760009">
            <w:pPr>
              <w:jc w:val="right"/>
              <w:rPr>
                <w:rFonts w:ascii="Arial" w:eastAsia="Times New Roman" w:hAnsi="Arial" w:cs="Arial"/>
                <w:color w:val="000000"/>
                <w:sz w:val="20"/>
                <w:szCs w:val="20"/>
                <w:lang w:eastAsia="en-GB"/>
              </w:rPr>
            </w:pPr>
            <w:r w:rsidRPr="00FD2040">
              <w:rPr>
                <w:rFonts w:ascii="Arial" w:eastAsia="Times New Roman" w:hAnsi="Arial" w:cs="Arial"/>
                <w:color w:val="000000"/>
                <w:sz w:val="20"/>
                <w:szCs w:val="20"/>
                <w:lang w:eastAsia="en-GB"/>
              </w:rPr>
              <w:t xml:space="preserve"> - </w:t>
            </w:r>
          </w:p>
        </w:tc>
        <w:tc>
          <w:tcPr>
            <w:tcW w:w="1200" w:type="dxa"/>
            <w:tcBorders>
              <w:top w:val="nil"/>
              <w:left w:val="nil"/>
              <w:bottom w:val="single" w:sz="8" w:space="0" w:color="auto"/>
              <w:right w:val="nil"/>
            </w:tcBorders>
            <w:shd w:val="clear" w:color="000000" w:fill="FFFFFF"/>
            <w:vAlign w:val="center"/>
            <w:hideMark/>
          </w:tcPr>
          <w:p w14:paraId="56B649EE" w14:textId="77777777" w:rsidR="0021298F" w:rsidRPr="00FD2040" w:rsidRDefault="0021298F" w:rsidP="00760009">
            <w:pPr>
              <w:jc w:val="right"/>
              <w:rPr>
                <w:rFonts w:ascii="Arial" w:eastAsia="Times New Roman" w:hAnsi="Arial" w:cs="Arial"/>
                <w:color w:val="000000"/>
                <w:sz w:val="20"/>
                <w:szCs w:val="20"/>
                <w:lang w:eastAsia="en-GB"/>
              </w:rPr>
            </w:pPr>
            <w:r w:rsidRPr="00FD2040">
              <w:rPr>
                <w:rFonts w:ascii="Arial" w:eastAsia="Times New Roman" w:hAnsi="Arial" w:cs="Arial"/>
                <w:color w:val="000000"/>
                <w:sz w:val="20"/>
                <w:szCs w:val="20"/>
                <w:lang w:eastAsia="en-GB"/>
              </w:rPr>
              <w:t xml:space="preserve"> - </w:t>
            </w:r>
          </w:p>
        </w:tc>
        <w:tc>
          <w:tcPr>
            <w:tcW w:w="1440" w:type="dxa"/>
            <w:tcBorders>
              <w:top w:val="nil"/>
              <w:left w:val="nil"/>
              <w:bottom w:val="single" w:sz="8" w:space="0" w:color="auto"/>
              <w:right w:val="nil"/>
            </w:tcBorders>
            <w:shd w:val="clear" w:color="000000" w:fill="FFFFFF"/>
            <w:vAlign w:val="center"/>
            <w:hideMark/>
          </w:tcPr>
          <w:p w14:paraId="2A3F02EF" w14:textId="77777777" w:rsidR="0021298F" w:rsidRPr="00FD2040" w:rsidRDefault="0021298F" w:rsidP="00760009">
            <w:pPr>
              <w:jc w:val="right"/>
              <w:rPr>
                <w:rFonts w:ascii="Arial" w:eastAsia="Times New Roman" w:hAnsi="Arial" w:cs="Arial"/>
                <w:color w:val="000000"/>
                <w:sz w:val="20"/>
                <w:szCs w:val="20"/>
                <w:lang w:eastAsia="en-GB"/>
              </w:rPr>
            </w:pPr>
            <w:r w:rsidRPr="00FD2040">
              <w:rPr>
                <w:rFonts w:ascii="Arial" w:eastAsia="Times New Roman" w:hAnsi="Arial" w:cs="Arial"/>
                <w:color w:val="000000"/>
                <w:sz w:val="20"/>
                <w:szCs w:val="20"/>
                <w:lang w:eastAsia="en-GB"/>
              </w:rPr>
              <w:t xml:space="preserve"> - </w:t>
            </w:r>
          </w:p>
        </w:tc>
        <w:tc>
          <w:tcPr>
            <w:tcW w:w="1180" w:type="dxa"/>
            <w:tcBorders>
              <w:top w:val="nil"/>
              <w:left w:val="nil"/>
              <w:bottom w:val="single" w:sz="8" w:space="0" w:color="auto"/>
              <w:right w:val="nil"/>
            </w:tcBorders>
            <w:shd w:val="clear" w:color="000000" w:fill="FFFFFF"/>
            <w:vAlign w:val="center"/>
            <w:hideMark/>
          </w:tcPr>
          <w:p w14:paraId="4E604BA3" w14:textId="77777777" w:rsidR="0021298F" w:rsidRPr="00FD2040" w:rsidRDefault="0021298F" w:rsidP="00760009">
            <w:pPr>
              <w:jc w:val="right"/>
              <w:rPr>
                <w:rFonts w:ascii="Arial" w:eastAsia="Times New Roman" w:hAnsi="Arial" w:cs="Arial"/>
                <w:color w:val="000000"/>
                <w:sz w:val="20"/>
                <w:szCs w:val="20"/>
                <w:lang w:eastAsia="en-GB"/>
              </w:rPr>
            </w:pPr>
            <w:r w:rsidRPr="00FD2040">
              <w:rPr>
                <w:rFonts w:ascii="Arial" w:eastAsia="Times New Roman" w:hAnsi="Arial" w:cs="Arial"/>
                <w:color w:val="000000"/>
                <w:sz w:val="20"/>
                <w:szCs w:val="20"/>
                <w:lang w:eastAsia="en-GB"/>
              </w:rPr>
              <w:t xml:space="preserve">17,097 </w:t>
            </w:r>
          </w:p>
        </w:tc>
        <w:tc>
          <w:tcPr>
            <w:tcW w:w="1200" w:type="dxa"/>
            <w:tcBorders>
              <w:top w:val="nil"/>
              <w:left w:val="nil"/>
              <w:bottom w:val="single" w:sz="8" w:space="0" w:color="auto"/>
              <w:right w:val="nil"/>
            </w:tcBorders>
            <w:shd w:val="clear" w:color="000000" w:fill="FFFFFF"/>
            <w:vAlign w:val="center"/>
            <w:hideMark/>
          </w:tcPr>
          <w:p w14:paraId="5F428A9F" w14:textId="77777777" w:rsidR="0021298F" w:rsidRPr="00FD2040" w:rsidRDefault="0021298F" w:rsidP="00760009">
            <w:pPr>
              <w:jc w:val="right"/>
              <w:rPr>
                <w:rFonts w:ascii="Arial" w:eastAsia="Times New Roman" w:hAnsi="Arial" w:cs="Arial"/>
                <w:b/>
                <w:bCs/>
                <w:color w:val="000000"/>
                <w:sz w:val="20"/>
                <w:szCs w:val="20"/>
                <w:lang w:eastAsia="en-GB"/>
              </w:rPr>
            </w:pPr>
            <w:r w:rsidRPr="00FD2040">
              <w:rPr>
                <w:rFonts w:ascii="Arial" w:eastAsia="Times New Roman" w:hAnsi="Arial" w:cs="Arial"/>
                <w:b/>
                <w:bCs/>
                <w:color w:val="000000"/>
                <w:sz w:val="20"/>
                <w:szCs w:val="20"/>
                <w:lang w:eastAsia="en-GB"/>
              </w:rPr>
              <w:t xml:space="preserve">17,097 </w:t>
            </w:r>
          </w:p>
        </w:tc>
      </w:tr>
      <w:tr w:rsidR="0021298F" w:rsidRPr="00FD2040" w14:paraId="27ABD283" w14:textId="77777777" w:rsidTr="00760009">
        <w:trPr>
          <w:trHeight w:val="780"/>
        </w:trPr>
        <w:tc>
          <w:tcPr>
            <w:tcW w:w="2619" w:type="dxa"/>
            <w:tcBorders>
              <w:top w:val="nil"/>
              <w:left w:val="nil"/>
              <w:bottom w:val="single" w:sz="8" w:space="0" w:color="auto"/>
              <w:right w:val="nil"/>
            </w:tcBorders>
            <w:shd w:val="clear" w:color="000000" w:fill="FFFFFF"/>
            <w:vAlign w:val="center"/>
            <w:hideMark/>
          </w:tcPr>
          <w:p w14:paraId="4F415F32" w14:textId="77777777" w:rsidR="0021298F" w:rsidRPr="00FD2040" w:rsidRDefault="0021298F" w:rsidP="00760009">
            <w:pPr>
              <w:rPr>
                <w:rFonts w:ascii="Arial" w:eastAsia="Times New Roman" w:hAnsi="Arial" w:cs="Arial"/>
                <w:b/>
                <w:bCs/>
                <w:color w:val="000000"/>
                <w:sz w:val="20"/>
                <w:szCs w:val="20"/>
                <w:lang w:eastAsia="en-GB"/>
              </w:rPr>
            </w:pPr>
            <w:r w:rsidRPr="00FD2040">
              <w:rPr>
                <w:rFonts w:ascii="Arial" w:eastAsia="Times New Roman" w:hAnsi="Arial" w:cs="Arial"/>
                <w:b/>
                <w:bCs/>
                <w:color w:val="000000"/>
                <w:sz w:val="20"/>
                <w:szCs w:val="20"/>
                <w:lang w:eastAsia="en-GB"/>
              </w:rPr>
              <w:t>Closing net assets attributable to shareholders</w:t>
            </w:r>
          </w:p>
        </w:tc>
        <w:tc>
          <w:tcPr>
            <w:tcW w:w="661" w:type="dxa"/>
            <w:tcBorders>
              <w:top w:val="nil"/>
              <w:left w:val="nil"/>
              <w:bottom w:val="single" w:sz="8" w:space="0" w:color="auto"/>
              <w:right w:val="nil"/>
            </w:tcBorders>
            <w:shd w:val="clear" w:color="000000" w:fill="FFFFFF"/>
            <w:vAlign w:val="center"/>
            <w:hideMark/>
          </w:tcPr>
          <w:p w14:paraId="19EDE63F" w14:textId="77777777" w:rsidR="0021298F" w:rsidRPr="00FD2040" w:rsidRDefault="0021298F" w:rsidP="00760009">
            <w:pPr>
              <w:jc w:val="center"/>
              <w:rPr>
                <w:rFonts w:ascii="Arial" w:eastAsia="Times New Roman" w:hAnsi="Arial" w:cs="Arial"/>
                <w:b/>
                <w:bCs/>
                <w:color w:val="000000"/>
                <w:sz w:val="20"/>
                <w:szCs w:val="20"/>
                <w:lang w:eastAsia="en-GB"/>
              </w:rPr>
            </w:pPr>
            <w:r w:rsidRPr="00FD2040">
              <w:rPr>
                <w:rFonts w:ascii="Arial" w:eastAsia="Times New Roman" w:hAnsi="Arial" w:cs="Arial"/>
                <w:b/>
                <w:bCs/>
                <w:color w:val="000000"/>
                <w:sz w:val="20"/>
                <w:szCs w:val="20"/>
                <w:lang w:eastAsia="en-GB"/>
              </w:rPr>
              <w:t> </w:t>
            </w:r>
          </w:p>
        </w:tc>
        <w:tc>
          <w:tcPr>
            <w:tcW w:w="1200" w:type="dxa"/>
            <w:tcBorders>
              <w:top w:val="nil"/>
              <w:left w:val="nil"/>
              <w:bottom w:val="single" w:sz="8" w:space="0" w:color="auto"/>
              <w:right w:val="nil"/>
            </w:tcBorders>
            <w:shd w:val="clear" w:color="000000" w:fill="FFFFFF"/>
            <w:noWrap/>
            <w:vAlign w:val="center"/>
            <w:hideMark/>
          </w:tcPr>
          <w:p w14:paraId="56A6B3A3" w14:textId="77777777" w:rsidR="0021298F" w:rsidRPr="00FD2040" w:rsidRDefault="0021298F" w:rsidP="00760009">
            <w:pPr>
              <w:jc w:val="right"/>
              <w:rPr>
                <w:rFonts w:ascii="Arial" w:eastAsia="Times New Roman" w:hAnsi="Arial" w:cs="Arial"/>
                <w:b/>
                <w:bCs/>
                <w:color w:val="000000"/>
                <w:sz w:val="20"/>
                <w:szCs w:val="20"/>
                <w:lang w:eastAsia="en-GB"/>
              </w:rPr>
            </w:pPr>
            <w:r w:rsidRPr="00FD2040">
              <w:rPr>
                <w:rFonts w:ascii="Arial" w:eastAsia="Times New Roman" w:hAnsi="Arial" w:cs="Arial"/>
                <w:b/>
                <w:bCs/>
                <w:color w:val="000000"/>
                <w:sz w:val="20"/>
                <w:szCs w:val="20"/>
                <w:lang w:eastAsia="en-GB"/>
              </w:rPr>
              <w:t>6,306</w:t>
            </w:r>
          </w:p>
        </w:tc>
        <w:tc>
          <w:tcPr>
            <w:tcW w:w="1200" w:type="dxa"/>
            <w:tcBorders>
              <w:top w:val="nil"/>
              <w:left w:val="nil"/>
              <w:bottom w:val="single" w:sz="8" w:space="0" w:color="auto"/>
              <w:right w:val="nil"/>
            </w:tcBorders>
            <w:shd w:val="clear" w:color="000000" w:fill="FFFFFF"/>
            <w:noWrap/>
            <w:vAlign w:val="center"/>
            <w:hideMark/>
          </w:tcPr>
          <w:p w14:paraId="54464942" w14:textId="77777777" w:rsidR="0021298F" w:rsidRPr="00FD2040" w:rsidRDefault="0021298F" w:rsidP="00760009">
            <w:pPr>
              <w:jc w:val="right"/>
              <w:rPr>
                <w:rFonts w:ascii="Arial" w:eastAsia="Times New Roman" w:hAnsi="Arial" w:cs="Arial"/>
                <w:b/>
                <w:bCs/>
                <w:color w:val="000000"/>
                <w:sz w:val="20"/>
                <w:szCs w:val="20"/>
                <w:lang w:eastAsia="en-GB"/>
              </w:rPr>
            </w:pPr>
            <w:r w:rsidRPr="00FD2040">
              <w:rPr>
                <w:rFonts w:ascii="Arial" w:eastAsia="Times New Roman" w:hAnsi="Arial" w:cs="Arial"/>
                <w:b/>
                <w:bCs/>
                <w:color w:val="000000"/>
                <w:sz w:val="20"/>
                <w:szCs w:val="20"/>
                <w:lang w:eastAsia="en-GB"/>
              </w:rPr>
              <w:t>385,669</w:t>
            </w:r>
          </w:p>
        </w:tc>
        <w:tc>
          <w:tcPr>
            <w:tcW w:w="1440" w:type="dxa"/>
            <w:tcBorders>
              <w:top w:val="nil"/>
              <w:left w:val="nil"/>
              <w:bottom w:val="single" w:sz="8" w:space="0" w:color="auto"/>
              <w:right w:val="nil"/>
            </w:tcBorders>
            <w:shd w:val="clear" w:color="000000" w:fill="FFFFFF"/>
            <w:noWrap/>
            <w:vAlign w:val="center"/>
            <w:hideMark/>
          </w:tcPr>
          <w:p w14:paraId="27754909" w14:textId="77777777" w:rsidR="0021298F" w:rsidRPr="00FD2040" w:rsidRDefault="0021298F" w:rsidP="00760009">
            <w:pPr>
              <w:jc w:val="right"/>
              <w:rPr>
                <w:rFonts w:ascii="Arial" w:eastAsia="Times New Roman" w:hAnsi="Arial" w:cs="Arial"/>
                <w:b/>
                <w:bCs/>
                <w:color w:val="000000"/>
                <w:sz w:val="20"/>
                <w:szCs w:val="20"/>
                <w:lang w:eastAsia="en-GB"/>
              </w:rPr>
            </w:pPr>
            <w:r w:rsidRPr="00FD2040">
              <w:rPr>
                <w:rFonts w:ascii="Arial" w:eastAsia="Times New Roman" w:hAnsi="Arial" w:cs="Arial"/>
                <w:b/>
                <w:bCs/>
                <w:color w:val="000000"/>
                <w:sz w:val="20"/>
                <w:szCs w:val="20"/>
                <w:lang w:eastAsia="en-GB"/>
              </w:rPr>
              <w:t>199,936</w:t>
            </w:r>
          </w:p>
        </w:tc>
        <w:tc>
          <w:tcPr>
            <w:tcW w:w="1180" w:type="dxa"/>
            <w:tcBorders>
              <w:top w:val="nil"/>
              <w:left w:val="nil"/>
              <w:bottom w:val="single" w:sz="8" w:space="0" w:color="auto"/>
              <w:right w:val="nil"/>
            </w:tcBorders>
            <w:shd w:val="clear" w:color="000000" w:fill="FFFFFF"/>
            <w:noWrap/>
            <w:vAlign w:val="center"/>
            <w:hideMark/>
          </w:tcPr>
          <w:p w14:paraId="597FB2DD" w14:textId="77777777" w:rsidR="0021298F" w:rsidRPr="00FD2040" w:rsidRDefault="0021298F" w:rsidP="00760009">
            <w:pPr>
              <w:jc w:val="right"/>
              <w:rPr>
                <w:rFonts w:ascii="Arial" w:eastAsia="Times New Roman" w:hAnsi="Arial" w:cs="Arial"/>
                <w:b/>
                <w:bCs/>
                <w:color w:val="000000"/>
                <w:sz w:val="20"/>
                <w:szCs w:val="20"/>
                <w:lang w:eastAsia="en-GB"/>
              </w:rPr>
            </w:pPr>
            <w:r w:rsidRPr="00FD2040">
              <w:rPr>
                <w:rFonts w:ascii="Arial" w:eastAsia="Times New Roman" w:hAnsi="Arial" w:cs="Arial"/>
                <w:b/>
                <w:bCs/>
                <w:color w:val="000000"/>
                <w:sz w:val="20"/>
                <w:szCs w:val="20"/>
                <w:lang w:eastAsia="en-GB"/>
              </w:rPr>
              <w:t>58,089</w:t>
            </w:r>
          </w:p>
        </w:tc>
        <w:tc>
          <w:tcPr>
            <w:tcW w:w="1200" w:type="dxa"/>
            <w:tcBorders>
              <w:top w:val="nil"/>
              <w:left w:val="nil"/>
              <w:bottom w:val="single" w:sz="8" w:space="0" w:color="auto"/>
              <w:right w:val="nil"/>
            </w:tcBorders>
            <w:shd w:val="clear" w:color="000000" w:fill="FFFFFF"/>
            <w:noWrap/>
            <w:vAlign w:val="center"/>
            <w:hideMark/>
          </w:tcPr>
          <w:p w14:paraId="12FDA4E6" w14:textId="77777777" w:rsidR="0021298F" w:rsidRPr="00FD2040" w:rsidRDefault="0021298F" w:rsidP="00760009">
            <w:pPr>
              <w:jc w:val="right"/>
              <w:rPr>
                <w:rFonts w:ascii="Arial" w:eastAsia="Times New Roman" w:hAnsi="Arial" w:cs="Arial"/>
                <w:b/>
                <w:bCs/>
                <w:color w:val="000000"/>
                <w:sz w:val="20"/>
                <w:szCs w:val="20"/>
                <w:lang w:eastAsia="en-GB"/>
              </w:rPr>
            </w:pPr>
            <w:r w:rsidRPr="00FD2040">
              <w:rPr>
                <w:rFonts w:ascii="Arial" w:eastAsia="Times New Roman" w:hAnsi="Arial" w:cs="Arial"/>
                <w:b/>
                <w:bCs/>
                <w:color w:val="000000"/>
                <w:sz w:val="20"/>
                <w:szCs w:val="20"/>
                <w:lang w:eastAsia="en-GB"/>
              </w:rPr>
              <w:t>650,000</w:t>
            </w:r>
          </w:p>
        </w:tc>
      </w:tr>
    </w:tbl>
    <w:p w14:paraId="05B7C5F5" w14:textId="77777777" w:rsidR="0021298F" w:rsidRDefault="0021298F" w:rsidP="0021298F">
      <w:pPr>
        <w:jc w:val="both"/>
        <w:rPr>
          <w:rFonts w:ascii="Arial" w:hAnsi="Arial" w:cs="Arial"/>
        </w:rPr>
      </w:pPr>
    </w:p>
    <w:p w14:paraId="7631FDB9" w14:textId="77777777" w:rsidR="0021298F" w:rsidRDefault="0021298F" w:rsidP="0021298F">
      <w:pPr>
        <w:pStyle w:val="Bullets"/>
        <w:numPr>
          <w:ilvl w:val="0"/>
          <w:numId w:val="0"/>
        </w:numPr>
        <w:jc w:val="both"/>
        <w:rPr>
          <w:rFonts w:cs="Arial"/>
        </w:rPr>
      </w:pPr>
      <w:r>
        <w:rPr>
          <w:rFonts w:cs="Arial"/>
        </w:rPr>
        <w:t>Th</w:t>
      </w:r>
      <w:r w:rsidRPr="00A212F0">
        <w:rPr>
          <w:rFonts w:cs="Arial"/>
        </w:rPr>
        <w:t xml:space="preserve">e accompanying notes </w:t>
      </w:r>
      <w:r>
        <w:rPr>
          <w:rFonts w:cs="Arial"/>
        </w:rPr>
        <w:t>form</w:t>
      </w:r>
      <w:r w:rsidRPr="00A212F0">
        <w:rPr>
          <w:rFonts w:cs="Arial"/>
        </w:rPr>
        <w:t xml:space="preserve"> an integral part of </w:t>
      </w:r>
      <w:r>
        <w:rPr>
          <w:rFonts w:cs="Arial"/>
        </w:rPr>
        <w:t xml:space="preserve">the consolidated financial statements. </w:t>
      </w:r>
    </w:p>
    <w:p w14:paraId="76DFAB79" w14:textId="77777777" w:rsidR="0021298F" w:rsidRDefault="0021298F" w:rsidP="0021298F">
      <w:pPr>
        <w:rPr>
          <w:rFonts w:ascii="Arial" w:hAnsi="Arial" w:cs="Arial"/>
        </w:rPr>
      </w:pPr>
    </w:p>
    <w:p w14:paraId="7DC2382A" w14:textId="77777777" w:rsidR="0021298F" w:rsidRPr="00892738" w:rsidRDefault="0021298F" w:rsidP="0021298F">
      <w:pPr>
        <w:pStyle w:val="Heading1"/>
        <w:jc w:val="both"/>
        <w:rPr>
          <w:rFonts w:cs="Arial"/>
          <w:caps/>
        </w:rPr>
      </w:pPr>
      <w:r w:rsidRPr="00892738">
        <w:rPr>
          <w:rFonts w:cs="Arial"/>
        </w:rPr>
        <w:t xml:space="preserve">Consolidated Statement of </w:t>
      </w:r>
      <w:r>
        <w:rPr>
          <w:rFonts w:cs="Arial"/>
        </w:rPr>
        <w:t>C</w:t>
      </w:r>
      <w:r w:rsidRPr="00892738">
        <w:rPr>
          <w:rFonts w:cs="Arial"/>
        </w:rPr>
        <w:t>ash Flows</w:t>
      </w:r>
    </w:p>
    <w:p w14:paraId="1EF1A32A" w14:textId="77777777" w:rsidR="0021298F" w:rsidRDefault="0021298F" w:rsidP="0021298F">
      <w:pPr>
        <w:pStyle w:val="Bullets"/>
        <w:numPr>
          <w:ilvl w:val="0"/>
          <w:numId w:val="0"/>
        </w:numPr>
        <w:jc w:val="both"/>
        <w:rPr>
          <w:rFonts w:cs="Arial"/>
          <w:b/>
        </w:rPr>
      </w:pPr>
      <w:r w:rsidRPr="001226F4">
        <w:rPr>
          <w:rFonts w:cs="Arial"/>
          <w:b/>
        </w:rPr>
        <w:t xml:space="preserve">For the </w:t>
      </w:r>
      <w:r>
        <w:rPr>
          <w:rFonts w:cs="Arial"/>
          <w:b/>
        </w:rPr>
        <w:t>year ended 31 December 2020</w:t>
      </w:r>
    </w:p>
    <w:p w14:paraId="370D3822" w14:textId="77777777" w:rsidR="0021298F" w:rsidRDefault="0021298F" w:rsidP="0021298F">
      <w:pPr>
        <w:pStyle w:val="Bullets"/>
        <w:numPr>
          <w:ilvl w:val="0"/>
          <w:numId w:val="0"/>
        </w:numPr>
        <w:jc w:val="both"/>
        <w:rPr>
          <w:rFonts w:cs="Arial"/>
          <w:b/>
        </w:rPr>
      </w:pPr>
    </w:p>
    <w:tbl>
      <w:tblPr>
        <w:tblW w:w="10036" w:type="dxa"/>
        <w:tblLook w:val="04A0" w:firstRow="1" w:lastRow="0" w:firstColumn="1" w:lastColumn="0" w:noHBand="0" w:noVBand="1"/>
      </w:tblPr>
      <w:tblGrid>
        <w:gridCol w:w="4734"/>
        <w:gridCol w:w="750"/>
        <w:gridCol w:w="2313"/>
        <w:gridCol w:w="2239"/>
      </w:tblGrid>
      <w:tr w:rsidR="0021298F" w:rsidRPr="00FD2040" w14:paraId="569D210E" w14:textId="77777777" w:rsidTr="00760009">
        <w:trPr>
          <w:trHeight w:val="582"/>
        </w:trPr>
        <w:tc>
          <w:tcPr>
            <w:tcW w:w="4769" w:type="dxa"/>
            <w:tcBorders>
              <w:top w:val="nil"/>
              <w:left w:val="nil"/>
              <w:bottom w:val="nil"/>
              <w:right w:val="nil"/>
            </w:tcBorders>
            <w:shd w:val="clear" w:color="000000" w:fill="FFFFFF"/>
            <w:vAlign w:val="center"/>
            <w:hideMark/>
          </w:tcPr>
          <w:p w14:paraId="112F3AD5" w14:textId="77777777" w:rsidR="0021298F" w:rsidRPr="00FD2040" w:rsidRDefault="0021298F" w:rsidP="00760009">
            <w:pPr>
              <w:rPr>
                <w:rFonts w:ascii="Calibri" w:eastAsia="Times New Roman" w:hAnsi="Calibri" w:cs="Calibri"/>
                <w:color w:val="000000"/>
                <w:lang w:eastAsia="en-GB"/>
              </w:rPr>
            </w:pPr>
            <w:r w:rsidRPr="00FD2040">
              <w:rPr>
                <w:rFonts w:ascii="Calibri" w:eastAsia="Times New Roman" w:hAnsi="Calibri" w:cs="Calibri"/>
                <w:color w:val="000000"/>
                <w:lang w:eastAsia="en-GB"/>
              </w:rPr>
              <w:t> </w:t>
            </w:r>
          </w:p>
        </w:tc>
        <w:tc>
          <w:tcPr>
            <w:tcW w:w="705" w:type="dxa"/>
            <w:tcBorders>
              <w:top w:val="nil"/>
              <w:left w:val="nil"/>
              <w:bottom w:val="nil"/>
              <w:right w:val="nil"/>
            </w:tcBorders>
            <w:shd w:val="clear" w:color="000000" w:fill="FFFFFF"/>
            <w:vAlign w:val="center"/>
            <w:hideMark/>
          </w:tcPr>
          <w:p w14:paraId="5BF0C5FC" w14:textId="77777777" w:rsidR="0021298F" w:rsidRPr="00FD2040" w:rsidRDefault="0021298F" w:rsidP="00760009">
            <w:pPr>
              <w:rPr>
                <w:rFonts w:ascii="Arial" w:eastAsia="Times New Roman" w:hAnsi="Arial" w:cs="Arial"/>
                <w:b/>
                <w:bCs/>
                <w:color w:val="000000"/>
                <w:lang w:eastAsia="en-GB"/>
              </w:rPr>
            </w:pPr>
            <w:r w:rsidRPr="00FD2040">
              <w:rPr>
                <w:rFonts w:ascii="Arial" w:eastAsia="Times New Roman" w:hAnsi="Arial" w:cs="Arial"/>
                <w:b/>
                <w:bCs/>
                <w:color w:val="000000"/>
                <w:lang w:eastAsia="en-GB"/>
              </w:rPr>
              <w:t> </w:t>
            </w:r>
          </w:p>
        </w:tc>
        <w:tc>
          <w:tcPr>
            <w:tcW w:w="2323" w:type="dxa"/>
            <w:tcBorders>
              <w:top w:val="nil"/>
              <w:left w:val="nil"/>
              <w:bottom w:val="nil"/>
              <w:right w:val="nil"/>
            </w:tcBorders>
            <w:shd w:val="clear" w:color="000000" w:fill="FFFFFF"/>
            <w:vAlign w:val="bottom"/>
            <w:hideMark/>
          </w:tcPr>
          <w:p w14:paraId="3EE82EC3" w14:textId="77777777" w:rsidR="0021298F" w:rsidRPr="00FD2040" w:rsidRDefault="0021298F" w:rsidP="00760009">
            <w:pPr>
              <w:jc w:val="right"/>
              <w:rPr>
                <w:rFonts w:ascii="Arial" w:eastAsia="Times New Roman" w:hAnsi="Arial" w:cs="Arial"/>
                <w:b/>
                <w:bCs/>
                <w:color w:val="000000"/>
                <w:lang w:eastAsia="en-GB"/>
              </w:rPr>
            </w:pPr>
            <w:r w:rsidRPr="00FD2040">
              <w:rPr>
                <w:rFonts w:ascii="Arial" w:eastAsia="Times New Roman" w:hAnsi="Arial" w:cs="Arial"/>
                <w:b/>
                <w:bCs/>
                <w:color w:val="000000"/>
                <w:lang w:eastAsia="en-GB"/>
              </w:rPr>
              <w:t xml:space="preserve">For the year ended </w:t>
            </w:r>
          </w:p>
        </w:tc>
        <w:tc>
          <w:tcPr>
            <w:tcW w:w="2239" w:type="dxa"/>
            <w:tcBorders>
              <w:top w:val="nil"/>
              <w:left w:val="nil"/>
              <w:bottom w:val="nil"/>
              <w:right w:val="nil"/>
            </w:tcBorders>
            <w:shd w:val="clear" w:color="000000" w:fill="FFFFFF"/>
            <w:vAlign w:val="bottom"/>
            <w:hideMark/>
          </w:tcPr>
          <w:p w14:paraId="6C56BCFD" w14:textId="77777777" w:rsidR="0021298F" w:rsidRPr="00FD2040" w:rsidRDefault="0021298F" w:rsidP="00760009">
            <w:pPr>
              <w:jc w:val="right"/>
              <w:rPr>
                <w:rFonts w:ascii="Arial" w:eastAsia="Times New Roman" w:hAnsi="Arial" w:cs="Arial"/>
                <w:b/>
                <w:bCs/>
                <w:color w:val="000000"/>
                <w:lang w:eastAsia="en-GB"/>
              </w:rPr>
            </w:pPr>
            <w:r w:rsidRPr="00FD2040">
              <w:rPr>
                <w:rFonts w:ascii="Arial" w:eastAsia="Times New Roman" w:hAnsi="Arial" w:cs="Arial"/>
                <w:b/>
                <w:bCs/>
                <w:color w:val="000000"/>
                <w:lang w:eastAsia="en-GB"/>
              </w:rPr>
              <w:t xml:space="preserve">For the year ended </w:t>
            </w:r>
          </w:p>
        </w:tc>
      </w:tr>
      <w:tr w:rsidR="0021298F" w:rsidRPr="00FD2040" w14:paraId="3A5C97E2" w14:textId="77777777" w:rsidTr="00760009">
        <w:trPr>
          <w:trHeight w:val="289"/>
        </w:trPr>
        <w:tc>
          <w:tcPr>
            <w:tcW w:w="4769" w:type="dxa"/>
            <w:tcBorders>
              <w:top w:val="nil"/>
              <w:left w:val="nil"/>
              <w:bottom w:val="nil"/>
              <w:right w:val="nil"/>
            </w:tcBorders>
            <w:shd w:val="clear" w:color="000000" w:fill="FFFFFF"/>
            <w:vAlign w:val="center"/>
            <w:hideMark/>
          </w:tcPr>
          <w:p w14:paraId="650A0CB2" w14:textId="77777777" w:rsidR="0021298F" w:rsidRPr="00FD2040" w:rsidRDefault="0021298F" w:rsidP="00760009">
            <w:pPr>
              <w:rPr>
                <w:rFonts w:ascii="Calibri" w:eastAsia="Times New Roman" w:hAnsi="Calibri" w:cs="Calibri"/>
                <w:color w:val="000000"/>
                <w:lang w:eastAsia="en-GB"/>
              </w:rPr>
            </w:pPr>
            <w:r w:rsidRPr="00FD2040">
              <w:rPr>
                <w:rFonts w:ascii="Calibri" w:eastAsia="Times New Roman" w:hAnsi="Calibri" w:cs="Calibri"/>
                <w:color w:val="000000"/>
                <w:lang w:eastAsia="en-GB"/>
              </w:rPr>
              <w:t> </w:t>
            </w:r>
          </w:p>
        </w:tc>
        <w:tc>
          <w:tcPr>
            <w:tcW w:w="705" w:type="dxa"/>
            <w:tcBorders>
              <w:top w:val="nil"/>
              <w:left w:val="nil"/>
              <w:bottom w:val="nil"/>
              <w:right w:val="nil"/>
            </w:tcBorders>
            <w:shd w:val="clear" w:color="000000" w:fill="FFFFFF"/>
            <w:vAlign w:val="center"/>
            <w:hideMark/>
          </w:tcPr>
          <w:p w14:paraId="4D95F71C" w14:textId="77777777" w:rsidR="0021298F" w:rsidRPr="00FD2040" w:rsidRDefault="0021298F" w:rsidP="00760009">
            <w:pPr>
              <w:rPr>
                <w:rFonts w:ascii="Arial" w:eastAsia="Times New Roman" w:hAnsi="Arial" w:cs="Arial"/>
                <w:b/>
                <w:bCs/>
                <w:color w:val="000000"/>
                <w:lang w:eastAsia="en-GB"/>
              </w:rPr>
            </w:pPr>
            <w:r w:rsidRPr="00FD2040">
              <w:rPr>
                <w:rFonts w:ascii="Arial" w:eastAsia="Times New Roman" w:hAnsi="Arial" w:cs="Arial"/>
                <w:b/>
                <w:bCs/>
                <w:color w:val="000000"/>
                <w:lang w:eastAsia="en-GB"/>
              </w:rPr>
              <w:t> </w:t>
            </w:r>
          </w:p>
        </w:tc>
        <w:tc>
          <w:tcPr>
            <w:tcW w:w="2323" w:type="dxa"/>
            <w:tcBorders>
              <w:top w:val="nil"/>
              <w:left w:val="nil"/>
              <w:bottom w:val="nil"/>
              <w:right w:val="nil"/>
            </w:tcBorders>
            <w:shd w:val="clear" w:color="000000" w:fill="FFFFFF"/>
            <w:vAlign w:val="center"/>
            <w:hideMark/>
          </w:tcPr>
          <w:p w14:paraId="0D35BCF9" w14:textId="77777777" w:rsidR="0021298F" w:rsidRPr="00FD2040" w:rsidRDefault="0021298F" w:rsidP="00760009">
            <w:pPr>
              <w:jc w:val="right"/>
              <w:rPr>
                <w:rFonts w:ascii="Arial" w:eastAsia="Times New Roman" w:hAnsi="Arial" w:cs="Arial"/>
                <w:b/>
                <w:bCs/>
                <w:color w:val="000000"/>
                <w:lang w:eastAsia="en-GB"/>
              </w:rPr>
            </w:pPr>
            <w:r w:rsidRPr="00FD2040">
              <w:rPr>
                <w:rFonts w:ascii="Arial" w:eastAsia="Times New Roman" w:hAnsi="Arial" w:cs="Arial"/>
                <w:b/>
                <w:bCs/>
                <w:color w:val="000000"/>
                <w:lang w:eastAsia="en-GB"/>
              </w:rPr>
              <w:t>31 December 2020</w:t>
            </w:r>
          </w:p>
        </w:tc>
        <w:tc>
          <w:tcPr>
            <w:tcW w:w="2239" w:type="dxa"/>
            <w:tcBorders>
              <w:top w:val="nil"/>
              <w:left w:val="nil"/>
              <w:bottom w:val="nil"/>
              <w:right w:val="nil"/>
            </w:tcBorders>
            <w:shd w:val="clear" w:color="000000" w:fill="FFFFFF"/>
            <w:vAlign w:val="center"/>
            <w:hideMark/>
          </w:tcPr>
          <w:p w14:paraId="619F6117" w14:textId="77777777" w:rsidR="0021298F" w:rsidRPr="00FD2040" w:rsidRDefault="0021298F" w:rsidP="00760009">
            <w:pPr>
              <w:jc w:val="right"/>
              <w:rPr>
                <w:rFonts w:ascii="Arial" w:eastAsia="Times New Roman" w:hAnsi="Arial" w:cs="Arial"/>
                <w:b/>
                <w:bCs/>
                <w:color w:val="000000"/>
                <w:lang w:eastAsia="en-GB"/>
              </w:rPr>
            </w:pPr>
            <w:r w:rsidRPr="00FD2040">
              <w:rPr>
                <w:rFonts w:ascii="Arial" w:eastAsia="Times New Roman" w:hAnsi="Arial" w:cs="Arial"/>
                <w:b/>
                <w:bCs/>
                <w:color w:val="000000"/>
                <w:lang w:eastAsia="en-GB"/>
              </w:rPr>
              <w:t>31 December 2019</w:t>
            </w:r>
          </w:p>
        </w:tc>
      </w:tr>
      <w:tr w:rsidR="0021298F" w:rsidRPr="00FD2040" w14:paraId="3A0EE9F5" w14:textId="77777777" w:rsidTr="00760009">
        <w:trPr>
          <w:trHeight w:val="315"/>
        </w:trPr>
        <w:tc>
          <w:tcPr>
            <w:tcW w:w="4769" w:type="dxa"/>
            <w:tcBorders>
              <w:top w:val="nil"/>
              <w:left w:val="nil"/>
              <w:bottom w:val="single" w:sz="8" w:space="0" w:color="auto"/>
              <w:right w:val="nil"/>
            </w:tcBorders>
            <w:shd w:val="clear" w:color="000000" w:fill="FFFFFF"/>
            <w:vAlign w:val="center"/>
            <w:hideMark/>
          </w:tcPr>
          <w:p w14:paraId="0D3B7B7E" w14:textId="77777777" w:rsidR="0021298F" w:rsidRPr="00FD2040" w:rsidRDefault="0021298F" w:rsidP="00760009">
            <w:pPr>
              <w:jc w:val="both"/>
              <w:rPr>
                <w:rFonts w:ascii="Arial" w:eastAsia="Times New Roman" w:hAnsi="Arial" w:cs="Arial"/>
                <w:color w:val="000000"/>
                <w:lang w:eastAsia="en-GB"/>
              </w:rPr>
            </w:pPr>
            <w:r w:rsidRPr="00FD2040">
              <w:rPr>
                <w:rFonts w:ascii="Arial" w:eastAsia="Times New Roman" w:hAnsi="Arial" w:cs="Arial"/>
                <w:color w:val="000000"/>
                <w:lang w:eastAsia="en-GB"/>
              </w:rPr>
              <w:t> </w:t>
            </w:r>
          </w:p>
        </w:tc>
        <w:tc>
          <w:tcPr>
            <w:tcW w:w="705" w:type="dxa"/>
            <w:tcBorders>
              <w:top w:val="nil"/>
              <w:left w:val="nil"/>
              <w:bottom w:val="single" w:sz="8" w:space="0" w:color="auto"/>
              <w:right w:val="nil"/>
            </w:tcBorders>
            <w:shd w:val="clear" w:color="000000" w:fill="FFFFFF"/>
            <w:vAlign w:val="center"/>
            <w:hideMark/>
          </w:tcPr>
          <w:p w14:paraId="3DFD41B4" w14:textId="77777777" w:rsidR="0021298F" w:rsidRPr="00FD2040" w:rsidRDefault="0021298F" w:rsidP="00760009">
            <w:pPr>
              <w:rPr>
                <w:rFonts w:ascii="Arial" w:eastAsia="Times New Roman" w:hAnsi="Arial" w:cs="Arial"/>
                <w:b/>
                <w:bCs/>
                <w:color w:val="000000"/>
                <w:lang w:eastAsia="en-GB"/>
              </w:rPr>
            </w:pPr>
            <w:r w:rsidRPr="00FD2040">
              <w:rPr>
                <w:rFonts w:ascii="Arial" w:eastAsia="Times New Roman" w:hAnsi="Arial" w:cs="Arial"/>
                <w:b/>
                <w:bCs/>
                <w:color w:val="000000"/>
                <w:lang w:eastAsia="en-GB"/>
              </w:rPr>
              <w:t>Note</w:t>
            </w:r>
          </w:p>
        </w:tc>
        <w:tc>
          <w:tcPr>
            <w:tcW w:w="2323" w:type="dxa"/>
            <w:tcBorders>
              <w:top w:val="nil"/>
              <w:left w:val="nil"/>
              <w:bottom w:val="single" w:sz="8" w:space="0" w:color="auto"/>
              <w:right w:val="nil"/>
            </w:tcBorders>
            <w:shd w:val="clear" w:color="auto" w:fill="auto"/>
            <w:vAlign w:val="center"/>
            <w:hideMark/>
          </w:tcPr>
          <w:p w14:paraId="37CE6152" w14:textId="77777777" w:rsidR="0021298F" w:rsidRPr="00FD2040" w:rsidRDefault="0021298F" w:rsidP="00760009">
            <w:pPr>
              <w:jc w:val="right"/>
              <w:rPr>
                <w:rFonts w:ascii="Arial" w:eastAsia="Times New Roman" w:hAnsi="Arial" w:cs="Arial"/>
                <w:b/>
                <w:bCs/>
                <w:color w:val="000000"/>
                <w:lang w:eastAsia="en-GB"/>
              </w:rPr>
            </w:pPr>
            <w:r w:rsidRPr="00FD2040">
              <w:rPr>
                <w:rFonts w:ascii="Arial" w:eastAsia="Times New Roman" w:hAnsi="Arial" w:cs="Arial"/>
                <w:b/>
                <w:bCs/>
                <w:color w:val="000000"/>
                <w:lang w:eastAsia="en-GB"/>
              </w:rPr>
              <w:t>€'000</w:t>
            </w:r>
          </w:p>
        </w:tc>
        <w:tc>
          <w:tcPr>
            <w:tcW w:w="2239" w:type="dxa"/>
            <w:tcBorders>
              <w:top w:val="nil"/>
              <w:left w:val="nil"/>
              <w:bottom w:val="single" w:sz="8" w:space="0" w:color="auto"/>
              <w:right w:val="nil"/>
            </w:tcBorders>
            <w:shd w:val="clear" w:color="000000" w:fill="FFFFFF"/>
            <w:noWrap/>
            <w:vAlign w:val="center"/>
            <w:hideMark/>
          </w:tcPr>
          <w:p w14:paraId="037852D8" w14:textId="77777777" w:rsidR="0021298F" w:rsidRPr="00FD2040" w:rsidRDefault="0021298F" w:rsidP="00760009">
            <w:pPr>
              <w:jc w:val="right"/>
              <w:rPr>
                <w:rFonts w:ascii="Arial" w:eastAsia="Times New Roman" w:hAnsi="Arial" w:cs="Arial"/>
                <w:b/>
                <w:bCs/>
                <w:color w:val="000000"/>
                <w:lang w:eastAsia="en-GB"/>
              </w:rPr>
            </w:pPr>
            <w:r w:rsidRPr="00FD2040">
              <w:rPr>
                <w:rFonts w:ascii="Arial" w:eastAsia="Times New Roman" w:hAnsi="Arial" w:cs="Arial"/>
                <w:b/>
                <w:bCs/>
                <w:color w:val="000000"/>
                <w:lang w:eastAsia="en-GB"/>
              </w:rPr>
              <w:t>€'000</w:t>
            </w:r>
          </w:p>
        </w:tc>
      </w:tr>
      <w:tr w:rsidR="0021298F" w:rsidRPr="00FD2040" w14:paraId="59D22B8C" w14:textId="77777777" w:rsidTr="00760009">
        <w:trPr>
          <w:trHeight w:val="300"/>
        </w:trPr>
        <w:tc>
          <w:tcPr>
            <w:tcW w:w="4769" w:type="dxa"/>
            <w:tcBorders>
              <w:top w:val="nil"/>
              <w:left w:val="nil"/>
              <w:bottom w:val="nil"/>
              <w:right w:val="nil"/>
            </w:tcBorders>
            <w:shd w:val="clear" w:color="000000" w:fill="FFFFFF"/>
            <w:vAlign w:val="center"/>
            <w:hideMark/>
          </w:tcPr>
          <w:p w14:paraId="69322C66" w14:textId="77777777" w:rsidR="0021298F" w:rsidRPr="00FD2040" w:rsidRDefault="0021298F" w:rsidP="00760009">
            <w:pPr>
              <w:jc w:val="both"/>
              <w:rPr>
                <w:rFonts w:ascii="Arial" w:eastAsia="Times New Roman" w:hAnsi="Arial" w:cs="Arial"/>
                <w:color w:val="000000"/>
                <w:lang w:eastAsia="en-GB"/>
              </w:rPr>
            </w:pPr>
            <w:r w:rsidRPr="00FD2040">
              <w:rPr>
                <w:rFonts w:ascii="Arial" w:eastAsia="Times New Roman" w:hAnsi="Arial" w:cs="Arial"/>
                <w:color w:val="000000"/>
                <w:lang w:eastAsia="en-GB"/>
              </w:rPr>
              <w:t> </w:t>
            </w:r>
          </w:p>
        </w:tc>
        <w:tc>
          <w:tcPr>
            <w:tcW w:w="705" w:type="dxa"/>
            <w:tcBorders>
              <w:top w:val="nil"/>
              <w:left w:val="nil"/>
              <w:bottom w:val="nil"/>
              <w:right w:val="nil"/>
            </w:tcBorders>
            <w:shd w:val="clear" w:color="000000" w:fill="FFFFFF"/>
            <w:vAlign w:val="center"/>
            <w:hideMark/>
          </w:tcPr>
          <w:p w14:paraId="44DE4170" w14:textId="77777777" w:rsidR="0021298F" w:rsidRPr="00FD2040" w:rsidRDefault="0021298F" w:rsidP="00760009">
            <w:pPr>
              <w:rPr>
                <w:rFonts w:ascii="Calibri" w:eastAsia="Times New Roman" w:hAnsi="Calibri" w:cs="Calibri"/>
                <w:color w:val="000000"/>
                <w:lang w:eastAsia="en-GB"/>
              </w:rPr>
            </w:pPr>
            <w:r w:rsidRPr="00FD2040">
              <w:rPr>
                <w:rFonts w:ascii="Calibri" w:eastAsia="Times New Roman" w:hAnsi="Calibri" w:cs="Calibri"/>
                <w:color w:val="000000"/>
                <w:lang w:eastAsia="en-GB"/>
              </w:rPr>
              <w:t> </w:t>
            </w:r>
          </w:p>
        </w:tc>
        <w:tc>
          <w:tcPr>
            <w:tcW w:w="2323" w:type="dxa"/>
            <w:tcBorders>
              <w:top w:val="nil"/>
              <w:left w:val="nil"/>
              <w:bottom w:val="nil"/>
              <w:right w:val="nil"/>
            </w:tcBorders>
            <w:shd w:val="clear" w:color="000000" w:fill="EDFFB7"/>
            <w:vAlign w:val="center"/>
            <w:hideMark/>
          </w:tcPr>
          <w:p w14:paraId="1D812D3F" w14:textId="77777777" w:rsidR="0021298F" w:rsidRPr="00FD2040" w:rsidRDefault="0021298F" w:rsidP="00760009">
            <w:pPr>
              <w:jc w:val="right"/>
              <w:rPr>
                <w:rFonts w:ascii="Arial" w:eastAsia="Times New Roman" w:hAnsi="Arial" w:cs="Arial"/>
                <w:color w:val="000000"/>
                <w:lang w:eastAsia="en-GB"/>
              </w:rPr>
            </w:pPr>
            <w:r w:rsidRPr="00FD2040">
              <w:rPr>
                <w:rFonts w:ascii="Arial" w:eastAsia="Times New Roman" w:hAnsi="Arial" w:cs="Arial"/>
                <w:color w:val="000000"/>
                <w:lang w:eastAsia="en-GB"/>
              </w:rPr>
              <w:t> </w:t>
            </w:r>
          </w:p>
        </w:tc>
        <w:tc>
          <w:tcPr>
            <w:tcW w:w="2239" w:type="dxa"/>
            <w:tcBorders>
              <w:top w:val="nil"/>
              <w:left w:val="nil"/>
              <w:bottom w:val="nil"/>
              <w:right w:val="nil"/>
            </w:tcBorders>
            <w:shd w:val="clear" w:color="000000" w:fill="FFFFFF"/>
            <w:vAlign w:val="center"/>
            <w:hideMark/>
          </w:tcPr>
          <w:p w14:paraId="7FB18F44" w14:textId="77777777" w:rsidR="0021298F" w:rsidRPr="00FD2040" w:rsidRDefault="0021298F" w:rsidP="00760009">
            <w:pPr>
              <w:jc w:val="right"/>
              <w:rPr>
                <w:rFonts w:ascii="Arial" w:eastAsia="Times New Roman" w:hAnsi="Arial" w:cs="Arial"/>
                <w:color w:val="000000"/>
                <w:lang w:eastAsia="en-GB"/>
              </w:rPr>
            </w:pPr>
            <w:r w:rsidRPr="00FD2040">
              <w:rPr>
                <w:rFonts w:ascii="Arial" w:eastAsia="Times New Roman" w:hAnsi="Arial" w:cs="Arial"/>
                <w:color w:val="000000"/>
                <w:lang w:eastAsia="en-GB"/>
              </w:rPr>
              <w:t> </w:t>
            </w:r>
          </w:p>
        </w:tc>
      </w:tr>
      <w:tr w:rsidR="0021298F" w:rsidRPr="00FD2040" w14:paraId="065512C4" w14:textId="77777777" w:rsidTr="00760009">
        <w:trPr>
          <w:trHeight w:val="450"/>
        </w:trPr>
        <w:tc>
          <w:tcPr>
            <w:tcW w:w="4769" w:type="dxa"/>
            <w:tcBorders>
              <w:top w:val="nil"/>
              <w:left w:val="nil"/>
              <w:bottom w:val="nil"/>
              <w:right w:val="nil"/>
            </w:tcBorders>
            <w:shd w:val="clear" w:color="000000" w:fill="FFFFFF"/>
            <w:vAlign w:val="center"/>
            <w:hideMark/>
          </w:tcPr>
          <w:p w14:paraId="6EDD7FD6" w14:textId="77777777" w:rsidR="0021298F" w:rsidRPr="00FD2040" w:rsidRDefault="0021298F" w:rsidP="00760009">
            <w:pPr>
              <w:rPr>
                <w:rFonts w:ascii="Arial" w:eastAsia="Times New Roman" w:hAnsi="Arial" w:cs="Arial"/>
                <w:b/>
                <w:bCs/>
                <w:color w:val="000000"/>
                <w:lang w:eastAsia="en-GB"/>
              </w:rPr>
            </w:pPr>
            <w:r w:rsidRPr="00FD2040">
              <w:rPr>
                <w:rFonts w:ascii="Arial" w:eastAsia="Times New Roman" w:hAnsi="Arial" w:cs="Arial"/>
                <w:b/>
                <w:bCs/>
                <w:color w:val="000000"/>
                <w:lang w:eastAsia="en-GB"/>
              </w:rPr>
              <w:t>Net cash flows from operating activities</w:t>
            </w:r>
          </w:p>
        </w:tc>
        <w:tc>
          <w:tcPr>
            <w:tcW w:w="705" w:type="dxa"/>
            <w:tcBorders>
              <w:top w:val="nil"/>
              <w:left w:val="nil"/>
              <w:bottom w:val="nil"/>
              <w:right w:val="nil"/>
            </w:tcBorders>
            <w:shd w:val="clear" w:color="000000" w:fill="FFFFFF"/>
            <w:vAlign w:val="center"/>
            <w:hideMark/>
          </w:tcPr>
          <w:p w14:paraId="427E16C0" w14:textId="77777777" w:rsidR="0021298F" w:rsidRPr="00FD2040" w:rsidRDefault="0021298F" w:rsidP="00760009">
            <w:pPr>
              <w:jc w:val="center"/>
              <w:rPr>
                <w:rFonts w:ascii="Arial" w:eastAsia="Times New Roman" w:hAnsi="Arial" w:cs="Arial"/>
                <w:b/>
                <w:bCs/>
                <w:color w:val="000000"/>
                <w:sz w:val="20"/>
                <w:szCs w:val="20"/>
                <w:lang w:eastAsia="en-GB"/>
              </w:rPr>
            </w:pPr>
            <w:r w:rsidRPr="00FD2040">
              <w:rPr>
                <w:rFonts w:ascii="Arial" w:eastAsia="Times New Roman" w:hAnsi="Arial" w:cs="Arial"/>
                <w:b/>
                <w:bCs/>
                <w:color w:val="000000"/>
                <w:sz w:val="20"/>
                <w:szCs w:val="20"/>
                <w:lang w:eastAsia="en-GB"/>
              </w:rPr>
              <w:t>17</w:t>
            </w:r>
          </w:p>
        </w:tc>
        <w:tc>
          <w:tcPr>
            <w:tcW w:w="2323" w:type="dxa"/>
            <w:tcBorders>
              <w:top w:val="nil"/>
              <w:left w:val="nil"/>
              <w:bottom w:val="nil"/>
              <w:right w:val="nil"/>
            </w:tcBorders>
            <w:shd w:val="clear" w:color="000000" w:fill="EDFFB7"/>
            <w:vAlign w:val="center"/>
            <w:hideMark/>
          </w:tcPr>
          <w:p w14:paraId="7A3B8DB3" w14:textId="77777777" w:rsidR="0021298F" w:rsidRPr="00FD2040" w:rsidRDefault="0021298F" w:rsidP="00760009">
            <w:pPr>
              <w:jc w:val="right"/>
              <w:rPr>
                <w:rFonts w:ascii="Arial" w:eastAsia="Times New Roman" w:hAnsi="Arial" w:cs="Arial"/>
                <w:b/>
                <w:bCs/>
                <w:color w:val="000000"/>
                <w:lang w:eastAsia="en-GB"/>
              </w:rPr>
            </w:pPr>
            <w:r w:rsidRPr="00FD2040">
              <w:rPr>
                <w:rFonts w:ascii="Arial" w:eastAsia="Times New Roman" w:hAnsi="Arial" w:cs="Arial"/>
                <w:b/>
                <w:bCs/>
                <w:color w:val="000000"/>
                <w:lang w:eastAsia="en-GB"/>
              </w:rPr>
              <w:t>18,424</w:t>
            </w:r>
          </w:p>
        </w:tc>
        <w:tc>
          <w:tcPr>
            <w:tcW w:w="2239" w:type="dxa"/>
            <w:tcBorders>
              <w:top w:val="nil"/>
              <w:left w:val="nil"/>
              <w:bottom w:val="nil"/>
              <w:right w:val="nil"/>
            </w:tcBorders>
            <w:shd w:val="clear" w:color="000000" w:fill="FFFFFF"/>
            <w:vAlign w:val="center"/>
            <w:hideMark/>
          </w:tcPr>
          <w:p w14:paraId="59B816F1" w14:textId="77777777" w:rsidR="0021298F" w:rsidRPr="00FD2040" w:rsidRDefault="0021298F" w:rsidP="00760009">
            <w:pPr>
              <w:jc w:val="right"/>
              <w:rPr>
                <w:rFonts w:ascii="Arial" w:eastAsia="Times New Roman" w:hAnsi="Arial" w:cs="Arial"/>
                <w:b/>
                <w:bCs/>
                <w:color w:val="000000"/>
                <w:lang w:eastAsia="en-GB"/>
              </w:rPr>
            </w:pPr>
            <w:r w:rsidRPr="00FD2040">
              <w:rPr>
                <w:rFonts w:ascii="Arial" w:eastAsia="Times New Roman" w:hAnsi="Arial" w:cs="Arial"/>
                <w:b/>
                <w:bCs/>
                <w:color w:val="000000"/>
                <w:lang w:eastAsia="en-GB"/>
              </w:rPr>
              <w:t>15,269</w:t>
            </w:r>
          </w:p>
        </w:tc>
      </w:tr>
      <w:tr w:rsidR="0021298F" w:rsidRPr="00FD2040" w14:paraId="28C705E9" w14:textId="77777777" w:rsidTr="00760009">
        <w:trPr>
          <w:trHeight w:val="300"/>
        </w:trPr>
        <w:tc>
          <w:tcPr>
            <w:tcW w:w="4769" w:type="dxa"/>
            <w:tcBorders>
              <w:top w:val="nil"/>
              <w:left w:val="nil"/>
              <w:bottom w:val="nil"/>
              <w:right w:val="nil"/>
            </w:tcBorders>
            <w:shd w:val="clear" w:color="000000" w:fill="FFFFFF"/>
            <w:vAlign w:val="center"/>
            <w:hideMark/>
          </w:tcPr>
          <w:p w14:paraId="08BD9C4F" w14:textId="77777777" w:rsidR="0021298F" w:rsidRPr="00FD2040" w:rsidRDefault="0021298F" w:rsidP="00760009">
            <w:pPr>
              <w:rPr>
                <w:rFonts w:ascii="Arial" w:eastAsia="Times New Roman" w:hAnsi="Arial" w:cs="Arial"/>
                <w:color w:val="000000"/>
                <w:lang w:eastAsia="en-GB"/>
              </w:rPr>
            </w:pPr>
            <w:r w:rsidRPr="00FD2040">
              <w:rPr>
                <w:rFonts w:ascii="Arial" w:eastAsia="Times New Roman" w:hAnsi="Arial" w:cs="Arial"/>
                <w:color w:val="000000"/>
                <w:lang w:eastAsia="en-GB"/>
              </w:rPr>
              <w:t> </w:t>
            </w:r>
          </w:p>
        </w:tc>
        <w:tc>
          <w:tcPr>
            <w:tcW w:w="705" w:type="dxa"/>
            <w:tcBorders>
              <w:top w:val="nil"/>
              <w:left w:val="nil"/>
              <w:bottom w:val="nil"/>
              <w:right w:val="nil"/>
            </w:tcBorders>
            <w:shd w:val="clear" w:color="000000" w:fill="FFFFFF"/>
            <w:vAlign w:val="center"/>
            <w:hideMark/>
          </w:tcPr>
          <w:p w14:paraId="6D223187" w14:textId="77777777" w:rsidR="0021298F" w:rsidRPr="00FD2040" w:rsidRDefault="0021298F" w:rsidP="00760009">
            <w:pPr>
              <w:jc w:val="center"/>
              <w:rPr>
                <w:rFonts w:ascii="Calibri" w:eastAsia="Times New Roman" w:hAnsi="Calibri" w:cs="Calibri"/>
                <w:color w:val="000000"/>
                <w:lang w:eastAsia="en-GB"/>
              </w:rPr>
            </w:pPr>
            <w:r w:rsidRPr="00FD2040">
              <w:rPr>
                <w:rFonts w:ascii="Calibri" w:eastAsia="Times New Roman" w:hAnsi="Calibri" w:cs="Calibri"/>
                <w:color w:val="000000"/>
                <w:lang w:eastAsia="en-GB"/>
              </w:rPr>
              <w:t> </w:t>
            </w:r>
          </w:p>
        </w:tc>
        <w:tc>
          <w:tcPr>
            <w:tcW w:w="2323" w:type="dxa"/>
            <w:tcBorders>
              <w:top w:val="nil"/>
              <w:left w:val="nil"/>
              <w:bottom w:val="nil"/>
              <w:right w:val="nil"/>
            </w:tcBorders>
            <w:shd w:val="clear" w:color="000000" w:fill="EDFFB7"/>
            <w:vAlign w:val="center"/>
            <w:hideMark/>
          </w:tcPr>
          <w:p w14:paraId="53D2F609" w14:textId="77777777" w:rsidR="0021298F" w:rsidRPr="00FD2040" w:rsidRDefault="0021298F" w:rsidP="00760009">
            <w:pPr>
              <w:jc w:val="right"/>
              <w:rPr>
                <w:rFonts w:ascii="Arial" w:eastAsia="Times New Roman" w:hAnsi="Arial" w:cs="Arial"/>
                <w:color w:val="000000"/>
                <w:lang w:eastAsia="en-GB"/>
              </w:rPr>
            </w:pPr>
            <w:r w:rsidRPr="00FD2040">
              <w:rPr>
                <w:rFonts w:ascii="Arial" w:eastAsia="Times New Roman" w:hAnsi="Arial" w:cs="Arial"/>
                <w:color w:val="000000"/>
                <w:lang w:eastAsia="en-GB"/>
              </w:rPr>
              <w:t> </w:t>
            </w:r>
          </w:p>
        </w:tc>
        <w:tc>
          <w:tcPr>
            <w:tcW w:w="2239" w:type="dxa"/>
            <w:tcBorders>
              <w:top w:val="nil"/>
              <w:left w:val="nil"/>
              <w:bottom w:val="nil"/>
              <w:right w:val="nil"/>
            </w:tcBorders>
            <w:shd w:val="clear" w:color="000000" w:fill="FFFFFF"/>
            <w:vAlign w:val="center"/>
            <w:hideMark/>
          </w:tcPr>
          <w:p w14:paraId="5F35A9FC" w14:textId="77777777" w:rsidR="0021298F" w:rsidRPr="00FD2040" w:rsidRDefault="0021298F" w:rsidP="00760009">
            <w:pPr>
              <w:jc w:val="right"/>
              <w:rPr>
                <w:rFonts w:ascii="Arial" w:eastAsia="Times New Roman" w:hAnsi="Arial" w:cs="Arial"/>
                <w:color w:val="000000"/>
                <w:lang w:eastAsia="en-GB"/>
              </w:rPr>
            </w:pPr>
            <w:r w:rsidRPr="00FD2040">
              <w:rPr>
                <w:rFonts w:ascii="Arial" w:eastAsia="Times New Roman" w:hAnsi="Arial" w:cs="Arial"/>
                <w:color w:val="000000"/>
                <w:lang w:eastAsia="en-GB"/>
              </w:rPr>
              <w:t> </w:t>
            </w:r>
          </w:p>
        </w:tc>
      </w:tr>
      <w:tr w:rsidR="0021298F" w:rsidRPr="00FD2040" w14:paraId="506A2742" w14:textId="77777777" w:rsidTr="00760009">
        <w:trPr>
          <w:trHeight w:val="300"/>
        </w:trPr>
        <w:tc>
          <w:tcPr>
            <w:tcW w:w="4769" w:type="dxa"/>
            <w:tcBorders>
              <w:top w:val="nil"/>
              <w:left w:val="nil"/>
              <w:bottom w:val="nil"/>
              <w:right w:val="nil"/>
            </w:tcBorders>
            <w:shd w:val="clear" w:color="000000" w:fill="FFFFFF"/>
            <w:vAlign w:val="center"/>
            <w:hideMark/>
          </w:tcPr>
          <w:p w14:paraId="763A7B8E" w14:textId="77777777" w:rsidR="0021298F" w:rsidRPr="00FD2040" w:rsidRDefault="0021298F" w:rsidP="00760009">
            <w:pPr>
              <w:rPr>
                <w:rFonts w:ascii="Arial" w:eastAsia="Times New Roman" w:hAnsi="Arial" w:cs="Arial"/>
                <w:b/>
                <w:bCs/>
                <w:color w:val="000000"/>
                <w:lang w:eastAsia="en-GB"/>
              </w:rPr>
            </w:pPr>
            <w:r w:rsidRPr="00FD2040">
              <w:rPr>
                <w:rFonts w:ascii="Arial" w:eastAsia="Times New Roman" w:hAnsi="Arial" w:cs="Arial"/>
                <w:b/>
                <w:bCs/>
                <w:color w:val="000000"/>
                <w:lang w:eastAsia="en-GB"/>
              </w:rPr>
              <w:t>Cash flows from investing activities</w:t>
            </w:r>
          </w:p>
        </w:tc>
        <w:tc>
          <w:tcPr>
            <w:tcW w:w="705" w:type="dxa"/>
            <w:tcBorders>
              <w:top w:val="nil"/>
              <w:left w:val="nil"/>
              <w:bottom w:val="nil"/>
              <w:right w:val="nil"/>
            </w:tcBorders>
            <w:shd w:val="clear" w:color="000000" w:fill="FFFFFF"/>
            <w:vAlign w:val="center"/>
            <w:hideMark/>
          </w:tcPr>
          <w:p w14:paraId="3CA2F477" w14:textId="77777777" w:rsidR="0021298F" w:rsidRPr="00FD2040" w:rsidRDefault="0021298F" w:rsidP="00760009">
            <w:pPr>
              <w:jc w:val="center"/>
              <w:rPr>
                <w:rFonts w:ascii="Calibri" w:eastAsia="Times New Roman" w:hAnsi="Calibri" w:cs="Calibri"/>
                <w:color w:val="000000"/>
                <w:lang w:eastAsia="en-GB"/>
              </w:rPr>
            </w:pPr>
            <w:r w:rsidRPr="00FD2040">
              <w:rPr>
                <w:rFonts w:ascii="Calibri" w:eastAsia="Times New Roman" w:hAnsi="Calibri" w:cs="Calibri"/>
                <w:color w:val="000000"/>
                <w:lang w:eastAsia="en-GB"/>
              </w:rPr>
              <w:t> </w:t>
            </w:r>
          </w:p>
        </w:tc>
        <w:tc>
          <w:tcPr>
            <w:tcW w:w="2323" w:type="dxa"/>
            <w:tcBorders>
              <w:top w:val="nil"/>
              <w:left w:val="nil"/>
              <w:bottom w:val="nil"/>
              <w:right w:val="nil"/>
            </w:tcBorders>
            <w:shd w:val="clear" w:color="000000" w:fill="EDFFB7"/>
            <w:vAlign w:val="center"/>
            <w:hideMark/>
          </w:tcPr>
          <w:p w14:paraId="52895910" w14:textId="77777777" w:rsidR="0021298F" w:rsidRPr="00FD2040" w:rsidRDefault="0021298F" w:rsidP="00760009">
            <w:pPr>
              <w:jc w:val="right"/>
              <w:rPr>
                <w:rFonts w:ascii="Arial" w:eastAsia="Times New Roman" w:hAnsi="Arial" w:cs="Arial"/>
                <w:color w:val="000000"/>
                <w:lang w:eastAsia="en-GB"/>
              </w:rPr>
            </w:pPr>
            <w:r w:rsidRPr="00FD2040">
              <w:rPr>
                <w:rFonts w:ascii="Arial" w:eastAsia="Times New Roman" w:hAnsi="Arial" w:cs="Arial"/>
                <w:color w:val="000000"/>
                <w:lang w:eastAsia="en-GB"/>
              </w:rPr>
              <w:t> </w:t>
            </w:r>
          </w:p>
        </w:tc>
        <w:tc>
          <w:tcPr>
            <w:tcW w:w="2239" w:type="dxa"/>
            <w:tcBorders>
              <w:top w:val="nil"/>
              <w:left w:val="nil"/>
              <w:bottom w:val="nil"/>
              <w:right w:val="nil"/>
            </w:tcBorders>
            <w:shd w:val="clear" w:color="000000" w:fill="FFFFFF"/>
            <w:noWrap/>
            <w:vAlign w:val="center"/>
            <w:hideMark/>
          </w:tcPr>
          <w:p w14:paraId="7A2AA0DD" w14:textId="77777777" w:rsidR="0021298F" w:rsidRPr="00FD2040" w:rsidRDefault="0021298F" w:rsidP="00760009">
            <w:pPr>
              <w:jc w:val="right"/>
              <w:rPr>
                <w:rFonts w:ascii="Arial" w:eastAsia="Times New Roman" w:hAnsi="Arial" w:cs="Arial"/>
                <w:color w:val="000000"/>
                <w:lang w:eastAsia="en-GB"/>
              </w:rPr>
            </w:pPr>
            <w:r w:rsidRPr="00FD2040">
              <w:rPr>
                <w:rFonts w:ascii="Arial" w:eastAsia="Times New Roman" w:hAnsi="Arial" w:cs="Arial"/>
                <w:color w:val="000000"/>
                <w:lang w:eastAsia="en-GB"/>
              </w:rPr>
              <w:t> </w:t>
            </w:r>
          </w:p>
        </w:tc>
      </w:tr>
      <w:tr w:rsidR="0021298F" w:rsidRPr="00FD2040" w14:paraId="66604CF8" w14:textId="77777777" w:rsidTr="00760009">
        <w:trPr>
          <w:trHeight w:val="300"/>
        </w:trPr>
        <w:tc>
          <w:tcPr>
            <w:tcW w:w="4769" w:type="dxa"/>
            <w:tcBorders>
              <w:top w:val="nil"/>
              <w:left w:val="nil"/>
              <w:bottom w:val="nil"/>
              <w:right w:val="nil"/>
            </w:tcBorders>
            <w:shd w:val="clear" w:color="000000" w:fill="FFFFFF"/>
            <w:vAlign w:val="center"/>
            <w:hideMark/>
          </w:tcPr>
          <w:p w14:paraId="1370FB40" w14:textId="77777777" w:rsidR="0021298F" w:rsidRPr="00FD2040" w:rsidRDefault="0021298F" w:rsidP="00760009">
            <w:pPr>
              <w:rPr>
                <w:rFonts w:ascii="Arial" w:eastAsia="Times New Roman" w:hAnsi="Arial" w:cs="Arial"/>
                <w:color w:val="000000"/>
                <w:lang w:eastAsia="en-GB"/>
              </w:rPr>
            </w:pPr>
            <w:r w:rsidRPr="00FD2040">
              <w:rPr>
                <w:rFonts w:ascii="Arial" w:eastAsia="Times New Roman" w:hAnsi="Arial" w:cs="Arial"/>
                <w:color w:val="000000"/>
                <w:lang w:eastAsia="en-GB"/>
              </w:rPr>
              <w:t>Acquisition of investments</w:t>
            </w:r>
          </w:p>
        </w:tc>
        <w:tc>
          <w:tcPr>
            <w:tcW w:w="705" w:type="dxa"/>
            <w:tcBorders>
              <w:top w:val="nil"/>
              <w:left w:val="nil"/>
              <w:bottom w:val="nil"/>
              <w:right w:val="nil"/>
            </w:tcBorders>
            <w:shd w:val="clear" w:color="000000" w:fill="FFFFFF"/>
            <w:vAlign w:val="center"/>
            <w:hideMark/>
          </w:tcPr>
          <w:p w14:paraId="70638BC8" w14:textId="77777777" w:rsidR="0021298F" w:rsidRPr="00FD2040" w:rsidRDefault="0021298F" w:rsidP="00760009">
            <w:pPr>
              <w:jc w:val="center"/>
              <w:rPr>
                <w:rFonts w:ascii="Arial" w:eastAsia="Times New Roman" w:hAnsi="Arial" w:cs="Arial"/>
                <w:b/>
                <w:bCs/>
                <w:color w:val="000000"/>
                <w:sz w:val="20"/>
                <w:szCs w:val="20"/>
                <w:lang w:eastAsia="en-GB"/>
              </w:rPr>
            </w:pPr>
            <w:r w:rsidRPr="00FD2040">
              <w:rPr>
                <w:rFonts w:ascii="Arial" w:eastAsia="Times New Roman" w:hAnsi="Arial" w:cs="Arial"/>
                <w:b/>
                <w:bCs/>
                <w:color w:val="000000"/>
                <w:sz w:val="20"/>
                <w:szCs w:val="20"/>
                <w:lang w:eastAsia="en-GB"/>
              </w:rPr>
              <w:t> </w:t>
            </w:r>
          </w:p>
        </w:tc>
        <w:tc>
          <w:tcPr>
            <w:tcW w:w="2323" w:type="dxa"/>
            <w:tcBorders>
              <w:top w:val="nil"/>
              <w:left w:val="nil"/>
              <w:bottom w:val="nil"/>
              <w:right w:val="nil"/>
            </w:tcBorders>
            <w:shd w:val="clear" w:color="000000" w:fill="EDFFB7"/>
            <w:vAlign w:val="center"/>
            <w:hideMark/>
          </w:tcPr>
          <w:p w14:paraId="35F66713" w14:textId="77777777" w:rsidR="0021298F" w:rsidRPr="00FD2040" w:rsidRDefault="0021298F" w:rsidP="00760009">
            <w:pPr>
              <w:jc w:val="right"/>
              <w:rPr>
                <w:rFonts w:ascii="Arial" w:eastAsia="Times New Roman" w:hAnsi="Arial" w:cs="Arial"/>
                <w:color w:val="000000"/>
                <w:lang w:eastAsia="en-GB"/>
              </w:rPr>
            </w:pPr>
            <w:r w:rsidRPr="00FD2040">
              <w:rPr>
                <w:rFonts w:ascii="Arial" w:eastAsia="Times New Roman" w:hAnsi="Arial" w:cs="Arial"/>
                <w:color w:val="000000"/>
                <w:lang w:eastAsia="en-GB"/>
              </w:rPr>
              <w:t xml:space="preserve"> (123,641)</w:t>
            </w:r>
          </w:p>
        </w:tc>
        <w:tc>
          <w:tcPr>
            <w:tcW w:w="2239" w:type="dxa"/>
            <w:tcBorders>
              <w:top w:val="nil"/>
              <w:left w:val="nil"/>
              <w:bottom w:val="nil"/>
              <w:right w:val="nil"/>
            </w:tcBorders>
            <w:shd w:val="clear" w:color="000000" w:fill="FFFFFF"/>
            <w:vAlign w:val="center"/>
            <w:hideMark/>
          </w:tcPr>
          <w:p w14:paraId="48DD21A3" w14:textId="77777777" w:rsidR="0021298F" w:rsidRPr="00FD2040" w:rsidRDefault="0021298F" w:rsidP="00760009">
            <w:pPr>
              <w:jc w:val="right"/>
              <w:rPr>
                <w:rFonts w:ascii="Arial" w:eastAsia="Times New Roman" w:hAnsi="Arial" w:cs="Arial"/>
                <w:color w:val="000000"/>
                <w:lang w:eastAsia="en-GB"/>
              </w:rPr>
            </w:pPr>
            <w:r w:rsidRPr="00FD2040">
              <w:rPr>
                <w:rFonts w:ascii="Arial" w:eastAsia="Times New Roman" w:hAnsi="Arial" w:cs="Arial"/>
                <w:color w:val="000000"/>
                <w:lang w:eastAsia="en-GB"/>
              </w:rPr>
              <w:t xml:space="preserve"> (112,794)</w:t>
            </w:r>
          </w:p>
        </w:tc>
      </w:tr>
      <w:tr w:rsidR="0021298F" w:rsidRPr="00FD2040" w14:paraId="4D8257D5" w14:textId="77777777" w:rsidTr="00760009">
        <w:trPr>
          <w:trHeight w:val="300"/>
        </w:trPr>
        <w:tc>
          <w:tcPr>
            <w:tcW w:w="4769" w:type="dxa"/>
            <w:tcBorders>
              <w:top w:val="nil"/>
              <w:left w:val="nil"/>
              <w:bottom w:val="nil"/>
              <w:right w:val="nil"/>
            </w:tcBorders>
            <w:shd w:val="clear" w:color="000000" w:fill="FFFFFF"/>
            <w:vAlign w:val="center"/>
            <w:hideMark/>
          </w:tcPr>
          <w:p w14:paraId="1775AF5F" w14:textId="77777777" w:rsidR="0021298F" w:rsidRPr="00FD2040" w:rsidRDefault="0021298F" w:rsidP="00760009">
            <w:pPr>
              <w:rPr>
                <w:rFonts w:ascii="Arial" w:eastAsia="Times New Roman" w:hAnsi="Arial" w:cs="Arial"/>
                <w:color w:val="000000"/>
                <w:lang w:eastAsia="en-GB"/>
              </w:rPr>
            </w:pPr>
            <w:r w:rsidRPr="00FD2040">
              <w:rPr>
                <w:rFonts w:ascii="Arial" w:eastAsia="Times New Roman" w:hAnsi="Arial" w:cs="Arial"/>
                <w:color w:val="000000"/>
                <w:lang w:eastAsia="en-GB"/>
              </w:rPr>
              <w:t>Investment acquisition costs</w:t>
            </w:r>
          </w:p>
        </w:tc>
        <w:tc>
          <w:tcPr>
            <w:tcW w:w="705" w:type="dxa"/>
            <w:tcBorders>
              <w:top w:val="nil"/>
              <w:left w:val="nil"/>
              <w:bottom w:val="nil"/>
              <w:right w:val="nil"/>
            </w:tcBorders>
            <w:shd w:val="clear" w:color="000000" w:fill="FFFFFF"/>
            <w:vAlign w:val="center"/>
            <w:hideMark/>
          </w:tcPr>
          <w:p w14:paraId="18D58ADC" w14:textId="77777777" w:rsidR="0021298F" w:rsidRPr="00FD2040" w:rsidRDefault="0021298F" w:rsidP="00760009">
            <w:pPr>
              <w:jc w:val="center"/>
              <w:rPr>
                <w:rFonts w:ascii="Arial" w:eastAsia="Times New Roman" w:hAnsi="Arial" w:cs="Arial"/>
                <w:b/>
                <w:bCs/>
                <w:color w:val="000000"/>
                <w:sz w:val="20"/>
                <w:szCs w:val="20"/>
                <w:lang w:eastAsia="en-GB"/>
              </w:rPr>
            </w:pPr>
            <w:r w:rsidRPr="00FD2040">
              <w:rPr>
                <w:rFonts w:ascii="Arial" w:eastAsia="Times New Roman" w:hAnsi="Arial" w:cs="Arial"/>
                <w:b/>
                <w:bCs/>
                <w:color w:val="000000"/>
                <w:sz w:val="20"/>
                <w:szCs w:val="20"/>
                <w:lang w:eastAsia="en-GB"/>
              </w:rPr>
              <w:t> </w:t>
            </w:r>
          </w:p>
        </w:tc>
        <w:tc>
          <w:tcPr>
            <w:tcW w:w="2323" w:type="dxa"/>
            <w:tcBorders>
              <w:top w:val="nil"/>
              <w:left w:val="nil"/>
              <w:bottom w:val="nil"/>
              <w:right w:val="nil"/>
            </w:tcBorders>
            <w:shd w:val="clear" w:color="000000" w:fill="EDFFB7"/>
            <w:vAlign w:val="center"/>
            <w:hideMark/>
          </w:tcPr>
          <w:p w14:paraId="533CC800" w14:textId="77777777" w:rsidR="0021298F" w:rsidRPr="00FD2040" w:rsidRDefault="0021298F" w:rsidP="00760009">
            <w:pPr>
              <w:jc w:val="right"/>
              <w:rPr>
                <w:rFonts w:ascii="Arial" w:eastAsia="Times New Roman" w:hAnsi="Arial" w:cs="Arial"/>
                <w:color w:val="000000"/>
                <w:lang w:eastAsia="en-GB"/>
              </w:rPr>
            </w:pPr>
            <w:r w:rsidRPr="00FD2040">
              <w:rPr>
                <w:rFonts w:ascii="Arial" w:eastAsia="Times New Roman" w:hAnsi="Arial" w:cs="Arial"/>
                <w:color w:val="000000"/>
                <w:lang w:eastAsia="en-GB"/>
              </w:rPr>
              <w:t xml:space="preserve"> (1,518)</w:t>
            </w:r>
          </w:p>
        </w:tc>
        <w:tc>
          <w:tcPr>
            <w:tcW w:w="2239" w:type="dxa"/>
            <w:tcBorders>
              <w:top w:val="nil"/>
              <w:left w:val="nil"/>
              <w:bottom w:val="nil"/>
              <w:right w:val="nil"/>
            </w:tcBorders>
            <w:shd w:val="clear" w:color="000000" w:fill="FFFFFF"/>
            <w:vAlign w:val="center"/>
            <w:hideMark/>
          </w:tcPr>
          <w:p w14:paraId="5DD19D09" w14:textId="77777777" w:rsidR="0021298F" w:rsidRPr="00FD2040" w:rsidRDefault="0021298F" w:rsidP="00760009">
            <w:pPr>
              <w:jc w:val="right"/>
              <w:rPr>
                <w:rFonts w:ascii="Arial" w:eastAsia="Times New Roman" w:hAnsi="Arial" w:cs="Arial"/>
                <w:color w:val="000000"/>
                <w:lang w:eastAsia="en-GB"/>
              </w:rPr>
            </w:pPr>
            <w:r w:rsidRPr="00FD2040">
              <w:rPr>
                <w:rFonts w:ascii="Arial" w:eastAsia="Times New Roman" w:hAnsi="Arial" w:cs="Arial"/>
                <w:color w:val="000000"/>
                <w:lang w:eastAsia="en-GB"/>
              </w:rPr>
              <w:t xml:space="preserve"> (5,398)</w:t>
            </w:r>
          </w:p>
        </w:tc>
      </w:tr>
      <w:tr w:rsidR="0021298F" w:rsidRPr="00FD2040" w14:paraId="5DE6DE4F" w14:textId="77777777" w:rsidTr="00760009">
        <w:trPr>
          <w:trHeight w:val="315"/>
        </w:trPr>
        <w:tc>
          <w:tcPr>
            <w:tcW w:w="4769" w:type="dxa"/>
            <w:tcBorders>
              <w:top w:val="nil"/>
              <w:left w:val="nil"/>
              <w:bottom w:val="single" w:sz="8" w:space="0" w:color="auto"/>
              <w:right w:val="nil"/>
            </w:tcBorders>
            <w:shd w:val="clear" w:color="000000" w:fill="FFFFFF"/>
            <w:vAlign w:val="center"/>
            <w:hideMark/>
          </w:tcPr>
          <w:p w14:paraId="1C705FFF" w14:textId="77777777" w:rsidR="0021298F" w:rsidRPr="00FD2040" w:rsidRDefault="0021298F" w:rsidP="00760009">
            <w:pPr>
              <w:rPr>
                <w:rFonts w:ascii="Arial" w:eastAsia="Times New Roman" w:hAnsi="Arial" w:cs="Arial"/>
                <w:color w:val="000000"/>
                <w:lang w:eastAsia="en-GB"/>
              </w:rPr>
            </w:pPr>
            <w:r w:rsidRPr="00FD2040">
              <w:rPr>
                <w:rFonts w:ascii="Arial" w:eastAsia="Times New Roman" w:hAnsi="Arial" w:cs="Arial"/>
                <w:color w:val="000000"/>
                <w:lang w:eastAsia="en-GB"/>
              </w:rPr>
              <w:t>Repayment of shareholder loan investments</w:t>
            </w:r>
          </w:p>
        </w:tc>
        <w:tc>
          <w:tcPr>
            <w:tcW w:w="705" w:type="dxa"/>
            <w:tcBorders>
              <w:top w:val="nil"/>
              <w:left w:val="nil"/>
              <w:bottom w:val="single" w:sz="8" w:space="0" w:color="auto"/>
              <w:right w:val="nil"/>
            </w:tcBorders>
            <w:shd w:val="clear" w:color="000000" w:fill="FFFFFF"/>
            <w:vAlign w:val="center"/>
            <w:hideMark/>
          </w:tcPr>
          <w:p w14:paraId="1E1F7668" w14:textId="77777777" w:rsidR="0021298F" w:rsidRPr="00FD2040" w:rsidRDefault="0021298F" w:rsidP="00760009">
            <w:pPr>
              <w:jc w:val="center"/>
              <w:rPr>
                <w:rFonts w:ascii="Arial" w:eastAsia="Times New Roman" w:hAnsi="Arial" w:cs="Arial"/>
                <w:b/>
                <w:bCs/>
                <w:color w:val="000000"/>
                <w:sz w:val="20"/>
                <w:szCs w:val="20"/>
                <w:lang w:eastAsia="en-GB"/>
              </w:rPr>
            </w:pPr>
            <w:r w:rsidRPr="00FD2040">
              <w:rPr>
                <w:rFonts w:ascii="Arial" w:eastAsia="Times New Roman" w:hAnsi="Arial" w:cs="Arial"/>
                <w:b/>
                <w:bCs/>
                <w:color w:val="000000"/>
                <w:sz w:val="20"/>
                <w:szCs w:val="20"/>
                <w:lang w:eastAsia="en-GB"/>
              </w:rPr>
              <w:t>9</w:t>
            </w:r>
          </w:p>
        </w:tc>
        <w:tc>
          <w:tcPr>
            <w:tcW w:w="2323" w:type="dxa"/>
            <w:tcBorders>
              <w:top w:val="nil"/>
              <w:left w:val="nil"/>
              <w:bottom w:val="single" w:sz="8" w:space="0" w:color="auto"/>
              <w:right w:val="nil"/>
            </w:tcBorders>
            <w:shd w:val="clear" w:color="000000" w:fill="EDFFB7"/>
            <w:vAlign w:val="center"/>
            <w:hideMark/>
          </w:tcPr>
          <w:p w14:paraId="380E332C" w14:textId="77777777" w:rsidR="0021298F" w:rsidRPr="00FD2040" w:rsidRDefault="0021298F" w:rsidP="00760009">
            <w:pPr>
              <w:jc w:val="right"/>
              <w:rPr>
                <w:rFonts w:ascii="Arial" w:eastAsia="Times New Roman" w:hAnsi="Arial" w:cs="Arial"/>
                <w:color w:val="000000"/>
                <w:lang w:eastAsia="en-GB"/>
              </w:rPr>
            </w:pPr>
            <w:r w:rsidRPr="00FD2040">
              <w:rPr>
                <w:rFonts w:ascii="Arial" w:eastAsia="Times New Roman" w:hAnsi="Arial" w:cs="Arial"/>
                <w:color w:val="000000"/>
                <w:lang w:eastAsia="en-GB"/>
              </w:rPr>
              <w:t>32,442</w:t>
            </w:r>
          </w:p>
        </w:tc>
        <w:tc>
          <w:tcPr>
            <w:tcW w:w="2239" w:type="dxa"/>
            <w:tcBorders>
              <w:top w:val="nil"/>
              <w:left w:val="nil"/>
              <w:bottom w:val="single" w:sz="8" w:space="0" w:color="auto"/>
              <w:right w:val="nil"/>
            </w:tcBorders>
            <w:shd w:val="clear" w:color="000000" w:fill="FFFFFF"/>
            <w:noWrap/>
            <w:vAlign w:val="center"/>
            <w:hideMark/>
          </w:tcPr>
          <w:p w14:paraId="13CDEC17" w14:textId="77777777" w:rsidR="0021298F" w:rsidRPr="00FD2040" w:rsidRDefault="0021298F" w:rsidP="00760009">
            <w:pPr>
              <w:jc w:val="right"/>
              <w:rPr>
                <w:rFonts w:ascii="Arial" w:eastAsia="Times New Roman" w:hAnsi="Arial" w:cs="Arial"/>
                <w:color w:val="000000"/>
                <w:lang w:eastAsia="en-GB"/>
              </w:rPr>
            </w:pPr>
            <w:r w:rsidRPr="00FD2040">
              <w:rPr>
                <w:rFonts w:ascii="Arial" w:eastAsia="Times New Roman" w:hAnsi="Arial" w:cs="Arial"/>
                <w:color w:val="000000"/>
                <w:lang w:eastAsia="en-GB"/>
              </w:rPr>
              <w:t>29,482</w:t>
            </w:r>
          </w:p>
        </w:tc>
      </w:tr>
      <w:tr w:rsidR="0021298F" w:rsidRPr="00FD2040" w14:paraId="7F82DE3E" w14:textId="77777777" w:rsidTr="00760009">
        <w:trPr>
          <w:trHeight w:val="300"/>
        </w:trPr>
        <w:tc>
          <w:tcPr>
            <w:tcW w:w="4769" w:type="dxa"/>
            <w:tcBorders>
              <w:top w:val="nil"/>
              <w:left w:val="nil"/>
              <w:bottom w:val="nil"/>
              <w:right w:val="nil"/>
            </w:tcBorders>
            <w:shd w:val="clear" w:color="000000" w:fill="FFFFFF"/>
            <w:vAlign w:val="center"/>
            <w:hideMark/>
          </w:tcPr>
          <w:p w14:paraId="7CEB6020" w14:textId="77777777" w:rsidR="0021298F" w:rsidRPr="00FD2040" w:rsidRDefault="0021298F" w:rsidP="00760009">
            <w:pPr>
              <w:rPr>
                <w:rFonts w:ascii="Arial" w:eastAsia="Times New Roman" w:hAnsi="Arial" w:cs="Arial"/>
                <w:b/>
                <w:bCs/>
                <w:color w:val="000000"/>
                <w:lang w:eastAsia="en-GB"/>
              </w:rPr>
            </w:pPr>
            <w:r w:rsidRPr="00FD2040">
              <w:rPr>
                <w:rFonts w:ascii="Arial" w:eastAsia="Times New Roman" w:hAnsi="Arial" w:cs="Arial"/>
                <w:b/>
                <w:bCs/>
                <w:color w:val="000000"/>
                <w:lang w:eastAsia="en-GB"/>
              </w:rPr>
              <w:t>Net cash flows from investing activities</w:t>
            </w:r>
          </w:p>
        </w:tc>
        <w:tc>
          <w:tcPr>
            <w:tcW w:w="705" w:type="dxa"/>
            <w:tcBorders>
              <w:top w:val="nil"/>
              <w:left w:val="nil"/>
              <w:bottom w:val="nil"/>
              <w:right w:val="nil"/>
            </w:tcBorders>
            <w:shd w:val="clear" w:color="000000" w:fill="FFFFFF"/>
            <w:vAlign w:val="center"/>
            <w:hideMark/>
          </w:tcPr>
          <w:p w14:paraId="6CD3AD40" w14:textId="77777777" w:rsidR="0021298F" w:rsidRPr="00FD2040" w:rsidRDefault="0021298F" w:rsidP="00760009">
            <w:pPr>
              <w:jc w:val="center"/>
              <w:rPr>
                <w:rFonts w:ascii="Arial" w:eastAsia="Times New Roman" w:hAnsi="Arial" w:cs="Arial"/>
                <w:b/>
                <w:bCs/>
                <w:color w:val="000000"/>
                <w:sz w:val="20"/>
                <w:szCs w:val="20"/>
                <w:lang w:eastAsia="en-GB"/>
              </w:rPr>
            </w:pPr>
            <w:r w:rsidRPr="00FD2040">
              <w:rPr>
                <w:rFonts w:ascii="Arial" w:eastAsia="Times New Roman" w:hAnsi="Arial" w:cs="Arial"/>
                <w:b/>
                <w:bCs/>
                <w:color w:val="000000"/>
                <w:sz w:val="20"/>
                <w:szCs w:val="20"/>
                <w:lang w:eastAsia="en-GB"/>
              </w:rPr>
              <w:t> </w:t>
            </w:r>
          </w:p>
        </w:tc>
        <w:tc>
          <w:tcPr>
            <w:tcW w:w="2323" w:type="dxa"/>
            <w:tcBorders>
              <w:top w:val="nil"/>
              <w:left w:val="nil"/>
              <w:bottom w:val="nil"/>
              <w:right w:val="nil"/>
            </w:tcBorders>
            <w:shd w:val="clear" w:color="000000" w:fill="EDFFB7"/>
            <w:vAlign w:val="center"/>
            <w:hideMark/>
          </w:tcPr>
          <w:p w14:paraId="0FAA5362" w14:textId="77777777" w:rsidR="0021298F" w:rsidRPr="00FD2040" w:rsidRDefault="0021298F" w:rsidP="00760009">
            <w:pPr>
              <w:jc w:val="right"/>
              <w:rPr>
                <w:rFonts w:ascii="Arial" w:eastAsia="Times New Roman" w:hAnsi="Arial" w:cs="Arial"/>
                <w:b/>
                <w:bCs/>
                <w:color w:val="000000"/>
                <w:lang w:eastAsia="en-GB"/>
              </w:rPr>
            </w:pPr>
            <w:r w:rsidRPr="00FD2040">
              <w:rPr>
                <w:rFonts w:ascii="Arial" w:eastAsia="Times New Roman" w:hAnsi="Arial" w:cs="Arial"/>
                <w:b/>
                <w:bCs/>
                <w:color w:val="000000"/>
                <w:lang w:eastAsia="en-GB"/>
              </w:rPr>
              <w:t xml:space="preserve"> (92,717)</w:t>
            </w:r>
          </w:p>
        </w:tc>
        <w:tc>
          <w:tcPr>
            <w:tcW w:w="2239" w:type="dxa"/>
            <w:tcBorders>
              <w:top w:val="nil"/>
              <w:left w:val="nil"/>
              <w:bottom w:val="nil"/>
              <w:right w:val="nil"/>
            </w:tcBorders>
            <w:shd w:val="clear" w:color="000000" w:fill="FFFFFF"/>
            <w:vAlign w:val="center"/>
            <w:hideMark/>
          </w:tcPr>
          <w:p w14:paraId="144D9612" w14:textId="77777777" w:rsidR="0021298F" w:rsidRPr="00FD2040" w:rsidRDefault="0021298F" w:rsidP="00760009">
            <w:pPr>
              <w:jc w:val="right"/>
              <w:rPr>
                <w:rFonts w:ascii="Arial" w:eastAsia="Times New Roman" w:hAnsi="Arial" w:cs="Arial"/>
                <w:b/>
                <w:bCs/>
                <w:color w:val="000000"/>
                <w:lang w:eastAsia="en-GB"/>
              </w:rPr>
            </w:pPr>
            <w:r w:rsidRPr="00FD2040">
              <w:rPr>
                <w:rFonts w:ascii="Arial" w:eastAsia="Times New Roman" w:hAnsi="Arial" w:cs="Arial"/>
                <w:b/>
                <w:bCs/>
                <w:color w:val="000000"/>
                <w:lang w:eastAsia="en-GB"/>
              </w:rPr>
              <w:t xml:space="preserve"> (88,710)</w:t>
            </w:r>
          </w:p>
        </w:tc>
      </w:tr>
      <w:tr w:rsidR="0021298F" w:rsidRPr="00FD2040" w14:paraId="443E2D1D" w14:textId="77777777" w:rsidTr="00760009">
        <w:trPr>
          <w:trHeight w:val="319"/>
        </w:trPr>
        <w:tc>
          <w:tcPr>
            <w:tcW w:w="4769" w:type="dxa"/>
            <w:tcBorders>
              <w:top w:val="nil"/>
              <w:left w:val="nil"/>
              <w:bottom w:val="nil"/>
              <w:right w:val="nil"/>
            </w:tcBorders>
            <w:shd w:val="clear" w:color="000000" w:fill="FFFFFF"/>
            <w:vAlign w:val="center"/>
            <w:hideMark/>
          </w:tcPr>
          <w:p w14:paraId="5A94E915" w14:textId="77777777" w:rsidR="0021298F" w:rsidRPr="00FD2040" w:rsidRDefault="0021298F" w:rsidP="00760009">
            <w:pPr>
              <w:rPr>
                <w:rFonts w:ascii="Arial" w:eastAsia="Times New Roman" w:hAnsi="Arial" w:cs="Arial"/>
                <w:b/>
                <w:bCs/>
                <w:color w:val="000000"/>
                <w:lang w:eastAsia="en-GB"/>
              </w:rPr>
            </w:pPr>
            <w:r w:rsidRPr="00FD2040">
              <w:rPr>
                <w:rFonts w:ascii="Arial" w:eastAsia="Times New Roman" w:hAnsi="Arial" w:cs="Arial"/>
                <w:b/>
                <w:bCs/>
                <w:color w:val="000000"/>
                <w:lang w:eastAsia="en-GB"/>
              </w:rPr>
              <w:t> </w:t>
            </w:r>
          </w:p>
        </w:tc>
        <w:tc>
          <w:tcPr>
            <w:tcW w:w="705" w:type="dxa"/>
            <w:tcBorders>
              <w:top w:val="nil"/>
              <w:left w:val="nil"/>
              <w:bottom w:val="nil"/>
              <w:right w:val="nil"/>
            </w:tcBorders>
            <w:shd w:val="clear" w:color="000000" w:fill="FFFFFF"/>
            <w:vAlign w:val="center"/>
            <w:hideMark/>
          </w:tcPr>
          <w:p w14:paraId="1DBEAE83" w14:textId="77777777" w:rsidR="0021298F" w:rsidRPr="00FD2040" w:rsidRDefault="0021298F" w:rsidP="00760009">
            <w:pPr>
              <w:jc w:val="center"/>
              <w:rPr>
                <w:rFonts w:ascii="Arial" w:eastAsia="Times New Roman" w:hAnsi="Arial" w:cs="Arial"/>
                <w:b/>
                <w:bCs/>
                <w:color w:val="000000"/>
                <w:sz w:val="20"/>
                <w:szCs w:val="20"/>
                <w:lang w:eastAsia="en-GB"/>
              </w:rPr>
            </w:pPr>
            <w:r w:rsidRPr="00FD2040">
              <w:rPr>
                <w:rFonts w:ascii="Arial" w:eastAsia="Times New Roman" w:hAnsi="Arial" w:cs="Arial"/>
                <w:b/>
                <w:bCs/>
                <w:color w:val="000000"/>
                <w:sz w:val="20"/>
                <w:szCs w:val="20"/>
                <w:lang w:eastAsia="en-GB"/>
              </w:rPr>
              <w:t> </w:t>
            </w:r>
          </w:p>
        </w:tc>
        <w:tc>
          <w:tcPr>
            <w:tcW w:w="2323" w:type="dxa"/>
            <w:tcBorders>
              <w:top w:val="nil"/>
              <w:left w:val="nil"/>
              <w:bottom w:val="nil"/>
              <w:right w:val="nil"/>
            </w:tcBorders>
            <w:shd w:val="clear" w:color="000000" w:fill="EDFFB7"/>
            <w:vAlign w:val="center"/>
            <w:hideMark/>
          </w:tcPr>
          <w:p w14:paraId="37398FF0" w14:textId="77777777" w:rsidR="0021298F" w:rsidRPr="00FD2040" w:rsidRDefault="0021298F" w:rsidP="00760009">
            <w:pPr>
              <w:jc w:val="right"/>
              <w:rPr>
                <w:rFonts w:ascii="Arial" w:eastAsia="Times New Roman" w:hAnsi="Arial" w:cs="Arial"/>
                <w:b/>
                <w:bCs/>
                <w:color w:val="000000"/>
                <w:lang w:eastAsia="en-GB"/>
              </w:rPr>
            </w:pPr>
            <w:r w:rsidRPr="00FD2040">
              <w:rPr>
                <w:rFonts w:ascii="Arial" w:eastAsia="Times New Roman" w:hAnsi="Arial" w:cs="Arial"/>
                <w:b/>
                <w:bCs/>
                <w:color w:val="000000"/>
                <w:lang w:eastAsia="en-GB"/>
              </w:rPr>
              <w:t> </w:t>
            </w:r>
          </w:p>
        </w:tc>
        <w:tc>
          <w:tcPr>
            <w:tcW w:w="2239" w:type="dxa"/>
            <w:tcBorders>
              <w:top w:val="nil"/>
              <w:left w:val="nil"/>
              <w:bottom w:val="nil"/>
              <w:right w:val="nil"/>
            </w:tcBorders>
            <w:shd w:val="clear" w:color="000000" w:fill="FFFFFF"/>
            <w:noWrap/>
            <w:vAlign w:val="center"/>
            <w:hideMark/>
          </w:tcPr>
          <w:p w14:paraId="3653B471" w14:textId="77777777" w:rsidR="0021298F" w:rsidRPr="00FD2040" w:rsidRDefault="0021298F" w:rsidP="00760009">
            <w:pPr>
              <w:jc w:val="right"/>
              <w:rPr>
                <w:rFonts w:ascii="Arial" w:eastAsia="Times New Roman" w:hAnsi="Arial" w:cs="Arial"/>
                <w:b/>
                <w:bCs/>
                <w:color w:val="000000"/>
                <w:lang w:eastAsia="en-GB"/>
              </w:rPr>
            </w:pPr>
            <w:r w:rsidRPr="00FD2040">
              <w:rPr>
                <w:rFonts w:ascii="Arial" w:eastAsia="Times New Roman" w:hAnsi="Arial" w:cs="Arial"/>
                <w:b/>
                <w:bCs/>
                <w:color w:val="000000"/>
                <w:lang w:eastAsia="en-GB"/>
              </w:rPr>
              <w:t> </w:t>
            </w:r>
          </w:p>
        </w:tc>
      </w:tr>
      <w:tr w:rsidR="0021298F" w:rsidRPr="00FD2040" w14:paraId="740DBCF3" w14:textId="77777777" w:rsidTr="00760009">
        <w:trPr>
          <w:trHeight w:val="300"/>
        </w:trPr>
        <w:tc>
          <w:tcPr>
            <w:tcW w:w="4769" w:type="dxa"/>
            <w:tcBorders>
              <w:top w:val="nil"/>
              <w:left w:val="nil"/>
              <w:bottom w:val="nil"/>
              <w:right w:val="nil"/>
            </w:tcBorders>
            <w:shd w:val="clear" w:color="000000" w:fill="FFFFFF"/>
            <w:vAlign w:val="center"/>
            <w:hideMark/>
          </w:tcPr>
          <w:p w14:paraId="2055981D" w14:textId="77777777" w:rsidR="0021298F" w:rsidRPr="00FD2040" w:rsidRDefault="0021298F" w:rsidP="00760009">
            <w:pPr>
              <w:rPr>
                <w:rFonts w:ascii="Arial" w:eastAsia="Times New Roman" w:hAnsi="Arial" w:cs="Arial"/>
                <w:b/>
                <w:bCs/>
                <w:color w:val="000000"/>
                <w:lang w:eastAsia="en-GB"/>
              </w:rPr>
            </w:pPr>
            <w:r w:rsidRPr="00FD2040">
              <w:rPr>
                <w:rFonts w:ascii="Arial" w:eastAsia="Times New Roman" w:hAnsi="Arial" w:cs="Arial"/>
                <w:b/>
                <w:bCs/>
                <w:color w:val="000000"/>
                <w:lang w:eastAsia="en-GB"/>
              </w:rPr>
              <w:t>Cash flows from financing activities</w:t>
            </w:r>
          </w:p>
        </w:tc>
        <w:tc>
          <w:tcPr>
            <w:tcW w:w="705" w:type="dxa"/>
            <w:tcBorders>
              <w:top w:val="nil"/>
              <w:left w:val="nil"/>
              <w:bottom w:val="nil"/>
              <w:right w:val="nil"/>
            </w:tcBorders>
            <w:shd w:val="clear" w:color="000000" w:fill="FFFFFF"/>
            <w:vAlign w:val="center"/>
            <w:hideMark/>
          </w:tcPr>
          <w:p w14:paraId="0EB95D91" w14:textId="77777777" w:rsidR="0021298F" w:rsidRPr="00FD2040" w:rsidRDefault="0021298F" w:rsidP="00760009">
            <w:pPr>
              <w:jc w:val="center"/>
              <w:rPr>
                <w:rFonts w:ascii="Arial" w:eastAsia="Times New Roman" w:hAnsi="Arial" w:cs="Arial"/>
                <w:b/>
                <w:bCs/>
                <w:color w:val="000000"/>
                <w:sz w:val="20"/>
                <w:szCs w:val="20"/>
                <w:lang w:eastAsia="en-GB"/>
              </w:rPr>
            </w:pPr>
            <w:r w:rsidRPr="00FD2040">
              <w:rPr>
                <w:rFonts w:ascii="Arial" w:eastAsia="Times New Roman" w:hAnsi="Arial" w:cs="Arial"/>
                <w:b/>
                <w:bCs/>
                <w:color w:val="000000"/>
                <w:sz w:val="20"/>
                <w:szCs w:val="20"/>
                <w:lang w:eastAsia="en-GB"/>
              </w:rPr>
              <w:t> </w:t>
            </w:r>
          </w:p>
        </w:tc>
        <w:tc>
          <w:tcPr>
            <w:tcW w:w="2323" w:type="dxa"/>
            <w:tcBorders>
              <w:top w:val="nil"/>
              <w:left w:val="nil"/>
              <w:bottom w:val="nil"/>
              <w:right w:val="nil"/>
            </w:tcBorders>
            <w:shd w:val="clear" w:color="000000" w:fill="EDFFB7"/>
            <w:vAlign w:val="center"/>
            <w:hideMark/>
          </w:tcPr>
          <w:p w14:paraId="78472CA9" w14:textId="77777777" w:rsidR="0021298F" w:rsidRPr="00FD2040" w:rsidRDefault="0021298F" w:rsidP="00760009">
            <w:pPr>
              <w:jc w:val="right"/>
              <w:rPr>
                <w:rFonts w:ascii="Arial" w:eastAsia="Times New Roman" w:hAnsi="Arial" w:cs="Arial"/>
                <w:color w:val="000000"/>
                <w:lang w:eastAsia="en-GB"/>
              </w:rPr>
            </w:pPr>
            <w:r w:rsidRPr="00FD2040">
              <w:rPr>
                <w:rFonts w:ascii="Arial" w:eastAsia="Times New Roman" w:hAnsi="Arial" w:cs="Arial"/>
                <w:color w:val="000000"/>
                <w:lang w:eastAsia="en-GB"/>
              </w:rPr>
              <w:t> </w:t>
            </w:r>
          </w:p>
        </w:tc>
        <w:tc>
          <w:tcPr>
            <w:tcW w:w="2239" w:type="dxa"/>
            <w:tcBorders>
              <w:top w:val="nil"/>
              <w:left w:val="nil"/>
              <w:bottom w:val="nil"/>
              <w:right w:val="nil"/>
            </w:tcBorders>
            <w:shd w:val="clear" w:color="000000" w:fill="FFFFFF"/>
            <w:noWrap/>
            <w:vAlign w:val="center"/>
            <w:hideMark/>
          </w:tcPr>
          <w:p w14:paraId="5D8936F2" w14:textId="77777777" w:rsidR="0021298F" w:rsidRPr="00FD2040" w:rsidRDefault="0021298F" w:rsidP="00760009">
            <w:pPr>
              <w:jc w:val="right"/>
              <w:rPr>
                <w:rFonts w:ascii="Arial" w:eastAsia="Times New Roman" w:hAnsi="Arial" w:cs="Arial"/>
                <w:color w:val="000000"/>
                <w:lang w:eastAsia="en-GB"/>
              </w:rPr>
            </w:pPr>
            <w:r w:rsidRPr="00FD2040">
              <w:rPr>
                <w:rFonts w:ascii="Arial" w:eastAsia="Times New Roman" w:hAnsi="Arial" w:cs="Arial"/>
                <w:color w:val="000000"/>
                <w:lang w:eastAsia="en-GB"/>
              </w:rPr>
              <w:t> </w:t>
            </w:r>
          </w:p>
        </w:tc>
      </w:tr>
      <w:tr w:rsidR="0021298F" w:rsidRPr="00FD2040" w14:paraId="0F1F5198" w14:textId="77777777" w:rsidTr="00760009">
        <w:trPr>
          <w:trHeight w:val="300"/>
        </w:trPr>
        <w:tc>
          <w:tcPr>
            <w:tcW w:w="4769" w:type="dxa"/>
            <w:tcBorders>
              <w:top w:val="nil"/>
              <w:left w:val="nil"/>
              <w:bottom w:val="nil"/>
              <w:right w:val="nil"/>
            </w:tcBorders>
            <w:shd w:val="clear" w:color="000000" w:fill="FFFFFF"/>
            <w:vAlign w:val="center"/>
            <w:hideMark/>
          </w:tcPr>
          <w:p w14:paraId="4E16AAB7" w14:textId="77777777" w:rsidR="0021298F" w:rsidRPr="00FD2040" w:rsidRDefault="0021298F" w:rsidP="00760009">
            <w:pPr>
              <w:rPr>
                <w:rFonts w:ascii="Arial" w:eastAsia="Times New Roman" w:hAnsi="Arial" w:cs="Arial"/>
                <w:color w:val="000000"/>
                <w:lang w:eastAsia="en-GB"/>
              </w:rPr>
            </w:pPr>
            <w:r w:rsidRPr="00FD2040">
              <w:rPr>
                <w:rFonts w:ascii="Arial" w:eastAsia="Times New Roman" w:hAnsi="Arial" w:cs="Arial"/>
                <w:color w:val="000000"/>
                <w:lang w:eastAsia="en-GB"/>
              </w:rPr>
              <w:t>Issue of share capital</w:t>
            </w:r>
          </w:p>
        </w:tc>
        <w:tc>
          <w:tcPr>
            <w:tcW w:w="705" w:type="dxa"/>
            <w:tcBorders>
              <w:top w:val="nil"/>
              <w:left w:val="nil"/>
              <w:bottom w:val="nil"/>
              <w:right w:val="nil"/>
            </w:tcBorders>
            <w:shd w:val="clear" w:color="000000" w:fill="FFFFFF"/>
            <w:vAlign w:val="center"/>
            <w:hideMark/>
          </w:tcPr>
          <w:p w14:paraId="56A012CF" w14:textId="77777777" w:rsidR="0021298F" w:rsidRPr="00FD2040" w:rsidRDefault="0021298F" w:rsidP="00760009">
            <w:pPr>
              <w:jc w:val="center"/>
              <w:rPr>
                <w:rFonts w:ascii="Arial" w:eastAsia="Times New Roman" w:hAnsi="Arial" w:cs="Arial"/>
                <w:b/>
                <w:bCs/>
                <w:color w:val="000000"/>
                <w:sz w:val="20"/>
                <w:szCs w:val="20"/>
                <w:lang w:eastAsia="en-GB"/>
              </w:rPr>
            </w:pPr>
            <w:r w:rsidRPr="00FD2040">
              <w:rPr>
                <w:rFonts w:ascii="Arial" w:eastAsia="Times New Roman" w:hAnsi="Arial" w:cs="Arial"/>
                <w:b/>
                <w:bCs/>
                <w:color w:val="000000"/>
                <w:sz w:val="20"/>
                <w:szCs w:val="20"/>
                <w:lang w:eastAsia="en-GB"/>
              </w:rPr>
              <w:t>15</w:t>
            </w:r>
          </w:p>
        </w:tc>
        <w:tc>
          <w:tcPr>
            <w:tcW w:w="2323" w:type="dxa"/>
            <w:tcBorders>
              <w:top w:val="nil"/>
              <w:left w:val="nil"/>
              <w:bottom w:val="nil"/>
              <w:right w:val="nil"/>
            </w:tcBorders>
            <w:shd w:val="clear" w:color="000000" w:fill="EDFFB7"/>
            <w:vAlign w:val="center"/>
            <w:hideMark/>
          </w:tcPr>
          <w:p w14:paraId="55FE715B" w14:textId="77777777" w:rsidR="0021298F" w:rsidRPr="00FD2040" w:rsidRDefault="0021298F" w:rsidP="00760009">
            <w:pPr>
              <w:jc w:val="right"/>
              <w:rPr>
                <w:rFonts w:ascii="Arial" w:eastAsia="Times New Roman" w:hAnsi="Arial" w:cs="Arial"/>
                <w:color w:val="000000"/>
                <w:lang w:eastAsia="en-GB"/>
              </w:rPr>
            </w:pPr>
            <w:r w:rsidRPr="00FD2040">
              <w:rPr>
                <w:rFonts w:ascii="Arial" w:eastAsia="Times New Roman" w:hAnsi="Arial" w:cs="Arial"/>
                <w:color w:val="000000"/>
                <w:lang w:eastAsia="en-GB"/>
              </w:rPr>
              <w:t xml:space="preserve">125,000 </w:t>
            </w:r>
          </w:p>
        </w:tc>
        <w:tc>
          <w:tcPr>
            <w:tcW w:w="2239" w:type="dxa"/>
            <w:tcBorders>
              <w:top w:val="nil"/>
              <w:left w:val="nil"/>
              <w:bottom w:val="nil"/>
              <w:right w:val="nil"/>
            </w:tcBorders>
            <w:shd w:val="clear" w:color="000000" w:fill="FFFFFF"/>
            <w:vAlign w:val="center"/>
            <w:hideMark/>
          </w:tcPr>
          <w:p w14:paraId="1D4F87F4" w14:textId="77777777" w:rsidR="0021298F" w:rsidRPr="00FD2040" w:rsidRDefault="0021298F" w:rsidP="00760009">
            <w:pPr>
              <w:jc w:val="right"/>
              <w:rPr>
                <w:rFonts w:ascii="Arial" w:eastAsia="Times New Roman" w:hAnsi="Arial" w:cs="Arial"/>
                <w:color w:val="000000"/>
                <w:lang w:eastAsia="en-GB"/>
              </w:rPr>
            </w:pPr>
            <w:r w:rsidRPr="00FD2040">
              <w:rPr>
                <w:rFonts w:ascii="Arial" w:eastAsia="Times New Roman" w:hAnsi="Arial" w:cs="Arial"/>
                <w:color w:val="000000"/>
                <w:lang w:eastAsia="en-GB"/>
              </w:rPr>
              <w:t xml:space="preserve">272,700 </w:t>
            </w:r>
          </w:p>
        </w:tc>
      </w:tr>
      <w:tr w:rsidR="0021298F" w:rsidRPr="00FD2040" w14:paraId="1504DBB2" w14:textId="77777777" w:rsidTr="00760009">
        <w:trPr>
          <w:trHeight w:val="300"/>
        </w:trPr>
        <w:tc>
          <w:tcPr>
            <w:tcW w:w="4769" w:type="dxa"/>
            <w:tcBorders>
              <w:top w:val="nil"/>
              <w:left w:val="nil"/>
              <w:bottom w:val="nil"/>
              <w:right w:val="nil"/>
            </w:tcBorders>
            <w:shd w:val="clear" w:color="000000" w:fill="FFFFFF"/>
            <w:vAlign w:val="center"/>
            <w:hideMark/>
          </w:tcPr>
          <w:p w14:paraId="3F89DF4E" w14:textId="77777777" w:rsidR="0021298F" w:rsidRPr="00FD2040" w:rsidRDefault="0021298F" w:rsidP="00760009">
            <w:pPr>
              <w:rPr>
                <w:rFonts w:ascii="Arial" w:eastAsia="Times New Roman" w:hAnsi="Arial" w:cs="Arial"/>
                <w:color w:val="000000"/>
                <w:lang w:eastAsia="en-GB"/>
              </w:rPr>
            </w:pPr>
            <w:r w:rsidRPr="00FD2040">
              <w:rPr>
                <w:rFonts w:ascii="Arial" w:eastAsia="Times New Roman" w:hAnsi="Arial" w:cs="Arial"/>
                <w:color w:val="000000"/>
                <w:lang w:eastAsia="en-GB"/>
              </w:rPr>
              <w:t>Payment of issue costs</w:t>
            </w:r>
          </w:p>
        </w:tc>
        <w:tc>
          <w:tcPr>
            <w:tcW w:w="705" w:type="dxa"/>
            <w:tcBorders>
              <w:top w:val="nil"/>
              <w:left w:val="nil"/>
              <w:bottom w:val="nil"/>
              <w:right w:val="nil"/>
            </w:tcBorders>
            <w:shd w:val="clear" w:color="000000" w:fill="FFFFFF"/>
            <w:vAlign w:val="center"/>
            <w:hideMark/>
          </w:tcPr>
          <w:p w14:paraId="274877D2" w14:textId="77777777" w:rsidR="0021298F" w:rsidRPr="00FD2040" w:rsidRDefault="0021298F" w:rsidP="00760009">
            <w:pPr>
              <w:jc w:val="center"/>
              <w:rPr>
                <w:rFonts w:ascii="Arial" w:eastAsia="Times New Roman" w:hAnsi="Arial" w:cs="Arial"/>
                <w:b/>
                <w:bCs/>
                <w:color w:val="000000"/>
                <w:sz w:val="20"/>
                <w:szCs w:val="20"/>
                <w:lang w:eastAsia="en-GB"/>
              </w:rPr>
            </w:pPr>
            <w:r w:rsidRPr="00FD2040">
              <w:rPr>
                <w:rFonts w:ascii="Arial" w:eastAsia="Times New Roman" w:hAnsi="Arial" w:cs="Arial"/>
                <w:b/>
                <w:bCs/>
                <w:color w:val="000000"/>
                <w:sz w:val="20"/>
                <w:szCs w:val="20"/>
                <w:lang w:eastAsia="en-GB"/>
              </w:rPr>
              <w:t> </w:t>
            </w:r>
          </w:p>
        </w:tc>
        <w:tc>
          <w:tcPr>
            <w:tcW w:w="2323" w:type="dxa"/>
            <w:tcBorders>
              <w:top w:val="nil"/>
              <w:left w:val="nil"/>
              <w:bottom w:val="nil"/>
              <w:right w:val="nil"/>
            </w:tcBorders>
            <w:shd w:val="clear" w:color="000000" w:fill="EDFFB7"/>
            <w:vAlign w:val="center"/>
            <w:hideMark/>
          </w:tcPr>
          <w:p w14:paraId="22298DE1" w14:textId="77777777" w:rsidR="0021298F" w:rsidRPr="00FD2040" w:rsidRDefault="0021298F" w:rsidP="00760009">
            <w:pPr>
              <w:jc w:val="right"/>
              <w:rPr>
                <w:rFonts w:ascii="Arial" w:eastAsia="Times New Roman" w:hAnsi="Arial" w:cs="Arial"/>
                <w:color w:val="000000"/>
                <w:lang w:eastAsia="en-GB"/>
              </w:rPr>
            </w:pPr>
            <w:r w:rsidRPr="00FD2040">
              <w:rPr>
                <w:rFonts w:ascii="Arial" w:eastAsia="Times New Roman" w:hAnsi="Arial" w:cs="Arial"/>
                <w:color w:val="000000"/>
                <w:lang w:eastAsia="en-GB"/>
              </w:rPr>
              <w:t xml:space="preserve"> (2,071)</w:t>
            </w:r>
          </w:p>
        </w:tc>
        <w:tc>
          <w:tcPr>
            <w:tcW w:w="2239" w:type="dxa"/>
            <w:tcBorders>
              <w:top w:val="nil"/>
              <w:left w:val="nil"/>
              <w:bottom w:val="nil"/>
              <w:right w:val="nil"/>
            </w:tcBorders>
            <w:shd w:val="clear" w:color="000000" w:fill="FFFFFF"/>
            <w:vAlign w:val="center"/>
            <w:hideMark/>
          </w:tcPr>
          <w:p w14:paraId="2F34BB5E" w14:textId="77777777" w:rsidR="0021298F" w:rsidRPr="00FD2040" w:rsidRDefault="0021298F" w:rsidP="00760009">
            <w:pPr>
              <w:jc w:val="right"/>
              <w:rPr>
                <w:rFonts w:ascii="Arial" w:eastAsia="Times New Roman" w:hAnsi="Arial" w:cs="Arial"/>
                <w:color w:val="000000"/>
                <w:lang w:eastAsia="en-GB"/>
              </w:rPr>
            </w:pPr>
            <w:r w:rsidRPr="00FD2040">
              <w:rPr>
                <w:rFonts w:ascii="Arial" w:eastAsia="Times New Roman" w:hAnsi="Arial" w:cs="Arial"/>
                <w:color w:val="000000"/>
                <w:lang w:eastAsia="en-GB"/>
              </w:rPr>
              <w:t xml:space="preserve"> (4,390)</w:t>
            </w:r>
          </w:p>
        </w:tc>
      </w:tr>
      <w:tr w:rsidR="0021298F" w:rsidRPr="00FD2040" w14:paraId="30491B3C" w14:textId="77777777" w:rsidTr="00760009">
        <w:trPr>
          <w:trHeight w:val="300"/>
        </w:trPr>
        <w:tc>
          <w:tcPr>
            <w:tcW w:w="4769" w:type="dxa"/>
            <w:tcBorders>
              <w:top w:val="nil"/>
              <w:left w:val="nil"/>
              <w:bottom w:val="nil"/>
              <w:right w:val="nil"/>
            </w:tcBorders>
            <w:shd w:val="clear" w:color="000000" w:fill="FFFFFF"/>
            <w:vAlign w:val="center"/>
            <w:hideMark/>
          </w:tcPr>
          <w:p w14:paraId="766CE745" w14:textId="77777777" w:rsidR="0021298F" w:rsidRPr="00FD2040" w:rsidRDefault="0021298F" w:rsidP="00760009">
            <w:pPr>
              <w:rPr>
                <w:rFonts w:ascii="Arial" w:eastAsia="Times New Roman" w:hAnsi="Arial" w:cs="Arial"/>
                <w:color w:val="000000"/>
                <w:lang w:eastAsia="en-GB"/>
              </w:rPr>
            </w:pPr>
            <w:r w:rsidRPr="00FD2040">
              <w:rPr>
                <w:rFonts w:ascii="Arial" w:eastAsia="Times New Roman" w:hAnsi="Arial" w:cs="Arial"/>
                <w:color w:val="000000"/>
                <w:lang w:eastAsia="en-GB"/>
              </w:rPr>
              <w:t>Dividends paid</w:t>
            </w:r>
          </w:p>
        </w:tc>
        <w:tc>
          <w:tcPr>
            <w:tcW w:w="705" w:type="dxa"/>
            <w:tcBorders>
              <w:top w:val="nil"/>
              <w:left w:val="nil"/>
              <w:bottom w:val="nil"/>
              <w:right w:val="nil"/>
            </w:tcBorders>
            <w:shd w:val="clear" w:color="000000" w:fill="FFFFFF"/>
            <w:vAlign w:val="center"/>
            <w:hideMark/>
          </w:tcPr>
          <w:p w14:paraId="4AF13754" w14:textId="77777777" w:rsidR="0021298F" w:rsidRPr="00FD2040" w:rsidRDefault="0021298F" w:rsidP="00760009">
            <w:pPr>
              <w:jc w:val="center"/>
              <w:rPr>
                <w:rFonts w:ascii="Arial" w:eastAsia="Times New Roman" w:hAnsi="Arial" w:cs="Arial"/>
                <w:b/>
                <w:bCs/>
                <w:color w:val="000000"/>
                <w:sz w:val="20"/>
                <w:szCs w:val="20"/>
                <w:lang w:eastAsia="en-GB"/>
              </w:rPr>
            </w:pPr>
            <w:r w:rsidRPr="00FD2040">
              <w:rPr>
                <w:rFonts w:ascii="Arial" w:eastAsia="Times New Roman" w:hAnsi="Arial" w:cs="Arial"/>
                <w:b/>
                <w:bCs/>
                <w:color w:val="000000"/>
                <w:sz w:val="20"/>
                <w:szCs w:val="20"/>
                <w:lang w:eastAsia="en-GB"/>
              </w:rPr>
              <w:t>8</w:t>
            </w:r>
          </w:p>
        </w:tc>
        <w:tc>
          <w:tcPr>
            <w:tcW w:w="2323" w:type="dxa"/>
            <w:tcBorders>
              <w:top w:val="nil"/>
              <w:left w:val="nil"/>
              <w:bottom w:val="nil"/>
              <w:right w:val="nil"/>
            </w:tcBorders>
            <w:shd w:val="clear" w:color="000000" w:fill="EDFFB7"/>
            <w:vAlign w:val="center"/>
            <w:hideMark/>
          </w:tcPr>
          <w:p w14:paraId="22E475B2" w14:textId="77777777" w:rsidR="0021298F" w:rsidRPr="00FD2040" w:rsidRDefault="0021298F" w:rsidP="00760009">
            <w:pPr>
              <w:jc w:val="right"/>
              <w:rPr>
                <w:rFonts w:ascii="Arial" w:eastAsia="Times New Roman" w:hAnsi="Arial" w:cs="Arial"/>
                <w:color w:val="000000"/>
                <w:lang w:eastAsia="en-GB"/>
              </w:rPr>
            </w:pPr>
            <w:r w:rsidRPr="00FD2040">
              <w:rPr>
                <w:rFonts w:ascii="Arial" w:eastAsia="Times New Roman" w:hAnsi="Arial" w:cs="Arial"/>
                <w:color w:val="000000"/>
                <w:lang w:eastAsia="en-GB"/>
              </w:rPr>
              <w:t xml:space="preserve"> (38,168)</w:t>
            </w:r>
          </w:p>
        </w:tc>
        <w:tc>
          <w:tcPr>
            <w:tcW w:w="2239" w:type="dxa"/>
            <w:tcBorders>
              <w:top w:val="nil"/>
              <w:left w:val="nil"/>
              <w:bottom w:val="nil"/>
              <w:right w:val="nil"/>
            </w:tcBorders>
            <w:shd w:val="clear" w:color="000000" w:fill="FFFFFF"/>
            <w:vAlign w:val="center"/>
            <w:hideMark/>
          </w:tcPr>
          <w:p w14:paraId="318401E2" w14:textId="77777777" w:rsidR="0021298F" w:rsidRPr="00FD2040" w:rsidRDefault="0021298F" w:rsidP="00760009">
            <w:pPr>
              <w:jc w:val="right"/>
              <w:rPr>
                <w:rFonts w:ascii="Arial" w:eastAsia="Times New Roman" w:hAnsi="Arial" w:cs="Arial"/>
                <w:color w:val="000000"/>
                <w:lang w:eastAsia="en-GB"/>
              </w:rPr>
            </w:pPr>
            <w:r w:rsidRPr="00FD2040">
              <w:rPr>
                <w:rFonts w:ascii="Arial" w:eastAsia="Times New Roman" w:hAnsi="Arial" w:cs="Arial"/>
                <w:color w:val="000000"/>
                <w:lang w:eastAsia="en-GB"/>
              </w:rPr>
              <w:t xml:space="preserve"> (29,217)</w:t>
            </w:r>
          </w:p>
        </w:tc>
      </w:tr>
      <w:tr w:rsidR="0021298F" w:rsidRPr="00FD2040" w14:paraId="5907B226" w14:textId="77777777" w:rsidTr="00760009">
        <w:trPr>
          <w:trHeight w:val="300"/>
        </w:trPr>
        <w:tc>
          <w:tcPr>
            <w:tcW w:w="4769" w:type="dxa"/>
            <w:tcBorders>
              <w:top w:val="nil"/>
              <w:left w:val="nil"/>
              <w:bottom w:val="nil"/>
              <w:right w:val="nil"/>
            </w:tcBorders>
            <w:shd w:val="clear" w:color="000000" w:fill="FFFFFF"/>
            <w:vAlign w:val="center"/>
            <w:hideMark/>
          </w:tcPr>
          <w:p w14:paraId="7FA6A85B" w14:textId="77777777" w:rsidR="0021298F" w:rsidRPr="00FD2040" w:rsidRDefault="0021298F" w:rsidP="00760009">
            <w:pPr>
              <w:rPr>
                <w:rFonts w:ascii="Arial" w:eastAsia="Times New Roman" w:hAnsi="Arial" w:cs="Arial"/>
                <w:color w:val="000000"/>
                <w:lang w:eastAsia="en-GB"/>
              </w:rPr>
            </w:pPr>
            <w:r w:rsidRPr="00FD2040">
              <w:rPr>
                <w:rFonts w:ascii="Arial" w:eastAsia="Times New Roman" w:hAnsi="Arial" w:cs="Arial"/>
                <w:color w:val="000000"/>
                <w:lang w:eastAsia="en-GB"/>
              </w:rPr>
              <w:t>Amounts drawn down on loan facilities</w:t>
            </w:r>
          </w:p>
        </w:tc>
        <w:tc>
          <w:tcPr>
            <w:tcW w:w="705" w:type="dxa"/>
            <w:tcBorders>
              <w:top w:val="nil"/>
              <w:left w:val="nil"/>
              <w:bottom w:val="nil"/>
              <w:right w:val="nil"/>
            </w:tcBorders>
            <w:shd w:val="clear" w:color="000000" w:fill="FFFFFF"/>
            <w:vAlign w:val="center"/>
            <w:hideMark/>
          </w:tcPr>
          <w:p w14:paraId="3795A9EA" w14:textId="77777777" w:rsidR="0021298F" w:rsidRPr="00FD2040" w:rsidRDefault="0021298F" w:rsidP="00760009">
            <w:pPr>
              <w:jc w:val="center"/>
              <w:rPr>
                <w:rFonts w:ascii="Arial" w:eastAsia="Times New Roman" w:hAnsi="Arial" w:cs="Arial"/>
                <w:b/>
                <w:bCs/>
                <w:color w:val="000000"/>
                <w:sz w:val="20"/>
                <w:szCs w:val="20"/>
                <w:lang w:eastAsia="en-GB"/>
              </w:rPr>
            </w:pPr>
            <w:r w:rsidRPr="00FD2040">
              <w:rPr>
                <w:rFonts w:ascii="Arial" w:eastAsia="Times New Roman" w:hAnsi="Arial" w:cs="Arial"/>
                <w:b/>
                <w:bCs/>
                <w:color w:val="000000"/>
                <w:sz w:val="20"/>
                <w:szCs w:val="20"/>
                <w:lang w:eastAsia="en-GB"/>
              </w:rPr>
              <w:t>13</w:t>
            </w:r>
          </w:p>
        </w:tc>
        <w:tc>
          <w:tcPr>
            <w:tcW w:w="2323" w:type="dxa"/>
            <w:tcBorders>
              <w:top w:val="nil"/>
              <w:left w:val="nil"/>
              <w:bottom w:val="nil"/>
              <w:right w:val="nil"/>
            </w:tcBorders>
            <w:shd w:val="clear" w:color="000000" w:fill="EDFFB7"/>
            <w:vAlign w:val="center"/>
            <w:hideMark/>
          </w:tcPr>
          <w:p w14:paraId="03A43D6B" w14:textId="77777777" w:rsidR="0021298F" w:rsidRPr="00FD2040" w:rsidRDefault="0021298F" w:rsidP="00760009">
            <w:pPr>
              <w:jc w:val="right"/>
              <w:rPr>
                <w:rFonts w:ascii="Arial" w:eastAsia="Times New Roman" w:hAnsi="Arial" w:cs="Arial"/>
                <w:color w:val="000000"/>
                <w:lang w:eastAsia="en-GB"/>
              </w:rPr>
            </w:pPr>
            <w:r w:rsidRPr="00FD2040">
              <w:rPr>
                <w:rFonts w:ascii="Arial" w:eastAsia="Times New Roman" w:hAnsi="Arial" w:cs="Arial"/>
                <w:color w:val="000000"/>
                <w:lang w:eastAsia="en-GB"/>
              </w:rPr>
              <w:t xml:space="preserve">562,074 </w:t>
            </w:r>
          </w:p>
        </w:tc>
        <w:tc>
          <w:tcPr>
            <w:tcW w:w="2239" w:type="dxa"/>
            <w:tcBorders>
              <w:top w:val="nil"/>
              <w:left w:val="nil"/>
              <w:bottom w:val="nil"/>
              <w:right w:val="nil"/>
            </w:tcBorders>
            <w:shd w:val="clear" w:color="000000" w:fill="FFFFFF"/>
            <w:vAlign w:val="center"/>
            <w:hideMark/>
          </w:tcPr>
          <w:p w14:paraId="4ED4E951" w14:textId="77777777" w:rsidR="0021298F" w:rsidRPr="00FD2040" w:rsidRDefault="0021298F" w:rsidP="00760009">
            <w:pPr>
              <w:jc w:val="right"/>
              <w:rPr>
                <w:rFonts w:ascii="Arial" w:eastAsia="Times New Roman" w:hAnsi="Arial" w:cs="Arial"/>
                <w:color w:val="000000"/>
                <w:lang w:eastAsia="en-GB"/>
              </w:rPr>
            </w:pPr>
            <w:r w:rsidRPr="00FD2040">
              <w:rPr>
                <w:rFonts w:ascii="Arial" w:eastAsia="Times New Roman" w:hAnsi="Arial" w:cs="Arial"/>
                <w:color w:val="000000"/>
                <w:lang w:eastAsia="en-GB"/>
              </w:rPr>
              <w:t xml:space="preserve">80,900 </w:t>
            </w:r>
          </w:p>
        </w:tc>
      </w:tr>
      <w:tr w:rsidR="0021298F" w:rsidRPr="00FD2040" w14:paraId="677E861F" w14:textId="77777777" w:rsidTr="00760009">
        <w:trPr>
          <w:trHeight w:val="300"/>
        </w:trPr>
        <w:tc>
          <w:tcPr>
            <w:tcW w:w="4769" w:type="dxa"/>
            <w:tcBorders>
              <w:top w:val="nil"/>
              <w:left w:val="nil"/>
              <w:bottom w:val="nil"/>
              <w:right w:val="nil"/>
            </w:tcBorders>
            <w:shd w:val="clear" w:color="000000" w:fill="FFFFFF"/>
            <w:vAlign w:val="center"/>
            <w:hideMark/>
          </w:tcPr>
          <w:p w14:paraId="174A40F6" w14:textId="77777777" w:rsidR="0021298F" w:rsidRPr="00FD2040" w:rsidRDefault="0021298F" w:rsidP="00760009">
            <w:pPr>
              <w:rPr>
                <w:rFonts w:ascii="Arial" w:eastAsia="Times New Roman" w:hAnsi="Arial" w:cs="Arial"/>
                <w:color w:val="000000"/>
                <w:lang w:eastAsia="en-GB"/>
              </w:rPr>
            </w:pPr>
            <w:r w:rsidRPr="00FD2040">
              <w:rPr>
                <w:rFonts w:ascii="Arial" w:eastAsia="Times New Roman" w:hAnsi="Arial" w:cs="Arial"/>
                <w:color w:val="000000"/>
                <w:lang w:eastAsia="en-GB"/>
              </w:rPr>
              <w:t>Amounts repaid on loan facilities</w:t>
            </w:r>
          </w:p>
        </w:tc>
        <w:tc>
          <w:tcPr>
            <w:tcW w:w="705" w:type="dxa"/>
            <w:tcBorders>
              <w:top w:val="nil"/>
              <w:left w:val="nil"/>
              <w:bottom w:val="nil"/>
              <w:right w:val="nil"/>
            </w:tcBorders>
            <w:shd w:val="clear" w:color="000000" w:fill="FFFFFF"/>
            <w:vAlign w:val="center"/>
            <w:hideMark/>
          </w:tcPr>
          <w:p w14:paraId="16AAD916" w14:textId="77777777" w:rsidR="0021298F" w:rsidRPr="00FD2040" w:rsidRDefault="0021298F" w:rsidP="00760009">
            <w:pPr>
              <w:jc w:val="center"/>
              <w:rPr>
                <w:rFonts w:ascii="Arial" w:eastAsia="Times New Roman" w:hAnsi="Arial" w:cs="Arial"/>
                <w:b/>
                <w:bCs/>
                <w:color w:val="000000"/>
                <w:sz w:val="20"/>
                <w:szCs w:val="20"/>
                <w:lang w:eastAsia="en-GB"/>
              </w:rPr>
            </w:pPr>
            <w:r w:rsidRPr="00FD2040">
              <w:rPr>
                <w:rFonts w:ascii="Arial" w:eastAsia="Times New Roman" w:hAnsi="Arial" w:cs="Arial"/>
                <w:b/>
                <w:bCs/>
                <w:color w:val="000000"/>
                <w:sz w:val="20"/>
                <w:szCs w:val="20"/>
                <w:lang w:eastAsia="en-GB"/>
              </w:rPr>
              <w:t>13</w:t>
            </w:r>
          </w:p>
        </w:tc>
        <w:tc>
          <w:tcPr>
            <w:tcW w:w="2323" w:type="dxa"/>
            <w:tcBorders>
              <w:top w:val="nil"/>
              <w:left w:val="nil"/>
              <w:bottom w:val="nil"/>
              <w:right w:val="nil"/>
            </w:tcBorders>
            <w:shd w:val="clear" w:color="000000" w:fill="EDFFB7"/>
            <w:vAlign w:val="center"/>
            <w:hideMark/>
          </w:tcPr>
          <w:p w14:paraId="3356F1EA" w14:textId="77777777" w:rsidR="0021298F" w:rsidRPr="00FD2040" w:rsidRDefault="0021298F" w:rsidP="00760009">
            <w:pPr>
              <w:jc w:val="right"/>
              <w:rPr>
                <w:rFonts w:ascii="Arial" w:eastAsia="Times New Roman" w:hAnsi="Arial" w:cs="Arial"/>
                <w:color w:val="000000"/>
                <w:lang w:eastAsia="en-GB"/>
              </w:rPr>
            </w:pPr>
            <w:r w:rsidRPr="00FD2040">
              <w:rPr>
                <w:rFonts w:ascii="Arial" w:eastAsia="Times New Roman" w:hAnsi="Arial" w:cs="Arial"/>
                <w:color w:val="000000"/>
                <w:lang w:eastAsia="en-GB"/>
              </w:rPr>
              <w:t xml:space="preserve"> (553,074)</w:t>
            </w:r>
          </w:p>
        </w:tc>
        <w:tc>
          <w:tcPr>
            <w:tcW w:w="2239" w:type="dxa"/>
            <w:tcBorders>
              <w:top w:val="nil"/>
              <w:left w:val="nil"/>
              <w:bottom w:val="nil"/>
              <w:right w:val="nil"/>
            </w:tcBorders>
            <w:shd w:val="clear" w:color="000000" w:fill="FFFFFF"/>
            <w:vAlign w:val="center"/>
            <w:hideMark/>
          </w:tcPr>
          <w:p w14:paraId="298B7E71" w14:textId="77777777" w:rsidR="0021298F" w:rsidRPr="00FD2040" w:rsidRDefault="0021298F" w:rsidP="00760009">
            <w:pPr>
              <w:jc w:val="right"/>
              <w:rPr>
                <w:rFonts w:ascii="Arial" w:eastAsia="Times New Roman" w:hAnsi="Arial" w:cs="Arial"/>
                <w:color w:val="000000"/>
                <w:lang w:eastAsia="en-GB"/>
              </w:rPr>
            </w:pPr>
            <w:r w:rsidRPr="00FD2040">
              <w:rPr>
                <w:rFonts w:ascii="Arial" w:eastAsia="Times New Roman" w:hAnsi="Arial" w:cs="Arial"/>
                <w:color w:val="000000"/>
                <w:lang w:eastAsia="en-GB"/>
              </w:rPr>
              <w:t xml:space="preserve"> (236,931)</w:t>
            </w:r>
          </w:p>
        </w:tc>
      </w:tr>
      <w:tr w:rsidR="0021298F" w:rsidRPr="00FD2040" w14:paraId="0AB11A08" w14:textId="77777777" w:rsidTr="00760009">
        <w:trPr>
          <w:trHeight w:val="315"/>
        </w:trPr>
        <w:tc>
          <w:tcPr>
            <w:tcW w:w="4769" w:type="dxa"/>
            <w:tcBorders>
              <w:top w:val="nil"/>
              <w:left w:val="nil"/>
              <w:bottom w:val="single" w:sz="8" w:space="0" w:color="auto"/>
              <w:right w:val="nil"/>
            </w:tcBorders>
            <w:shd w:val="clear" w:color="000000" w:fill="FFFFFF"/>
            <w:vAlign w:val="center"/>
            <w:hideMark/>
          </w:tcPr>
          <w:p w14:paraId="7BEC41A1" w14:textId="77777777" w:rsidR="0021298F" w:rsidRPr="00FD2040" w:rsidRDefault="0021298F" w:rsidP="00760009">
            <w:pPr>
              <w:rPr>
                <w:rFonts w:ascii="Arial" w:eastAsia="Times New Roman" w:hAnsi="Arial" w:cs="Arial"/>
                <w:color w:val="000000"/>
                <w:lang w:eastAsia="en-GB"/>
              </w:rPr>
            </w:pPr>
            <w:r w:rsidRPr="00FD2040">
              <w:rPr>
                <w:rFonts w:ascii="Arial" w:eastAsia="Times New Roman" w:hAnsi="Arial" w:cs="Arial"/>
                <w:color w:val="000000"/>
                <w:lang w:eastAsia="en-GB"/>
              </w:rPr>
              <w:t>Finance costs</w:t>
            </w:r>
          </w:p>
        </w:tc>
        <w:tc>
          <w:tcPr>
            <w:tcW w:w="705" w:type="dxa"/>
            <w:tcBorders>
              <w:top w:val="nil"/>
              <w:left w:val="nil"/>
              <w:bottom w:val="single" w:sz="8" w:space="0" w:color="auto"/>
              <w:right w:val="nil"/>
            </w:tcBorders>
            <w:shd w:val="clear" w:color="000000" w:fill="FFFFFF"/>
            <w:vAlign w:val="center"/>
            <w:hideMark/>
          </w:tcPr>
          <w:p w14:paraId="319EACAF" w14:textId="77777777" w:rsidR="0021298F" w:rsidRPr="00FD2040" w:rsidRDefault="0021298F" w:rsidP="00760009">
            <w:pPr>
              <w:jc w:val="center"/>
              <w:rPr>
                <w:rFonts w:ascii="Arial" w:eastAsia="Times New Roman" w:hAnsi="Arial" w:cs="Arial"/>
                <w:b/>
                <w:bCs/>
                <w:color w:val="000000"/>
                <w:sz w:val="20"/>
                <w:szCs w:val="20"/>
                <w:lang w:eastAsia="en-GB"/>
              </w:rPr>
            </w:pPr>
            <w:r w:rsidRPr="00FD2040">
              <w:rPr>
                <w:rFonts w:ascii="Arial" w:eastAsia="Times New Roman" w:hAnsi="Arial" w:cs="Arial"/>
                <w:b/>
                <w:bCs/>
                <w:color w:val="000000"/>
                <w:sz w:val="20"/>
                <w:szCs w:val="20"/>
                <w:lang w:eastAsia="en-GB"/>
              </w:rPr>
              <w:t> </w:t>
            </w:r>
          </w:p>
        </w:tc>
        <w:tc>
          <w:tcPr>
            <w:tcW w:w="2323" w:type="dxa"/>
            <w:tcBorders>
              <w:top w:val="nil"/>
              <w:left w:val="nil"/>
              <w:bottom w:val="single" w:sz="8" w:space="0" w:color="auto"/>
              <w:right w:val="nil"/>
            </w:tcBorders>
            <w:shd w:val="clear" w:color="000000" w:fill="EDFFB7"/>
            <w:vAlign w:val="center"/>
            <w:hideMark/>
          </w:tcPr>
          <w:p w14:paraId="2F537E55" w14:textId="77777777" w:rsidR="0021298F" w:rsidRPr="00FD2040" w:rsidRDefault="0021298F" w:rsidP="00760009">
            <w:pPr>
              <w:jc w:val="right"/>
              <w:rPr>
                <w:rFonts w:ascii="Arial" w:eastAsia="Times New Roman" w:hAnsi="Arial" w:cs="Arial"/>
                <w:color w:val="000000"/>
                <w:lang w:eastAsia="en-GB"/>
              </w:rPr>
            </w:pPr>
            <w:r w:rsidRPr="00FD2040">
              <w:rPr>
                <w:rFonts w:ascii="Arial" w:eastAsia="Times New Roman" w:hAnsi="Arial" w:cs="Arial"/>
                <w:color w:val="000000"/>
                <w:lang w:eastAsia="en-GB"/>
              </w:rPr>
              <w:t xml:space="preserve"> (8,971)</w:t>
            </w:r>
          </w:p>
        </w:tc>
        <w:tc>
          <w:tcPr>
            <w:tcW w:w="2239" w:type="dxa"/>
            <w:tcBorders>
              <w:top w:val="nil"/>
              <w:left w:val="nil"/>
              <w:bottom w:val="single" w:sz="8" w:space="0" w:color="auto"/>
              <w:right w:val="nil"/>
            </w:tcBorders>
            <w:shd w:val="clear" w:color="000000" w:fill="FFFFFF"/>
            <w:vAlign w:val="center"/>
            <w:hideMark/>
          </w:tcPr>
          <w:p w14:paraId="312244AB" w14:textId="77777777" w:rsidR="0021298F" w:rsidRPr="00FD2040" w:rsidRDefault="0021298F" w:rsidP="00760009">
            <w:pPr>
              <w:jc w:val="right"/>
              <w:rPr>
                <w:rFonts w:ascii="Arial" w:eastAsia="Times New Roman" w:hAnsi="Arial" w:cs="Arial"/>
                <w:color w:val="000000"/>
                <w:lang w:eastAsia="en-GB"/>
              </w:rPr>
            </w:pPr>
            <w:r w:rsidRPr="00FD2040">
              <w:rPr>
                <w:rFonts w:ascii="Arial" w:eastAsia="Times New Roman" w:hAnsi="Arial" w:cs="Arial"/>
                <w:color w:val="000000"/>
                <w:lang w:eastAsia="en-GB"/>
              </w:rPr>
              <w:t xml:space="preserve"> (6,637)</w:t>
            </w:r>
          </w:p>
        </w:tc>
      </w:tr>
      <w:tr w:rsidR="0021298F" w:rsidRPr="00FD2040" w14:paraId="5A16A4B5" w14:textId="77777777" w:rsidTr="00760009">
        <w:trPr>
          <w:trHeight w:val="529"/>
        </w:trPr>
        <w:tc>
          <w:tcPr>
            <w:tcW w:w="4769" w:type="dxa"/>
            <w:tcBorders>
              <w:top w:val="nil"/>
              <w:left w:val="nil"/>
              <w:bottom w:val="nil"/>
              <w:right w:val="nil"/>
            </w:tcBorders>
            <w:shd w:val="clear" w:color="000000" w:fill="FFFFFF"/>
            <w:vAlign w:val="center"/>
            <w:hideMark/>
          </w:tcPr>
          <w:p w14:paraId="47406A71" w14:textId="77777777" w:rsidR="0021298F" w:rsidRPr="00FD2040" w:rsidRDefault="0021298F" w:rsidP="00760009">
            <w:pPr>
              <w:rPr>
                <w:rFonts w:ascii="Arial" w:eastAsia="Times New Roman" w:hAnsi="Arial" w:cs="Arial"/>
                <w:b/>
                <w:bCs/>
                <w:color w:val="000000"/>
                <w:lang w:eastAsia="en-GB"/>
              </w:rPr>
            </w:pPr>
            <w:r w:rsidRPr="00FD2040">
              <w:rPr>
                <w:rFonts w:ascii="Arial" w:eastAsia="Times New Roman" w:hAnsi="Arial" w:cs="Arial"/>
                <w:b/>
                <w:bCs/>
                <w:color w:val="000000"/>
                <w:lang w:eastAsia="en-GB"/>
              </w:rPr>
              <w:lastRenderedPageBreak/>
              <w:t>Net cash flows from financing activities</w:t>
            </w:r>
          </w:p>
        </w:tc>
        <w:tc>
          <w:tcPr>
            <w:tcW w:w="705" w:type="dxa"/>
            <w:tcBorders>
              <w:top w:val="nil"/>
              <w:left w:val="nil"/>
              <w:bottom w:val="nil"/>
              <w:right w:val="nil"/>
            </w:tcBorders>
            <w:shd w:val="clear" w:color="000000" w:fill="FFFFFF"/>
            <w:vAlign w:val="center"/>
            <w:hideMark/>
          </w:tcPr>
          <w:p w14:paraId="0D403A1C" w14:textId="77777777" w:rsidR="0021298F" w:rsidRPr="00FD2040" w:rsidRDefault="0021298F" w:rsidP="00760009">
            <w:pPr>
              <w:jc w:val="center"/>
              <w:rPr>
                <w:rFonts w:ascii="Arial" w:eastAsia="Times New Roman" w:hAnsi="Arial" w:cs="Arial"/>
                <w:b/>
                <w:bCs/>
                <w:color w:val="000000"/>
                <w:sz w:val="20"/>
                <w:szCs w:val="20"/>
                <w:lang w:eastAsia="en-GB"/>
              </w:rPr>
            </w:pPr>
            <w:r w:rsidRPr="00FD2040">
              <w:rPr>
                <w:rFonts w:ascii="Arial" w:eastAsia="Times New Roman" w:hAnsi="Arial" w:cs="Arial"/>
                <w:b/>
                <w:bCs/>
                <w:color w:val="000000"/>
                <w:sz w:val="20"/>
                <w:szCs w:val="20"/>
                <w:lang w:eastAsia="en-GB"/>
              </w:rPr>
              <w:t> </w:t>
            </w:r>
          </w:p>
        </w:tc>
        <w:tc>
          <w:tcPr>
            <w:tcW w:w="2323" w:type="dxa"/>
            <w:tcBorders>
              <w:top w:val="nil"/>
              <w:left w:val="nil"/>
              <w:bottom w:val="nil"/>
              <w:right w:val="nil"/>
            </w:tcBorders>
            <w:shd w:val="clear" w:color="000000" w:fill="EDFFB7"/>
            <w:vAlign w:val="center"/>
            <w:hideMark/>
          </w:tcPr>
          <w:p w14:paraId="7401FB77" w14:textId="77777777" w:rsidR="0021298F" w:rsidRPr="00FD2040" w:rsidRDefault="0021298F" w:rsidP="00760009">
            <w:pPr>
              <w:jc w:val="right"/>
              <w:rPr>
                <w:rFonts w:ascii="Arial" w:eastAsia="Times New Roman" w:hAnsi="Arial" w:cs="Arial"/>
                <w:b/>
                <w:bCs/>
                <w:color w:val="000000"/>
                <w:lang w:eastAsia="en-GB"/>
              </w:rPr>
            </w:pPr>
            <w:r w:rsidRPr="00FD2040">
              <w:rPr>
                <w:rFonts w:ascii="Arial" w:eastAsia="Times New Roman" w:hAnsi="Arial" w:cs="Arial"/>
                <w:b/>
                <w:bCs/>
                <w:color w:val="000000"/>
                <w:lang w:eastAsia="en-GB"/>
              </w:rPr>
              <w:t>84,790</w:t>
            </w:r>
          </w:p>
        </w:tc>
        <w:tc>
          <w:tcPr>
            <w:tcW w:w="2239" w:type="dxa"/>
            <w:tcBorders>
              <w:top w:val="nil"/>
              <w:left w:val="nil"/>
              <w:bottom w:val="nil"/>
              <w:right w:val="nil"/>
            </w:tcBorders>
            <w:shd w:val="clear" w:color="000000" w:fill="FFFFFF"/>
            <w:noWrap/>
            <w:vAlign w:val="center"/>
            <w:hideMark/>
          </w:tcPr>
          <w:p w14:paraId="0B190662" w14:textId="77777777" w:rsidR="0021298F" w:rsidRPr="00FD2040" w:rsidRDefault="0021298F" w:rsidP="00760009">
            <w:pPr>
              <w:jc w:val="right"/>
              <w:rPr>
                <w:rFonts w:ascii="Arial" w:eastAsia="Times New Roman" w:hAnsi="Arial" w:cs="Arial"/>
                <w:b/>
                <w:bCs/>
                <w:color w:val="000000"/>
                <w:lang w:eastAsia="en-GB"/>
              </w:rPr>
            </w:pPr>
            <w:r w:rsidRPr="00FD2040">
              <w:rPr>
                <w:rFonts w:ascii="Arial" w:eastAsia="Times New Roman" w:hAnsi="Arial" w:cs="Arial"/>
                <w:b/>
                <w:bCs/>
                <w:color w:val="000000"/>
                <w:lang w:eastAsia="en-GB"/>
              </w:rPr>
              <w:t>76,425</w:t>
            </w:r>
          </w:p>
        </w:tc>
      </w:tr>
      <w:tr w:rsidR="0021298F" w:rsidRPr="00FD2040" w14:paraId="1F0B6E03" w14:textId="77777777" w:rsidTr="00760009">
        <w:trPr>
          <w:trHeight w:val="300"/>
        </w:trPr>
        <w:tc>
          <w:tcPr>
            <w:tcW w:w="4769" w:type="dxa"/>
            <w:tcBorders>
              <w:top w:val="nil"/>
              <w:left w:val="nil"/>
              <w:bottom w:val="nil"/>
              <w:right w:val="nil"/>
            </w:tcBorders>
            <w:shd w:val="clear" w:color="000000" w:fill="FFFFFF"/>
            <w:vAlign w:val="center"/>
            <w:hideMark/>
          </w:tcPr>
          <w:p w14:paraId="31B99C0E" w14:textId="77777777" w:rsidR="0021298F" w:rsidRPr="00FD2040" w:rsidRDefault="0021298F" w:rsidP="00760009">
            <w:pPr>
              <w:jc w:val="center"/>
              <w:rPr>
                <w:rFonts w:ascii="Calibri" w:eastAsia="Times New Roman" w:hAnsi="Calibri" w:cs="Calibri"/>
                <w:color w:val="000000"/>
                <w:lang w:eastAsia="en-GB"/>
              </w:rPr>
            </w:pPr>
            <w:r w:rsidRPr="00FD2040">
              <w:rPr>
                <w:rFonts w:ascii="Calibri" w:eastAsia="Times New Roman" w:hAnsi="Calibri" w:cs="Calibri"/>
                <w:color w:val="000000"/>
                <w:lang w:eastAsia="en-GB"/>
              </w:rPr>
              <w:t> </w:t>
            </w:r>
          </w:p>
        </w:tc>
        <w:tc>
          <w:tcPr>
            <w:tcW w:w="705" w:type="dxa"/>
            <w:tcBorders>
              <w:top w:val="nil"/>
              <w:left w:val="nil"/>
              <w:bottom w:val="nil"/>
              <w:right w:val="nil"/>
            </w:tcBorders>
            <w:shd w:val="clear" w:color="auto" w:fill="auto"/>
            <w:noWrap/>
            <w:vAlign w:val="bottom"/>
            <w:hideMark/>
          </w:tcPr>
          <w:p w14:paraId="38A498EE" w14:textId="77777777" w:rsidR="0021298F" w:rsidRPr="00FD2040" w:rsidRDefault="0021298F" w:rsidP="00760009">
            <w:pPr>
              <w:jc w:val="center"/>
              <w:rPr>
                <w:rFonts w:ascii="Calibri" w:eastAsia="Times New Roman" w:hAnsi="Calibri" w:cs="Calibri"/>
                <w:color w:val="000000"/>
                <w:lang w:eastAsia="en-GB"/>
              </w:rPr>
            </w:pPr>
          </w:p>
        </w:tc>
        <w:tc>
          <w:tcPr>
            <w:tcW w:w="2323" w:type="dxa"/>
            <w:tcBorders>
              <w:top w:val="nil"/>
              <w:left w:val="nil"/>
              <w:bottom w:val="nil"/>
              <w:right w:val="nil"/>
            </w:tcBorders>
            <w:shd w:val="clear" w:color="000000" w:fill="EDFFB7"/>
            <w:vAlign w:val="center"/>
            <w:hideMark/>
          </w:tcPr>
          <w:p w14:paraId="1D8BC61E" w14:textId="77777777" w:rsidR="0021298F" w:rsidRPr="00FD2040" w:rsidRDefault="0021298F" w:rsidP="00760009">
            <w:pPr>
              <w:jc w:val="right"/>
              <w:rPr>
                <w:rFonts w:ascii="Arial" w:eastAsia="Times New Roman" w:hAnsi="Arial" w:cs="Arial"/>
                <w:color w:val="000000"/>
                <w:lang w:eastAsia="en-GB"/>
              </w:rPr>
            </w:pPr>
            <w:r w:rsidRPr="00FD2040">
              <w:rPr>
                <w:rFonts w:ascii="Arial" w:eastAsia="Times New Roman" w:hAnsi="Arial" w:cs="Arial"/>
                <w:color w:val="000000"/>
                <w:lang w:eastAsia="en-GB"/>
              </w:rPr>
              <w:t> </w:t>
            </w:r>
          </w:p>
        </w:tc>
        <w:tc>
          <w:tcPr>
            <w:tcW w:w="2239" w:type="dxa"/>
            <w:tcBorders>
              <w:top w:val="nil"/>
              <w:left w:val="nil"/>
              <w:bottom w:val="nil"/>
              <w:right w:val="nil"/>
            </w:tcBorders>
            <w:shd w:val="clear" w:color="000000" w:fill="FFFFFF"/>
            <w:noWrap/>
            <w:vAlign w:val="center"/>
            <w:hideMark/>
          </w:tcPr>
          <w:p w14:paraId="163C36B5" w14:textId="77777777" w:rsidR="0021298F" w:rsidRPr="00FD2040" w:rsidRDefault="0021298F" w:rsidP="00760009">
            <w:pPr>
              <w:jc w:val="right"/>
              <w:rPr>
                <w:rFonts w:ascii="Arial" w:eastAsia="Times New Roman" w:hAnsi="Arial" w:cs="Arial"/>
                <w:color w:val="000000"/>
                <w:lang w:eastAsia="en-GB"/>
              </w:rPr>
            </w:pPr>
            <w:r w:rsidRPr="00FD2040">
              <w:rPr>
                <w:rFonts w:ascii="Arial" w:eastAsia="Times New Roman" w:hAnsi="Arial" w:cs="Arial"/>
                <w:color w:val="000000"/>
                <w:lang w:eastAsia="en-GB"/>
              </w:rPr>
              <w:t> </w:t>
            </w:r>
          </w:p>
        </w:tc>
      </w:tr>
      <w:tr w:rsidR="0021298F" w:rsidRPr="00FD2040" w14:paraId="4A07DFA6" w14:textId="77777777" w:rsidTr="00760009">
        <w:trPr>
          <w:trHeight w:val="570"/>
        </w:trPr>
        <w:tc>
          <w:tcPr>
            <w:tcW w:w="4769" w:type="dxa"/>
            <w:tcBorders>
              <w:top w:val="nil"/>
              <w:left w:val="nil"/>
              <w:bottom w:val="nil"/>
              <w:right w:val="nil"/>
            </w:tcBorders>
            <w:shd w:val="clear" w:color="000000" w:fill="FFFFFF"/>
            <w:vAlign w:val="center"/>
            <w:hideMark/>
          </w:tcPr>
          <w:p w14:paraId="14881BAB" w14:textId="77777777" w:rsidR="0021298F" w:rsidRPr="00FD2040" w:rsidRDefault="0021298F" w:rsidP="00760009">
            <w:pPr>
              <w:rPr>
                <w:rFonts w:ascii="Arial" w:eastAsia="Times New Roman" w:hAnsi="Arial" w:cs="Arial"/>
                <w:color w:val="000000"/>
                <w:lang w:eastAsia="en-GB"/>
              </w:rPr>
            </w:pPr>
            <w:r w:rsidRPr="00FD2040">
              <w:rPr>
                <w:rFonts w:ascii="Arial" w:eastAsia="Times New Roman" w:hAnsi="Arial" w:cs="Arial"/>
                <w:color w:val="000000"/>
                <w:lang w:eastAsia="en-GB"/>
              </w:rPr>
              <w:t>Net increase in cash and cash equivalents during the year</w:t>
            </w:r>
          </w:p>
        </w:tc>
        <w:tc>
          <w:tcPr>
            <w:tcW w:w="705" w:type="dxa"/>
            <w:tcBorders>
              <w:top w:val="nil"/>
              <w:left w:val="nil"/>
              <w:bottom w:val="nil"/>
              <w:right w:val="nil"/>
            </w:tcBorders>
            <w:shd w:val="clear" w:color="000000" w:fill="FFFFFF"/>
            <w:vAlign w:val="center"/>
            <w:hideMark/>
          </w:tcPr>
          <w:p w14:paraId="449A39E6" w14:textId="77777777" w:rsidR="0021298F" w:rsidRPr="00FD2040" w:rsidRDefault="0021298F" w:rsidP="00760009">
            <w:pPr>
              <w:jc w:val="center"/>
              <w:rPr>
                <w:rFonts w:ascii="Calibri" w:eastAsia="Times New Roman" w:hAnsi="Calibri" w:cs="Calibri"/>
                <w:color w:val="000000"/>
                <w:lang w:eastAsia="en-GB"/>
              </w:rPr>
            </w:pPr>
            <w:r w:rsidRPr="00FD2040">
              <w:rPr>
                <w:rFonts w:ascii="Calibri" w:eastAsia="Times New Roman" w:hAnsi="Calibri" w:cs="Calibri"/>
                <w:color w:val="000000"/>
                <w:lang w:eastAsia="en-GB"/>
              </w:rPr>
              <w:t> </w:t>
            </w:r>
          </w:p>
        </w:tc>
        <w:tc>
          <w:tcPr>
            <w:tcW w:w="2323" w:type="dxa"/>
            <w:tcBorders>
              <w:top w:val="nil"/>
              <w:left w:val="nil"/>
              <w:bottom w:val="nil"/>
              <w:right w:val="nil"/>
            </w:tcBorders>
            <w:shd w:val="clear" w:color="000000" w:fill="EDFFB7"/>
            <w:vAlign w:val="center"/>
            <w:hideMark/>
          </w:tcPr>
          <w:p w14:paraId="6BAC1108" w14:textId="77777777" w:rsidR="0021298F" w:rsidRPr="00FD2040" w:rsidRDefault="0021298F" w:rsidP="00760009">
            <w:pPr>
              <w:jc w:val="right"/>
              <w:rPr>
                <w:rFonts w:ascii="Arial" w:eastAsia="Times New Roman" w:hAnsi="Arial" w:cs="Arial"/>
                <w:b/>
                <w:bCs/>
                <w:color w:val="000000"/>
                <w:lang w:eastAsia="en-GB"/>
              </w:rPr>
            </w:pPr>
            <w:r w:rsidRPr="00FD2040">
              <w:rPr>
                <w:rFonts w:ascii="Arial" w:eastAsia="Times New Roman" w:hAnsi="Arial" w:cs="Arial"/>
                <w:b/>
                <w:bCs/>
                <w:color w:val="000000"/>
                <w:lang w:eastAsia="en-GB"/>
              </w:rPr>
              <w:t>10,497</w:t>
            </w:r>
          </w:p>
        </w:tc>
        <w:tc>
          <w:tcPr>
            <w:tcW w:w="2239" w:type="dxa"/>
            <w:tcBorders>
              <w:top w:val="nil"/>
              <w:left w:val="nil"/>
              <w:bottom w:val="nil"/>
              <w:right w:val="nil"/>
            </w:tcBorders>
            <w:shd w:val="clear" w:color="000000" w:fill="FFFFFF"/>
            <w:noWrap/>
            <w:vAlign w:val="center"/>
            <w:hideMark/>
          </w:tcPr>
          <w:p w14:paraId="43165000" w14:textId="77777777" w:rsidR="0021298F" w:rsidRPr="00FD2040" w:rsidRDefault="0021298F" w:rsidP="00760009">
            <w:pPr>
              <w:jc w:val="right"/>
              <w:rPr>
                <w:rFonts w:ascii="Arial" w:eastAsia="Times New Roman" w:hAnsi="Arial" w:cs="Arial"/>
                <w:b/>
                <w:bCs/>
                <w:color w:val="000000"/>
                <w:lang w:eastAsia="en-GB"/>
              </w:rPr>
            </w:pPr>
            <w:r w:rsidRPr="00FD2040">
              <w:rPr>
                <w:rFonts w:ascii="Arial" w:eastAsia="Times New Roman" w:hAnsi="Arial" w:cs="Arial"/>
                <w:b/>
                <w:bCs/>
                <w:color w:val="000000"/>
                <w:lang w:eastAsia="en-GB"/>
              </w:rPr>
              <w:t>2,984</w:t>
            </w:r>
          </w:p>
        </w:tc>
      </w:tr>
      <w:tr w:rsidR="0021298F" w:rsidRPr="00FD2040" w14:paraId="4737C9C6" w14:textId="77777777" w:rsidTr="00760009">
        <w:trPr>
          <w:trHeight w:val="300"/>
        </w:trPr>
        <w:tc>
          <w:tcPr>
            <w:tcW w:w="4769" w:type="dxa"/>
            <w:tcBorders>
              <w:top w:val="nil"/>
              <w:left w:val="nil"/>
              <w:bottom w:val="nil"/>
              <w:right w:val="nil"/>
            </w:tcBorders>
            <w:shd w:val="clear" w:color="000000" w:fill="FFFFFF"/>
            <w:vAlign w:val="center"/>
            <w:hideMark/>
          </w:tcPr>
          <w:p w14:paraId="2B1BC05E" w14:textId="77777777" w:rsidR="0021298F" w:rsidRPr="00FD2040" w:rsidRDefault="0021298F" w:rsidP="00760009">
            <w:pPr>
              <w:rPr>
                <w:rFonts w:ascii="Arial" w:eastAsia="Times New Roman" w:hAnsi="Arial" w:cs="Arial"/>
                <w:color w:val="000000"/>
                <w:lang w:eastAsia="en-GB"/>
              </w:rPr>
            </w:pPr>
            <w:r w:rsidRPr="00FD2040">
              <w:rPr>
                <w:rFonts w:ascii="Arial" w:eastAsia="Times New Roman" w:hAnsi="Arial" w:cs="Arial"/>
                <w:color w:val="000000"/>
                <w:lang w:eastAsia="en-GB"/>
              </w:rPr>
              <w:t> </w:t>
            </w:r>
          </w:p>
        </w:tc>
        <w:tc>
          <w:tcPr>
            <w:tcW w:w="705" w:type="dxa"/>
            <w:tcBorders>
              <w:top w:val="nil"/>
              <w:left w:val="nil"/>
              <w:bottom w:val="nil"/>
              <w:right w:val="nil"/>
            </w:tcBorders>
            <w:shd w:val="clear" w:color="000000" w:fill="FFFFFF"/>
            <w:vAlign w:val="center"/>
            <w:hideMark/>
          </w:tcPr>
          <w:p w14:paraId="62AFA08D" w14:textId="77777777" w:rsidR="0021298F" w:rsidRPr="00FD2040" w:rsidRDefault="0021298F" w:rsidP="00760009">
            <w:pPr>
              <w:jc w:val="center"/>
              <w:rPr>
                <w:rFonts w:ascii="Calibri" w:eastAsia="Times New Roman" w:hAnsi="Calibri" w:cs="Calibri"/>
                <w:color w:val="000000"/>
                <w:lang w:eastAsia="en-GB"/>
              </w:rPr>
            </w:pPr>
            <w:r w:rsidRPr="00FD2040">
              <w:rPr>
                <w:rFonts w:ascii="Calibri" w:eastAsia="Times New Roman" w:hAnsi="Calibri" w:cs="Calibri"/>
                <w:color w:val="000000"/>
                <w:lang w:eastAsia="en-GB"/>
              </w:rPr>
              <w:t> </w:t>
            </w:r>
          </w:p>
        </w:tc>
        <w:tc>
          <w:tcPr>
            <w:tcW w:w="2323" w:type="dxa"/>
            <w:tcBorders>
              <w:top w:val="nil"/>
              <w:left w:val="nil"/>
              <w:bottom w:val="nil"/>
              <w:right w:val="nil"/>
            </w:tcBorders>
            <w:shd w:val="clear" w:color="000000" w:fill="EDFFB7"/>
            <w:vAlign w:val="center"/>
            <w:hideMark/>
          </w:tcPr>
          <w:p w14:paraId="06AF293A" w14:textId="77777777" w:rsidR="0021298F" w:rsidRPr="00FD2040" w:rsidRDefault="0021298F" w:rsidP="00760009">
            <w:pPr>
              <w:jc w:val="right"/>
              <w:rPr>
                <w:rFonts w:ascii="Arial" w:eastAsia="Times New Roman" w:hAnsi="Arial" w:cs="Arial"/>
                <w:b/>
                <w:bCs/>
                <w:color w:val="000000"/>
                <w:lang w:eastAsia="en-GB"/>
              </w:rPr>
            </w:pPr>
            <w:r w:rsidRPr="00FD2040">
              <w:rPr>
                <w:rFonts w:ascii="Arial" w:eastAsia="Times New Roman" w:hAnsi="Arial" w:cs="Arial"/>
                <w:b/>
                <w:bCs/>
                <w:color w:val="000000"/>
                <w:lang w:eastAsia="en-GB"/>
              </w:rPr>
              <w:t> </w:t>
            </w:r>
          </w:p>
        </w:tc>
        <w:tc>
          <w:tcPr>
            <w:tcW w:w="2239" w:type="dxa"/>
            <w:tcBorders>
              <w:top w:val="nil"/>
              <w:left w:val="nil"/>
              <w:bottom w:val="nil"/>
              <w:right w:val="nil"/>
            </w:tcBorders>
            <w:shd w:val="clear" w:color="000000" w:fill="FFFFFF"/>
            <w:noWrap/>
            <w:vAlign w:val="center"/>
            <w:hideMark/>
          </w:tcPr>
          <w:p w14:paraId="08CD4E0C" w14:textId="77777777" w:rsidR="0021298F" w:rsidRPr="00FD2040" w:rsidRDefault="0021298F" w:rsidP="00760009">
            <w:pPr>
              <w:jc w:val="right"/>
              <w:rPr>
                <w:rFonts w:ascii="Arial" w:eastAsia="Times New Roman" w:hAnsi="Arial" w:cs="Arial"/>
                <w:b/>
                <w:bCs/>
                <w:color w:val="000000"/>
                <w:lang w:eastAsia="en-GB"/>
              </w:rPr>
            </w:pPr>
            <w:r w:rsidRPr="00FD2040">
              <w:rPr>
                <w:rFonts w:ascii="Arial" w:eastAsia="Times New Roman" w:hAnsi="Arial" w:cs="Arial"/>
                <w:b/>
                <w:bCs/>
                <w:color w:val="000000"/>
                <w:lang w:eastAsia="en-GB"/>
              </w:rPr>
              <w:t> </w:t>
            </w:r>
          </w:p>
        </w:tc>
      </w:tr>
      <w:tr w:rsidR="0021298F" w:rsidRPr="00FD2040" w14:paraId="468B8A00" w14:textId="77777777" w:rsidTr="00760009">
        <w:trPr>
          <w:trHeight w:val="300"/>
        </w:trPr>
        <w:tc>
          <w:tcPr>
            <w:tcW w:w="5474" w:type="dxa"/>
            <w:gridSpan w:val="2"/>
            <w:tcBorders>
              <w:top w:val="nil"/>
              <w:left w:val="nil"/>
              <w:bottom w:val="nil"/>
              <w:right w:val="nil"/>
            </w:tcBorders>
            <w:shd w:val="clear" w:color="000000" w:fill="FFFFFF"/>
            <w:vAlign w:val="center"/>
            <w:hideMark/>
          </w:tcPr>
          <w:p w14:paraId="4244793C" w14:textId="77777777" w:rsidR="0021298F" w:rsidRPr="00FD2040" w:rsidRDefault="0021298F" w:rsidP="00760009">
            <w:pPr>
              <w:rPr>
                <w:rFonts w:ascii="Arial" w:eastAsia="Times New Roman" w:hAnsi="Arial" w:cs="Arial"/>
                <w:color w:val="000000"/>
                <w:lang w:eastAsia="en-GB"/>
              </w:rPr>
            </w:pPr>
            <w:r w:rsidRPr="00FD2040">
              <w:rPr>
                <w:rFonts w:ascii="Arial" w:eastAsia="Times New Roman" w:hAnsi="Arial" w:cs="Arial"/>
                <w:color w:val="000000"/>
                <w:lang w:eastAsia="en-GB"/>
              </w:rPr>
              <w:t>Cash and cash equivalents at the beginning of the year</w:t>
            </w:r>
          </w:p>
        </w:tc>
        <w:tc>
          <w:tcPr>
            <w:tcW w:w="2323" w:type="dxa"/>
            <w:tcBorders>
              <w:top w:val="nil"/>
              <w:left w:val="nil"/>
              <w:bottom w:val="nil"/>
              <w:right w:val="nil"/>
            </w:tcBorders>
            <w:shd w:val="clear" w:color="000000" w:fill="EDFFB7"/>
            <w:vAlign w:val="center"/>
            <w:hideMark/>
          </w:tcPr>
          <w:p w14:paraId="57EBD780" w14:textId="77777777" w:rsidR="0021298F" w:rsidRPr="00FD2040" w:rsidRDefault="0021298F" w:rsidP="00760009">
            <w:pPr>
              <w:jc w:val="right"/>
              <w:rPr>
                <w:rFonts w:ascii="Arial" w:eastAsia="Times New Roman" w:hAnsi="Arial" w:cs="Arial"/>
                <w:b/>
                <w:bCs/>
                <w:color w:val="000000"/>
                <w:lang w:eastAsia="en-GB"/>
              </w:rPr>
            </w:pPr>
            <w:r w:rsidRPr="00FD2040">
              <w:rPr>
                <w:rFonts w:ascii="Arial" w:eastAsia="Times New Roman" w:hAnsi="Arial" w:cs="Arial"/>
                <w:b/>
                <w:bCs/>
                <w:color w:val="000000"/>
                <w:lang w:eastAsia="en-GB"/>
              </w:rPr>
              <w:t>6,020</w:t>
            </w:r>
          </w:p>
        </w:tc>
        <w:tc>
          <w:tcPr>
            <w:tcW w:w="2239" w:type="dxa"/>
            <w:tcBorders>
              <w:top w:val="nil"/>
              <w:left w:val="nil"/>
              <w:bottom w:val="nil"/>
              <w:right w:val="nil"/>
            </w:tcBorders>
            <w:shd w:val="clear" w:color="000000" w:fill="FFFFFF"/>
            <w:noWrap/>
            <w:vAlign w:val="center"/>
            <w:hideMark/>
          </w:tcPr>
          <w:p w14:paraId="0DB72823" w14:textId="77777777" w:rsidR="0021298F" w:rsidRPr="00FD2040" w:rsidRDefault="0021298F" w:rsidP="00760009">
            <w:pPr>
              <w:jc w:val="right"/>
              <w:rPr>
                <w:rFonts w:ascii="Arial" w:eastAsia="Times New Roman" w:hAnsi="Arial" w:cs="Arial"/>
                <w:b/>
                <w:bCs/>
                <w:color w:val="000000"/>
                <w:lang w:eastAsia="en-GB"/>
              </w:rPr>
            </w:pPr>
            <w:r w:rsidRPr="00FD2040">
              <w:rPr>
                <w:rFonts w:ascii="Arial" w:eastAsia="Times New Roman" w:hAnsi="Arial" w:cs="Arial"/>
                <w:b/>
                <w:bCs/>
                <w:color w:val="000000"/>
                <w:lang w:eastAsia="en-GB"/>
              </w:rPr>
              <w:t>3,036</w:t>
            </w:r>
          </w:p>
        </w:tc>
      </w:tr>
      <w:tr w:rsidR="0021298F" w:rsidRPr="00FD2040" w14:paraId="44CF35A0" w14:textId="77777777" w:rsidTr="00760009">
        <w:trPr>
          <w:trHeight w:val="315"/>
        </w:trPr>
        <w:tc>
          <w:tcPr>
            <w:tcW w:w="4769" w:type="dxa"/>
            <w:tcBorders>
              <w:top w:val="nil"/>
              <w:left w:val="nil"/>
              <w:bottom w:val="single" w:sz="8" w:space="0" w:color="auto"/>
              <w:right w:val="nil"/>
            </w:tcBorders>
            <w:shd w:val="clear" w:color="000000" w:fill="FFFFFF"/>
            <w:vAlign w:val="center"/>
            <w:hideMark/>
          </w:tcPr>
          <w:p w14:paraId="723A002F" w14:textId="77777777" w:rsidR="0021298F" w:rsidRPr="00FD2040" w:rsidRDefault="0021298F" w:rsidP="00760009">
            <w:pPr>
              <w:rPr>
                <w:rFonts w:ascii="Arial" w:eastAsia="Times New Roman" w:hAnsi="Arial" w:cs="Arial"/>
                <w:color w:val="000000"/>
                <w:lang w:eastAsia="en-GB"/>
              </w:rPr>
            </w:pPr>
            <w:r w:rsidRPr="00FD2040">
              <w:rPr>
                <w:rFonts w:ascii="Arial" w:eastAsia="Times New Roman" w:hAnsi="Arial" w:cs="Arial"/>
                <w:color w:val="000000"/>
                <w:lang w:eastAsia="en-GB"/>
              </w:rPr>
              <w:t> </w:t>
            </w:r>
          </w:p>
        </w:tc>
        <w:tc>
          <w:tcPr>
            <w:tcW w:w="705" w:type="dxa"/>
            <w:tcBorders>
              <w:top w:val="nil"/>
              <w:left w:val="nil"/>
              <w:bottom w:val="single" w:sz="8" w:space="0" w:color="auto"/>
              <w:right w:val="nil"/>
            </w:tcBorders>
            <w:shd w:val="clear" w:color="000000" w:fill="FFFFFF"/>
            <w:vAlign w:val="center"/>
            <w:hideMark/>
          </w:tcPr>
          <w:p w14:paraId="3625F147" w14:textId="77777777" w:rsidR="0021298F" w:rsidRPr="00FD2040" w:rsidRDefault="0021298F" w:rsidP="00760009">
            <w:pPr>
              <w:jc w:val="center"/>
              <w:rPr>
                <w:rFonts w:ascii="Calibri" w:eastAsia="Times New Roman" w:hAnsi="Calibri" w:cs="Calibri"/>
                <w:color w:val="000000"/>
                <w:lang w:eastAsia="en-GB"/>
              </w:rPr>
            </w:pPr>
            <w:r w:rsidRPr="00FD2040">
              <w:rPr>
                <w:rFonts w:ascii="Calibri" w:eastAsia="Times New Roman" w:hAnsi="Calibri" w:cs="Calibri"/>
                <w:color w:val="000000"/>
                <w:lang w:eastAsia="en-GB"/>
              </w:rPr>
              <w:t> </w:t>
            </w:r>
          </w:p>
        </w:tc>
        <w:tc>
          <w:tcPr>
            <w:tcW w:w="2323" w:type="dxa"/>
            <w:tcBorders>
              <w:top w:val="nil"/>
              <w:left w:val="nil"/>
              <w:bottom w:val="single" w:sz="8" w:space="0" w:color="auto"/>
              <w:right w:val="nil"/>
            </w:tcBorders>
            <w:shd w:val="clear" w:color="000000" w:fill="EDFFB7"/>
            <w:vAlign w:val="center"/>
            <w:hideMark/>
          </w:tcPr>
          <w:p w14:paraId="68A60157" w14:textId="77777777" w:rsidR="0021298F" w:rsidRPr="00FD2040" w:rsidRDefault="0021298F" w:rsidP="00760009">
            <w:pPr>
              <w:jc w:val="right"/>
              <w:rPr>
                <w:rFonts w:ascii="Arial" w:eastAsia="Times New Roman" w:hAnsi="Arial" w:cs="Arial"/>
                <w:color w:val="000000"/>
                <w:lang w:eastAsia="en-GB"/>
              </w:rPr>
            </w:pPr>
            <w:r w:rsidRPr="00FD2040">
              <w:rPr>
                <w:rFonts w:ascii="Arial" w:eastAsia="Times New Roman" w:hAnsi="Arial" w:cs="Arial"/>
                <w:color w:val="000000"/>
                <w:lang w:eastAsia="en-GB"/>
              </w:rPr>
              <w:t> </w:t>
            </w:r>
          </w:p>
        </w:tc>
        <w:tc>
          <w:tcPr>
            <w:tcW w:w="2239" w:type="dxa"/>
            <w:tcBorders>
              <w:top w:val="nil"/>
              <w:left w:val="nil"/>
              <w:bottom w:val="single" w:sz="8" w:space="0" w:color="auto"/>
              <w:right w:val="nil"/>
            </w:tcBorders>
            <w:shd w:val="clear" w:color="000000" w:fill="FFFFFF"/>
            <w:noWrap/>
            <w:vAlign w:val="center"/>
            <w:hideMark/>
          </w:tcPr>
          <w:p w14:paraId="438E4A8F" w14:textId="77777777" w:rsidR="0021298F" w:rsidRPr="00FD2040" w:rsidRDefault="0021298F" w:rsidP="00760009">
            <w:pPr>
              <w:jc w:val="right"/>
              <w:rPr>
                <w:rFonts w:ascii="Arial" w:eastAsia="Times New Roman" w:hAnsi="Arial" w:cs="Arial"/>
                <w:color w:val="000000"/>
                <w:lang w:eastAsia="en-GB"/>
              </w:rPr>
            </w:pPr>
            <w:r w:rsidRPr="00FD2040">
              <w:rPr>
                <w:rFonts w:ascii="Arial" w:eastAsia="Times New Roman" w:hAnsi="Arial" w:cs="Arial"/>
                <w:color w:val="000000"/>
                <w:lang w:eastAsia="en-GB"/>
              </w:rPr>
              <w:t> </w:t>
            </w:r>
          </w:p>
        </w:tc>
      </w:tr>
      <w:tr w:rsidR="0021298F" w:rsidRPr="00FD2040" w14:paraId="4CCA9F10" w14:textId="77777777" w:rsidTr="00760009">
        <w:trPr>
          <w:trHeight w:val="540"/>
        </w:trPr>
        <w:tc>
          <w:tcPr>
            <w:tcW w:w="5474" w:type="dxa"/>
            <w:gridSpan w:val="2"/>
            <w:tcBorders>
              <w:top w:val="single" w:sz="8" w:space="0" w:color="auto"/>
              <w:left w:val="nil"/>
              <w:bottom w:val="single" w:sz="8" w:space="0" w:color="auto"/>
              <w:right w:val="nil"/>
            </w:tcBorders>
            <w:shd w:val="clear" w:color="000000" w:fill="FFFFFF"/>
            <w:vAlign w:val="center"/>
            <w:hideMark/>
          </w:tcPr>
          <w:p w14:paraId="5C49279F" w14:textId="77777777" w:rsidR="0021298F" w:rsidRPr="00FD2040" w:rsidRDefault="0021298F" w:rsidP="00760009">
            <w:pPr>
              <w:rPr>
                <w:rFonts w:ascii="Arial" w:eastAsia="Times New Roman" w:hAnsi="Arial" w:cs="Arial"/>
                <w:b/>
                <w:bCs/>
                <w:color w:val="000000"/>
                <w:lang w:eastAsia="en-GB"/>
              </w:rPr>
            </w:pPr>
            <w:r w:rsidRPr="00FD2040">
              <w:rPr>
                <w:rFonts w:ascii="Arial" w:eastAsia="Times New Roman" w:hAnsi="Arial" w:cs="Arial"/>
                <w:b/>
                <w:bCs/>
                <w:color w:val="000000"/>
                <w:lang w:eastAsia="en-GB"/>
              </w:rPr>
              <w:t>Cash and cash equivalents at the end of the year</w:t>
            </w:r>
          </w:p>
        </w:tc>
        <w:tc>
          <w:tcPr>
            <w:tcW w:w="2323" w:type="dxa"/>
            <w:tcBorders>
              <w:top w:val="nil"/>
              <w:left w:val="nil"/>
              <w:bottom w:val="single" w:sz="8" w:space="0" w:color="auto"/>
              <w:right w:val="nil"/>
            </w:tcBorders>
            <w:shd w:val="clear" w:color="000000" w:fill="EDFFB7"/>
            <w:vAlign w:val="center"/>
            <w:hideMark/>
          </w:tcPr>
          <w:p w14:paraId="7D81D932" w14:textId="77777777" w:rsidR="0021298F" w:rsidRPr="00FD2040" w:rsidRDefault="0021298F" w:rsidP="00760009">
            <w:pPr>
              <w:jc w:val="right"/>
              <w:rPr>
                <w:rFonts w:ascii="Arial" w:eastAsia="Times New Roman" w:hAnsi="Arial" w:cs="Arial"/>
                <w:b/>
                <w:bCs/>
                <w:color w:val="000000"/>
                <w:lang w:eastAsia="en-GB"/>
              </w:rPr>
            </w:pPr>
            <w:r w:rsidRPr="00FD2040">
              <w:rPr>
                <w:rFonts w:ascii="Arial" w:eastAsia="Times New Roman" w:hAnsi="Arial" w:cs="Arial"/>
                <w:b/>
                <w:bCs/>
                <w:color w:val="000000"/>
                <w:lang w:eastAsia="en-GB"/>
              </w:rPr>
              <w:t>16,517</w:t>
            </w:r>
          </w:p>
        </w:tc>
        <w:tc>
          <w:tcPr>
            <w:tcW w:w="2239" w:type="dxa"/>
            <w:tcBorders>
              <w:top w:val="nil"/>
              <w:left w:val="nil"/>
              <w:bottom w:val="single" w:sz="8" w:space="0" w:color="auto"/>
              <w:right w:val="nil"/>
            </w:tcBorders>
            <w:shd w:val="clear" w:color="000000" w:fill="FFFFFF"/>
            <w:noWrap/>
            <w:vAlign w:val="center"/>
            <w:hideMark/>
          </w:tcPr>
          <w:p w14:paraId="79765C94" w14:textId="77777777" w:rsidR="0021298F" w:rsidRPr="00FD2040" w:rsidRDefault="0021298F" w:rsidP="00760009">
            <w:pPr>
              <w:jc w:val="right"/>
              <w:rPr>
                <w:rFonts w:ascii="Arial" w:eastAsia="Times New Roman" w:hAnsi="Arial" w:cs="Arial"/>
                <w:b/>
                <w:bCs/>
                <w:color w:val="000000"/>
                <w:lang w:eastAsia="en-GB"/>
              </w:rPr>
            </w:pPr>
            <w:r w:rsidRPr="00FD2040">
              <w:rPr>
                <w:rFonts w:ascii="Arial" w:eastAsia="Times New Roman" w:hAnsi="Arial" w:cs="Arial"/>
                <w:b/>
                <w:bCs/>
                <w:color w:val="000000"/>
                <w:lang w:eastAsia="en-GB"/>
              </w:rPr>
              <w:t>6,020</w:t>
            </w:r>
          </w:p>
        </w:tc>
      </w:tr>
    </w:tbl>
    <w:p w14:paraId="1445080D" w14:textId="77777777" w:rsidR="0021298F" w:rsidRDefault="0021298F" w:rsidP="0021298F">
      <w:pPr>
        <w:pStyle w:val="Bullets"/>
        <w:numPr>
          <w:ilvl w:val="0"/>
          <w:numId w:val="0"/>
        </w:numPr>
        <w:jc w:val="both"/>
        <w:rPr>
          <w:rFonts w:cs="Arial"/>
        </w:rPr>
      </w:pPr>
    </w:p>
    <w:p w14:paraId="37528907" w14:textId="77777777" w:rsidR="0021298F" w:rsidRDefault="0021298F" w:rsidP="0021298F">
      <w:pPr>
        <w:pStyle w:val="Bullets"/>
        <w:numPr>
          <w:ilvl w:val="0"/>
          <w:numId w:val="0"/>
        </w:numPr>
        <w:jc w:val="both"/>
        <w:rPr>
          <w:rFonts w:cs="Arial"/>
        </w:rPr>
      </w:pPr>
      <w:r>
        <w:rPr>
          <w:rFonts w:cs="Arial"/>
        </w:rPr>
        <w:t>Th</w:t>
      </w:r>
      <w:r w:rsidRPr="00A212F0">
        <w:rPr>
          <w:rFonts w:cs="Arial"/>
        </w:rPr>
        <w:t xml:space="preserve">e accompanying notes </w:t>
      </w:r>
      <w:r>
        <w:rPr>
          <w:rFonts w:cs="Arial"/>
        </w:rPr>
        <w:t>form</w:t>
      </w:r>
      <w:r w:rsidRPr="00A212F0">
        <w:rPr>
          <w:rFonts w:cs="Arial"/>
        </w:rPr>
        <w:t xml:space="preserve"> an integral part of </w:t>
      </w:r>
      <w:r>
        <w:rPr>
          <w:rFonts w:cs="Arial"/>
        </w:rPr>
        <w:t xml:space="preserve">the consolidated financial statements. </w:t>
      </w:r>
    </w:p>
    <w:p w14:paraId="745FB51F" w14:textId="77777777" w:rsidR="0021298F" w:rsidRDefault="0021298F" w:rsidP="0021298F">
      <w:pPr>
        <w:pStyle w:val="Bullets"/>
        <w:numPr>
          <w:ilvl w:val="0"/>
          <w:numId w:val="0"/>
        </w:numPr>
        <w:jc w:val="both"/>
        <w:rPr>
          <w:rFonts w:cs="Arial"/>
        </w:rPr>
      </w:pPr>
    </w:p>
    <w:p w14:paraId="16B44F77" w14:textId="77777777" w:rsidR="0021298F" w:rsidRPr="00892738" w:rsidRDefault="0021298F" w:rsidP="0021298F">
      <w:pPr>
        <w:pStyle w:val="Heading1"/>
        <w:jc w:val="both"/>
        <w:rPr>
          <w:rFonts w:cs="Arial"/>
          <w:caps/>
        </w:rPr>
      </w:pPr>
      <w:r>
        <w:rPr>
          <w:rFonts w:cs="Arial"/>
        </w:rPr>
        <w:t>Company Statement of C</w:t>
      </w:r>
      <w:r w:rsidRPr="00892738">
        <w:rPr>
          <w:rFonts w:cs="Arial"/>
        </w:rPr>
        <w:t>ash Flows</w:t>
      </w:r>
    </w:p>
    <w:p w14:paraId="1E593C9C" w14:textId="77777777" w:rsidR="0021298F" w:rsidRDefault="0021298F" w:rsidP="0021298F">
      <w:pPr>
        <w:pStyle w:val="Bullets"/>
        <w:numPr>
          <w:ilvl w:val="0"/>
          <w:numId w:val="0"/>
        </w:numPr>
        <w:jc w:val="both"/>
        <w:rPr>
          <w:rFonts w:cs="Arial"/>
          <w:b/>
        </w:rPr>
      </w:pPr>
      <w:r w:rsidRPr="001226F4">
        <w:rPr>
          <w:rFonts w:cs="Arial"/>
          <w:b/>
        </w:rPr>
        <w:t xml:space="preserve">For the </w:t>
      </w:r>
      <w:r>
        <w:rPr>
          <w:rFonts w:cs="Arial"/>
          <w:b/>
        </w:rPr>
        <w:t>year ended 31 December 2020</w:t>
      </w:r>
    </w:p>
    <w:p w14:paraId="6076DEDF" w14:textId="77777777" w:rsidR="0021298F" w:rsidRDefault="0021298F" w:rsidP="0021298F">
      <w:pPr>
        <w:pStyle w:val="Bullets"/>
        <w:numPr>
          <w:ilvl w:val="0"/>
          <w:numId w:val="0"/>
        </w:numPr>
        <w:jc w:val="both"/>
        <w:rPr>
          <w:rFonts w:cs="Arial"/>
        </w:rPr>
      </w:pPr>
    </w:p>
    <w:tbl>
      <w:tblPr>
        <w:tblW w:w="9894" w:type="dxa"/>
        <w:tblLook w:val="04A0" w:firstRow="1" w:lastRow="0" w:firstColumn="1" w:lastColumn="0" w:noHBand="0" w:noVBand="1"/>
      </w:tblPr>
      <w:tblGrid>
        <w:gridCol w:w="4722"/>
        <w:gridCol w:w="750"/>
        <w:gridCol w:w="2183"/>
        <w:gridCol w:w="2239"/>
      </w:tblGrid>
      <w:tr w:rsidR="0021298F" w:rsidRPr="00FD2040" w14:paraId="2911CEA6" w14:textId="77777777" w:rsidTr="00760009">
        <w:trPr>
          <w:trHeight w:val="585"/>
        </w:trPr>
        <w:tc>
          <w:tcPr>
            <w:tcW w:w="4756" w:type="dxa"/>
            <w:tcBorders>
              <w:top w:val="nil"/>
              <w:left w:val="nil"/>
              <w:bottom w:val="nil"/>
              <w:right w:val="nil"/>
            </w:tcBorders>
            <w:shd w:val="clear" w:color="auto" w:fill="auto"/>
            <w:vAlign w:val="center"/>
            <w:hideMark/>
          </w:tcPr>
          <w:p w14:paraId="4B5105AD" w14:textId="77777777" w:rsidR="0021298F" w:rsidRPr="00FD2040" w:rsidRDefault="0021298F" w:rsidP="00760009">
            <w:pPr>
              <w:rPr>
                <w:rFonts w:ascii="Times New Roman" w:eastAsia="Times New Roman" w:hAnsi="Times New Roman" w:cs="Times New Roman"/>
                <w:lang w:eastAsia="en-GB"/>
              </w:rPr>
            </w:pPr>
          </w:p>
        </w:tc>
        <w:tc>
          <w:tcPr>
            <w:tcW w:w="705" w:type="dxa"/>
            <w:tcBorders>
              <w:top w:val="nil"/>
              <w:left w:val="nil"/>
              <w:bottom w:val="nil"/>
              <w:right w:val="nil"/>
            </w:tcBorders>
            <w:shd w:val="clear" w:color="auto" w:fill="auto"/>
            <w:vAlign w:val="center"/>
            <w:hideMark/>
          </w:tcPr>
          <w:p w14:paraId="7E539091" w14:textId="77777777" w:rsidR="0021298F" w:rsidRPr="00FD2040" w:rsidRDefault="0021298F" w:rsidP="00760009">
            <w:pPr>
              <w:rPr>
                <w:rFonts w:ascii="Times New Roman" w:eastAsia="Times New Roman" w:hAnsi="Times New Roman" w:cs="Times New Roman"/>
                <w:sz w:val="20"/>
                <w:szCs w:val="20"/>
                <w:lang w:eastAsia="en-GB"/>
              </w:rPr>
            </w:pPr>
          </w:p>
        </w:tc>
        <w:tc>
          <w:tcPr>
            <w:tcW w:w="2194" w:type="dxa"/>
            <w:tcBorders>
              <w:top w:val="nil"/>
              <w:left w:val="nil"/>
              <w:bottom w:val="nil"/>
              <w:right w:val="nil"/>
            </w:tcBorders>
            <w:shd w:val="clear" w:color="000000" w:fill="FFFFFF"/>
            <w:vAlign w:val="bottom"/>
            <w:hideMark/>
          </w:tcPr>
          <w:p w14:paraId="66DDF8E5" w14:textId="77777777" w:rsidR="0021298F" w:rsidRPr="00FD2040" w:rsidRDefault="0021298F" w:rsidP="00760009">
            <w:pPr>
              <w:jc w:val="right"/>
              <w:rPr>
                <w:rFonts w:ascii="Arial" w:eastAsia="Times New Roman" w:hAnsi="Arial" w:cs="Arial"/>
                <w:b/>
                <w:bCs/>
                <w:color w:val="000000"/>
                <w:lang w:eastAsia="en-GB"/>
              </w:rPr>
            </w:pPr>
            <w:r w:rsidRPr="00FD2040">
              <w:rPr>
                <w:rFonts w:ascii="Arial" w:eastAsia="Times New Roman" w:hAnsi="Arial" w:cs="Arial"/>
                <w:b/>
                <w:bCs/>
                <w:color w:val="000000"/>
                <w:lang w:eastAsia="en-GB"/>
              </w:rPr>
              <w:t>For the year ended</w:t>
            </w:r>
          </w:p>
        </w:tc>
        <w:tc>
          <w:tcPr>
            <w:tcW w:w="2239" w:type="dxa"/>
            <w:tcBorders>
              <w:top w:val="nil"/>
              <w:left w:val="nil"/>
              <w:bottom w:val="nil"/>
              <w:right w:val="nil"/>
            </w:tcBorders>
            <w:shd w:val="clear" w:color="auto" w:fill="auto"/>
            <w:vAlign w:val="bottom"/>
            <w:hideMark/>
          </w:tcPr>
          <w:p w14:paraId="6CA24A85" w14:textId="77777777" w:rsidR="0021298F" w:rsidRPr="00FD2040" w:rsidRDefault="0021298F" w:rsidP="00760009">
            <w:pPr>
              <w:jc w:val="right"/>
              <w:rPr>
                <w:rFonts w:ascii="Arial" w:eastAsia="Times New Roman" w:hAnsi="Arial" w:cs="Arial"/>
                <w:b/>
                <w:bCs/>
                <w:color w:val="000000"/>
                <w:lang w:eastAsia="en-GB"/>
              </w:rPr>
            </w:pPr>
            <w:r w:rsidRPr="00FD2040">
              <w:rPr>
                <w:rFonts w:ascii="Arial" w:eastAsia="Times New Roman" w:hAnsi="Arial" w:cs="Arial"/>
                <w:b/>
                <w:bCs/>
                <w:color w:val="000000"/>
                <w:lang w:eastAsia="en-GB"/>
              </w:rPr>
              <w:t>For the year ended</w:t>
            </w:r>
          </w:p>
        </w:tc>
      </w:tr>
      <w:tr w:rsidR="0021298F" w:rsidRPr="00FD2040" w14:paraId="72A6D235" w14:textId="77777777" w:rsidTr="00760009">
        <w:trPr>
          <w:trHeight w:val="600"/>
        </w:trPr>
        <w:tc>
          <w:tcPr>
            <w:tcW w:w="4756" w:type="dxa"/>
            <w:tcBorders>
              <w:top w:val="nil"/>
              <w:left w:val="nil"/>
              <w:bottom w:val="nil"/>
              <w:right w:val="nil"/>
            </w:tcBorders>
            <w:shd w:val="clear" w:color="auto" w:fill="auto"/>
            <w:vAlign w:val="center"/>
            <w:hideMark/>
          </w:tcPr>
          <w:p w14:paraId="2B31735F" w14:textId="77777777" w:rsidR="0021298F" w:rsidRPr="00FD2040" w:rsidRDefault="0021298F" w:rsidP="00760009">
            <w:pPr>
              <w:jc w:val="right"/>
              <w:rPr>
                <w:rFonts w:ascii="Arial" w:eastAsia="Times New Roman" w:hAnsi="Arial" w:cs="Arial"/>
                <w:b/>
                <w:bCs/>
                <w:color w:val="000000"/>
                <w:lang w:eastAsia="en-GB"/>
              </w:rPr>
            </w:pPr>
          </w:p>
        </w:tc>
        <w:tc>
          <w:tcPr>
            <w:tcW w:w="705" w:type="dxa"/>
            <w:tcBorders>
              <w:top w:val="nil"/>
              <w:left w:val="nil"/>
              <w:bottom w:val="nil"/>
              <w:right w:val="nil"/>
            </w:tcBorders>
            <w:shd w:val="clear" w:color="auto" w:fill="auto"/>
            <w:vAlign w:val="center"/>
            <w:hideMark/>
          </w:tcPr>
          <w:p w14:paraId="2323DEC7" w14:textId="77777777" w:rsidR="0021298F" w:rsidRPr="00FD2040" w:rsidRDefault="0021298F" w:rsidP="00760009">
            <w:pPr>
              <w:rPr>
                <w:rFonts w:ascii="Times New Roman" w:eastAsia="Times New Roman" w:hAnsi="Times New Roman" w:cs="Times New Roman"/>
                <w:sz w:val="20"/>
                <w:szCs w:val="20"/>
                <w:lang w:eastAsia="en-GB"/>
              </w:rPr>
            </w:pPr>
          </w:p>
        </w:tc>
        <w:tc>
          <w:tcPr>
            <w:tcW w:w="2194" w:type="dxa"/>
            <w:tcBorders>
              <w:top w:val="nil"/>
              <w:left w:val="nil"/>
              <w:bottom w:val="nil"/>
              <w:right w:val="nil"/>
            </w:tcBorders>
            <w:shd w:val="clear" w:color="auto" w:fill="auto"/>
            <w:vAlign w:val="center"/>
            <w:hideMark/>
          </w:tcPr>
          <w:p w14:paraId="322634E9" w14:textId="77777777" w:rsidR="0021298F" w:rsidRPr="00FD2040" w:rsidRDefault="0021298F" w:rsidP="00760009">
            <w:pPr>
              <w:jc w:val="right"/>
              <w:rPr>
                <w:rFonts w:ascii="Arial" w:eastAsia="Times New Roman" w:hAnsi="Arial" w:cs="Arial"/>
                <w:b/>
                <w:bCs/>
                <w:color w:val="000000"/>
                <w:lang w:eastAsia="en-GB"/>
              </w:rPr>
            </w:pPr>
            <w:r w:rsidRPr="00FD2040">
              <w:rPr>
                <w:rFonts w:ascii="Arial" w:eastAsia="Times New Roman" w:hAnsi="Arial" w:cs="Arial"/>
                <w:b/>
                <w:bCs/>
                <w:color w:val="000000"/>
                <w:lang w:eastAsia="en-GB"/>
              </w:rPr>
              <w:t>31 December 2020</w:t>
            </w:r>
          </w:p>
        </w:tc>
        <w:tc>
          <w:tcPr>
            <w:tcW w:w="2239" w:type="dxa"/>
            <w:tcBorders>
              <w:top w:val="nil"/>
              <w:left w:val="nil"/>
              <w:bottom w:val="nil"/>
              <w:right w:val="nil"/>
            </w:tcBorders>
            <w:shd w:val="clear" w:color="auto" w:fill="auto"/>
            <w:vAlign w:val="center"/>
            <w:hideMark/>
          </w:tcPr>
          <w:p w14:paraId="7EC8A675" w14:textId="77777777" w:rsidR="0021298F" w:rsidRPr="00FD2040" w:rsidRDefault="0021298F" w:rsidP="00760009">
            <w:pPr>
              <w:jc w:val="right"/>
              <w:rPr>
                <w:rFonts w:ascii="Arial" w:eastAsia="Times New Roman" w:hAnsi="Arial" w:cs="Arial"/>
                <w:b/>
                <w:bCs/>
                <w:color w:val="000000"/>
                <w:lang w:eastAsia="en-GB"/>
              </w:rPr>
            </w:pPr>
            <w:r w:rsidRPr="00FD2040">
              <w:rPr>
                <w:rFonts w:ascii="Arial" w:eastAsia="Times New Roman" w:hAnsi="Arial" w:cs="Arial"/>
                <w:b/>
                <w:bCs/>
                <w:color w:val="000000"/>
                <w:lang w:eastAsia="en-GB"/>
              </w:rPr>
              <w:t>31 December 2019</w:t>
            </w:r>
          </w:p>
        </w:tc>
      </w:tr>
      <w:tr w:rsidR="0021298F" w:rsidRPr="00FD2040" w14:paraId="7D791FC1" w14:textId="77777777" w:rsidTr="00760009">
        <w:trPr>
          <w:trHeight w:val="615"/>
        </w:trPr>
        <w:tc>
          <w:tcPr>
            <w:tcW w:w="4756" w:type="dxa"/>
            <w:tcBorders>
              <w:top w:val="nil"/>
              <w:left w:val="nil"/>
              <w:bottom w:val="single" w:sz="8" w:space="0" w:color="auto"/>
              <w:right w:val="nil"/>
            </w:tcBorders>
            <w:shd w:val="clear" w:color="auto" w:fill="auto"/>
            <w:vAlign w:val="center"/>
            <w:hideMark/>
          </w:tcPr>
          <w:p w14:paraId="04DB3744" w14:textId="77777777" w:rsidR="0021298F" w:rsidRPr="00FD2040" w:rsidRDefault="0021298F" w:rsidP="00760009">
            <w:pPr>
              <w:jc w:val="both"/>
              <w:rPr>
                <w:rFonts w:ascii="Arial" w:eastAsia="Times New Roman" w:hAnsi="Arial" w:cs="Arial"/>
                <w:color w:val="000000"/>
                <w:lang w:eastAsia="en-GB"/>
              </w:rPr>
            </w:pPr>
            <w:r w:rsidRPr="00FD2040">
              <w:rPr>
                <w:rFonts w:ascii="Arial" w:eastAsia="Times New Roman" w:hAnsi="Arial" w:cs="Arial"/>
                <w:color w:val="000000"/>
                <w:lang w:eastAsia="en-GB"/>
              </w:rPr>
              <w:t> </w:t>
            </w:r>
          </w:p>
        </w:tc>
        <w:tc>
          <w:tcPr>
            <w:tcW w:w="705" w:type="dxa"/>
            <w:tcBorders>
              <w:top w:val="nil"/>
              <w:left w:val="nil"/>
              <w:bottom w:val="single" w:sz="8" w:space="0" w:color="auto"/>
              <w:right w:val="nil"/>
            </w:tcBorders>
            <w:shd w:val="clear" w:color="auto" w:fill="auto"/>
            <w:vAlign w:val="center"/>
            <w:hideMark/>
          </w:tcPr>
          <w:p w14:paraId="68E3D07E" w14:textId="77777777" w:rsidR="0021298F" w:rsidRPr="00FD2040" w:rsidRDefault="0021298F" w:rsidP="00760009">
            <w:pPr>
              <w:rPr>
                <w:rFonts w:ascii="Arial" w:eastAsia="Times New Roman" w:hAnsi="Arial" w:cs="Arial"/>
                <w:b/>
                <w:bCs/>
                <w:color w:val="000000"/>
                <w:lang w:eastAsia="en-GB"/>
              </w:rPr>
            </w:pPr>
            <w:r w:rsidRPr="00FD2040">
              <w:rPr>
                <w:rFonts w:ascii="Arial" w:eastAsia="Times New Roman" w:hAnsi="Arial" w:cs="Arial"/>
                <w:b/>
                <w:bCs/>
                <w:color w:val="000000"/>
                <w:lang w:eastAsia="en-GB"/>
              </w:rPr>
              <w:t>Note</w:t>
            </w:r>
          </w:p>
        </w:tc>
        <w:tc>
          <w:tcPr>
            <w:tcW w:w="2194" w:type="dxa"/>
            <w:tcBorders>
              <w:top w:val="nil"/>
              <w:left w:val="nil"/>
              <w:bottom w:val="single" w:sz="8" w:space="0" w:color="auto"/>
              <w:right w:val="nil"/>
            </w:tcBorders>
            <w:shd w:val="clear" w:color="auto" w:fill="auto"/>
            <w:vAlign w:val="center"/>
            <w:hideMark/>
          </w:tcPr>
          <w:p w14:paraId="06C252BC" w14:textId="77777777" w:rsidR="0021298F" w:rsidRPr="00FD2040" w:rsidRDefault="0021298F" w:rsidP="00760009">
            <w:pPr>
              <w:jc w:val="right"/>
              <w:rPr>
                <w:rFonts w:ascii="Arial" w:eastAsia="Times New Roman" w:hAnsi="Arial" w:cs="Arial"/>
                <w:b/>
                <w:bCs/>
                <w:color w:val="000000"/>
                <w:lang w:eastAsia="en-GB"/>
              </w:rPr>
            </w:pPr>
            <w:r w:rsidRPr="00FD2040">
              <w:rPr>
                <w:rFonts w:ascii="Arial" w:eastAsia="Times New Roman" w:hAnsi="Arial" w:cs="Arial"/>
                <w:b/>
                <w:bCs/>
                <w:color w:val="000000"/>
                <w:lang w:eastAsia="en-GB"/>
              </w:rPr>
              <w:t>€'000</w:t>
            </w:r>
          </w:p>
        </w:tc>
        <w:tc>
          <w:tcPr>
            <w:tcW w:w="2239" w:type="dxa"/>
            <w:tcBorders>
              <w:top w:val="nil"/>
              <w:left w:val="nil"/>
              <w:bottom w:val="single" w:sz="8" w:space="0" w:color="auto"/>
              <w:right w:val="nil"/>
            </w:tcBorders>
            <w:shd w:val="clear" w:color="auto" w:fill="auto"/>
            <w:noWrap/>
            <w:vAlign w:val="center"/>
            <w:hideMark/>
          </w:tcPr>
          <w:p w14:paraId="67ECAB6B" w14:textId="77777777" w:rsidR="0021298F" w:rsidRPr="00FD2040" w:rsidRDefault="0021298F" w:rsidP="00760009">
            <w:pPr>
              <w:jc w:val="right"/>
              <w:rPr>
                <w:rFonts w:ascii="Arial" w:eastAsia="Times New Roman" w:hAnsi="Arial" w:cs="Arial"/>
                <w:b/>
                <w:bCs/>
                <w:color w:val="000000"/>
                <w:lang w:eastAsia="en-GB"/>
              </w:rPr>
            </w:pPr>
            <w:r w:rsidRPr="00FD2040">
              <w:rPr>
                <w:rFonts w:ascii="Arial" w:eastAsia="Times New Roman" w:hAnsi="Arial" w:cs="Arial"/>
                <w:b/>
                <w:bCs/>
                <w:color w:val="000000"/>
                <w:lang w:eastAsia="en-GB"/>
              </w:rPr>
              <w:t>€'000</w:t>
            </w:r>
          </w:p>
        </w:tc>
      </w:tr>
      <w:tr w:rsidR="0021298F" w:rsidRPr="00FD2040" w14:paraId="2ED35042" w14:textId="77777777" w:rsidTr="00760009">
        <w:trPr>
          <w:trHeight w:val="300"/>
        </w:trPr>
        <w:tc>
          <w:tcPr>
            <w:tcW w:w="4756" w:type="dxa"/>
            <w:tcBorders>
              <w:top w:val="nil"/>
              <w:left w:val="nil"/>
              <w:bottom w:val="nil"/>
              <w:right w:val="nil"/>
            </w:tcBorders>
            <w:shd w:val="clear" w:color="000000" w:fill="FFFFFF"/>
            <w:vAlign w:val="center"/>
            <w:hideMark/>
          </w:tcPr>
          <w:p w14:paraId="2AC420EE" w14:textId="77777777" w:rsidR="0021298F" w:rsidRPr="00FD2040" w:rsidRDefault="0021298F" w:rsidP="00760009">
            <w:pPr>
              <w:jc w:val="both"/>
              <w:rPr>
                <w:rFonts w:ascii="Arial" w:eastAsia="Times New Roman" w:hAnsi="Arial" w:cs="Arial"/>
                <w:color w:val="000000"/>
                <w:lang w:eastAsia="en-GB"/>
              </w:rPr>
            </w:pPr>
            <w:r w:rsidRPr="00FD2040">
              <w:rPr>
                <w:rFonts w:ascii="Arial" w:eastAsia="Times New Roman" w:hAnsi="Arial" w:cs="Arial"/>
                <w:color w:val="000000"/>
                <w:lang w:eastAsia="en-GB"/>
              </w:rPr>
              <w:t> </w:t>
            </w:r>
          </w:p>
        </w:tc>
        <w:tc>
          <w:tcPr>
            <w:tcW w:w="705" w:type="dxa"/>
            <w:tcBorders>
              <w:top w:val="nil"/>
              <w:left w:val="nil"/>
              <w:bottom w:val="nil"/>
              <w:right w:val="nil"/>
            </w:tcBorders>
            <w:shd w:val="clear" w:color="000000" w:fill="FFFFFF"/>
            <w:vAlign w:val="center"/>
            <w:hideMark/>
          </w:tcPr>
          <w:p w14:paraId="41302101" w14:textId="77777777" w:rsidR="0021298F" w:rsidRPr="00FD2040" w:rsidRDefault="0021298F" w:rsidP="00760009">
            <w:pPr>
              <w:rPr>
                <w:rFonts w:ascii="Calibri" w:eastAsia="Times New Roman" w:hAnsi="Calibri" w:cs="Calibri"/>
                <w:color w:val="000000"/>
                <w:lang w:eastAsia="en-GB"/>
              </w:rPr>
            </w:pPr>
            <w:r w:rsidRPr="00FD2040">
              <w:rPr>
                <w:rFonts w:ascii="Calibri" w:eastAsia="Times New Roman" w:hAnsi="Calibri" w:cs="Calibri"/>
                <w:color w:val="000000"/>
                <w:lang w:eastAsia="en-GB"/>
              </w:rPr>
              <w:t> </w:t>
            </w:r>
          </w:p>
        </w:tc>
        <w:tc>
          <w:tcPr>
            <w:tcW w:w="2194" w:type="dxa"/>
            <w:tcBorders>
              <w:top w:val="nil"/>
              <w:left w:val="nil"/>
              <w:bottom w:val="nil"/>
              <w:right w:val="nil"/>
            </w:tcBorders>
            <w:shd w:val="clear" w:color="000000" w:fill="EDFFB7"/>
            <w:vAlign w:val="center"/>
            <w:hideMark/>
          </w:tcPr>
          <w:p w14:paraId="6E6EF555" w14:textId="77777777" w:rsidR="0021298F" w:rsidRPr="00FD2040" w:rsidRDefault="0021298F" w:rsidP="00760009">
            <w:pPr>
              <w:jc w:val="right"/>
              <w:rPr>
                <w:rFonts w:ascii="Arial" w:eastAsia="Times New Roman" w:hAnsi="Arial" w:cs="Arial"/>
                <w:color w:val="000000"/>
                <w:lang w:eastAsia="en-GB"/>
              </w:rPr>
            </w:pPr>
            <w:r w:rsidRPr="00FD2040">
              <w:rPr>
                <w:rFonts w:ascii="Arial" w:eastAsia="Times New Roman" w:hAnsi="Arial" w:cs="Arial"/>
                <w:color w:val="000000"/>
                <w:lang w:eastAsia="en-GB"/>
              </w:rPr>
              <w:t> </w:t>
            </w:r>
          </w:p>
        </w:tc>
        <w:tc>
          <w:tcPr>
            <w:tcW w:w="2239" w:type="dxa"/>
            <w:tcBorders>
              <w:top w:val="nil"/>
              <w:left w:val="nil"/>
              <w:bottom w:val="nil"/>
              <w:right w:val="nil"/>
            </w:tcBorders>
            <w:shd w:val="clear" w:color="auto" w:fill="auto"/>
            <w:vAlign w:val="center"/>
            <w:hideMark/>
          </w:tcPr>
          <w:p w14:paraId="31C6B325" w14:textId="77777777" w:rsidR="0021298F" w:rsidRPr="00FD2040" w:rsidRDefault="0021298F" w:rsidP="00760009">
            <w:pPr>
              <w:jc w:val="right"/>
              <w:rPr>
                <w:rFonts w:ascii="Arial" w:eastAsia="Times New Roman" w:hAnsi="Arial" w:cs="Arial"/>
                <w:color w:val="000000"/>
                <w:lang w:eastAsia="en-GB"/>
              </w:rPr>
            </w:pPr>
          </w:p>
        </w:tc>
      </w:tr>
      <w:tr w:rsidR="0021298F" w:rsidRPr="00FD2040" w14:paraId="046CBE8C" w14:textId="77777777" w:rsidTr="00760009">
        <w:trPr>
          <w:trHeight w:val="300"/>
        </w:trPr>
        <w:tc>
          <w:tcPr>
            <w:tcW w:w="4756" w:type="dxa"/>
            <w:tcBorders>
              <w:top w:val="nil"/>
              <w:left w:val="nil"/>
              <w:bottom w:val="nil"/>
              <w:right w:val="nil"/>
            </w:tcBorders>
            <w:shd w:val="clear" w:color="000000" w:fill="FFFFFF"/>
            <w:vAlign w:val="center"/>
            <w:hideMark/>
          </w:tcPr>
          <w:p w14:paraId="7BBAC831" w14:textId="77777777" w:rsidR="0021298F" w:rsidRPr="00FD2040" w:rsidRDefault="0021298F" w:rsidP="00760009">
            <w:pPr>
              <w:rPr>
                <w:rFonts w:ascii="Arial" w:eastAsia="Times New Roman" w:hAnsi="Arial" w:cs="Arial"/>
                <w:b/>
                <w:bCs/>
                <w:color w:val="000000"/>
                <w:lang w:eastAsia="en-GB"/>
              </w:rPr>
            </w:pPr>
            <w:r w:rsidRPr="00FD2040">
              <w:rPr>
                <w:rFonts w:ascii="Arial" w:eastAsia="Times New Roman" w:hAnsi="Arial" w:cs="Arial"/>
                <w:b/>
                <w:bCs/>
                <w:color w:val="000000"/>
                <w:lang w:eastAsia="en-GB"/>
              </w:rPr>
              <w:t>Net cash flows from operating activities</w:t>
            </w:r>
          </w:p>
        </w:tc>
        <w:tc>
          <w:tcPr>
            <w:tcW w:w="705" w:type="dxa"/>
            <w:tcBorders>
              <w:top w:val="nil"/>
              <w:left w:val="nil"/>
              <w:bottom w:val="nil"/>
              <w:right w:val="nil"/>
            </w:tcBorders>
            <w:shd w:val="clear" w:color="000000" w:fill="FFFFFF"/>
            <w:vAlign w:val="center"/>
            <w:hideMark/>
          </w:tcPr>
          <w:p w14:paraId="479F064C" w14:textId="77777777" w:rsidR="0021298F" w:rsidRPr="00FD2040" w:rsidRDefault="0021298F" w:rsidP="00760009">
            <w:pPr>
              <w:jc w:val="center"/>
              <w:rPr>
                <w:rFonts w:ascii="Arial" w:eastAsia="Times New Roman" w:hAnsi="Arial" w:cs="Arial"/>
                <w:b/>
                <w:bCs/>
                <w:color w:val="000000"/>
                <w:sz w:val="20"/>
                <w:szCs w:val="20"/>
                <w:lang w:eastAsia="en-GB"/>
              </w:rPr>
            </w:pPr>
            <w:r w:rsidRPr="00FD2040">
              <w:rPr>
                <w:rFonts w:ascii="Arial" w:eastAsia="Times New Roman" w:hAnsi="Arial" w:cs="Arial"/>
                <w:b/>
                <w:bCs/>
                <w:color w:val="000000"/>
                <w:sz w:val="20"/>
                <w:szCs w:val="20"/>
                <w:lang w:eastAsia="en-GB"/>
              </w:rPr>
              <w:t>17</w:t>
            </w:r>
          </w:p>
        </w:tc>
        <w:tc>
          <w:tcPr>
            <w:tcW w:w="2194" w:type="dxa"/>
            <w:tcBorders>
              <w:top w:val="nil"/>
              <w:left w:val="nil"/>
              <w:bottom w:val="nil"/>
              <w:right w:val="nil"/>
            </w:tcBorders>
            <w:shd w:val="clear" w:color="000000" w:fill="EDFFB7"/>
            <w:vAlign w:val="center"/>
            <w:hideMark/>
          </w:tcPr>
          <w:p w14:paraId="3AC16D3F" w14:textId="77777777" w:rsidR="0021298F" w:rsidRPr="00FD2040" w:rsidRDefault="0021298F" w:rsidP="00760009">
            <w:pPr>
              <w:jc w:val="right"/>
              <w:rPr>
                <w:rFonts w:ascii="Arial" w:eastAsia="Times New Roman" w:hAnsi="Arial" w:cs="Arial"/>
                <w:b/>
                <w:bCs/>
                <w:color w:val="000000"/>
                <w:lang w:eastAsia="en-GB"/>
              </w:rPr>
            </w:pPr>
            <w:r w:rsidRPr="00FD2040">
              <w:rPr>
                <w:rFonts w:ascii="Arial" w:eastAsia="Times New Roman" w:hAnsi="Arial" w:cs="Arial"/>
                <w:b/>
                <w:bCs/>
                <w:color w:val="000000"/>
                <w:lang w:eastAsia="en-GB"/>
              </w:rPr>
              <w:t xml:space="preserve"> (4,607)</w:t>
            </w:r>
          </w:p>
        </w:tc>
        <w:tc>
          <w:tcPr>
            <w:tcW w:w="2239" w:type="dxa"/>
            <w:tcBorders>
              <w:top w:val="nil"/>
              <w:left w:val="nil"/>
              <w:bottom w:val="nil"/>
              <w:right w:val="nil"/>
            </w:tcBorders>
            <w:shd w:val="clear" w:color="auto" w:fill="auto"/>
            <w:vAlign w:val="center"/>
            <w:hideMark/>
          </w:tcPr>
          <w:p w14:paraId="2988E959" w14:textId="77777777" w:rsidR="0021298F" w:rsidRPr="00FD2040" w:rsidRDefault="0021298F" w:rsidP="00760009">
            <w:pPr>
              <w:jc w:val="right"/>
              <w:rPr>
                <w:rFonts w:ascii="Arial" w:eastAsia="Times New Roman" w:hAnsi="Arial" w:cs="Arial"/>
                <w:b/>
                <w:bCs/>
                <w:color w:val="000000"/>
                <w:lang w:eastAsia="en-GB"/>
              </w:rPr>
            </w:pPr>
            <w:r w:rsidRPr="00FD2040">
              <w:rPr>
                <w:rFonts w:ascii="Arial" w:eastAsia="Times New Roman" w:hAnsi="Arial" w:cs="Arial"/>
                <w:b/>
                <w:bCs/>
                <w:color w:val="000000"/>
                <w:lang w:eastAsia="en-GB"/>
              </w:rPr>
              <w:t xml:space="preserve"> (3,886)</w:t>
            </w:r>
          </w:p>
        </w:tc>
      </w:tr>
      <w:tr w:rsidR="0021298F" w:rsidRPr="00FD2040" w14:paraId="09F470BD" w14:textId="77777777" w:rsidTr="00760009">
        <w:trPr>
          <w:trHeight w:val="300"/>
        </w:trPr>
        <w:tc>
          <w:tcPr>
            <w:tcW w:w="4756" w:type="dxa"/>
            <w:tcBorders>
              <w:top w:val="nil"/>
              <w:left w:val="nil"/>
              <w:bottom w:val="nil"/>
              <w:right w:val="nil"/>
            </w:tcBorders>
            <w:shd w:val="clear" w:color="000000" w:fill="FFFFFF"/>
            <w:vAlign w:val="center"/>
            <w:hideMark/>
          </w:tcPr>
          <w:p w14:paraId="5AD6B1B6" w14:textId="77777777" w:rsidR="0021298F" w:rsidRPr="00FD2040" w:rsidRDefault="0021298F" w:rsidP="00760009">
            <w:pPr>
              <w:rPr>
                <w:rFonts w:ascii="Arial" w:eastAsia="Times New Roman" w:hAnsi="Arial" w:cs="Arial"/>
                <w:color w:val="000000"/>
                <w:lang w:eastAsia="en-GB"/>
              </w:rPr>
            </w:pPr>
            <w:r w:rsidRPr="00FD2040">
              <w:rPr>
                <w:rFonts w:ascii="Arial" w:eastAsia="Times New Roman" w:hAnsi="Arial" w:cs="Arial"/>
                <w:color w:val="000000"/>
                <w:lang w:eastAsia="en-GB"/>
              </w:rPr>
              <w:t> </w:t>
            </w:r>
          </w:p>
        </w:tc>
        <w:tc>
          <w:tcPr>
            <w:tcW w:w="705" w:type="dxa"/>
            <w:tcBorders>
              <w:top w:val="nil"/>
              <w:left w:val="nil"/>
              <w:bottom w:val="nil"/>
              <w:right w:val="nil"/>
            </w:tcBorders>
            <w:shd w:val="clear" w:color="000000" w:fill="FFFFFF"/>
            <w:vAlign w:val="center"/>
            <w:hideMark/>
          </w:tcPr>
          <w:p w14:paraId="796C7D70" w14:textId="77777777" w:rsidR="0021298F" w:rsidRPr="00FD2040" w:rsidRDefault="0021298F" w:rsidP="00760009">
            <w:pPr>
              <w:rPr>
                <w:rFonts w:ascii="Calibri" w:eastAsia="Times New Roman" w:hAnsi="Calibri" w:cs="Calibri"/>
                <w:color w:val="000000"/>
                <w:lang w:eastAsia="en-GB"/>
              </w:rPr>
            </w:pPr>
            <w:r w:rsidRPr="00FD2040">
              <w:rPr>
                <w:rFonts w:ascii="Calibri" w:eastAsia="Times New Roman" w:hAnsi="Calibri" w:cs="Calibri"/>
                <w:color w:val="000000"/>
                <w:lang w:eastAsia="en-GB"/>
              </w:rPr>
              <w:t> </w:t>
            </w:r>
          </w:p>
        </w:tc>
        <w:tc>
          <w:tcPr>
            <w:tcW w:w="2194" w:type="dxa"/>
            <w:tcBorders>
              <w:top w:val="nil"/>
              <w:left w:val="nil"/>
              <w:bottom w:val="nil"/>
              <w:right w:val="nil"/>
            </w:tcBorders>
            <w:shd w:val="clear" w:color="000000" w:fill="EDFFB7"/>
            <w:vAlign w:val="center"/>
            <w:hideMark/>
          </w:tcPr>
          <w:p w14:paraId="52152839" w14:textId="77777777" w:rsidR="0021298F" w:rsidRPr="00FD2040" w:rsidRDefault="0021298F" w:rsidP="00760009">
            <w:pPr>
              <w:jc w:val="right"/>
              <w:rPr>
                <w:rFonts w:ascii="Arial" w:eastAsia="Times New Roman" w:hAnsi="Arial" w:cs="Arial"/>
                <w:color w:val="000000"/>
                <w:lang w:eastAsia="en-GB"/>
              </w:rPr>
            </w:pPr>
            <w:r w:rsidRPr="00FD2040">
              <w:rPr>
                <w:rFonts w:ascii="Arial" w:eastAsia="Times New Roman" w:hAnsi="Arial" w:cs="Arial"/>
                <w:color w:val="000000"/>
                <w:lang w:eastAsia="en-GB"/>
              </w:rPr>
              <w:t> </w:t>
            </w:r>
          </w:p>
        </w:tc>
        <w:tc>
          <w:tcPr>
            <w:tcW w:w="2239" w:type="dxa"/>
            <w:tcBorders>
              <w:top w:val="nil"/>
              <w:left w:val="nil"/>
              <w:bottom w:val="nil"/>
              <w:right w:val="nil"/>
            </w:tcBorders>
            <w:shd w:val="clear" w:color="auto" w:fill="auto"/>
            <w:vAlign w:val="center"/>
            <w:hideMark/>
          </w:tcPr>
          <w:p w14:paraId="10B4FA56" w14:textId="77777777" w:rsidR="0021298F" w:rsidRPr="00FD2040" w:rsidRDefault="0021298F" w:rsidP="00760009">
            <w:pPr>
              <w:jc w:val="right"/>
              <w:rPr>
                <w:rFonts w:ascii="Arial" w:eastAsia="Times New Roman" w:hAnsi="Arial" w:cs="Arial"/>
                <w:color w:val="000000"/>
                <w:lang w:eastAsia="en-GB"/>
              </w:rPr>
            </w:pPr>
          </w:p>
        </w:tc>
      </w:tr>
      <w:tr w:rsidR="0021298F" w:rsidRPr="00FD2040" w14:paraId="3B0DCA8D" w14:textId="77777777" w:rsidTr="00760009">
        <w:trPr>
          <w:trHeight w:val="300"/>
        </w:trPr>
        <w:tc>
          <w:tcPr>
            <w:tcW w:w="4756" w:type="dxa"/>
            <w:tcBorders>
              <w:top w:val="nil"/>
              <w:left w:val="nil"/>
              <w:bottom w:val="nil"/>
              <w:right w:val="nil"/>
            </w:tcBorders>
            <w:shd w:val="clear" w:color="000000" w:fill="FFFFFF"/>
            <w:vAlign w:val="center"/>
            <w:hideMark/>
          </w:tcPr>
          <w:p w14:paraId="0195BEAF" w14:textId="77777777" w:rsidR="0021298F" w:rsidRPr="00FD2040" w:rsidRDefault="0021298F" w:rsidP="00760009">
            <w:pPr>
              <w:rPr>
                <w:rFonts w:ascii="Arial" w:eastAsia="Times New Roman" w:hAnsi="Arial" w:cs="Arial"/>
                <w:b/>
                <w:bCs/>
                <w:color w:val="000000"/>
                <w:lang w:eastAsia="en-GB"/>
              </w:rPr>
            </w:pPr>
            <w:r w:rsidRPr="00FD2040">
              <w:rPr>
                <w:rFonts w:ascii="Arial" w:eastAsia="Times New Roman" w:hAnsi="Arial" w:cs="Arial"/>
                <w:b/>
                <w:bCs/>
                <w:color w:val="000000"/>
                <w:lang w:eastAsia="en-GB"/>
              </w:rPr>
              <w:t>Cash flows from investing activities</w:t>
            </w:r>
          </w:p>
        </w:tc>
        <w:tc>
          <w:tcPr>
            <w:tcW w:w="705" w:type="dxa"/>
            <w:tcBorders>
              <w:top w:val="nil"/>
              <w:left w:val="nil"/>
              <w:bottom w:val="nil"/>
              <w:right w:val="nil"/>
            </w:tcBorders>
            <w:shd w:val="clear" w:color="000000" w:fill="FFFFFF"/>
            <w:vAlign w:val="center"/>
            <w:hideMark/>
          </w:tcPr>
          <w:p w14:paraId="68C0DFA4" w14:textId="77777777" w:rsidR="0021298F" w:rsidRPr="00FD2040" w:rsidRDefault="0021298F" w:rsidP="00760009">
            <w:pPr>
              <w:rPr>
                <w:rFonts w:ascii="Calibri" w:eastAsia="Times New Roman" w:hAnsi="Calibri" w:cs="Calibri"/>
                <w:color w:val="000000"/>
                <w:lang w:eastAsia="en-GB"/>
              </w:rPr>
            </w:pPr>
            <w:r w:rsidRPr="00FD2040">
              <w:rPr>
                <w:rFonts w:ascii="Calibri" w:eastAsia="Times New Roman" w:hAnsi="Calibri" w:cs="Calibri"/>
                <w:color w:val="000000"/>
                <w:lang w:eastAsia="en-GB"/>
              </w:rPr>
              <w:t> </w:t>
            </w:r>
          </w:p>
        </w:tc>
        <w:tc>
          <w:tcPr>
            <w:tcW w:w="2194" w:type="dxa"/>
            <w:tcBorders>
              <w:top w:val="nil"/>
              <w:left w:val="nil"/>
              <w:bottom w:val="nil"/>
              <w:right w:val="nil"/>
            </w:tcBorders>
            <w:shd w:val="clear" w:color="000000" w:fill="EDFFB7"/>
            <w:vAlign w:val="center"/>
            <w:hideMark/>
          </w:tcPr>
          <w:p w14:paraId="4A508CE4" w14:textId="77777777" w:rsidR="0021298F" w:rsidRPr="00FD2040" w:rsidRDefault="0021298F" w:rsidP="00760009">
            <w:pPr>
              <w:jc w:val="right"/>
              <w:rPr>
                <w:rFonts w:ascii="Arial" w:eastAsia="Times New Roman" w:hAnsi="Arial" w:cs="Arial"/>
                <w:color w:val="000000"/>
                <w:lang w:eastAsia="en-GB"/>
              </w:rPr>
            </w:pPr>
            <w:r w:rsidRPr="00FD2040">
              <w:rPr>
                <w:rFonts w:ascii="Arial" w:eastAsia="Times New Roman" w:hAnsi="Arial" w:cs="Arial"/>
                <w:color w:val="000000"/>
                <w:lang w:eastAsia="en-GB"/>
              </w:rPr>
              <w:t> </w:t>
            </w:r>
          </w:p>
        </w:tc>
        <w:tc>
          <w:tcPr>
            <w:tcW w:w="2239" w:type="dxa"/>
            <w:tcBorders>
              <w:top w:val="nil"/>
              <w:left w:val="nil"/>
              <w:bottom w:val="nil"/>
              <w:right w:val="nil"/>
            </w:tcBorders>
            <w:shd w:val="clear" w:color="auto" w:fill="auto"/>
            <w:noWrap/>
            <w:vAlign w:val="center"/>
            <w:hideMark/>
          </w:tcPr>
          <w:p w14:paraId="0F39E4DE" w14:textId="77777777" w:rsidR="0021298F" w:rsidRPr="00FD2040" w:rsidRDefault="0021298F" w:rsidP="00760009">
            <w:pPr>
              <w:jc w:val="right"/>
              <w:rPr>
                <w:rFonts w:ascii="Arial" w:eastAsia="Times New Roman" w:hAnsi="Arial" w:cs="Arial"/>
                <w:color w:val="000000"/>
                <w:lang w:eastAsia="en-GB"/>
              </w:rPr>
            </w:pPr>
          </w:p>
        </w:tc>
      </w:tr>
      <w:tr w:rsidR="0021298F" w:rsidRPr="00FD2040" w14:paraId="1865F199" w14:textId="77777777" w:rsidTr="00760009">
        <w:trPr>
          <w:trHeight w:val="300"/>
        </w:trPr>
        <w:tc>
          <w:tcPr>
            <w:tcW w:w="4756" w:type="dxa"/>
            <w:tcBorders>
              <w:top w:val="nil"/>
              <w:left w:val="nil"/>
              <w:bottom w:val="nil"/>
              <w:right w:val="nil"/>
            </w:tcBorders>
            <w:shd w:val="clear" w:color="000000" w:fill="FFFFFF"/>
            <w:vAlign w:val="center"/>
            <w:hideMark/>
          </w:tcPr>
          <w:p w14:paraId="1B205C04" w14:textId="77777777" w:rsidR="0021298F" w:rsidRPr="00FD2040" w:rsidRDefault="0021298F" w:rsidP="00760009">
            <w:pPr>
              <w:rPr>
                <w:rFonts w:ascii="Arial" w:eastAsia="Times New Roman" w:hAnsi="Arial" w:cs="Arial"/>
                <w:color w:val="000000"/>
                <w:lang w:eastAsia="en-GB"/>
              </w:rPr>
            </w:pPr>
            <w:r w:rsidRPr="00FD2040">
              <w:rPr>
                <w:rFonts w:ascii="Arial" w:eastAsia="Times New Roman" w:hAnsi="Arial" w:cs="Arial"/>
                <w:color w:val="000000"/>
                <w:lang w:eastAsia="en-GB"/>
              </w:rPr>
              <w:t>Loans advanced to Group companies</w:t>
            </w:r>
          </w:p>
        </w:tc>
        <w:tc>
          <w:tcPr>
            <w:tcW w:w="705" w:type="dxa"/>
            <w:tcBorders>
              <w:top w:val="nil"/>
              <w:left w:val="nil"/>
              <w:bottom w:val="nil"/>
              <w:right w:val="nil"/>
            </w:tcBorders>
            <w:shd w:val="clear" w:color="000000" w:fill="FFFFFF"/>
            <w:vAlign w:val="center"/>
            <w:hideMark/>
          </w:tcPr>
          <w:p w14:paraId="4376C24C" w14:textId="77777777" w:rsidR="0021298F" w:rsidRPr="00FD2040" w:rsidRDefault="0021298F" w:rsidP="00760009">
            <w:pPr>
              <w:jc w:val="center"/>
              <w:rPr>
                <w:rFonts w:ascii="Arial" w:eastAsia="Times New Roman" w:hAnsi="Arial" w:cs="Arial"/>
                <w:b/>
                <w:bCs/>
                <w:color w:val="000000"/>
                <w:sz w:val="20"/>
                <w:szCs w:val="20"/>
                <w:lang w:eastAsia="en-GB"/>
              </w:rPr>
            </w:pPr>
            <w:r w:rsidRPr="00FD2040">
              <w:rPr>
                <w:rFonts w:ascii="Arial" w:eastAsia="Times New Roman" w:hAnsi="Arial" w:cs="Arial"/>
                <w:b/>
                <w:bCs/>
                <w:color w:val="000000"/>
                <w:sz w:val="20"/>
                <w:szCs w:val="20"/>
                <w:lang w:eastAsia="en-GB"/>
              </w:rPr>
              <w:t>9</w:t>
            </w:r>
          </w:p>
        </w:tc>
        <w:tc>
          <w:tcPr>
            <w:tcW w:w="2194" w:type="dxa"/>
            <w:tcBorders>
              <w:top w:val="nil"/>
              <w:left w:val="nil"/>
              <w:bottom w:val="nil"/>
              <w:right w:val="nil"/>
            </w:tcBorders>
            <w:shd w:val="clear" w:color="000000" w:fill="EDFFB7"/>
            <w:vAlign w:val="center"/>
            <w:hideMark/>
          </w:tcPr>
          <w:p w14:paraId="3E08A3F8" w14:textId="77777777" w:rsidR="0021298F" w:rsidRPr="00FD2040" w:rsidRDefault="0021298F" w:rsidP="00760009">
            <w:pPr>
              <w:jc w:val="right"/>
              <w:rPr>
                <w:rFonts w:ascii="Arial" w:eastAsia="Times New Roman" w:hAnsi="Arial" w:cs="Arial"/>
                <w:color w:val="000000"/>
                <w:lang w:eastAsia="en-GB"/>
              </w:rPr>
            </w:pPr>
            <w:r w:rsidRPr="00FD2040">
              <w:rPr>
                <w:rFonts w:ascii="Arial" w:eastAsia="Times New Roman" w:hAnsi="Arial" w:cs="Arial"/>
                <w:color w:val="000000"/>
                <w:lang w:eastAsia="en-GB"/>
              </w:rPr>
              <w:t xml:space="preserve"> (</w:t>
            </w:r>
            <w:r>
              <w:rPr>
                <w:rFonts w:ascii="Arial" w:eastAsia="Times New Roman" w:hAnsi="Arial" w:cs="Arial"/>
                <w:color w:val="000000"/>
                <w:lang w:eastAsia="en-GB"/>
              </w:rPr>
              <w:t>6,900</w:t>
            </w:r>
            <w:r w:rsidRPr="00FD2040">
              <w:rPr>
                <w:rFonts w:ascii="Arial" w:eastAsia="Times New Roman" w:hAnsi="Arial" w:cs="Arial"/>
                <w:color w:val="000000"/>
                <w:lang w:eastAsia="en-GB"/>
              </w:rPr>
              <w:t>)</w:t>
            </w:r>
          </w:p>
        </w:tc>
        <w:tc>
          <w:tcPr>
            <w:tcW w:w="2239" w:type="dxa"/>
            <w:tcBorders>
              <w:top w:val="nil"/>
              <w:left w:val="nil"/>
              <w:bottom w:val="nil"/>
              <w:right w:val="nil"/>
            </w:tcBorders>
            <w:shd w:val="clear" w:color="auto" w:fill="auto"/>
            <w:vAlign w:val="center"/>
            <w:hideMark/>
          </w:tcPr>
          <w:p w14:paraId="6C872A12" w14:textId="77777777" w:rsidR="0021298F" w:rsidRPr="00FD2040" w:rsidRDefault="0021298F" w:rsidP="00760009">
            <w:pPr>
              <w:jc w:val="right"/>
              <w:rPr>
                <w:rFonts w:ascii="Arial" w:eastAsia="Times New Roman" w:hAnsi="Arial" w:cs="Arial"/>
                <w:color w:val="000000"/>
                <w:lang w:eastAsia="en-GB"/>
              </w:rPr>
            </w:pPr>
            <w:r w:rsidRPr="00FD2040">
              <w:rPr>
                <w:rFonts w:ascii="Arial" w:eastAsia="Times New Roman" w:hAnsi="Arial" w:cs="Arial"/>
                <w:color w:val="000000"/>
                <w:lang w:eastAsia="en-GB"/>
              </w:rPr>
              <w:t xml:space="preserve"> (268,447)</w:t>
            </w:r>
          </w:p>
        </w:tc>
      </w:tr>
      <w:tr w:rsidR="0021298F" w:rsidRPr="00FD2040" w14:paraId="107BCE26" w14:textId="77777777" w:rsidTr="00760009">
        <w:trPr>
          <w:trHeight w:val="570"/>
        </w:trPr>
        <w:tc>
          <w:tcPr>
            <w:tcW w:w="4756" w:type="dxa"/>
            <w:tcBorders>
              <w:top w:val="nil"/>
              <w:left w:val="nil"/>
              <w:right w:val="nil"/>
            </w:tcBorders>
            <w:shd w:val="clear" w:color="000000" w:fill="FFFFFF"/>
            <w:vAlign w:val="center"/>
            <w:hideMark/>
          </w:tcPr>
          <w:p w14:paraId="19F23434" w14:textId="77777777" w:rsidR="0021298F" w:rsidRPr="00FD2040" w:rsidRDefault="0021298F" w:rsidP="00760009">
            <w:pPr>
              <w:rPr>
                <w:rFonts w:ascii="Arial" w:eastAsia="Times New Roman" w:hAnsi="Arial" w:cs="Arial"/>
                <w:color w:val="000000"/>
                <w:lang w:eastAsia="en-GB"/>
              </w:rPr>
            </w:pPr>
            <w:r w:rsidRPr="00FD2040">
              <w:rPr>
                <w:rFonts w:ascii="Arial" w:eastAsia="Times New Roman" w:hAnsi="Arial" w:cs="Arial"/>
                <w:color w:val="000000"/>
                <w:lang w:eastAsia="en-GB"/>
              </w:rPr>
              <w:t>Repayment of loans advanced to Group companies</w:t>
            </w:r>
          </w:p>
        </w:tc>
        <w:tc>
          <w:tcPr>
            <w:tcW w:w="705" w:type="dxa"/>
            <w:tcBorders>
              <w:top w:val="nil"/>
              <w:left w:val="nil"/>
              <w:right w:val="nil"/>
            </w:tcBorders>
            <w:shd w:val="clear" w:color="000000" w:fill="FFFFFF"/>
            <w:vAlign w:val="center"/>
            <w:hideMark/>
          </w:tcPr>
          <w:p w14:paraId="7BC97C83" w14:textId="77777777" w:rsidR="0021298F" w:rsidRPr="00FD2040" w:rsidRDefault="0021298F" w:rsidP="00760009">
            <w:pPr>
              <w:jc w:val="center"/>
              <w:rPr>
                <w:rFonts w:ascii="Arial" w:eastAsia="Times New Roman" w:hAnsi="Arial" w:cs="Arial"/>
                <w:b/>
                <w:bCs/>
                <w:color w:val="000000"/>
                <w:sz w:val="20"/>
                <w:szCs w:val="20"/>
                <w:lang w:eastAsia="en-GB"/>
              </w:rPr>
            </w:pPr>
            <w:r w:rsidRPr="00FD2040">
              <w:rPr>
                <w:rFonts w:ascii="Arial" w:eastAsia="Times New Roman" w:hAnsi="Arial" w:cs="Arial"/>
                <w:b/>
                <w:bCs/>
                <w:color w:val="000000"/>
                <w:sz w:val="20"/>
                <w:szCs w:val="20"/>
                <w:lang w:eastAsia="en-GB"/>
              </w:rPr>
              <w:t>9</w:t>
            </w:r>
          </w:p>
        </w:tc>
        <w:tc>
          <w:tcPr>
            <w:tcW w:w="2194" w:type="dxa"/>
            <w:tcBorders>
              <w:top w:val="nil"/>
              <w:left w:val="nil"/>
              <w:right w:val="nil"/>
            </w:tcBorders>
            <w:shd w:val="clear" w:color="000000" w:fill="EDFFB7"/>
            <w:vAlign w:val="center"/>
            <w:hideMark/>
          </w:tcPr>
          <w:p w14:paraId="7BBAB4AF" w14:textId="77777777" w:rsidR="0021298F" w:rsidRPr="00FD2040" w:rsidRDefault="0021298F" w:rsidP="00760009">
            <w:pPr>
              <w:jc w:val="right"/>
              <w:rPr>
                <w:rFonts w:ascii="Arial" w:eastAsia="Times New Roman" w:hAnsi="Arial" w:cs="Arial"/>
                <w:color w:val="000000"/>
                <w:lang w:eastAsia="en-GB"/>
              </w:rPr>
            </w:pPr>
            <w:r w:rsidRPr="00FD2040">
              <w:rPr>
                <w:rFonts w:ascii="Arial" w:eastAsia="Times New Roman" w:hAnsi="Arial" w:cs="Arial"/>
                <w:color w:val="000000"/>
                <w:lang w:eastAsia="en-GB"/>
              </w:rPr>
              <w:t xml:space="preserve">38,520 </w:t>
            </w:r>
          </w:p>
        </w:tc>
        <w:tc>
          <w:tcPr>
            <w:tcW w:w="2239" w:type="dxa"/>
            <w:tcBorders>
              <w:top w:val="nil"/>
              <w:left w:val="nil"/>
              <w:right w:val="nil"/>
            </w:tcBorders>
            <w:shd w:val="clear" w:color="auto" w:fill="auto"/>
            <w:vAlign w:val="center"/>
            <w:hideMark/>
          </w:tcPr>
          <w:p w14:paraId="44B28A98" w14:textId="77777777" w:rsidR="0021298F" w:rsidRPr="00FD2040" w:rsidRDefault="0021298F" w:rsidP="00760009">
            <w:pPr>
              <w:jc w:val="right"/>
              <w:rPr>
                <w:rFonts w:ascii="Arial" w:eastAsia="Times New Roman" w:hAnsi="Arial" w:cs="Arial"/>
                <w:color w:val="000000"/>
                <w:lang w:eastAsia="en-GB"/>
              </w:rPr>
            </w:pPr>
            <w:r w:rsidRPr="00FD2040">
              <w:rPr>
                <w:rFonts w:ascii="Arial" w:eastAsia="Times New Roman" w:hAnsi="Arial" w:cs="Arial"/>
                <w:color w:val="000000"/>
                <w:lang w:eastAsia="en-GB"/>
              </w:rPr>
              <w:t xml:space="preserve">29,450 </w:t>
            </w:r>
          </w:p>
        </w:tc>
      </w:tr>
      <w:tr w:rsidR="0021298F" w:rsidRPr="00FD2040" w14:paraId="2FC5A5F0" w14:textId="77777777" w:rsidTr="00760009">
        <w:trPr>
          <w:trHeight w:val="300"/>
        </w:trPr>
        <w:tc>
          <w:tcPr>
            <w:tcW w:w="4756" w:type="dxa"/>
            <w:tcBorders>
              <w:top w:val="nil"/>
              <w:left w:val="nil"/>
              <w:right w:val="nil"/>
            </w:tcBorders>
            <w:shd w:val="clear" w:color="000000" w:fill="FFFFFF"/>
            <w:vAlign w:val="center"/>
            <w:hideMark/>
          </w:tcPr>
          <w:p w14:paraId="78A054FA" w14:textId="77777777" w:rsidR="0021298F" w:rsidRPr="00FD2040" w:rsidRDefault="0021298F" w:rsidP="00760009">
            <w:pPr>
              <w:rPr>
                <w:rFonts w:ascii="Arial" w:eastAsia="Times New Roman" w:hAnsi="Arial" w:cs="Arial"/>
                <w:color w:val="000000"/>
                <w:lang w:eastAsia="en-GB"/>
              </w:rPr>
            </w:pPr>
            <w:r w:rsidRPr="00FD2040">
              <w:rPr>
                <w:rFonts w:ascii="Arial" w:eastAsia="Times New Roman" w:hAnsi="Arial" w:cs="Arial"/>
                <w:color w:val="000000"/>
                <w:lang w:eastAsia="en-GB"/>
              </w:rPr>
              <w:t>Repayment of shareholder loan investments</w:t>
            </w:r>
          </w:p>
        </w:tc>
        <w:tc>
          <w:tcPr>
            <w:tcW w:w="705" w:type="dxa"/>
            <w:tcBorders>
              <w:top w:val="nil"/>
              <w:left w:val="nil"/>
              <w:right w:val="nil"/>
            </w:tcBorders>
            <w:shd w:val="clear" w:color="000000" w:fill="FFFFFF"/>
            <w:vAlign w:val="center"/>
            <w:hideMark/>
          </w:tcPr>
          <w:p w14:paraId="39E8FE78" w14:textId="77777777" w:rsidR="0021298F" w:rsidRPr="00FD2040" w:rsidRDefault="0021298F" w:rsidP="00760009">
            <w:pPr>
              <w:jc w:val="center"/>
              <w:rPr>
                <w:rFonts w:ascii="Arial" w:eastAsia="Times New Roman" w:hAnsi="Arial" w:cs="Arial"/>
                <w:b/>
                <w:bCs/>
                <w:color w:val="000000"/>
                <w:sz w:val="20"/>
                <w:szCs w:val="20"/>
                <w:lang w:eastAsia="en-GB"/>
              </w:rPr>
            </w:pPr>
            <w:r w:rsidRPr="00FD2040">
              <w:rPr>
                <w:rFonts w:ascii="Arial" w:eastAsia="Times New Roman" w:hAnsi="Arial" w:cs="Arial"/>
                <w:b/>
                <w:bCs/>
                <w:color w:val="000000"/>
                <w:sz w:val="20"/>
                <w:szCs w:val="20"/>
                <w:lang w:eastAsia="en-GB"/>
              </w:rPr>
              <w:t>9</w:t>
            </w:r>
          </w:p>
        </w:tc>
        <w:tc>
          <w:tcPr>
            <w:tcW w:w="2194" w:type="dxa"/>
            <w:tcBorders>
              <w:top w:val="nil"/>
              <w:left w:val="nil"/>
              <w:right w:val="nil"/>
            </w:tcBorders>
            <w:shd w:val="clear" w:color="000000" w:fill="EDFFB7"/>
            <w:vAlign w:val="center"/>
            <w:hideMark/>
          </w:tcPr>
          <w:p w14:paraId="3A7720FA" w14:textId="77777777" w:rsidR="0021298F" w:rsidRPr="00FD2040" w:rsidRDefault="0021298F" w:rsidP="00760009">
            <w:pPr>
              <w:jc w:val="right"/>
              <w:rPr>
                <w:rFonts w:ascii="Arial" w:eastAsia="Times New Roman" w:hAnsi="Arial" w:cs="Arial"/>
                <w:color w:val="000000"/>
                <w:lang w:eastAsia="en-GB"/>
              </w:rPr>
            </w:pPr>
            <w:r w:rsidRPr="00FD2040">
              <w:rPr>
                <w:rFonts w:ascii="Arial" w:eastAsia="Times New Roman" w:hAnsi="Arial" w:cs="Arial"/>
                <w:color w:val="000000"/>
                <w:lang w:eastAsia="en-GB"/>
              </w:rPr>
              <w:t xml:space="preserve">2,658 </w:t>
            </w:r>
          </w:p>
        </w:tc>
        <w:tc>
          <w:tcPr>
            <w:tcW w:w="2239" w:type="dxa"/>
            <w:tcBorders>
              <w:top w:val="nil"/>
              <w:left w:val="nil"/>
              <w:right w:val="nil"/>
            </w:tcBorders>
            <w:shd w:val="clear" w:color="auto" w:fill="auto"/>
            <w:vAlign w:val="center"/>
            <w:hideMark/>
          </w:tcPr>
          <w:p w14:paraId="0738F96E" w14:textId="77777777" w:rsidR="0021298F" w:rsidRPr="00FD2040" w:rsidRDefault="0021298F" w:rsidP="00760009">
            <w:pPr>
              <w:jc w:val="right"/>
              <w:rPr>
                <w:rFonts w:ascii="Arial" w:eastAsia="Times New Roman" w:hAnsi="Arial" w:cs="Arial"/>
                <w:color w:val="000000"/>
                <w:lang w:eastAsia="en-GB"/>
              </w:rPr>
            </w:pPr>
            <w:r w:rsidRPr="00FD2040">
              <w:rPr>
                <w:rFonts w:ascii="Arial" w:eastAsia="Times New Roman" w:hAnsi="Arial" w:cs="Arial"/>
                <w:color w:val="000000"/>
                <w:lang w:eastAsia="en-GB"/>
              </w:rPr>
              <w:t xml:space="preserve">3,294 </w:t>
            </w:r>
          </w:p>
        </w:tc>
      </w:tr>
      <w:tr w:rsidR="0021298F" w:rsidRPr="00FD2040" w14:paraId="1834AAD3" w14:textId="77777777" w:rsidTr="00760009">
        <w:trPr>
          <w:trHeight w:val="300"/>
        </w:trPr>
        <w:tc>
          <w:tcPr>
            <w:tcW w:w="4756" w:type="dxa"/>
            <w:tcBorders>
              <w:left w:val="nil"/>
              <w:bottom w:val="single" w:sz="4" w:space="0" w:color="auto"/>
              <w:right w:val="nil"/>
            </w:tcBorders>
            <w:shd w:val="clear" w:color="000000" w:fill="FFFFFF"/>
            <w:vAlign w:val="center"/>
          </w:tcPr>
          <w:p w14:paraId="4C7BABC6" w14:textId="77777777" w:rsidR="0021298F" w:rsidRPr="00FD2040" w:rsidRDefault="0021298F" w:rsidP="00760009">
            <w:pPr>
              <w:rPr>
                <w:rFonts w:ascii="Arial" w:eastAsia="Times New Roman" w:hAnsi="Arial" w:cs="Arial"/>
                <w:color w:val="000000"/>
                <w:lang w:eastAsia="en-GB"/>
              </w:rPr>
            </w:pPr>
            <w:r>
              <w:rPr>
                <w:rFonts w:ascii="Arial" w:eastAsia="Times New Roman" w:hAnsi="Arial" w:cs="Arial"/>
                <w:color w:val="000000"/>
                <w:lang w:eastAsia="en-GB"/>
              </w:rPr>
              <w:t>Capital contribution to Group companies</w:t>
            </w:r>
          </w:p>
        </w:tc>
        <w:tc>
          <w:tcPr>
            <w:tcW w:w="705" w:type="dxa"/>
            <w:tcBorders>
              <w:left w:val="nil"/>
              <w:bottom w:val="single" w:sz="4" w:space="0" w:color="auto"/>
              <w:right w:val="nil"/>
            </w:tcBorders>
            <w:shd w:val="clear" w:color="000000" w:fill="FFFFFF"/>
            <w:vAlign w:val="center"/>
          </w:tcPr>
          <w:p w14:paraId="3F799EA0" w14:textId="77777777" w:rsidR="0021298F" w:rsidRPr="00FD2040" w:rsidRDefault="0021298F" w:rsidP="00760009">
            <w:pPr>
              <w:jc w:val="center"/>
              <w:rPr>
                <w:rFonts w:ascii="Arial" w:eastAsia="Times New Roman" w:hAnsi="Arial" w:cs="Arial"/>
                <w:b/>
                <w:bCs/>
                <w:color w:val="000000"/>
                <w:sz w:val="20"/>
                <w:szCs w:val="20"/>
                <w:lang w:eastAsia="en-GB"/>
              </w:rPr>
            </w:pPr>
            <w:r>
              <w:rPr>
                <w:rFonts w:ascii="Arial" w:eastAsia="Times New Roman" w:hAnsi="Arial" w:cs="Arial"/>
                <w:b/>
                <w:bCs/>
                <w:color w:val="000000"/>
                <w:sz w:val="20"/>
                <w:szCs w:val="20"/>
                <w:lang w:eastAsia="en-GB"/>
              </w:rPr>
              <w:t>9</w:t>
            </w:r>
          </w:p>
        </w:tc>
        <w:tc>
          <w:tcPr>
            <w:tcW w:w="2194" w:type="dxa"/>
            <w:tcBorders>
              <w:left w:val="nil"/>
              <w:bottom w:val="single" w:sz="4" w:space="0" w:color="auto"/>
              <w:right w:val="nil"/>
            </w:tcBorders>
            <w:shd w:val="clear" w:color="000000" w:fill="EDFFB7"/>
            <w:vAlign w:val="center"/>
          </w:tcPr>
          <w:p w14:paraId="37C735D8" w14:textId="77777777" w:rsidR="0021298F" w:rsidRPr="00FD2040" w:rsidRDefault="0021298F" w:rsidP="00760009">
            <w:pPr>
              <w:jc w:val="right"/>
              <w:rPr>
                <w:rFonts w:ascii="Arial" w:eastAsia="Times New Roman" w:hAnsi="Arial" w:cs="Arial"/>
                <w:color w:val="000000"/>
                <w:lang w:eastAsia="en-GB"/>
              </w:rPr>
            </w:pPr>
            <w:r>
              <w:rPr>
                <w:rFonts w:ascii="Arial" w:eastAsia="Times New Roman" w:hAnsi="Arial" w:cs="Arial"/>
                <w:color w:val="000000"/>
                <w:lang w:eastAsia="en-GB"/>
              </w:rPr>
              <w:t>(113,075)</w:t>
            </w:r>
          </w:p>
        </w:tc>
        <w:tc>
          <w:tcPr>
            <w:tcW w:w="2239" w:type="dxa"/>
            <w:tcBorders>
              <w:left w:val="nil"/>
              <w:bottom w:val="single" w:sz="4" w:space="0" w:color="auto"/>
              <w:right w:val="nil"/>
            </w:tcBorders>
            <w:shd w:val="clear" w:color="auto" w:fill="auto"/>
            <w:vAlign w:val="center"/>
          </w:tcPr>
          <w:p w14:paraId="70697183" w14:textId="77777777" w:rsidR="0021298F" w:rsidRPr="00FD2040" w:rsidRDefault="0021298F" w:rsidP="00760009">
            <w:pPr>
              <w:jc w:val="right"/>
              <w:rPr>
                <w:rFonts w:ascii="Arial" w:eastAsia="Times New Roman" w:hAnsi="Arial" w:cs="Arial"/>
                <w:color w:val="000000"/>
                <w:lang w:eastAsia="en-GB"/>
              </w:rPr>
            </w:pPr>
            <w:r>
              <w:rPr>
                <w:rFonts w:ascii="Arial" w:eastAsia="Times New Roman" w:hAnsi="Arial" w:cs="Arial"/>
                <w:color w:val="000000"/>
                <w:lang w:eastAsia="en-GB"/>
              </w:rPr>
              <w:t>-</w:t>
            </w:r>
          </w:p>
        </w:tc>
      </w:tr>
      <w:tr w:rsidR="0021298F" w:rsidRPr="00FD2040" w14:paraId="5F8EAFA2" w14:textId="77777777" w:rsidTr="00760009">
        <w:trPr>
          <w:trHeight w:val="300"/>
        </w:trPr>
        <w:tc>
          <w:tcPr>
            <w:tcW w:w="4756" w:type="dxa"/>
            <w:tcBorders>
              <w:top w:val="nil"/>
              <w:left w:val="nil"/>
              <w:bottom w:val="nil"/>
              <w:right w:val="nil"/>
            </w:tcBorders>
            <w:shd w:val="clear" w:color="000000" w:fill="FFFFFF"/>
            <w:vAlign w:val="center"/>
            <w:hideMark/>
          </w:tcPr>
          <w:p w14:paraId="378A1A6C" w14:textId="77777777" w:rsidR="0021298F" w:rsidRPr="00FD2040" w:rsidRDefault="0021298F" w:rsidP="00760009">
            <w:pPr>
              <w:rPr>
                <w:rFonts w:ascii="Arial" w:eastAsia="Times New Roman" w:hAnsi="Arial" w:cs="Arial"/>
                <w:b/>
                <w:bCs/>
                <w:color w:val="000000"/>
                <w:lang w:eastAsia="en-GB"/>
              </w:rPr>
            </w:pPr>
            <w:r w:rsidRPr="00FD2040">
              <w:rPr>
                <w:rFonts w:ascii="Arial" w:eastAsia="Times New Roman" w:hAnsi="Arial" w:cs="Arial"/>
                <w:b/>
                <w:bCs/>
                <w:color w:val="000000"/>
                <w:lang w:eastAsia="en-GB"/>
              </w:rPr>
              <w:t>Net cash flows from investing activities</w:t>
            </w:r>
          </w:p>
        </w:tc>
        <w:tc>
          <w:tcPr>
            <w:tcW w:w="705" w:type="dxa"/>
            <w:tcBorders>
              <w:top w:val="nil"/>
              <w:left w:val="nil"/>
              <w:bottom w:val="nil"/>
              <w:right w:val="nil"/>
            </w:tcBorders>
            <w:shd w:val="clear" w:color="000000" w:fill="FFFFFF"/>
            <w:vAlign w:val="center"/>
            <w:hideMark/>
          </w:tcPr>
          <w:p w14:paraId="48247CCC" w14:textId="77777777" w:rsidR="0021298F" w:rsidRPr="00FD2040" w:rsidRDefault="0021298F" w:rsidP="00760009">
            <w:pPr>
              <w:jc w:val="center"/>
              <w:rPr>
                <w:rFonts w:ascii="Arial" w:eastAsia="Times New Roman" w:hAnsi="Arial" w:cs="Arial"/>
                <w:b/>
                <w:bCs/>
                <w:color w:val="000000"/>
                <w:sz w:val="20"/>
                <w:szCs w:val="20"/>
                <w:lang w:eastAsia="en-GB"/>
              </w:rPr>
            </w:pPr>
            <w:r w:rsidRPr="00FD2040">
              <w:rPr>
                <w:rFonts w:ascii="Arial" w:eastAsia="Times New Roman" w:hAnsi="Arial" w:cs="Arial"/>
                <w:b/>
                <w:bCs/>
                <w:color w:val="000000"/>
                <w:sz w:val="20"/>
                <w:szCs w:val="20"/>
                <w:lang w:eastAsia="en-GB"/>
              </w:rPr>
              <w:t> </w:t>
            </w:r>
          </w:p>
        </w:tc>
        <w:tc>
          <w:tcPr>
            <w:tcW w:w="2194" w:type="dxa"/>
            <w:tcBorders>
              <w:top w:val="nil"/>
              <w:left w:val="nil"/>
              <w:bottom w:val="nil"/>
              <w:right w:val="nil"/>
            </w:tcBorders>
            <w:shd w:val="clear" w:color="000000" w:fill="EDFFB7"/>
            <w:vAlign w:val="center"/>
            <w:hideMark/>
          </w:tcPr>
          <w:p w14:paraId="3AD4769A" w14:textId="77777777" w:rsidR="0021298F" w:rsidRPr="00FD2040" w:rsidRDefault="0021298F" w:rsidP="00760009">
            <w:pPr>
              <w:jc w:val="right"/>
              <w:rPr>
                <w:rFonts w:ascii="Arial" w:eastAsia="Times New Roman" w:hAnsi="Arial" w:cs="Arial"/>
                <w:b/>
                <w:bCs/>
                <w:color w:val="000000"/>
                <w:lang w:eastAsia="en-GB"/>
              </w:rPr>
            </w:pPr>
            <w:r w:rsidRPr="00FD2040">
              <w:rPr>
                <w:rFonts w:ascii="Arial" w:eastAsia="Times New Roman" w:hAnsi="Arial" w:cs="Arial"/>
                <w:b/>
                <w:bCs/>
                <w:color w:val="000000"/>
                <w:lang w:eastAsia="en-GB"/>
              </w:rPr>
              <w:t xml:space="preserve"> (78,797)</w:t>
            </w:r>
          </w:p>
        </w:tc>
        <w:tc>
          <w:tcPr>
            <w:tcW w:w="2239" w:type="dxa"/>
            <w:tcBorders>
              <w:top w:val="nil"/>
              <w:left w:val="nil"/>
              <w:bottom w:val="nil"/>
              <w:right w:val="nil"/>
            </w:tcBorders>
            <w:shd w:val="clear" w:color="auto" w:fill="auto"/>
            <w:vAlign w:val="center"/>
            <w:hideMark/>
          </w:tcPr>
          <w:p w14:paraId="03D6B948" w14:textId="77777777" w:rsidR="0021298F" w:rsidRPr="00FD2040" w:rsidRDefault="0021298F" w:rsidP="00760009">
            <w:pPr>
              <w:jc w:val="right"/>
              <w:rPr>
                <w:rFonts w:ascii="Arial" w:eastAsia="Times New Roman" w:hAnsi="Arial" w:cs="Arial"/>
                <w:b/>
                <w:bCs/>
                <w:color w:val="000000"/>
                <w:lang w:eastAsia="en-GB"/>
              </w:rPr>
            </w:pPr>
            <w:r w:rsidRPr="00FD2040">
              <w:rPr>
                <w:rFonts w:ascii="Arial" w:eastAsia="Times New Roman" w:hAnsi="Arial" w:cs="Arial"/>
                <w:b/>
                <w:bCs/>
                <w:color w:val="000000"/>
                <w:lang w:eastAsia="en-GB"/>
              </w:rPr>
              <w:t xml:space="preserve"> (235,703)</w:t>
            </w:r>
          </w:p>
        </w:tc>
      </w:tr>
      <w:tr w:rsidR="0021298F" w:rsidRPr="00FD2040" w14:paraId="4A11228F" w14:textId="77777777" w:rsidTr="00760009">
        <w:trPr>
          <w:trHeight w:val="300"/>
        </w:trPr>
        <w:tc>
          <w:tcPr>
            <w:tcW w:w="4756" w:type="dxa"/>
            <w:tcBorders>
              <w:top w:val="nil"/>
              <w:left w:val="nil"/>
              <w:bottom w:val="nil"/>
              <w:right w:val="nil"/>
            </w:tcBorders>
            <w:shd w:val="clear" w:color="000000" w:fill="FFFFFF"/>
            <w:vAlign w:val="center"/>
            <w:hideMark/>
          </w:tcPr>
          <w:p w14:paraId="7FF4C7B1" w14:textId="77777777" w:rsidR="0021298F" w:rsidRPr="00FD2040" w:rsidRDefault="0021298F" w:rsidP="00760009">
            <w:pPr>
              <w:rPr>
                <w:rFonts w:ascii="Arial" w:eastAsia="Times New Roman" w:hAnsi="Arial" w:cs="Arial"/>
                <w:b/>
                <w:bCs/>
                <w:color w:val="000000"/>
                <w:lang w:eastAsia="en-GB"/>
              </w:rPr>
            </w:pPr>
            <w:r w:rsidRPr="00FD2040">
              <w:rPr>
                <w:rFonts w:ascii="Arial" w:eastAsia="Times New Roman" w:hAnsi="Arial" w:cs="Arial"/>
                <w:b/>
                <w:bCs/>
                <w:color w:val="000000"/>
                <w:lang w:eastAsia="en-GB"/>
              </w:rPr>
              <w:t> </w:t>
            </w:r>
          </w:p>
        </w:tc>
        <w:tc>
          <w:tcPr>
            <w:tcW w:w="705" w:type="dxa"/>
            <w:tcBorders>
              <w:top w:val="nil"/>
              <w:left w:val="nil"/>
              <w:bottom w:val="nil"/>
              <w:right w:val="nil"/>
            </w:tcBorders>
            <w:shd w:val="clear" w:color="000000" w:fill="FFFFFF"/>
            <w:vAlign w:val="center"/>
            <w:hideMark/>
          </w:tcPr>
          <w:p w14:paraId="6C9DDC71" w14:textId="77777777" w:rsidR="0021298F" w:rsidRPr="00FD2040" w:rsidRDefault="0021298F" w:rsidP="00760009">
            <w:pPr>
              <w:jc w:val="center"/>
              <w:rPr>
                <w:rFonts w:ascii="Arial" w:eastAsia="Times New Roman" w:hAnsi="Arial" w:cs="Arial"/>
                <w:b/>
                <w:bCs/>
                <w:color w:val="000000"/>
                <w:sz w:val="20"/>
                <w:szCs w:val="20"/>
                <w:lang w:eastAsia="en-GB"/>
              </w:rPr>
            </w:pPr>
            <w:r w:rsidRPr="00FD2040">
              <w:rPr>
                <w:rFonts w:ascii="Arial" w:eastAsia="Times New Roman" w:hAnsi="Arial" w:cs="Arial"/>
                <w:b/>
                <w:bCs/>
                <w:color w:val="000000"/>
                <w:sz w:val="20"/>
                <w:szCs w:val="20"/>
                <w:lang w:eastAsia="en-GB"/>
              </w:rPr>
              <w:t> </w:t>
            </w:r>
          </w:p>
        </w:tc>
        <w:tc>
          <w:tcPr>
            <w:tcW w:w="2194" w:type="dxa"/>
            <w:tcBorders>
              <w:top w:val="nil"/>
              <w:left w:val="nil"/>
              <w:bottom w:val="nil"/>
              <w:right w:val="nil"/>
            </w:tcBorders>
            <w:shd w:val="clear" w:color="000000" w:fill="EDFFB7"/>
            <w:vAlign w:val="center"/>
            <w:hideMark/>
          </w:tcPr>
          <w:p w14:paraId="7F1EC0BA" w14:textId="77777777" w:rsidR="0021298F" w:rsidRPr="00FD2040" w:rsidRDefault="0021298F" w:rsidP="00760009">
            <w:pPr>
              <w:jc w:val="right"/>
              <w:rPr>
                <w:rFonts w:ascii="Arial" w:eastAsia="Times New Roman" w:hAnsi="Arial" w:cs="Arial"/>
                <w:b/>
                <w:bCs/>
                <w:color w:val="000000"/>
                <w:lang w:eastAsia="en-GB"/>
              </w:rPr>
            </w:pPr>
            <w:r w:rsidRPr="00FD2040">
              <w:rPr>
                <w:rFonts w:ascii="Arial" w:eastAsia="Times New Roman" w:hAnsi="Arial" w:cs="Arial"/>
                <w:b/>
                <w:bCs/>
                <w:color w:val="000000"/>
                <w:lang w:eastAsia="en-GB"/>
              </w:rPr>
              <w:t> </w:t>
            </w:r>
          </w:p>
        </w:tc>
        <w:tc>
          <w:tcPr>
            <w:tcW w:w="2239" w:type="dxa"/>
            <w:tcBorders>
              <w:top w:val="nil"/>
              <w:left w:val="nil"/>
              <w:bottom w:val="nil"/>
              <w:right w:val="nil"/>
            </w:tcBorders>
            <w:shd w:val="clear" w:color="auto" w:fill="auto"/>
            <w:noWrap/>
            <w:vAlign w:val="center"/>
            <w:hideMark/>
          </w:tcPr>
          <w:p w14:paraId="59D48C24" w14:textId="77777777" w:rsidR="0021298F" w:rsidRPr="00FD2040" w:rsidRDefault="0021298F" w:rsidP="00760009">
            <w:pPr>
              <w:jc w:val="right"/>
              <w:rPr>
                <w:rFonts w:ascii="Arial" w:eastAsia="Times New Roman" w:hAnsi="Arial" w:cs="Arial"/>
                <w:b/>
                <w:bCs/>
                <w:color w:val="000000"/>
                <w:lang w:eastAsia="en-GB"/>
              </w:rPr>
            </w:pPr>
          </w:p>
        </w:tc>
      </w:tr>
      <w:tr w:rsidR="0021298F" w:rsidRPr="00FD2040" w14:paraId="4E6F1D05" w14:textId="77777777" w:rsidTr="00760009">
        <w:trPr>
          <w:trHeight w:val="300"/>
        </w:trPr>
        <w:tc>
          <w:tcPr>
            <w:tcW w:w="4756" w:type="dxa"/>
            <w:tcBorders>
              <w:top w:val="nil"/>
              <w:left w:val="nil"/>
              <w:bottom w:val="nil"/>
              <w:right w:val="nil"/>
            </w:tcBorders>
            <w:shd w:val="clear" w:color="000000" w:fill="FFFFFF"/>
            <w:vAlign w:val="center"/>
            <w:hideMark/>
          </w:tcPr>
          <w:p w14:paraId="0E67ADDB" w14:textId="77777777" w:rsidR="0021298F" w:rsidRPr="00FD2040" w:rsidRDefault="0021298F" w:rsidP="00760009">
            <w:pPr>
              <w:rPr>
                <w:rFonts w:ascii="Arial" w:eastAsia="Times New Roman" w:hAnsi="Arial" w:cs="Arial"/>
                <w:b/>
                <w:bCs/>
                <w:color w:val="000000"/>
                <w:lang w:eastAsia="en-GB"/>
              </w:rPr>
            </w:pPr>
            <w:r w:rsidRPr="00FD2040">
              <w:rPr>
                <w:rFonts w:ascii="Arial" w:eastAsia="Times New Roman" w:hAnsi="Arial" w:cs="Arial"/>
                <w:b/>
                <w:bCs/>
                <w:color w:val="000000"/>
                <w:lang w:eastAsia="en-GB"/>
              </w:rPr>
              <w:t>Cash flows from financing activities</w:t>
            </w:r>
          </w:p>
        </w:tc>
        <w:tc>
          <w:tcPr>
            <w:tcW w:w="705" w:type="dxa"/>
            <w:tcBorders>
              <w:top w:val="nil"/>
              <w:left w:val="nil"/>
              <w:bottom w:val="nil"/>
              <w:right w:val="nil"/>
            </w:tcBorders>
            <w:shd w:val="clear" w:color="000000" w:fill="FFFFFF"/>
            <w:vAlign w:val="center"/>
            <w:hideMark/>
          </w:tcPr>
          <w:p w14:paraId="3A855F3C" w14:textId="77777777" w:rsidR="0021298F" w:rsidRPr="00FD2040" w:rsidRDefault="0021298F" w:rsidP="00760009">
            <w:pPr>
              <w:jc w:val="center"/>
              <w:rPr>
                <w:rFonts w:ascii="Arial" w:eastAsia="Times New Roman" w:hAnsi="Arial" w:cs="Arial"/>
                <w:b/>
                <w:bCs/>
                <w:color w:val="000000"/>
                <w:sz w:val="20"/>
                <w:szCs w:val="20"/>
                <w:lang w:eastAsia="en-GB"/>
              </w:rPr>
            </w:pPr>
            <w:r w:rsidRPr="00FD2040">
              <w:rPr>
                <w:rFonts w:ascii="Arial" w:eastAsia="Times New Roman" w:hAnsi="Arial" w:cs="Arial"/>
                <w:b/>
                <w:bCs/>
                <w:color w:val="000000"/>
                <w:sz w:val="20"/>
                <w:szCs w:val="20"/>
                <w:lang w:eastAsia="en-GB"/>
              </w:rPr>
              <w:t> </w:t>
            </w:r>
          </w:p>
        </w:tc>
        <w:tc>
          <w:tcPr>
            <w:tcW w:w="2194" w:type="dxa"/>
            <w:tcBorders>
              <w:top w:val="nil"/>
              <w:left w:val="nil"/>
              <w:bottom w:val="nil"/>
              <w:right w:val="nil"/>
            </w:tcBorders>
            <w:shd w:val="clear" w:color="000000" w:fill="EDFFB7"/>
            <w:vAlign w:val="center"/>
            <w:hideMark/>
          </w:tcPr>
          <w:p w14:paraId="29A34EE0" w14:textId="77777777" w:rsidR="0021298F" w:rsidRPr="00FD2040" w:rsidRDefault="0021298F" w:rsidP="00760009">
            <w:pPr>
              <w:jc w:val="right"/>
              <w:rPr>
                <w:rFonts w:ascii="Arial" w:eastAsia="Times New Roman" w:hAnsi="Arial" w:cs="Arial"/>
                <w:color w:val="000000"/>
                <w:lang w:eastAsia="en-GB"/>
              </w:rPr>
            </w:pPr>
            <w:r w:rsidRPr="00FD2040">
              <w:rPr>
                <w:rFonts w:ascii="Arial" w:eastAsia="Times New Roman" w:hAnsi="Arial" w:cs="Arial"/>
                <w:color w:val="000000"/>
                <w:lang w:eastAsia="en-GB"/>
              </w:rPr>
              <w:t> </w:t>
            </w:r>
          </w:p>
        </w:tc>
        <w:tc>
          <w:tcPr>
            <w:tcW w:w="2239" w:type="dxa"/>
            <w:tcBorders>
              <w:top w:val="nil"/>
              <w:left w:val="nil"/>
              <w:bottom w:val="nil"/>
              <w:right w:val="nil"/>
            </w:tcBorders>
            <w:shd w:val="clear" w:color="auto" w:fill="auto"/>
            <w:noWrap/>
            <w:vAlign w:val="center"/>
            <w:hideMark/>
          </w:tcPr>
          <w:p w14:paraId="7915A530" w14:textId="77777777" w:rsidR="0021298F" w:rsidRPr="00FD2040" w:rsidRDefault="0021298F" w:rsidP="00760009">
            <w:pPr>
              <w:jc w:val="right"/>
              <w:rPr>
                <w:rFonts w:ascii="Arial" w:eastAsia="Times New Roman" w:hAnsi="Arial" w:cs="Arial"/>
                <w:color w:val="000000"/>
                <w:lang w:eastAsia="en-GB"/>
              </w:rPr>
            </w:pPr>
          </w:p>
        </w:tc>
      </w:tr>
      <w:tr w:rsidR="0021298F" w:rsidRPr="00FD2040" w14:paraId="1131DCDA" w14:textId="77777777" w:rsidTr="00760009">
        <w:trPr>
          <w:trHeight w:val="300"/>
        </w:trPr>
        <w:tc>
          <w:tcPr>
            <w:tcW w:w="4756" w:type="dxa"/>
            <w:tcBorders>
              <w:top w:val="nil"/>
              <w:left w:val="nil"/>
              <w:bottom w:val="nil"/>
              <w:right w:val="nil"/>
            </w:tcBorders>
            <w:shd w:val="clear" w:color="000000" w:fill="FFFFFF"/>
            <w:vAlign w:val="center"/>
            <w:hideMark/>
          </w:tcPr>
          <w:p w14:paraId="17B928F4" w14:textId="77777777" w:rsidR="0021298F" w:rsidRPr="00FD2040" w:rsidRDefault="0021298F" w:rsidP="00760009">
            <w:pPr>
              <w:rPr>
                <w:rFonts w:ascii="Arial" w:eastAsia="Times New Roman" w:hAnsi="Arial" w:cs="Arial"/>
                <w:color w:val="000000"/>
                <w:lang w:eastAsia="en-GB"/>
              </w:rPr>
            </w:pPr>
            <w:r w:rsidRPr="00FD2040">
              <w:rPr>
                <w:rFonts w:ascii="Arial" w:eastAsia="Times New Roman" w:hAnsi="Arial" w:cs="Arial"/>
                <w:color w:val="000000"/>
                <w:lang w:eastAsia="en-GB"/>
              </w:rPr>
              <w:t>Issue of share capital</w:t>
            </w:r>
          </w:p>
        </w:tc>
        <w:tc>
          <w:tcPr>
            <w:tcW w:w="705" w:type="dxa"/>
            <w:tcBorders>
              <w:top w:val="nil"/>
              <w:left w:val="nil"/>
              <w:bottom w:val="nil"/>
              <w:right w:val="nil"/>
            </w:tcBorders>
            <w:shd w:val="clear" w:color="000000" w:fill="FFFFFF"/>
            <w:vAlign w:val="center"/>
            <w:hideMark/>
          </w:tcPr>
          <w:p w14:paraId="3564CDD7" w14:textId="77777777" w:rsidR="0021298F" w:rsidRPr="00FD2040" w:rsidRDefault="0021298F" w:rsidP="00760009">
            <w:pPr>
              <w:jc w:val="center"/>
              <w:rPr>
                <w:rFonts w:ascii="Arial" w:eastAsia="Times New Roman" w:hAnsi="Arial" w:cs="Arial"/>
                <w:b/>
                <w:bCs/>
                <w:color w:val="000000"/>
                <w:sz w:val="20"/>
                <w:szCs w:val="20"/>
                <w:lang w:eastAsia="en-GB"/>
              </w:rPr>
            </w:pPr>
            <w:r w:rsidRPr="00FD2040">
              <w:rPr>
                <w:rFonts w:ascii="Arial" w:eastAsia="Times New Roman" w:hAnsi="Arial" w:cs="Arial"/>
                <w:b/>
                <w:bCs/>
                <w:color w:val="000000"/>
                <w:sz w:val="20"/>
                <w:szCs w:val="20"/>
                <w:lang w:eastAsia="en-GB"/>
              </w:rPr>
              <w:t>15</w:t>
            </w:r>
          </w:p>
        </w:tc>
        <w:tc>
          <w:tcPr>
            <w:tcW w:w="2194" w:type="dxa"/>
            <w:tcBorders>
              <w:top w:val="nil"/>
              <w:left w:val="nil"/>
              <w:bottom w:val="nil"/>
              <w:right w:val="nil"/>
            </w:tcBorders>
            <w:shd w:val="clear" w:color="000000" w:fill="EDFFB7"/>
            <w:vAlign w:val="center"/>
            <w:hideMark/>
          </w:tcPr>
          <w:p w14:paraId="77398998" w14:textId="77777777" w:rsidR="0021298F" w:rsidRPr="00FD2040" w:rsidRDefault="0021298F" w:rsidP="00760009">
            <w:pPr>
              <w:jc w:val="right"/>
              <w:rPr>
                <w:rFonts w:ascii="Arial" w:eastAsia="Times New Roman" w:hAnsi="Arial" w:cs="Arial"/>
                <w:color w:val="000000"/>
                <w:lang w:eastAsia="en-GB"/>
              </w:rPr>
            </w:pPr>
            <w:r w:rsidRPr="00FD2040">
              <w:rPr>
                <w:rFonts w:ascii="Arial" w:eastAsia="Times New Roman" w:hAnsi="Arial" w:cs="Arial"/>
                <w:color w:val="000000"/>
                <w:lang w:eastAsia="en-GB"/>
              </w:rPr>
              <w:t>125,000</w:t>
            </w:r>
          </w:p>
        </w:tc>
        <w:tc>
          <w:tcPr>
            <w:tcW w:w="2239" w:type="dxa"/>
            <w:tcBorders>
              <w:top w:val="nil"/>
              <w:left w:val="nil"/>
              <w:bottom w:val="nil"/>
              <w:right w:val="nil"/>
            </w:tcBorders>
            <w:shd w:val="clear" w:color="auto" w:fill="auto"/>
            <w:vAlign w:val="center"/>
            <w:hideMark/>
          </w:tcPr>
          <w:p w14:paraId="756079E9" w14:textId="77777777" w:rsidR="0021298F" w:rsidRPr="00FD2040" w:rsidRDefault="0021298F" w:rsidP="00760009">
            <w:pPr>
              <w:jc w:val="right"/>
              <w:rPr>
                <w:rFonts w:ascii="Arial" w:eastAsia="Times New Roman" w:hAnsi="Arial" w:cs="Arial"/>
                <w:color w:val="000000"/>
                <w:lang w:eastAsia="en-GB"/>
              </w:rPr>
            </w:pPr>
            <w:r w:rsidRPr="00FD2040">
              <w:rPr>
                <w:rFonts w:ascii="Arial" w:eastAsia="Times New Roman" w:hAnsi="Arial" w:cs="Arial"/>
                <w:color w:val="000000"/>
                <w:lang w:eastAsia="en-GB"/>
              </w:rPr>
              <w:t xml:space="preserve">272,700 </w:t>
            </w:r>
          </w:p>
        </w:tc>
      </w:tr>
      <w:tr w:rsidR="0021298F" w:rsidRPr="00FD2040" w14:paraId="5E0FF002" w14:textId="77777777" w:rsidTr="00760009">
        <w:trPr>
          <w:trHeight w:val="300"/>
        </w:trPr>
        <w:tc>
          <w:tcPr>
            <w:tcW w:w="4756" w:type="dxa"/>
            <w:tcBorders>
              <w:top w:val="nil"/>
              <w:left w:val="nil"/>
              <w:bottom w:val="nil"/>
              <w:right w:val="nil"/>
            </w:tcBorders>
            <w:shd w:val="clear" w:color="000000" w:fill="FFFFFF"/>
            <w:vAlign w:val="center"/>
            <w:hideMark/>
          </w:tcPr>
          <w:p w14:paraId="40F25EC1" w14:textId="77777777" w:rsidR="0021298F" w:rsidRPr="00FD2040" w:rsidRDefault="0021298F" w:rsidP="00760009">
            <w:pPr>
              <w:rPr>
                <w:rFonts w:ascii="Arial" w:eastAsia="Times New Roman" w:hAnsi="Arial" w:cs="Arial"/>
                <w:color w:val="000000"/>
                <w:lang w:eastAsia="en-GB"/>
              </w:rPr>
            </w:pPr>
            <w:r w:rsidRPr="00FD2040">
              <w:rPr>
                <w:rFonts w:ascii="Arial" w:eastAsia="Times New Roman" w:hAnsi="Arial" w:cs="Arial"/>
                <w:color w:val="000000"/>
                <w:lang w:eastAsia="en-GB"/>
              </w:rPr>
              <w:t>Payment of issue costs</w:t>
            </w:r>
          </w:p>
        </w:tc>
        <w:tc>
          <w:tcPr>
            <w:tcW w:w="705" w:type="dxa"/>
            <w:tcBorders>
              <w:top w:val="nil"/>
              <w:left w:val="nil"/>
              <w:bottom w:val="nil"/>
              <w:right w:val="nil"/>
            </w:tcBorders>
            <w:shd w:val="clear" w:color="000000" w:fill="FFFFFF"/>
            <w:vAlign w:val="center"/>
            <w:hideMark/>
          </w:tcPr>
          <w:p w14:paraId="2D29D780" w14:textId="77777777" w:rsidR="0021298F" w:rsidRPr="00FD2040" w:rsidRDefault="0021298F" w:rsidP="00760009">
            <w:pPr>
              <w:jc w:val="center"/>
              <w:rPr>
                <w:rFonts w:ascii="Arial" w:eastAsia="Times New Roman" w:hAnsi="Arial" w:cs="Arial"/>
                <w:b/>
                <w:bCs/>
                <w:color w:val="000000"/>
                <w:sz w:val="20"/>
                <w:szCs w:val="20"/>
                <w:lang w:eastAsia="en-GB"/>
              </w:rPr>
            </w:pPr>
            <w:r w:rsidRPr="00FD2040">
              <w:rPr>
                <w:rFonts w:ascii="Arial" w:eastAsia="Times New Roman" w:hAnsi="Arial" w:cs="Arial"/>
                <w:b/>
                <w:bCs/>
                <w:color w:val="000000"/>
                <w:sz w:val="20"/>
                <w:szCs w:val="20"/>
                <w:lang w:eastAsia="en-GB"/>
              </w:rPr>
              <w:t> </w:t>
            </w:r>
          </w:p>
        </w:tc>
        <w:tc>
          <w:tcPr>
            <w:tcW w:w="2194" w:type="dxa"/>
            <w:tcBorders>
              <w:top w:val="nil"/>
              <w:left w:val="nil"/>
              <w:bottom w:val="nil"/>
              <w:right w:val="nil"/>
            </w:tcBorders>
            <w:shd w:val="clear" w:color="000000" w:fill="EDFFB7"/>
            <w:vAlign w:val="center"/>
            <w:hideMark/>
          </w:tcPr>
          <w:p w14:paraId="393D049F" w14:textId="77777777" w:rsidR="0021298F" w:rsidRPr="00FD2040" w:rsidRDefault="0021298F" w:rsidP="00760009">
            <w:pPr>
              <w:jc w:val="right"/>
              <w:rPr>
                <w:rFonts w:ascii="Arial" w:eastAsia="Times New Roman" w:hAnsi="Arial" w:cs="Arial"/>
                <w:color w:val="000000"/>
                <w:lang w:eastAsia="en-GB"/>
              </w:rPr>
            </w:pPr>
            <w:r w:rsidRPr="00FD2040">
              <w:rPr>
                <w:rFonts w:ascii="Arial" w:eastAsia="Times New Roman" w:hAnsi="Arial" w:cs="Arial"/>
                <w:color w:val="000000"/>
                <w:lang w:eastAsia="en-GB"/>
              </w:rPr>
              <w:t xml:space="preserve"> (2,071)</w:t>
            </w:r>
          </w:p>
        </w:tc>
        <w:tc>
          <w:tcPr>
            <w:tcW w:w="2239" w:type="dxa"/>
            <w:tcBorders>
              <w:top w:val="nil"/>
              <w:left w:val="nil"/>
              <w:bottom w:val="nil"/>
              <w:right w:val="nil"/>
            </w:tcBorders>
            <w:shd w:val="clear" w:color="auto" w:fill="auto"/>
            <w:vAlign w:val="center"/>
            <w:hideMark/>
          </w:tcPr>
          <w:p w14:paraId="74E7074C" w14:textId="77777777" w:rsidR="0021298F" w:rsidRPr="00FD2040" w:rsidRDefault="0021298F" w:rsidP="00760009">
            <w:pPr>
              <w:jc w:val="right"/>
              <w:rPr>
                <w:rFonts w:ascii="Arial" w:eastAsia="Times New Roman" w:hAnsi="Arial" w:cs="Arial"/>
                <w:color w:val="000000"/>
                <w:lang w:eastAsia="en-GB"/>
              </w:rPr>
            </w:pPr>
            <w:r w:rsidRPr="00FD2040">
              <w:rPr>
                <w:rFonts w:ascii="Arial" w:eastAsia="Times New Roman" w:hAnsi="Arial" w:cs="Arial"/>
                <w:color w:val="000000"/>
                <w:lang w:eastAsia="en-GB"/>
              </w:rPr>
              <w:t xml:space="preserve"> (4,390)</w:t>
            </w:r>
          </w:p>
        </w:tc>
      </w:tr>
      <w:tr w:rsidR="0021298F" w:rsidRPr="00FD2040" w14:paraId="53E1D170" w14:textId="77777777" w:rsidTr="00760009">
        <w:trPr>
          <w:trHeight w:val="300"/>
        </w:trPr>
        <w:tc>
          <w:tcPr>
            <w:tcW w:w="4756" w:type="dxa"/>
            <w:tcBorders>
              <w:top w:val="nil"/>
              <w:left w:val="nil"/>
              <w:bottom w:val="nil"/>
              <w:right w:val="nil"/>
            </w:tcBorders>
            <w:shd w:val="clear" w:color="000000" w:fill="FFFFFF"/>
            <w:vAlign w:val="center"/>
            <w:hideMark/>
          </w:tcPr>
          <w:p w14:paraId="2477713E" w14:textId="77777777" w:rsidR="0021298F" w:rsidRPr="00FD2040" w:rsidRDefault="0021298F" w:rsidP="00760009">
            <w:pPr>
              <w:rPr>
                <w:rFonts w:ascii="Arial" w:eastAsia="Times New Roman" w:hAnsi="Arial" w:cs="Arial"/>
                <w:color w:val="000000"/>
                <w:lang w:eastAsia="en-GB"/>
              </w:rPr>
            </w:pPr>
            <w:r w:rsidRPr="00FD2040">
              <w:rPr>
                <w:rFonts w:ascii="Arial" w:eastAsia="Times New Roman" w:hAnsi="Arial" w:cs="Arial"/>
                <w:color w:val="000000"/>
                <w:lang w:eastAsia="en-GB"/>
              </w:rPr>
              <w:t>Dividends paid</w:t>
            </w:r>
          </w:p>
        </w:tc>
        <w:tc>
          <w:tcPr>
            <w:tcW w:w="705" w:type="dxa"/>
            <w:tcBorders>
              <w:top w:val="nil"/>
              <w:left w:val="nil"/>
              <w:bottom w:val="nil"/>
              <w:right w:val="nil"/>
            </w:tcBorders>
            <w:shd w:val="clear" w:color="000000" w:fill="FFFFFF"/>
            <w:vAlign w:val="center"/>
            <w:hideMark/>
          </w:tcPr>
          <w:p w14:paraId="15401C4F" w14:textId="77777777" w:rsidR="0021298F" w:rsidRPr="00FD2040" w:rsidRDefault="0021298F" w:rsidP="00760009">
            <w:pPr>
              <w:jc w:val="center"/>
              <w:rPr>
                <w:rFonts w:ascii="Arial" w:eastAsia="Times New Roman" w:hAnsi="Arial" w:cs="Arial"/>
                <w:b/>
                <w:bCs/>
                <w:color w:val="000000"/>
                <w:sz w:val="20"/>
                <w:szCs w:val="20"/>
                <w:lang w:eastAsia="en-GB"/>
              </w:rPr>
            </w:pPr>
            <w:r w:rsidRPr="00FD2040">
              <w:rPr>
                <w:rFonts w:ascii="Arial" w:eastAsia="Times New Roman" w:hAnsi="Arial" w:cs="Arial"/>
                <w:b/>
                <w:bCs/>
                <w:color w:val="000000"/>
                <w:sz w:val="20"/>
                <w:szCs w:val="20"/>
                <w:lang w:eastAsia="en-GB"/>
              </w:rPr>
              <w:t>8</w:t>
            </w:r>
          </w:p>
        </w:tc>
        <w:tc>
          <w:tcPr>
            <w:tcW w:w="2194" w:type="dxa"/>
            <w:tcBorders>
              <w:top w:val="nil"/>
              <w:left w:val="nil"/>
              <w:bottom w:val="nil"/>
              <w:right w:val="nil"/>
            </w:tcBorders>
            <w:shd w:val="clear" w:color="000000" w:fill="EDFFB7"/>
            <w:vAlign w:val="center"/>
            <w:hideMark/>
          </w:tcPr>
          <w:p w14:paraId="578AD2CC" w14:textId="77777777" w:rsidR="0021298F" w:rsidRPr="00FD2040" w:rsidRDefault="0021298F" w:rsidP="00760009">
            <w:pPr>
              <w:jc w:val="right"/>
              <w:rPr>
                <w:rFonts w:ascii="Arial" w:eastAsia="Times New Roman" w:hAnsi="Arial" w:cs="Arial"/>
                <w:color w:val="000000"/>
                <w:lang w:eastAsia="en-GB"/>
              </w:rPr>
            </w:pPr>
            <w:r w:rsidRPr="00FD2040">
              <w:rPr>
                <w:rFonts w:ascii="Arial" w:eastAsia="Times New Roman" w:hAnsi="Arial" w:cs="Arial"/>
                <w:color w:val="000000"/>
                <w:lang w:eastAsia="en-GB"/>
              </w:rPr>
              <w:t xml:space="preserve"> (38,168)</w:t>
            </w:r>
          </w:p>
        </w:tc>
        <w:tc>
          <w:tcPr>
            <w:tcW w:w="2239" w:type="dxa"/>
            <w:tcBorders>
              <w:top w:val="nil"/>
              <w:left w:val="nil"/>
              <w:bottom w:val="nil"/>
              <w:right w:val="nil"/>
            </w:tcBorders>
            <w:shd w:val="clear" w:color="auto" w:fill="auto"/>
            <w:vAlign w:val="center"/>
            <w:hideMark/>
          </w:tcPr>
          <w:p w14:paraId="03C5BC9F" w14:textId="77777777" w:rsidR="0021298F" w:rsidRPr="00FD2040" w:rsidRDefault="0021298F" w:rsidP="00760009">
            <w:pPr>
              <w:jc w:val="right"/>
              <w:rPr>
                <w:rFonts w:ascii="Arial" w:eastAsia="Times New Roman" w:hAnsi="Arial" w:cs="Arial"/>
                <w:color w:val="000000"/>
                <w:lang w:eastAsia="en-GB"/>
              </w:rPr>
            </w:pPr>
            <w:r w:rsidRPr="00FD2040">
              <w:rPr>
                <w:rFonts w:ascii="Arial" w:eastAsia="Times New Roman" w:hAnsi="Arial" w:cs="Arial"/>
                <w:color w:val="000000"/>
                <w:lang w:eastAsia="en-GB"/>
              </w:rPr>
              <w:t xml:space="preserve"> (29,217)</w:t>
            </w:r>
          </w:p>
        </w:tc>
      </w:tr>
      <w:tr w:rsidR="0021298F" w:rsidRPr="00FD2040" w14:paraId="236D0ABA" w14:textId="77777777" w:rsidTr="00760009">
        <w:trPr>
          <w:trHeight w:val="315"/>
        </w:trPr>
        <w:tc>
          <w:tcPr>
            <w:tcW w:w="4756" w:type="dxa"/>
            <w:tcBorders>
              <w:top w:val="nil"/>
              <w:left w:val="nil"/>
              <w:bottom w:val="single" w:sz="8" w:space="0" w:color="auto"/>
              <w:right w:val="nil"/>
            </w:tcBorders>
            <w:shd w:val="clear" w:color="000000" w:fill="FFFFFF"/>
            <w:vAlign w:val="center"/>
            <w:hideMark/>
          </w:tcPr>
          <w:p w14:paraId="192C9FF0" w14:textId="77777777" w:rsidR="0021298F" w:rsidRPr="00FD2040" w:rsidRDefault="0021298F" w:rsidP="00760009">
            <w:pPr>
              <w:rPr>
                <w:rFonts w:ascii="Arial" w:eastAsia="Times New Roman" w:hAnsi="Arial" w:cs="Arial"/>
                <w:color w:val="000000"/>
                <w:lang w:eastAsia="en-GB"/>
              </w:rPr>
            </w:pPr>
            <w:r w:rsidRPr="00FD2040">
              <w:rPr>
                <w:rFonts w:ascii="Arial" w:eastAsia="Times New Roman" w:hAnsi="Arial" w:cs="Arial"/>
                <w:color w:val="000000"/>
                <w:lang w:eastAsia="en-GB"/>
              </w:rPr>
              <w:t>Finance costs</w:t>
            </w:r>
          </w:p>
        </w:tc>
        <w:tc>
          <w:tcPr>
            <w:tcW w:w="705" w:type="dxa"/>
            <w:tcBorders>
              <w:top w:val="nil"/>
              <w:left w:val="nil"/>
              <w:bottom w:val="single" w:sz="8" w:space="0" w:color="auto"/>
              <w:right w:val="nil"/>
            </w:tcBorders>
            <w:shd w:val="clear" w:color="000000" w:fill="FFFFFF"/>
            <w:vAlign w:val="center"/>
            <w:hideMark/>
          </w:tcPr>
          <w:p w14:paraId="60008364" w14:textId="77777777" w:rsidR="0021298F" w:rsidRPr="00FD2040" w:rsidRDefault="0021298F" w:rsidP="00760009">
            <w:pPr>
              <w:jc w:val="center"/>
              <w:rPr>
                <w:rFonts w:ascii="Arial" w:eastAsia="Times New Roman" w:hAnsi="Arial" w:cs="Arial"/>
                <w:b/>
                <w:bCs/>
                <w:color w:val="000000"/>
                <w:sz w:val="20"/>
                <w:szCs w:val="20"/>
                <w:lang w:eastAsia="en-GB"/>
              </w:rPr>
            </w:pPr>
            <w:r w:rsidRPr="00FD2040">
              <w:rPr>
                <w:rFonts w:ascii="Arial" w:eastAsia="Times New Roman" w:hAnsi="Arial" w:cs="Arial"/>
                <w:b/>
                <w:bCs/>
                <w:color w:val="000000"/>
                <w:sz w:val="20"/>
                <w:szCs w:val="20"/>
                <w:lang w:eastAsia="en-GB"/>
              </w:rPr>
              <w:t> </w:t>
            </w:r>
          </w:p>
        </w:tc>
        <w:tc>
          <w:tcPr>
            <w:tcW w:w="2194" w:type="dxa"/>
            <w:tcBorders>
              <w:top w:val="nil"/>
              <w:left w:val="nil"/>
              <w:bottom w:val="single" w:sz="8" w:space="0" w:color="auto"/>
              <w:right w:val="nil"/>
            </w:tcBorders>
            <w:shd w:val="clear" w:color="000000" w:fill="EDFFB7"/>
            <w:vAlign w:val="center"/>
            <w:hideMark/>
          </w:tcPr>
          <w:p w14:paraId="0EBD7EEE" w14:textId="77777777" w:rsidR="0021298F" w:rsidRPr="00FD2040" w:rsidRDefault="0021298F" w:rsidP="00760009">
            <w:pPr>
              <w:jc w:val="right"/>
              <w:rPr>
                <w:rFonts w:ascii="Arial" w:eastAsia="Times New Roman" w:hAnsi="Arial" w:cs="Arial"/>
                <w:color w:val="000000"/>
                <w:lang w:eastAsia="en-GB"/>
              </w:rPr>
            </w:pPr>
            <w:r w:rsidRPr="00FD2040">
              <w:rPr>
                <w:rFonts w:ascii="Arial" w:eastAsia="Times New Roman" w:hAnsi="Arial" w:cs="Arial"/>
                <w:color w:val="000000"/>
                <w:lang w:eastAsia="en-GB"/>
              </w:rPr>
              <w:t xml:space="preserve">-   </w:t>
            </w:r>
          </w:p>
        </w:tc>
        <w:tc>
          <w:tcPr>
            <w:tcW w:w="2239" w:type="dxa"/>
            <w:tcBorders>
              <w:top w:val="nil"/>
              <w:left w:val="nil"/>
              <w:bottom w:val="single" w:sz="8" w:space="0" w:color="auto"/>
              <w:right w:val="nil"/>
            </w:tcBorders>
            <w:shd w:val="clear" w:color="auto" w:fill="auto"/>
            <w:vAlign w:val="center"/>
            <w:hideMark/>
          </w:tcPr>
          <w:p w14:paraId="16BB1DA5" w14:textId="77777777" w:rsidR="0021298F" w:rsidRPr="00FD2040" w:rsidRDefault="0021298F" w:rsidP="00760009">
            <w:pPr>
              <w:jc w:val="right"/>
              <w:rPr>
                <w:rFonts w:ascii="Arial" w:eastAsia="Times New Roman" w:hAnsi="Arial" w:cs="Arial"/>
                <w:color w:val="000000"/>
                <w:lang w:eastAsia="en-GB"/>
              </w:rPr>
            </w:pPr>
            <w:r w:rsidRPr="00FD2040">
              <w:rPr>
                <w:rFonts w:ascii="Arial" w:eastAsia="Times New Roman" w:hAnsi="Arial" w:cs="Arial"/>
                <w:color w:val="000000"/>
                <w:lang w:eastAsia="en-GB"/>
              </w:rPr>
              <w:t xml:space="preserve"> (75)</w:t>
            </w:r>
          </w:p>
        </w:tc>
      </w:tr>
      <w:tr w:rsidR="0021298F" w:rsidRPr="00FD2040" w14:paraId="7A2D7DB5" w14:textId="77777777" w:rsidTr="00760009">
        <w:trPr>
          <w:trHeight w:val="300"/>
        </w:trPr>
        <w:tc>
          <w:tcPr>
            <w:tcW w:w="4756" w:type="dxa"/>
            <w:tcBorders>
              <w:top w:val="nil"/>
              <w:left w:val="nil"/>
              <w:bottom w:val="nil"/>
              <w:right w:val="nil"/>
            </w:tcBorders>
            <w:shd w:val="clear" w:color="000000" w:fill="FFFFFF"/>
            <w:vAlign w:val="center"/>
            <w:hideMark/>
          </w:tcPr>
          <w:p w14:paraId="2941357F" w14:textId="77777777" w:rsidR="0021298F" w:rsidRPr="00FD2040" w:rsidRDefault="0021298F" w:rsidP="00760009">
            <w:pPr>
              <w:rPr>
                <w:rFonts w:ascii="Arial" w:eastAsia="Times New Roman" w:hAnsi="Arial" w:cs="Arial"/>
                <w:b/>
                <w:bCs/>
                <w:color w:val="000000"/>
                <w:lang w:eastAsia="en-GB"/>
              </w:rPr>
            </w:pPr>
            <w:r w:rsidRPr="00FD2040">
              <w:rPr>
                <w:rFonts w:ascii="Arial" w:eastAsia="Times New Roman" w:hAnsi="Arial" w:cs="Arial"/>
                <w:b/>
                <w:bCs/>
                <w:color w:val="000000"/>
                <w:lang w:eastAsia="en-GB"/>
              </w:rPr>
              <w:t>Net cash flows from financing activities</w:t>
            </w:r>
          </w:p>
        </w:tc>
        <w:tc>
          <w:tcPr>
            <w:tcW w:w="705" w:type="dxa"/>
            <w:tcBorders>
              <w:top w:val="nil"/>
              <w:left w:val="nil"/>
              <w:bottom w:val="nil"/>
              <w:right w:val="nil"/>
            </w:tcBorders>
            <w:shd w:val="clear" w:color="000000" w:fill="FFFFFF"/>
            <w:vAlign w:val="center"/>
            <w:hideMark/>
          </w:tcPr>
          <w:p w14:paraId="45AE1E41" w14:textId="77777777" w:rsidR="0021298F" w:rsidRPr="00FD2040" w:rsidRDefault="0021298F" w:rsidP="00760009">
            <w:pPr>
              <w:jc w:val="center"/>
              <w:rPr>
                <w:rFonts w:ascii="Arial" w:eastAsia="Times New Roman" w:hAnsi="Arial" w:cs="Arial"/>
                <w:b/>
                <w:bCs/>
                <w:color w:val="000000"/>
                <w:sz w:val="20"/>
                <w:szCs w:val="20"/>
                <w:lang w:eastAsia="en-GB"/>
              </w:rPr>
            </w:pPr>
            <w:r w:rsidRPr="00FD2040">
              <w:rPr>
                <w:rFonts w:ascii="Arial" w:eastAsia="Times New Roman" w:hAnsi="Arial" w:cs="Arial"/>
                <w:b/>
                <w:bCs/>
                <w:color w:val="000000"/>
                <w:sz w:val="20"/>
                <w:szCs w:val="20"/>
                <w:lang w:eastAsia="en-GB"/>
              </w:rPr>
              <w:t> </w:t>
            </w:r>
          </w:p>
        </w:tc>
        <w:tc>
          <w:tcPr>
            <w:tcW w:w="2194" w:type="dxa"/>
            <w:tcBorders>
              <w:top w:val="nil"/>
              <w:left w:val="nil"/>
              <w:bottom w:val="nil"/>
              <w:right w:val="nil"/>
            </w:tcBorders>
            <w:shd w:val="clear" w:color="000000" w:fill="EDFFB7"/>
            <w:vAlign w:val="center"/>
            <w:hideMark/>
          </w:tcPr>
          <w:p w14:paraId="43CB8AA4" w14:textId="77777777" w:rsidR="0021298F" w:rsidRPr="00FD2040" w:rsidRDefault="0021298F" w:rsidP="00760009">
            <w:pPr>
              <w:jc w:val="right"/>
              <w:rPr>
                <w:rFonts w:ascii="Arial" w:eastAsia="Times New Roman" w:hAnsi="Arial" w:cs="Arial"/>
                <w:b/>
                <w:bCs/>
                <w:color w:val="000000"/>
                <w:lang w:eastAsia="en-GB"/>
              </w:rPr>
            </w:pPr>
            <w:r w:rsidRPr="00FD2040">
              <w:rPr>
                <w:rFonts w:ascii="Arial" w:eastAsia="Times New Roman" w:hAnsi="Arial" w:cs="Arial"/>
                <w:b/>
                <w:bCs/>
                <w:color w:val="000000"/>
                <w:lang w:eastAsia="en-GB"/>
              </w:rPr>
              <w:t>84,761</w:t>
            </w:r>
          </w:p>
        </w:tc>
        <w:tc>
          <w:tcPr>
            <w:tcW w:w="2239" w:type="dxa"/>
            <w:tcBorders>
              <w:top w:val="nil"/>
              <w:left w:val="nil"/>
              <w:bottom w:val="nil"/>
              <w:right w:val="nil"/>
            </w:tcBorders>
            <w:shd w:val="clear" w:color="auto" w:fill="auto"/>
            <w:noWrap/>
            <w:vAlign w:val="center"/>
            <w:hideMark/>
          </w:tcPr>
          <w:p w14:paraId="7292860C" w14:textId="77777777" w:rsidR="0021298F" w:rsidRPr="00FD2040" w:rsidRDefault="0021298F" w:rsidP="00760009">
            <w:pPr>
              <w:jc w:val="right"/>
              <w:rPr>
                <w:rFonts w:ascii="Arial" w:eastAsia="Times New Roman" w:hAnsi="Arial" w:cs="Arial"/>
                <w:b/>
                <w:bCs/>
                <w:color w:val="000000"/>
                <w:lang w:eastAsia="en-GB"/>
              </w:rPr>
            </w:pPr>
            <w:r w:rsidRPr="00FD2040">
              <w:rPr>
                <w:rFonts w:ascii="Arial" w:eastAsia="Times New Roman" w:hAnsi="Arial" w:cs="Arial"/>
                <w:b/>
                <w:bCs/>
                <w:color w:val="000000"/>
                <w:lang w:eastAsia="en-GB"/>
              </w:rPr>
              <w:t>239,018</w:t>
            </w:r>
          </w:p>
        </w:tc>
      </w:tr>
      <w:tr w:rsidR="0021298F" w:rsidRPr="00FD2040" w14:paraId="280C4E09" w14:textId="77777777" w:rsidTr="00760009">
        <w:trPr>
          <w:trHeight w:val="300"/>
        </w:trPr>
        <w:tc>
          <w:tcPr>
            <w:tcW w:w="4756" w:type="dxa"/>
            <w:tcBorders>
              <w:top w:val="nil"/>
              <w:left w:val="nil"/>
              <w:bottom w:val="nil"/>
              <w:right w:val="nil"/>
            </w:tcBorders>
            <w:shd w:val="clear" w:color="000000" w:fill="FFFFFF"/>
            <w:vAlign w:val="center"/>
            <w:hideMark/>
          </w:tcPr>
          <w:p w14:paraId="3E3C72A1" w14:textId="77777777" w:rsidR="0021298F" w:rsidRPr="00FD2040" w:rsidRDefault="0021298F" w:rsidP="00760009">
            <w:pPr>
              <w:rPr>
                <w:rFonts w:ascii="Arial" w:eastAsia="Times New Roman" w:hAnsi="Arial" w:cs="Arial"/>
                <w:color w:val="000000"/>
                <w:lang w:eastAsia="en-GB"/>
              </w:rPr>
            </w:pPr>
            <w:r w:rsidRPr="00FD2040">
              <w:rPr>
                <w:rFonts w:ascii="Arial" w:eastAsia="Times New Roman" w:hAnsi="Arial" w:cs="Arial"/>
                <w:color w:val="000000"/>
                <w:lang w:eastAsia="en-GB"/>
              </w:rPr>
              <w:t> </w:t>
            </w:r>
          </w:p>
        </w:tc>
        <w:tc>
          <w:tcPr>
            <w:tcW w:w="705" w:type="dxa"/>
            <w:tcBorders>
              <w:top w:val="nil"/>
              <w:left w:val="nil"/>
              <w:bottom w:val="nil"/>
              <w:right w:val="nil"/>
            </w:tcBorders>
            <w:shd w:val="clear" w:color="000000" w:fill="FFFFFF"/>
            <w:vAlign w:val="center"/>
            <w:hideMark/>
          </w:tcPr>
          <w:p w14:paraId="3006574B" w14:textId="77777777" w:rsidR="0021298F" w:rsidRPr="00FD2040" w:rsidRDefault="0021298F" w:rsidP="00760009">
            <w:pPr>
              <w:jc w:val="center"/>
              <w:rPr>
                <w:rFonts w:ascii="Arial" w:eastAsia="Times New Roman" w:hAnsi="Arial" w:cs="Arial"/>
                <w:b/>
                <w:bCs/>
                <w:color w:val="000000"/>
                <w:sz w:val="20"/>
                <w:szCs w:val="20"/>
                <w:lang w:eastAsia="en-GB"/>
              </w:rPr>
            </w:pPr>
            <w:r w:rsidRPr="00FD2040">
              <w:rPr>
                <w:rFonts w:ascii="Arial" w:eastAsia="Times New Roman" w:hAnsi="Arial" w:cs="Arial"/>
                <w:b/>
                <w:bCs/>
                <w:color w:val="000000"/>
                <w:sz w:val="20"/>
                <w:szCs w:val="20"/>
                <w:lang w:eastAsia="en-GB"/>
              </w:rPr>
              <w:t> </w:t>
            </w:r>
          </w:p>
        </w:tc>
        <w:tc>
          <w:tcPr>
            <w:tcW w:w="2194" w:type="dxa"/>
            <w:tcBorders>
              <w:top w:val="nil"/>
              <w:left w:val="nil"/>
              <w:bottom w:val="nil"/>
              <w:right w:val="nil"/>
            </w:tcBorders>
            <w:shd w:val="clear" w:color="000000" w:fill="EDFFB7"/>
            <w:vAlign w:val="center"/>
            <w:hideMark/>
          </w:tcPr>
          <w:p w14:paraId="7E4F92B0" w14:textId="77777777" w:rsidR="0021298F" w:rsidRPr="00FD2040" w:rsidRDefault="0021298F" w:rsidP="00760009">
            <w:pPr>
              <w:jc w:val="right"/>
              <w:rPr>
                <w:rFonts w:ascii="Arial" w:eastAsia="Times New Roman" w:hAnsi="Arial" w:cs="Arial"/>
                <w:color w:val="000000"/>
                <w:lang w:eastAsia="en-GB"/>
              </w:rPr>
            </w:pPr>
            <w:r w:rsidRPr="00FD2040">
              <w:rPr>
                <w:rFonts w:ascii="Arial" w:eastAsia="Times New Roman" w:hAnsi="Arial" w:cs="Arial"/>
                <w:color w:val="000000"/>
                <w:lang w:eastAsia="en-GB"/>
              </w:rPr>
              <w:t> </w:t>
            </w:r>
          </w:p>
        </w:tc>
        <w:tc>
          <w:tcPr>
            <w:tcW w:w="2239" w:type="dxa"/>
            <w:tcBorders>
              <w:top w:val="nil"/>
              <w:left w:val="nil"/>
              <w:bottom w:val="nil"/>
              <w:right w:val="nil"/>
            </w:tcBorders>
            <w:shd w:val="clear" w:color="auto" w:fill="auto"/>
            <w:noWrap/>
            <w:vAlign w:val="center"/>
            <w:hideMark/>
          </w:tcPr>
          <w:p w14:paraId="4DBB5DDA" w14:textId="77777777" w:rsidR="0021298F" w:rsidRPr="00FD2040" w:rsidRDefault="0021298F" w:rsidP="00760009">
            <w:pPr>
              <w:jc w:val="right"/>
              <w:rPr>
                <w:rFonts w:ascii="Arial" w:eastAsia="Times New Roman" w:hAnsi="Arial" w:cs="Arial"/>
                <w:color w:val="000000"/>
                <w:lang w:eastAsia="en-GB"/>
              </w:rPr>
            </w:pPr>
          </w:p>
        </w:tc>
      </w:tr>
      <w:tr w:rsidR="0021298F" w:rsidRPr="00FD2040" w14:paraId="3B73393A" w14:textId="77777777" w:rsidTr="00760009">
        <w:trPr>
          <w:trHeight w:val="589"/>
        </w:trPr>
        <w:tc>
          <w:tcPr>
            <w:tcW w:w="4756" w:type="dxa"/>
            <w:tcBorders>
              <w:top w:val="nil"/>
              <w:left w:val="nil"/>
              <w:bottom w:val="nil"/>
              <w:right w:val="nil"/>
            </w:tcBorders>
            <w:shd w:val="clear" w:color="000000" w:fill="FFFFFF"/>
            <w:vAlign w:val="center"/>
            <w:hideMark/>
          </w:tcPr>
          <w:p w14:paraId="7B1A80F0" w14:textId="77777777" w:rsidR="0021298F" w:rsidRPr="00FD2040" w:rsidRDefault="0021298F" w:rsidP="00760009">
            <w:pPr>
              <w:rPr>
                <w:rFonts w:ascii="Arial" w:eastAsia="Times New Roman" w:hAnsi="Arial" w:cs="Arial"/>
                <w:color w:val="000000"/>
                <w:lang w:eastAsia="en-GB"/>
              </w:rPr>
            </w:pPr>
            <w:r w:rsidRPr="00FD2040">
              <w:rPr>
                <w:rFonts w:ascii="Arial" w:eastAsia="Times New Roman" w:hAnsi="Arial" w:cs="Arial"/>
                <w:color w:val="000000"/>
                <w:lang w:eastAsia="en-GB"/>
              </w:rPr>
              <w:t>Net increase/(decrease) in cash and cash equivalents during the year</w:t>
            </w:r>
          </w:p>
        </w:tc>
        <w:tc>
          <w:tcPr>
            <w:tcW w:w="705" w:type="dxa"/>
            <w:tcBorders>
              <w:top w:val="nil"/>
              <w:left w:val="nil"/>
              <w:bottom w:val="nil"/>
              <w:right w:val="nil"/>
            </w:tcBorders>
            <w:shd w:val="clear" w:color="000000" w:fill="FFFFFF"/>
            <w:vAlign w:val="center"/>
            <w:hideMark/>
          </w:tcPr>
          <w:p w14:paraId="42D176F1" w14:textId="77777777" w:rsidR="0021298F" w:rsidRPr="00FD2040" w:rsidRDefault="0021298F" w:rsidP="00760009">
            <w:pPr>
              <w:rPr>
                <w:rFonts w:ascii="Calibri" w:eastAsia="Times New Roman" w:hAnsi="Calibri" w:cs="Calibri"/>
                <w:color w:val="000000"/>
                <w:lang w:eastAsia="en-GB"/>
              </w:rPr>
            </w:pPr>
            <w:r w:rsidRPr="00FD2040">
              <w:rPr>
                <w:rFonts w:ascii="Calibri" w:eastAsia="Times New Roman" w:hAnsi="Calibri" w:cs="Calibri"/>
                <w:color w:val="000000"/>
                <w:lang w:eastAsia="en-GB"/>
              </w:rPr>
              <w:t> </w:t>
            </w:r>
          </w:p>
        </w:tc>
        <w:tc>
          <w:tcPr>
            <w:tcW w:w="2194" w:type="dxa"/>
            <w:tcBorders>
              <w:top w:val="nil"/>
              <w:left w:val="nil"/>
              <w:bottom w:val="nil"/>
              <w:right w:val="nil"/>
            </w:tcBorders>
            <w:shd w:val="clear" w:color="000000" w:fill="EDFFB7"/>
            <w:vAlign w:val="center"/>
            <w:hideMark/>
          </w:tcPr>
          <w:p w14:paraId="78CCC9D9" w14:textId="77777777" w:rsidR="0021298F" w:rsidRPr="00FD2040" w:rsidRDefault="0021298F" w:rsidP="00760009">
            <w:pPr>
              <w:jc w:val="right"/>
              <w:rPr>
                <w:rFonts w:ascii="Arial" w:eastAsia="Times New Roman" w:hAnsi="Arial" w:cs="Arial"/>
                <w:b/>
                <w:bCs/>
                <w:color w:val="000000"/>
                <w:lang w:eastAsia="en-GB"/>
              </w:rPr>
            </w:pPr>
            <w:r w:rsidRPr="00FD2040">
              <w:rPr>
                <w:rFonts w:ascii="Arial" w:eastAsia="Times New Roman" w:hAnsi="Arial" w:cs="Arial"/>
                <w:b/>
                <w:bCs/>
                <w:color w:val="000000"/>
                <w:lang w:eastAsia="en-GB"/>
              </w:rPr>
              <w:t xml:space="preserve">1,357 </w:t>
            </w:r>
          </w:p>
        </w:tc>
        <w:tc>
          <w:tcPr>
            <w:tcW w:w="2239" w:type="dxa"/>
            <w:tcBorders>
              <w:top w:val="nil"/>
              <w:left w:val="nil"/>
              <w:bottom w:val="nil"/>
              <w:right w:val="nil"/>
            </w:tcBorders>
            <w:shd w:val="clear" w:color="auto" w:fill="auto"/>
            <w:vAlign w:val="center"/>
            <w:hideMark/>
          </w:tcPr>
          <w:p w14:paraId="636882EA" w14:textId="77777777" w:rsidR="0021298F" w:rsidRPr="00FD2040" w:rsidRDefault="0021298F" w:rsidP="00760009">
            <w:pPr>
              <w:jc w:val="right"/>
              <w:rPr>
                <w:rFonts w:ascii="Arial" w:eastAsia="Times New Roman" w:hAnsi="Arial" w:cs="Arial"/>
                <w:b/>
                <w:bCs/>
                <w:color w:val="000000"/>
                <w:lang w:eastAsia="en-GB"/>
              </w:rPr>
            </w:pPr>
            <w:r w:rsidRPr="00FD2040">
              <w:rPr>
                <w:rFonts w:ascii="Arial" w:eastAsia="Times New Roman" w:hAnsi="Arial" w:cs="Arial"/>
                <w:b/>
                <w:bCs/>
                <w:color w:val="000000"/>
                <w:lang w:eastAsia="en-GB"/>
              </w:rPr>
              <w:t xml:space="preserve"> (571)</w:t>
            </w:r>
          </w:p>
        </w:tc>
      </w:tr>
      <w:tr w:rsidR="0021298F" w:rsidRPr="00FD2040" w14:paraId="07298475" w14:textId="77777777" w:rsidTr="00760009">
        <w:trPr>
          <w:trHeight w:val="300"/>
        </w:trPr>
        <w:tc>
          <w:tcPr>
            <w:tcW w:w="4756" w:type="dxa"/>
            <w:tcBorders>
              <w:top w:val="nil"/>
              <w:left w:val="nil"/>
              <w:bottom w:val="nil"/>
              <w:right w:val="nil"/>
            </w:tcBorders>
            <w:shd w:val="clear" w:color="000000" w:fill="FFFFFF"/>
            <w:vAlign w:val="center"/>
            <w:hideMark/>
          </w:tcPr>
          <w:p w14:paraId="4E674754" w14:textId="77777777" w:rsidR="0021298F" w:rsidRPr="00FD2040" w:rsidRDefault="0021298F" w:rsidP="00760009">
            <w:pPr>
              <w:rPr>
                <w:rFonts w:ascii="Arial" w:eastAsia="Times New Roman" w:hAnsi="Arial" w:cs="Arial"/>
                <w:color w:val="000000"/>
                <w:lang w:eastAsia="en-GB"/>
              </w:rPr>
            </w:pPr>
            <w:r w:rsidRPr="00FD2040">
              <w:rPr>
                <w:rFonts w:ascii="Arial" w:eastAsia="Times New Roman" w:hAnsi="Arial" w:cs="Arial"/>
                <w:color w:val="000000"/>
                <w:lang w:eastAsia="en-GB"/>
              </w:rPr>
              <w:t> </w:t>
            </w:r>
          </w:p>
        </w:tc>
        <w:tc>
          <w:tcPr>
            <w:tcW w:w="705" w:type="dxa"/>
            <w:tcBorders>
              <w:top w:val="nil"/>
              <w:left w:val="nil"/>
              <w:bottom w:val="nil"/>
              <w:right w:val="nil"/>
            </w:tcBorders>
            <w:shd w:val="clear" w:color="000000" w:fill="FFFFFF"/>
            <w:vAlign w:val="center"/>
            <w:hideMark/>
          </w:tcPr>
          <w:p w14:paraId="6B283283" w14:textId="77777777" w:rsidR="0021298F" w:rsidRPr="00FD2040" w:rsidRDefault="0021298F" w:rsidP="00760009">
            <w:pPr>
              <w:rPr>
                <w:rFonts w:ascii="Calibri" w:eastAsia="Times New Roman" w:hAnsi="Calibri" w:cs="Calibri"/>
                <w:color w:val="000000"/>
                <w:lang w:eastAsia="en-GB"/>
              </w:rPr>
            </w:pPr>
            <w:r w:rsidRPr="00FD2040">
              <w:rPr>
                <w:rFonts w:ascii="Calibri" w:eastAsia="Times New Roman" w:hAnsi="Calibri" w:cs="Calibri"/>
                <w:color w:val="000000"/>
                <w:lang w:eastAsia="en-GB"/>
              </w:rPr>
              <w:t> </w:t>
            </w:r>
          </w:p>
        </w:tc>
        <w:tc>
          <w:tcPr>
            <w:tcW w:w="2194" w:type="dxa"/>
            <w:tcBorders>
              <w:top w:val="nil"/>
              <w:left w:val="nil"/>
              <w:bottom w:val="nil"/>
              <w:right w:val="nil"/>
            </w:tcBorders>
            <w:shd w:val="clear" w:color="000000" w:fill="EDFFB7"/>
            <w:vAlign w:val="center"/>
            <w:hideMark/>
          </w:tcPr>
          <w:p w14:paraId="0026B2FF" w14:textId="77777777" w:rsidR="0021298F" w:rsidRPr="00FD2040" w:rsidRDefault="0021298F" w:rsidP="00760009">
            <w:pPr>
              <w:jc w:val="right"/>
              <w:rPr>
                <w:rFonts w:ascii="Arial" w:eastAsia="Times New Roman" w:hAnsi="Arial" w:cs="Arial"/>
                <w:b/>
                <w:bCs/>
                <w:color w:val="000000"/>
                <w:lang w:eastAsia="en-GB"/>
              </w:rPr>
            </w:pPr>
            <w:r w:rsidRPr="00FD2040">
              <w:rPr>
                <w:rFonts w:ascii="Arial" w:eastAsia="Times New Roman" w:hAnsi="Arial" w:cs="Arial"/>
                <w:b/>
                <w:bCs/>
                <w:color w:val="000000"/>
                <w:lang w:eastAsia="en-GB"/>
              </w:rPr>
              <w:t> </w:t>
            </w:r>
          </w:p>
        </w:tc>
        <w:tc>
          <w:tcPr>
            <w:tcW w:w="2239" w:type="dxa"/>
            <w:tcBorders>
              <w:top w:val="nil"/>
              <w:left w:val="nil"/>
              <w:bottom w:val="nil"/>
              <w:right w:val="nil"/>
            </w:tcBorders>
            <w:shd w:val="clear" w:color="auto" w:fill="auto"/>
            <w:noWrap/>
            <w:vAlign w:val="center"/>
            <w:hideMark/>
          </w:tcPr>
          <w:p w14:paraId="67AD8739" w14:textId="77777777" w:rsidR="0021298F" w:rsidRPr="00FD2040" w:rsidRDefault="0021298F" w:rsidP="00760009">
            <w:pPr>
              <w:jc w:val="right"/>
              <w:rPr>
                <w:rFonts w:ascii="Arial" w:eastAsia="Times New Roman" w:hAnsi="Arial" w:cs="Arial"/>
                <w:b/>
                <w:bCs/>
                <w:color w:val="000000"/>
                <w:lang w:eastAsia="en-GB"/>
              </w:rPr>
            </w:pPr>
          </w:p>
        </w:tc>
      </w:tr>
      <w:tr w:rsidR="0021298F" w:rsidRPr="00FD2040" w14:paraId="2F1092E1" w14:textId="77777777" w:rsidTr="00760009">
        <w:trPr>
          <w:trHeight w:val="300"/>
        </w:trPr>
        <w:tc>
          <w:tcPr>
            <w:tcW w:w="5461" w:type="dxa"/>
            <w:gridSpan w:val="2"/>
            <w:tcBorders>
              <w:top w:val="nil"/>
              <w:left w:val="nil"/>
              <w:bottom w:val="nil"/>
              <w:right w:val="nil"/>
            </w:tcBorders>
            <w:shd w:val="clear" w:color="000000" w:fill="FFFFFF"/>
            <w:vAlign w:val="center"/>
            <w:hideMark/>
          </w:tcPr>
          <w:p w14:paraId="5ECB29D5" w14:textId="77777777" w:rsidR="0021298F" w:rsidRPr="00FD2040" w:rsidRDefault="0021298F" w:rsidP="00760009">
            <w:pPr>
              <w:rPr>
                <w:rFonts w:ascii="Arial" w:eastAsia="Times New Roman" w:hAnsi="Arial" w:cs="Arial"/>
                <w:color w:val="000000"/>
                <w:lang w:eastAsia="en-GB"/>
              </w:rPr>
            </w:pPr>
            <w:r w:rsidRPr="00FD2040">
              <w:rPr>
                <w:rFonts w:ascii="Arial" w:eastAsia="Times New Roman" w:hAnsi="Arial" w:cs="Arial"/>
                <w:color w:val="000000"/>
                <w:lang w:eastAsia="en-GB"/>
              </w:rPr>
              <w:lastRenderedPageBreak/>
              <w:t>Cash and cash equivalents at the beginning of the year</w:t>
            </w:r>
          </w:p>
        </w:tc>
        <w:tc>
          <w:tcPr>
            <w:tcW w:w="2194" w:type="dxa"/>
            <w:tcBorders>
              <w:top w:val="nil"/>
              <w:left w:val="nil"/>
              <w:bottom w:val="nil"/>
              <w:right w:val="nil"/>
            </w:tcBorders>
            <w:shd w:val="clear" w:color="000000" w:fill="EDFFB7"/>
            <w:vAlign w:val="center"/>
            <w:hideMark/>
          </w:tcPr>
          <w:p w14:paraId="3310CC76" w14:textId="77777777" w:rsidR="0021298F" w:rsidRPr="00FD2040" w:rsidRDefault="0021298F" w:rsidP="00760009">
            <w:pPr>
              <w:jc w:val="right"/>
              <w:rPr>
                <w:rFonts w:ascii="Arial" w:eastAsia="Times New Roman" w:hAnsi="Arial" w:cs="Arial"/>
                <w:b/>
                <w:bCs/>
                <w:color w:val="000000"/>
                <w:lang w:eastAsia="en-GB"/>
              </w:rPr>
            </w:pPr>
            <w:r w:rsidRPr="00FD2040">
              <w:rPr>
                <w:rFonts w:ascii="Arial" w:eastAsia="Times New Roman" w:hAnsi="Arial" w:cs="Arial"/>
                <w:b/>
                <w:bCs/>
                <w:color w:val="000000"/>
                <w:lang w:eastAsia="en-GB"/>
              </w:rPr>
              <w:t>188</w:t>
            </w:r>
          </w:p>
        </w:tc>
        <w:tc>
          <w:tcPr>
            <w:tcW w:w="2239" w:type="dxa"/>
            <w:tcBorders>
              <w:top w:val="nil"/>
              <w:left w:val="nil"/>
              <w:bottom w:val="nil"/>
              <w:right w:val="nil"/>
            </w:tcBorders>
            <w:shd w:val="clear" w:color="auto" w:fill="auto"/>
            <w:noWrap/>
            <w:vAlign w:val="center"/>
            <w:hideMark/>
          </w:tcPr>
          <w:p w14:paraId="26809CEA" w14:textId="77777777" w:rsidR="0021298F" w:rsidRPr="00FD2040" w:rsidRDefault="0021298F" w:rsidP="00760009">
            <w:pPr>
              <w:jc w:val="right"/>
              <w:rPr>
                <w:rFonts w:ascii="Arial" w:eastAsia="Times New Roman" w:hAnsi="Arial" w:cs="Arial"/>
                <w:b/>
                <w:bCs/>
                <w:color w:val="000000"/>
                <w:lang w:eastAsia="en-GB"/>
              </w:rPr>
            </w:pPr>
            <w:r w:rsidRPr="00FD2040">
              <w:rPr>
                <w:rFonts w:ascii="Arial" w:eastAsia="Times New Roman" w:hAnsi="Arial" w:cs="Arial"/>
                <w:b/>
                <w:bCs/>
                <w:color w:val="000000"/>
                <w:lang w:eastAsia="en-GB"/>
              </w:rPr>
              <w:t>759</w:t>
            </w:r>
          </w:p>
        </w:tc>
      </w:tr>
      <w:tr w:rsidR="0021298F" w:rsidRPr="00FD2040" w14:paraId="41D3FDBB" w14:textId="77777777" w:rsidTr="00760009">
        <w:trPr>
          <w:trHeight w:val="315"/>
        </w:trPr>
        <w:tc>
          <w:tcPr>
            <w:tcW w:w="4756" w:type="dxa"/>
            <w:tcBorders>
              <w:top w:val="nil"/>
              <w:left w:val="nil"/>
              <w:bottom w:val="single" w:sz="8" w:space="0" w:color="auto"/>
              <w:right w:val="nil"/>
            </w:tcBorders>
            <w:shd w:val="clear" w:color="000000" w:fill="FFFFFF"/>
            <w:vAlign w:val="center"/>
            <w:hideMark/>
          </w:tcPr>
          <w:p w14:paraId="29DF7B5C" w14:textId="77777777" w:rsidR="0021298F" w:rsidRPr="00FD2040" w:rsidRDefault="0021298F" w:rsidP="00760009">
            <w:pPr>
              <w:rPr>
                <w:rFonts w:ascii="Arial" w:eastAsia="Times New Roman" w:hAnsi="Arial" w:cs="Arial"/>
                <w:color w:val="000000"/>
                <w:lang w:eastAsia="en-GB"/>
              </w:rPr>
            </w:pPr>
            <w:r w:rsidRPr="00FD2040">
              <w:rPr>
                <w:rFonts w:ascii="Arial" w:eastAsia="Times New Roman" w:hAnsi="Arial" w:cs="Arial"/>
                <w:color w:val="000000"/>
                <w:lang w:eastAsia="en-GB"/>
              </w:rPr>
              <w:t> </w:t>
            </w:r>
          </w:p>
        </w:tc>
        <w:tc>
          <w:tcPr>
            <w:tcW w:w="705" w:type="dxa"/>
            <w:tcBorders>
              <w:top w:val="nil"/>
              <w:left w:val="nil"/>
              <w:bottom w:val="single" w:sz="8" w:space="0" w:color="auto"/>
              <w:right w:val="nil"/>
            </w:tcBorders>
            <w:shd w:val="clear" w:color="000000" w:fill="FFFFFF"/>
            <w:vAlign w:val="center"/>
            <w:hideMark/>
          </w:tcPr>
          <w:p w14:paraId="7D8C460B" w14:textId="77777777" w:rsidR="0021298F" w:rsidRPr="00FD2040" w:rsidRDefault="0021298F" w:rsidP="00760009">
            <w:pPr>
              <w:rPr>
                <w:rFonts w:ascii="Calibri" w:eastAsia="Times New Roman" w:hAnsi="Calibri" w:cs="Calibri"/>
                <w:color w:val="000000"/>
                <w:lang w:eastAsia="en-GB"/>
              </w:rPr>
            </w:pPr>
            <w:r w:rsidRPr="00FD2040">
              <w:rPr>
                <w:rFonts w:ascii="Calibri" w:eastAsia="Times New Roman" w:hAnsi="Calibri" w:cs="Calibri"/>
                <w:color w:val="000000"/>
                <w:lang w:eastAsia="en-GB"/>
              </w:rPr>
              <w:t> </w:t>
            </w:r>
          </w:p>
        </w:tc>
        <w:tc>
          <w:tcPr>
            <w:tcW w:w="2194" w:type="dxa"/>
            <w:tcBorders>
              <w:top w:val="nil"/>
              <w:left w:val="nil"/>
              <w:bottom w:val="single" w:sz="8" w:space="0" w:color="auto"/>
              <w:right w:val="nil"/>
            </w:tcBorders>
            <w:shd w:val="clear" w:color="000000" w:fill="EDFFB7"/>
            <w:vAlign w:val="center"/>
            <w:hideMark/>
          </w:tcPr>
          <w:p w14:paraId="09681B18" w14:textId="77777777" w:rsidR="0021298F" w:rsidRPr="00FD2040" w:rsidRDefault="0021298F" w:rsidP="00760009">
            <w:pPr>
              <w:jc w:val="right"/>
              <w:rPr>
                <w:rFonts w:ascii="Arial" w:eastAsia="Times New Roman" w:hAnsi="Arial" w:cs="Arial"/>
                <w:color w:val="000000"/>
                <w:lang w:eastAsia="en-GB"/>
              </w:rPr>
            </w:pPr>
            <w:r w:rsidRPr="00FD2040">
              <w:rPr>
                <w:rFonts w:ascii="Arial" w:eastAsia="Times New Roman" w:hAnsi="Arial" w:cs="Arial"/>
                <w:color w:val="000000"/>
                <w:lang w:eastAsia="en-GB"/>
              </w:rPr>
              <w:t> </w:t>
            </w:r>
          </w:p>
        </w:tc>
        <w:tc>
          <w:tcPr>
            <w:tcW w:w="2239" w:type="dxa"/>
            <w:tcBorders>
              <w:top w:val="nil"/>
              <w:left w:val="nil"/>
              <w:bottom w:val="single" w:sz="8" w:space="0" w:color="auto"/>
              <w:right w:val="nil"/>
            </w:tcBorders>
            <w:shd w:val="clear" w:color="auto" w:fill="auto"/>
            <w:noWrap/>
            <w:vAlign w:val="center"/>
            <w:hideMark/>
          </w:tcPr>
          <w:p w14:paraId="79E42E5F" w14:textId="77777777" w:rsidR="0021298F" w:rsidRPr="00FD2040" w:rsidRDefault="0021298F" w:rsidP="00760009">
            <w:pPr>
              <w:jc w:val="right"/>
              <w:rPr>
                <w:rFonts w:ascii="Arial" w:eastAsia="Times New Roman" w:hAnsi="Arial" w:cs="Arial"/>
                <w:color w:val="000000"/>
                <w:lang w:eastAsia="en-GB"/>
              </w:rPr>
            </w:pPr>
            <w:r w:rsidRPr="00FD2040">
              <w:rPr>
                <w:rFonts w:ascii="Arial" w:eastAsia="Times New Roman" w:hAnsi="Arial" w:cs="Arial"/>
                <w:color w:val="000000"/>
                <w:lang w:eastAsia="en-GB"/>
              </w:rPr>
              <w:t> </w:t>
            </w:r>
          </w:p>
        </w:tc>
      </w:tr>
      <w:tr w:rsidR="0021298F" w:rsidRPr="00FD2040" w14:paraId="545F2290" w14:textId="77777777" w:rsidTr="00760009">
        <w:trPr>
          <w:trHeight w:val="360"/>
        </w:trPr>
        <w:tc>
          <w:tcPr>
            <w:tcW w:w="5461" w:type="dxa"/>
            <w:gridSpan w:val="2"/>
            <w:tcBorders>
              <w:top w:val="single" w:sz="8" w:space="0" w:color="auto"/>
              <w:left w:val="nil"/>
              <w:bottom w:val="single" w:sz="8" w:space="0" w:color="auto"/>
              <w:right w:val="nil"/>
            </w:tcBorders>
            <w:shd w:val="clear" w:color="000000" w:fill="FFFFFF"/>
            <w:vAlign w:val="center"/>
            <w:hideMark/>
          </w:tcPr>
          <w:p w14:paraId="7CB9B54A" w14:textId="77777777" w:rsidR="0021298F" w:rsidRPr="00FD2040" w:rsidRDefault="0021298F" w:rsidP="00760009">
            <w:pPr>
              <w:rPr>
                <w:rFonts w:ascii="Arial" w:eastAsia="Times New Roman" w:hAnsi="Arial" w:cs="Arial"/>
                <w:b/>
                <w:bCs/>
                <w:color w:val="000000"/>
                <w:lang w:eastAsia="en-GB"/>
              </w:rPr>
            </w:pPr>
            <w:r w:rsidRPr="00FD2040">
              <w:rPr>
                <w:rFonts w:ascii="Arial" w:eastAsia="Times New Roman" w:hAnsi="Arial" w:cs="Arial"/>
                <w:b/>
                <w:bCs/>
                <w:color w:val="000000"/>
                <w:lang w:eastAsia="en-GB"/>
              </w:rPr>
              <w:t>Cash and cash equivalents at the end of the year</w:t>
            </w:r>
          </w:p>
        </w:tc>
        <w:tc>
          <w:tcPr>
            <w:tcW w:w="2194" w:type="dxa"/>
            <w:tcBorders>
              <w:top w:val="nil"/>
              <w:left w:val="nil"/>
              <w:bottom w:val="single" w:sz="8" w:space="0" w:color="auto"/>
              <w:right w:val="nil"/>
            </w:tcBorders>
            <w:shd w:val="clear" w:color="000000" w:fill="EDFFB7"/>
            <w:vAlign w:val="center"/>
            <w:hideMark/>
          </w:tcPr>
          <w:p w14:paraId="7B6CC739" w14:textId="77777777" w:rsidR="0021298F" w:rsidRPr="00FD2040" w:rsidRDefault="0021298F" w:rsidP="00760009">
            <w:pPr>
              <w:jc w:val="right"/>
              <w:rPr>
                <w:rFonts w:ascii="Arial" w:eastAsia="Times New Roman" w:hAnsi="Arial" w:cs="Arial"/>
                <w:b/>
                <w:bCs/>
                <w:color w:val="000000"/>
                <w:lang w:eastAsia="en-GB"/>
              </w:rPr>
            </w:pPr>
            <w:r w:rsidRPr="00FD2040">
              <w:rPr>
                <w:rFonts w:ascii="Arial" w:eastAsia="Times New Roman" w:hAnsi="Arial" w:cs="Arial"/>
                <w:b/>
                <w:bCs/>
                <w:color w:val="000000"/>
                <w:lang w:eastAsia="en-GB"/>
              </w:rPr>
              <w:t xml:space="preserve">1,545 </w:t>
            </w:r>
          </w:p>
        </w:tc>
        <w:tc>
          <w:tcPr>
            <w:tcW w:w="2239" w:type="dxa"/>
            <w:tcBorders>
              <w:top w:val="nil"/>
              <w:left w:val="nil"/>
              <w:bottom w:val="single" w:sz="8" w:space="0" w:color="auto"/>
              <w:right w:val="nil"/>
            </w:tcBorders>
            <w:shd w:val="clear" w:color="auto" w:fill="auto"/>
            <w:noWrap/>
            <w:vAlign w:val="center"/>
            <w:hideMark/>
          </w:tcPr>
          <w:p w14:paraId="1723D2EA" w14:textId="77777777" w:rsidR="0021298F" w:rsidRPr="00FD2040" w:rsidRDefault="0021298F" w:rsidP="00760009">
            <w:pPr>
              <w:jc w:val="right"/>
              <w:rPr>
                <w:rFonts w:ascii="Arial" w:eastAsia="Times New Roman" w:hAnsi="Arial" w:cs="Arial"/>
                <w:b/>
                <w:bCs/>
                <w:color w:val="000000"/>
                <w:lang w:eastAsia="en-GB"/>
              </w:rPr>
            </w:pPr>
            <w:r w:rsidRPr="00FD2040">
              <w:rPr>
                <w:rFonts w:ascii="Arial" w:eastAsia="Times New Roman" w:hAnsi="Arial" w:cs="Arial"/>
                <w:b/>
                <w:bCs/>
                <w:color w:val="000000"/>
                <w:lang w:eastAsia="en-GB"/>
              </w:rPr>
              <w:t>188</w:t>
            </w:r>
          </w:p>
        </w:tc>
      </w:tr>
    </w:tbl>
    <w:p w14:paraId="60BDDA0F" w14:textId="77777777" w:rsidR="0021298F" w:rsidRDefault="0021298F" w:rsidP="0021298F">
      <w:pPr>
        <w:pStyle w:val="Bullets"/>
        <w:numPr>
          <w:ilvl w:val="0"/>
          <w:numId w:val="0"/>
        </w:numPr>
        <w:jc w:val="both"/>
        <w:rPr>
          <w:rFonts w:cs="Arial"/>
        </w:rPr>
      </w:pPr>
    </w:p>
    <w:p w14:paraId="6E6352EE" w14:textId="77777777" w:rsidR="0021298F" w:rsidRDefault="0021298F" w:rsidP="0021298F">
      <w:pPr>
        <w:pStyle w:val="Bullets"/>
        <w:numPr>
          <w:ilvl w:val="0"/>
          <w:numId w:val="0"/>
        </w:numPr>
        <w:jc w:val="both"/>
        <w:rPr>
          <w:rFonts w:cs="Arial"/>
        </w:rPr>
      </w:pPr>
      <w:r w:rsidRPr="00A212F0">
        <w:rPr>
          <w:rFonts w:cs="Arial"/>
        </w:rPr>
        <w:t xml:space="preserve">The accompanying notes </w:t>
      </w:r>
      <w:r>
        <w:rPr>
          <w:rFonts w:cs="Arial"/>
        </w:rPr>
        <w:t>form</w:t>
      </w:r>
      <w:r w:rsidRPr="00A212F0">
        <w:rPr>
          <w:rFonts w:cs="Arial"/>
        </w:rPr>
        <w:t xml:space="preserve"> an integral part of </w:t>
      </w:r>
      <w:r>
        <w:rPr>
          <w:rFonts w:cs="Arial"/>
        </w:rPr>
        <w:t xml:space="preserve">the consolidated financial statements. </w:t>
      </w:r>
    </w:p>
    <w:p w14:paraId="73715A5C" w14:textId="77777777" w:rsidR="0021298F" w:rsidRDefault="0021298F" w:rsidP="0021298F">
      <w:pPr>
        <w:pStyle w:val="Bullets"/>
        <w:numPr>
          <w:ilvl w:val="0"/>
          <w:numId w:val="0"/>
        </w:numPr>
        <w:jc w:val="both"/>
        <w:rPr>
          <w:rFonts w:cs="Arial"/>
        </w:rPr>
      </w:pPr>
    </w:p>
    <w:p w14:paraId="5EA47CD2" w14:textId="77777777" w:rsidR="0021298F" w:rsidRPr="00892738" w:rsidRDefault="0021298F" w:rsidP="0021298F">
      <w:pPr>
        <w:pStyle w:val="Heading1"/>
        <w:jc w:val="both"/>
        <w:rPr>
          <w:rFonts w:cs="Arial"/>
          <w:caps/>
        </w:rPr>
      </w:pPr>
      <w:r w:rsidRPr="00892738">
        <w:rPr>
          <w:rFonts w:cs="Arial"/>
        </w:rPr>
        <w:t xml:space="preserve">Notes to the </w:t>
      </w:r>
      <w:r>
        <w:rPr>
          <w:rFonts w:cs="Arial"/>
        </w:rPr>
        <w:t>C</w:t>
      </w:r>
      <w:r w:rsidRPr="00892738">
        <w:rPr>
          <w:rFonts w:cs="Arial"/>
        </w:rPr>
        <w:t xml:space="preserve">onsolidated </w:t>
      </w:r>
      <w:r>
        <w:rPr>
          <w:rFonts w:cs="Arial"/>
        </w:rPr>
        <w:t>F</w:t>
      </w:r>
      <w:r w:rsidRPr="00892738">
        <w:rPr>
          <w:rFonts w:cs="Arial"/>
        </w:rPr>
        <w:t xml:space="preserve">inancial </w:t>
      </w:r>
      <w:r>
        <w:rPr>
          <w:rFonts w:cs="Arial"/>
        </w:rPr>
        <w:t>S</w:t>
      </w:r>
      <w:r w:rsidRPr="00892738">
        <w:rPr>
          <w:rFonts w:cs="Arial"/>
        </w:rPr>
        <w:t>tatements</w:t>
      </w:r>
    </w:p>
    <w:p w14:paraId="675578CD" w14:textId="77777777" w:rsidR="0021298F" w:rsidRPr="001226F4" w:rsidRDefault="0021298F" w:rsidP="0021298F">
      <w:pPr>
        <w:pStyle w:val="Bullets"/>
        <w:numPr>
          <w:ilvl w:val="0"/>
          <w:numId w:val="0"/>
        </w:numPr>
        <w:jc w:val="both"/>
        <w:rPr>
          <w:rFonts w:cs="Arial"/>
          <w:b/>
        </w:rPr>
      </w:pPr>
      <w:r w:rsidRPr="001226F4">
        <w:rPr>
          <w:rFonts w:cs="Arial"/>
          <w:b/>
        </w:rPr>
        <w:t xml:space="preserve">For the </w:t>
      </w:r>
      <w:r>
        <w:rPr>
          <w:rFonts w:cs="Arial"/>
          <w:b/>
        </w:rPr>
        <w:t>year ended 31 December 2020</w:t>
      </w:r>
    </w:p>
    <w:p w14:paraId="55083B9F" w14:textId="77777777" w:rsidR="0021298F" w:rsidRPr="00581F35" w:rsidRDefault="0021298F" w:rsidP="0021298F">
      <w:pPr>
        <w:jc w:val="both"/>
        <w:rPr>
          <w:rFonts w:ascii="Arial" w:eastAsia="Times New Roman" w:hAnsi="Arial" w:cs="Arial"/>
          <w:sz w:val="18"/>
        </w:rPr>
      </w:pPr>
    </w:p>
    <w:p w14:paraId="37E412DC" w14:textId="77777777" w:rsidR="0021298F" w:rsidRPr="00AE62DE" w:rsidRDefault="0021298F" w:rsidP="0021298F">
      <w:pPr>
        <w:pStyle w:val="Heading2"/>
        <w:keepNext w:val="0"/>
        <w:keepLines w:val="0"/>
        <w:numPr>
          <w:ilvl w:val="0"/>
          <w:numId w:val="46"/>
        </w:numPr>
        <w:spacing w:before="0" w:line="240" w:lineRule="auto"/>
        <w:ind w:left="284"/>
        <w:jc w:val="both"/>
        <w:rPr>
          <w:rFonts w:ascii="Arial" w:hAnsi="Arial" w:cs="Arial"/>
          <w:color w:val="auto"/>
          <w:sz w:val="24"/>
          <w:szCs w:val="22"/>
          <w:lang w:eastAsia="en-GB"/>
        </w:rPr>
      </w:pPr>
      <w:r w:rsidRPr="00AE62DE">
        <w:rPr>
          <w:rFonts w:ascii="Arial" w:hAnsi="Arial" w:cs="Arial"/>
          <w:color w:val="auto"/>
          <w:sz w:val="24"/>
          <w:szCs w:val="22"/>
          <w:lang w:eastAsia="en-GB"/>
        </w:rPr>
        <w:t xml:space="preserve">Significant accounting policies </w:t>
      </w:r>
    </w:p>
    <w:p w14:paraId="43B4626E" w14:textId="77777777" w:rsidR="0021298F" w:rsidRPr="00581F35" w:rsidRDefault="0021298F" w:rsidP="0021298F">
      <w:pPr>
        <w:jc w:val="both"/>
        <w:rPr>
          <w:rFonts w:ascii="Arial" w:eastAsia="Times New Roman" w:hAnsi="Arial" w:cs="Arial"/>
          <w:sz w:val="18"/>
        </w:rPr>
      </w:pPr>
    </w:p>
    <w:p w14:paraId="7A30EE00" w14:textId="77777777" w:rsidR="0021298F" w:rsidRPr="00042D2E" w:rsidRDefault="0021298F" w:rsidP="0021298F">
      <w:pPr>
        <w:pStyle w:val="Heading4"/>
        <w:spacing w:before="0"/>
        <w:jc w:val="both"/>
        <w:rPr>
          <w:rFonts w:ascii="Arial" w:eastAsia="Times New Roman" w:hAnsi="Arial" w:cs="Arial"/>
          <w:i w:val="0"/>
          <w:color w:val="auto"/>
          <w:lang w:eastAsia="en-GB"/>
        </w:rPr>
      </w:pPr>
      <w:r w:rsidRPr="00042D2E">
        <w:rPr>
          <w:rFonts w:ascii="Arial" w:eastAsia="Times New Roman" w:hAnsi="Arial" w:cs="Arial"/>
          <w:i w:val="0"/>
          <w:color w:val="auto"/>
          <w:lang w:eastAsia="en-GB"/>
        </w:rPr>
        <w:t xml:space="preserve">Basis of </w:t>
      </w:r>
      <w:r>
        <w:rPr>
          <w:rFonts w:ascii="Arial" w:eastAsia="Times New Roman" w:hAnsi="Arial" w:cs="Arial"/>
          <w:i w:val="0"/>
          <w:color w:val="auto"/>
          <w:lang w:eastAsia="en-GB"/>
        </w:rPr>
        <w:t>a</w:t>
      </w:r>
      <w:r w:rsidRPr="00042D2E">
        <w:rPr>
          <w:rFonts w:ascii="Arial" w:eastAsia="Times New Roman" w:hAnsi="Arial" w:cs="Arial"/>
          <w:i w:val="0"/>
          <w:color w:val="auto"/>
          <w:lang w:eastAsia="en-GB"/>
        </w:rPr>
        <w:t>ccounting</w:t>
      </w:r>
    </w:p>
    <w:p w14:paraId="42276040" w14:textId="77777777" w:rsidR="0021298F" w:rsidRPr="00E76D75" w:rsidRDefault="0021298F" w:rsidP="0021298F">
      <w:pPr>
        <w:jc w:val="both"/>
        <w:rPr>
          <w:rFonts w:ascii="Arial" w:eastAsia="Times New Roman" w:hAnsi="Arial" w:cs="Arial"/>
        </w:rPr>
      </w:pPr>
      <w:r w:rsidRPr="00E76D75">
        <w:rPr>
          <w:rFonts w:ascii="Arial" w:eastAsia="Times New Roman" w:hAnsi="Arial" w:cs="Arial"/>
        </w:rPr>
        <w:t xml:space="preserve">The </w:t>
      </w:r>
      <w:r>
        <w:rPr>
          <w:rFonts w:ascii="Arial" w:eastAsia="Times New Roman" w:hAnsi="Arial" w:cs="Arial"/>
        </w:rPr>
        <w:t xml:space="preserve">consolidated </w:t>
      </w:r>
      <w:r w:rsidRPr="00E76D75">
        <w:rPr>
          <w:rFonts w:ascii="Arial" w:eastAsia="Times New Roman" w:hAnsi="Arial" w:cs="Arial"/>
        </w:rPr>
        <w:t>ﬁnancial statements have been prepared in accordance with IFRS to the extent that they have been adopted by the EU and with those parts of the Companies Act 2014 applicable to companies</w:t>
      </w:r>
      <w:r>
        <w:rPr>
          <w:rFonts w:ascii="Arial" w:eastAsia="Times New Roman" w:hAnsi="Arial" w:cs="Arial"/>
        </w:rPr>
        <w:t xml:space="preserve"> reporting</w:t>
      </w:r>
      <w:r w:rsidRPr="00E76D75">
        <w:rPr>
          <w:rFonts w:ascii="Arial" w:eastAsia="Times New Roman" w:hAnsi="Arial" w:cs="Arial"/>
        </w:rPr>
        <w:t xml:space="preserve"> under IFRS.</w:t>
      </w:r>
    </w:p>
    <w:p w14:paraId="7BA4409A" w14:textId="77777777" w:rsidR="0021298F" w:rsidRPr="00E76D75" w:rsidRDefault="0021298F" w:rsidP="0021298F">
      <w:pPr>
        <w:jc w:val="both"/>
        <w:rPr>
          <w:rFonts w:ascii="Arial" w:eastAsia="Times New Roman" w:hAnsi="Arial" w:cs="Arial"/>
        </w:rPr>
      </w:pPr>
    </w:p>
    <w:p w14:paraId="674F4D7A" w14:textId="77777777" w:rsidR="0021298F" w:rsidRPr="00E76D75" w:rsidRDefault="0021298F" w:rsidP="0021298F">
      <w:pPr>
        <w:jc w:val="both"/>
        <w:rPr>
          <w:rFonts w:ascii="Arial" w:eastAsia="Times New Roman" w:hAnsi="Arial" w:cs="Arial"/>
        </w:rPr>
      </w:pPr>
      <w:r w:rsidRPr="00E76D75">
        <w:rPr>
          <w:rFonts w:ascii="Arial" w:eastAsia="Times New Roman" w:hAnsi="Arial" w:cs="Arial"/>
        </w:rPr>
        <w:t>These</w:t>
      </w:r>
      <w:r>
        <w:rPr>
          <w:rFonts w:ascii="Arial" w:eastAsia="Times New Roman" w:hAnsi="Arial" w:cs="Arial"/>
        </w:rPr>
        <w:t xml:space="preserve"> consolidated</w:t>
      </w:r>
      <w:r w:rsidRPr="00E76D75">
        <w:rPr>
          <w:rFonts w:ascii="Arial" w:eastAsia="Times New Roman" w:hAnsi="Arial" w:cs="Arial"/>
        </w:rPr>
        <w:t xml:space="preserve"> ﬁnancial statements are presented in Euro (“€”) which is the currency of the primary economic environment in which the Group operates and are rounded to the nearest thousand, unless otherwise stated.</w:t>
      </w:r>
    </w:p>
    <w:p w14:paraId="685C3322" w14:textId="77777777" w:rsidR="0021298F" w:rsidRPr="00E76D75" w:rsidRDefault="0021298F" w:rsidP="0021298F">
      <w:pPr>
        <w:jc w:val="both"/>
        <w:rPr>
          <w:rFonts w:ascii="Arial" w:eastAsia="Times New Roman" w:hAnsi="Arial" w:cs="Arial"/>
        </w:rPr>
      </w:pPr>
    </w:p>
    <w:p w14:paraId="34229C2F" w14:textId="77777777" w:rsidR="0021298F" w:rsidRPr="00581F35" w:rsidRDefault="0021298F" w:rsidP="0021298F">
      <w:pPr>
        <w:jc w:val="both"/>
        <w:rPr>
          <w:rFonts w:ascii="Arial" w:eastAsia="Times New Roman" w:hAnsi="Arial" w:cs="Arial"/>
          <w:sz w:val="18"/>
        </w:rPr>
      </w:pPr>
      <w:r w:rsidRPr="00E76D75">
        <w:rPr>
          <w:rFonts w:ascii="Arial" w:eastAsia="Times New Roman" w:hAnsi="Arial" w:cs="Arial"/>
        </w:rPr>
        <w:t xml:space="preserve">The </w:t>
      </w:r>
      <w:r>
        <w:rPr>
          <w:rFonts w:ascii="Arial" w:eastAsia="Times New Roman" w:hAnsi="Arial" w:cs="Arial"/>
        </w:rPr>
        <w:t xml:space="preserve">consolidated </w:t>
      </w:r>
      <w:r w:rsidRPr="00E76D75">
        <w:rPr>
          <w:rFonts w:ascii="Arial" w:eastAsia="Times New Roman" w:hAnsi="Arial" w:cs="Arial"/>
        </w:rPr>
        <w:t>ﬁnancial statements have been prepared on the historical cost basis, as modiﬁed for the measurement of certain ﬁnancial instruments at fair value through proﬁt or loss. The ﬁnancial statements have been prepared on the going concern basis. The principal accounting policies are set out below.</w:t>
      </w:r>
    </w:p>
    <w:p w14:paraId="2ECE8214" w14:textId="77777777" w:rsidR="0021298F" w:rsidRDefault="0021298F" w:rsidP="0021298F">
      <w:pPr>
        <w:jc w:val="both"/>
        <w:rPr>
          <w:rFonts w:ascii="Arial" w:eastAsia="Times New Roman" w:hAnsi="Arial" w:cs="Arial"/>
          <w:b/>
        </w:rPr>
      </w:pPr>
    </w:p>
    <w:p w14:paraId="43610C49" w14:textId="77777777" w:rsidR="0021298F" w:rsidRPr="00EA15CE" w:rsidRDefault="0021298F" w:rsidP="0021298F">
      <w:pPr>
        <w:jc w:val="both"/>
        <w:rPr>
          <w:rFonts w:ascii="Arial" w:eastAsia="Times New Roman" w:hAnsi="Arial" w:cs="Arial"/>
          <w:b/>
        </w:rPr>
      </w:pPr>
      <w:r w:rsidRPr="00EA15CE">
        <w:rPr>
          <w:rFonts w:ascii="Arial" w:eastAsia="Times New Roman" w:hAnsi="Arial" w:cs="Arial"/>
          <w:b/>
        </w:rPr>
        <w:t>New and amended standards and interpretations applied</w:t>
      </w:r>
    </w:p>
    <w:p w14:paraId="7D21303F" w14:textId="77777777" w:rsidR="0021298F" w:rsidRDefault="0021298F" w:rsidP="0021298F">
      <w:pPr>
        <w:jc w:val="both"/>
        <w:rPr>
          <w:rFonts w:ascii="Arial" w:eastAsia="Times New Roman" w:hAnsi="Arial" w:cs="Arial"/>
        </w:rPr>
      </w:pPr>
      <w:r>
        <w:rPr>
          <w:rFonts w:ascii="Arial" w:eastAsia="Times New Roman" w:hAnsi="Arial" w:cs="Arial"/>
        </w:rPr>
        <w:t>There were no new standards or interpretations effective for the first time for periods beginning on or after 1 January 2020 that had a significant effect on the Group or Company’s financial statements. Furthermore, none of the amendments to standards that are effective from that date had a significant effect on the financial statements.</w:t>
      </w:r>
    </w:p>
    <w:p w14:paraId="7D44D805" w14:textId="77777777" w:rsidR="0021298F" w:rsidRDefault="0021298F" w:rsidP="0021298F">
      <w:pPr>
        <w:jc w:val="both"/>
        <w:rPr>
          <w:rFonts w:ascii="Arial" w:eastAsia="Times New Roman" w:hAnsi="Arial" w:cs="Arial"/>
        </w:rPr>
      </w:pPr>
    </w:p>
    <w:p w14:paraId="552030D3" w14:textId="77777777" w:rsidR="0021298F" w:rsidRPr="001E34C8" w:rsidRDefault="0021298F" w:rsidP="0021298F">
      <w:pPr>
        <w:jc w:val="both"/>
        <w:rPr>
          <w:rFonts w:ascii="Arial" w:eastAsia="Times New Roman" w:hAnsi="Arial" w:cs="Arial"/>
          <w:b/>
        </w:rPr>
      </w:pPr>
      <w:r w:rsidRPr="001E34C8">
        <w:rPr>
          <w:rFonts w:ascii="Arial" w:eastAsia="Times New Roman" w:hAnsi="Arial" w:cs="Arial"/>
          <w:b/>
        </w:rPr>
        <w:t xml:space="preserve">New and amended standards and interpretations not applied </w:t>
      </w:r>
    </w:p>
    <w:p w14:paraId="4EFDF5FA" w14:textId="77777777" w:rsidR="0021298F" w:rsidRDefault="0021298F" w:rsidP="0021298F">
      <w:pPr>
        <w:jc w:val="both"/>
        <w:rPr>
          <w:rFonts w:ascii="Arial" w:eastAsia="Times New Roman" w:hAnsi="Arial" w:cs="Arial"/>
        </w:rPr>
      </w:pPr>
      <w:r>
        <w:rPr>
          <w:rFonts w:ascii="Arial" w:eastAsia="Times New Roman" w:hAnsi="Arial" w:cs="Arial"/>
        </w:rPr>
        <w:t>“</w:t>
      </w:r>
      <w:r w:rsidRPr="00FE64E9">
        <w:rPr>
          <w:rFonts w:ascii="Arial" w:eastAsia="Times New Roman" w:hAnsi="Arial" w:cs="Arial"/>
        </w:rPr>
        <w:t>Interest Rate Benchmark Reform — Phase 2</w:t>
      </w:r>
      <w:r>
        <w:rPr>
          <w:rFonts w:ascii="Arial" w:eastAsia="Times New Roman" w:hAnsi="Arial" w:cs="Arial"/>
        </w:rPr>
        <w:t xml:space="preserve">” </w:t>
      </w:r>
      <w:r w:rsidRPr="009C4735">
        <w:rPr>
          <w:rFonts w:ascii="Arial" w:eastAsia="Times New Roman" w:hAnsi="Arial" w:cs="Arial"/>
        </w:rPr>
        <w:t>w</w:t>
      </w:r>
      <w:r>
        <w:rPr>
          <w:rFonts w:ascii="Arial" w:eastAsia="Times New Roman" w:hAnsi="Arial" w:cs="Arial"/>
        </w:rPr>
        <w:t>as</w:t>
      </w:r>
      <w:r w:rsidRPr="009C4735">
        <w:rPr>
          <w:rFonts w:ascii="Arial" w:eastAsia="Times New Roman" w:hAnsi="Arial" w:cs="Arial"/>
        </w:rPr>
        <w:t xml:space="preserve"> issued </w:t>
      </w:r>
      <w:r>
        <w:rPr>
          <w:rFonts w:ascii="Arial" w:eastAsia="Times New Roman" w:hAnsi="Arial" w:cs="Arial"/>
        </w:rPr>
        <w:t>and</w:t>
      </w:r>
      <w:r w:rsidRPr="009C4735">
        <w:rPr>
          <w:rFonts w:ascii="Arial" w:eastAsia="Times New Roman" w:hAnsi="Arial" w:cs="Arial"/>
        </w:rPr>
        <w:t xml:space="preserve"> </w:t>
      </w:r>
      <w:r>
        <w:rPr>
          <w:rFonts w:ascii="Arial" w:eastAsia="Times New Roman" w:hAnsi="Arial" w:cs="Arial"/>
        </w:rPr>
        <w:t xml:space="preserve">will </w:t>
      </w:r>
      <w:r w:rsidRPr="009C4735">
        <w:rPr>
          <w:rFonts w:ascii="Arial" w:eastAsia="Times New Roman" w:hAnsi="Arial" w:cs="Arial"/>
        </w:rPr>
        <w:t>bec</w:t>
      </w:r>
      <w:r>
        <w:rPr>
          <w:rFonts w:ascii="Arial" w:eastAsia="Times New Roman" w:hAnsi="Arial" w:cs="Arial"/>
        </w:rPr>
        <w:t>o</w:t>
      </w:r>
      <w:r w:rsidRPr="009C4735">
        <w:rPr>
          <w:rFonts w:ascii="Arial" w:eastAsia="Times New Roman" w:hAnsi="Arial" w:cs="Arial"/>
        </w:rPr>
        <w:t xml:space="preserve">me effective </w:t>
      </w:r>
      <w:r>
        <w:rPr>
          <w:rFonts w:ascii="Arial" w:eastAsia="Times New Roman" w:hAnsi="Arial" w:cs="Arial"/>
        </w:rPr>
        <w:t xml:space="preserve">for </w:t>
      </w:r>
      <w:r w:rsidRPr="009C4735">
        <w:rPr>
          <w:rFonts w:ascii="Arial" w:eastAsia="Times New Roman" w:hAnsi="Arial" w:cs="Arial"/>
        </w:rPr>
        <w:t>accounting periods beginning on or after 1 January 20</w:t>
      </w:r>
      <w:r>
        <w:rPr>
          <w:rFonts w:ascii="Arial" w:eastAsia="Times New Roman" w:hAnsi="Arial" w:cs="Arial"/>
        </w:rPr>
        <w:t>21. T</w:t>
      </w:r>
      <w:r w:rsidRPr="00FE64E9">
        <w:rPr>
          <w:rFonts w:ascii="Arial" w:eastAsia="Times New Roman" w:hAnsi="Arial" w:cs="Arial"/>
        </w:rPr>
        <w:t xml:space="preserve">he amendments require additional disclosures </w:t>
      </w:r>
      <w:r w:rsidRPr="00251EC1">
        <w:rPr>
          <w:rFonts w:ascii="Arial" w:eastAsia="Times New Roman" w:hAnsi="Arial" w:cs="Arial"/>
        </w:rPr>
        <w:t>that address issues that might affect financial reporting after the reform of an interest rate benchmark, including its replacement with alternative benchmark rates.</w:t>
      </w:r>
      <w:r>
        <w:rPr>
          <w:rFonts w:ascii="Arial" w:eastAsia="Times New Roman" w:hAnsi="Arial" w:cs="Arial"/>
        </w:rPr>
        <w:t xml:space="preserve"> The impact of this standard is not expected to have a material impact on the reported results and financial position of the Group. </w:t>
      </w:r>
    </w:p>
    <w:p w14:paraId="7FD2642A" w14:textId="77777777" w:rsidR="0021298F" w:rsidRPr="00FE64E9" w:rsidRDefault="0021298F" w:rsidP="0021298F">
      <w:pPr>
        <w:jc w:val="both"/>
        <w:rPr>
          <w:lang w:eastAsia="en-GB"/>
        </w:rPr>
      </w:pPr>
    </w:p>
    <w:p w14:paraId="4559921F" w14:textId="77777777" w:rsidR="0021298F" w:rsidRDefault="0021298F" w:rsidP="0021298F">
      <w:pPr>
        <w:jc w:val="both"/>
        <w:rPr>
          <w:rFonts w:ascii="Arial" w:hAnsi="Arial" w:cs="Arial"/>
          <w:color w:val="000000"/>
        </w:rPr>
      </w:pPr>
      <w:r w:rsidRPr="001E34C8">
        <w:rPr>
          <w:rFonts w:ascii="Arial" w:hAnsi="Arial" w:cs="Arial"/>
          <w:color w:val="000000"/>
        </w:rPr>
        <w:t xml:space="preserve">Other accounting standards and interpretations have been published and will be mandatory for the Company’s accounting periods beginning on or after 1 January 2021 or later periods. The impact of these standards is not expected to be material to the reported results and financial position of the Group. </w:t>
      </w:r>
    </w:p>
    <w:p w14:paraId="18479AA3" w14:textId="77777777" w:rsidR="0021298F" w:rsidRDefault="0021298F" w:rsidP="0021298F">
      <w:pPr>
        <w:jc w:val="both"/>
        <w:rPr>
          <w:rFonts w:ascii="Arial" w:hAnsi="Arial" w:cs="Arial"/>
          <w:color w:val="000000"/>
        </w:rPr>
      </w:pPr>
    </w:p>
    <w:p w14:paraId="0E041DDC" w14:textId="77777777" w:rsidR="0021298F" w:rsidRPr="008316BD" w:rsidRDefault="0021298F" w:rsidP="0021298F">
      <w:pPr>
        <w:pStyle w:val="Heading4"/>
        <w:spacing w:before="0"/>
        <w:jc w:val="both"/>
        <w:rPr>
          <w:rFonts w:ascii="Arial" w:eastAsia="Times New Roman" w:hAnsi="Arial" w:cs="Arial"/>
          <w:i w:val="0"/>
          <w:color w:val="auto"/>
          <w:lang w:eastAsia="en-GB"/>
        </w:rPr>
      </w:pPr>
      <w:r>
        <w:rPr>
          <w:rFonts w:ascii="Arial" w:eastAsia="Times New Roman" w:hAnsi="Arial" w:cs="Arial"/>
          <w:i w:val="0"/>
          <w:color w:val="auto"/>
          <w:lang w:eastAsia="en-GB"/>
        </w:rPr>
        <w:t>Going concern</w:t>
      </w:r>
      <w:r w:rsidRPr="008316BD">
        <w:rPr>
          <w:rFonts w:ascii="Arial" w:eastAsia="Times New Roman" w:hAnsi="Arial" w:cs="Arial"/>
          <w:i w:val="0"/>
          <w:color w:val="auto"/>
          <w:lang w:eastAsia="en-GB"/>
        </w:rPr>
        <w:t xml:space="preserve"> </w:t>
      </w:r>
    </w:p>
    <w:p w14:paraId="4EFA2EB4" w14:textId="77777777" w:rsidR="0021298F" w:rsidRDefault="0021298F" w:rsidP="0021298F">
      <w:pPr>
        <w:jc w:val="both"/>
        <w:rPr>
          <w:rFonts w:ascii="Arial" w:eastAsia="Times New Roman" w:hAnsi="Arial" w:cs="Arial"/>
        </w:rPr>
      </w:pPr>
      <w:r w:rsidRPr="00CC689A">
        <w:rPr>
          <w:rFonts w:ascii="Arial" w:eastAsia="Times New Roman" w:hAnsi="Arial" w:cs="Arial"/>
        </w:rPr>
        <w:t>The Group’s business activities, together with the factors likely to affect its future development, performance</w:t>
      </w:r>
      <w:r>
        <w:rPr>
          <w:rFonts w:ascii="Arial" w:eastAsia="Times New Roman" w:hAnsi="Arial" w:cs="Arial"/>
        </w:rPr>
        <w:t xml:space="preserve"> </w:t>
      </w:r>
      <w:r w:rsidRPr="00CC689A">
        <w:rPr>
          <w:rFonts w:ascii="Arial" w:eastAsia="Times New Roman" w:hAnsi="Arial" w:cs="Arial"/>
        </w:rPr>
        <w:t xml:space="preserve">and position, are set out in the Investment Manager’s </w:t>
      </w:r>
      <w:r w:rsidRPr="00CC689A">
        <w:rPr>
          <w:rFonts w:ascii="Arial" w:eastAsia="Times New Roman" w:hAnsi="Arial" w:cs="Arial"/>
        </w:rPr>
        <w:lastRenderedPageBreak/>
        <w:t>Report. The Group faces a number of risks and uncertainties,</w:t>
      </w:r>
      <w:r>
        <w:rPr>
          <w:rFonts w:ascii="Arial" w:eastAsia="Times New Roman" w:hAnsi="Arial" w:cs="Arial"/>
        </w:rPr>
        <w:t xml:space="preserve"> </w:t>
      </w:r>
      <w:r w:rsidRPr="00CC689A">
        <w:rPr>
          <w:rFonts w:ascii="Arial" w:eastAsia="Times New Roman" w:hAnsi="Arial" w:cs="Arial"/>
        </w:rPr>
        <w:t xml:space="preserve">as set out in the </w:t>
      </w:r>
      <w:r>
        <w:rPr>
          <w:rFonts w:ascii="Arial" w:eastAsia="Times New Roman" w:hAnsi="Arial" w:cs="Arial"/>
        </w:rPr>
        <w:t>Directors’</w:t>
      </w:r>
      <w:r w:rsidRPr="00CC689A">
        <w:rPr>
          <w:rFonts w:ascii="Arial" w:eastAsia="Times New Roman" w:hAnsi="Arial" w:cs="Arial"/>
        </w:rPr>
        <w:t xml:space="preserve"> Report. The financial risk management objectives and policies of the Group,</w:t>
      </w:r>
      <w:r>
        <w:rPr>
          <w:rFonts w:ascii="Arial" w:eastAsia="Times New Roman" w:hAnsi="Arial" w:cs="Arial"/>
        </w:rPr>
        <w:t xml:space="preserve"> </w:t>
      </w:r>
      <w:r w:rsidRPr="00CC689A">
        <w:rPr>
          <w:rFonts w:ascii="Arial" w:eastAsia="Times New Roman" w:hAnsi="Arial" w:cs="Arial"/>
        </w:rPr>
        <w:t>including exposure to price risk, interest rate risk, credit risk and liquidity risk are discussed in note 18 to the</w:t>
      </w:r>
      <w:r>
        <w:rPr>
          <w:rFonts w:ascii="Arial" w:eastAsia="Times New Roman" w:hAnsi="Arial" w:cs="Arial"/>
        </w:rPr>
        <w:t xml:space="preserve"> financial statements.</w:t>
      </w:r>
    </w:p>
    <w:p w14:paraId="6EDE888E" w14:textId="77777777" w:rsidR="0021298F" w:rsidRDefault="0021298F" w:rsidP="0021298F">
      <w:pPr>
        <w:jc w:val="both"/>
        <w:rPr>
          <w:rFonts w:ascii="Arial" w:eastAsia="Times New Roman" w:hAnsi="Arial" w:cs="Arial"/>
        </w:rPr>
      </w:pPr>
    </w:p>
    <w:p w14:paraId="6A298F44" w14:textId="77777777" w:rsidR="0021298F" w:rsidRDefault="0021298F" w:rsidP="0021298F">
      <w:pPr>
        <w:jc w:val="both"/>
        <w:rPr>
          <w:rFonts w:ascii="Arial" w:eastAsia="Times New Roman" w:hAnsi="Arial" w:cs="Arial"/>
        </w:rPr>
      </w:pPr>
      <w:r w:rsidRPr="00CC689A">
        <w:rPr>
          <w:rFonts w:ascii="Arial" w:eastAsia="Times New Roman" w:hAnsi="Arial" w:cs="Arial"/>
        </w:rPr>
        <w:t>The Group continues to meet day-to-day liquidity needs through its cash resources.</w:t>
      </w:r>
    </w:p>
    <w:p w14:paraId="576A2242" w14:textId="77777777" w:rsidR="0021298F" w:rsidRDefault="0021298F" w:rsidP="0021298F">
      <w:pPr>
        <w:jc w:val="both"/>
        <w:rPr>
          <w:rFonts w:ascii="Arial" w:eastAsia="Times New Roman" w:hAnsi="Arial" w:cs="Arial"/>
        </w:rPr>
      </w:pPr>
    </w:p>
    <w:p w14:paraId="1DB10FCD" w14:textId="77777777" w:rsidR="0021298F" w:rsidRDefault="0021298F" w:rsidP="0021298F">
      <w:pPr>
        <w:autoSpaceDE w:val="0"/>
        <w:autoSpaceDN w:val="0"/>
        <w:adjustRightInd w:val="0"/>
        <w:jc w:val="both"/>
        <w:rPr>
          <w:rFonts w:ascii="Arial" w:eastAsia="Times New Roman" w:hAnsi="Arial" w:cs="Arial"/>
        </w:rPr>
      </w:pPr>
      <w:r w:rsidRPr="00500322">
        <w:rPr>
          <w:rFonts w:ascii="Arial" w:hAnsi="Arial" w:cs="Arial"/>
        </w:rPr>
        <w:t xml:space="preserve">As at </w:t>
      </w:r>
      <w:r>
        <w:rPr>
          <w:rFonts w:ascii="Arial" w:hAnsi="Arial" w:cs="Arial"/>
        </w:rPr>
        <w:t>31 December 2020</w:t>
      </w:r>
      <w:r w:rsidRPr="00500322">
        <w:rPr>
          <w:rFonts w:ascii="Arial" w:hAnsi="Arial" w:cs="Arial"/>
        </w:rPr>
        <w:t xml:space="preserve">, the Group had net current </w:t>
      </w:r>
      <w:r w:rsidRPr="00F67596">
        <w:rPr>
          <w:rFonts w:ascii="Arial" w:hAnsi="Arial" w:cs="Arial"/>
        </w:rPr>
        <w:t>assets of €</w:t>
      </w:r>
      <w:r w:rsidRPr="004174A5">
        <w:rPr>
          <w:rFonts w:ascii="Arial" w:hAnsi="Arial" w:cs="Arial"/>
        </w:rPr>
        <w:t>15.3</w:t>
      </w:r>
      <w:r w:rsidRPr="00F67596">
        <w:rPr>
          <w:rFonts w:ascii="Arial" w:hAnsi="Arial" w:cs="Arial"/>
        </w:rPr>
        <w:t xml:space="preserve"> million (2019: net current liabilities of €200.1million) and had cash balances of €</w:t>
      </w:r>
      <w:r w:rsidRPr="004174A5">
        <w:rPr>
          <w:rFonts w:ascii="Arial" w:hAnsi="Arial" w:cs="Arial"/>
        </w:rPr>
        <w:t>16.5</w:t>
      </w:r>
      <w:r w:rsidRPr="00F67596">
        <w:rPr>
          <w:rFonts w:ascii="Arial" w:hAnsi="Arial" w:cs="Arial"/>
        </w:rPr>
        <w:t xml:space="preserve"> million (2019</w:t>
      </w:r>
      <w:r w:rsidRPr="00500322">
        <w:rPr>
          <w:rFonts w:ascii="Arial" w:hAnsi="Arial" w:cs="Arial"/>
        </w:rPr>
        <w:t>: €</w:t>
      </w:r>
      <w:r>
        <w:rPr>
          <w:rFonts w:ascii="Arial" w:hAnsi="Arial" w:cs="Arial"/>
        </w:rPr>
        <w:t>6</w:t>
      </w:r>
      <w:r w:rsidRPr="00500322">
        <w:rPr>
          <w:rFonts w:ascii="Arial" w:hAnsi="Arial" w:cs="Arial"/>
        </w:rPr>
        <w:t>.0 million). This excludes cash balances within investee companies of €</w:t>
      </w:r>
      <w:r>
        <w:rPr>
          <w:rFonts w:ascii="Arial" w:hAnsi="Arial" w:cs="Arial"/>
        </w:rPr>
        <w:t>22.5</w:t>
      </w:r>
      <w:r w:rsidRPr="00500322">
        <w:rPr>
          <w:rFonts w:ascii="Arial" w:hAnsi="Arial" w:cs="Arial"/>
        </w:rPr>
        <w:t xml:space="preserve"> million (201</w:t>
      </w:r>
      <w:r>
        <w:rPr>
          <w:rFonts w:ascii="Arial" w:hAnsi="Arial" w:cs="Arial"/>
        </w:rPr>
        <w:t>9</w:t>
      </w:r>
      <w:r w:rsidRPr="00500322">
        <w:rPr>
          <w:rFonts w:ascii="Arial" w:hAnsi="Arial" w:cs="Arial"/>
        </w:rPr>
        <w:t>: €28.5.</w:t>
      </w:r>
      <w:r>
        <w:rPr>
          <w:rFonts w:ascii="Arial" w:hAnsi="Arial" w:cs="Arial"/>
        </w:rPr>
        <w:t xml:space="preserve"> </w:t>
      </w:r>
      <w:r w:rsidRPr="00500322">
        <w:rPr>
          <w:rFonts w:ascii="Arial" w:hAnsi="Arial" w:cs="Arial"/>
        </w:rPr>
        <w:t xml:space="preserve">million), which are sufficient to meet current obligations as they fall due. </w:t>
      </w:r>
      <w:r w:rsidRPr="00CC689A">
        <w:rPr>
          <w:rFonts w:ascii="Arial" w:eastAsia="Times New Roman" w:hAnsi="Arial" w:cs="Arial"/>
        </w:rPr>
        <w:t>The major cash outflows of the Group are the payment of dividends and costs relating to the acquisition of</w:t>
      </w:r>
      <w:r>
        <w:rPr>
          <w:rFonts w:ascii="Arial" w:eastAsia="Times New Roman" w:hAnsi="Arial" w:cs="Arial"/>
        </w:rPr>
        <w:t xml:space="preserve"> </w:t>
      </w:r>
      <w:r w:rsidRPr="00CC689A">
        <w:rPr>
          <w:rFonts w:ascii="Arial" w:eastAsia="Times New Roman" w:hAnsi="Arial" w:cs="Arial"/>
        </w:rPr>
        <w:t>new assets, both of which are discretionary. The Directors are confident that the Group has sufficient access to</w:t>
      </w:r>
      <w:r>
        <w:rPr>
          <w:rFonts w:ascii="Arial" w:eastAsia="Times New Roman" w:hAnsi="Arial" w:cs="Arial"/>
        </w:rPr>
        <w:t xml:space="preserve"> </w:t>
      </w:r>
      <w:r w:rsidRPr="00CC689A">
        <w:rPr>
          <w:rFonts w:ascii="Arial" w:eastAsia="Times New Roman" w:hAnsi="Arial" w:cs="Arial"/>
        </w:rPr>
        <w:t>both debt and equity markets in order to fund commitments to acquisitions and meet the contingent liabilities</w:t>
      </w:r>
      <w:r>
        <w:rPr>
          <w:rFonts w:ascii="Arial" w:eastAsia="Times New Roman" w:hAnsi="Arial" w:cs="Arial"/>
        </w:rPr>
        <w:t xml:space="preserve"> </w:t>
      </w:r>
      <w:r w:rsidRPr="00CC689A">
        <w:rPr>
          <w:rFonts w:ascii="Arial" w:eastAsia="Times New Roman" w:hAnsi="Arial" w:cs="Arial"/>
        </w:rPr>
        <w:t xml:space="preserve">detailed in note 14 </w:t>
      </w:r>
      <w:r>
        <w:rPr>
          <w:rFonts w:ascii="Arial" w:eastAsia="Times New Roman" w:hAnsi="Arial" w:cs="Arial"/>
        </w:rPr>
        <w:t>of</w:t>
      </w:r>
      <w:r w:rsidRPr="00CC689A">
        <w:rPr>
          <w:rFonts w:ascii="Arial" w:eastAsia="Times New Roman" w:hAnsi="Arial" w:cs="Arial"/>
        </w:rPr>
        <w:t xml:space="preserve"> the financial statements, should they become payable.</w:t>
      </w:r>
    </w:p>
    <w:p w14:paraId="2CB7EC70" w14:textId="77777777" w:rsidR="0021298F" w:rsidRDefault="0021298F" w:rsidP="0021298F">
      <w:pPr>
        <w:jc w:val="both"/>
        <w:rPr>
          <w:rFonts w:ascii="Arial" w:eastAsia="Times New Roman" w:hAnsi="Arial" w:cs="Arial"/>
        </w:rPr>
      </w:pPr>
    </w:p>
    <w:p w14:paraId="26F64AAC" w14:textId="77777777" w:rsidR="0021298F" w:rsidRDefault="0021298F" w:rsidP="0021298F">
      <w:pPr>
        <w:jc w:val="both"/>
        <w:rPr>
          <w:rFonts w:ascii="Arial" w:eastAsia="Times New Roman" w:hAnsi="Arial" w:cs="Arial"/>
        </w:rPr>
      </w:pPr>
      <w:r w:rsidRPr="00894DC6">
        <w:rPr>
          <w:rFonts w:ascii="Arial" w:eastAsia="Times New Roman" w:hAnsi="Arial" w:cs="Arial"/>
        </w:rPr>
        <w:t xml:space="preserve">The </w:t>
      </w:r>
      <w:r>
        <w:rPr>
          <w:rFonts w:ascii="Arial" w:eastAsia="Times New Roman" w:hAnsi="Arial" w:cs="Arial"/>
        </w:rPr>
        <w:t>Group</w:t>
      </w:r>
      <w:r w:rsidRPr="00894DC6">
        <w:rPr>
          <w:rFonts w:ascii="Arial" w:eastAsia="Times New Roman" w:hAnsi="Arial" w:cs="Arial"/>
        </w:rPr>
        <w:t xml:space="preserve"> had </w:t>
      </w:r>
      <w:r>
        <w:rPr>
          <w:rFonts w:ascii="Arial" w:eastAsia="Times New Roman" w:hAnsi="Arial" w:cs="Arial"/>
        </w:rPr>
        <w:t xml:space="preserve">€210.8 </w:t>
      </w:r>
      <w:r w:rsidRPr="00894DC6">
        <w:rPr>
          <w:rFonts w:ascii="Arial" w:eastAsia="Times New Roman" w:hAnsi="Arial" w:cs="Arial"/>
        </w:rPr>
        <w:t xml:space="preserve">million (2019: </w:t>
      </w:r>
      <w:r>
        <w:rPr>
          <w:rFonts w:ascii="Arial" w:eastAsia="Times New Roman" w:hAnsi="Arial" w:cs="Arial"/>
        </w:rPr>
        <w:t>€206.0 million</w:t>
      </w:r>
      <w:r w:rsidRPr="00894DC6">
        <w:rPr>
          <w:rFonts w:ascii="Arial" w:eastAsia="Times New Roman" w:hAnsi="Arial" w:cs="Arial"/>
        </w:rPr>
        <w:t>) of outstanding debt as at 31 December 2020. The covenants</w:t>
      </w:r>
      <w:r>
        <w:rPr>
          <w:rFonts w:ascii="Arial" w:eastAsia="Times New Roman" w:hAnsi="Arial" w:cs="Arial"/>
        </w:rPr>
        <w:t xml:space="preserve"> </w:t>
      </w:r>
      <w:r w:rsidRPr="00894DC6">
        <w:rPr>
          <w:rFonts w:ascii="Arial" w:eastAsia="Times New Roman" w:hAnsi="Arial" w:cs="Arial"/>
        </w:rPr>
        <w:t>on the Company’s banking facilities are limited to gearing and interest cover and the Company is expected to</w:t>
      </w:r>
      <w:r>
        <w:rPr>
          <w:rFonts w:ascii="Arial" w:eastAsia="Times New Roman" w:hAnsi="Arial" w:cs="Arial"/>
        </w:rPr>
        <w:t xml:space="preserve"> </w:t>
      </w:r>
      <w:r w:rsidRPr="00894DC6">
        <w:rPr>
          <w:rFonts w:ascii="Arial" w:eastAsia="Times New Roman" w:hAnsi="Arial" w:cs="Arial"/>
        </w:rPr>
        <w:t>continue to comply with these covenants going forward.</w:t>
      </w:r>
    </w:p>
    <w:p w14:paraId="519B74FC" w14:textId="77777777" w:rsidR="0021298F" w:rsidRDefault="0021298F" w:rsidP="0021298F">
      <w:pPr>
        <w:jc w:val="both"/>
        <w:rPr>
          <w:rFonts w:ascii="Arial" w:eastAsia="Times New Roman" w:hAnsi="Arial" w:cs="Arial"/>
        </w:rPr>
      </w:pPr>
    </w:p>
    <w:p w14:paraId="53E3D2D8" w14:textId="77777777" w:rsidR="0021298F" w:rsidRDefault="0021298F" w:rsidP="0021298F">
      <w:pPr>
        <w:jc w:val="both"/>
        <w:rPr>
          <w:rFonts w:ascii="Arial" w:eastAsia="Times New Roman" w:hAnsi="Arial" w:cs="Arial"/>
        </w:rPr>
      </w:pPr>
      <w:r w:rsidRPr="00894DC6">
        <w:rPr>
          <w:rFonts w:ascii="Arial" w:eastAsia="Times New Roman" w:hAnsi="Arial" w:cs="Arial"/>
        </w:rPr>
        <w:t>In the period since early 2020 and up to the date of this report, the outbreak of COVID-19 has had a negative</w:t>
      </w:r>
      <w:r>
        <w:rPr>
          <w:rFonts w:ascii="Arial" w:eastAsia="Times New Roman" w:hAnsi="Arial" w:cs="Arial"/>
        </w:rPr>
        <w:t xml:space="preserve"> </w:t>
      </w:r>
      <w:r w:rsidRPr="00894DC6">
        <w:rPr>
          <w:rFonts w:ascii="Arial" w:eastAsia="Times New Roman" w:hAnsi="Arial" w:cs="Arial"/>
        </w:rPr>
        <w:t>impact on the global economy. The Directors and Investment Manager are actively monitoring this and its</w:t>
      </w:r>
      <w:r>
        <w:rPr>
          <w:rFonts w:ascii="Arial" w:eastAsia="Times New Roman" w:hAnsi="Arial" w:cs="Arial"/>
        </w:rPr>
        <w:t xml:space="preserve"> </w:t>
      </w:r>
      <w:r w:rsidRPr="00894DC6">
        <w:rPr>
          <w:rFonts w:ascii="Arial" w:eastAsia="Times New Roman" w:hAnsi="Arial" w:cs="Arial"/>
        </w:rPr>
        <w:t>potential effect on the Group and its SPVs. In particular, they have considered the following specific key</w:t>
      </w:r>
      <w:r>
        <w:rPr>
          <w:rFonts w:ascii="Arial" w:eastAsia="Times New Roman" w:hAnsi="Arial" w:cs="Arial"/>
        </w:rPr>
        <w:t xml:space="preserve"> </w:t>
      </w:r>
      <w:r w:rsidRPr="00894DC6">
        <w:rPr>
          <w:rFonts w:ascii="Arial" w:eastAsia="Times New Roman" w:hAnsi="Arial" w:cs="Arial"/>
        </w:rPr>
        <w:t>potential impacts:</w:t>
      </w:r>
    </w:p>
    <w:p w14:paraId="661C8680" w14:textId="77777777" w:rsidR="0021298F" w:rsidRPr="00894DC6" w:rsidRDefault="0021298F" w:rsidP="0021298F">
      <w:pPr>
        <w:jc w:val="both"/>
        <w:rPr>
          <w:rFonts w:ascii="Arial" w:eastAsia="Times New Roman" w:hAnsi="Arial" w:cs="Arial"/>
        </w:rPr>
      </w:pPr>
    </w:p>
    <w:p w14:paraId="6F60DB20" w14:textId="77777777" w:rsidR="0021298F" w:rsidRPr="00894DC6" w:rsidRDefault="0021298F" w:rsidP="0021298F">
      <w:pPr>
        <w:ind w:firstLine="720"/>
        <w:jc w:val="both"/>
        <w:rPr>
          <w:rFonts w:ascii="Arial" w:eastAsia="Times New Roman" w:hAnsi="Arial" w:cs="Arial"/>
        </w:rPr>
      </w:pPr>
      <w:r w:rsidRPr="00894DC6">
        <w:rPr>
          <w:rFonts w:ascii="Arial" w:eastAsia="Times New Roman" w:hAnsi="Arial" w:cs="Arial"/>
        </w:rPr>
        <w:t>• Unavailability of key personnel at the Investment Manager or Administrator;</w:t>
      </w:r>
    </w:p>
    <w:p w14:paraId="71C359C7" w14:textId="77777777" w:rsidR="0021298F" w:rsidRPr="00894DC6" w:rsidRDefault="0021298F" w:rsidP="0021298F">
      <w:pPr>
        <w:ind w:firstLine="720"/>
        <w:jc w:val="both"/>
        <w:rPr>
          <w:rFonts w:ascii="Arial" w:eastAsia="Times New Roman" w:hAnsi="Arial" w:cs="Arial"/>
        </w:rPr>
      </w:pPr>
      <w:r w:rsidRPr="00894DC6">
        <w:rPr>
          <w:rFonts w:ascii="Arial" w:eastAsia="Times New Roman" w:hAnsi="Arial" w:cs="Arial"/>
        </w:rPr>
        <w:t>• Disruptions to maintenance or repair at the investee company level; and</w:t>
      </w:r>
    </w:p>
    <w:p w14:paraId="6E580A92" w14:textId="77777777" w:rsidR="0021298F" w:rsidRDefault="0021298F" w:rsidP="0021298F">
      <w:pPr>
        <w:ind w:firstLine="720"/>
        <w:jc w:val="both"/>
        <w:rPr>
          <w:rFonts w:ascii="Arial" w:eastAsia="Times New Roman" w:hAnsi="Arial" w:cs="Arial"/>
        </w:rPr>
      </w:pPr>
      <w:r w:rsidRPr="00894DC6">
        <w:rPr>
          <w:rFonts w:ascii="Arial" w:eastAsia="Times New Roman" w:hAnsi="Arial" w:cs="Arial"/>
        </w:rPr>
        <w:t>• Allowance for expected counterparty credit losses.</w:t>
      </w:r>
    </w:p>
    <w:p w14:paraId="429A76CE" w14:textId="77777777" w:rsidR="0021298F" w:rsidRDefault="0021298F" w:rsidP="0021298F">
      <w:pPr>
        <w:jc w:val="both"/>
        <w:rPr>
          <w:rFonts w:ascii="Arial" w:eastAsia="Times New Roman" w:hAnsi="Arial" w:cs="Arial"/>
        </w:rPr>
      </w:pPr>
    </w:p>
    <w:p w14:paraId="3ACC88BD" w14:textId="77777777" w:rsidR="0021298F" w:rsidRPr="00894DC6" w:rsidRDefault="0021298F" w:rsidP="0021298F">
      <w:pPr>
        <w:jc w:val="both"/>
        <w:rPr>
          <w:rFonts w:ascii="Arial" w:eastAsia="Times New Roman" w:hAnsi="Arial" w:cs="Arial"/>
        </w:rPr>
      </w:pPr>
      <w:r w:rsidRPr="00894DC6">
        <w:rPr>
          <w:rFonts w:ascii="Arial" w:eastAsia="Times New Roman" w:hAnsi="Arial" w:cs="Arial"/>
        </w:rPr>
        <w:t>In considering the above key potential impacts of COVID-19 on the Group and SPV operations, the Directors have</w:t>
      </w:r>
      <w:r>
        <w:rPr>
          <w:rFonts w:ascii="Arial" w:eastAsia="Times New Roman" w:hAnsi="Arial" w:cs="Arial"/>
        </w:rPr>
        <w:t xml:space="preserve"> </w:t>
      </w:r>
      <w:r w:rsidRPr="00894DC6">
        <w:rPr>
          <w:rFonts w:ascii="Arial" w:eastAsia="Times New Roman" w:hAnsi="Arial" w:cs="Arial"/>
        </w:rPr>
        <w:t>assessed these with reference to the mitigation measures in place. At the Group level, the key personnel at the</w:t>
      </w:r>
      <w:r>
        <w:rPr>
          <w:rFonts w:ascii="Arial" w:eastAsia="Times New Roman" w:hAnsi="Arial" w:cs="Arial"/>
        </w:rPr>
        <w:t xml:space="preserve"> </w:t>
      </w:r>
      <w:r w:rsidRPr="00894DC6">
        <w:rPr>
          <w:rFonts w:ascii="Arial" w:eastAsia="Times New Roman" w:hAnsi="Arial" w:cs="Arial"/>
        </w:rPr>
        <w:t>Investment Manager and Administrator have successfully implemented business continuity plans to ensure</w:t>
      </w:r>
      <w:r>
        <w:rPr>
          <w:rFonts w:ascii="Arial" w:eastAsia="Times New Roman" w:hAnsi="Arial" w:cs="Arial"/>
        </w:rPr>
        <w:t xml:space="preserve"> </w:t>
      </w:r>
      <w:r w:rsidRPr="00894DC6">
        <w:rPr>
          <w:rFonts w:ascii="Arial" w:eastAsia="Times New Roman" w:hAnsi="Arial" w:cs="Arial"/>
        </w:rPr>
        <w:t>business disruption is minimised, including remote working, and all staff are continuing to assume their day-today</w:t>
      </w:r>
    </w:p>
    <w:p w14:paraId="53A69493" w14:textId="77777777" w:rsidR="0021298F" w:rsidRDefault="0021298F" w:rsidP="0021298F">
      <w:pPr>
        <w:jc w:val="both"/>
        <w:rPr>
          <w:rFonts w:ascii="Arial" w:eastAsia="Times New Roman" w:hAnsi="Arial" w:cs="Arial"/>
        </w:rPr>
      </w:pPr>
      <w:r w:rsidRPr="00894DC6">
        <w:rPr>
          <w:rFonts w:ascii="Arial" w:eastAsia="Times New Roman" w:hAnsi="Arial" w:cs="Arial"/>
        </w:rPr>
        <w:t>responsibilities.</w:t>
      </w:r>
    </w:p>
    <w:p w14:paraId="389EA40B" w14:textId="77777777" w:rsidR="0021298F" w:rsidRDefault="0021298F" w:rsidP="0021298F">
      <w:pPr>
        <w:jc w:val="both"/>
        <w:rPr>
          <w:rFonts w:ascii="Arial" w:eastAsia="Times New Roman" w:hAnsi="Arial" w:cs="Arial"/>
        </w:rPr>
      </w:pPr>
    </w:p>
    <w:p w14:paraId="39080F44" w14:textId="77777777" w:rsidR="0021298F" w:rsidRDefault="0021298F" w:rsidP="0021298F">
      <w:pPr>
        <w:jc w:val="both"/>
        <w:rPr>
          <w:rFonts w:ascii="Arial" w:eastAsia="Times New Roman" w:hAnsi="Arial" w:cs="Arial"/>
        </w:rPr>
      </w:pPr>
      <w:r w:rsidRPr="00894DC6">
        <w:rPr>
          <w:rFonts w:ascii="Arial" w:eastAsia="Times New Roman" w:hAnsi="Arial" w:cs="Arial"/>
        </w:rPr>
        <w:t>SPV revenues are derived from the sale of electricity, and although approximately 44 per cent of the portfolio’s</w:t>
      </w:r>
      <w:r>
        <w:rPr>
          <w:rFonts w:ascii="Arial" w:eastAsia="Times New Roman" w:hAnsi="Arial" w:cs="Arial"/>
        </w:rPr>
        <w:t xml:space="preserve"> </w:t>
      </w:r>
      <w:r w:rsidRPr="00894DC6">
        <w:rPr>
          <w:rFonts w:ascii="Arial" w:eastAsia="Times New Roman" w:hAnsi="Arial" w:cs="Arial"/>
        </w:rPr>
        <w:t>revenue in 2021 is exposed to the floating power price, revenue is received through power purchase agreements</w:t>
      </w:r>
      <w:r>
        <w:rPr>
          <w:rFonts w:ascii="Arial" w:eastAsia="Times New Roman" w:hAnsi="Arial" w:cs="Arial"/>
        </w:rPr>
        <w:t xml:space="preserve"> </w:t>
      </w:r>
      <w:r w:rsidRPr="00894DC6">
        <w:rPr>
          <w:rFonts w:ascii="Arial" w:eastAsia="Times New Roman" w:hAnsi="Arial" w:cs="Arial"/>
        </w:rPr>
        <w:t>in place with large and reputable providers of electricity to the market and also through government subsidies.</w:t>
      </w:r>
      <w:r>
        <w:rPr>
          <w:rFonts w:ascii="Arial" w:eastAsia="Times New Roman" w:hAnsi="Arial" w:cs="Arial"/>
        </w:rPr>
        <w:t xml:space="preserve"> </w:t>
      </w:r>
      <w:r w:rsidRPr="00894DC6">
        <w:rPr>
          <w:rFonts w:ascii="Arial" w:eastAsia="Times New Roman" w:hAnsi="Arial" w:cs="Arial"/>
        </w:rPr>
        <w:t>These providers have been contacted by the Investment Manager to discuss their response to COVID-19 and</w:t>
      </w:r>
      <w:r>
        <w:rPr>
          <w:rFonts w:ascii="Arial" w:eastAsia="Times New Roman" w:hAnsi="Arial" w:cs="Arial"/>
        </w:rPr>
        <w:t xml:space="preserve"> </w:t>
      </w:r>
      <w:r w:rsidRPr="00894DC6">
        <w:rPr>
          <w:rFonts w:ascii="Arial" w:eastAsia="Times New Roman" w:hAnsi="Arial" w:cs="Arial"/>
        </w:rPr>
        <w:t xml:space="preserve">business continuity </w:t>
      </w:r>
    </w:p>
    <w:p w14:paraId="053E724F" w14:textId="77777777" w:rsidR="0021298F" w:rsidRDefault="0021298F" w:rsidP="0021298F">
      <w:pPr>
        <w:jc w:val="both"/>
        <w:rPr>
          <w:rFonts w:ascii="Arial" w:eastAsia="Times New Roman" w:hAnsi="Arial" w:cs="Arial"/>
        </w:rPr>
      </w:pPr>
    </w:p>
    <w:p w14:paraId="47B3E291" w14:textId="77777777" w:rsidR="0021298F" w:rsidRDefault="0021298F" w:rsidP="0021298F">
      <w:pPr>
        <w:jc w:val="both"/>
        <w:rPr>
          <w:rFonts w:ascii="Arial" w:eastAsia="Times New Roman" w:hAnsi="Arial" w:cs="Arial"/>
        </w:rPr>
      </w:pPr>
      <w:r w:rsidRPr="00894DC6">
        <w:rPr>
          <w:rFonts w:ascii="Arial" w:eastAsia="Times New Roman" w:hAnsi="Arial" w:cs="Arial"/>
        </w:rPr>
        <w:t>In the period since early 2020 and up to the date of this report, there has been no</w:t>
      </w:r>
      <w:r>
        <w:rPr>
          <w:rFonts w:ascii="Arial" w:eastAsia="Times New Roman" w:hAnsi="Arial" w:cs="Arial"/>
        </w:rPr>
        <w:t xml:space="preserve"> </w:t>
      </w:r>
      <w:r w:rsidRPr="00894DC6">
        <w:rPr>
          <w:rFonts w:ascii="Arial" w:eastAsia="Times New Roman" w:hAnsi="Arial" w:cs="Arial"/>
        </w:rPr>
        <w:t>significant impact on revenue and cash flows of the SPVs. The SPVs have contractual operating and maintenance</w:t>
      </w:r>
      <w:r>
        <w:rPr>
          <w:rFonts w:ascii="Arial" w:eastAsia="Times New Roman" w:hAnsi="Arial" w:cs="Arial"/>
        </w:rPr>
        <w:t xml:space="preserve"> </w:t>
      </w:r>
      <w:r w:rsidRPr="00894DC6">
        <w:rPr>
          <w:rFonts w:ascii="Arial" w:eastAsia="Times New Roman" w:hAnsi="Arial" w:cs="Arial"/>
        </w:rPr>
        <w:t xml:space="preserve">agreements in place with large and reputable providers. </w:t>
      </w:r>
      <w:r w:rsidRPr="00894DC6">
        <w:rPr>
          <w:rFonts w:ascii="Arial" w:eastAsia="Times New Roman" w:hAnsi="Arial" w:cs="Arial"/>
        </w:rPr>
        <w:lastRenderedPageBreak/>
        <w:t>Therefore the Directors and the Investment Manager do</w:t>
      </w:r>
      <w:r>
        <w:rPr>
          <w:rFonts w:ascii="Arial" w:eastAsia="Times New Roman" w:hAnsi="Arial" w:cs="Arial"/>
        </w:rPr>
        <w:t xml:space="preserve"> </w:t>
      </w:r>
      <w:r w:rsidRPr="00894DC6">
        <w:rPr>
          <w:rFonts w:ascii="Arial" w:eastAsia="Times New Roman" w:hAnsi="Arial" w:cs="Arial"/>
        </w:rPr>
        <w:t>not anticipate a threat to the Group’s revenue.</w:t>
      </w:r>
    </w:p>
    <w:p w14:paraId="5B07B269" w14:textId="77777777" w:rsidR="0021298F" w:rsidRDefault="0021298F" w:rsidP="0021298F">
      <w:pPr>
        <w:jc w:val="both"/>
        <w:rPr>
          <w:rFonts w:ascii="Arial" w:eastAsia="Times New Roman" w:hAnsi="Arial" w:cs="Arial"/>
        </w:rPr>
      </w:pPr>
    </w:p>
    <w:p w14:paraId="515448E6" w14:textId="77777777" w:rsidR="0021298F" w:rsidRDefault="0021298F" w:rsidP="0021298F">
      <w:pPr>
        <w:jc w:val="both"/>
        <w:rPr>
          <w:rFonts w:ascii="Arial" w:eastAsia="Times New Roman" w:hAnsi="Arial" w:cs="Arial"/>
        </w:rPr>
      </w:pPr>
      <w:r w:rsidRPr="001C59D0">
        <w:rPr>
          <w:rFonts w:ascii="Arial" w:eastAsia="Times New Roman" w:hAnsi="Arial" w:cs="Arial"/>
        </w:rPr>
        <w:t>Wind farm availability has not been significantly affected: wind farms may be accessed and operated remotely in</w:t>
      </w:r>
      <w:r>
        <w:rPr>
          <w:rFonts w:ascii="Arial" w:eastAsia="Times New Roman" w:hAnsi="Arial" w:cs="Arial"/>
        </w:rPr>
        <w:t xml:space="preserve"> </w:t>
      </w:r>
      <w:r w:rsidRPr="001C59D0">
        <w:rPr>
          <w:rFonts w:ascii="Arial" w:eastAsia="Times New Roman" w:hAnsi="Arial" w:cs="Arial"/>
        </w:rPr>
        <w:t>some instances; otherwise social distancing has been possible in large part and personal protective equipment</w:t>
      </w:r>
      <w:r>
        <w:rPr>
          <w:rFonts w:ascii="Arial" w:eastAsia="Times New Roman" w:hAnsi="Arial" w:cs="Arial"/>
        </w:rPr>
        <w:t xml:space="preserve"> </w:t>
      </w:r>
      <w:r w:rsidRPr="001C59D0">
        <w:rPr>
          <w:rFonts w:ascii="Arial" w:eastAsia="Times New Roman" w:hAnsi="Arial" w:cs="Arial"/>
        </w:rPr>
        <w:t>has been used where not possible, for instance where major component changes have been necessary. The</w:t>
      </w:r>
      <w:r>
        <w:rPr>
          <w:rFonts w:ascii="Arial" w:eastAsia="Times New Roman" w:hAnsi="Arial" w:cs="Arial"/>
        </w:rPr>
        <w:t xml:space="preserve"> </w:t>
      </w:r>
      <w:r w:rsidRPr="001C59D0">
        <w:rPr>
          <w:rFonts w:ascii="Arial" w:eastAsia="Times New Roman" w:hAnsi="Arial" w:cs="Arial"/>
        </w:rPr>
        <w:t xml:space="preserve">Investment Manager is confident that </w:t>
      </w:r>
    </w:p>
    <w:p w14:paraId="297D88D5" w14:textId="77777777" w:rsidR="0021298F" w:rsidRPr="001C59D0" w:rsidRDefault="0021298F" w:rsidP="0021298F">
      <w:pPr>
        <w:jc w:val="both"/>
        <w:rPr>
          <w:rFonts w:ascii="Arial" w:eastAsia="Times New Roman" w:hAnsi="Arial" w:cs="Arial"/>
        </w:rPr>
      </w:pPr>
      <w:r w:rsidRPr="001C59D0">
        <w:rPr>
          <w:rFonts w:ascii="Arial" w:eastAsia="Times New Roman" w:hAnsi="Arial" w:cs="Arial"/>
        </w:rPr>
        <w:t>there are appropriate continuity plans in place at each provider to ensure</w:t>
      </w:r>
      <w:r>
        <w:rPr>
          <w:rFonts w:ascii="Arial" w:eastAsia="Times New Roman" w:hAnsi="Arial" w:cs="Arial"/>
        </w:rPr>
        <w:t xml:space="preserve"> </w:t>
      </w:r>
      <w:r w:rsidRPr="001C59D0">
        <w:rPr>
          <w:rFonts w:ascii="Arial" w:eastAsia="Times New Roman" w:hAnsi="Arial" w:cs="Arial"/>
        </w:rPr>
        <w:t>that the underlying wind farms are maintained appropriately and that any faults would continue to be addressed</w:t>
      </w:r>
    </w:p>
    <w:p w14:paraId="4FF70EB9" w14:textId="77777777" w:rsidR="0021298F" w:rsidRDefault="0021298F" w:rsidP="0021298F">
      <w:pPr>
        <w:jc w:val="both"/>
        <w:rPr>
          <w:rFonts w:ascii="Arial" w:eastAsia="Times New Roman" w:hAnsi="Arial" w:cs="Arial"/>
        </w:rPr>
      </w:pPr>
      <w:r w:rsidRPr="001C59D0">
        <w:rPr>
          <w:rFonts w:ascii="Arial" w:eastAsia="Times New Roman" w:hAnsi="Arial" w:cs="Arial"/>
        </w:rPr>
        <w:t>in a timely manner.</w:t>
      </w:r>
    </w:p>
    <w:p w14:paraId="53FCA3A6" w14:textId="77777777" w:rsidR="0021298F" w:rsidRDefault="0021298F" w:rsidP="0021298F">
      <w:pPr>
        <w:jc w:val="both"/>
        <w:rPr>
          <w:rFonts w:ascii="Arial" w:eastAsia="Times New Roman" w:hAnsi="Arial" w:cs="Arial"/>
        </w:rPr>
      </w:pPr>
    </w:p>
    <w:p w14:paraId="1E1F0C58" w14:textId="77777777" w:rsidR="0021298F" w:rsidRDefault="0021298F" w:rsidP="0021298F">
      <w:pPr>
        <w:jc w:val="both"/>
        <w:rPr>
          <w:rFonts w:ascii="Arial" w:eastAsia="Times New Roman" w:hAnsi="Arial" w:cs="Arial"/>
        </w:rPr>
      </w:pPr>
      <w:r w:rsidRPr="001C59D0">
        <w:rPr>
          <w:rFonts w:ascii="Arial" w:eastAsia="Times New Roman" w:hAnsi="Arial" w:cs="Arial"/>
        </w:rPr>
        <w:t>Based on the assessment outlined above, including the various risk mitigation measures in place, the Directors</w:t>
      </w:r>
      <w:r>
        <w:rPr>
          <w:rFonts w:ascii="Arial" w:eastAsia="Times New Roman" w:hAnsi="Arial" w:cs="Arial"/>
        </w:rPr>
        <w:t xml:space="preserve"> </w:t>
      </w:r>
      <w:r w:rsidRPr="001C59D0">
        <w:rPr>
          <w:rFonts w:ascii="Arial" w:eastAsia="Times New Roman" w:hAnsi="Arial" w:cs="Arial"/>
        </w:rPr>
        <w:t>do not consider that the effects of COVID-19 have created a material uncertainty over the assessment of the</w:t>
      </w:r>
      <w:r>
        <w:rPr>
          <w:rFonts w:ascii="Arial" w:eastAsia="Times New Roman" w:hAnsi="Arial" w:cs="Arial"/>
        </w:rPr>
        <w:t xml:space="preserve"> </w:t>
      </w:r>
      <w:r w:rsidRPr="001C59D0">
        <w:rPr>
          <w:rFonts w:ascii="Arial" w:eastAsia="Times New Roman" w:hAnsi="Arial" w:cs="Arial"/>
        </w:rPr>
        <w:t>Group as a going concern.</w:t>
      </w:r>
    </w:p>
    <w:p w14:paraId="28295B2B" w14:textId="77777777" w:rsidR="0021298F" w:rsidRDefault="0021298F" w:rsidP="0021298F">
      <w:pPr>
        <w:jc w:val="both"/>
        <w:rPr>
          <w:rFonts w:ascii="Arial" w:eastAsia="Times New Roman" w:hAnsi="Arial" w:cs="Arial"/>
        </w:rPr>
      </w:pPr>
    </w:p>
    <w:p w14:paraId="559B5A3C" w14:textId="77777777" w:rsidR="0021298F" w:rsidRDefault="0021298F" w:rsidP="0021298F">
      <w:pPr>
        <w:jc w:val="both"/>
        <w:rPr>
          <w:rFonts w:ascii="Arial" w:eastAsia="Times New Roman" w:hAnsi="Arial" w:cs="Arial"/>
        </w:rPr>
      </w:pPr>
      <w:r w:rsidRPr="001C59D0">
        <w:rPr>
          <w:rFonts w:ascii="Arial" w:eastAsia="Times New Roman" w:hAnsi="Arial" w:cs="Arial"/>
        </w:rPr>
        <w:t>The Directors have reviewed Group forecasts and projections which cover a period of at least 12 months from the</w:t>
      </w:r>
      <w:r>
        <w:rPr>
          <w:rFonts w:ascii="Arial" w:eastAsia="Times New Roman" w:hAnsi="Arial" w:cs="Arial"/>
        </w:rPr>
        <w:t xml:space="preserve"> </w:t>
      </w:r>
      <w:r w:rsidRPr="001C59D0">
        <w:rPr>
          <w:rFonts w:ascii="Arial" w:eastAsia="Times New Roman" w:hAnsi="Arial" w:cs="Arial"/>
        </w:rPr>
        <w:t>date of approval of this report, taking into account foreseeable changes in investment and trading performance,</w:t>
      </w:r>
      <w:r>
        <w:rPr>
          <w:rFonts w:ascii="Arial" w:eastAsia="Times New Roman" w:hAnsi="Arial" w:cs="Arial"/>
        </w:rPr>
        <w:t xml:space="preserve"> </w:t>
      </w:r>
      <w:r w:rsidRPr="001C59D0">
        <w:rPr>
          <w:rFonts w:ascii="Arial" w:eastAsia="Times New Roman" w:hAnsi="Arial" w:cs="Arial"/>
        </w:rPr>
        <w:t>which show that the Group has sufficient financial resources to continue in operation for at least the next</w:t>
      </w:r>
      <w:r>
        <w:rPr>
          <w:rFonts w:ascii="Arial" w:eastAsia="Times New Roman" w:hAnsi="Arial" w:cs="Arial"/>
        </w:rPr>
        <w:t xml:space="preserve"> </w:t>
      </w:r>
      <w:r w:rsidRPr="001C59D0">
        <w:rPr>
          <w:rFonts w:ascii="Arial" w:eastAsia="Times New Roman" w:hAnsi="Arial" w:cs="Arial"/>
        </w:rPr>
        <w:t>12 months from the date of approval of this report.</w:t>
      </w:r>
    </w:p>
    <w:p w14:paraId="43E192ED" w14:textId="77777777" w:rsidR="0021298F" w:rsidRDefault="0021298F" w:rsidP="0021298F">
      <w:pPr>
        <w:jc w:val="both"/>
        <w:rPr>
          <w:rFonts w:ascii="Arial" w:eastAsia="Times New Roman" w:hAnsi="Arial" w:cs="Arial"/>
        </w:rPr>
      </w:pPr>
    </w:p>
    <w:p w14:paraId="3FCE73DA" w14:textId="77777777" w:rsidR="0021298F" w:rsidRDefault="0021298F" w:rsidP="0021298F">
      <w:pPr>
        <w:jc w:val="both"/>
        <w:rPr>
          <w:rFonts w:ascii="Arial" w:hAnsi="Arial" w:cs="Arial"/>
          <w:b/>
          <w:sz w:val="26"/>
          <w:szCs w:val="26"/>
        </w:rPr>
      </w:pPr>
      <w:r w:rsidRPr="0050219F">
        <w:rPr>
          <w:rFonts w:ascii="Arial" w:eastAsia="Times New Roman" w:hAnsi="Arial" w:cs="Arial"/>
        </w:rPr>
        <w:t>On the basis of this review, and after making due enquiries, the Directors have a reasonable expectation that the</w:t>
      </w:r>
      <w:r>
        <w:rPr>
          <w:rFonts w:ascii="Arial" w:eastAsia="Times New Roman" w:hAnsi="Arial" w:cs="Arial"/>
        </w:rPr>
        <w:t xml:space="preserve"> </w:t>
      </w:r>
      <w:r w:rsidRPr="0050219F">
        <w:rPr>
          <w:rFonts w:ascii="Arial" w:eastAsia="Times New Roman" w:hAnsi="Arial" w:cs="Arial"/>
        </w:rPr>
        <w:t>Company and the Group have adequate resources to continue in operational existence for at least 12 months from</w:t>
      </w:r>
      <w:r>
        <w:rPr>
          <w:rFonts w:ascii="Arial" w:eastAsia="Times New Roman" w:hAnsi="Arial" w:cs="Arial"/>
        </w:rPr>
        <w:t xml:space="preserve"> </w:t>
      </w:r>
      <w:r w:rsidRPr="0050219F">
        <w:rPr>
          <w:rFonts w:ascii="Arial" w:eastAsia="Times New Roman" w:hAnsi="Arial" w:cs="Arial"/>
        </w:rPr>
        <w:t>the date of approval of this report. Accordingly, they continue to adopt the going concern basis in preparing the</w:t>
      </w:r>
      <w:r>
        <w:rPr>
          <w:rFonts w:ascii="Arial" w:eastAsia="Times New Roman" w:hAnsi="Arial" w:cs="Arial"/>
        </w:rPr>
        <w:t xml:space="preserve"> </w:t>
      </w:r>
      <w:r w:rsidRPr="0050219F">
        <w:rPr>
          <w:rFonts w:ascii="Arial" w:eastAsia="Times New Roman" w:hAnsi="Arial" w:cs="Arial"/>
        </w:rPr>
        <w:t>financial statements.</w:t>
      </w:r>
    </w:p>
    <w:p w14:paraId="6E3F3F4B" w14:textId="77777777" w:rsidR="0021298F" w:rsidRPr="005D733B" w:rsidRDefault="0021298F" w:rsidP="0021298F">
      <w:pPr>
        <w:pStyle w:val="ListParagraph"/>
        <w:ind w:left="426"/>
        <w:rPr>
          <w:rFonts w:ascii="Arial" w:eastAsia="Times New Roman" w:hAnsi="Arial" w:cs="Arial"/>
          <w:lang w:eastAsia="en-GB"/>
        </w:rPr>
      </w:pPr>
    </w:p>
    <w:p w14:paraId="0B6C1CEE" w14:textId="77777777" w:rsidR="0021298F" w:rsidRDefault="0021298F" w:rsidP="0021298F">
      <w:pPr>
        <w:pStyle w:val="Heading4"/>
        <w:spacing w:before="0"/>
        <w:jc w:val="both"/>
        <w:rPr>
          <w:rFonts w:ascii="Arial" w:eastAsia="Times New Roman" w:hAnsi="Arial" w:cs="Arial"/>
          <w:i w:val="0"/>
          <w:color w:val="auto"/>
          <w:lang w:eastAsia="en-GB"/>
        </w:rPr>
      </w:pPr>
      <w:r>
        <w:rPr>
          <w:rFonts w:ascii="Arial" w:eastAsia="Times New Roman" w:hAnsi="Arial" w:cs="Arial"/>
          <w:i w:val="0"/>
          <w:color w:val="auto"/>
          <w:lang w:eastAsia="en-GB"/>
        </w:rPr>
        <w:t>Accounting for subsidiaries</w:t>
      </w:r>
    </w:p>
    <w:p w14:paraId="4D9E9387" w14:textId="77777777" w:rsidR="0021298F" w:rsidRDefault="0021298F" w:rsidP="0021298F">
      <w:pPr>
        <w:jc w:val="both"/>
        <w:rPr>
          <w:rFonts w:ascii="Arial" w:eastAsia="Times New Roman" w:hAnsi="Arial" w:cs="Arial"/>
        </w:rPr>
      </w:pPr>
      <w:r w:rsidRPr="00E76D75">
        <w:rPr>
          <w:rFonts w:ascii="Arial" w:eastAsia="Times New Roman" w:hAnsi="Arial" w:cs="Arial"/>
        </w:rPr>
        <w:t>The Directors have concluded that the Group has all the elements of control as prescribed by IFRS 10 ‘‘Consolidated Financial Statements’’ in relation to all its subsidiaries and that the</w:t>
      </w:r>
      <w:r w:rsidRPr="00CB7414">
        <w:rPr>
          <w:rFonts w:ascii="Arial" w:eastAsia="Times New Roman" w:hAnsi="Arial" w:cs="Arial"/>
        </w:rPr>
        <w:t xml:space="preserve"> </w:t>
      </w:r>
      <w:r w:rsidRPr="00E76D75">
        <w:rPr>
          <w:rFonts w:ascii="Arial" w:eastAsia="Times New Roman" w:hAnsi="Arial" w:cs="Arial"/>
        </w:rPr>
        <w:t>Company satisﬁes the criteria to be regarded as an investment entity as deﬁned in IFRS 10, IFRS 12 ‘‘Disclosure of Interests in Other Entities’’ and IAS 27 ‘‘Consolidated and Separate Financial Statements’’</w:t>
      </w:r>
      <w:r>
        <w:rPr>
          <w:rFonts w:ascii="Arial" w:eastAsia="Times New Roman" w:hAnsi="Arial" w:cs="Arial"/>
        </w:rPr>
        <w:t>.</w:t>
      </w:r>
      <w:r w:rsidRPr="00E76D75">
        <w:rPr>
          <w:rFonts w:ascii="Arial" w:eastAsia="Times New Roman" w:hAnsi="Arial" w:cs="Arial"/>
        </w:rPr>
        <w:t xml:space="preserve"> </w:t>
      </w:r>
      <w:r w:rsidRPr="00FE4A8E">
        <w:rPr>
          <w:rFonts w:ascii="Arial" w:eastAsia="Times New Roman" w:hAnsi="Arial" w:cs="Arial"/>
        </w:rPr>
        <w:t>The three essential criteria are such that the entity must:</w:t>
      </w:r>
    </w:p>
    <w:p w14:paraId="578E7D4E" w14:textId="77777777" w:rsidR="0021298F" w:rsidRPr="005766EB" w:rsidRDefault="0021298F" w:rsidP="0021298F">
      <w:pPr>
        <w:jc w:val="both"/>
        <w:rPr>
          <w:rFonts w:ascii="Arial" w:eastAsia="Times New Roman" w:hAnsi="Arial" w:cs="Arial"/>
        </w:rPr>
      </w:pPr>
    </w:p>
    <w:p w14:paraId="1069FC52" w14:textId="77777777" w:rsidR="0021298F" w:rsidRPr="001E34C8" w:rsidRDefault="0021298F" w:rsidP="0021298F">
      <w:pPr>
        <w:pStyle w:val="ListParagraph"/>
        <w:numPr>
          <w:ilvl w:val="0"/>
          <w:numId w:val="44"/>
        </w:numPr>
        <w:ind w:left="426" w:hanging="426"/>
        <w:jc w:val="both"/>
      </w:pPr>
      <w:r w:rsidRPr="007D4B9A">
        <w:rPr>
          <w:rFonts w:ascii="Arial" w:eastAsia="Times New Roman" w:hAnsi="Arial" w:cs="Arial"/>
        </w:rPr>
        <w:t>Obtain funds from one or more investor</w:t>
      </w:r>
      <w:r w:rsidRPr="008440F8">
        <w:rPr>
          <w:rFonts w:ascii="Arial" w:eastAsia="Times New Roman" w:hAnsi="Arial" w:cs="Arial"/>
        </w:rPr>
        <w:t>s for the purpose of providing these investors with professional investment management services;</w:t>
      </w:r>
    </w:p>
    <w:p w14:paraId="4D01873E" w14:textId="77777777" w:rsidR="0021298F" w:rsidRPr="00AE47CC" w:rsidRDefault="0021298F" w:rsidP="0021298F">
      <w:pPr>
        <w:pStyle w:val="ListParagraph"/>
        <w:numPr>
          <w:ilvl w:val="0"/>
          <w:numId w:val="44"/>
        </w:numPr>
        <w:ind w:left="426" w:hanging="426"/>
        <w:jc w:val="both"/>
        <w:rPr>
          <w:rFonts w:ascii="Arial" w:eastAsia="Times New Roman" w:hAnsi="Arial" w:cs="Arial"/>
        </w:rPr>
      </w:pPr>
      <w:r w:rsidRPr="00AE47CC">
        <w:rPr>
          <w:rFonts w:ascii="Arial" w:eastAsia="Times New Roman" w:hAnsi="Arial" w:cs="Arial"/>
        </w:rPr>
        <w:t>Commit to its investors that its business purpose is to invest its funds solely for returns from capital appreciation, investment income or both; and</w:t>
      </w:r>
    </w:p>
    <w:p w14:paraId="4EAE2ADE" w14:textId="77777777" w:rsidR="0021298F" w:rsidRPr="00AE47CC" w:rsidRDefault="0021298F" w:rsidP="0021298F">
      <w:pPr>
        <w:pStyle w:val="ListParagraph"/>
        <w:numPr>
          <w:ilvl w:val="0"/>
          <w:numId w:val="44"/>
        </w:numPr>
        <w:ind w:left="426" w:hanging="426"/>
        <w:jc w:val="both"/>
        <w:rPr>
          <w:rFonts w:ascii="Arial" w:eastAsia="Times New Roman" w:hAnsi="Arial" w:cs="Arial"/>
        </w:rPr>
      </w:pPr>
      <w:r w:rsidRPr="00AE47CC">
        <w:rPr>
          <w:rFonts w:ascii="Arial" w:eastAsia="Times New Roman" w:hAnsi="Arial" w:cs="Arial"/>
        </w:rPr>
        <w:t>Measure and evaluate the performance of substantially all of its investments on a fair value basis.</w:t>
      </w:r>
    </w:p>
    <w:p w14:paraId="0AAF5C38" w14:textId="77777777" w:rsidR="0021298F" w:rsidRPr="005766EB" w:rsidRDefault="0021298F" w:rsidP="0021298F">
      <w:pPr>
        <w:jc w:val="both"/>
        <w:rPr>
          <w:rFonts w:ascii="Arial" w:eastAsia="Times New Roman" w:hAnsi="Arial" w:cs="Arial"/>
        </w:rPr>
      </w:pPr>
    </w:p>
    <w:p w14:paraId="04719475" w14:textId="77777777" w:rsidR="0021298F" w:rsidRDefault="0021298F" w:rsidP="0021298F">
      <w:pPr>
        <w:jc w:val="both"/>
        <w:rPr>
          <w:rFonts w:ascii="Arial" w:eastAsia="Times New Roman" w:hAnsi="Arial" w:cs="Arial"/>
        </w:rPr>
      </w:pPr>
      <w:r w:rsidRPr="005766EB">
        <w:rPr>
          <w:rFonts w:ascii="Arial" w:eastAsia="Times New Roman" w:hAnsi="Arial" w:cs="Arial"/>
        </w:rPr>
        <w:t xml:space="preserve">In satisfying the second essential criteria, the notion of an investment time frame is critical. An investment entity should not hold its investments indefinitely but should have an exit strategy for their realisation. Although the Company has invested in equity interests in wind farms that have an indefinite life, the underlying wind farm assets that it invests in have an expected life of 30 years. The Company intends to hold these wind farms for the remainder of their useful life to preserve the capital value of the </w:t>
      </w:r>
      <w:r w:rsidRPr="005766EB">
        <w:rPr>
          <w:rFonts w:ascii="Arial" w:eastAsia="Times New Roman" w:hAnsi="Arial" w:cs="Arial"/>
        </w:rPr>
        <w:lastRenderedPageBreak/>
        <w:t>portfolio. However, as the wind farms are expected to have no residual value after their 30 year life, the Directors consider that this demonstrates a clear exit strategy from these investments.</w:t>
      </w:r>
    </w:p>
    <w:p w14:paraId="14590441" w14:textId="77777777" w:rsidR="0021298F" w:rsidRDefault="0021298F" w:rsidP="0021298F">
      <w:pPr>
        <w:jc w:val="both"/>
        <w:rPr>
          <w:rFonts w:ascii="Arial" w:eastAsia="Times New Roman" w:hAnsi="Arial" w:cs="Arial"/>
        </w:rPr>
      </w:pPr>
    </w:p>
    <w:p w14:paraId="3604EA7C" w14:textId="77777777" w:rsidR="0021298F" w:rsidRDefault="0021298F" w:rsidP="0021298F">
      <w:pPr>
        <w:jc w:val="both"/>
        <w:rPr>
          <w:rFonts w:ascii="Arial" w:eastAsia="Times New Roman" w:hAnsi="Arial" w:cs="Arial"/>
          <w:i/>
          <w:lang w:eastAsia="en-GB"/>
        </w:rPr>
      </w:pPr>
      <w:r w:rsidRPr="00E76D75">
        <w:rPr>
          <w:rFonts w:ascii="Arial" w:eastAsia="Times New Roman" w:hAnsi="Arial" w:cs="Arial"/>
        </w:rPr>
        <w:t>Notwithstanding this, IFRS 10 requires subsidiaries that provide services that relate to the investment entity’s investment activities</w:t>
      </w:r>
      <w:r>
        <w:rPr>
          <w:rFonts w:ascii="Arial" w:eastAsia="Times New Roman" w:hAnsi="Arial" w:cs="Arial"/>
        </w:rPr>
        <w:t xml:space="preserve"> but are not themselves investment entities</w:t>
      </w:r>
      <w:r w:rsidRPr="00E76D75">
        <w:rPr>
          <w:rFonts w:ascii="Arial" w:eastAsia="Times New Roman" w:hAnsi="Arial" w:cs="Arial"/>
        </w:rPr>
        <w:t xml:space="preserve"> to be consolidated. Accordingly, the annual financial statements include the consolidated financial statements of the Company and Hold</w:t>
      </w:r>
      <w:r>
        <w:rPr>
          <w:rFonts w:ascii="Arial" w:eastAsia="Times New Roman" w:hAnsi="Arial" w:cs="Arial"/>
        </w:rPr>
        <w:t>c</w:t>
      </w:r>
      <w:r w:rsidRPr="00E76D75">
        <w:rPr>
          <w:rFonts w:ascii="Arial" w:eastAsia="Times New Roman" w:hAnsi="Arial" w:cs="Arial"/>
        </w:rPr>
        <w:t xml:space="preserve">o. In respect of these entities, intra-Group balances and any unrealised gains arising from intra-Group transactions are eliminated in preparing the consolidated financial statements. Unrealised losses are eliminated unless the costs cannot be recovered. </w:t>
      </w:r>
      <w:r>
        <w:rPr>
          <w:rFonts w:ascii="Arial" w:eastAsia="Times New Roman" w:hAnsi="Arial" w:cs="Arial"/>
        </w:rPr>
        <w:t>The consolidated financial statements</w:t>
      </w:r>
      <w:r w:rsidRPr="00E76D75">
        <w:rPr>
          <w:rFonts w:ascii="Arial" w:eastAsia="Times New Roman" w:hAnsi="Arial" w:cs="Arial"/>
        </w:rPr>
        <w:t xml:space="preserve"> of subsidiaries that are included in the consolidated financial statements are included from the date that control commences until the dates that control ceases.</w:t>
      </w:r>
    </w:p>
    <w:p w14:paraId="75A46BB7" w14:textId="77777777" w:rsidR="0021298F" w:rsidRPr="005766EB" w:rsidRDefault="0021298F" w:rsidP="0021298F">
      <w:pPr>
        <w:jc w:val="both"/>
        <w:rPr>
          <w:rFonts w:ascii="Arial" w:eastAsia="Times New Roman" w:hAnsi="Arial" w:cs="Arial"/>
        </w:rPr>
      </w:pPr>
    </w:p>
    <w:p w14:paraId="3FC52F0F" w14:textId="77777777" w:rsidR="0021298F" w:rsidRDefault="0021298F" w:rsidP="0021298F">
      <w:pPr>
        <w:jc w:val="both"/>
        <w:rPr>
          <w:rFonts w:ascii="Arial" w:eastAsia="Times New Roman" w:hAnsi="Arial" w:cs="Arial"/>
        </w:rPr>
      </w:pPr>
      <w:r w:rsidRPr="00E76D75">
        <w:rPr>
          <w:rFonts w:ascii="Arial" w:eastAsia="Times New Roman" w:hAnsi="Arial" w:cs="Arial"/>
        </w:rPr>
        <w:t xml:space="preserve">Subsidiaries are therefore measured at fair value through proﬁt or loss, in accordance with IFRS 13 ‘‘Fair Value Measurement’’ and </w:t>
      </w:r>
      <w:r>
        <w:rPr>
          <w:rFonts w:ascii="Arial" w:eastAsia="Times New Roman" w:hAnsi="Arial" w:cs="Arial"/>
        </w:rPr>
        <w:t xml:space="preserve">IFRS 9 </w:t>
      </w:r>
      <w:r w:rsidRPr="00E76D75">
        <w:rPr>
          <w:rFonts w:ascii="Arial" w:eastAsia="Times New Roman" w:hAnsi="Arial" w:cs="Arial"/>
        </w:rPr>
        <w:t>as permitted by IAS 27</w:t>
      </w:r>
      <w:r>
        <w:rPr>
          <w:rFonts w:ascii="Arial" w:eastAsia="Times New Roman" w:hAnsi="Arial" w:cs="Arial"/>
        </w:rPr>
        <w:t>.</w:t>
      </w:r>
      <w:r w:rsidRPr="00E76D75">
        <w:rPr>
          <w:rFonts w:ascii="Arial" w:eastAsia="Times New Roman" w:hAnsi="Arial" w:cs="Arial"/>
        </w:rPr>
        <w:t xml:space="preserve"> The ﬁnancial support provided by the Group to its unconsolidated subsidiaries is disclosed in note </w:t>
      </w:r>
      <w:r>
        <w:rPr>
          <w:rFonts w:ascii="Arial" w:eastAsia="Times New Roman" w:hAnsi="Arial" w:cs="Arial"/>
        </w:rPr>
        <w:t>9.</w:t>
      </w:r>
    </w:p>
    <w:p w14:paraId="0AAB3BBA" w14:textId="77777777" w:rsidR="0021298F" w:rsidRPr="005D733B" w:rsidRDefault="0021298F" w:rsidP="0021298F">
      <w:pPr>
        <w:pStyle w:val="ListParagraph"/>
        <w:ind w:left="426"/>
        <w:jc w:val="both"/>
        <w:rPr>
          <w:rFonts w:ascii="Arial" w:hAnsi="Arial" w:cs="Arial"/>
          <w:b/>
          <w:lang w:eastAsia="en-GB"/>
        </w:rPr>
      </w:pPr>
    </w:p>
    <w:p w14:paraId="661F09E9" w14:textId="77777777" w:rsidR="0021298F" w:rsidRPr="008316BD" w:rsidRDefault="0021298F" w:rsidP="0021298F">
      <w:pPr>
        <w:pStyle w:val="Heading4"/>
        <w:spacing w:before="0"/>
        <w:jc w:val="both"/>
        <w:rPr>
          <w:rFonts w:ascii="Arial" w:eastAsia="Times New Roman" w:hAnsi="Arial" w:cs="Arial"/>
          <w:i w:val="0"/>
          <w:color w:val="auto"/>
          <w:lang w:eastAsia="en-GB"/>
        </w:rPr>
      </w:pPr>
      <w:r>
        <w:rPr>
          <w:rFonts w:ascii="Arial" w:eastAsia="Times New Roman" w:hAnsi="Arial" w:cs="Arial"/>
          <w:i w:val="0"/>
          <w:color w:val="auto"/>
          <w:lang w:eastAsia="en-GB"/>
        </w:rPr>
        <w:t>Consolidation</w:t>
      </w:r>
    </w:p>
    <w:p w14:paraId="4FCC2A74" w14:textId="77777777" w:rsidR="0021298F" w:rsidRDefault="0021298F" w:rsidP="0021298F">
      <w:pPr>
        <w:jc w:val="both"/>
        <w:rPr>
          <w:rFonts w:ascii="Arial" w:eastAsia="Times New Roman" w:hAnsi="Arial" w:cs="Arial"/>
        </w:rPr>
      </w:pPr>
      <w:r w:rsidRPr="00E76D75">
        <w:rPr>
          <w:rFonts w:ascii="Arial" w:eastAsia="Times New Roman" w:hAnsi="Arial" w:cs="Arial"/>
        </w:rPr>
        <w:t>Subsidiaries are all entities (including structured entities) over which the Company has control. The Company controls an entity when the Company has power over the entity, is exposed to, or has rights to, variable returns from its involvement with the entity and has the ability to affect those returns through its power over the entity. Subsidiaries are fully consolidated from the date on which control is transferred to the Company. They are derecognised from the date that control ceases.</w:t>
      </w:r>
    </w:p>
    <w:p w14:paraId="668572D0" w14:textId="77777777" w:rsidR="0021298F" w:rsidRDefault="0021298F" w:rsidP="0021298F">
      <w:pPr>
        <w:jc w:val="both"/>
        <w:rPr>
          <w:rFonts w:ascii="Arial" w:eastAsia="Times New Roman" w:hAnsi="Arial" w:cs="Arial"/>
        </w:rPr>
      </w:pPr>
    </w:p>
    <w:p w14:paraId="28928B20" w14:textId="77777777" w:rsidR="0021298F" w:rsidRPr="00AE62DE" w:rsidRDefault="0021298F" w:rsidP="0021298F">
      <w:pPr>
        <w:jc w:val="both"/>
        <w:rPr>
          <w:rFonts w:ascii="Arial" w:hAnsi="Arial" w:cs="Arial"/>
          <w:b/>
          <w:lang w:eastAsia="en-GB"/>
        </w:rPr>
      </w:pPr>
      <w:r w:rsidRPr="00E76D75">
        <w:rPr>
          <w:rFonts w:ascii="Arial" w:eastAsia="Times New Roman" w:hAnsi="Arial" w:cs="Arial"/>
        </w:rPr>
        <w:t xml:space="preserve">The Company applies the acquisition method to account for business combinations. The consideration transferred for the acquisition of a subsidiary (for accounting purposes) is the fair value of the assets transferred, the liabilities incurred to the former owners of the acquiree and the equity interests issued by the Company. The consideration transferred includes the fair value of any asset or liability resulting from a contingent consideration arrangement. Identifiable assets acquired and liabilities and contingent liabilities assumed in a business combination are measured initially at their fair values at the acquisition date. </w:t>
      </w:r>
    </w:p>
    <w:p w14:paraId="18F0243E" w14:textId="77777777" w:rsidR="0021298F" w:rsidRDefault="0021298F" w:rsidP="0021298F">
      <w:pPr>
        <w:jc w:val="both"/>
        <w:rPr>
          <w:rFonts w:ascii="Arial" w:eastAsia="Times New Roman" w:hAnsi="Arial" w:cs="Arial"/>
        </w:rPr>
      </w:pPr>
    </w:p>
    <w:p w14:paraId="4FAB1B4A" w14:textId="77777777" w:rsidR="0021298F" w:rsidRDefault="0021298F" w:rsidP="0021298F">
      <w:pPr>
        <w:jc w:val="both"/>
        <w:rPr>
          <w:rFonts w:ascii="Arial" w:eastAsia="Times New Roman" w:hAnsi="Arial" w:cs="Arial"/>
        </w:rPr>
      </w:pPr>
      <w:r w:rsidRPr="00E76D75">
        <w:rPr>
          <w:rFonts w:ascii="Arial" w:eastAsia="Times New Roman" w:hAnsi="Arial" w:cs="Arial"/>
        </w:rPr>
        <w:t>The Company recognises any non-controlling interest in the acquiree on an acquisition-by-acquisition basis, either at fair value or at the non-controlling interest</w:t>
      </w:r>
      <w:r>
        <w:rPr>
          <w:rFonts w:ascii="Arial" w:eastAsia="Times New Roman" w:hAnsi="Arial" w:cs="Arial"/>
        </w:rPr>
        <w:t>’</w:t>
      </w:r>
      <w:r w:rsidRPr="00E76D75">
        <w:rPr>
          <w:rFonts w:ascii="Arial" w:eastAsia="Times New Roman" w:hAnsi="Arial" w:cs="Arial"/>
        </w:rPr>
        <w:t xml:space="preserve">s proportionate share of the recognised amounts of </w:t>
      </w:r>
      <w:r>
        <w:rPr>
          <w:rFonts w:ascii="Arial" w:eastAsia="Times New Roman" w:hAnsi="Arial" w:cs="Arial"/>
        </w:rPr>
        <w:t xml:space="preserve">the </w:t>
      </w:r>
      <w:r w:rsidRPr="00E76D75">
        <w:rPr>
          <w:rFonts w:ascii="Arial" w:eastAsia="Times New Roman" w:hAnsi="Arial" w:cs="Arial"/>
        </w:rPr>
        <w:t>acquiree</w:t>
      </w:r>
      <w:r>
        <w:rPr>
          <w:rFonts w:ascii="Arial" w:eastAsia="Times New Roman" w:hAnsi="Arial" w:cs="Arial"/>
        </w:rPr>
        <w:t>’</w:t>
      </w:r>
      <w:r w:rsidRPr="00E76D75">
        <w:rPr>
          <w:rFonts w:ascii="Arial" w:eastAsia="Times New Roman" w:hAnsi="Arial" w:cs="Arial"/>
        </w:rPr>
        <w:t>s identifiable net assets.</w:t>
      </w:r>
    </w:p>
    <w:p w14:paraId="7242CBA2" w14:textId="77777777" w:rsidR="0021298F" w:rsidRDefault="0021298F" w:rsidP="0021298F">
      <w:pPr>
        <w:jc w:val="both"/>
        <w:rPr>
          <w:rFonts w:ascii="Arial" w:eastAsia="Times New Roman" w:hAnsi="Arial" w:cs="Arial"/>
        </w:rPr>
      </w:pPr>
    </w:p>
    <w:p w14:paraId="078AF952" w14:textId="77777777" w:rsidR="0021298F" w:rsidRDefault="0021298F" w:rsidP="0021298F">
      <w:pPr>
        <w:jc w:val="both"/>
        <w:rPr>
          <w:rFonts w:ascii="Arial" w:eastAsia="Times New Roman" w:hAnsi="Arial" w:cs="Arial"/>
        </w:rPr>
      </w:pPr>
      <w:r w:rsidRPr="00A716DC">
        <w:rPr>
          <w:rFonts w:ascii="Arial" w:eastAsia="Times New Roman" w:hAnsi="Arial" w:cs="Arial"/>
        </w:rPr>
        <w:t>The following table outlines the consolidated entities.</w:t>
      </w:r>
    </w:p>
    <w:tbl>
      <w:tblPr>
        <w:tblW w:w="5027" w:type="pct"/>
        <w:tblLayout w:type="fixed"/>
        <w:tblLook w:val="04A0" w:firstRow="1" w:lastRow="0" w:firstColumn="1" w:lastColumn="0" w:noHBand="0" w:noVBand="1"/>
      </w:tblPr>
      <w:tblGrid>
        <w:gridCol w:w="1407"/>
        <w:gridCol w:w="1652"/>
        <w:gridCol w:w="2062"/>
        <w:gridCol w:w="1100"/>
        <w:gridCol w:w="1652"/>
        <w:gridCol w:w="1202"/>
      </w:tblGrid>
      <w:tr w:rsidR="0021298F" w:rsidRPr="00E07C61" w14:paraId="387783BF" w14:textId="77777777" w:rsidTr="00760009">
        <w:trPr>
          <w:trHeight w:val="291"/>
        </w:trPr>
        <w:tc>
          <w:tcPr>
            <w:tcW w:w="776" w:type="pct"/>
            <w:vMerge w:val="restart"/>
            <w:tcBorders>
              <w:top w:val="nil"/>
              <w:left w:val="nil"/>
              <w:bottom w:val="single" w:sz="4" w:space="0" w:color="000000"/>
              <w:right w:val="nil"/>
            </w:tcBorders>
            <w:shd w:val="clear" w:color="auto" w:fill="auto"/>
            <w:vAlign w:val="bottom"/>
            <w:hideMark/>
          </w:tcPr>
          <w:p w14:paraId="798B6ED1" w14:textId="77777777" w:rsidR="0021298F" w:rsidRPr="00E07C61" w:rsidRDefault="0021298F" w:rsidP="00760009">
            <w:pPr>
              <w:jc w:val="both"/>
              <w:rPr>
                <w:rFonts w:ascii="Arial" w:eastAsia="Times New Roman" w:hAnsi="Arial" w:cs="Arial"/>
                <w:b/>
                <w:bCs/>
                <w:color w:val="000000"/>
                <w:lang w:eastAsia="en-GB"/>
              </w:rPr>
            </w:pPr>
            <w:r w:rsidRPr="00E07C61">
              <w:rPr>
                <w:rFonts w:ascii="Arial" w:eastAsia="Times New Roman" w:hAnsi="Arial" w:cs="Arial"/>
                <w:b/>
                <w:bCs/>
                <w:color w:val="000000"/>
                <w:lang w:eastAsia="en-GB"/>
              </w:rPr>
              <w:t>Investment</w:t>
            </w:r>
          </w:p>
        </w:tc>
        <w:tc>
          <w:tcPr>
            <w:tcW w:w="910" w:type="pct"/>
            <w:vMerge w:val="restart"/>
            <w:tcBorders>
              <w:top w:val="nil"/>
              <w:left w:val="nil"/>
              <w:bottom w:val="single" w:sz="4" w:space="0" w:color="000000"/>
              <w:right w:val="nil"/>
            </w:tcBorders>
            <w:shd w:val="clear" w:color="auto" w:fill="auto"/>
            <w:vAlign w:val="bottom"/>
            <w:hideMark/>
          </w:tcPr>
          <w:p w14:paraId="75273252" w14:textId="77777777" w:rsidR="0021298F" w:rsidRPr="00E07C61" w:rsidRDefault="0021298F" w:rsidP="00760009">
            <w:pPr>
              <w:jc w:val="right"/>
              <w:rPr>
                <w:rFonts w:ascii="Arial" w:eastAsia="Times New Roman" w:hAnsi="Arial" w:cs="Arial"/>
                <w:b/>
                <w:bCs/>
                <w:color w:val="000000"/>
                <w:lang w:eastAsia="en-GB"/>
              </w:rPr>
            </w:pPr>
            <w:r>
              <w:rPr>
                <w:rFonts w:ascii="Arial" w:eastAsia="Times New Roman" w:hAnsi="Arial" w:cs="Arial"/>
                <w:b/>
                <w:bCs/>
                <w:color w:val="000000"/>
                <w:lang w:eastAsia="en-GB"/>
              </w:rPr>
              <w:t>Date of Control</w:t>
            </w:r>
          </w:p>
        </w:tc>
        <w:tc>
          <w:tcPr>
            <w:tcW w:w="1136" w:type="pct"/>
            <w:tcBorders>
              <w:top w:val="nil"/>
              <w:left w:val="nil"/>
              <w:right w:val="nil"/>
            </w:tcBorders>
          </w:tcPr>
          <w:p w14:paraId="7BC2714A" w14:textId="77777777" w:rsidR="0021298F" w:rsidRPr="00E07C61" w:rsidRDefault="0021298F" w:rsidP="00760009">
            <w:pPr>
              <w:jc w:val="right"/>
              <w:rPr>
                <w:rFonts w:ascii="Arial" w:eastAsia="Times New Roman" w:hAnsi="Arial" w:cs="Arial"/>
                <w:b/>
                <w:bCs/>
                <w:color w:val="000000"/>
                <w:lang w:eastAsia="en-GB"/>
              </w:rPr>
            </w:pPr>
          </w:p>
        </w:tc>
        <w:tc>
          <w:tcPr>
            <w:tcW w:w="606" w:type="pct"/>
            <w:tcBorders>
              <w:top w:val="nil"/>
              <w:left w:val="nil"/>
              <w:right w:val="nil"/>
            </w:tcBorders>
          </w:tcPr>
          <w:p w14:paraId="6D812DAC" w14:textId="77777777" w:rsidR="0021298F" w:rsidRPr="00E07C61" w:rsidRDefault="0021298F" w:rsidP="00760009">
            <w:pPr>
              <w:jc w:val="right"/>
              <w:rPr>
                <w:rFonts w:ascii="Arial" w:eastAsia="Times New Roman" w:hAnsi="Arial" w:cs="Arial"/>
                <w:b/>
                <w:bCs/>
                <w:color w:val="000000"/>
                <w:lang w:eastAsia="en-GB"/>
              </w:rPr>
            </w:pPr>
          </w:p>
        </w:tc>
        <w:tc>
          <w:tcPr>
            <w:tcW w:w="908" w:type="pct"/>
            <w:tcBorders>
              <w:top w:val="nil"/>
              <w:left w:val="nil"/>
              <w:right w:val="nil"/>
            </w:tcBorders>
          </w:tcPr>
          <w:p w14:paraId="0FC22130" w14:textId="77777777" w:rsidR="0021298F" w:rsidRPr="00E07C61" w:rsidRDefault="0021298F" w:rsidP="00760009">
            <w:pPr>
              <w:jc w:val="right"/>
              <w:rPr>
                <w:rFonts w:ascii="Arial" w:eastAsia="Times New Roman" w:hAnsi="Arial" w:cs="Arial"/>
                <w:b/>
                <w:bCs/>
                <w:color w:val="000000"/>
                <w:lang w:eastAsia="en-GB"/>
              </w:rPr>
            </w:pPr>
          </w:p>
        </w:tc>
        <w:tc>
          <w:tcPr>
            <w:tcW w:w="663" w:type="pct"/>
            <w:vMerge w:val="restart"/>
            <w:tcBorders>
              <w:top w:val="nil"/>
              <w:left w:val="nil"/>
              <w:bottom w:val="single" w:sz="4" w:space="0" w:color="000000"/>
              <w:right w:val="nil"/>
            </w:tcBorders>
            <w:shd w:val="clear" w:color="auto" w:fill="auto"/>
            <w:vAlign w:val="bottom"/>
            <w:hideMark/>
          </w:tcPr>
          <w:p w14:paraId="257FF21A" w14:textId="77777777" w:rsidR="0021298F" w:rsidRPr="00E07C61" w:rsidRDefault="0021298F" w:rsidP="00760009">
            <w:pPr>
              <w:jc w:val="right"/>
              <w:rPr>
                <w:rFonts w:ascii="Arial" w:eastAsia="Times New Roman" w:hAnsi="Arial" w:cs="Arial"/>
                <w:b/>
                <w:bCs/>
                <w:color w:val="000000"/>
                <w:lang w:eastAsia="en-GB"/>
              </w:rPr>
            </w:pPr>
            <w:r w:rsidRPr="00E07C61">
              <w:rPr>
                <w:rFonts w:ascii="Arial" w:eastAsia="Times New Roman" w:hAnsi="Arial" w:cs="Arial"/>
                <w:b/>
                <w:bCs/>
                <w:color w:val="000000"/>
                <w:lang w:eastAsia="en-GB"/>
              </w:rPr>
              <w:t>Place of Business</w:t>
            </w:r>
          </w:p>
        </w:tc>
      </w:tr>
      <w:tr w:rsidR="0021298F" w:rsidRPr="00E07C61" w14:paraId="495F1932" w14:textId="77777777" w:rsidTr="00760009">
        <w:trPr>
          <w:trHeight w:val="520"/>
        </w:trPr>
        <w:tc>
          <w:tcPr>
            <w:tcW w:w="776" w:type="pct"/>
            <w:vMerge/>
            <w:tcBorders>
              <w:top w:val="nil"/>
              <w:left w:val="nil"/>
              <w:bottom w:val="single" w:sz="4" w:space="0" w:color="000000"/>
              <w:right w:val="nil"/>
            </w:tcBorders>
            <w:vAlign w:val="center"/>
            <w:hideMark/>
          </w:tcPr>
          <w:p w14:paraId="5C0607FB" w14:textId="77777777" w:rsidR="0021298F" w:rsidRPr="00E07C61" w:rsidRDefault="0021298F" w:rsidP="00760009">
            <w:pPr>
              <w:jc w:val="both"/>
              <w:rPr>
                <w:rFonts w:ascii="Arial" w:eastAsia="Times New Roman" w:hAnsi="Arial" w:cs="Arial"/>
                <w:b/>
                <w:bCs/>
                <w:color w:val="000000"/>
                <w:lang w:eastAsia="en-GB"/>
              </w:rPr>
            </w:pPr>
          </w:p>
        </w:tc>
        <w:tc>
          <w:tcPr>
            <w:tcW w:w="910" w:type="pct"/>
            <w:vMerge/>
            <w:tcBorders>
              <w:top w:val="nil"/>
              <w:left w:val="nil"/>
              <w:bottom w:val="single" w:sz="4" w:space="0" w:color="000000"/>
              <w:right w:val="nil"/>
            </w:tcBorders>
            <w:vAlign w:val="center"/>
            <w:hideMark/>
          </w:tcPr>
          <w:p w14:paraId="6E6D20F7" w14:textId="77777777" w:rsidR="0021298F" w:rsidRPr="00E07C61" w:rsidRDefault="0021298F" w:rsidP="00760009">
            <w:pPr>
              <w:jc w:val="right"/>
              <w:rPr>
                <w:rFonts w:ascii="Arial" w:eastAsia="Times New Roman" w:hAnsi="Arial" w:cs="Arial"/>
                <w:b/>
                <w:bCs/>
                <w:color w:val="000000"/>
                <w:lang w:eastAsia="en-GB"/>
              </w:rPr>
            </w:pPr>
          </w:p>
        </w:tc>
        <w:tc>
          <w:tcPr>
            <w:tcW w:w="1136" w:type="pct"/>
            <w:tcBorders>
              <w:left w:val="nil"/>
              <w:bottom w:val="single" w:sz="4" w:space="0" w:color="000000"/>
              <w:right w:val="nil"/>
            </w:tcBorders>
          </w:tcPr>
          <w:p w14:paraId="6B969C70" w14:textId="77777777" w:rsidR="0021298F" w:rsidRDefault="0021298F" w:rsidP="00760009">
            <w:pPr>
              <w:jc w:val="right"/>
              <w:rPr>
                <w:rFonts w:ascii="Arial" w:eastAsia="Times New Roman" w:hAnsi="Arial" w:cs="Arial"/>
                <w:b/>
                <w:bCs/>
                <w:color w:val="000000"/>
                <w:lang w:eastAsia="en-GB"/>
              </w:rPr>
            </w:pPr>
            <w:r>
              <w:rPr>
                <w:rFonts w:ascii="Arial" w:eastAsia="Times New Roman" w:hAnsi="Arial" w:cs="Arial"/>
                <w:b/>
                <w:bCs/>
                <w:color w:val="000000"/>
                <w:lang w:eastAsia="en-GB"/>
              </w:rPr>
              <w:t>Registered</w:t>
            </w:r>
          </w:p>
          <w:p w14:paraId="0BFC6682" w14:textId="77777777" w:rsidR="0021298F" w:rsidRPr="00E07C61" w:rsidRDefault="0021298F" w:rsidP="00760009">
            <w:pPr>
              <w:jc w:val="right"/>
              <w:rPr>
                <w:rFonts w:ascii="Arial" w:eastAsia="Times New Roman" w:hAnsi="Arial" w:cs="Arial"/>
                <w:b/>
                <w:bCs/>
                <w:color w:val="000000"/>
                <w:lang w:eastAsia="en-GB"/>
              </w:rPr>
            </w:pPr>
            <w:r>
              <w:rPr>
                <w:rFonts w:ascii="Arial" w:eastAsia="Times New Roman" w:hAnsi="Arial" w:cs="Arial"/>
                <w:b/>
                <w:bCs/>
                <w:color w:val="000000"/>
                <w:lang w:eastAsia="en-GB"/>
              </w:rPr>
              <w:t>Office</w:t>
            </w:r>
          </w:p>
        </w:tc>
        <w:tc>
          <w:tcPr>
            <w:tcW w:w="606" w:type="pct"/>
            <w:tcBorders>
              <w:left w:val="nil"/>
              <w:bottom w:val="single" w:sz="4" w:space="0" w:color="000000"/>
              <w:right w:val="nil"/>
            </w:tcBorders>
          </w:tcPr>
          <w:p w14:paraId="6CF53967" w14:textId="77777777" w:rsidR="0021298F" w:rsidRPr="00E07C61" w:rsidRDefault="0021298F" w:rsidP="00760009">
            <w:pPr>
              <w:jc w:val="right"/>
              <w:rPr>
                <w:rFonts w:ascii="Arial" w:eastAsia="Times New Roman" w:hAnsi="Arial" w:cs="Arial"/>
                <w:b/>
                <w:bCs/>
                <w:color w:val="000000"/>
                <w:lang w:eastAsia="en-GB"/>
              </w:rPr>
            </w:pPr>
            <w:r>
              <w:rPr>
                <w:rFonts w:ascii="Arial" w:eastAsia="Times New Roman" w:hAnsi="Arial" w:cs="Arial"/>
                <w:b/>
                <w:bCs/>
                <w:color w:val="000000"/>
                <w:lang w:eastAsia="en-GB"/>
              </w:rPr>
              <w:t>Owner-ship %</w:t>
            </w:r>
          </w:p>
        </w:tc>
        <w:tc>
          <w:tcPr>
            <w:tcW w:w="908" w:type="pct"/>
            <w:tcBorders>
              <w:left w:val="nil"/>
              <w:bottom w:val="single" w:sz="4" w:space="0" w:color="000000"/>
              <w:right w:val="nil"/>
            </w:tcBorders>
          </w:tcPr>
          <w:p w14:paraId="16A81CC1" w14:textId="77777777" w:rsidR="0021298F" w:rsidRDefault="0021298F" w:rsidP="00760009">
            <w:pPr>
              <w:jc w:val="right"/>
              <w:rPr>
                <w:rFonts w:ascii="Arial" w:eastAsia="Times New Roman" w:hAnsi="Arial" w:cs="Arial"/>
                <w:b/>
                <w:bCs/>
                <w:color w:val="000000"/>
                <w:lang w:eastAsia="en-GB"/>
              </w:rPr>
            </w:pPr>
            <w:r>
              <w:rPr>
                <w:rFonts w:ascii="Arial" w:eastAsia="Times New Roman" w:hAnsi="Arial" w:cs="Arial"/>
                <w:b/>
                <w:bCs/>
                <w:color w:val="000000"/>
                <w:lang w:eastAsia="en-GB"/>
              </w:rPr>
              <w:t>Country of</w:t>
            </w:r>
          </w:p>
          <w:p w14:paraId="4A63E72A" w14:textId="77777777" w:rsidR="0021298F" w:rsidRPr="00E07C61" w:rsidRDefault="0021298F" w:rsidP="00760009">
            <w:pPr>
              <w:jc w:val="right"/>
              <w:rPr>
                <w:rFonts w:ascii="Arial" w:eastAsia="Times New Roman" w:hAnsi="Arial" w:cs="Arial"/>
                <w:b/>
                <w:bCs/>
                <w:color w:val="000000"/>
                <w:lang w:eastAsia="en-GB"/>
              </w:rPr>
            </w:pPr>
            <w:r>
              <w:rPr>
                <w:rFonts w:ascii="Arial" w:eastAsia="Times New Roman" w:hAnsi="Arial" w:cs="Arial"/>
                <w:b/>
                <w:bCs/>
                <w:color w:val="000000"/>
                <w:lang w:eastAsia="en-GB"/>
              </w:rPr>
              <w:t>Incorporation</w:t>
            </w:r>
          </w:p>
        </w:tc>
        <w:tc>
          <w:tcPr>
            <w:tcW w:w="663" w:type="pct"/>
            <w:vMerge/>
            <w:tcBorders>
              <w:top w:val="nil"/>
              <w:left w:val="nil"/>
              <w:bottom w:val="single" w:sz="4" w:space="0" w:color="000000"/>
              <w:right w:val="nil"/>
            </w:tcBorders>
            <w:vAlign w:val="center"/>
            <w:hideMark/>
          </w:tcPr>
          <w:p w14:paraId="75A801EF" w14:textId="77777777" w:rsidR="0021298F" w:rsidRPr="00E07C61" w:rsidRDefault="0021298F" w:rsidP="00760009">
            <w:pPr>
              <w:jc w:val="right"/>
              <w:rPr>
                <w:rFonts w:ascii="Arial" w:eastAsia="Times New Roman" w:hAnsi="Arial" w:cs="Arial"/>
                <w:b/>
                <w:bCs/>
                <w:color w:val="000000"/>
                <w:lang w:eastAsia="en-GB"/>
              </w:rPr>
            </w:pPr>
          </w:p>
        </w:tc>
      </w:tr>
      <w:tr w:rsidR="0021298F" w:rsidRPr="00E07C61" w14:paraId="038C12A3" w14:textId="77777777" w:rsidTr="00760009">
        <w:trPr>
          <w:trHeight w:val="902"/>
        </w:trPr>
        <w:tc>
          <w:tcPr>
            <w:tcW w:w="776" w:type="pct"/>
            <w:tcBorders>
              <w:top w:val="nil"/>
              <w:left w:val="nil"/>
              <w:right w:val="nil"/>
            </w:tcBorders>
            <w:shd w:val="clear" w:color="000000" w:fill="FFFFFF"/>
            <w:noWrap/>
          </w:tcPr>
          <w:p w14:paraId="6056783E" w14:textId="77777777" w:rsidR="0021298F" w:rsidRDefault="0021298F" w:rsidP="00760009">
            <w:pPr>
              <w:rPr>
                <w:rFonts w:ascii="Arial" w:eastAsia="Times New Roman" w:hAnsi="Arial" w:cs="Arial"/>
                <w:color w:val="000000"/>
                <w:lang w:eastAsia="en-GB"/>
              </w:rPr>
            </w:pPr>
            <w:r>
              <w:rPr>
                <w:rFonts w:ascii="Arial" w:eastAsia="Times New Roman" w:hAnsi="Arial" w:cs="Arial"/>
                <w:color w:val="000000"/>
                <w:lang w:eastAsia="en-GB"/>
              </w:rPr>
              <w:t>Holdco</w:t>
            </w:r>
          </w:p>
        </w:tc>
        <w:tc>
          <w:tcPr>
            <w:tcW w:w="910" w:type="pct"/>
            <w:tcBorders>
              <w:top w:val="nil"/>
              <w:left w:val="nil"/>
              <w:right w:val="nil"/>
            </w:tcBorders>
            <w:shd w:val="clear" w:color="000000" w:fill="EDFFB7"/>
            <w:noWrap/>
          </w:tcPr>
          <w:p w14:paraId="704FBDA2" w14:textId="77777777" w:rsidR="0021298F" w:rsidRDefault="0021298F" w:rsidP="00760009">
            <w:pPr>
              <w:jc w:val="right"/>
              <w:rPr>
                <w:rFonts w:ascii="Arial" w:eastAsia="Times New Roman" w:hAnsi="Arial" w:cs="Arial"/>
                <w:color w:val="000000"/>
                <w:lang w:eastAsia="en-GB"/>
              </w:rPr>
            </w:pPr>
            <w:r>
              <w:rPr>
                <w:rFonts w:ascii="Arial" w:eastAsia="Times New Roman" w:hAnsi="Arial" w:cs="Arial"/>
                <w:color w:val="000000"/>
                <w:lang w:eastAsia="en-GB"/>
              </w:rPr>
              <w:t>9 March 2017</w:t>
            </w:r>
          </w:p>
        </w:tc>
        <w:tc>
          <w:tcPr>
            <w:tcW w:w="1136" w:type="pct"/>
            <w:tcBorders>
              <w:top w:val="nil"/>
              <w:left w:val="nil"/>
              <w:right w:val="nil"/>
            </w:tcBorders>
            <w:shd w:val="clear" w:color="000000" w:fill="EDFFB7"/>
          </w:tcPr>
          <w:p w14:paraId="3E2AEB42" w14:textId="77777777" w:rsidR="0021298F" w:rsidRDefault="0021298F" w:rsidP="00760009">
            <w:pPr>
              <w:jc w:val="right"/>
              <w:rPr>
                <w:rFonts w:ascii="Arial" w:eastAsia="Times New Roman" w:hAnsi="Arial" w:cs="Arial"/>
                <w:color w:val="000000"/>
                <w:lang w:eastAsia="en-GB"/>
              </w:rPr>
            </w:pPr>
            <w:r>
              <w:rPr>
                <w:rFonts w:ascii="Arial" w:eastAsia="Times New Roman" w:hAnsi="Arial" w:cs="Arial"/>
                <w:color w:val="000000"/>
                <w:lang w:eastAsia="en-GB"/>
              </w:rPr>
              <w:t xml:space="preserve">Riverside One, Sir </w:t>
            </w:r>
          </w:p>
          <w:p w14:paraId="0F90231D" w14:textId="77777777" w:rsidR="0021298F" w:rsidRDefault="0021298F" w:rsidP="00760009">
            <w:pPr>
              <w:jc w:val="right"/>
              <w:rPr>
                <w:rFonts w:ascii="Arial" w:eastAsia="Times New Roman" w:hAnsi="Arial" w:cs="Arial"/>
                <w:color w:val="000000"/>
                <w:lang w:eastAsia="en-GB"/>
              </w:rPr>
            </w:pPr>
            <w:r>
              <w:rPr>
                <w:rFonts w:ascii="Arial" w:eastAsia="Times New Roman" w:hAnsi="Arial" w:cs="Arial"/>
                <w:color w:val="000000"/>
                <w:lang w:eastAsia="en-GB"/>
              </w:rPr>
              <w:t xml:space="preserve">John Rogerson’s </w:t>
            </w:r>
          </w:p>
          <w:p w14:paraId="279FC4BC" w14:textId="77777777" w:rsidR="0021298F" w:rsidRDefault="0021298F" w:rsidP="00760009">
            <w:pPr>
              <w:jc w:val="right"/>
              <w:rPr>
                <w:rFonts w:ascii="Arial" w:eastAsia="Times New Roman" w:hAnsi="Arial" w:cs="Arial"/>
                <w:color w:val="000000"/>
                <w:lang w:eastAsia="en-GB"/>
              </w:rPr>
            </w:pPr>
            <w:r>
              <w:rPr>
                <w:rFonts w:ascii="Arial" w:eastAsia="Times New Roman" w:hAnsi="Arial" w:cs="Arial"/>
                <w:color w:val="000000"/>
                <w:lang w:eastAsia="en-GB"/>
              </w:rPr>
              <w:lastRenderedPageBreak/>
              <w:t>Quay, Dublin 2</w:t>
            </w:r>
          </w:p>
        </w:tc>
        <w:tc>
          <w:tcPr>
            <w:tcW w:w="606" w:type="pct"/>
            <w:tcBorders>
              <w:top w:val="nil"/>
              <w:left w:val="nil"/>
              <w:right w:val="nil"/>
            </w:tcBorders>
            <w:shd w:val="clear" w:color="000000" w:fill="EDFFB7"/>
          </w:tcPr>
          <w:p w14:paraId="374B38CA" w14:textId="77777777" w:rsidR="0021298F" w:rsidRDefault="0021298F" w:rsidP="00760009">
            <w:pPr>
              <w:jc w:val="right"/>
              <w:rPr>
                <w:rFonts w:ascii="Arial" w:eastAsia="Times New Roman" w:hAnsi="Arial" w:cs="Arial"/>
                <w:color w:val="000000"/>
                <w:lang w:eastAsia="en-GB"/>
              </w:rPr>
            </w:pPr>
            <w:r>
              <w:rPr>
                <w:rFonts w:ascii="Arial" w:eastAsia="Times New Roman" w:hAnsi="Arial" w:cs="Arial"/>
                <w:color w:val="000000"/>
                <w:lang w:eastAsia="en-GB"/>
              </w:rPr>
              <w:lastRenderedPageBreak/>
              <w:t>100%</w:t>
            </w:r>
          </w:p>
        </w:tc>
        <w:tc>
          <w:tcPr>
            <w:tcW w:w="910" w:type="pct"/>
            <w:tcBorders>
              <w:top w:val="nil"/>
              <w:left w:val="nil"/>
              <w:right w:val="nil"/>
            </w:tcBorders>
            <w:shd w:val="clear" w:color="000000" w:fill="EDFFB7"/>
          </w:tcPr>
          <w:p w14:paraId="5BCE64B7" w14:textId="77777777" w:rsidR="0021298F" w:rsidRDefault="0021298F" w:rsidP="00760009">
            <w:pPr>
              <w:jc w:val="right"/>
              <w:rPr>
                <w:rFonts w:ascii="Arial" w:eastAsia="Times New Roman" w:hAnsi="Arial" w:cs="Arial"/>
                <w:color w:val="000000"/>
                <w:lang w:eastAsia="en-GB"/>
              </w:rPr>
            </w:pPr>
            <w:r>
              <w:rPr>
                <w:rFonts w:ascii="Arial" w:eastAsia="Times New Roman" w:hAnsi="Arial" w:cs="Arial"/>
                <w:color w:val="000000"/>
                <w:lang w:eastAsia="en-GB"/>
              </w:rPr>
              <w:t>Ireland</w:t>
            </w:r>
          </w:p>
        </w:tc>
        <w:tc>
          <w:tcPr>
            <w:tcW w:w="663" w:type="pct"/>
            <w:tcBorders>
              <w:top w:val="nil"/>
              <w:left w:val="nil"/>
              <w:right w:val="nil"/>
            </w:tcBorders>
            <w:shd w:val="clear" w:color="000000" w:fill="EDFFB7"/>
            <w:noWrap/>
          </w:tcPr>
          <w:p w14:paraId="17FA9753" w14:textId="77777777" w:rsidR="0021298F" w:rsidRDefault="0021298F" w:rsidP="00760009">
            <w:pPr>
              <w:jc w:val="right"/>
              <w:rPr>
                <w:rFonts w:ascii="Arial" w:eastAsia="Times New Roman" w:hAnsi="Arial" w:cs="Arial"/>
                <w:color w:val="000000"/>
                <w:lang w:eastAsia="en-GB"/>
              </w:rPr>
            </w:pPr>
            <w:r>
              <w:rPr>
                <w:rFonts w:ascii="Arial" w:eastAsia="Times New Roman" w:hAnsi="Arial" w:cs="Arial"/>
                <w:color w:val="000000"/>
                <w:lang w:eastAsia="en-GB"/>
              </w:rPr>
              <w:t>Ireland</w:t>
            </w:r>
          </w:p>
        </w:tc>
      </w:tr>
      <w:tr w:rsidR="0021298F" w:rsidRPr="00E07C61" w14:paraId="34DED46D" w14:textId="77777777" w:rsidTr="00760009">
        <w:trPr>
          <w:trHeight w:val="902"/>
        </w:trPr>
        <w:tc>
          <w:tcPr>
            <w:tcW w:w="776" w:type="pct"/>
            <w:tcBorders>
              <w:top w:val="nil"/>
              <w:left w:val="nil"/>
              <w:bottom w:val="nil"/>
              <w:right w:val="nil"/>
            </w:tcBorders>
            <w:shd w:val="clear" w:color="000000" w:fill="FFFFFF"/>
            <w:noWrap/>
            <w:hideMark/>
          </w:tcPr>
          <w:p w14:paraId="2FB3B5A2" w14:textId="77777777" w:rsidR="0021298F" w:rsidRPr="00E07C61" w:rsidRDefault="0021298F" w:rsidP="00760009">
            <w:pPr>
              <w:rPr>
                <w:rFonts w:ascii="Arial" w:eastAsia="Times New Roman" w:hAnsi="Arial" w:cs="Arial"/>
                <w:color w:val="000000"/>
                <w:lang w:eastAsia="en-GB"/>
              </w:rPr>
            </w:pPr>
            <w:r>
              <w:rPr>
                <w:rFonts w:ascii="Arial" w:eastAsia="Times New Roman" w:hAnsi="Arial" w:cs="Arial"/>
                <w:color w:val="000000"/>
                <w:lang w:eastAsia="en-GB"/>
              </w:rPr>
              <w:t>Holdco 1</w:t>
            </w:r>
          </w:p>
        </w:tc>
        <w:tc>
          <w:tcPr>
            <w:tcW w:w="910" w:type="pct"/>
            <w:tcBorders>
              <w:top w:val="nil"/>
              <w:left w:val="nil"/>
              <w:bottom w:val="nil"/>
              <w:right w:val="nil"/>
            </w:tcBorders>
            <w:shd w:val="clear" w:color="000000" w:fill="EDFFB7"/>
            <w:noWrap/>
            <w:hideMark/>
          </w:tcPr>
          <w:p w14:paraId="1C4BC718" w14:textId="77777777" w:rsidR="0021298F" w:rsidRPr="00E07C61" w:rsidRDefault="0021298F" w:rsidP="00760009">
            <w:pPr>
              <w:jc w:val="right"/>
              <w:rPr>
                <w:rFonts w:ascii="Arial" w:eastAsia="Times New Roman" w:hAnsi="Arial" w:cs="Arial"/>
                <w:color w:val="000000"/>
                <w:lang w:eastAsia="en-GB"/>
              </w:rPr>
            </w:pPr>
            <w:r>
              <w:rPr>
                <w:rFonts w:ascii="Arial" w:eastAsia="Times New Roman" w:hAnsi="Arial" w:cs="Arial"/>
                <w:color w:val="000000"/>
                <w:lang w:eastAsia="en-GB"/>
              </w:rPr>
              <w:t>2 March 2020</w:t>
            </w:r>
          </w:p>
        </w:tc>
        <w:tc>
          <w:tcPr>
            <w:tcW w:w="1136" w:type="pct"/>
            <w:tcBorders>
              <w:top w:val="nil"/>
              <w:left w:val="nil"/>
              <w:bottom w:val="nil"/>
              <w:right w:val="nil"/>
            </w:tcBorders>
            <w:shd w:val="clear" w:color="000000" w:fill="EDFFB7"/>
          </w:tcPr>
          <w:p w14:paraId="2221A2E3" w14:textId="77777777" w:rsidR="0021298F" w:rsidRDefault="0021298F" w:rsidP="00760009">
            <w:pPr>
              <w:jc w:val="right"/>
              <w:rPr>
                <w:rFonts w:ascii="Arial" w:eastAsia="Times New Roman" w:hAnsi="Arial" w:cs="Arial"/>
                <w:color w:val="000000"/>
                <w:lang w:eastAsia="en-GB"/>
              </w:rPr>
            </w:pPr>
            <w:r>
              <w:rPr>
                <w:rFonts w:ascii="Arial" w:eastAsia="Times New Roman" w:hAnsi="Arial" w:cs="Arial"/>
                <w:color w:val="000000"/>
                <w:lang w:eastAsia="en-GB"/>
              </w:rPr>
              <w:t xml:space="preserve">Riverside One, Sir </w:t>
            </w:r>
          </w:p>
          <w:p w14:paraId="7F7296A8" w14:textId="77777777" w:rsidR="0021298F" w:rsidRDefault="0021298F" w:rsidP="00760009">
            <w:pPr>
              <w:jc w:val="right"/>
              <w:rPr>
                <w:rFonts w:ascii="Arial" w:eastAsia="Times New Roman" w:hAnsi="Arial" w:cs="Arial"/>
                <w:color w:val="000000"/>
                <w:lang w:eastAsia="en-GB"/>
              </w:rPr>
            </w:pPr>
            <w:r>
              <w:rPr>
                <w:rFonts w:ascii="Arial" w:eastAsia="Times New Roman" w:hAnsi="Arial" w:cs="Arial"/>
                <w:color w:val="000000"/>
                <w:lang w:eastAsia="en-GB"/>
              </w:rPr>
              <w:t xml:space="preserve">John Rogerson’s </w:t>
            </w:r>
          </w:p>
          <w:p w14:paraId="6A0AB413" w14:textId="77777777" w:rsidR="0021298F" w:rsidRPr="00E07C61" w:rsidRDefault="0021298F" w:rsidP="00760009">
            <w:pPr>
              <w:jc w:val="right"/>
              <w:rPr>
                <w:rFonts w:ascii="Arial" w:eastAsia="Times New Roman" w:hAnsi="Arial" w:cs="Arial"/>
                <w:color w:val="000000"/>
                <w:lang w:eastAsia="en-GB"/>
              </w:rPr>
            </w:pPr>
            <w:r>
              <w:rPr>
                <w:rFonts w:ascii="Arial" w:eastAsia="Times New Roman" w:hAnsi="Arial" w:cs="Arial"/>
                <w:color w:val="000000"/>
                <w:lang w:eastAsia="en-GB"/>
              </w:rPr>
              <w:t>Quay, Dublin 2</w:t>
            </w:r>
          </w:p>
        </w:tc>
        <w:tc>
          <w:tcPr>
            <w:tcW w:w="606" w:type="pct"/>
            <w:tcBorders>
              <w:top w:val="nil"/>
              <w:left w:val="nil"/>
              <w:bottom w:val="nil"/>
              <w:right w:val="nil"/>
            </w:tcBorders>
            <w:shd w:val="clear" w:color="000000" w:fill="EDFFB7"/>
          </w:tcPr>
          <w:p w14:paraId="37AB1F49" w14:textId="77777777" w:rsidR="0021298F" w:rsidRPr="00E07C61" w:rsidRDefault="0021298F" w:rsidP="00760009">
            <w:pPr>
              <w:jc w:val="right"/>
              <w:rPr>
                <w:rFonts w:ascii="Arial" w:eastAsia="Times New Roman" w:hAnsi="Arial" w:cs="Arial"/>
                <w:color w:val="000000"/>
                <w:lang w:eastAsia="en-GB"/>
              </w:rPr>
            </w:pPr>
            <w:r>
              <w:rPr>
                <w:rFonts w:ascii="Arial" w:eastAsia="Times New Roman" w:hAnsi="Arial" w:cs="Arial"/>
                <w:color w:val="000000"/>
                <w:lang w:eastAsia="en-GB"/>
              </w:rPr>
              <w:t>100%</w:t>
            </w:r>
          </w:p>
        </w:tc>
        <w:tc>
          <w:tcPr>
            <w:tcW w:w="910" w:type="pct"/>
            <w:tcBorders>
              <w:top w:val="nil"/>
              <w:left w:val="nil"/>
              <w:bottom w:val="nil"/>
              <w:right w:val="nil"/>
            </w:tcBorders>
            <w:shd w:val="clear" w:color="000000" w:fill="EDFFB7"/>
          </w:tcPr>
          <w:p w14:paraId="3ADBF9F4" w14:textId="77777777" w:rsidR="0021298F" w:rsidRPr="00E07C61" w:rsidRDefault="0021298F" w:rsidP="00760009">
            <w:pPr>
              <w:jc w:val="right"/>
              <w:rPr>
                <w:rFonts w:ascii="Arial" w:eastAsia="Times New Roman" w:hAnsi="Arial" w:cs="Arial"/>
                <w:color w:val="000000"/>
                <w:lang w:eastAsia="en-GB"/>
              </w:rPr>
            </w:pPr>
            <w:r>
              <w:rPr>
                <w:rFonts w:ascii="Arial" w:eastAsia="Times New Roman" w:hAnsi="Arial" w:cs="Arial"/>
                <w:color w:val="000000"/>
                <w:lang w:eastAsia="en-GB"/>
              </w:rPr>
              <w:t>Ireland</w:t>
            </w:r>
          </w:p>
        </w:tc>
        <w:tc>
          <w:tcPr>
            <w:tcW w:w="663" w:type="pct"/>
            <w:tcBorders>
              <w:top w:val="nil"/>
              <w:left w:val="nil"/>
              <w:bottom w:val="nil"/>
              <w:right w:val="nil"/>
            </w:tcBorders>
            <w:shd w:val="clear" w:color="000000" w:fill="EDFFB7"/>
            <w:noWrap/>
            <w:hideMark/>
          </w:tcPr>
          <w:p w14:paraId="2410D597" w14:textId="77777777" w:rsidR="0021298F" w:rsidRPr="00E07C61" w:rsidRDefault="0021298F" w:rsidP="00760009">
            <w:pPr>
              <w:jc w:val="right"/>
              <w:rPr>
                <w:rFonts w:ascii="Arial" w:eastAsia="Times New Roman" w:hAnsi="Arial" w:cs="Arial"/>
                <w:color w:val="000000"/>
                <w:lang w:eastAsia="en-GB"/>
              </w:rPr>
            </w:pPr>
            <w:r>
              <w:rPr>
                <w:rFonts w:ascii="Arial" w:eastAsia="Times New Roman" w:hAnsi="Arial" w:cs="Arial"/>
                <w:color w:val="000000"/>
                <w:lang w:eastAsia="en-GB"/>
              </w:rPr>
              <w:t>Ireland</w:t>
            </w:r>
          </w:p>
        </w:tc>
      </w:tr>
      <w:tr w:rsidR="0021298F" w:rsidRPr="00E07C61" w14:paraId="623DB3C9" w14:textId="77777777" w:rsidTr="00760009">
        <w:trPr>
          <w:trHeight w:val="902"/>
        </w:trPr>
        <w:tc>
          <w:tcPr>
            <w:tcW w:w="776" w:type="pct"/>
            <w:tcBorders>
              <w:top w:val="nil"/>
              <w:left w:val="nil"/>
              <w:right w:val="nil"/>
            </w:tcBorders>
            <w:shd w:val="clear" w:color="000000" w:fill="FFFFFF"/>
            <w:noWrap/>
          </w:tcPr>
          <w:p w14:paraId="638839E1" w14:textId="77777777" w:rsidR="0021298F" w:rsidRDefault="0021298F" w:rsidP="00760009">
            <w:pPr>
              <w:rPr>
                <w:rFonts w:ascii="Arial" w:eastAsia="Times New Roman" w:hAnsi="Arial" w:cs="Arial"/>
                <w:color w:val="000000"/>
                <w:lang w:eastAsia="en-GB"/>
              </w:rPr>
            </w:pPr>
            <w:r>
              <w:rPr>
                <w:rFonts w:ascii="Arial" w:eastAsia="Times New Roman" w:hAnsi="Arial" w:cs="Arial"/>
                <w:color w:val="000000"/>
                <w:lang w:eastAsia="en-GB"/>
              </w:rPr>
              <w:t>Holdco 2</w:t>
            </w:r>
          </w:p>
        </w:tc>
        <w:tc>
          <w:tcPr>
            <w:tcW w:w="910" w:type="pct"/>
            <w:tcBorders>
              <w:top w:val="nil"/>
              <w:left w:val="nil"/>
              <w:right w:val="nil"/>
            </w:tcBorders>
            <w:shd w:val="clear" w:color="000000" w:fill="EDFFB7"/>
            <w:noWrap/>
          </w:tcPr>
          <w:p w14:paraId="7C21563C" w14:textId="77777777" w:rsidR="0021298F" w:rsidRDefault="0021298F" w:rsidP="00760009">
            <w:pPr>
              <w:jc w:val="right"/>
              <w:rPr>
                <w:rFonts w:ascii="Arial" w:eastAsia="Times New Roman" w:hAnsi="Arial" w:cs="Arial"/>
                <w:color w:val="000000"/>
                <w:lang w:eastAsia="en-GB"/>
              </w:rPr>
            </w:pPr>
            <w:r>
              <w:rPr>
                <w:rFonts w:ascii="Arial" w:eastAsia="Times New Roman" w:hAnsi="Arial" w:cs="Arial"/>
                <w:color w:val="000000"/>
                <w:lang w:eastAsia="en-GB"/>
              </w:rPr>
              <w:t>2 March 2020</w:t>
            </w:r>
          </w:p>
        </w:tc>
        <w:tc>
          <w:tcPr>
            <w:tcW w:w="1136" w:type="pct"/>
            <w:tcBorders>
              <w:top w:val="nil"/>
              <w:left w:val="nil"/>
              <w:right w:val="nil"/>
            </w:tcBorders>
            <w:shd w:val="clear" w:color="000000" w:fill="EDFFB7"/>
          </w:tcPr>
          <w:p w14:paraId="25F63269" w14:textId="77777777" w:rsidR="0021298F" w:rsidRDefault="0021298F" w:rsidP="00760009">
            <w:pPr>
              <w:jc w:val="right"/>
              <w:rPr>
                <w:rFonts w:ascii="Arial" w:eastAsia="Times New Roman" w:hAnsi="Arial" w:cs="Arial"/>
                <w:color w:val="000000"/>
                <w:lang w:eastAsia="en-GB"/>
              </w:rPr>
            </w:pPr>
            <w:r>
              <w:rPr>
                <w:rFonts w:ascii="Arial" w:eastAsia="Times New Roman" w:hAnsi="Arial" w:cs="Arial"/>
                <w:color w:val="000000"/>
                <w:lang w:eastAsia="en-GB"/>
              </w:rPr>
              <w:t xml:space="preserve">Riverside One, Sir </w:t>
            </w:r>
          </w:p>
          <w:p w14:paraId="70F8AE4C" w14:textId="77777777" w:rsidR="0021298F" w:rsidRDefault="0021298F" w:rsidP="00760009">
            <w:pPr>
              <w:jc w:val="right"/>
              <w:rPr>
                <w:rFonts w:ascii="Arial" w:eastAsia="Times New Roman" w:hAnsi="Arial" w:cs="Arial"/>
                <w:color w:val="000000"/>
                <w:lang w:eastAsia="en-GB"/>
              </w:rPr>
            </w:pPr>
            <w:r>
              <w:rPr>
                <w:rFonts w:ascii="Arial" w:eastAsia="Times New Roman" w:hAnsi="Arial" w:cs="Arial"/>
                <w:color w:val="000000"/>
                <w:lang w:eastAsia="en-GB"/>
              </w:rPr>
              <w:t xml:space="preserve">John Rogerson’s </w:t>
            </w:r>
          </w:p>
          <w:p w14:paraId="0F4396BE" w14:textId="77777777" w:rsidR="0021298F" w:rsidRDefault="0021298F" w:rsidP="00760009">
            <w:pPr>
              <w:jc w:val="right"/>
              <w:rPr>
                <w:rFonts w:ascii="Arial" w:eastAsia="Times New Roman" w:hAnsi="Arial" w:cs="Arial"/>
                <w:color w:val="000000"/>
                <w:lang w:eastAsia="en-GB"/>
              </w:rPr>
            </w:pPr>
            <w:r>
              <w:rPr>
                <w:rFonts w:ascii="Arial" w:eastAsia="Times New Roman" w:hAnsi="Arial" w:cs="Arial"/>
                <w:color w:val="000000"/>
                <w:lang w:eastAsia="en-GB"/>
              </w:rPr>
              <w:t>Quay, Dublin 2</w:t>
            </w:r>
          </w:p>
        </w:tc>
        <w:tc>
          <w:tcPr>
            <w:tcW w:w="606" w:type="pct"/>
            <w:tcBorders>
              <w:top w:val="nil"/>
              <w:left w:val="nil"/>
              <w:right w:val="nil"/>
            </w:tcBorders>
            <w:shd w:val="clear" w:color="000000" w:fill="EDFFB7"/>
          </w:tcPr>
          <w:p w14:paraId="2EFAB7B0" w14:textId="77777777" w:rsidR="0021298F" w:rsidRDefault="0021298F" w:rsidP="00760009">
            <w:pPr>
              <w:jc w:val="right"/>
              <w:rPr>
                <w:rFonts w:ascii="Arial" w:eastAsia="Times New Roman" w:hAnsi="Arial" w:cs="Arial"/>
                <w:color w:val="000000"/>
                <w:lang w:eastAsia="en-GB"/>
              </w:rPr>
            </w:pPr>
            <w:r>
              <w:rPr>
                <w:rFonts w:ascii="Arial" w:eastAsia="Times New Roman" w:hAnsi="Arial" w:cs="Arial"/>
                <w:color w:val="000000"/>
                <w:lang w:eastAsia="en-GB"/>
              </w:rPr>
              <w:t>100%</w:t>
            </w:r>
          </w:p>
        </w:tc>
        <w:tc>
          <w:tcPr>
            <w:tcW w:w="910" w:type="pct"/>
            <w:tcBorders>
              <w:top w:val="nil"/>
              <w:left w:val="nil"/>
              <w:right w:val="nil"/>
            </w:tcBorders>
            <w:shd w:val="clear" w:color="000000" w:fill="EDFFB7"/>
          </w:tcPr>
          <w:p w14:paraId="6365AB69" w14:textId="77777777" w:rsidR="0021298F" w:rsidRDefault="0021298F" w:rsidP="00760009">
            <w:pPr>
              <w:jc w:val="right"/>
              <w:rPr>
                <w:rFonts w:ascii="Arial" w:eastAsia="Times New Roman" w:hAnsi="Arial" w:cs="Arial"/>
                <w:color w:val="000000"/>
                <w:lang w:eastAsia="en-GB"/>
              </w:rPr>
            </w:pPr>
            <w:r>
              <w:rPr>
                <w:rFonts w:ascii="Arial" w:eastAsia="Times New Roman" w:hAnsi="Arial" w:cs="Arial"/>
                <w:color w:val="000000"/>
                <w:lang w:eastAsia="en-GB"/>
              </w:rPr>
              <w:t>Ireland</w:t>
            </w:r>
          </w:p>
        </w:tc>
        <w:tc>
          <w:tcPr>
            <w:tcW w:w="663" w:type="pct"/>
            <w:tcBorders>
              <w:top w:val="nil"/>
              <w:left w:val="nil"/>
              <w:right w:val="nil"/>
            </w:tcBorders>
            <w:shd w:val="clear" w:color="000000" w:fill="EDFFB7"/>
            <w:noWrap/>
          </w:tcPr>
          <w:p w14:paraId="4E6DB821" w14:textId="77777777" w:rsidR="0021298F" w:rsidRDefault="0021298F" w:rsidP="00760009">
            <w:pPr>
              <w:jc w:val="right"/>
              <w:rPr>
                <w:rFonts w:ascii="Arial" w:eastAsia="Times New Roman" w:hAnsi="Arial" w:cs="Arial"/>
                <w:color w:val="000000"/>
                <w:lang w:eastAsia="en-GB"/>
              </w:rPr>
            </w:pPr>
            <w:r>
              <w:rPr>
                <w:rFonts w:ascii="Arial" w:eastAsia="Times New Roman" w:hAnsi="Arial" w:cs="Arial"/>
                <w:color w:val="000000"/>
                <w:lang w:eastAsia="en-GB"/>
              </w:rPr>
              <w:t>Ireland</w:t>
            </w:r>
          </w:p>
        </w:tc>
      </w:tr>
    </w:tbl>
    <w:p w14:paraId="74271223" w14:textId="77777777" w:rsidR="0021298F" w:rsidRDefault="0021298F" w:rsidP="0021298F">
      <w:pPr>
        <w:jc w:val="both"/>
        <w:rPr>
          <w:rFonts w:ascii="Arial" w:eastAsia="Times New Roman" w:hAnsi="Arial" w:cs="Arial"/>
        </w:rPr>
      </w:pPr>
    </w:p>
    <w:p w14:paraId="19EFCD0A" w14:textId="77777777" w:rsidR="0021298F" w:rsidRDefault="0021298F" w:rsidP="0021298F">
      <w:pPr>
        <w:jc w:val="both"/>
        <w:rPr>
          <w:rFonts w:ascii="Arial" w:eastAsia="Times New Roman" w:hAnsi="Arial" w:cs="Arial"/>
        </w:rPr>
      </w:pPr>
      <w:r w:rsidRPr="00A716DC">
        <w:rPr>
          <w:rFonts w:ascii="Arial" w:eastAsia="Times New Roman" w:hAnsi="Arial" w:cs="Arial"/>
        </w:rPr>
        <w:t xml:space="preserve">Based on control, the results of </w:t>
      </w:r>
      <w:r>
        <w:rPr>
          <w:rFonts w:ascii="Arial" w:eastAsia="Times New Roman" w:hAnsi="Arial" w:cs="Arial"/>
        </w:rPr>
        <w:t>Holdco, Holdco 1 and Holdco 2 are</w:t>
      </w:r>
      <w:r w:rsidRPr="00A716DC">
        <w:rPr>
          <w:rFonts w:ascii="Arial" w:eastAsia="Times New Roman" w:hAnsi="Arial" w:cs="Arial"/>
        </w:rPr>
        <w:t xml:space="preserve"> </w:t>
      </w:r>
      <w:r>
        <w:rPr>
          <w:rFonts w:ascii="Arial" w:eastAsia="Times New Roman" w:hAnsi="Arial" w:cs="Arial"/>
        </w:rPr>
        <w:t>c</w:t>
      </w:r>
      <w:r w:rsidRPr="00A716DC">
        <w:rPr>
          <w:rFonts w:ascii="Arial" w:eastAsia="Times New Roman" w:hAnsi="Arial" w:cs="Arial"/>
        </w:rPr>
        <w:t>onsolidated into the Consolidated Financial Statements.</w:t>
      </w:r>
      <w:r>
        <w:rPr>
          <w:rFonts w:ascii="Arial" w:eastAsia="Times New Roman" w:hAnsi="Arial" w:cs="Arial"/>
        </w:rPr>
        <w:t xml:space="preserve"> </w:t>
      </w:r>
    </w:p>
    <w:p w14:paraId="1F99CA15" w14:textId="77777777" w:rsidR="0021298F" w:rsidRDefault="0021298F" w:rsidP="0021298F">
      <w:pPr>
        <w:jc w:val="both"/>
        <w:rPr>
          <w:rFonts w:ascii="Arial" w:eastAsia="Times New Roman" w:hAnsi="Arial" w:cs="Arial"/>
        </w:rPr>
      </w:pPr>
    </w:p>
    <w:p w14:paraId="69EA4C1C" w14:textId="77777777" w:rsidR="0021298F" w:rsidRDefault="0021298F" w:rsidP="0021298F">
      <w:pPr>
        <w:jc w:val="both"/>
        <w:rPr>
          <w:rFonts w:ascii="Arial" w:eastAsia="Times New Roman" w:hAnsi="Arial" w:cs="Arial"/>
        </w:rPr>
      </w:pPr>
      <w:r w:rsidRPr="00A716DC">
        <w:rPr>
          <w:rFonts w:ascii="Arial" w:eastAsia="Times New Roman" w:hAnsi="Arial" w:cs="Arial"/>
        </w:rPr>
        <w:t>Acquisition-related costs are expensed as incurred.</w:t>
      </w:r>
    </w:p>
    <w:p w14:paraId="5C76CF1F" w14:textId="77777777" w:rsidR="0021298F" w:rsidRDefault="0021298F" w:rsidP="0021298F">
      <w:pPr>
        <w:jc w:val="both"/>
        <w:rPr>
          <w:rFonts w:ascii="Arial" w:eastAsia="Times New Roman" w:hAnsi="Arial" w:cs="Arial"/>
        </w:rPr>
      </w:pPr>
    </w:p>
    <w:p w14:paraId="54F4C941" w14:textId="77777777" w:rsidR="0021298F" w:rsidRDefault="0021298F" w:rsidP="0021298F">
      <w:pPr>
        <w:jc w:val="both"/>
        <w:rPr>
          <w:rFonts w:ascii="Arial" w:eastAsia="Times New Roman" w:hAnsi="Arial" w:cs="Arial"/>
        </w:rPr>
      </w:pPr>
      <w:r w:rsidRPr="00A716DC">
        <w:rPr>
          <w:rFonts w:ascii="Arial" w:eastAsia="Times New Roman" w:hAnsi="Arial" w:cs="Arial"/>
        </w:rPr>
        <w:t xml:space="preserve">Inter-company transactions, balances and unrealised gains on transactions between group companies are eliminated on </w:t>
      </w:r>
      <w:r>
        <w:rPr>
          <w:rFonts w:ascii="Arial" w:eastAsia="Times New Roman" w:hAnsi="Arial" w:cs="Arial"/>
        </w:rPr>
        <w:t>C</w:t>
      </w:r>
      <w:r w:rsidRPr="00A716DC">
        <w:rPr>
          <w:rFonts w:ascii="Arial" w:eastAsia="Times New Roman" w:hAnsi="Arial" w:cs="Arial"/>
        </w:rPr>
        <w:t>onsolidation. Unrealised losses are also eliminated.</w:t>
      </w:r>
      <w:r>
        <w:rPr>
          <w:rFonts w:ascii="Arial" w:eastAsia="Times New Roman" w:hAnsi="Arial" w:cs="Arial"/>
        </w:rPr>
        <w:t xml:space="preserve"> </w:t>
      </w:r>
      <w:r w:rsidRPr="00A716DC">
        <w:rPr>
          <w:rFonts w:ascii="Arial" w:eastAsia="Times New Roman" w:hAnsi="Arial" w:cs="Arial"/>
        </w:rPr>
        <w:t>When necessary, amounts reported by subsidiaries have been adjusted to c</w:t>
      </w:r>
      <w:r>
        <w:rPr>
          <w:rFonts w:ascii="Arial" w:eastAsia="Times New Roman" w:hAnsi="Arial" w:cs="Arial"/>
        </w:rPr>
        <w:t xml:space="preserve">onform to the </w:t>
      </w:r>
      <w:r w:rsidRPr="00A716DC">
        <w:rPr>
          <w:rFonts w:ascii="Arial" w:eastAsia="Times New Roman" w:hAnsi="Arial" w:cs="Arial"/>
        </w:rPr>
        <w:t xml:space="preserve">Company's accounting policies. During the </w:t>
      </w:r>
      <w:r>
        <w:rPr>
          <w:rFonts w:ascii="Arial" w:eastAsia="Times New Roman" w:hAnsi="Arial" w:cs="Arial"/>
        </w:rPr>
        <w:t>year,</w:t>
      </w:r>
      <w:r w:rsidRPr="00A716DC">
        <w:rPr>
          <w:rFonts w:ascii="Arial" w:eastAsia="Times New Roman" w:hAnsi="Arial" w:cs="Arial"/>
        </w:rPr>
        <w:t xml:space="preserve"> no such adjustments have been made</w:t>
      </w:r>
      <w:r>
        <w:rPr>
          <w:rFonts w:ascii="Arial" w:eastAsia="Times New Roman" w:hAnsi="Arial" w:cs="Arial"/>
        </w:rPr>
        <w:t>,</w:t>
      </w:r>
      <w:r w:rsidRPr="00A716DC">
        <w:rPr>
          <w:rFonts w:ascii="Arial" w:eastAsia="Times New Roman" w:hAnsi="Arial" w:cs="Arial"/>
        </w:rPr>
        <w:t xml:space="preserve"> given all subsidiaries have uniform accounting policies.</w:t>
      </w:r>
    </w:p>
    <w:p w14:paraId="4DD99928" w14:textId="77777777" w:rsidR="0021298F" w:rsidRDefault="0021298F" w:rsidP="0021298F">
      <w:pPr>
        <w:jc w:val="both"/>
        <w:rPr>
          <w:rFonts w:ascii="Arial" w:eastAsia="Times New Roman" w:hAnsi="Arial" w:cs="Arial"/>
        </w:rPr>
      </w:pPr>
    </w:p>
    <w:p w14:paraId="2FD56581" w14:textId="77777777" w:rsidR="0021298F" w:rsidRDefault="0021298F" w:rsidP="0021298F">
      <w:pPr>
        <w:pStyle w:val="Heading4"/>
        <w:spacing w:before="0"/>
        <w:jc w:val="both"/>
        <w:rPr>
          <w:rFonts w:ascii="Arial" w:eastAsia="Times New Roman" w:hAnsi="Arial" w:cs="Arial"/>
          <w:i w:val="0"/>
          <w:color w:val="auto"/>
          <w:lang w:eastAsia="en-GB"/>
        </w:rPr>
      </w:pPr>
      <w:r>
        <w:rPr>
          <w:rFonts w:ascii="Arial" w:eastAsia="Times New Roman" w:hAnsi="Arial" w:cs="Arial"/>
          <w:i w:val="0"/>
          <w:color w:val="auto"/>
          <w:lang w:eastAsia="en-GB"/>
        </w:rPr>
        <w:t>Acquisition method</w:t>
      </w:r>
    </w:p>
    <w:p w14:paraId="28A3D4C4" w14:textId="77777777" w:rsidR="0021298F" w:rsidRDefault="0021298F" w:rsidP="0021298F">
      <w:pPr>
        <w:jc w:val="both"/>
        <w:rPr>
          <w:rFonts w:ascii="Arial" w:eastAsia="Times New Roman" w:hAnsi="Arial" w:cs="Arial"/>
        </w:rPr>
      </w:pPr>
      <w:r w:rsidRPr="003A3A7E">
        <w:rPr>
          <w:rFonts w:ascii="Arial" w:eastAsia="Times New Roman" w:hAnsi="Arial" w:cs="Arial"/>
        </w:rPr>
        <w:t>The acquisition method is used for all business combinations.</w:t>
      </w:r>
    </w:p>
    <w:p w14:paraId="302620F2" w14:textId="77777777" w:rsidR="0021298F" w:rsidRDefault="0021298F" w:rsidP="0021298F">
      <w:pPr>
        <w:jc w:val="both"/>
        <w:rPr>
          <w:rFonts w:ascii="Arial" w:eastAsia="Times New Roman" w:hAnsi="Arial" w:cs="Arial"/>
        </w:rPr>
      </w:pPr>
    </w:p>
    <w:p w14:paraId="41CAB12A" w14:textId="77777777" w:rsidR="0021298F" w:rsidRPr="003A3A7E" w:rsidRDefault="0021298F" w:rsidP="0021298F">
      <w:pPr>
        <w:jc w:val="both"/>
        <w:rPr>
          <w:rFonts w:ascii="Arial" w:eastAsia="Times New Roman" w:hAnsi="Arial" w:cs="Arial"/>
        </w:rPr>
      </w:pPr>
      <w:r w:rsidRPr="003A3A7E">
        <w:rPr>
          <w:rFonts w:ascii="Arial" w:eastAsia="Times New Roman" w:hAnsi="Arial" w:cs="Arial"/>
        </w:rPr>
        <w:t>Steps in applying the acquisition method are</w:t>
      </w:r>
      <w:r>
        <w:rPr>
          <w:rFonts w:ascii="Arial" w:eastAsia="Times New Roman" w:hAnsi="Arial" w:cs="Arial"/>
        </w:rPr>
        <w:t>:</w:t>
      </w:r>
    </w:p>
    <w:p w14:paraId="17FB7C84" w14:textId="77777777" w:rsidR="0021298F" w:rsidRDefault="0021298F" w:rsidP="0021298F">
      <w:pPr>
        <w:pStyle w:val="ListParagraph"/>
        <w:numPr>
          <w:ilvl w:val="0"/>
          <w:numId w:val="30"/>
        </w:numPr>
        <w:jc w:val="both"/>
        <w:rPr>
          <w:rFonts w:ascii="Arial" w:eastAsia="Times New Roman" w:hAnsi="Arial" w:cs="Arial"/>
        </w:rPr>
      </w:pPr>
      <w:r w:rsidRPr="00992D4D">
        <w:rPr>
          <w:rFonts w:ascii="Arial" w:eastAsia="Times New Roman" w:hAnsi="Arial" w:cs="Arial"/>
        </w:rPr>
        <w:t>Identification of the acquirer</w:t>
      </w:r>
      <w:r>
        <w:rPr>
          <w:rFonts w:ascii="Arial" w:eastAsia="Times New Roman" w:hAnsi="Arial" w:cs="Arial"/>
        </w:rPr>
        <w:t>.</w:t>
      </w:r>
      <w:r w:rsidRPr="00992D4D">
        <w:rPr>
          <w:rFonts w:ascii="Arial" w:eastAsia="Times New Roman" w:hAnsi="Arial" w:cs="Arial"/>
        </w:rPr>
        <w:t xml:space="preserve"> </w:t>
      </w:r>
    </w:p>
    <w:p w14:paraId="25E488C8" w14:textId="77777777" w:rsidR="0021298F" w:rsidRDefault="0021298F" w:rsidP="0021298F">
      <w:pPr>
        <w:pStyle w:val="ListParagraph"/>
        <w:numPr>
          <w:ilvl w:val="0"/>
          <w:numId w:val="30"/>
        </w:numPr>
        <w:jc w:val="both"/>
        <w:rPr>
          <w:rFonts w:ascii="Arial" w:eastAsia="Times New Roman" w:hAnsi="Arial" w:cs="Arial"/>
        </w:rPr>
      </w:pPr>
      <w:r w:rsidRPr="00992D4D">
        <w:rPr>
          <w:rFonts w:ascii="Arial" w:eastAsia="Times New Roman" w:hAnsi="Arial" w:cs="Arial"/>
        </w:rPr>
        <w:t>Determination of the acquisition date</w:t>
      </w:r>
      <w:r>
        <w:rPr>
          <w:rFonts w:ascii="Arial" w:eastAsia="Times New Roman" w:hAnsi="Arial" w:cs="Arial"/>
        </w:rPr>
        <w:t>.</w:t>
      </w:r>
      <w:r w:rsidRPr="00992D4D">
        <w:rPr>
          <w:rFonts w:ascii="Arial" w:eastAsia="Times New Roman" w:hAnsi="Arial" w:cs="Arial"/>
        </w:rPr>
        <w:t xml:space="preserve"> </w:t>
      </w:r>
    </w:p>
    <w:p w14:paraId="4B60164E" w14:textId="77777777" w:rsidR="0021298F" w:rsidRDefault="0021298F" w:rsidP="0021298F">
      <w:pPr>
        <w:pStyle w:val="ListParagraph"/>
        <w:numPr>
          <w:ilvl w:val="0"/>
          <w:numId w:val="30"/>
        </w:numPr>
        <w:jc w:val="both"/>
        <w:rPr>
          <w:rFonts w:ascii="Arial" w:eastAsia="Times New Roman" w:hAnsi="Arial" w:cs="Arial"/>
        </w:rPr>
      </w:pPr>
      <w:r w:rsidRPr="00992D4D">
        <w:rPr>
          <w:rFonts w:ascii="Arial" w:eastAsia="Times New Roman" w:hAnsi="Arial" w:cs="Arial"/>
        </w:rPr>
        <w:t xml:space="preserve">Recognition and measurement of the identifiable assets acquired, the liabilities assumed and any non-controlling interest (NCI, formerly called minority interest) in the </w:t>
      </w:r>
      <w:r>
        <w:rPr>
          <w:rFonts w:ascii="Arial" w:eastAsia="Times New Roman" w:hAnsi="Arial" w:cs="Arial"/>
        </w:rPr>
        <w:t>acquiree.</w:t>
      </w:r>
      <w:r w:rsidRPr="00992D4D">
        <w:rPr>
          <w:rFonts w:ascii="Arial" w:eastAsia="Times New Roman" w:hAnsi="Arial" w:cs="Arial"/>
        </w:rPr>
        <w:t xml:space="preserve"> </w:t>
      </w:r>
    </w:p>
    <w:p w14:paraId="40448A46" w14:textId="77777777" w:rsidR="0021298F" w:rsidRPr="00992D4D" w:rsidRDefault="0021298F" w:rsidP="0021298F">
      <w:pPr>
        <w:pStyle w:val="ListParagraph"/>
        <w:numPr>
          <w:ilvl w:val="0"/>
          <w:numId w:val="30"/>
        </w:numPr>
        <w:jc w:val="both"/>
        <w:rPr>
          <w:rFonts w:ascii="Arial" w:eastAsia="Times New Roman" w:hAnsi="Arial" w:cs="Arial"/>
        </w:rPr>
      </w:pPr>
      <w:r w:rsidRPr="00992D4D">
        <w:rPr>
          <w:rFonts w:ascii="Arial" w:eastAsia="Times New Roman" w:hAnsi="Arial" w:cs="Arial"/>
        </w:rPr>
        <w:t>Recognition and measurement of goodwill or a gain from a bargain purchase</w:t>
      </w:r>
      <w:r>
        <w:rPr>
          <w:rFonts w:ascii="Arial" w:eastAsia="Times New Roman" w:hAnsi="Arial" w:cs="Arial"/>
        </w:rPr>
        <w:t>.</w:t>
      </w:r>
    </w:p>
    <w:p w14:paraId="20797467" w14:textId="77777777" w:rsidR="0021298F" w:rsidRPr="00151A64" w:rsidRDefault="0021298F" w:rsidP="0021298F">
      <w:pPr>
        <w:ind w:firstLine="720"/>
        <w:jc w:val="both"/>
        <w:rPr>
          <w:rFonts w:ascii="Arial" w:eastAsia="Times New Roman" w:hAnsi="Arial" w:cs="Arial"/>
        </w:rPr>
      </w:pPr>
    </w:p>
    <w:p w14:paraId="6E734624" w14:textId="77777777" w:rsidR="0021298F" w:rsidRDefault="0021298F" w:rsidP="0021298F">
      <w:pPr>
        <w:jc w:val="both"/>
        <w:rPr>
          <w:rFonts w:ascii="Arial" w:eastAsia="Times New Roman" w:hAnsi="Arial" w:cs="Arial"/>
        </w:rPr>
      </w:pPr>
      <w:r w:rsidRPr="003A3A7E">
        <w:rPr>
          <w:rFonts w:ascii="Arial" w:eastAsia="Times New Roman" w:hAnsi="Arial" w:cs="Arial"/>
        </w:rPr>
        <w:t xml:space="preserve">The guidance in IFRS 10 </w:t>
      </w:r>
      <w:r>
        <w:rPr>
          <w:rFonts w:ascii="Arial" w:eastAsia="Times New Roman" w:hAnsi="Arial" w:cs="Arial"/>
        </w:rPr>
        <w:t>“</w:t>
      </w:r>
      <w:r w:rsidRPr="003A3A7E">
        <w:rPr>
          <w:rFonts w:ascii="Arial" w:eastAsia="Times New Roman" w:hAnsi="Arial" w:cs="Arial"/>
        </w:rPr>
        <w:t>Consolidated Financial Statements</w:t>
      </w:r>
      <w:r>
        <w:rPr>
          <w:rFonts w:ascii="Arial" w:eastAsia="Times New Roman" w:hAnsi="Arial" w:cs="Arial"/>
        </w:rPr>
        <w:t>”</w:t>
      </w:r>
      <w:r w:rsidRPr="003A3A7E">
        <w:rPr>
          <w:rFonts w:ascii="Arial" w:eastAsia="Times New Roman" w:hAnsi="Arial" w:cs="Arial"/>
        </w:rPr>
        <w:t xml:space="preserve"> is used to identify an acquirer in a business combination</w:t>
      </w:r>
      <w:r>
        <w:rPr>
          <w:rFonts w:ascii="Arial" w:eastAsia="Times New Roman" w:hAnsi="Arial" w:cs="Arial"/>
        </w:rPr>
        <w:t xml:space="preserve">, i.e. the entity that obtains </w:t>
      </w:r>
      <w:r w:rsidRPr="003A3A7E">
        <w:rPr>
          <w:rFonts w:ascii="Arial" w:eastAsia="Times New Roman" w:hAnsi="Arial" w:cs="Arial"/>
        </w:rPr>
        <w:t>control of the acquiree.</w:t>
      </w:r>
      <w:r w:rsidRPr="003A3A7E">
        <w:t xml:space="preserve"> </w:t>
      </w:r>
      <w:r w:rsidRPr="003A3A7E">
        <w:rPr>
          <w:rFonts w:ascii="Arial" w:eastAsia="Times New Roman" w:hAnsi="Arial" w:cs="Arial"/>
        </w:rPr>
        <w:t xml:space="preserve">An acquirer considers all pertinent facts and circumstances when determining the acquisition date, i.e. </w:t>
      </w:r>
      <w:r>
        <w:rPr>
          <w:rFonts w:ascii="Arial" w:eastAsia="Times New Roman" w:hAnsi="Arial" w:cs="Arial"/>
        </w:rPr>
        <w:t>t</w:t>
      </w:r>
      <w:r w:rsidRPr="003A3A7E">
        <w:rPr>
          <w:rFonts w:ascii="Arial" w:eastAsia="Times New Roman" w:hAnsi="Arial" w:cs="Arial"/>
        </w:rPr>
        <w:t>he date on which it obtains control of the acquiree. The acquisition date may be a date that is earlier or later than the closing date</w:t>
      </w:r>
      <w:r>
        <w:rPr>
          <w:rFonts w:ascii="Arial" w:eastAsia="Times New Roman" w:hAnsi="Arial" w:cs="Arial"/>
        </w:rPr>
        <w:t>.</w:t>
      </w:r>
    </w:p>
    <w:p w14:paraId="5756D228" w14:textId="77777777" w:rsidR="0021298F" w:rsidRDefault="0021298F" w:rsidP="0021298F">
      <w:pPr>
        <w:jc w:val="both"/>
        <w:rPr>
          <w:rFonts w:ascii="Arial" w:eastAsia="Times New Roman" w:hAnsi="Arial" w:cs="Arial"/>
          <w:lang w:eastAsia="en-GB"/>
        </w:rPr>
      </w:pPr>
    </w:p>
    <w:p w14:paraId="38C924C5" w14:textId="77777777" w:rsidR="0021298F" w:rsidRDefault="0021298F" w:rsidP="0021298F">
      <w:pPr>
        <w:pStyle w:val="Heading4"/>
        <w:spacing w:before="0"/>
        <w:jc w:val="both"/>
        <w:rPr>
          <w:rFonts w:ascii="Arial" w:eastAsia="Times New Roman" w:hAnsi="Arial" w:cs="Arial"/>
          <w:i w:val="0"/>
          <w:color w:val="auto"/>
          <w:lang w:eastAsia="en-GB"/>
        </w:rPr>
      </w:pPr>
      <w:r w:rsidRPr="00F9665D">
        <w:rPr>
          <w:rFonts w:ascii="Arial" w:eastAsia="Times New Roman" w:hAnsi="Arial" w:cs="Arial"/>
          <w:i w:val="0"/>
          <w:color w:val="auto"/>
          <w:lang w:eastAsia="en-GB"/>
        </w:rPr>
        <w:t xml:space="preserve">Financial </w:t>
      </w:r>
      <w:r>
        <w:rPr>
          <w:rFonts w:ascii="Arial" w:eastAsia="Times New Roman" w:hAnsi="Arial" w:cs="Arial"/>
          <w:i w:val="0"/>
          <w:color w:val="auto"/>
          <w:lang w:eastAsia="en-GB"/>
        </w:rPr>
        <w:t>i</w:t>
      </w:r>
      <w:r w:rsidRPr="00F9665D">
        <w:rPr>
          <w:rFonts w:ascii="Arial" w:eastAsia="Times New Roman" w:hAnsi="Arial" w:cs="Arial"/>
          <w:i w:val="0"/>
          <w:color w:val="auto"/>
          <w:lang w:eastAsia="en-GB"/>
        </w:rPr>
        <w:t xml:space="preserve">nstruments </w:t>
      </w:r>
    </w:p>
    <w:p w14:paraId="1794640C" w14:textId="77777777" w:rsidR="0021298F" w:rsidRPr="00E76D75" w:rsidRDefault="0021298F" w:rsidP="0021298F">
      <w:pPr>
        <w:jc w:val="both"/>
        <w:rPr>
          <w:rFonts w:ascii="Arial" w:eastAsia="Times New Roman" w:hAnsi="Arial" w:cs="Arial"/>
        </w:rPr>
      </w:pPr>
      <w:r w:rsidRPr="00E76D75">
        <w:rPr>
          <w:rFonts w:ascii="Arial" w:eastAsia="Times New Roman" w:hAnsi="Arial" w:cs="Arial"/>
        </w:rPr>
        <w:t xml:space="preserve">Financial assets and ﬁnancial liabilities are recognised in the Group’s Statement of Financial Position when the Group becomes a party to the contractual provisions of the instrument. Financial assets and ﬁnancial liabilities are only offset and the net amount reported in the Consolidated </w:t>
      </w:r>
      <w:r>
        <w:rPr>
          <w:rFonts w:ascii="Arial" w:eastAsia="Times New Roman" w:hAnsi="Arial" w:cs="Arial"/>
        </w:rPr>
        <w:t>S</w:t>
      </w:r>
      <w:r w:rsidRPr="00E76D75">
        <w:rPr>
          <w:rFonts w:ascii="Arial" w:eastAsia="Times New Roman" w:hAnsi="Arial" w:cs="Arial"/>
        </w:rPr>
        <w:t xml:space="preserve">tatement of </w:t>
      </w:r>
      <w:r>
        <w:rPr>
          <w:rFonts w:ascii="Arial" w:eastAsia="Times New Roman" w:hAnsi="Arial" w:cs="Arial"/>
        </w:rPr>
        <w:t>Fi</w:t>
      </w:r>
      <w:r w:rsidRPr="00E76D75">
        <w:rPr>
          <w:rFonts w:ascii="Arial" w:eastAsia="Times New Roman" w:hAnsi="Arial" w:cs="Arial"/>
        </w:rPr>
        <w:t xml:space="preserve">nancial </w:t>
      </w:r>
      <w:r>
        <w:rPr>
          <w:rFonts w:ascii="Arial" w:eastAsia="Times New Roman" w:hAnsi="Arial" w:cs="Arial"/>
        </w:rPr>
        <w:t>P</w:t>
      </w:r>
      <w:r w:rsidRPr="00E76D75">
        <w:rPr>
          <w:rFonts w:ascii="Arial" w:eastAsia="Times New Roman" w:hAnsi="Arial" w:cs="Arial"/>
        </w:rPr>
        <w:t>osition when there is a currently enforceable legal right to offset the recognised amounts and the Group intends to settle on a net basis or realise the asset and liability simultaneously.</w:t>
      </w:r>
    </w:p>
    <w:p w14:paraId="32CEE8F7" w14:textId="77777777" w:rsidR="0021298F" w:rsidRDefault="0021298F" w:rsidP="0021298F">
      <w:pPr>
        <w:jc w:val="both"/>
        <w:rPr>
          <w:rFonts w:ascii="Arial" w:eastAsia="Times New Roman" w:hAnsi="Arial" w:cs="Arial"/>
        </w:rPr>
      </w:pPr>
    </w:p>
    <w:p w14:paraId="46CC25F2" w14:textId="77777777" w:rsidR="0021298F" w:rsidRDefault="0021298F" w:rsidP="0021298F">
      <w:pPr>
        <w:jc w:val="both"/>
        <w:rPr>
          <w:rFonts w:ascii="Arial" w:eastAsia="Times New Roman" w:hAnsi="Arial" w:cs="Arial"/>
        </w:rPr>
      </w:pPr>
      <w:r w:rsidRPr="00E76D75">
        <w:rPr>
          <w:rFonts w:ascii="Arial" w:eastAsia="Times New Roman" w:hAnsi="Arial" w:cs="Arial"/>
        </w:rPr>
        <w:t xml:space="preserve">At </w:t>
      </w:r>
      <w:r>
        <w:rPr>
          <w:rFonts w:ascii="Arial" w:eastAsia="Times New Roman" w:hAnsi="Arial" w:cs="Arial"/>
        </w:rPr>
        <w:t>31 December 2020 and 2019</w:t>
      </w:r>
      <w:r w:rsidRPr="00E76D75">
        <w:rPr>
          <w:rFonts w:ascii="Arial" w:eastAsia="Times New Roman" w:hAnsi="Arial" w:cs="Arial"/>
        </w:rPr>
        <w:t xml:space="preserve">, the carrying amounts of cash and cash equivalents, receivables, payables and borrowings reﬂected in the ﬁnancial statements are </w:t>
      </w:r>
      <w:r w:rsidRPr="00E76D75">
        <w:rPr>
          <w:rFonts w:ascii="Arial" w:eastAsia="Times New Roman" w:hAnsi="Arial" w:cs="Arial"/>
        </w:rPr>
        <w:lastRenderedPageBreak/>
        <w:t>reasonable estimates of fair value in view of the nature of these instruments or the relatively short period of time between the original instruments and their expected realisation. The fair value of advances and other balances with related parties which are short-term or repayable on demand is equivalent to their carrying amount.</w:t>
      </w:r>
      <w:r w:rsidRPr="005D3D15">
        <w:rPr>
          <w:rFonts w:ascii="Arial" w:eastAsia="Times New Roman" w:hAnsi="Arial" w:cs="Arial"/>
        </w:rPr>
        <w:t xml:space="preserve"> </w:t>
      </w:r>
    </w:p>
    <w:p w14:paraId="20D88311" w14:textId="77777777" w:rsidR="0021298F" w:rsidRDefault="0021298F" w:rsidP="0021298F">
      <w:pPr>
        <w:jc w:val="both"/>
        <w:rPr>
          <w:rFonts w:ascii="Arial" w:hAnsi="Arial" w:cs="Arial"/>
          <w:b/>
          <w:lang w:eastAsia="en-GB"/>
        </w:rPr>
      </w:pPr>
    </w:p>
    <w:p w14:paraId="2D28E7F6" w14:textId="77777777" w:rsidR="0021298F" w:rsidRPr="009E4AB3" w:rsidRDefault="0021298F" w:rsidP="0021298F">
      <w:pPr>
        <w:pStyle w:val="Heading5"/>
        <w:spacing w:before="0"/>
        <w:jc w:val="both"/>
        <w:rPr>
          <w:rFonts w:ascii="Arial" w:hAnsi="Arial" w:cs="Arial"/>
          <w:b/>
          <w:color w:val="auto"/>
          <w:szCs w:val="22"/>
          <w:lang w:eastAsia="en-GB"/>
        </w:rPr>
      </w:pPr>
      <w:r w:rsidRPr="009E4AB3">
        <w:rPr>
          <w:rFonts w:ascii="Arial" w:hAnsi="Arial" w:cs="Arial"/>
          <w:b/>
          <w:color w:val="auto"/>
          <w:szCs w:val="22"/>
          <w:lang w:eastAsia="en-GB"/>
        </w:rPr>
        <w:t>Financial assets</w:t>
      </w:r>
    </w:p>
    <w:p w14:paraId="15579878" w14:textId="77777777" w:rsidR="0021298F" w:rsidRPr="00E76D75" w:rsidRDefault="0021298F" w:rsidP="0021298F">
      <w:pPr>
        <w:jc w:val="both"/>
        <w:rPr>
          <w:rFonts w:ascii="Arial" w:eastAsia="Times New Roman" w:hAnsi="Arial" w:cs="Arial"/>
        </w:rPr>
      </w:pPr>
      <w:r w:rsidRPr="00E76D75">
        <w:rPr>
          <w:rFonts w:ascii="Arial" w:eastAsia="Times New Roman" w:hAnsi="Arial" w:cs="Arial"/>
        </w:rPr>
        <w:t>The classiﬁcation of ﬁnancial assets at initial recognition depends on the purpose for which the ﬁnancial asset was acquired and its characteristics.</w:t>
      </w:r>
    </w:p>
    <w:p w14:paraId="5C80EDBD" w14:textId="77777777" w:rsidR="0021298F" w:rsidRPr="00E76D75" w:rsidRDefault="0021298F" w:rsidP="0021298F">
      <w:pPr>
        <w:jc w:val="both"/>
        <w:rPr>
          <w:rFonts w:ascii="Arial" w:eastAsia="Times New Roman" w:hAnsi="Arial" w:cs="Arial"/>
        </w:rPr>
      </w:pPr>
    </w:p>
    <w:p w14:paraId="592D43B3" w14:textId="77777777" w:rsidR="0021298F" w:rsidRDefault="0021298F" w:rsidP="0021298F">
      <w:pPr>
        <w:jc w:val="both"/>
        <w:rPr>
          <w:rFonts w:ascii="Arial" w:eastAsia="Times New Roman" w:hAnsi="Arial" w:cs="Arial"/>
        </w:rPr>
      </w:pPr>
      <w:r w:rsidRPr="00E76D75">
        <w:rPr>
          <w:rFonts w:ascii="Arial" w:eastAsia="Times New Roman" w:hAnsi="Arial" w:cs="Arial"/>
        </w:rPr>
        <w:t>All ﬁnancial assets are initially recognised at fair value. All purchases of ﬁnancial assets are recorded at the date on which the</w:t>
      </w:r>
      <w:r>
        <w:rPr>
          <w:rFonts w:ascii="Arial" w:eastAsia="Times New Roman" w:hAnsi="Arial" w:cs="Arial"/>
        </w:rPr>
        <w:t xml:space="preserve"> Group and the</w:t>
      </w:r>
      <w:r w:rsidRPr="00E76D75">
        <w:rPr>
          <w:rFonts w:ascii="Arial" w:eastAsia="Times New Roman" w:hAnsi="Arial" w:cs="Arial"/>
        </w:rPr>
        <w:t xml:space="preserve"> Company became party to the contractual requirements of the ﬁnancial asset.</w:t>
      </w:r>
    </w:p>
    <w:p w14:paraId="388B1447" w14:textId="77777777" w:rsidR="0021298F" w:rsidRPr="00151A64" w:rsidRDefault="0021298F" w:rsidP="0021298F">
      <w:pPr>
        <w:ind w:firstLine="720"/>
        <w:jc w:val="both"/>
        <w:rPr>
          <w:rFonts w:ascii="Arial" w:eastAsia="Times New Roman" w:hAnsi="Arial" w:cs="Arial"/>
        </w:rPr>
      </w:pPr>
    </w:p>
    <w:p w14:paraId="4A95B0FF" w14:textId="77777777" w:rsidR="0021298F" w:rsidRPr="000535C5" w:rsidRDefault="0021298F" w:rsidP="0021298F">
      <w:pPr>
        <w:pStyle w:val="Heading6"/>
        <w:tabs>
          <w:tab w:val="left" w:pos="993"/>
          <w:tab w:val="left" w:pos="1276"/>
          <w:tab w:val="left" w:pos="1560"/>
        </w:tabs>
        <w:spacing w:before="0"/>
        <w:jc w:val="both"/>
        <w:rPr>
          <w:rFonts w:ascii="Arial" w:hAnsi="Arial" w:cs="Arial"/>
          <w:szCs w:val="22"/>
          <w:lang w:eastAsia="en-GB"/>
        </w:rPr>
      </w:pPr>
      <w:r>
        <w:rPr>
          <w:rFonts w:ascii="Arial" w:hAnsi="Arial" w:cs="Arial"/>
          <w:color w:val="auto"/>
          <w:szCs w:val="22"/>
          <w:lang w:eastAsia="en-GB"/>
        </w:rPr>
        <w:t>Loans and receivables</w:t>
      </w:r>
    </w:p>
    <w:p w14:paraId="6BB4123B" w14:textId="77777777" w:rsidR="0021298F" w:rsidRDefault="0021298F" w:rsidP="0021298F">
      <w:pPr>
        <w:jc w:val="both"/>
        <w:rPr>
          <w:rFonts w:ascii="Arial" w:eastAsia="Times New Roman" w:hAnsi="Arial" w:cs="Arial"/>
        </w:rPr>
      </w:pPr>
      <w:r w:rsidRPr="001B78B5">
        <w:rPr>
          <w:rFonts w:ascii="Arial" w:eastAsia="Times New Roman" w:hAnsi="Arial" w:cs="Arial"/>
        </w:rPr>
        <w:t xml:space="preserve">These assets are non-derivative ﬁnancial assets with ﬁxed or determinable payments that are not quoted in an active market. They principally comprise cash and trade and other receivables and they are initially recognised at fair value and subsequently carried at amortised cost using the effective interest rate method, less provision for impairment. Transaction costs are recognised in the </w:t>
      </w:r>
      <w:r>
        <w:rPr>
          <w:rFonts w:ascii="Arial" w:eastAsia="Times New Roman" w:hAnsi="Arial" w:cs="Arial"/>
        </w:rPr>
        <w:t>C</w:t>
      </w:r>
      <w:r w:rsidRPr="001B78B5">
        <w:rPr>
          <w:rFonts w:ascii="Arial" w:eastAsia="Times New Roman" w:hAnsi="Arial" w:cs="Arial"/>
        </w:rPr>
        <w:t>onsolidated Statement of Comprehensive Income as incurred.</w:t>
      </w:r>
      <w:r>
        <w:rPr>
          <w:rFonts w:ascii="Arial" w:eastAsia="Times New Roman" w:hAnsi="Arial" w:cs="Arial"/>
        </w:rPr>
        <w:t xml:space="preserve">  </w:t>
      </w:r>
      <w:r w:rsidRPr="001B78B5">
        <w:rPr>
          <w:rFonts w:ascii="Arial" w:eastAsia="Times New Roman" w:hAnsi="Arial" w:cs="Arial"/>
        </w:rPr>
        <w:t>The Group and Company assesses whether there is any objective evidence that ﬁnancial assets are impaired at the end of each reporting period. If any such evidence exists, the amount of the impairment loss is measured as the difference between the asset’s carrying</w:t>
      </w:r>
      <w:r>
        <w:rPr>
          <w:rFonts w:ascii="Arial" w:eastAsia="Times New Roman" w:hAnsi="Arial" w:cs="Arial"/>
        </w:rPr>
        <w:t xml:space="preserve"> </w:t>
      </w:r>
      <w:r w:rsidRPr="001B78B5">
        <w:rPr>
          <w:rFonts w:ascii="Arial" w:eastAsia="Times New Roman" w:hAnsi="Arial" w:cs="Arial"/>
        </w:rPr>
        <w:t xml:space="preserve">amount and the present value of estimated future cash ﬂows, discounted at the original effective interest rate. The amount of </w:t>
      </w:r>
      <w:r>
        <w:rPr>
          <w:rFonts w:ascii="Arial" w:eastAsia="Times New Roman" w:hAnsi="Arial" w:cs="Arial"/>
        </w:rPr>
        <w:t>any</w:t>
      </w:r>
      <w:r w:rsidRPr="001B78B5">
        <w:rPr>
          <w:rFonts w:ascii="Arial" w:eastAsia="Times New Roman" w:hAnsi="Arial" w:cs="Arial"/>
        </w:rPr>
        <w:t xml:space="preserve"> impairment is recognised in </w:t>
      </w:r>
      <w:r>
        <w:rPr>
          <w:rFonts w:ascii="Arial" w:eastAsia="Times New Roman" w:hAnsi="Arial" w:cs="Arial"/>
        </w:rPr>
        <w:t xml:space="preserve">the </w:t>
      </w:r>
      <w:r w:rsidRPr="001B78B5">
        <w:rPr>
          <w:rFonts w:ascii="Arial" w:eastAsia="Times New Roman" w:hAnsi="Arial" w:cs="Arial"/>
        </w:rPr>
        <w:t>Consolidated Statement of Comprehensive Income.</w:t>
      </w:r>
      <w:r>
        <w:rPr>
          <w:rFonts w:ascii="Arial" w:eastAsia="Times New Roman" w:hAnsi="Arial" w:cs="Arial"/>
        </w:rPr>
        <w:t xml:space="preserve"> Impairment provisions for loans and receivables are recognised based on a forward looking expected credit loss model. All financial assets assessed under this model are immaterial to the financial statements. </w:t>
      </w:r>
    </w:p>
    <w:p w14:paraId="762C5B57" w14:textId="77777777" w:rsidR="0021298F" w:rsidRDefault="0021298F" w:rsidP="0021298F">
      <w:pPr>
        <w:jc w:val="both"/>
        <w:rPr>
          <w:rFonts w:ascii="Arial" w:eastAsia="Times New Roman" w:hAnsi="Arial" w:cs="Arial"/>
        </w:rPr>
      </w:pPr>
    </w:p>
    <w:p w14:paraId="1EB906D4" w14:textId="77777777" w:rsidR="0021298F" w:rsidRPr="001B78B5" w:rsidRDefault="0021298F" w:rsidP="0021298F">
      <w:pPr>
        <w:jc w:val="both"/>
        <w:rPr>
          <w:rFonts w:ascii="Arial" w:eastAsiaTheme="majorEastAsia" w:hAnsi="Arial" w:cs="Arial"/>
          <w:i/>
          <w:iCs/>
          <w:lang w:eastAsia="en-GB"/>
        </w:rPr>
      </w:pPr>
      <w:r w:rsidRPr="001B78B5">
        <w:rPr>
          <w:rFonts w:ascii="Arial" w:eastAsiaTheme="majorEastAsia" w:hAnsi="Arial" w:cs="Arial"/>
          <w:i/>
          <w:iCs/>
          <w:lang w:eastAsia="en-GB"/>
        </w:rPr>
        <w:t>Investments at Fair Value Through Proﬁt or Loss</w:t>
      </w:r>
    </w:p>
    <w:p w14:paraId="3B47ADFC" w14:textId="77777777" w:rsidR="0021298F" w:rsidRDefault="0021298F" w:rsidP="0021298F">
      <w:pPr>
        <w:jc w:val="both"/>
        <w:rPr>
          <w:rFonts w:ascii="Arial" w:eastAsiaTheme="majorEastAsia" w:hAnsi="Arial" w:cs="Arial"/>
          <w:iCs/>
          <w:lang w:eastAsia="en-GB"/>
        </w:rPr>
      </w:pPr>
      <w:r w:rsidRPr="001B78B5">
        <w:rPr>
          <w:rFonts w:ascii="Arial" w:eastAsiaTheme="majorEastAsia" w:hAnsi="Arial" w:cs="Arial"/>
          <w:iCs/>
          <w:lang w:eastAsia="en-GB"/>
        </w:rPr>
        <w:t>Investments are designated upon initial recognition as held at fair value through proﬁt or loss. Movements in fair value are recognised in the Consolidated Statement of Comprehensive Income during the reporting period. As shareholder loan investments form part of a managed portfolio of assets whose performance is evaluated on a fair value basis, loan investments are designated at fair value in line with equity investments.</w:t>
      </w:r>
    </w:p>
    <w:p w14:paraId="47EA7483" w14:textId="77777777" w:rsidR="0021298F" w:rsidRDefault="0021298F" w:rsidP="0021298F">
      <w:pPr>
        <w:jc w:val="both"/>
        <w:rPr>
          <w:rFonts w:ascii="Arial" w:eastAsiaTheme="majorEastAsia" w:hAnsi="Arial" w:cs="Arial"/>
          <w:iCs/>
          <w:lang w:eastAsia="en-GB"/>
        </w:rPr>
      </w:pPr>
    </w:p>
    <w:p w14:paraId="0884A8E0" w14:textId="77777777" w:rsidR="0021298F" w:rsidRPr="001B78B5" w:rsidRDefault="0021298F" w:rsidP="0021298F">
      <w:pPr>
        <w:jc w:val="both"/>
        <w:rPr>
          <w:rFonts w:ascii="Arial" w:eastAsiaTheme="majorEastAsia" w:hAnsi="Arial" w:cs="Arial"/>
          <w:iCs/>
          <w:lang w:eastAsia="en-GB"/>
        </w:rPr>
      </w:pPr>
      <w:r w:rsidRPr="001B78B5">
        <w:rPr>
          <w:rFonts w:ascii="Arial" w:eastAsiaTheme="majorEastAsia" w:hAnsi="Arial" w:cs="Arial"/>
          <w:iCs/>
          <w:lang w:eastAsia="en-GB"/>
        </w:rPr>
        <w:t>The Company’s loan and equity investments in Holdco are held at fair value through proﬁt or loss. Gains or losses resulting from the movement in fair value are recognised in the Company’s Statement of Comprehensive Income at each valuation point.</w:t>
      </w:r>
    </w:p>
    <w:p w14:paraId="644F4056" w14:textId="77777777" w:rsidR="0021298F" w:rsidRDefault="0021298F" w:rsidP="0021298F">
      <w:pPr>
        <w:jc w:val="both"/>
        <w:rPr>
          <w:rFonts w:ascii="Arial" w:eastAsia="Times New Roman" w:hAnsi="Arial" w:cs="Arial"/>
        </w:rPr>
      </w:pPr>
    </w:p>
    <w:p w14:paraId="4F640E77" w14:textId="77777777" w:rsidR="0021298F" w:rsidRDefault="0021298F" w:rsidP="0021298F">
      <w:pPr>
        <w:jc w:val="both"/>
        <w:rPr>
          <w:rFonts w:ascii="Arial" w:eastAsia="Times New Roman" w:hAnsi="Arial" w:cs="Arial"/>
        </w:rPr>
      </w:pPr>
      <w:r>
        <w:rPr>
          <w:rFonts w:ascii="Arial" w:eastAsiaTheme="majorEastAsia" w:hAnsi="Arial" w:cs="Arial"/>
          <w:iCs/>
          <w:lang w:eastAsia="en-GB"/>
        </w:rPr>
        <w:t xml:space="preserve">Financial assets are recognised/derecognised at the date of the purchase/disposal. </w:t>
      </w:r>
      <w:r w:rsidRPr="001B78B5">
        <w:rPr>
          <w:rFonts w:ascii="Arial" w:eastAsiaTheme="majorEastAsia" w:hAnsi="Arial" w:cs="Arial"/>
          <w:iCs/>
          <w:lang w:eastAsia="en-GB"/>
        </w:rPr>
        <w:t>Investments are initially recognised at cost, being the fair value of consideration given. Transaction costs are recognised in the Consolidated Statement of Comprehensive Income as incurred.</w:t>
      </w:r>
    </w:p>
    <w:p w14:paraId="4C8BC24C" w14:textId="77777777" w:rsidR="0021298F" w:rsidRDefault="0021298F" w:rsidP="0021298F">
      <w:pPr>
        <w:jc w:val="both"/>
        <w:rPr>
          <w:rFonts w:ascii="Arial" w:eastAsia="Times New Roman" w:hAnsi="Arial" w:cs="Arial"/>
        </w:rPr>
      </w:pPr>
    </w:p>
    <w:p w14:paraId="28A9B9FF" w14:textId="77777777" w:rsidR="0021298F" w:rsidRPr="00660DCB" w:rsidRDefault="0021298F" w:rsidP="0021298F">
      <w:pPr>
        <w:jc w:val="both"/>
        <w:rPr>
          <w:rFonts w:ascii="Arial" w:hAnsi="Arial" w:cs="Arial"/>
          <w:bCs/>
          <w:lang w:eastAsia="en-GB"/>
        </w:rPr>
      </w:pPr>
      <w:r w:rsidRPr="001B78B5">
        <w:rPr>
          <w:rFonts w:ascii="Arial" w:eastAsiaTheme="majorEastAsia" w:hAnsi="Arial" w:cs="Arial"/>
          <w:iCs/>
          <w:lang w:eastAsia="en-GB"/>
        </w:rPr>
        <w:t xml:space="preserve">Fair value is deﬁned as the amount for which an asset could be exchanged between knowledgeable willing parties in an arm’s length transaction. Fair value is calculated on an unlevered, discounted cash ﬂow basis in accordance with IFRS 13 and </w:t>
      </w:r>
      <w:r>
        <w:rPr>
          <w:rFonts w:ascii="Arial" w:eastAsiaTheme="majorEastAsia" w:hAnsi="Arial" w:cs="Arial"/>
          <w:iCs/>
          <w:lang w:eastAsia="en-GB"/>
        </w:rPr>
        <w:t>IFRS</w:t>
      </w:r>
      <w:r w:rsidRPr="001B78B5">
        <w:rPr>
          <w:rFonts w:ascii="Arial" w:eastAsiaTheme="majorEastAsia" w:hAnsi="Arial" w:cs="Arial"/>
          <w:iCs/>
          <w:lang w:eastAsia="en-GB"/>
        </w:rPr>
        <w:t xml:space="preserve"> 9. </w:t>
      </w:r>
      <w:r w:rsidRPr="001B78B5">
        <w:rPr>
          <w:rFonts w:ascii="Arial" w:eastAsiaTheme="majorEastAsia" w:hAnsi="Arial" w:cs="Arial"/>
          <w:iCs/>
          <w:lang w:eastAsia="en-GB"/>
        </w:rPr>
        <w:lastRenderedPageBreak/>
        <w:t xml:space="preserve">Gains or losses resulting from the revaluation of investments are recognised in the </w:t>
      </w:r>
      <w:r>
        <w:rPr>
          <w:rFonts w:ascii="Arial" w:eastAsiaTheme="majorEastAsia" w:hAnsi="Arial" w:cs="Arial"/>
          <w:iCs/>
          <w:lang w:eastAsia="en-GB"/>
        </w:rPr>
        <w:t>C</w:t>
      </w:r>
      <w:r w:rsidRPr="001B78B5">
        <w:rPr>
          <w:rFonts w:ascii="Arial" w:eastAsiaTheme="majorEastAsia" w:hAnsi="Arial" w:cs="Arial"/>
          <w:iCs/>
          <w:lang w:eastAsia="en-GB"/>
        </w:rPr>
        <w:t>onsolidated Statement of Comprehensive Income.</w:t>
      </w:r>
      <w:r>
        <w:rPr>
          <w:rFonts w:ascii="Arial" w:hAnsi="Arial" w:cs="Arial"/>
          <w:b/>
          <w:sz w:val="26"/>
          <w:szCs w:val="26"/>
        </w:rPr>
        <w:t xml:space="preserve"> </w:t>
      </w:r>
    </w:p>
    <w:p w14:paraId="1251440E" w14:textId="77777777" w:rsidR="0021298F" w:rsidRDefault="0021298F" w:rsidP="0021298F">
      <w:pPr>
        <w:jc w:val="both"/>
        <w:rPr>
          <w:rFonts w:ascii="Arial" w:hAnsi="Arial" w:cs="Arial"/>
          <w:b/>
          <w:lang w:eastAsia="en-GB"/>
        </w:rPr>
      </w:pPr>
    </w:p>
    <w:p w14:paraId="52AC8D73" w14:textId="77777777" w:rsidR="0021298F" w:rsidRPr="000535C5" w:rsidRDefault="0021298F" w:rsidP="0021298F">
      <w:pPr>
        <w:pStyle w:val="Heading6"/>
        <w:tabs>
          <w:tab w:val="left" w:pos="993"/>
          <w:tab w:val="left" w:pos="1276"/>
          <w:tab w:val="left" w:pos="1560"/>
        </w:tabs>
        <w:spacing w:before="0"/>
        <w:jc w:val="both"/>
        <w:rPr>
          <w:rFonts w:ascii="Arial" w:hAnsi="Arial" w:cs="Arial"/>
          <w:color w:val="auto"/>
          <w:szCs w:val="22"/>
          <w:lang w:eastAsia="en-GB"/>
        </w:rPr>
      </w:pPr>
      <w:r w:rsidRPr="000535C5">
        <w:rPr>
          <w:rFonts w:ascii="Arial" w:hAnsi="Arial" w:cs="Arial"/>
          <w:color w:val="auto"/>
          <w:szCs w:val="22"/>
          <w:lang w:eastAsia="en-GB"/>
        </w:rPr>
        <w:t>De</w:t>
      </w:r>
      <w:r>
        <w:rPr>
          <w:rFonts w:ascii="Arial" w:hAnsi="Arial" w:cs="Arial"/>
          <w:color w:val="auto"/>
          <w:szCs w:val="22"/>
          <w:lang w:eastAsia="en-GB"/>
        </w:rPr>
        <w:t>-</w:t>
      </w:r>
      <w:r w:rsidRPr="000535C5">
        <w:rPr>
          <w:rFonts w:ascii="Arial" w:hAnsi="Arial" w:cs="Arial"/>
          <w:color w:val="auto"/>
          <w:szCs w:val="22"/>
          <w:lang w:eastAsia="en-GB"/>
        </w:rPr>
        <w:t>recognition of financial assets</w:t>
      </w:r>
    </w:p>
    <w:p w14:paraId="40BB4FBE" w14:textId="77777777" w:rsidR="0021298F" w:rsidRPr="000535C5" w:rsidRDefault="0021298F" w:rsidP="0021298F">
      <w:pPr>
        <w:jc w:val="both"/>
        <w:rPr>
          <w:rFonts w:ascii="Arial" w:eastAsia="Times New Roman" w:hAnsi="Arial" w:cs="Arial"/>
        </w:rPr>
      </w:pPr>
      <w:r w:rsidRPr="000535C5">
        <w:rPr>
          <w:rFonts w:ascii="Arial" w:eastAsia="Times New Roman" w:hAnsi="Arial" w:cs="Arial"/>
        </w:rPr>
        <w:t>A financial asset (in whole or in part) is derecognised either:</w:t>
      </w:r>
    </w:p>
    <w:p w14:paraId="6CEEF321" w14:textId="77777777" w:rsidR="0021298F" w:rsidRPr="00151A64" w:rsidRDefault="0021298F" w:rsidP="0021298F">
      <w:pPr>
        <w:pStyle w:val="ListParagraph"/>
        <w:numPr>
          <w:ilvl w:val="0"/>
          <w:numId w:val="23"/>
        </w:numPr>
        <w:jc w:val="both"/>
        <w:rPr>
          <w:rFonts w:ascii="Arial" w:eastAsia="Times New Roman" w:hAnsi="Arial" w:cs="Arial"/>
        </w:rPr>
      </w:pPr>
      <w:r>
        <w:rPr>
          <w:rFonts w:ascii="Arial" w:eastAsia="Times New Roman" w:hAnsi="Arial" w:cs="Arial"/>
        </w:rPr>
        <w:t>When</w:t>
      </w:r>
      <w:r w:rsidRPr="00151A64">
        <w:rPr>
          <w:rFonts w:ascii="Arial" w:eastAsia="Times New Roman" w:hAnsi="Arial" w:cs="Arial"/>
        </w:rPr>
        <w:t xml:space="preserve"> the Group has transferred substantially all the risks and rewards of ownership; or</w:t>
      </w:r>
    </w:p>
    <w:p w14:paraId="25F2214A" w14:textId="77777777" w:rsidR="0021298F" w:rsidRPr="00151A64" w:rsidRDefault="0021298F" w:rsidP="0021298F">
      <w:pPr>
        <w:pStyle w:val="ListParagraph"/>
        <w:numPr>
          <w:ilvl w:val="0"/>
          <w:numId w:val="23"/>
        </w:numPr>
        <w:jc w:val="both"/>
        <w:rPr>
          <w:rFonts w:ascii="Arial" w:eastAsia="Times New Roman" w:hAnsi="Arial" w:cs="Arial"/>
        </w:rPr>
      </w:pPr>
      <w:r>
        <w:rPr>
          <w:rFonts w:ascii="Arial" w:eastAsia="Times New Roman" w:hAnsi="Arial" w:cs="Arial"/>
        </w:rPr>
        <w:t>When</w:t>
      </w:r>
      <w:r w:rsidRPr="00151A64" w:rsidDel="00471A25">
        <w:rPr>
          <w:rFonts w:ascii="Arial" w:eastAsia="Times New Roman" w:hAnsi="Arial" w:cs="Arial"/>
        </w:rPr>
        <w:t xml:space="preserve"> </w:t>
      </w:r>
      <w:r w:rsidRPr="00151A64">
        <w:rPr>
          <w:rFonts w:ascii="Arial" w:eastAsia="Times New Roman" w:hAnsi="Arial" w:cs="Arial"/>
        </w:rPr>
        <w:t>it has neither transferred or retained substantially all the risks and rewards and when it no longer has control over the assets or a portion of the asset; or</w:t>
      </w:r>
    </w:p>
    <w:p w14:paraId="54F3E7BA" w14:textId="77777777" w:rsidR="0021298F" w:rsidRDefault="0021298F" w:rsidP="0021298F">
      <w:pPr>
        <w:pStyle w:val="ListParagraph"/>
        <w:numPr>
          <w:ilvl w:val="0"/>
          <w:numId w:val="23"/>
        </w:numPr>
        <w:jc w:val="both"/>
        <w:rPr>
          <w:rFonts w:ascii="Arial" w:eastAsia="Times New Roman" w:hAnsi="Arial" w:cs="Arial"/>
        </w:rPr>
      </w:pPr>
      <w:r>
        <w:rPr>
          <w:rFonts w:ascii="Arial" w:eastAsia="Times New Roman" w:hAnsi="Arial" w:cs="Arial"/>
        </w:rPr>
        <w:t>When</w:t>
      </w:r>
      <w:r w:rsidRPr="00151A64" w:rsidDel="00471A25">
        <w:rPr>
          <w:rFonts w:ascii="Arial" w:eastAsia="Times New Roman" w:hAnsi="Arial" w:cs="Arial"/>
        </w:rPr>
        <w:t xml:space="preserve"> </w:t>
      </w:r>
      <w:r w:rsidRPr="00151A64">
        <w:rPr>
          <w:rFonts w:ascii="Arial" w:eastAsia="Times New Roman" w:hAnsi="Arial" w:cs="Arial"/>
        </w:rPr>
        <w:t>the contractual right to receive cash flow has expired.</w:t>
      </w:r>
    </w:p>
    <w:p w14:paraId="2C0DAE3A" w14:textId="77777777" w:rsidR="0021298F" w:rsidRDefault="0021298F" w:rsidP="0021298F">
      <w:pPr>
        <w:pStyle w:val="ListParagraph"/>
        <w:jc w:val="both"/>
        <w:rPr>
          <w:rFonts w:ascii="Arial" w:hAnsi="Arial" w:cs="Arial"/>
          <w:b/>
          <w:lang w:eastAsia="en-GB"/>
        </w:rPr>
      </w:pPr>
    </w:p>
    <w:p w14:paraId="23E1B0E0" w14:textId="77777777" w:rsidR="0021298F" w:rsidRDefault="0021298F" w:rsidP="0021298F">
      <w:pPr>
        <w:pStyle w:val="Heading4"/>
        <w:spacing w:before="0"/>
        <w:jc w:val="both"/>
        <w:rPr>
          <w:rFonts w:ascii="Arial" w:eastAsia="Times New Roman" w:hAnsi="Arial" w:cs="Arial"/>
          <w:i w:val="0"/>
          <w:color w:val="auto"/>
          <w:lang w:eastAsia="en-GB"/>
        </w:rPr>
      </w:pPr>
      <w:r w:rsidRPr="00BD2BBE">
        <w:rPr>
          <w:rFonts w:ascii="Arial" w:eastAsia="Times New Roman" w:hAnsi="Arial" w:cs="Arial"/>
          <w:i w:val="0"/>
          <w:color w:val="auto"/>
          <w:lang w:eastAsia="en-GB"/>
        </w:rPr>
        <w:t>Financial liabilities</w:t>
      </w:r>
    </w:p>
    <w:p w14:paraId="244B57FE" w14:textId="77777777" w:rsidR="0021298F" w:rsidRDefault="0021298F" w:rsidP="0021298F">
      <w:pPr>
        <w:jc w:val="both"/>
        <w:rPr>
          <w:rFonts w:ascii="Arial" w:eastAsia="Times New Roman" w:hAnsi="Arial" w:cs="Arial"/>
        </w:rPr>
      </w:pPr>
      <w:r w:rsidRPr="00BD2BBE">
        <w:rPr>
          <w:rFonts w:ascii="Arial" w:eastAsia="Times New Roman" w:hAnsi="Arial" w:cs="Arial"/>
        </w:rPr>
        <w:t>Financial liabilities are classiﬁed according to the substance of the contractual agreements entered into.</w:t>
      </w:r>
      <w:r w:rsidRPr="00C86EC8">
        <w:rPr>
          <w:rFonts w:ascii="Arial" w:eastAsia="Times New Roman" w:hAnsi="Arial" w:cs="Arial"/>
        </w:rPr>
        <w:t xml:space="preserve"> </w:t>
      </w:r>
    </w:p>
    <w:p w14:paraId="797B8436" w14:textId="77777777" w:rsidR="0021298F" w:rsidRDefault="0021298F" w:rsidP="0021298F">
      <w:pPr>
        <w:jc w:val="both"/>
        <w:rPr>
          <w:rFonts w:ascii="Arial" w:eastAsia="Times New Roman" w:hAnsi="Arial" w:cs="Arial"/>
        </w:rPr>
      </w:pPr>
      <w:r w:rsidRPr="00555142">
        <w:rPr>
          <w:rFonts w:ascii="Arial" w:eastAsia="Times New Roman" w:hAnsi="Arial" w:cs="Arial"/>
        </w:rPr>
        <w:t>All ﬁnancial liabilities are initially recognised at fair value net of transaction costs incurred. All ﬁnancial liabilities are recorded on the date on which the Group becomes party to the contractual requirements of the ﬁnancial liability.</w:t>
      </w:r>
    </w:p>
    <w:p w14:paraId="128BFCC3" w14:textId="77777777" w:rsidR="0021298F" w:rsidRDefault="0021298F" w:rsidP="0021298F">
      <w:pPr>
        <w:jc w:val="both"/>
        <w:rPr>
          <w:rFonts w:ascii="Arial" w:eastAsia="Times New Roman" w:hAnsi="Arial" w:cs="Arial"/>
        </w:rPr>
      </w:pPr>
      <w:r w:rsidRPr="00CE512E">
        <w:rPr>
          <w:rFonts w:ascii="Arial" w:eastAsia="Times New Roman" w:hAnsi="Arial" w:cs="Arial"/>
        </w:rPr>
        <w:t>All loans and borrowings are initially recognised at cost, being fair value of the consideration received, less issue costs where applicable. After initial recognition, all interest-bearing loans</w:t>
      </w:r>
      <w:r>
        <w:rPr>
          <w:rFonts w:ascii="Arial" w:eastAsia="Times New Roman" w:hAnsi="Arial" w:cs="Arial"/>
        </w:rPr>
        <w:t xml:space="preserve"> </w:t>
      </w:r>
      <w:r w:rsidRPr="00CE512E">
        <w:rPr>
          <w:rFonts w:ascii="Arial" w:eastAsia="Times New Roman" w:hAnsi="Arial" w:cs="Arial"/>
        </w:rPr>
        <w:t xml:space="preserve">and borrowings are subsequently measured at amortised cost using the effective interest rate method. Loan balances as at the </w:t>
      </w:r>
      <w:r>
        <w:rPr>
          <w:rFonts w:ascii="Arial" w:eastAsia="Times New Roman" w:hAnsi="Arial" w:cs="Arial"/>
        </w:rPr>
        <w:t xml:space="preserve">year </w:t>
      </w:r>
      <w:r w:rsidRPr="00CE512E">
        <w:rPr>
          <w:rFonts w:ascii="Arial" w:eastAsia="Times New Roman" w:hAnsi="Arial" w:cs="Arial"/>
        </w:rPr>
        <w:t>end have not been discounted to reﬂect amortised cost, as the amounts are not materially different from the outstanding balances.</w:t>
      </w:r>
    </w:p>
    <w:p w14:paraId="1F6C831C" w14:textId="77777777" w:rsidR="0021298F" w:rsidRDefault="0021298F" w:rsidP="0021298F">
      <w:pPr>
        <w:jc w:val="both"/>
        <w:rPr>
          <w:rFonts w:ascii="Arial" w:eastAsia="Times New Roman" w:hAnsi="Arial" w:cs="Arial"/>
        </w:rPr>
      </w:pPr>
      <w:r w:rsidRPr="00CE512E">
        <w:rPr>
          <w:rFonts w:ascii="Arial" w:eastAsia="Times New Roman" w:hAnsi="Arial" w:cs="Arial"/>
        </w:rPr>
        <w:t xml:space="preserve">The </w:t>
      </w:r>
      <w:r>
        <w:rPr>
          <w:rFonts w:ascii="Arial" w:eastAsia="Times New Roman" w:hAnsi="Arial" w:cs="Arial"/>
        </w:rPr>
        <w:t>Group’s</w:t>
      </w:r>
      <w:r w:rsidRPr="00CE512E">
        <w:rPr>
          <w:rFonts w:ascii="Arial" w:eastAsia="Times New Roman" w:hAnsi="Arial" w:cs="Arial"/>
        </w:rPr>
        <w:t xml:space="preserve"> other ﬁnancial liabilities measured at amortised cost include trade and other payables and other short term monetary liabilities which are initially recognised at </w:t>
      </w:r>
      <w:r>
        <w:rPr>
          <w:rFonts w:ascii="Arial" w:eastAsia="Times New Roman" w:hAnsi="Arial" w:cs="Arial"/>
        </w:rPr>
        <w:t>fair value</w:t>
      </w:r>
      <w:r w:rsidRPr="00CE512E">
        <w:rPr>
          <w:rFonts w:ascii="Arial" w:eastAsia="Times New Roman" w:hAnsi="Arial" w:cs="Arial"/>
        </w:rPr>
        <w:t xml:space="preserve"> and subsequently measured at amortised cost using the effective interest rate method</w:t>
      </w:r>
      <w:r>
        <w:rPr>
          <w:rFonts w:ascii="Arial" w:eastAsia="Times New Roman" w:hAnsi="Arial" w:cs="Arial"/>
        </w:rPr>
        <w:t>.</w:t>
      </w:r>
    </w:p>
    <w:p w14:paraId="20EE7A7A" w14:textId="77777777" w:rsidR="0021298F" w:rsidRDefault="0021298F" w:rsidP="0021298F">
      <w:pPr>
        <w:jc w:val="both"/>
        <w:rPr>
          <w:rFonts w:ascii="Arial" w:eastAsia="Times New Roman" w:hAnsi="Arial" w:cs="Arial"/>
        </w:rPr>
      </w:pPr>
    </w:p>
    <w:p w14:paraId="77DD61B9" w14:textId="77777777" w:rsidR="0021298F" w:rsidRDefault="0021298F" w:rsidP="0021298F">
      <w:pPr>
        <w:jc w:val="both"/>
        <w:rPr>
          <w:rFonts w:ascii="Arial" w:eastAsia="Times New Roman" w:hAnsi="Arial" w:cs="Arial"/>
        </w:rPr>
      </w:pPr>
      <w:r w:rsidRPr="00CE512E">
        <w:rPr>
          <w:rFonts w:ascii="Arial" w:eastAsia="Times New Roman" w:hAnsi="Arial" w:cs="Arial"/>
        </w:rPr>
        <w:t xml:space="preserve">A ﬁnancial liability (in whole or in part) is derecognised when the </w:t>
      </w:r>
      <w:r>
        <w:rPr>
          <w:rFonts w:ascii="Arial" w:eastAsia="Times New Roman" w:hAnsi="Arial" w:cs="Arial"/>
        </w:rPr>
        <w:t>Group</w:t>
      </w:r>
      <w:r w:rsidRPr="00CE512E">
        <w:rPr>
          <w:rFonts w:ascii="Arial" w:eastAsia="Times New Roman" w:hAnsi="Arial" w:cs="Arial"/>
        </w:rPr>
        <w:t xml:space="preserve"> has extinguished its contractual obligations, it expires or is cancelled. Any gain or loss on de</w:t>
      </w:r>
      <w:r>
        <w:rPr>
          <w:rFonts w:ascii="Arial" w:eastAsia="Times New Roman" w:hAnsi="Arial" w:cs="Arial"/>
        </w:rPr>
        <w:t>-</w:t>
      </w:r>
      <w:r w:rsidRPr="00CE512E">
        <w:rPr>
          <w:rFonts w:ascii="Arial" w:eastAsia="Times New Roman" w:hAnsi="Arial" w:cs="Arial"/>
        </w:rPr>
        <w:t xml:space="preserve">recognition is taken to the </w:t>
      </w:r>
      <w:r>
        <w:rPr>
          <w:rFonts w:ascii="Arial" w:eastAsia="Times New Roman" w:hAnsi="Arial" w:cs="Arial"/>
        </w:rPr>
        <w:t xml:space="preserve">Consolidated </w:t>
      </w:r>
      <w:r w:rsidRPr="00CE512E">
        <w:rPr>
          <w:rFonts w:ascii="Arial" w:eastAsia="Times New Roman" w:hAnsi="Arial" w:cs="Arial"/>
        </w:rPr>
        <w:t>Statement of Comprehensive Income</w:t>
      </w:r>
      <w:r>
        <w:rPr>
          <w:rFonts w:ascii="Arial" w:eastAsia="Times New Roman" w:hAnsi="Arial" w:cs="Arial"/>
        </w:rPr>
        <w:t>.</w:t>
      </w:r>
    </w:p>
    <w:p w14:paraId="02FAFA62" w14:textId="77777777" w:rsidR="0021298F" w:rsidRDefault="0021298F" w:rsidP="0021298F">
      <w:pPr>
        <w:pStyle w:val="ListParagraph"/>
        <w:jc w:val="both"/>
        <w:rPr>
          <w:rFonts w:ascii="Arial" w:hAnsi="Arial" w:cs="Arial"/>
          <w:b/>
          <w:lang w:eastAsia="en-GB"/>
        </w:rPr>
      </w:pPr>
    </w:p>
    <w:p w14:paraId="716444F6" w14:textId="77777777" w:rsidR="0021298F" w:rsidRPr="00992D4D" w:rsidRDefault="0021298F" w:rsidP="0021298F">
      <w:pPr>
        <w:pStyle w:val="Heading5"/>
        <w:spacing w:before="0"/>
        <w:jc w:val="both"/>
        <w:rPr>
          <w:rFonts w:ascii="Arial" w:hAnsi="Arial" w:cs="Arial"/>
          <w:b/>
          <w:color w:val="auto"/>
          <w:szCs w:val="22"/>
          <w:lang w:eastAsia="en-GB"/>
        </w:rPr>
      </w:pPr>
      <w:r w:rsidRPr="00992D4D">
        <w:rPr>
          <w:rFonts w:ascii="Arial" w:hAnsi="Arial" w:cs="Arial"/>
          <w:b/>
          <w:color w:val="auto"/>
          <w:szCs w:val="22"/>
          <w:lang w:eastAsia="en-GB"/>
        </w:rPr>
        <w:t>Finance expenses</w:t>
      </w:r>
    </w:p>
    <w:p w14:paraId="2EB67686" w14:textId="77777777" w:rsidR="0021298F" w:rsidRDefault="0021298F" w:rsidP="0021298F">
      <w:pPr>
        <w:jc w:val="both"/>
        <w:rPr>
          <w:rFonts w:ascii="Arial" w:eastAsia="Times New Roman" w:hAnsi="Arial" w:cs="Arial"/>
        </w:rPr>
      </w:pPr>
      <w:r w:rsidRPr="001B78B5">
        <w:rPr>
          <w:rFonts w:ascii="Arial" w:eastAsia="Times New Roman" w:hAnsi="Arial" w:cs="Arial"/>
        </w:rPr>
        <w:t>Borrowing costs are recognised in the Consolidated Statement of Comprehensive Income in the period to which they relate on an accruals basis using the effective interest rate method.</w:t>
      </w:r>
    </w:p>
    <w:p w14:paraId="28EDC57A" w14:textId="77777777" w:rsidR="0021298F" w:rsidRDefault="0021298F" w:rsidP="0021298F">
      <w:pPr>
        <w:jc w:val="both"/>
        <w:rPr>
          <w:rFonts w:ascii="Arial" w:eastAsia="Times New Roman" w:hAnsi="Arial" w:cs="Arial"/>
        </w:rPr>
      </w:pPr>
    </w:p>
    <w:p w14:paraId="44BDA825" w14:textId="77777777" w:rsidR="0021298F" w:rsidRPr="00992D4D" w:rsidRDefault="0021298F" w:rsidP="0021298F">
      <w:pPr>
        <w:pStyle w:val="Heading5"/>
        <w:spacing w:before="0"/>
        <w:jc w:val="both"/>
        <w:rPr>
          <w:rFonts w:ascii="Arial" w:hAnsi="Arial" w:cs="Arial"/>
          <w:b/>
          <w:color w:val="auto"/>
          <w:szCs w:val="22"/>
          <w:lang w:eastAsia="en-GB"/>
        </w:rPr>
      </w:pPr>
      <w:r w:rsidRPr="00992D4D">
        <w:rPr>
          <w:rFonts w:ascii="Arial" w:hAnsi="Arial" w:cs="Arial"/>
          <w:b/>
          <w:color w:val="auto"/>
          <w:szCs w:val="22"/>
          <w:lang w:eastAsia="en-GB"/>
        </w:rPr>
        <w:t>Share capital</w:t>
      </w:r>
    </w:p>
    <w:p w14:paraId="3AE87094" w14:textId="77777777" w:rsidR="0021298F" w:rsidRPr="001B78B5" w:rsidRDefault="0021298F" w:rsidP="0021298F">
      <w:pPr>
        <w:jc w:val="both"/>
        <w:rPr>
          <w:rFonts w:ascii="Arial" w:eastAsia="Times New Roman" w:hAnsi="Arial" w:cs="Arial"/>
        </w:rPr>
      </w:pPr>
      <w:r w:rsidRPr="001B78B5">
        <w:rPr>
          <w:rFonts w:ascii="Arial" w:eastAsia="Times New Roman" w:hAnsi="Arial" w:cs="Arial"/>
        </w:rPr>
        <w:t>Financial instruments issued by the Company are treated as equity if the holder has only a residual interest in the assets of the Company after the deduction of all liabilities. The Company’s ordinary shares are classiﬁed as equity instruments.</w:t>
      </w:r>
    </w:p>
    <w:p w14:paraId="0233AF24" w14:textId="77777777" w:rsidR="0021298F" w:rsidRDefault="0021298F" w:rsidP="0021298F">
      <w:pPr>
        <w:jc w:val="both"/>
        <w:rPr>
          <w:rFonts w:ascii="Arial" w:eastAsia="Times New Roman" w:hAnsi="Arial" w:cs="Arial"/>
        </w:rPr>
      </w:pPr>
    </w:p>
    <w:p w14:paraId="13D2B599" w14:textId="77777777" w:rsidR="0021298F" w:rsidRDefault="0021298F" w:rsidP="0021298F">
      <w:pPr>
        <w:jc w:val="both"/>
        <w:rPr>
          <w:rFonts w:ascii="Arial" w:eastAsia="Times New Roman" w:hAnsi="Arial" w:cs="Arial"/>
        </w:rPr>
      </w:pPr>
      <w:r w:rsidRPr="001B78B5">
        <w:rPr>
          <w:rFonts w:ascii="Arial" w:eastAsia="Times New Roman" w:hAnsi="Arial" w:cs="Arial"/>
        </w:rPr>
        <w:t>Share issue costs of the Company directly attributable to the issue and listing of shares are charged to the share premium account. Share issue costs include those incurred in connection with the placing and admission which include fees payable under a placing agreement, legal costs and any other applicable expenses.</w:t>
      </w:r>
    </w:p>
    <w:p w14:paraId="158D66EF" w14:textId="77777777" w:rsidR="0021298F" w:rsidRDefault="0021298F" w:rsidP="0021298F">
      <w:pPr>
        <w:jc w:val="both"/>
        <w:rPr>
          <w:rFonts w:ascii="Arial" w:eastAsia="Times New Roman" w:hAnsi="Arial" w:cs="Arial"/>
        </w:rPr>
      </w:pPr>
    </w:p>
    <w:p w14:paraId="6CB299B7" w14:textId="77777777" w:rsidR="0021298F" w:rsidRPr="00042D2E" w:rsidRDefault="0021298F" w:rsidP="0021298F">
      <w:pPr>
        <w:pStyle w:val="Heading4"/>
        <w:spacing w:before="0"/>
        <w:jc w:val="both"/>
        <w:rPr>
          <w:rFonts w:ascii="Arial" w:eastAsia="Times New Roman" w:hAnsi="Arial" w:cs="Arial"/>
          <w:i w:val="0"/>
          <w:color w:val="auto"/>
          <w:lang w:eastAsia="en-GB"/>
        </w:rPr>
      </w:pPr>
      <w:r w:rsidRPr="00042D2E">
        <w:rPr>
          <w:rFonts w:ascii="Arial" w:eastAsia="Times New Roman" w:hAnsi="Arial" w:cs="Arial"/>
          <w:i w:val="0"/>
          <w:color w:val="auto"/>
          <w:lang w:eastAsia="en-GB"/>
        </w:rPr>
        <w:lastRenderedPageBreak/>
        <w:t xml:space="preserve">Cash and </w:t>
      </w:r>
      <w:r>
        <w:rPr>
          <w:rFonts w:ascii="Arial" w:eastAsia="Times New Roman" w:hAnsi="Arial" w:cs="Arial"/>
          <w:i w:val="0"/>
          <w:color w:val="auto"/>
          <w:lang w:eastAsia="en-GB"/>
        </w:rPr>
        <w:t>c</w:t>
      </w:r>
      <w:r w:rsidRPr="00042D2E">
        <w:rPr>
          <w:rFonts w:ascii="Arial" w:eastAsia="Times New Roman" w:hAnsi="Arial" w:cs="Arial"/>
          <w:i w:val="0"/>
          <w:color w:val="auto"/>
          <w:lang w:eastAsia="en-GB"/>
        </w:rPr>
        <w:t xml:space="preserve">ash </w:t>
      </w:r>
      <w:r>
        <w:rPr>
          <w:rFonts w:ascii="Arial" w:eastAsia="Times New Roman" w:hAnsi="Arial" w:cs="Arial"/>
          <w:i w:val="0"/>
          <w:color w:val="auto"/>
          <w:lang w:eastAsia="en-GB"/>
        </w:rPr>
        <w:t>e</w:t>
      </w:r>
      <w:r w:rsidRPr="00042D2E">
        <w:rPr>
          <w:rFonts w:ascii="Arial" w:eastAsia="Times New Roman" w:hAnsi="Arial" w:cs="Arial"/>
          <w:i w:val="0"/>
          <w:color w:val="auto"/>
          <w:lang w:eastAsia="en-GB"/>
        </w:rPr>
        <w:t>quivalents</w:t>
      </w:r>
    </w:p>
    <w:p w14:paraId="1ABFF8D8" w14:textId="77777777" w:rsidR="0021298F" w:rsidRDefault="0021298F" w:rsidP="0021298F">
      <w:pPr>
        <w:jc w:val="both"/>
        <w:rPr>
          <w:rFonts w:ascii="Arial" w:eastAsia="Times New Roman" w:hAnsi="Arial" w:cs="Arial"/>
        </w:rPr>
      </w:pPr>
      <w:r w:rsidRPr="001B78B5">
        <w:rPr>
          <w:rFonts w:ascii="Arial" w:eastAsia="Times New Roman" w:hAnsi="Arial" w:cs="Arial"/>
        </w:rPr>
        <w:t xml:space="preserve">Cash and cash equivalents comprise cash balances, deposits held on call with banks and other short-term highly liquid deposits with original maturities of </w:t>
      </w:r>
      <w:r>
        <w:rPr>
          <w:rFonts w:ascii="Arial" w:eastAsia="Times New Roman" w:hAnsi="Arial" w:cs="Arial"/>
        </w:rPr>
        <w:t>3</w:t>
      </w:r>
      <w:r w:rsidRPr="001B78B5">
        <w:rPr>
          <w:rFonts w:ascii="Arial" w:eastAsia="Times New Roman" w:hAnsi="Arial" w:cs="Arial"/>
        </w:rPr>
        <w:t xml:space="preserve"> months or less, that </w:t>
      </w:r>
      <w:r>
        <w:rPr>
          <w:rFonts w:ascii="Arial" w:eastAsia="Times New Roman" w:hAnsi="Arial" w:cs="Arial"/>
        </w:rPr>
        <w:t>are</w:t>
      </w:r>
      <w:r w:rsidRPr="001B78B5">
        <w:rPr>
          <w:rFonts w:ascii="Arial" w:eastAsia="Times New Roman" w:hAnsi="Arial" w:cs="Arial"/>
        </w:rPr>
        <w:t xml:space="preserve"> readily convertible to a known amount of cash and are subject to an insigniﬁcant risk of changes in value.</w:t>
      </w:r>
    </w:p>
    <w:p w14:paraId="51BA3795" w14:textId="77777777" w:rsidR="0021298F" w:rsidRDefault="0021298F" w:rsidP="0021298F">
      <w:pPr>
        <w:jc w:val="both"/>
        <w:rPr>
          <w:rFonts w:ascii="Arial" w:eastAsia="Times New Roman" w:hAnsi="Arial" w:cs="Arial"/>
          <w:b/>
          <w:bCs/>
          <w:iCs/>
          <w:lang w:eastAsia="en-GB"/>
        </w:rPr>
      </w:pPr>
    </w:p>
    <w:p w14:paraId="6FF3230C" w14:textId="77777777" w:rsidR="0021298F" w:rsidRDefault="0021298F" w:rsidP="0021298F">
      <w:pPr>
        <w:jc w:val="both"/>
        <w:rPr>
          <w:rFonts w:ascii="Arial" w:eastAsia="Times New Roman" w:hAnsi="Arial" w:cs="Arial"/>
          <w:b/>
          <w:bCs/>
          <w:iCs/>
          <w:lang w:eastAsia="en-GB"/>
        </w:rPr>
      </w:pPr>
      <w:r w:rsidRPr="002B4A06">
        <w:rPr>
          <w:rFonts w:ascii="Arial" w:eastAsia="Times New Roman" w:hAnsi="Arial" w:cs="Arial"/>
          <w:b/>
          <w:bCs/>
          <w:iCs/>
          <w:lang w:eastAsia="en-GB"/>
        </w:rPr>
        <w:t>Foreign currencies</w:t>
      </w:r>
    </w:p>
    <w:p w14:paraId="5D946DFB" w14:textId="77777777" w:rsidR="0021298F" w:rsidRDefault="0021298F" w:rsidP="0021298F">
      <w:pPr>
        <w:pStyle w:val="Heading4"/>
        <w:spacing w:before="0"/>
        <w:jc w:val="both"/>
        <w:rPr>
          <w:rFonts w:ascii="Arial" w:eastAsia="Times New Roman" w:hAnsi="Arial" w:cs="Arial"/>
          <w:b w:val="0"/>
          <w:bCs w:val="0"/>
          <w:i w:val="0"/>
          <w:iCs w:val="0"/>
          <w:color w:val="auto"/>
          <w:szCs w:val="22"/>
        </w:rPr>
      </w:pPr>
      <w:r w:rsidRPr="002B4A06">
        <w:rPr>
          <w:rFonts w:ascii="Arial" w:eastAsia="Times New Roman" w:hAnsi="Arial" w:cs="Arial"/>
          <w:b w:val="0"/>
          <w:bCs w:val="0"/>
          <w:i w:val="0"/>
          <w:iCs w:val="0"/>
          <w:color w:val="auto"/>
          <w:szCs w:val="22"/>
        </w:rPr>
        <w:t xml:space="preserve">Transactions in foreign currencies are translated at the foreign exchange rate ruling at the date of the transaction. Monetary assets and liabilities denominated in foreign currencies at the reporting date are translated at the foreign exchange rate ruling at that date. Foreign exchange differences arising on translation are recognised in the </w:t>
      </w:r>
      <w:r>
        <w:rPr>
          <w:rFonts w:ascii="Arial" w:eastAsia="Times New Roman" w:hAnsi="Arial" w:cs="Arial"/>
          <w:b w:val="0"/>
          <w:bCs w:val="0"/>
          <w:i w:val="0"/>
          <w:iCs w:val="0"/>
          <w:color w:val="auto"/>
          <w:szCs w:val="22"/>
        </w:rPr>
        <w:t>C</w:t>
      </w:r>
      <w:r w:rsidRPr="008968B7">
        <w:rPr>
          <w:rFonts w:ascii="Arial" w:eastAsia="Times New Roman" w:hAnsi="Arial" w:cs="Arial"/>
          <w:b w:val="0"/>
          <w:bCs w:val="0"/>
          <w:i w:val="0"/>
          <w:iCs w:val="0"/>
          <w:color w:val="auto"/>
          <w:szCs w:val="22"/>
        </w:rPr>
        <w:t>onsolidated</w:t>
      </w:r>
      <w:r w:rsidRPr="008968B7" w:rsidDel="008968B7">
        <w:rPr>
          <w:rFonts w:ascii="Arial" w:eastAsia="Times New Roman" w:hAnsi="Arial" w:cs="Arial"/>
          <w:b w:val="0"/>
          <w:bCs w:val="0"/>
          <w:i w:val="0"/>
          <w:iCs w:val="0"/>
          <w:color w:val="auto"/>
          <w:szCs w:val="22"/>
        </w:rPr>
        <w:t xml:space="preserve"> </w:t>
      </w:r>
      <w:r w:rsidRPr="002B4A06">
        <w:rPr>
          <w:rFonts w:ascii="Arial" w:eastAsia="Times New Roman" w:hAnsi="Arial" w:cs="Arial"/>
          <w:b w:val="0"/>
          <w:bCs w:val="0"/>
          <w:i w:val="0"/>
          <w:iCs w:val="0"/>
          <w:color w:val="auto"/>
          <w:szCs w:val="22"/>
        </w:rPr>
        <w:t>Statement of Comprehensive Income.</w:t>
      </w:r>
    </w:p>
    <w:p w14:paraId="224C224F" w14:textId="77777777" w:rsidR="0021298F" w:rsidRPr="00151A64" w:rsidRDefault="0021298F" w:rsidP="0021298F">
      <w:pPr>
        <w:jc w:val="both"/>
        <w:rPr>
          <w:rFonts w:ascii="Arial" w:eastAsia="Times New Roman" w:hAnsi="Arial" w:cs="Arial"/>
        </w:rPr>
      </w:pPr>
    </w:p>
    <w:p w14:paraId="5DCCE84B" w14:textId="77777777" w:rsidR="0021298F" w:rsidRPr="00DA4C37" w:rsidRDefault="0021298F" w:rsidP="0021298F">
      <w:pPr>
        <w:pStyle w:val="Heading4"/>
        <w:spacing w:before="0"/>
        <w:jc w:val="both"/>
        <w:rPr>
          <w:rFonts w:ascii="Arial" w:eastAsia="Times New Roman" w:hAnsi="Arial" w:cs="Arial"/>
          <w:i w:val="0"/>
          <w:color w:val="auto"/>
          <w:lang w:eastAsia="en-GB"/>
        </w:rPr>
      </w:pPr>
      <w:r w:rsidRPr="00DA4C37">
        <w:rPr>
          <w:rFonts w:ascii="Arial" w:eastAsia="Times New Roman" w:hAnsi="Arial" w:cs="Arial"/>
          <w:i w:val="0"/>
          <w:color w:val="auto"/>
          <w:lang w:eastAsia="en-GB"/>
        </w:rPr>
        <w:t>Dividends</w:t>
      </w:r>
    </w:p>
    <w:p w14:paraId="18F87CE9" w14:textId="77777777" w:rsidR="0021298F" w:rsidRDefault="0021298F" w:rsidP="0021298F">
      <w:pPr>
        <w:jc w:val="both"/>
        <w:rPr>
          <w:rFonts w:ascii="Arial" w:eastAsia="Times New Roman" w:hAnsi="Arial" w:cs="Arial"/>
        </w:rPr>
      </w:pPr>
      <w:r w:rsidRPr="00DA4C37">
        <w:rPr>
          <w:rFonts w:ascii="Arial" w:eastAsia="Times New Roman" w:hAnsi="Arial" w:cs="Arial"/>
        </w:rPr>
        <w:t xml:space="preserve">Dividends payable are recognised as distributions in </w:t>
      </w:r>
      <w:r>
        <w:rPr>
          <w:rFonts w:ascii="Arial" w:eastAsia="Times New Roman" w:hAnsi="Arial" w:cs="Arial"/>
        </w:rPr>
        <w:t>the Consolidated financial statements</w:t>
      </w:r>
      <w:r w:rsidRPr="00DA4C37">
        <w:rPr>
          <w:rFonts w:ascii="Arial" w:eastAsia="Times New Roman" w:hAnsi="Arial" w:cs="Arial"/>
        </w:rPr>
        <w:t xml:space="preserve"> when the Company’s obligation to make payment has been established.</w:t>
      </w:r>
    </w:p>
    <w:p w14:paraId="0FDCAD32" w14:textId="77777777" w:rsidR="0021298F" w:rsidRDefault="0021298F" w:rsidP="0021298F">
      <w:pPr>
        <w:jc w:val="both"/>
        <w:rPr>
          <w:rFonts w:ascii="Arial" w:eastAsia="Times New Roman" w:hAnsi="Arial" w:cs="Arial"/>
        </w:rPr>
      </w:pPr>
    </w:p>
    <w:p w14:paraId="1FED13A2" w14:textId="77777777" w:rsidR="0021298F" w:rsidRDefault="0021298F" w:rsidP="0021298F">
      <w:pPr>
        <w:pStyle w:val="Heading4"/>
        <w:spacing w:before="0"/>
        <w:jc w:val="both"/>
        <w:rPr>
          <w:rFonts w:ascii="Arial" w:eastAsia="Times New Roman" w:hAnsi="Arial" w:cs="Arial"/>
          <w:i w:val="0"/>
          <w:color w:val="auto"/>
          <w:lang w:eastAsia="en-GB"/>
        </w:rPr>
      </w:pPr>
      <w:r w:rsidRPr="00B95C40">
        <w:rPr>
          <w:rFonts w:ascii="Arial" w:eastAsia="Times New Roman" w:hAnsi="Arial" w:cs="Arial"/>
          <w:i w:val="0"/>
          <w:color w:val="auto"/>
          <w:lang w:eastAsia="en-GB"/>
        </w:rPr>
        <w:t>Income</w:t>
      </w:r>
      <w:r>
        <w:rPr>
          <w:rFonts w:ascii="Arial" w:eastAsia="Times New Roman" w:hAnsi="Arial" w:cs="Arial"/>
          <w:i w:val="0"/>
          <w:color w:val="auto"/>
          <w:lang w:eastAsia="en-GB"/>
        </w:rPr>
        <w:t xml:space="preserve"> recognition</w:t>
      </w:r>
    </w:p>
    <w:p w14:paraId="6516F7BB" w14:textId="77777777" w:rsidR="0021298F" w:rsidRPr="001B78B5" w:rsidRDefault="0021298F" w:rsidP="0021298F">
      <w:pPr>
        <w:jc w:val="both"/>
        <w:rPr>
          <w:rFonts w:ascii="Arial" w:eastAsia="Times New Roman" w:hAnsi="Arial" w:cs="Arial"/>
        </w:rPr>
      </w:pPr>
      <w:r w:rsidRPr="001B78B5">
        <w:rPr>
          <w:rFonts w:ascii="Arial" w:eastAsia="Times New Roman" w:hAnsi="Arial" w:cs="Arial"/>
        </w:rPr>
        <w:t>Interest income on shareholder loan investments is recognised when the Group's entitlement to receive payment is established.</w:t>
      </w:r>
    </w:p>
    <w:p w14:paraId="3D2A9E85" w14:textId="77777777" w:rsidR="0021298F" w:rsidRPr="001B78B5" w:rsidRDefault="0021298F" w:rsidP="0021298F">
      <w:pPr>
        <w:jc w:val="both"/>
        <w:rPr>
          <w:rFonts w:ascii="Arial" w:eastAsia="Times New Roman" w:hAnsi="Arial" w:cs="Arial"/>
        </w:rPr>
      </w:pPr>
    </w:p>
    <w:p w14:paraId="27102923" w14:textId="77777777" w:rsidR="0021298F" w:rsidRDefault="0021298F" w:rsidP="0021298F">
      <w:pPr>
        <w:jc w:val="both"/>
        <w:rPr>
          <w:rFonts w:ascii="Arial" w:eastAsia="Times New Roman" w:hAnsi="Arial" w:cs="Arial"/>
        </w:rPr>
      </w:pPr>
      <w:r w:rsidRPr="001B78B5">
        <w:rPr>
          <w:rFonts w:ascii="Arial" w:eastAsia="Times New Roman" w:hAnsi="Arial" w:cs="Arial"/>
        </w:rPr>
        <w:t>Other income is accounted for on an accruals basis.</w:t>
      </w:r>
    </w:p>
    <w:p w14:paraId="3206EEDE" w14:textId="77777777" w:rsidR="0021298F" w:rsidRDefault="0021298F" w:rsidP="0021298F">
      <w:pPr>
        <w:jc w:val="both"/>
        <w:rPr>
          <w:rFonts w:ascii="Arial" w:eastAsia="Times New Roman" w:hAnsi="Arial" w:cs="Arial"/>
        </w:rPr>
      </w:pPr>
    </w:p>
    <w:p w14:paraId="4F069B9B" w14:textId="77777777" w:rsidR="0021298F" w:rsidRDefault="0021298F" w:rsidP="0021298F">
      <w:pPr>
        <w:jc w:val="both"/>
        <w:rPr>
          <w:rFonts w:ascii="Arial" w:eastAsia="Times New Roman" w:hAnsi="Arial" w:cs="Arial"/>
        </w:rPr>
      </w:pPr>
      <w:r w:rsidRPr="001B78B5">
        <w:rPr>
          <w:rFonts w:ascii="Arial" w:eastAsia="Times New Roman" w:hAnsi="Arial" w:cs="Arial"/>
        </w:rPr>
        <w:t xml:space="preserve">Gains or losses resulting from the movement in fair value of the Group’s and Company’s investments held at fair value through proﬁt and loss are recognised in the </w:t>
      </w:r>
      <w:r>
        <w:rPr>
          <w:rFonts w:ascii="Arial" w:eastAsia="Times New Roman" w:hAnsi="Arial" w:cs="Arial"/>
        </w:rPr>
        <w:t>C</w:t>
      </w:r>
      <w:r w:rsidRPr="001B78B5">
        <w:rPr>
          <w:rFonts w:ascii="Arial" w:eastAsia="Times New Roman" w:hAnsi="Arial" w:cs="Arial"/>
        </w:rPr>
        <w:t>onsolidated Statement of Comprehensive Income at each valuation point.</w:t>
      </w:r>
    </w:p>
    <w:p w14:paraId="4B8C64CC" w14:textId="77777777" w:rsidR="0021298F" w:rsidRDefault="0021298F" w:rsidP="0021298F">
      <w:pPr>
        <w:jc w:val="both"/>
        <w:rPr>
          <w:rFonts w:ascii="Arial" w:eastAsia="Times New Roman" w:hAnsi="Arial" w:cs="Arial"/>
        </w:rPr>
      </w:pPr>
    </w:p>
    <w:p w14:paraId="6403B7A1" w14:textId="77777777" w:rsidR="0021298F" w:rsidRPr="00B95C40" w:rsidRDefault="0021298F" w:rsidP="0021298F">
      <w:pPr>
        <w:pStyle w:val="Heading4"/>
        <w:spacing w:before="0"/>
        <w:jc w:val="both"/>
        <w:rPr>
          <w:rFonts w:ascii="Arial" w:eastAsia="Times New Roman" w:hAnsi="Arial" w:cs="Arial"/>
          <w:i w:val="0"/>
          <w:color w:val="auto"/>
          <w:lang w:eastAsia="en-GB"/>
        </w:rPr>
      </w:pPr>
      <w:r>
        <w:rPr>
          <w:rFonts w:ascii="Arial" w:eastAsia="Times New Roman" w:hAnsi="Arial" w:cs="Arial"/>
          <w:i w:val="0"/>
          <w:color w:val="auto"/>
          <w:lang w:eastAsia="en-GB"/>
        </w:rPr>
        <w:t>Expenses</w:t>
      </w:r>
    </w:p>
    <w:p w14:paraId="7DA88D4D" w14:textId="77777777" w:rsidR="0021298F" w:rsidRDefault="0021298F" w:rsidP="0021298F">
      <w:pPr>
        <w:jc w:val="both"/>
        <w:rPr>
          <w:rFonts w:ascii="Arial" w:eastAsia="Times New Roman" w:hAnsi="Arial" w:cs="Arial"/>
        </w:rPr>
      </w:pPr>
      <w:r>
        <w:rPr>
          <w:rFonts w:ascii="Arial" w:eastAsia="Times New Roman" w:hAnsi="Arial" w:cs="Arial"/>
        </w:rPr>
        <w:t>E</w:t>
      </w:r>
      <w:r w:rsidRPr="00B95C40">
        <w:rPr>
          <w:rFonts w:ascii="Arial" w:eastAsia="Times New Roman" w:hAnsi="Arial" w:cs="Arial"/>
        </w:rPr>
        <w:t>xpenses are acco</w:t>
      </w:r>
      <w:r>
        <w:rPr>
          <w:rFonts w:ascii="Arial" w:eastAsia="Times New Roman" w:hAnsi="Arial" w:cs="Arial"/>
        </w:rPr>
        <w:t xml:space="preserve">unted for on an accruals basis. </w:t>
      </w:r>
    </w:p>
    <w:p w14:paraId="4641BFCE" w14:textId="77777777" w:rsidR="0021298F" w:rsidRDefault="0021298F" w:rsidP="0021298F">
      <w:pPr>
        <w:jc w:val="both"/>
        <w:rPr>
          <w:rFonts w:ascii="Arial" w:eastAsia="Times New Roman" w:hAnsi="Arial" w:cs="Arial"/>
        </w:rPr>
      </w:pPr>
    </w:p>
    <w:p w14:paraId="63680CFD" w14:textId="77777777" w:rsidR="0021298F" w:rsidRPr="00042D2E" w:rsidRDefault="0021298F" w:rsidP="0021298F">
      <w:pPr>
        <w:pStyle w:val="Heading4"/>
        <w:spacing w:before="0"/>
        <w:jc w:val="both"/>
        <w:rPr>
          <w:rFonts w:ascii="Arial" w:eastAsia="Times New Roman" w:hAnsi="Arial" w:cs="Arial"/>
          <w:i w:val="0"/>
          <w:color w:val="auto"/>
          <w:lang w:eastAsia="en-GB"/>
        </w:rPr>
      </w:pPr>
      <w:r w:rsidRPr="00042D2E">
        <w:rPr>
          <w:rFonts w:ascii="Arial" w:eastAsia="Times New Roman" w:hAnsi="Arial" w:cs="Arial"/>
          <w:i w:val="0"/>
          <w:color w:val="auto"/>
          <w:lang w:eastAsia="en-GB"/>
        </w:rPr>
        <w:t>Taxation</w:t>
      </w:r>
    </w:p>
    <w:p w14:paraId="29C726DE" w14:textId="77777777" w:rsidR="0021298F" w:rsidRPr="00BA0E91" w:rsidRDefault="0021298F" w:rsidP="0021298F">
      <w:pPr>
        <w:jc w:val="both"/>
        <w:rPr>
          <w:rFonts w:ascii="Arial" w:eastAsia="Times New Roman" w:hAnsi="Arial" w:cs="Arial"/>
        </w:rPr>
      </w:pPr>
      <w:r w:rsidRPr="00BA0E91">
        <w:rPr>
          <w:rFonts w:ascii="Arial" w:eastAsia="Times New Roman" w:hAnsi="Arial" w:cs="Arial"/>
        </w:rPr>
        <w:t xml:space="preserve">Under the current system of taxation in Ireland, the Company is liable to taxation on its operations in Ireland. </w:t>
      </w:r>
    </w:p>
    <w:p w14:paraId="582AEE22" w14:textId="77777777" w:rsidR="0021298F" w:rsidRDefault="0021298F" w:rsidP="0021298F">
      <w:pPr>
        <w:jc w:val="both"/>
        <w:rPr>
          <w:rFonts w:ascii="Arial" w:eastAsia="Times New Roman" w:hAnsi="Arial" w:cs="Arial"/>
        </w:rPr>
      </w:pPr>
    </w:p>
    <w:p w14:paraId="01FE863E" w14:textId="77777777" w:rsidR="0021298F" w:rsidRPr="00BA0E91" w:rsidRDefault="0021298F" w:rsidP="0021298F">
      <w:pPr>
        <w:jc w:val="both"/>
        <w:rPr>
          <w:rFonts w:ascii="Arial" w:eastAsia="Times New Roman" w:hAnsi="Arial" w:cs="Arial"/>
        </w:rPr>
      </w:pPr>
      <w:r w:rsidRPr="00BA0E91">
        <w:rPr>
          <w:rFonts w:ascii="Arial" w:eastAsia="Times New Roman" w:hAnsi="Arial" w:cs="Arial"/>
        </w:rPr>
        <w:t xml:space="preserve">Current tax is the expected tax payable on the taxable income for the period, using tax rates that have been enacted or substantively enacted at the date of the </w:t>
      </w:r>
      <w:r>
        <w:rPr>
          <w:rFonts w:ascii="Arial" w:eastAsia="Times New Roman" w:hAnsi="Arial" w:cs="Arial"/>
        </w:rPr>
        <w:t>C</w:t>
      </w:r>
      <w:r w:rsidRPr="00BA0E91">
        <w:rPr>
          <w:rFonts w:ascii="Arial" w:eastAsia="Times New Roman" w:hAnsi="Arial" w:cs="Arial"/>
        </w:rPr>
        <w:t>onsolidated Statement of Financial Position.</w:t>
      </w:r>
    </w:p>
    <w:p w14:paraId="1C709D9E" w14:textId="77777777" w:rsidR="0021298F" w:rsidRPr="00BA0E91" w:rsidRDefault="0021298F" w:rsidP="0021298F">
      <w:pPr>
        <w:jc w:val="both"/>
        <w:rPr>
          <w:rFonts w:ascii="Arial" w:eastAsia="Times New Roman" w:hAnsi="Arial" w:cs="Arial"/>
        </w:rPr>
      </w:pPr>
    </w:p>
    <w:p w14:paraId="275B6682" w14:textId="77777777" w:rsidR="0021298F" w:rsidRDefault="0021298F" w:rsidP="0021298F">
      <w:pPr>
        <w:jc w:val="both"/>
        <w:rPr>
          <w:rFonts w:ascii="Arial" w:eastAsia="Times New Roman" w:hAnsi="Arial" w:cs="Arial"/>
        </w:rPr>
      </w:pPr>
      <w:r w:rsidRPr="00992D4D">
        <w:rPr>
          <w:rFonts w:ascii="Arial" w:eastAsia="Times New Roman" w:hAnsi="Arial" w:cs="Arial"/>
        </w:rPr>
        <w:t>Deferred tax is the tax expected to be payable or recoverable on temporary differences between the carrying amounts of assets and liabilities in the ﬁnancial statements and the corresponding tax bases used in the computation of taxable proﬁt. Deferred tax liabilities are generally recognised for all taxable temporary differences and deferred tax assets are recognised to the extent that it is probable that taxable proﬁts will be available against which deductible temporary differences can be utilised.</w:t>
      </w:r>
    </w:p>
    <w:p w14:paraId="787844DE" w14:textId="77777777" w:rsidR="0021298F" w:rsidRDefault="0021298F" w:rsidP="0021298F">
      <w:pPr>
        <w:jc w:val="both"/>
        <w:rPr>
          <w:rFonts w:ascii="Arial" w:eastAsia="Times New Roman" w:hAnsi="Arial" w:cs="Arial"/>
        </w:rPr>
      </w:pPr>
    </w:p>
    <w:p w14:paraId="38F6E8F7" w14:textId="77777777" w:rsidR="0021298F" w:rsidRPr="00666C66" w:rsidRDefault="0021298F" w:rsidP="0021298F">
      <w:pPr>
        <w:jc w:val="both"/>
        <w:rPr>
          <w:rFonts w:ascii="Arial" w:eastAsia="Times New Roman" w:hAnsi="Arial" w:cs="Arial"/>
        </w:rPr>
      </w:pPr>
      <w:r w:rsidRPr="00992D4D">
        <w:rPr>
          <w:rFonts w:ascii="Arial" w:eastAsia="Times New Roman" w:hAnsi="Arial" w:cs="Arial"/>
        </w:rPr>
        <w:t xml:space="preserve">Deferred tax assets and liabilities are not recognised if the temporary differences arise from goodwill or from the initial recognition of other assets and liabilities in a transaction that affects neither the tax proﬁt nor the accounting proﬁt. Deferred tax liabilities are recognised for taxable temporary differences arising on investments, except where the Company is able to control the timing of the reversal of the difference and it is probable that the temporary difference will not reverse in the foreseeable </w:t>
      </w:r>
      <w:r w:rsidRPr="00992D4D">
        <w:rPr>
          <w:rFonts w:ascii="Arial" w:eastAsia="Times New Roman" w:hAnsi="Arial" w:cs="Arial"/>
        </w:rPr>
        <w:lastRenderedPageBreak/>
        <w:t xml:space="preserve">future. Deferred tax is calculated at the tax rates that are expected to apply in the period when the liability is settled or the asset is realised. Deferred tax is charged or credited to the </w:t>
      </w:r>
      <w:r>
        <w:rPr>
          <w:rFonts w:ascii="Arial" w:eastAsia="Times New Roman" w:hAnsi="Arial" w:cs="Arial"/>
        </w:rPr>
        <w:t>C</w:t>
      </w:r>
      <w:r w:rsidRPr="00992D4D">
        <w:rPr>
          <w:rFonts w:ascii="Arial" w:eastAsia="Times New Roman" w:hAnsi="Arial" w:cs="Arial"/>
        </w:rPr>
        <w:t>onsolidated Statement of</w:t>
      </w:r>
      <w:r w:rsidRPr="00716AC6">
        <w:rPr>
          <w:rFonts w:ascii="Arial" w:eastAsia="Times New Roman" w:hAnsi="Arial" w:cs="Arial"/>
        </w:rPr>
        <w:t xml:space="preserve"> </w:t>
      </w:r>
      <w:r w:rsidRPr="00666C66">
        <w:rPr>
          <w:rFonts w:ascii="Arial" w:eastAsia="Times New Roman" w:hAnsi="Arial" w:cs="Arial"/>
        </w:rPr>
        <w:t>Comprehensive Income except when it relates to items charged or credited directly to equity, in which case the deferred tax is also dealt with in equity.</w:t>
      </w:r>
    </w:p>
    <w:p w14:paraId="7354305B" w14:textId="77777777" w:rsidR="0021298F" w:rsidRDefault="0021298F" w:rsidP="0021298F">
      <w:pPr>
        <w:jc w:val="both"/>
        <w:rPr>
          <w:rFonts w:ascii="Arial" w:eastAsia="Times New Roman" w:hAnsi="Arial" w:cs="Arial"/>
        </w:rPr>
      </w:pPr>
    </w:p>
    <w:p w14:paraId="7FD01116" w14:textId="77777777" w:rsidR="0021298F" w:rsidRPr="00716AC6" w:rsidRDefault="0021298F" w:rsidP="0021298F">
      <w:pPr>
        <w:jc w:val="both"/>
        <w:rPr>
          <w:rFonts w:ascii="Arial" w:eastAsia="Times New Roman" w:hAnsi="Arial" w:cs="Arial"/>
        </w:rPr>
      </w:pPr>
      <w:r w:rsidRPr="00992D4D">
        <w:rPr>
          <w:rFonts w:ascii="Arial" w:eastAsia="Times New Roman" w:hAnsi="Arial" w:cs="Arial"/>
        </w:rPr>
        <w:t>Deferred tax assets and liabilities are offset when there is a legally enforceable right to set off tax assets against tax liabilities and when they relate to income taxes levied by the same taxation authority and the Company intends to settle its current tax assets and liabilities on a net basis. Deferred tax assets and liabilities are not discounted.</w:t>
      </w:r>
    </w:p>
    <w:p w14:paraId="6C2C66E9" w14:textId="77777777" w:rsidR="0021298F" w:rsidRDefault="0021298F" w:rsidP="0021298F">
      <w:pPr>
        <w:jc w:val="both"/>
        <w:rPr>
          <w:rFonts w:ascii="Arial" w:eastAsia="Times New Roman" w:hAnsi="Arial" w:cs="Arial"/>
        </w:rPr>
      </w:pPr>
    </w:p>
    <w:p w14:paraId="7E74E476" w14:textId="77777777" w:rsidR="0021298F" w:rsidRPr="00716AC6" w:rsidRDefault="0021298F" w:rsidP="0021298F">
      <w:pPr>
        <w:pStyle w:val="Heading4"/>
        <w:spacing w:before="0"/>
        <w:jc w:val="both"/>
        <w:rPr>
          <w:rFonts w:ascii="Arial" w:eastAsia="Times New Roman" w:hAnsi="Arial" w:cs="Arial"/>
          <w:i w:val="0"/>
          <w:color w:val="auto"/>
          <w:lang w:eastAsia="en-GB"/>
        </w:rPr>
      </w:pPr>
      <w:r w:rsidRPr="00716AC6">
        <w:rPr>
          <w:rFonts w:ascii="Arial" w:eastAsia="Times New Roman" w:hAnsi="Arial" w:cs="Arial"/>
          <w:i w:val="0"/>
          <w:color w:val="auto"/>
          <w:lang w:eastAsia="en-GB"/>
        </w:rPr>
        <w:t>Segmental reporting</w:t>
      </w:r>
    </w:p>
    <w:p w14:paraId="656D91C1" w14:textId="77777777" w:rsidR="0021298F" w:rsidRDefault="0021298F" w:rsidP="0021298F">
      <w:pPr>
        <w:jc w:val="both"/>
        <w:rPr>
          <w:rFonts w:ascii="Arial" w:eastAsia="Times New Roman" w:hAnsi="Arial" w:cs="Arial"/>
        </w:rPr>
      </w:pPr>
      <w:r w:rsidRPr="00716AC6">
        <w:rPr>
          <w:rFonts w:ascii="Arial" w:eastAsia="Times New Roman" w:hAnsi="Arial" w:cs="Arial"/>
        </w:rPr>
        <w:t>Operating segments are reported in a manner consistent with</w:t>
      </w:r>
      <w:r w:rsidRPr="00BA0E91">
        <w:rPr>
          <w:rFonts w:ascii="Arial" w:eastAsia="Times New Roman" w:hAnsi="Arial" w:cs="Arial"/>
        </w:rPr>
        <w:t xml:space="preserve"> the internal reporting provided to the chief operating decision-maker. The chief operating decision-maker, who is responsible for allocating resources and assessing performance of the operating segments, has been identified as the Board of Directors, as a whole.</w:t>
      </w:r>
    </w:p>
    <w:p w14:paraId="377D81F0" w14:textId="77777777" w:rsidR="0021298F" w:rsidRDefault="0021298F" w:rsidP="0021298F">
      <w:pPr>
        <w:jc w:val="both"/>
        <w:rPr>
          <w:rFonts w:ascii="Arial" w:eastAsia="Times New Roman" w:hAnsi="Arial" w:cs="Arial"/>
        </w:rPr>
      </w:pPr>
    </w:p>
    <w:p w14:paraId="64EEB272" w14:textId="77777777" w:rsidR="0021298F" w:rsidRDefault="0021298F" w:rsidP="0021298F">
      <w:pPr>
        <w:jc w:val="both"/>
        <w:rPr>
          <w:rFonts w:ascii="Arial" w:eastAsia="Times New Roman" w:hAnsi="Arial" w:cs="Arial"/>
        </w:rPr>
      </w:pPr>
      <w:r w:rsidRPr="00BA0E91">
        <w:rPr>
          <w:rFonts w:ascii="Arial" w:eastAsia="Times New Roman" w:hAnsi="Arial" w:cs="Arial"/>
        </w:rPr>
        <w:t xml:space="preserve">The key measure of performance used by the Board to assess the Group’s performance and to allocate resources is the total return on the Group’s net assets, as calculated under IFRS, and therefore no reconciliation is required between the measure of profit or loss used by the Board and that contained in </w:t>
      </w:r>
      <w:r>
        <w:rPr>
          <w:rFonts w:ascii="Arial" w:eastAsia="Times New Roman" w:hAnsi="Arial" w:cs="Arial"/>
        </w:rPr>
        <w:t>the Consolidated financial statements</w:t>
      </w:r>
      <w:r w:rsidRPr="00BA0E91">
        <w:rPr>
          <w:rFonts w:ascii="Arial" w:eastAsia="Times New Roman" w:hAnsi="Arial" w:cs="Arial"/>
        </w:rPr>
        <w:t>.</w:t>
      </w:r>
    </w:p>
    <w:p w14:paraId="3440AC96" w14:textId="77777777" w:rsidR="0021298F" w:rsidRDefault="0021298F" w:rsidP="0021298F">
      <w:pPr>
        <w:jc w:val="both"/>
        <w:rPr>
          <w:rFonts w:ascii="Arial" w:eastAsia="Times New Roman" w:hAnsi="Arial" w:cs="Arial"/>
        </w:rPr>
      </w:pPr>
    </w:p>
    <w:p w14:paraId="3029C2EC" w14:textId="77777777" w:rsidR="0021298F" w:rsidRPr="00BA0E91" w:rsidRDefault="0021298F" w:rsidP="0021298F">
      <w:pPr>
        <w:jc w:val="both"/>
        <w:rPr>
          <w:rFonts w:ascii="Arial" w:eastAsia="Times New Roman" w:hAnsi="Arial" w:cs="Arial"/>
        </w:rPr>
      </w:pPr>
      <w:r w:rsidRPr="00BA0E91">
        <w:rPr>
          <w:rFonts w:ascii="Arial" w:eastAsia="Times New Roman" w:hAnsi="Arial" w:cs="Arial"/>
        </w:rPr>
        <w:t xml:space="preserve">For management purposes, the Group is organised into one main operating segment, which invests in wind farm assets. </w:t>
      </w:r>
    </w:p>
    <w:p w14:paraId="4D2795B3" w14:textId="77777777" w:rsidR="0021298F" w:rsidRPr="00BA0E91" w:rsidRDefault="0021298F" w:rsidP="0021298F">
      <w:pPr>
        <w:jc w:val="both"/>
        <w:rPr>
          <w:rFonts w:ascii="Arial" w:eastAsia="Times New Roman" w:hAnsi="Arial" w:cs="Arial"/>
        </w:rPr>
      </w:pPr>
    </w:p>
    <w:p w14:paraId="02A6D630" w14:textId="77777777" w:rsidR="0021298F" w:rsidRPr="00FB6660" w:rsidRDefault="0021298F" w:rsidP="0021298F">
      <w:pPr>
        <w:jc w:val="both"/>
        <w:rPr>
          <w:rFonts w:ascii="Arial" w:eastAsia="Times New Roman" w:hAnsi="Arial" w:cs="Arial"/>
        </w:rPr>
      </w:pPr>
      <w:r>
        <w:rPr>
          <w:rFonts w:ascii="Arial" w:eastAsia="Times New Roman" w:hAnsi="Arial" w:cs="Arial"/>
        </w:rPr>
        <w:t>T</w:t>
      </w:r>
      <w:r w:rsidRPr="00FB6660">
        <w:rPr>
          <w:rFonts w:ascii="Arial" w:eastAsia="Times New Roman" w:hAnsi="Arial" w:cs="Arial"/>
        </w:rPr>
        <w:t>he Group is engaged in a single segment of business, being investment in renewable infrastructure to generate investment returns while preserving capital. The Group presents the business as a single segment comprising a homogeneous portfolio.</w:t>
      </w:r>
    </w:p>
    <w:p w14:paraId="5573A0F7" w14:textId="77777777" w:rsidR="0021298F" w:rsidRDefault="0021298F" w:rsidP="0021298F">
      <w:pPr>
        <w:jc w:val="both"/>
        <w:rPr>
          <w:rFonts w:ascii="Arial" w:eastAsia="Times New Roman" w:hAnsi="Arial" w:cs="Arial"/>
        </w:rPr>
      </w:pPr>
    </w:p>
    <w:p w14:paraId="4FF3000B" w14:textId="77777777" w:rsidR="0021298F" w:rsidRPr="007530AD" w:rsidRDefault="0021298F" w:rsidP="0021298F">
      <w:pPr>
        <w:pStyle w:val="Heading2"/>
        <w:keepNext w:val="0"/>
        <w:keepLines w:val="0"/>
        <w:spacing w:before="0" w:line="240" w:lineRule="auto"/>
        <w:jc w:val="both"/>
        <w:rPr>
          <w:rFonts w:ascii="Arial" w:hAnsi="Arial" w:cs="Arial"/>
          <w:color w:val="auto"/>
          <w:sz w:val="24"/>
          <w:szCs w:val="22"/>
          <w:lang w:eastAsia="en-GB"/>
        </w:rPr>
      </w:pPr>
      <w:r w:rsidRPr="00F961B6">
        <w:rPr>
          <w:rFonts w:ascii="Arial" w:eastAsiaTheme="minorHAnsi" w:hAnsi="Arial" w:cs="Arial"/>
          <w:color w:val="auto"/>
          <w:sz w:val="24"/>
          <w:lang w:eastAsia="en-GB"/>
        </w:rPr>
        <w:t>2.</w:t>
      </w:r>
      <w:r w:rsidRPr="00F961B6">
        <w:rPr>
          <w:rFonts w:ascii="Arial" w:eastAsia="Times New Roman" w:hAnsi="Arial" w:cs="Arial"/>
          <w:color w:val="auto"/>
        </w:rPr>
        <w:t xml:space="preserve"> </w:t>
      </w:r>
      <w:r w:rsidRPr="00D16836">
        <w:rPr>
          <w:rFonts w:ascii="Arial" w:hAnsi="Arial" w:cs="Arial"/>
          <w:color w:val="auto"/>
          <w:sz w:val="24"/>
          <w:szCs w:val="22"/>
          <w:lang w:eastAsia="en-GB"/>
        </w:rPr>
        <w:t>C</w:t>
      </w:r>
      <w:r w:rsidRPr="007530AD">
        <w:rPr>
          <w:rFonts w:ascii="Arial" w:hAnsi="Arial" w:cs="Arial"/>
          <w:color w:val="auto"/>
          <w:sz w:val="24"/>
          <w:szCs w:val="22"/>
          <w:lang w:eastAsia="en-GB"/>
        </w:rPr>
        <w:t>ritical accounting judgements, estimates and assumptions</w:t>
      </w:r>
    </w:p>
    <w:p w14:paraId="38558E72" w14:textId="77777777" w:rsidR="0021298F" w:rsidRPr="007530AD" w:rsidRDefault="0021298F" w:rsidP="0021298F">
      <w:pPr>
        <w:jc w:val="both"/>
        <w:rPr>
          <w:rFonts w:ascii="Arial" w:eastAsia="Times New Roman" w:hAnsi="Arial" w:cs="Arial"/>
        </w:rPr>
      </w:pPr>
    </w:p>
    <w:p w14:paraId="45468D32" w14:textId="77777777" w:rsidR="0021298F" w:rsidRPr="00151A64" w:rsidRDefault="0021298F" w:rsidP="0021298F">
      <w:pPr>
        <w:jc w:val="both"/>
        <w:rPr>
          <w:rFonts w:ascii="Arial" w:eastAsia="Times New Roman" w:hAnsi="Arial" w:cs="Arial"/>
        </w:rPr>
      </w:pPr>
      <w:r w:rsidRPr="007530AD">
        <w:rPr>
          <w:rFonts w:ascii="Arial" w:eastAsia="Times New Roman" w:hAnsi="Arial" w:cs="Arial"/>
        </w:rPr>
        <w:t xml:space="preserve">The preparation of the ﬁnancial statements requires the application of estimates and assumptions which may affect the results reported in the ﬁnancial statements. Estimates, by their nature, are based </w:t>
      </w:r>
      <w:r w:rsidRPr="001B78B5">
        <w:rPr>
          <w:rFonts w:ascii="Arial" w:eastAsia="Times New Roman" w:hAnsi="Arial" w:cs="Arial"/>
        </w:rPr>
        <w:t>on judgement and available information.</w:t>
      </w:r>
    </w:p>
    <w:p w14:paraId="3EA39294" w14:textId="77777777" w:rsidR="0021298F" w:rsidRDefault="0021298F" w:rsidP="0021298F">
      <w:pPr>
        <w:jc w:val="both"/>
        <w:rPr>
          <w:rFonts w:ascii="Arial" w:eastAsia="Times New Roman" w:hAnsi="Arial" w:cs="Arial"/>
        </w:rPr>
      </w:pPr>
    </w:p>
    <w:p w14:paraId="243B0252" w14:textId="77777777" w:rsidR="0021298F" w:rsidRPr="00992D4D" w:rsidRDefault="0021298F" w:rsidP="0021298F">
      <w:pPr>
        <w:jc w:val="both"/>
        <w:rPr>
          <w:rFonts w:ascii="Arial" w:eastAsia="Times New Roman" w:hAnsi="Arial" w:cs="Arial"/>
          <w:b/>
          <w:i/>
        </w:rPr>
      </w:pPr>
      <w:r>
        <w:rPr>
          <w:rFonts w:ascii="Arial" w:eastAsia="Times New Roman" w:hAnsi="Arial" w:cs="Arial"/>
          <w:b/>
        </w:rPr>
        <w:t>Classification of an investment entity</w:t>
      </w:r>
    </w:p>
    <w:p w14:paraId="06D4D35E" w14:textId="77777777" w:rsidR="0021298F" w:rsidRDefault="0021298F" w:rsidP="0021298F">
      <w:pPr>
        <w:jc w:val="both"/>
        <w:rPr>
          <w:rFonts w:ascii="Arial" w:eastAsia="Times New Roman" w:hAnsi="Arial" w:cs="Arial"/>
        </w:rPr>
      </w:pPr>
      <w:r w:rsidRPr="00461284">
        <w:rPr>
          <w:rFonts w:ascii="Arial" w:eastAsia="Times New Roman" w:hAnsi="Arial" w:cs="Arial"/>
        </w:rPr>
        <w:t>One area of judgement relates to the Company’s classiﬁcation as an investment entity as deﬁned in IFRS 10, IFRS 12 and IAS 27.</w:t>
      </w:r>
      <w:r>
        <w:rPr>
          <w:rFonts w:ascii="Arial" w:eastAsia="Times New Roman" w:hAnsi="Arial" w:cs="Arial"/>
        </w:rPr>
        <w:t xml:space="preserve"> </w:t>
      </w:r>
      <w:r w:rsidRPr="00732456">
        <w:rPr>
          <w:rFonts w:ascii="Arial" w:eastAsia="Times New Roman" w:hAnsi="Arial" w:cs="Arial"/>
        </w:rPr>
        <w:t>This conclusion involved a degree of judgement and assessment as to whether the Company met the criteria outlined in the accounting standards.</w:t>
      </w:r>
      <w:r w:rsidRPr="00461284">
        <w:rPr>
          <w:rFonts w:ascii="Arial" w:eastAsia="Times New Roman" w:hAnsi="Arial" w:cs="Arial"/>
        </w:rPr>
        <w:t xml:space="preserve"> IFRS 10 requires that a Company has to fulﬁl </w:t>
      </w:r>
      <w:r>
        <w:rPr>
          <w:rFonts w:ascii="Arial" w:eastAsia="Times New Roman" w:hAnsi="Arial" w:cs="Arial"/>
        </w:rPr>
        <w:t>3</w:t>
      </w:r>
      <w:r w:rsidRPr="00461284">
        <w:rPr>
          <w:rFonts w:ascii="Arial" w:eastAsia="Times New Roman" w:hAnsi="Arial" w:cs="Arial"/>
        </w:rPr>
        <w:t xml:space="preserve"> criteria to be an investment entity:</w:t>
      </w:r>
    </w:p>
    <w:p w14:paraId="2DBD6CE1" w14:textId="77777777" w:rsidR="0021298F" w:rsidRDefault="0021298F" w:rsidP="0021298F">
      <w:pPr>
        <w:jc w:val="both"/>
        <w:rPr>
          <w:rFonts w:ascii="Arial" w:eastAsia="Times New Roman" w:hAnsi="Arial" w:cs="Arial"/>
        </w:rPr>
      </w:pPr>
    </w:p>
    <w:p w14:paraId="5706C243" w14:textId="77777777" w:rsidR="0021298F" w:rsidRDefault="0021298F" w:rsidP="0021298F">
      <w:pPr>
        <w:pStyle w:val="ListParagraph"/>
        <w:numPr>
          <w:ilvl w:val="0"/>
          <w:numId w:val="28"/>
        </w:numPr>
        <w:jc w:val="both"/>
        <w:rPr>
          <w:rFonts w:ascii="Arial" w:eastAsia="Times New Roman" w:hAnsi="Arial" w:cs="Arial"/>
          <w:szCs w:val="22"/>
        </w:rPr>
      </w:pPr>
      <w:r>
        <w:rPr>
          <w:rFonts w:ascii="Arial" w:eastAsia="Times New Roman" w:hAnsi="Arial" w:cs="Arial"/>
          <w:szCs w:val="22"/>
        </w:rPr>
        <w:t>O</w:t>
      </w:r>
      <w:r w:rsidRPr="00D1198F">
        <w:rPr>
          <w:rFonts w:ascii="Arial" w:eastAsia="Times New Roman" w:hAnsi="Arial" w:cs="Arial"/>
          <w:szCs w:val="22"/>
        </w:rPr>
        <w:t>btains funds from one or more investors for the purpose of providing those investor(s) with investment management services;</w:t>
      </w:r>
    </w:p>
    <w:p w14:paraId="39576BF7" w14:textId="77777777" w:rsidR="0021298F" w:rsidRPr="008B3788" w:rsidRDefault="0021298F" w:rsidP="0021298F">
      <w:pPr>
        <w:pStyle w:val="ListParagraph"/>
        <w:numPr>
          <w:ilvl w:val="0"/>
          <w:numId w:val="28"/>
        </w:numPr>
        <w:jc w:val="both"/>
        <w:rPr>
          <w:rFonts w:ascii="Arial" w:eastAsia="Times New Roman" w:hAnsi="Arial" w:cs="Arial"/>
          <w:szCs w:val="22"/>
        </w:rPr>
      </w:pPr>
      <w:r>
        <w:rPr>
          <w:rFonts w:ascii="Arial" w:eastAsia="Times New Roman" w:hAnsi="Arial" w:cs="Arial"/>
          <w:szCs w:val="22"/>
        </w:rPr>
        <w:t>C</w:t>
      </w:r>
      <w:r w:rsidRPr="008B3788">
        <w:rPr>
          <w:rFonts w:ascii="Arial" w:eastAsia="Times New Roman" w:hAnsi="Arial" w:cs="Arial"/>
          <w:szCs w:val="22"/>
        </w:rPr>
        <w:t>ommits to its investor(s) that its business purpose is to invest funds solely for returns from capital appreciation, investment income, or both; and</w:t>
      </w:r>
    </w:p>
    <w:p w14:paraId="69D5C496" w14:textId="77777777" w:rsidR="0021298F" w:rsidRPr="009E4AB3" w:rsidRDefault="0021298F" w:rsidP="0021298F">
      <w:pPr>
        <w:pStyle w:val="ListParagraph"/>
        <w:numPr>
          <w:ilvl w:val="0"/>
          <w:numId w:val="28"/>
        </w:numPr>
        <w:jc w:val="both"/>
        <w:rPr>
          <w:rFonts w:ascii="Arial" w:eastAsia="Times New Roman" w:hAnsi="Arial" w:cs="Arial"/>
        </w:rPr>
      </w:pPr>
      <w:r w:rsidRPr="00F266D8">
        <w:rPr>
          <w:rFonts w:ascii="Arial" w:eastAsia="Times New Roman" w:hAnsi="Arial" w:cs="Arial"/>
        </w:rPr>
        <w:t xml:space="preserve">Measures and evaluates the performance of substantially all of its investments on a fair value basis. </w:t>
      </w:r>
    </w:p>
    <w:p w14:paraId="48E390DF" w14:textId="77777777" w:rsidR="0021298F" w:rsidRDefault="0021298F" w:rsidP="0021298F">
      <w:pPr>
        <w:jc w:val="both"/>
        <w:rPr>
          <w:rFonts w:ascii="Arial" w:hAnsi="Arial" w:cs="Arial"/>
        </w:rPr>
      </w:pPr>
    </w:p>
    <w:p w14:paraId="5D39A7CE" w14:textId="77777777" w:rsidR="0021298F" w:rsidRDefault="0021298F" w:rsidP="0021298F">
      <w:pPr>
        <w:jc w:val="both"/>
        <w:rPr>
          <w:rFonts w:ascii="Arial" w:eastAsia="Times New Roman" w:hAnsi="Arial" w:cs="Arial"/>
        </w:rPr>
      </w:pPr>
      <w:r w:rsidRPr="001B78B5">
        <w:rPr>
          <w:rFonts w:ascii="Arial" w:hAnsi="Arial" w:cs="Arial"/>
        </w:rPr>
        <w:lastRenderedPageBreak/>
        <w:t>IFR</w:t>
      </w:r>
      <w:r w:rsidRPr="001B78B5">
        <w:rPr>
          <w:rFonts w:ascii="Arial" w:eastAsia="Times New Roman" w:hAnsi="Arial" w:cs="Arial"/>
        </w:rPr>
        <w:t xml:space="preserve">S 10 also determines that an investment entity would have the following typical characteristics: </w:t>
      </w:r>
    </w:p>
    <w:p w14:paraId="07E78027" w14:textId="77777777" w:rsidR="0021298F" w:rsidRPr="001B78B5" w:rsidRDefault="0021298F" w:rsidP="0021298F">
      <w:pPr>
        <w:jc w:val="both"/>
        <w:rPr>
          <w:rFonts w:ascii="Arial" w:eastAsia="Times New Roman" w:hAnsi="Arial" w:cs="Arial"/>
        </w:rPr>
      </w:pPr>
    </w:p>
    <w:p w14:paraId="572C0460" w14:textId="77777777" w:rsidR="0021298F" w:rsidRPr="001B78B5" w:rsidRDefault="0021298F" w:rsidP="0021298F">
      <w:pPr>
        <w:pStyle w:val="ListParagraph"/>
        <w:numPr>
          <w:ilvl w:val="0"/>
          <w:numId w:val="29"/>
        </w:numPr>
        <w:jc w:val="both"/>
        <w:rPr>
          <w:rFonts w:ascii="Arial" w:eastAsia="Times New Roman" w:hAnsi="Arial" w:cs="Arial"/>
        </w:rPr>
      </w:pPr>
      <w:r>
        <w:rPr>
          <w:rFonts w:ascii="Arial" w:eastAsia="Times New Roman" w:hAnsi="Arial" w:cs="Arial"/>
        </w:rPr>
        <w:t>I</w:t>
      </w:r>
      <w:r w:rsidRPr="00461284">
        <w:rPr>
          <w:rFonts w:ascii="Arial" w:eastAsia="Times New Roman" w:hAnsi="Arial" w:cs="Arial"/>
        </w:rPr>
        <w:t>t has more than one investment;</w:t>
      </w:r>
      <w:r w:rsidRPr="001226F4">
        <w:rPr>
          <w:rFonts w:ascii="Arial" w:hAnsi="Arial" w:cs="Arial"/>
          <w:b/>
          <w:sz w:val="26"/>
          <w:szCs w:val="26"/>
        </w:rPr>
        <w:t xml:space="preserve"> </w:t>
      </w:r>
    </w:p>
    <w:p w14:paraId="4EB0B728" w14:textId="77777777" w:rsidR="0021298F" w:rsidRDefault="0021298F" w:rsidP="0021298F">
      <w:pPr>
        <w:pStyle w:val="ListParagraph"/>
        <w:numPr>
          <w:ilvl w:val="0"/>
          <w:numId w:val="29"/>
        </w:numPr>
        <w:jc w:val="both"/>
        <w:rPr>
          <w:rFonts w:ascii="Arial" w:eastAsia="Times New Roman" w:hAnsi="Arial" w:cs="Arial"/>
        </w:rPr>
      </w:pPr>
      <w:r>
        <w:rPr>
          <w:rFonts w:ascii="Arial" w:eastAsia="Times New Roman" w:hAnsi="Arial" w:cs="Arial"/>
        </w:rPr>
        <w:t>I</w:t>
      </w:r>
      <w:r w:rsidRPr="00461284">
        <w:rPr>
          <w:rFonts w:ascii="Arial" w:eastAsia="Times New Roman" w:hAnsi="Arial" w:cs="Arial"/>
        </w:rPr>
        <w:t>t has more than one investor;</w:t>
      </w:r>
    </w:p>
    <w:p w14:paraId="6C6F6307" w14:textId="77777777" w:rsidR="0021298F" w:rsidRDefault="0021298F" w:rsidP="0021298F">
      <w:pPr>
        <w:pStyle w:val="ListParagraph"/>
        <w:numPr>
          <w:ilvl w:val="0"/>
          <w:numId w:val="29"/>
        </w:numPr>
        <w:jc w:val="both"/>
        <w:rPr>
          <w:rFonts w:ascii="Arial" w:eastAsia="Times New Roman" w:hAnsi="Arial" w:cs="Arial"/>
        </w:rPr>
      </w:pPr>
      <w:r>
        <w:rPr>
          <w:rFonts w:ascii="Arial" w:eastAsia="Times New Roman" w:hAnsi="Arial" w:cs="Arial"/>
        </w:rPr>
        <w:t>I</w:t>
      </w:r>
      <w:r w:rsidRPr="00461284">
        <w:rPr>
          <w:rFonts w:ascii="Arial" w:eastAsia="Times New Roman" w:hAnsi="Arial" w:cs="Arial"/>
        </w:rPr>
        <w:t>t has investors that are not related parties; and</w:t>
      </w:r>
    </w:p>
    <w:p w14:paraId="0836FA28" w14:textId="77777777" w:rsidR="0021298F" w:rsidRDefault="0021298F" w:rsidP="0021298F">
      <w:pPr>
        <w:pStyle w:val="ListParagraph"/>
        <w:numPr>
          <w:ilvl w:val="0"/>
          <w:numId w:val="29"/>
        </w:numPr>
        <w:jc w:val="both"/>
        <w:rPr>
          <w:rFonts w:ascii="Arial" w:eastAsia="Times New Roman" w:hAnsi="Arial" w:cs="Arial"/>
        </w:rPr>
      </w:pPr>
      <w:r>
        <w:rPr>
          <w:rFonts w:ascii="Arial" w:eastAsia="Times New Roman" w:hAnsi="Arial" w:cs="Arial"/>
        </w:rPr>
        <w:t>I</w:t>
      </w:r>
      <w:r w:rsidRPr="00461284">
        <w:rPr>
          <w:rFonts w:ascii="Arial" w:eastAsia="Times New Roman" w:hAnsi="Arial" w:cs="Arial"/>
        </w:rPr>
        <w:t>t has ownership interest in the form of equity or similar interests.</w:t>
      </w:r>
    </w:p>
    <w:p w14:paraId="402798B0" w14:textId="77777777" w:rsidR="0021298F" w:rsidRDefault="0021298F" w:rsidP="0021298F">
      <w:pPr>
        <w:jc w:val="both"/>
        <w:rPr>
          <w:rFonts w:ascii="Arial" w:eastAsia="Times New Roman" w:hAnsi="Arial" w:cs="Arial"/>
        </w:rPr>
      </w:pPr>
    </w:p>
    <w:p w14:paraId="4A196EB4" w14:textId="77777777" w:rsidR="0021298F" w:rsidRDefault="0021298F" w:rsidP="0021298F">
      <w:pPr>
        <w:jc w:val="both"/>
        <w:rPr>
          <w:rFonts w:ascii="Arial" w:eastAsia="Times New Roman" w:hAnsi="Arial" w:cs="Arial"/>
        </w:rPr>
      </w:pPr>
      <w:r w:rsidRPr="00461284">
        <w:rPr>
          <w:rFonts w:ascii="Arial" w:eastAsia="Times New Roman" w:hAnsi="Arial" w:cs="Arial"/>
        </w:rPr>
        <w:t>An entity that does not display all of the above characteristics could, nevertheless, meet the deﬁnition of an investment entity.</w:t>
      </w:r>
      <w:r>
        <w:rPr>
          <w:rFonts w:ascii="Arial" w:eastAsia="Times New Roman" w:hAnsi="Arial" w:cs="Arial"/>
        </w:rPr>
        <w:t xml:space="preserve"> </w:t>
      </w:r>
      <w:r w:rsidRPr="00732456">
        <w:rPr>
          <w:rFonts w:ascii="Arial" w:eastAsia="Times New Roman" w:hAnsi="Arial" w:cs="Arial"/>
        </w:rPr>
        <w:t>The estimates and assumptions that have a significant risk of causing a material adjustment to the carrying value of assets and liabilities are those used to determine the fair value of the investments as disclosed in note 9 to the financial statements.</w:t>
      </w:r>
    </w:p>
    <w:p w14:paraId="4CB8D644" w14:textId="77777777" w:rsidR="0021298F" w:rsidRDefault="0021298F" w:rsidP="0021298F">
      <w:pPr>
        <w:jc w:val="both"/>
        <w:rPr>
          <w:rFonts w:ascii="Arial" w:eastAsia="Times New Roman" w:hAnsi="Arial" w:cs="Arial"/>
        </w:rPr>
      </w:pPr>
    </w:p>
    <w:p w14:paraId="6A00D79A" w14:textId="77777777" w:rsidR="0021298F" w:rsidRDefault="0021298F" w:rsidP="0021298F">
      <w:pPr>
        <w:jc w:val="both"/>
        <w:rPr>
          <w:rFonts w:ascii="Arial" w:eastAsia="Times New Roman" w:hAnsi="Arial" w:cs="Arial"/>
        </w:rPr>
      </w:pPr>
      <w:r w:rsidRPr="001B78B5">
        <w:rPr>
          <w:rFonts w:ascii="Arial" w:eastAsia="Times New Roman" w:hAnsi="Arial" w:cs="Arial"/>
        </w:rPr>
        <w:t>The Directors have concluded that the Company meets the deﬁnition of an investment entity</w:t>
      </w:r>
      <w:r>
        <w:rPr>
          <w:rFonts w:ascii="Arial" w:eastAsia="Times New Roman" w:hAnsi="Arial" w:cs="Arial"/>
        </w:rPr>
        <w:t>.</w:t>
      </w:r>
    </w:p>
    <w:p w14:paraId="3D5C142D" w14:textId="77777777" w:rsidR="0021298F" w:rsidRDefault="0021298F" w:rsidP="0021298F">
      <w:pPr>
        <w:jc w:val="both"/>
        <w:rPr>
          <w:rFonts w:ascii="Arial" w:eastAsia="Times New Roman" w:hAnsi="Arial" w:cs="Arial"/>
          <w:b/>
        </w:rPr>
      </w:pPr>
    </w:p>
    <w:p w14:paraId="107EC509" w14:textId="77777777" w:rsidR="0021298F" w:rsidRPr="00992D4D" w:rsidRDefault="0021298F" w:rsidP="0021298F">
      <w:pPr>
        <w:jc w:val="both"/>
        <w:rPr>
          <w:rFonts w:ascii="Arial" w:eastAsia="Times New Roman" w:hAnsi="Arial" w:cs="Arial"/>
          <w:b/>
        </w:rPr>
      </w:pPr>
      <w:r>
        <w:rPr>
          <w:rFonts w:ascii="Arial" w:eastAsia="Times New Roman" w:hAnsi="Arial" w:cs="Arial"/>
          <w:b/>
        </w:rPr>
        <w:t>Fair value of investments</w:t>
      </w:r>
    </w:p>
    <w:p w14:paraId="6A59B712" w14:textId="77777777" w:rsidR="0021298F" w:rsidRDefault="0021298F" w:rsidP="0021298F">
      <w:pPr>
        <w:jc w:val="both"/>
        <w:rPr>
          <w:rFonts w:ascii="Arial" w:eastAsia="Times New Roman" w:hAnsi="Arial" w:cs="Arial"/>
        </w:rPr>
      </w:pPr>
      <w:r w:rsidRPr="001B78B5">
        <w:rPr>
          <w:rFonts w:ascii="Arial" w:eastAsia="Times New Roman" w:hAnsi="Arial" w:cs="Arial"/>
        </w:rPr>
        <w:t xml:space="preserve">The key assumptions that have a signiﬁcant impact on the carrying value of investments that are valued by reference to the discounted value of future cash ﬂows are the useful life of the assets, the discount </w:t>
      </w:r>
      <w:r>
        <w:rPr>
          <w:rFonts w:ascii="Arial" w:eastAsia="Times New Roman" w:hAnsi="Arial" w:cs="Arial"/>
        </w:rPr>
        <w:t>rate</w:t>
      </w:r>
      <w:r w:rsidRPr="001B78B5">
        <w:rPr>
          <w:rFonts w:ascii="Arial" w:eastAsia="Times New Roman" w:hAnsi="Arial" w:cs="Arial"/>
        </w:rPr>
        <w:t xml:space="preserve">s, the level of wind resource, the rate of inﬂation, the price at which the power and associated beneﬁts can be sold and the amount of electricity the assets are expected to produce. A sensitivity analysis of these assumptions is included in note </w:t>
      </w:r>
      <w:r>
        <w:rPr>
          <w:rFonts w:ascii="Arial" w:eastAsia="Times New Roman" w:hAnsi="Arial" w:cs="Arial"/>
        </w:rPr>
        <w:t>9.</w:t>
      </w:r>
    </w:p>
    <w:p w14:paraId="0ED10E5A" w14:textId="77777777" w:rsidR="0021298F" w:rsidRDefault="0021298F" w:rsidP="0021298F">
      <w:pPr>
        <w:jc w:val="both"/>
        <w:rPr>
          <w:rFonts w:ascii="Arial" w:eastAsia="Times New Roman" w:hAnsi="Arial" w:cs="Arial"/>
        </w:rPr>
      </w:pPr>
    </w:p>
    <w:p w14:paraId="052039E3" w14:textId="77777777" w:rsidR="0021298F" w:rsidRPr="001B78B5" w:rsidRDefault="0021298F" w:rsidP="0021298F">
      <w:pPr>
        <w:jc w:val="both"/>
        <w:rPr>
          <w:rFonts w:ascii="Arial" w:eastAsia="Times New Roman" w:hAnsi="Arial" w:cs="Arial"/>
        </w:rPr>
      </w:pPr>
      <w:r w:rsidRPr="001B78B5">
        <w:rPr>
          <w:rFonts w:ascii="Arial" w:eastAsia="Times New Roman" w:hAnsi="Arial" w:cs="Arial"/>
        </w:rPr>
        <w:t xml:space="preserve">Useful lives are based on the Investment Manager’s estimates of the period over which the assets will generate revenue which are periodically reviewed for continued appropriateness. The standard assumption used for the useful life of a wind farm is </w:t>
      </w:r>
      <w:r>
        <w:rPr>
          <w:rFonts w:ascii="Arial" w:eastAsia="Times New Roman" w:hAnsi="Arial" w:cs="Arial"/>
        </w:rPr>
        <w:t>30</w:t>
      </w:r>
      <w:r w:rsidRPr="001B78B5">
        <w:rPr>
          <w:rFonts w:ascii="Arial" w:eastAsia="Times New Roman" w:hAnsi="Arial" w:cs="Arial"/>
        </w:rPr>
        <w:t xml:space="preserve"> years</w:t>
      </w:r>
      <w:r>
        <w:rPr>
          <w:rFonts w:ascii="Arial" w:eastAsia="Times New Roman" w:hAnsi="Arial" w:cs="Arial"/>
        </w:rPr>
        <w:t>, which is commonly used by similar investment companies that invest in operating wind farms. Other factors for consideration are the lengths of site leases and planning permission of the wind farms, which the Investment Manager monitors closely. The weighted average lease length across the portfolio is 30 years with many leases having options to extend and planning permission across the portfolio is between 20 and 25 years from commissioning. The Investment Manager fully expects to be able to renew leases and planning.</w:t>
      </w:r>
    </w:p>
    <w:p w14:paraId="40596CDE" w14:textId="77777777" w:rsidR="0021298F" w:rsidRPr="001B78B5" w:rsidRDefault="0021298F" w:rsidP="0021298F">
      <w:pPr>
        <w:jc w:val="both"/>
        <w:rPr>
          <w:rFonts w:ascii="Arial" w:eastAsia="Times New Roman" w:hAnsi="Arial" w:cs="Arial"/>
        </w:rPr>
      </w:pPr>
    </w:p>
    <w:p w14:paraId="41B24B5A" w14:textId="77777777" w:rsidR="0021298F" w:rsidRPr="001B78B5" w:rsidRDefault="0021298F" w:rsidP="0021298F">
      <w:pPr>
        <w:jc w:val="both"/>
        <w:rPr>
          <w:rFonts w:ascii="Arial" w:eastAsia="Times New Roman" w:hAnsi="Arial" w:cs="Arial"/>
        </w:rPr>
      </w:pPr>
      <w:r w:rsidRPr="001B78B5">
        <w:rPr>
          <w:rFonts w:ascii="Arial" w:eastAsia="Times New Roman" w:hAnsi="Arial" w:cs="Arial"/>
        </w:rPr>
        <w:t xml:space="preserve">The discount </w:t>
      </w:r>
      <w:r>
        <w:rPr>
          <w:rFonts w:ascii="Arial" w:eastAsia="Times New Roman" w:hAnsi="Arial" w:cs="Arial"/>
        </w:rPr>
        <w:t>rates</w:t>
      </w:r>
      <w:r w:rsidRPr="001B78B5">
        <w:rPr>
          <w:rFonts w:ascii="Arial" w:eastAsia="Times New Roman" w:hAnsi="Arial" w:cs="Arial"/>
        </w:rPr>
        <w:t xml:space="preserve"> are subjective and therefore it is feasible that a reasonable alternative assumption may be used resulting in a different value. The discount </w:t>
      </w:r>
      <w:r>
        <w:rPr>
          <w:rFonts w:ascii="Arial" w:eastAsia="Times New Roman" w:hAnsi="Arial" w:cs="Arial"/>
        </w:rPr>
        <w:t>rates</w:t>
      </w:r>
      <w:r w:rsidRPr="001B78B5">
        <w:rPr>
          <w:rFonts w:ascii="Arial" w:eastAsia="Times New Roman" w:hAnsi="Arial" w:cs="Arial"/>
        </w:rPr>
        <w:t xml:space="preserve"> applied to the cash ﬂows are reviewed annually by the Investment Manager to ensure they are at the appropriate level. The Investment Manager will take into consideration market transactions, where of similar nature, when considering changes to the discount </w:t>
      </w:r>
      <w:r>
        <w:rPr>
          <w:rFonts w:ascii="Arial" w:eastAsia="Times New Roman" w:hAnsi="Arial" w:cs="Arial"/>
        </w:rPr>
        <w:t>rates</w:t>
      </w:r>
      <w:r w:rsidRPr="001B78B5">
        <w:rPr>
          <w:rFonts w:ascii="Arial" w:eastAsia="Times New Roman" w:hAnsi="Arial" w:cs="Arial"/>
        </w:rPr>
        <w:t xml:space="preserve"> used.</w:t>
      </w:r>
    </w:p>
    <w:p w14:paraId="70019934" w14:textId="77777777" w:rsidR="0021298F" w:rsidRPr="001B78B5" w:rsidRDefault="0021298F" w:rsidP="0021298F">
      <w:pPr>
        <w:jc w:val="both"/>
        <w:rPr>
          <w:rFonts w:ascii="Arial" w:eastAsia="Times New Roman" w:hAnsi="Arial" w:cs="Arial"/>
        </w:rPr>
      </w:pPr>
    </w:p>
    <w:p w14:paraId="085F541C" w14:textId="77777777" w:rsidR="0021298F" w:rsidRDefault="0021298F" w:rsidP="0021298F">
      <w:pPr>
        <w:jc w:val="both"/>
        <w:rPr>
          <w:rFonts w:ascii="Arial" w:eastAsia="Times New Roman" w:hAnsi="Arial" w:cs="Arial"/>
        </w:rPr>
      </w:pPr>
      <w:r w:rsidRPr="001B78B5">
        <w:rPr>
          <w:rFonts w:ascii="Arial" w:eastAsia="Times New Roman" w:hAnsi="Arial" w:cs="Arial"/>
        </w:rPr>
        <w:t>The revenues and expenditure of the investee companies are frequently</w:t>
      </w:r>
      <w:r>
        <w:rPr>
          <w:rFonts w:ascii="Arial" w:eastAsia="Times New Roman" w:hAnsi="Arial" w:cs="Arial"/>
        </w:rPr>
        <w:t xml:space="preserve">, </w:t>
      </w:r>
      <w:r w:rsidRPr="001B78B5">
        <w:rPr>
          <w:rFonts w:ascii="Arial" w:eastAsia="Times New Roman" w:hAnsi="Arial" w:cs="Arial"/>
        </w:rPr>
        <w:t xml:space="preserve">partly or wholly subject to indexation and an assumption </w:t>
      </w:r>
      <w:r>
        <w:rPr>
          <w:rFonts w:ascii="Arial" w:eastAsia="Times New Roman" w:hAnsi="Arial" w:cs="Arial"/>
        </w:rPr>
        <w:t>is</w:t>
      </w:r>
      <w:r w:rsidRPr="001B78B5">
        <w:rPr>
          <w:rFonts w:ascii="Arial" w:eastAsia="Times New Roman" w:hAnsi="Arial" w:cs="Arial"/>
        </w:rPr>
        <w:t xml:space="preserve"> made that i</w:t>
      </w:r>
      <w:r>
        <w:rPr>
          <w:rFonts w:ascii="Arial" w:eastAsia="Times New Roman" w:hAnsi="Arial" w:cs="Arial"/>
        </w:rPr>
        <w:t>nﬂation will increase at a long-</w:t>
      </w:r>
      <w:r w:rsidRPr="001B78B5">
        <w:rPr>
          <w:rFonts w:ascii="Arial" w:eastAsia="Times New Roman" w:hAnsi="Arial" w:cs="Arial"/>
        </w:rPr>
        <w:t>term rate.</w:t>
      </w:r>
    </w:p>
    <w:p w14:paraId="4C2A5F28" w14:textId="77777777" w:rsidR="0021298F" w:rsidRDefault="0021298F" w:rsidP="0021298F">
      <w:pPr>
        <w:jc w:val="both"/>
        <w:rPr>
          <w:rFonts w:ascii="Arial" w:eastAsia="Times New Roman" w:hAnsi="Arial" w:cs="Arial"/>
        </w:rPr>
      </w:pPr>
    </w:p>
    <w:p w14:paraId="10916916" w14:textId="77777777" w:rsidR="0021298F" w:rsidRDefault="0021298F" w:rsidP="0021298F">
      <w:pPr>
        <w:jc w:val="both"/>
        <w:rPr>
          <w:rFonts w:ascii="Arial" w:hAnsi="Arial" w:cs="Arial"/>
          <w:b/>
          <w:sz w:val="26"/>
          <w:szCs w:val="26"/>
        </w:rPr>
      </w:pPr>
      <w:r w:rsidRPr="001B78B5">
        <w:rPr>
          <w:rFonts w:ascii="Arial" w:eastAsia="Times New Roman" w:hAnsi="Arial" w:cs="Arial"/>
        </w:rPr>
        <w:t>The price at which the output from the</w:t>
      </w:r>
      <w:r>
        <w:rPr>
          <w:rFonts w:ascii="Arial" w:eastAsia="Times New Roman" w:hAnsi="Arial" w:cs="Arial"/>
        </w:rPr>
        <w:t xml:space="preserve"> revenue</w:t>
      </w:r>
      <w:r w:rsidRPr="001B78B5">
        <w:rPr>
          <w:rFonts w:ascii="Arial" w:eastAsia="Times New Roman" w:hAnsi="Arial" w:cs="Arial"/>
        </w:rPr>
        <w:t xml:space="preserve"> generating assets is sold is a factor of both wholesale electricity prices and the revenue received </w:t>
      </w:r>
      <w:r>
        <w:rPr>
          <w:rFonts w:ascii="Arial" w:eastAsia="Times New Roman" w:hAnsi="Arial" w:cs="Arial"/>
        </w:rPr>
        <w:t>under</w:t>
      </w:r>
      <w:r w:rsidRPr="001B78B5">
        <w:rPr>
          <w:rFonts w:ascii="Arial" w:eastAsia="Times New Roman" w:hAnsi="Arial" w:cs="Arial"/>
        </w:rPr>
        <w:t xml:space="preserve"> </w:t>
      </w:r>
      <w:r>
        <w:rPr>
          <w:rFonts w:ascii="Arial" w:eastAsia="Times New Roman" w:hAnsi="Arial" w:cs="Arial"/>
        </w:rPr>
        <w:t>Irish and French</w:t>
      </w:r>
      <w:r w:rsidRPr="001B78B5">
        <w:rPr>
          <w:rFonts w:ascii="Arial" w:eastAsia="Times New Roman" w:hAnsi="Arial" w:cs="Arial"/>
        </w:rPr>
        <w:t xml:space="preserve"> </w:t>
      </w:r>
      <w:r>
        <w:rPr>
          <w:rFonts w:ascii="Arial" w:eastAsia="Times New Roman" w:hAnsi="Arial" w:cs="Arial"/>
        </w:rPr>
        <w:t>g</w:t>
      </w:r>
      <w:r w:rsidRPr="001B78B5">
        <w:rPr>
          <w:rFonts w:ascii="Arial" w:eastAsia="Times New Roman" w:hAnsi="Arial" w:cs="Arial"/>
        </w:rPr>
        <w:t>overnment support regime</w:t>
      </w:r>
      <w:r>
        <w:rPr>
          <w:rFonts w:ascii="Arial" w:eastAsia="Times New Roman" w:hAnsi="Arial" w:cs="Arial"/>
        </w:rPr>
        <w:t>s</w:t>
      </w:r>
      <w:r w:rsidRPr="001B78B5">
        <w:rPr>
          <w:rFonts w:ascii="Arial" w:eastAsia="Times New Roman" w:hAnsi="Arial" w:cs="Arial"/>
        </w:rPr>
        <w:t xml:space="preserve">. Future power prices are estimated using external third </w:t>
      </w:r>
      <w:r w:rsidRPr="001B78B5">
        <w:rPr>
          <w:rFonts w:ascii="Arial" w:eastAsia="Times New Roman" w:hAnsi="Arial" w:cs="Arial"/>
        </w:rPr>
        <w:lastRenderedPageBreak/>
        <w:t>party forecasts which take the form of specialist consultancy reports</w:t>
      </w:r>
      <w:r>
        <w:rPr>
          <w:rFonts w:ascii="Arial" w:eastAsia="Times New Roman" w:hAnsi="Arial" w:cs="Arial"/>
        </w:rPr>
        <w:t>, which reflect various factors including gas prices, carbon prices and renewables deployment, each of which reflect the global response to climate change</w:t>
      </w:r>
      <w:r w:rsidRPr="001B78B5">
        <w:rPr>
          <w:rFonts w:ascii="Arial" w:eastAsia="Times New Roman" w:hAnsi="Arial" w:cs="Arial"/>
        </w:rPr>
        <w:t>. The future power price assumptions are reviewed as and when these forecasts are updated. There is an inherent uncertainty in future wholesale</w:t>
      </w:r>
      <w:r>
        <w:rPr>
          <w:rFonts w:ascii="Arial" w:eastAsia="Times New Roman" w:hAnsi="Arial" w:cs="Arial"/>
        </w:rPr>
        <w:t xml:space="preserve"> </w:t>
      </w:r>
      <w:r w:rsidRPr="001B78B5">
        <w:rPr>
          <w:rFonts w:ascii="Arial" w:eastAsia="Times New Roman" w:hAnsi="Arial" w:cs="Arial"/>
        </w:rPr>
        <w:t>electricity price projection</w:t>
      </w:r>
      <w:r>
        <w:rPr>
          <w:rFonts w:ascii="Arial" w:hAnsi="Arial" w:cs="Arial"/>
          <w:b/>
          <w:sz w:val="26"/>
          <w:szCs w:val="26"/>
        </w:rPr>
        <w:t>.</w:t>
      </w:r>
    </w:p>
    <w:p w14:paraId="35792585" w14:textId="77777777" w:rsidR="0021298F" w:rsidRDefault="0021298F" w:rsidP="0021298F">
      <w:pPr>
        <w:jc w:val="both"/>
        <w:rPr>
          <w:rFonts w:ascii="Arial" w:eastAsia="Times New Roman" w:hAnsi="Arial" w:cs="Arial"/>
        </w:rPr>
      </w:pPr>
    </w:p>
    <w:p w14:paraId="03A11F76" w14:textId="77777777" w:rsidR="0021298F" w:rsidRDefault="0021298F" w:rsidP="0021298F">
      <w:pPr>
        <w:jc w:val="both"/>
        <w:rPr>
          <w:rFonts w:ascii="Arial" w:eastAsia="Times New Roman" w:hAnsi="Arial" w:cs="Arial"/>
        </w:rPr>
      </w:pPr>
      <w:r w:rsidRPr="001B78B5">
        <w:rPr>
          <w:rFonts w:ascii="Arial" w:eastAsia="Times New Roman" w:hAnsi="Arial" w:cs="Arial"/>
        </w:rPr>
        <w:t>Speciﬁcally commissioned external reports are used to estimate the expected electrical output from the wind farm assets taking into account the expected average wind speed at each location and generation data from historical operation. The actual electrical output may differ considerably from that estimated in such a report mainly due to the variability of actual wind to that modelled in any one period. Assumptions around electrical output will be reviewed only if there is good reason to suggest there has been a material change in this expectation</w:t>
      </w:r>
      <w:r w:rsidRPr="009879AF">
        <w:rPr>
          <w:rFonts w:ascii="Arial" w:eastAsia="Times New Roman" w:hAnsi="Arial" w:cs="Arial"/>
        </w:rPr>
        <w:t>.</w:t>
      </w:r>
    </w:p>
    <w:p w14:paraId="57409190" w14:textId="77777777" w:rsidR="0021298F" w:rsidRDefault="0021298F" w:rsidP="0021298F">
      <w:pPr>
        <w:pStyle w:val="Bullets"/>
        <w:numPr>
          <w:ilvl w:val="0"/>
          <w:numId w:val="0"/>
        </w:numPr>
        <w:ind w:left="720"/>
        <w:rPr>
          <w:rFonts w:eastAsia="Times New Roman" w:cs="Arial"/>
        </w:rPr>
      </w:pPr>
    </w:p>
    <w:p w14:paraId="631D14C8" w14:textId="77777777" w:rsidR="0021298F" w:rsidRPr="00AE62DE" w:rsidRDefault="0021298F" w:rsidP="0021298F">
      <w:pPr>
        <w:pStyle w:val="Heading2"/>
        <w:keepNext w:val="0"/>
        <w:keepLines w:val="0"/>
        <w:spacing w:before="0" w:line="240" w:lineRule="auto"/>
        <w:jc w:val="both"/>
        <w:rPr>
          <w:rFonts w:ascii="Arial" w:hAnsi="Arial" w:cs="Arial"/>
          <w:color w:val="auto"/>
          <w:sz w:val="24"/>
          <w:szCs w:val="22"/>
          <w:lang w:eastAsia="en-GB"/>
        </w:rPr>
      </w:pPr>
      <w:r>
        <w:rPr>
          <w:rFonts w:ascii="Arial" w:hAnsi="Arial" w:cs="Arial"/>
          <w:color w:val="auto"/>
          <w:sz w:val="24"/>
          <w:szCs w:val="22"/>
          <w:lang w:eastAsia="en-GB"/>
        </w:rPr>
        <w:t xml:space="preserve">3. </w:t>
      </w:r>
      <w:r w:rsidRPr="00AE62DE">
        <w:rPr>
          <w:rFonts w:ascii="Arial" w:hAnsi="Arial" w:cs="Arial"/>
          <w:color w:val="auto"/>
          <w:sz w:val="24"/>
          <w:szCs w:val="22"/>
          <w:lang w:eastAsia="en-GB"/>
        </w:rPr>
        <w:t xml:space="preserve">Investment </w:t>
      </w:r>
      <w:r>
        <w:rPr>
          <w:rFonts w:ascii="Arial" w:hAnsi="Arial" w:cs="Arial"/>
          <w:color w:val="auto"/>
          <w:sz w:val="24"/>
          <w:szCs w:val="22"/>
          <w:lang w:eastAsia="en-GB"/>
        </w:rPr>
        <w:t>m</w:t>
      </w:r>
      <w:r w:rsidRPr="00AE62DE">
        <w:rPr>
          <w:rFonts w:ascii="Arial" w:hAnsi="Arial" w:cs="Arial"/>
          <w:color w:val="auto"/>
          <w:sz w:val="24"/>
          <w:szCs w:val="22"/>
          <w:lang w:eastAsia="en-GB"/>
        </w:rPr>
        <w:t xml:space="preserve">anagement </w:t>
      </w:r>
      <w:r>
        <w:rPr>
          <w:rFonts w:ascii="Arial" w:hAnsi="Arial" w:cs="Arial"/>
          <w:color w:val="auto"/>
          <w:sz w:val="24"/>
          <w:szCs w:val="22"/>
          <w:lang w:eastAsia="en-GB"/>
        </w:rPr>
        <w:t>f</w:t>
      </w:r>
      <w:r w:rsidRPr="00AE62DE">
        <w:rPr>
          <w:rFonts w:ascii="Arial" w:hAnsi="Arial" w:cs="Arial"/>
          <w:color w:val="auto"/>
          <w:sz w:val="24"/>
          <w:szCs w:val="22"/>
          <w:lang w:eastAsia="en-GB"/>
        </w:rPr>
        <w:t>ees</w:t>
      </w:r>
    </w:p>
    <w:p w14:paraId="6DB323D4" w14:textId="77777777" w:rsidR="0021298F" w:rsidRPr="00581F35" w:rsidRDefault="0021298F" w:rsidP="0021298F">
      <w:pPr>
        <w:jc w:val="both"/>
        <w:rPr>
          <w:rFonts w:ascii="Arial" w:hAnsi="Arial" w:cs="Arial"/>
          <w:sz w:val="18"/>
        </w:rPr>
      </w:pPr>
    </w:p>
    <w:p w14:paraId="0C7280CB" w14:textId="77777777" w:rsidR="0021298F" w:rsidRDefault="0021298F" w:rsidP="0021298F">
      <w:pPr>
        <w:jc w:val="both"/>
        <w:rPr>
          <w:rFonts w:ascii="Arial" w:hAnsi="Arial" w:cs="Arial"/>
        </w:rPr>
      </w:pPr>
      <w:r w:rsidRPr="00BA0E91">
        <w:rPr>
          <w:rFonts w:ascii="Arial" w:hAnsi="Arial" w:cs="Arial"/>
        </w:rPr>
        <w:t>Under the terms of the Investment Management Agreement, the Investment Manager is entitled to a management fee from the Company, which is calculated quarterly in arrears in accordance with the Investment Management Agreement.</w:t>
      </w:r>
    </w:p>
    <w:p w14:paraId="1FC39A21" w14:textId="77777777" w:rsidR="0021298F" w:rsidRDefault="0021298F" w:rsidP="0021298F">
      <w:pPr>
        <w:pStyle w:val="Heading3"/>
        <w:spacing w:before="0"/>
        <w:rPr>
          <w:rFonts w:ascii="Arial" w:hAnsi="Arial" w:cs="Arial"/>
        </w:rPr>
      </w:pPr>
    </w:p>
    <w:p w14:paraId="2DFCA82D" w14:textId="77777777" w:rsidR="0021298F" w:rsidRDefault="0021298F" w:rsidP="0021298F">
      <w:pPr>
        <w:jc w:val="both"/>
        <w:rPr>
          <w:rFonts w:ascii="Arial" w:hAnsi="Arial" w:cs="Arial"/>
        </w:rPr>
      </w:pPr>
      <w:r>
        <w:rPr>
          <w:rFonts w:ascii="Arial" w:hAnsi="Arial" w:cs="Arial"/>
        </w:rPr>
        <w:t>The Fee shall be calculated in respect of each quarter and in each case based upon the NAV:</w:t>
      </w:r>
    </w:p>
    <w:p w14:paraId="50CC8510" w14:textId="77777777" w:rsidR="0021298F" w:rsidRPr="00992D4D" w:rsidRDefault="0021298F" w:rsidP="0021298F">
      <w:pPr>
        <w:pStyle w:val="ListParagraph"/>
        <w:numPr>
          <w:ilvl w:val="0"/>
          <w:numId w:val="24"/>
        </w:numPr>
        <w:jc w:val="both"/>
        <w:rPr>
          <w:rFonts w:ascii="Arial" w:hAnsi="Arial" w:cs="Arial"/>
          <w:szCs w:val="22"/>
        </w:rPr>
      </w:pPr>
      <w:r>
        <w:rPr>
          <w:rFonts w:ascii="Arial" w:hAnsi="Arial" w:cs="Arial"/>
          <w:szCs w:val="22"/>
        </w:rPr>
        <w:t>o</w:t>
      </w:r>
      <w:r w:rsidRPr="00992D4D">
        <w:rPr>
          <w:rFonts w:ascii="Arial" w:hAnsi="Arial" w:cs="Arial"/>
          <w:szCs w:val="22"/>
        </w:rPr>
        <w:t xml:space="preserve">n that part of the </w:t>
      </w:r>
      <w:r>
        <w:rPr>
          <w:rFonts w:ascii="Arial" w:hAnsi="Arial" w:cs="Arial"/>
          <w:szCs w:val="22"/>
        </w:rPr>
        <w:t>NAV</w:t>
      </w:r>
      <w:r w:rsidRPr="00992D4D">
        <w:rPr>
          <w:rFonts w:ascii="Arial" w:hAnsi="Arial" w:cs="Arial"/>
          <w:szCs w:val="22"/>
        </w:rPr>
        <w:t xml:space="preserve"> up to and including €1 billion, an amount equal to 0.25 per cent of such part of the </w:t>
      </w:r>
      <w:r>
        <w:rPr>
          <w:rFonts w:ascii="Arial" w:hAnsi="Arial" w:cs="Arial"/>
          <w:szCs w:val="22"/>
        </w:rPr>
        <w:t>NAV</w:t>
      </w:r>
      <w:r w:rsidRPr="00992D4D">
        <w:rPr>
          <w:rFonts w:ascii="Arial" w:hAnsi="Arial" w:cs="Arial"/>
          <w:szCs w:val="22"/>
        </w:rPr>
        <w:t>; and</w:t>
      </w:r>
    </w:p>
    <w:p w14:paraId="511991ED" w14:textId="77777777" w:rsidR="0021298F" w:rsidRDefault="0021298F" w:rsidP="0021298F">
      <w:pPr>
        <w:pStyle w:val="ListParagraph"/>
        <w:numPr>
          <w:ilvl w:val="0"/>
          <w:numId w:val="24"/>
        </w:numPr>
        <w:jc w:val="both"/>
        <w:rPr>
          <w:rFonts w:ascii="Arial" w:hAnsi="Arial" w:cs="Arial"/>
          <w:szCs w:val="22"/>
        </w:rPr>
      </w:pPr>
      <w:r>
        <w:rPr>
          <w:rFonts w:ascii="Arial" w:hAnsi="Arial" w:cs="Arial"/>
          <w:szCs w:val="22"/>
        </w:rPr>
        <w:t>o</w:t>
      </w:r>
      <w:r w:rsidRPr="00992D4D">
        <w:rPr>
          <w:rFonts w:ascii="Arial" w:hAnsi="Arial" w:cs="Arial"/>
          <w:szCs w:val="22"/>
        </w:rPr>
        <w:t xml:space="preserve">n that part of the </w:t>
      </w:r>
      <w:r>
        <w:rPr>
          <w:rFonts w:ascii="Arial" w:hAnsi="Arial" w:cs="Arial"/>
          <w:szCs w:val="22"/>
        </w:rPr>
        <w:t>NAV</w:t>
      </w:r>
      <w:r w:rsidRPr="00992D4D">
        <w:rPr>
          <w:rFonts w:ascii="Arial" w:hAnsi="Arial" w:cs="Arial"/>
          <w:szCs w:val="22"/>
        </w:rPr>
        <w:t xml:space="preserve"> in excess of €1 billion, an amount equal to 0.2 per cent of such part of the </w:t>
      </w:r>
      <w:r>
        <w:rPr>
          <w:rFonts w:ascii="Arial" w:hAnsi="Arial" w:cs="Arial"/>
          <w:szCs w:val="22"/>
        </w:rPr>
        <w:t>NAV</w:t>
      </w:r>
      <w:r w:rsidRPr="00992D4D">
        <w:rPr>
          <w:rFonts w:ascii="Arial" w:hAnsi="Arial" w:cs="Arial"/>
          <w:szCs w:val="22"/>
        </w:rPr>
        <w:t>.</w:t>
      </w:r>
    </w:p>
    <w:p w14:paraId="5D000624" w14:textId="77777777" w:rsidR="0021298F" w:rsidRPr="00992D4D" w:rsidRDefault="0021298F" w:rsidP="0021298F">
      <w:pPr>
        <w:pStyle w:val="ListParagraph"/>
        <w:jc w:val="both"/>
        <w:rPr>
          <w:rFonts w:ascii="Arial" w:hAnsi="Arial" w:cs="Arial"/>
          <w:szCs w:val="22"/>
        </w:rPr>
      </w:pPr>
    </w:p>
    <w:p w14:paraId="64F87322" w14:textId="77777777" w:rsidR="0021298F" w:rsidRDefault="0021298F" w:rsidP="0021298F">
      <w:pPr>
        <w:jc w:val="both"/>
        <w:rPr>
          <w:rFonts w:ascii="Arial" w:hAnsi="Arial" w:cs="Arial"/>
        </w:rPr>
      </w:pPr>
      <w:r w:rsidRPr="000535C5">
        <w:rPr>
          <w:rFonts w:ascii="Arial" w:hAnsi="Arial" w:cs="Arial"/>
        </w:rPr>
        <w:t xml:space="preserve">Investment </w:t>
      </w:r>
      <w:r>
        <w:rPr>
          <w:rFonts w:ascii="Arial" w:hAnsi="Arial" w:cs="Arial"/>
        </w:rPr>
        <w:t>m</w:t>
      </w:r>
      <w:r w:rsidRPr="000535C5">
        <w:rPr>
          <w:rFonts w:ascii="Arial" w:hAnsi="Arial" w:cs="Arial"/>
        </w:rPr>
        <w:t>anagement fees</w:t>
      </w:r>
      <w:r>
        <w:rPr>
          <w:rFonts w:ascii="Arial" w:hAnsi="Arial" w:cs="Arial"/>
        </w:rPr>
        <w:t xml:space="preserve"> </w:t>
      </w:r>
      <w:r w:rsidRPr="000535C5">
        <w:rPr>
          <w:rFonts w:ascii="Arial" w:hAnsi="Arial" w:cs="Arial"/>
        </w:rPr>
        <w:t xml:space="preserve">paid </w:t>
      </w:r>
      <w:r>
        <w:rPr>
          <w:rFonts w:ascii="Arial" w:hAnsi="Arial" w:cs="Arial"/>
        </w:rPr>
        <w:t xml:space="preserve">or accrued </w:t>
      </w:r>
      <w:r w:rsidRPr="000535C5">
        <w:rPr>
          <w:rFonts w:ascii="Arial" w:hAnsi="Arial" w:cs="Arial"/>
        </w:rPr>
        <w:t xml:space="preserve">in the </w:t>
      </w:r>
      <w:r>
        <w:rPr>
          <w:rFonts w:ascii="Arial" w:hAnsi="Arial" w:cs="Arial"/>
        </w:rPr>
        <w:t xml:space="preserve">years ended 31 December 2020 and 31 December 2019 </w:t>
      </w:r>
      <w:r w:rsidRPr="000535C5">
        <w:rPr>
          <w:rFonts w:ascii="Arial" w:hAnsi="Arial" w:cs="Arial"/>
        </w:rPr>
        <w:t>were as follows:</w:t>
      </w:r>
    </w:p>
    <w:tbl>
      <w:tblPr>
        <w:tblW w:w="10067" w:type="dxa"/>
        <w:tblLook w:val="04A0" w:firstRow="1" w:lastRow="0" w:firstColumn="1" w:lastColumn="0" w:noHBand="0" w:noVBand="1"/>
      </w:tblPr>
      <w:tblGrid>
        <w:gridCol w:w="4736"/>
        <w:gridCol w:w="651"/>
        <w:gridCol w:w="2268"/>
        <w:gridCol w:w="2412"/>
      </w:tblGrid>
      <w:tr w:rsidR="0021298F" w:rsidRPr="00935C7E" w14:paraId="73370FCC" w14:textId="77777777" w:rsidTr="00760009">
        <w:trPr>
          <w:trHeight w:val="300"/>
        </w:trPr>
        <w:tc>
          <w:tcPr>
            <w:tcW w:w="4736" w:type="dxa"/>
            <w:tcBorders>
              <w:top w:val="nil"/>
              <w:left w:val="nil"/>
              <w:bottom w:val="nil"/>
              <w:right w:val="nil"/>
            </w:tcBorders>
            <w:shd w:val="clear" w:color="000000" w:fill="FFFFFF"/>
            <w:noWrap/>
            <w:vAlign w:val="bottom"/>
            <w:hideMark/>
          </w:tcPr>
          <w:p w14:paraId="2A65DA4F" w14:textId="77777777" w:rsidR="0021298F" w:rsidRPr="00935C7E" w:rsidRDefault="0021298F" w:rsidP="00760009">
            <w:pPr>
              <w:rPr>
                <w:rFonts w:ascii="Calibri" w:eastAsia="Times New Roman" w:hAnsi="Calibri" w:cs="Calibri"/>
                <w:b/>
                <w:bCs/>
                <w:color w:val="000000"/>
                <w:lang w:eastAsia="en-GB"/>
              </w:rPr>
            </w:pPr>
            <w:r w:rsidRPr="00935C7E">
              <w:rPr>
                <w:rFonts w:ascii="Calibri" w:eastAsia="Times New Roman" w:hAnsi="Calibri" w:cs="Calibri"/>
                <w:b/>
                <w:bCs/>
                <w:color w:val="000000"/>
                <w:lang w:eastAsia="en-GB"/>
              </w:rPr>
              <w:t> </w:t>
            </w:r>
          </w:p>
        </w:tc>
        <w:tc>
          <w:tcPr>
            <w:tcW w:w="651" w:type="dxa"/>
            <w:tcBorders>
              <w:top w:val="nil"/>
              <w:left w:val="nil"/>
              <w:bottom w:val="nil"/>
              <w:right w:val="nil"/>
            </w:tcBorders>
            <w:shd w:val="clear" w:color="000000" w:fill="FFFFFF"/>
            <w:noWrap/>
            <w:vAlign w:val="bottom"/>
            <w:hideMark/>
          </w:tcPr>
          <w:p w14:paraId="2074E550" w14:textId="77777777" w:rsidR="0021298F" w:rsidRPr="00935C7E" w:rsidRDefault="0021298F" w:rsidP="00760009">
            <w:pPr>
              <w:rPr>
                <w:rFonts w:ascii="Calibri" w:eastAsia="Times New Roman" w:hAnsi="Calibri" w:cs="Calibri"/>
                <w:b/>
                <w:bCs/>
                <w:color w:val="000000"/>
                <w:lang w:eastAsia="en-GB"/>
              </w:rPr>
            </w:pPr>
            <w:r w:rsidRPr="00935C7E">
              <w:rPr>
                <w:rFonts w:ascii="Calibri" w:eastAsia="Times New Roman" w:hAnsi="Calibri" w:cs="Calibri"/>
                <w:b/>
                <w:bCs/>
                <w:color w:val="000000"/>
                <w:lang w:eastAsia="en-GB"/>
              </w:rPr>
              <w:t> </w:t>
            </w:r>
          </w:p>
        </w:tc>
        <w:tc>
          <w:tcPr>
            <w:tcW w:w="2268" w:type="dxa"/>
            <w:tcBorders>
              <w:top w:val="nil"/>
              <w:left w:val="nil"/>
              <w:bottom w:val="nil"/>
              <w:right w:val="nil"/>
            </w:tcBorders>
            <w:shd w:val="clear" w:color="000000" w:fill="FFFFFF"/>
            <w:vAlign w:val="bottom"/>
            <w:hideMark/>
          </w:tcPr>
          <w:p w14:paraId="3F8DF505" w14:textId="77777777" w:rsidR="0021298F" w:rsidRPr="00935C7E" w:rsidRDefault="0021298F" w:rsidP="00760009">
            <w:pPr>
              <w:jc w:val="right"/>
              <w:rPr>
                <w:rFonts w:ascii="Arial" w:eastAsia="Times New Roman" w:hAnsi="Arial" w:cs="Arial"/>
                <w:b/>
                <w:bCs/>
                <w:color w:val="000000"/>
                <w:lang w:eastAsia="en-GB"/>
              </w:rPr>
            </w:pPr>
            <w:r w:rsidRPr="00935C7E">
              <w:rPr>
                <w:rFonts w:ascii="Arial" w:eastAsia="Times New Roman" w:hAnsi="Arial" w:cs="Arial"/>
                <w:b/>
                <w:bCs/>
                <w:color w:val="000000"/>
                <w:lang w:eastAsia="en-GB"/>
              </w:rPr>
              <w:t>For the year ended</w:t>
            </w:r>
          </w:p>
        </w:tc>
        <w:tc>
          <w:tcPr>
            <w:tcW w:w="2412" w:type="dxa"/>
            <w:tcBorders>
              <w:top w:val="nil"/>
              <w:left w:val="nil"/>
              <w:bottom w:val="nil"/>
              <w:right w:val="nil"/>
            </w:tcBorders>
            <w:shd w:val="clear" w:color="000000" w:fill="FFFFFF"/>
            <w:vAlign w:val="bottom"/>
            <w:hideMark/>
          </w:tcPr>
          <w:p w14:paraId="43FD9B2E" w14:textId="77777777" w:rsidR="0021298F" w:rsidRPr="00935C7E" w:rsidRDefault="0021298F" w:rsidP="00760009">
            <w:pPr>
              <w:jc w:val="right"/>
              <w:rPr>
                <w:rFonts w:ascii="Arial" w:eastAsia="Times New Roman" w:hAnsi="Arial" w:cs="Arial"/>
                <w:b/>
                <w:bCs/>
                <w:color w:val="000000"/>
                <w:lang w:eastAsia="en-GB"/>
              </w:rPr>
            </w:pPr>
            <w:r w:rsidRPr="00935C7E">
              <w:rPr>
                <w:rFonts w:ascii="Arial" w:eastAsia="Times New Roman" w:hAnsi="Arial" w:cs="Arial"/>
                <w:b/>
                <w:bCs/>
                <w:color w:val="000000"/>
                <w:lang w:eastAsia="en-GB"/>
              </w:rPr>
              <w:t xml:space="preserve">For the year ended </w:t>
            </w:r>
          </w:p>
        </w:tc>
      </w:tr>
      <w:tr w:rsidR="0021298F" w:rsidRPr="00935C7E" w14:paraId="7418E3BB" w14:textId="77777777" w:rsidTr="00760009">
        <w:trPr>
          <w:trHeight w:val="300"/>
        </w:trPr>
        <w:tc>
          <w:tcPr>
            <w:tcW w:w="4736" w:type="dxa"/>
            <w:tcBorders>
              <w:top w:val="nil"/>
              <w:left w:val="nil"/>
              <w:bottom w:val="nil"/>
              <w:right w:val="nil"/>
            </w:tcBorders>
            <w:shd w:val="clear" w:color="000000" w:fill="FFFFFF"/>
            <w:noWrap/>
            <w:vAlign w:val="bottom"/>
            <w:hideMark/>
          </w:tcPr>
          <w:p w14:paraId="2265E804" w14:textId="77777777" w:rsidR="0021298F" w:rsidRPr="00935C7E" w:rsidRDefault="0021298F" w:rsidP="00760009">
            <w:pPr>
              <w:rPr>
                <w:rFonts w:ascii="Calibri" w:eastAsia="Times New Roman" w:hAnsi="Calibri" w:cs="Calibri"/>
                <w:b/>
                <w:bCs/>
                <w:color w:val="000000"/>
                <w:lang w:eastAsia="en-GB"/>
              </w:rPr>
            </w:pPr>
            <w:r w:rsidRPr="00935C7E">
              <w:rPr>
                <w:rFonts w:ascii="Calibri" w:eastAsia="Times New Roman" w:hAnsi="Calibri" w:cs="Calibri"/>
                <w:b/>
                <w:bCs/>
                <w:color w:val="000000"/>
                <w:lang w:eastAsia="en-GB"/>
              </w:rPr>
              <w:t> </w:t>
            </w:r>
          </w:p>
        </w:tc>
        <w:tc>
          <w:tcPr>
            <w:tcW w:w="651" w:type="dxa"/>
            <w:tcBorders>
              <w:top w:val="nil"/>
              <w:left w:val="nil"/>
              <w:bottom w:val="nil"/>
              <w:right w:val="nil"/>
            </w:tcBorders>
            <w:shd w:val="clear" w:color="000000" w:fill="FFFFFF"/>
            <w:noWrap/>
            <w:vAlign w:val="bottom"/>
            <w:hideMark/>
          </w:tcPr>
          <w:p w14:paraId="3A82B24D" w14:textId="77777777" w:rsidR="0021298F" w:rsidRPr="00935C7E" w:rsidRDefault="0021298F" w:rsidP="00760009">
            <w:pPr>
              <w:rPr>
                <w:rFonts w:ascii="Calibri" w:eastAsia="Times New Roman" w:hAnsi="Calibri" w:cs="Calibri"/>
                <w:b/>
                <w:bCs/>
                <w:color w:val="000000"/>
                <w:lang w:eastAsia="en-GB"/>
              </w:rPr>
            </w:pPr>
            <w:r w:rsidRPr="00935C7E">
              <w:rPr>
                <w:rFonts w:ascii="Calibri" w:eastAsia="Times New Roman" w:hAnsi="Calibri" w:cs="Calibri"/>
                <w:b/>
                <w:bCs/>
                <w:color w:val="000000"/>
                <w:lang w:eastAsia="en-GB"/>
              </w:rPr>
              <w:t> </w:t>
            </w:r>
          </w:p>
        </w:tc>
        <w:tc>
          <w:tcPr>
            <w:tcW w:w="2268" w:type="dxa"/>
            <w:tcBorders>
              <w:top w:val="nil"/>
              <w:left w:val="nil"/>
              <w:bottom w:val="nil"/>
              <w:right w:val="nil"/>
            </w:tcBorders>
            <w:shd w:val="clear" w:color="000000" w:fill="FFFFFF"/>
            <w:vAlign w:val="center"/>
            <w:hideMark/>
          </w:tcPr>
          <w:p w14:paraId="42FF0D70" w14:textId="77777777" w:rsidR="0021298F" w:rsidRPr="00935C7E" w:rsidRDefault="0021298F" w:rsidP="00760009">
            <w:pPr>
              <w:jc w:val="right"/>
              <w:rPr>
                <w:rFonts w:ascii="Arial" w:eastAsia="Times New Roman" w:hAnsi="Arial" w:cs="Arial"/>
                <w:b/>
                <w:bCs/>
                <w:color w:val="000000"/>
                <w:lang w:eastAsia="en-GB"/>
              </w:rPr>
            </w:pPr>
            <w:r w:rsidRPr="00935C7E">
              <w:rPr>
                <w:rFonts w:ascii="Arial" w:eastAsia="Times New Roman" w:hAnsi="Arial" w:cs="Arial"/>
                <w:b/>
                <w:bCs/>
                <w:color w:val="000000"/>
                <w:lang w:eastAsia="en-GB"/>
              </w:rPr>
              <w:t>31 December 2020</w:t>
            </w:r>
          </w:p>
        </w:tc>
        <w:tc>
          <w:tcPr>
            <w:tcW w:w="2412" w:type="dxa"/>
            <w:tcBorders>
              <w:top w:val="nil"/>
              <w:left w:val="nil"/>
              <w:bottom w:val="nil"/>
              <w:right w:val="nil"/>
            </w:tcBorders>
            <w:shd w:val="clear" w:color="000000" w:fill="FFFFFF"/>
            <w:vAlign w:val="center"/>
            <w:hideMark/>
          </w:tcPr>
          <w:p w14:paraId="4DB356E1" w14:textId="77777777" w:rsidR="0021298F" w:rsidRPr="00935C7E" w:rsidRDefault="0021298F" w:rsidP="00760009">
            <w:pPr>
              <w:jc w:val="right"/>
              <w:rPr>
                <w:rFonts w:ascii="Arial" w:eastAsia="Times New Roman" w:hAnsi="Arial" w:cs="Arial"/>
                <w:b/>
                <w:bCs/>
                <w:color w:val="000000"/>
                <w:lang w:eastAsia="en-GB"/>
              </w:rPr>
            </w:pPr>
            <w:r w:rsidRPr="00935C7E">
              <w:rPr>
                <w:rFonts w:ascii="Arial" w:eastAsia="Times New Roman" w:hAnsi="Arial" w:cs="Arial"/>
                <w:b/>
                <w:bCs/>
                <w:color w:val="000000"/>
                <w:lang w:eastAsia="en-GB"/>
              </w:rPr>
              <w:t>31 December 2019</w:t>
            </w:r>
          </w:p>
        </w:tc>
      </w:tr>
      <w:tr w:rsidR="0021298F" w:rsidRPr="00935C7E" w14:paraId="4066B8E4" w14:textId="77777777" w:rsidTr="00760009">
        <w:trPr>
          <w:trHeight w:val="300"/>
        </w:trPr>
        <w:tc>
          <w:tcPr>
            <w:tcW w:w="4736" w:type="dxa"/>
            <w:tcBorders>
              <w:top w:val="nil"/>
              <w:left w:val="nil"/>
              <w:bottom w:val="single" w:sz="4" w:space="0" w:color="auto"/>
              <w:right w:val="nil"/>
            </w:tcBorders>
            <w:shd w:val="clear" w:color="000000" w:fill="FFFFFF"/>
            <w:noWrap/>
            <w:vAlign w:val="bottom"/>
            <w:hideMark/>
          </w:tcPr>
          <w:p w14:paraId="79E56FA5" w14:textId="77777777" w:rsidR="0021298F" w:rsidRPr="00935C7E" w:rsidRDefault="0021298F" w:rsidP="00760009">
            <w:pPr>
              <w:rPr>
                <w:rFonts w:ascii="Calibri" w:eastAsia="Times New Roman" w:hAnsi="Calibri" w:cs="Calibri"/>
                <w:b/>
                <w:bCs/>
                <w:color w:val="000000"/>
                <w:lang w:eastAsia="en-GB"/>
              </w:rPr>
            </w:pPr>
            <w:r w:rsidRPr="00935C7E">
              <w:rPr>
                <w:rFonts w:ascii="Calibri" w:eastAsia="Times New Roman" w:hAnsi="Calibri" w:cs="Calibri"/>
                <w:b/>
                <w:bCs/>
                <w:color w:val="000000"/>
                <w:lang w:eastAsia="en-GB"/>
              </w:rPr>
              <w:t> </w:t>
            </w:r>
          </w:p>
        </w:tc>
        <w:tc>
          <w:tcPr>
            <w:tcW w:w="651" w:type="dxa"/>
            <w:tcBorders>
              <w:top w:val="nil"/>
              <w:left w:val="nil"/>
              <w:bottom w:val="single" w:sz="4" w:space="0" w:color="auto"/>
              <w:right w:val="nil"/>
            </w:tcBorders>
            <w:shd w:val="clear" w:color="000000" w:fill="FFFFFF"/>
            <w:noWrap/>
            <w:vAlign w:val="bottom"/>
            <w:hideMark/>
          </w:tcPr>
          <w:p w14:paraId="71F910BD" w14:textId="77777777" w:rsidR="0021298F" w:rsidRPr="00935C7E" w:rsidRDefault="0021298F" w:rsidP="00760009">
            <w:pPr>
              <w:rPr>
                <w:rFonts w:ascii="Calibri" w:eastAsia="Times New Roman" w:hAnsi="Calibri" w:cs="Calibri"/>
                <w:b/>
                <w:bCs/>
                <w:color w:val="000000"/>
                <w:lang w:eastAsia="en-GB"/>
              </w:rPr>
            </w:pPr>
            <w:r w:rsidRPr="00935C7E">
              <w:rPr>
                <w:rFonts w:ascii="Calibri" w:eastAsia="Times New Roman" w:hAnsi="Calibri" w:cs="Calibri"/>
                <w:b/>
                <w:bCs/>
                <w:color w:val="000000"/>
                <w:lang w:eastAsia="en-GB"/>
              </w:rPr>
              <w:t> </w:t>
            </w:r>
          </w:p>
        </w:tc>
        <w:tc>
          <w:tcPr>
            <w:tcW w:w="2268" w:type="dxa"/>
            <w:tcBorders>
              <w:top w:val="nil"/>
              <w:left w:val="nil"/>
              <w:bottom w:val="single" w:sz="4" w:space="0" w:color="auto"/>
              <w:right w:val="nil"/>
            </w:tcBorders>
            <w:shd w:val="clear" w:color="000000" w:fill="FFFFFF"/>
            <w:noWrap/>
            <w:vAlign w:val="center"/>
            <w:hideMark/>
          </w:tcPr>
          <w:p w14:paraId="7B040FFA" w14:textId="77777777" w:rsidR="0021298F" w:rsidRPr="00935C7E" w:rsidRDefault="0021298F" w:rsidP="00760009">
            <w:pPr>
              <w:jc w:val="right"/>
              <w:rPr>
                <w:rFonts w:ascii="Arial" w:eastAsia="Times New Roman" w:hAnsi="Arial" w:cs="Arial"/>
                <w:b/>
                <w:bCs/>
                <w:color w:val="000000"/>
                <w:lang w:eastAsia="en-GB"/>
              </w:rPr>
            </w:pPr>
            <w:r w:rsidRPr="00935C7E">
              <w:rPr>
                <w:rFonts w:ascii="Arial" w:eastAsia="Times New Roman" w:hAnsi="Arial" w:cs="Arial"/>
                <w:b/>
                <w:bCs/>
                <w:color w:val="000000"/>
                <w:lang w:eastAsia="en-GB"/>
              </w:rPr>
              <w:t>€’000</w:t>
            </w:r>
          </w:p>
        </w:tc>
        <w:tc>
          <w:tcPr>
            <w:tcW w:w="2412" w:type="dxa"/>
            <w:tcBorders>
              <w:top w:val="nil"/>
              <w:left w:val="nil"/>
              <w:bottom w:val="single" w:sz="4" w:space="0" w:color="auto"/>
              <w:right w:val="nil"/>
            </w:tcBorders>
            <w:shd w:val="clear" w:color="000000" w:fill="FFFFFF"/>
            <w:noWrap/>
            <w:vAlign w:val="center"/>
            <w:hideMark/>
          </w:tcPr>
          <w:p w14:paraId="65E5EA9F" w14:textId="77777777" w:rsidR="0021298F" w:rsidRPr="00935C7E" w:rsidRDefault="0021298F" w:rsidP="00760009">
            <w:pPr>
              <w:jc w:val="right"/>
              <w:rPr>
                <w:rFonts w:ascii="Arial" w:eastAsia="Times New Roman" w:hAnsi="Arial" w:cs="Arial"/>
                <w:b/>
                <w:bCs/>
                <w:color w:val="000000"/>
                <w:lang w:eastAsia="en-GB"/>
              </w:rPr>
            </w:pPr>
            <w:r w:rsidRPr="00935C7E">
              <w:rPr>
                <w:rFonts w:ascii="Arial" w:eastAsia="Times New Roman" w:hAnsi="Arial" w:cs="Arial"/>
                <w:b/>
                <w:bCs/>
                <w:color w:val="000000"/>
                <w:lang w:eastAsia="en-GB"/>
              </w:rPr>
              <w:t>€’000</w:t>
            </w:r>
          </w:p>
        </w:tc>
      </w:tr>
      <w:tr w:rsidR="0021298F" w:rsidRPr="00935C7E" w14:paraId="6B9606F9" w14:textId="77777777" w:rsidTr="00760009">
        <w:trPr>
          <w:trHeight w:val="300"/>
        </w:trPr>
        <w:tc>
          <w:tcPr>
            <w:tcW w:w="4736" w:type="dxa"/>
            <w:tcBorders>
              <w:top w:val="nil"/>
              <w:left w:val="nil"/>
              <w:bottom w:val="single" w:sz="4" w:space="0" w:color="auto"/>
              <w:right w:val="nil"/>
            </w:tcBorders>
            <w:shd w:val="clear" w:color="000000" w:fill="FFFFFF"/>
            <w:noWrap/>
            <w:vAlign w:val="center"/>
            <w:hideMark/>
          </w:tcPr>
          <w:p w14:paraId="3FCFE895" w14:textId="77777777" w:rsidR="0021298F" w:rsidRPr="00935C7E" w:rsidRDefault="0021298F" w:rsidP="00760009">
            <w:pPr>
              <w:rPr>
                <w:rFonts w:ascii="Arial" w:eastAsia="Times New Roman" w:hAnsi="Arial" w:cs="Arial"/>
                <w:color w:val="000000"/>
                <w:lang w:eastAsia="en-GB"/>
              </w:rPr>
            </w:pPr>
            <w:r w:rsidRPr="00935C7E">
              <w:rPr>
                <w:rFonts w:ascii="Arial" w:eastAsia="Times New Roman" w:hAnsi="Arial" w:cs="Arial"/>
                <w:color w:val="000000"/>
                <w:lang w:eastAsia="en-GB"/>
              </w:rPr>
              <w:t>Investment management fees</w:t>
            </w:r>
          </w:p>
        </w:tc>
        <w:tc>
          <w:tcPr>
            <w:tcW w:w="651" w:type="dxa"/>
            <w:tcBorders>
              <w:top w:val="nil"/>
              <w:left w:val="nil"/>
              <w:bottom w:val="single" w:sz="4" w:space="0" w:color="auto"/>
              <w:right w:val="nil"/>
            </w:tcBorders>
            <w:shd w:val="clear" w:color="000000" w:fill="FFFFFF"/>
            <w:noWrap/>
            <w:vAlign w:val="bottom"/>
            <w:hideMark/>
          </w:tcPr>
          <w:p w14:paraId="261A693B" w14:textId="77777777" w:rsidR="0021298F" w:rsidRPr="00935C7E" w:rsidRDefault="0021298F" w:rsidP="00760009">
            <w:pPr>
              <w:rPr>
                <w:rFonts w:ascii="Calibri" w:eastAsia="Times New Roman" w:hAnsi="Calibri" w:cs="Calibri"/>
                <w:color w:val="000000"/>
                <w:lang w:eastAsia="en-GB"/>
              </w:rPr>
            </w:pPr>
            <w:r w:rsidRPr="00935C7E">
              <w:rPr>
                <w:rFonts w:ascii="Calibri" w:eastAsia="Times New Roman" w:hAnsi="Calibri" w:cs="Calibri"/>
                <w:color w:val="000000"/>
                <w:lang w:eastAsia="en-GB"/>
              </w:rPr>
              <w:t> </w:t>
            </w:r>
          </w:p>
        </w:tc>
        <w:tc>
          <w:tcPr>
            <w:tcW w:w="2268" w:type="dxa"/>
            <w:tcBorders>
              <w:top w:val="nil"/>
              <w:left w:val="nil"/>
              <w:bottom w:val="single" w:sz="4" w:space="0" w:color="auto"/>
              <w:right w:val="nil"/>
            </w:tcBorders>
            <w:shd w:val="clear" w:color="000000" w:fill="EDFFB7"/>
            <w:vAlign w:val="center"/>
            <w:hideMark/>
          </w:tcPr>
          <w:p w14:paraId="5E43D2C0" w14:textId="77777777" w:rsidR="0021298F" w:rsidRPr="00935C7E" w:rsidRDefault="0021298F" w:rsidP="00760009">
            <w:pPr>
              <w:jc w:val="right"/>
              <w:rPr>
                <w:rFonts w:ascii="Arial" w:eastAsia="Times New Roman" w:hAnsi="Arial" w:cs="Arial"/>
                <w:color w:val="000000"/>
                <w:lang w:eastAsia="en-GB"/>
              </w:rPr>
            </w:pPr>
            <w:r w:rsidRPr="00935C7E">
              <w:rPr>
                <w:rFonts w:ascii="Arial" w:eastAsia="Times New Roman" w:hAnsi="Arial" w:cs="Arial"/>
                <w:color w:val="000000"/>
                <w:lang w:eastAsia="en-GB"/>
              </w:rPr>
              <w:t xml:space="preserve">6,522 </w:t>
            </w:r>
          </w:p>
        </w:tc>
        <w:tc>
          <w:tcPr>
            <w:tcW w:w="2412" w:type="dxa"/>
            <w:tcBorders>
              <w:top w:val="nil"/>
              <w:left w:val="nil"/>
              <w:bottom w:val="single" w:sz="4" w:space="0" w:color="auto"/>
              <w:right w:val="nil"/>
            </w:tcBorders>
            <w:shd w:val="clear" w:color="000000" w:fill="FFFFFF"/>
            <w:noWrap/>
            <w:vAlign w:val="center"/>
            <w:hideMark/>
          </w:tcPr>
          <w:p w14:paraId="6AF8F32D" w14:textId="77777777" w:rsidR="0021298F" w:rsidRPr="00935C7E" w:rsidRDefault="0021298F" w:rsidP="00760009">
            <w:pPr>
              <w:jc w:val="right"/>
              <w:rPr>
                <w:rFonts w:ascii="Arial" w:eastAsia="Times New Roman" w:hAnsi="Arial" w:cs="Arial"/>
                <w:color w:val="000000"/>
                <w:lang w:eastAsia="en-GB"/>
              </w:rPr>
            </w:pPr>
            <w:r w:rsidRPr="00935C7E">
              <w:rPr>
                <w:rFonts w:ascii="Arial" w:eastAsia="Times New Roman" w:hAnsi="Arial" w:cs="Arial"/>
                <w:color w:val="000000"/>
                <w:lang w:eastAsia="en-GB"/>
              </w:rPr>
              <w:t>5,221</w:t>
            </w:r>
          </w:p>
        </w:tc>
      </w:tr>
      <w:tr w:rsidR="0021298F" w:rsidRPr="00935C7E" w14:paraId="149404BF" w14:textId="77777777" w:rsidTr="00760009">
        <w:trPr>
          <w:trHeight w:val="315"/>
        </w:trPr>
        <w:tc>
          <w:tcPr>
            <w:tcW w:w="4736" w:type="dxa"/>
            <w:tcBorders>
              <w:top w:val="nil"/>
              <w:left w:val="nil"/>
              <w:bottom w:val="single" w:sz="8" w:space="0" w:color="auto"/>
              <w:right w:val="nil"/>
            </w:tcBorders>
            <w:shd w:val="clear" w:color="000000" w:fill="FFFFFF"/>
            <w:noWrap/>
            <w:vAlign w:val="bottom"/>
            <w:hideMark/>
          </w:tcPr>
          <w:p w14:paraId="75966196" w14:textId="77777777" w:rsidR="0021298F" w:rsidRPr="00935C7E" w:rsidRDefault="0021298F" w:rsidP="00760009">
            <w:pPr>
              <w:rPr>
                <w:rFonts w:ascii="Calibri" w:eastAsia="Times New Roman" w:hAnsi="Calibri" w:cs="Calibri"/>
                <w:b/>
                <w:bCs/>
                <w:color w:val="000000"/>
                <w:lang w:eastAsia="en-GB"/>
              </w:rPr>
            </w:pPr>
            <w:r w:rsidRPr="00935C7E">
              <w:rPr>
                <w:rFonts w:ascii="Calibri" w:eastAsia="Times New Roman" w:hAnsi="Calibri" w:cs="Calibri"/>
                <w:b/>
                <w:bCs/>
                <w:color w:val="000000"/>
                <w:lang w:eastAsia="en-GB"/>
              </w:rPr>
              <w:t> </w:t>
            </w:r>
          </w:p>
        </w:tc>
        <w:tc>
          <w:tcPr>
            <w:tcW w:w="651" w:type="dxa"/>
            <w:tcBorders>
              <w:top w:val="nil"/>
              <w:left w:val="nil"/>
              <w:bottom w:val="single" w:sz="8" w:space="0" w:color="auto"/>
              <w:right w:val="nil"/>
            </w:tcBorders>
            <w:shd w:val="clear" w:color="000000" w:fill="FFFFFF"/>
            <w:noWrap/>
            <w:vAlign w:val="bottom"/>
            <w:hideMark/>
          </w:tcPr>
          <w:p w14:paraId="252A9D52" w14:textId="77777777" w:rsidR="0021298F" w:rsidRPr="00935C7E" w:rsidRDefault="0021298F" w:rsidP="00760009">
            <w:pPr>
              <w:rPr>
                <w:rFonts w:ascii="Calibri" w:eastAsia="Times New Roman" w:hAnsi="Calibri" w:cs="Calibri"/>
                <w:b/>
                <w:bCs/>
                <w:color w:val="000000"/>
                <w:lang w:eastAsia="en-GB"/>
              </w:rPr>
            </w:pPr>
            <w:r w:rsidRPr="00935C7E">
              <w:rPr>
                <w:rFonts w:ascii="Calibri" w:eastAsia="Times New Roman" w:hAnsi="Calibri" w:cs="Calibri"/>
                <w:b/>
                <w:bCs/>
                <w:color w:val="000000"/>
                <w:lang w:eastAsia="en-GB"/>
              </w:rPr>
              <w:t> </w:t>
            </w:r>
          </w:p>
        </w:tc>
        <w:tc>
          <w:tcPr>
            <w:tcW w:w="2268" w:type="dxa"/>
            <w:tcBorders>
              <w:top w:val="nil"/>
              <w:left w:val="nil"/>
              <w:bottom w:val="single" w:sz="8" w:space="0" w:color="auto"/>
              <w:right w:val="nil"/>
            </w:tcBorders>
            <w:shd w:val="clear" w:color="000000" w:fill="EDFFB7"/>
            <w:vAlign w:val="center"/>
            <w:hideMark/>
          </w:tcPr>
          <w:p w14:paraId="6EE226EE" w14:textId="77777777" w:rsidR="0021298F" w:rsidRPr="00935C7E" w:rsidRDefault="0021298F" w:rsidP="00760009">
            <w:pPr>
              <w:jc w:val="right"/>
              <w:rPr>
                <w:rFonts w:ascii="Arial" w:eastAsia="Times New Roman" w:hAnsi="Arial" w:cs="Arial"/>
                <w:b/>
                <w:bCs/>
                <w:color w:val="000000"/>
                <w:lang w:eastAsia="en-GB"/>
              </w:rPr>
            </w:pPr>
            <w:r w:rsidRPr="00935C7E">
              <w:rPr>
                <w:rFonts w:ascii="Arial" w:eastAsia="Times New Roman" w:hAnsi="Arial" w:cs="Arial"/>
                <w:b/>
                <w:bCs/>
                <w:color w:val="000000"/>
                <w:lang w:eastAsia="en-GB"/>
              </w:rPr>
              <w:t xml:space="preserve">6,522 </w:t>
            </w:r>
          </w:p>
        </w:tc>
        <w:tc>
          <w:tcPr>
            <w:tcW w:w="2412" w:type="dxa"/>
            <w:tcBorders>
              <w:top w:val="nil"/>
              <w:left w:val="nil"/>
              <w:bottom w:val="single" w:sz="8" w:space="0" w:color="auto"/>
              <w:right w:val="nil"/>
            </w:tcBorders>
            <w:shd w:val="clear" w:color="000000" w:fill="FFFFFF"/>
            <w:noWrap/>
            <w:vAlign w:val="center"/>
            <w:hideMark/>
          </w:tcPr>
          <w:p w14:paraId="74FC77FC" w14:textId="77777777" w:rsidR="0021298F" w:rsidRPr="00935C7E" w:rsidRDefault="0021298F" w:rsidP="00760009">
            <w:pPr>
              <w:jc w:val="right"/>
              <w:rPr>
                <w:rFonts w:ascii="Arial" w:eastAsia="Times New Roman" w:hAnsi="Arial" w:cs="Arial"/>
                <w:b/>
                <w:bCs/>
                <w:color w:val="000000"/>
                <w:lang w:eastAsia="en-GB"/>
              </w:rPr>
            </w:pPr>
            <w:r w:rsidRPr="00935C7E">
              <w:rPr>
                <w:rFonts w:ascii="Arial" w:eastAsia="Times New Roman" w:hAnsi="Arial" w:cs="Arial"/>
                <w:b/>
                <w:bCs/>
                <w:color w:val="000000"/>
                <w:lang w:eastAsia="en-GB"/>
              </w:rPr>
              <w:t>5,221</w:t>
            </w:r>
          </w:p>
        </w:tc>
      </w:tr>
    </w:tbl>
    <w:p w14:paraId="0D86D327" w14:textId="77777777" w:rsidR="0021298F" w:rsidRDefault="0021298F" w:rsidP="0021298F">
      <w:pPr>
        <w:jc w:val="both"/>
        <w:rPr>
          <w:rFonts w:ascii="Arial" w:hAnsi="Arial" w:cs="Arial"/>
        </w:rPr>
      </w:pPr>
    </w:p>
    <w:p w14:paraId="085F48C0" w14:textId="77777777" w:rsidR="0021298F" w:rsidRDefault="0021298F" w:rsidP="0021298F">
      <w:pPr>
        <w:jc w:val="both"/>
        <w:rPr>
          <w:rFonts w:ascii="Arial" w:hAnsi="Arial" w:cs="Arial"/>
        </w:rPr>
      </w:pPr>
      <w:r>
        <w:rPr>
          <w:rFonts w:ascii="Arial" w:hAnsi="Arial" w:cs="Arial"/>
        </w:rPr>
        <w:t>As at 31 December 2020, €</w:t>
      </w:r>
      <w:r w:rsidRPr="001E34C8">
        <w:rPr>
          <w:rFonts w:ascii="Arial" w:hAnsi="Arial" w:cs="Arial"/>
        </w:rPr>
        <w:t>1,</w:t>
      </w:r>
      <w:r>
        <w:rPr>
          <w:rFonts w:ascii="Arial" w:hAnsi="Arial" w:cs="Arial"/>
        </w:rPr>
        <w:t>685,383 was payable in relation to investment management fees (2019: €1,409,550).</w:t>
      </w:r>
    </w:p>
    <w:p w14:paraId="4A76AF76" w14:textId="77777777" w:rsidR="0021298F" w:rsidRDefault="0021298F" w:rsidP="0021298F">
      <w:pPr>
        <w:jc w:val="both"/>
        <w:rPr>
          <w:rFonts w:ascii="Arial" w:hAnsi="Arial" w:cs="Arial"/>
        </w:rPr>
      </w:pPr>
    </w:p>
    <w:p w14:paraId="4636272C" w14:textId="77777777" w:rsidR="0021298F" w:rsidRDefault="0021298F" w:rsidP="0021298F">
      <w:pPr>
        <w:pStyle w:val="Heading2"/>
        <w:keepNext w:val="0"/>
        <w:keepLines w:val="0"/>
        <w:spacing w:before="0" w:line="240" w:lineRule="auto"/>
        <w:jc w:val="both"/>
        <w:rPr>
          <w:rFonts w:ascii="Arial" w:hAnsi="Arial" w:cs="Arial"/>
          <w:color w:val="auto"/>
          <w:sz w:val="24"/>
          <w:szCs w:val="22"/>
          <w:lang w:eastAsia="en-GB"/>
        </w:rPr>
      </w:pPr>
      <w:r>
        <w:rPr>
          <w:rFonts w:ascii="Arial" w:hAnsi="Arial" w:cs="Arial"/>
          <w:color w:val="auto"/>
          <w:sz w:val="24"/>
          <w:szCs w:val="22"/>
          <w:lang w:eastAsia="en-GB"/>
        </w:rPr>
        <w:t xml:space="preserve">4. </w:t>
      </w:r>
      <w:r w:rsidRPr="00C22339">
        <w:rPr>
          <w:rFonts w:ascii="Arial" w:hAnsi="Arial" w:cs="Arial"/>
          <w:color w:val="auto"/>
          <w:sz w:val="24"/>
          <w:szCs w:val="22"/>
          <w:lang w:eastAsia="en-GB"/>
        </w:rPr>
        <w:t>Return on i</w:t>
      </w:r>
      <w:r w:rsidRPr="00A379B5">
        <w:rPr>
          <w:rFonts w:ascii="Arial" w:hAnsi="Arial" w:cs="Arial"/>
          <w:color w:val="auto"/>
          <w:sz w:val="24"/>
          <w:szCs w:val="22"/>
          <w:lang w:eastAsia="en-GB"/>
        </w:rPr>
        <w:t xml:space="preserve">nvestments </w:t>
      </w:r>
    </w:p>
    <w:tbl>
      <w:tblPr>
        <w:tblW w:w="9923" w:type="dxa"/>
        <w:tblLook w:val="04A0" w:firstRow="1" w:lastRow="0" w:firstColumn="1" w:lastColumn="0" w:noHBand="0" w:noVBand="1"/>
      </w:tblPr>
      <w:tblGrid>
        <w:gridCol w:w="5103"/>
        <w:gridCol w:w="271"/>
        <w:gridCol w:w="2286"/>
        <w:gridCol w:w="2268"/>
      </w:tblGrid>
      <w:tr w:rsidR="0021298F" w:rsidRPr="00935C7E" w14:paraId="28F08442" w14:textId="77777777" w:rsidTr="00760009">
        <w:trPr>
          <w:trHeight w:val="300"/>
        </w:trPr>
        <w:tc>
          <w:tcPr>
            <w:tcW w:w="5103" w:type="dxa"/>
            <w:tcBorders>
              <w:top w:val="nil"/>
              <w:left w:val="nil"/>
              <w:bottom w:val="nil"/>
              <w:right w:val="nil"/>
            </w:tcBorders>
            <w:shd w:val="clear" w:color="000000" w:fill="FFFFFF"/>
            <w:noWrap/>
            <w:vAlign w:val="bottom"/>
            <w:hideMark/>
          </w:tcPr>
          <w:p w14:paraId="26898CA4" w14:textId="77777777" w:rsidR="0021298F" w:rsidRPr="00935C7E" w:rsidRDefault="0021298F" w:rsidP="00760009">
            <w:pPr>
              <w:rPr>
                <w:rFonts w:ascii="Calibri" w:eastAsia="Times New Roman" w:hAnsi="Calibri" w:cs="Calibri"/>
                <w:b/>
                <w:bCs/>
                <w:color w:val="000000"/>
                <w:lang w:eastAsia="en-GB"/>
              </w:rPr>
            </w:pPr>
            <w:r w:rsidRPr="00935C7E">
              <w:rPr>
                <w:rFonts w:ascii="Calibri" w:eastAsia="Times New Roman" w:hAnsi="Calibri" w:cs="Calibri"/>
                <w:b/>
                <w:bCs/>
                <w:color w:val="000000"/>
                <w:lang w:eastAsia="en-GB"/>
              </w:rPr>
              <w:t> </w:t>
            </w:r>
          </w:p>
        </w:tc>
        <w:tc>
          <w:tcPr>
            <w:tcW w:w="266" w:type="dxa"/>
            <w:tcBorders>
              <w:top w:val="nil"/>
              <w:left w:val="nil"/>
              <w:bottom w:val="nil"/>
              <w:right w:val="nil"/>
            </w:tcBorders>
            <w:shd w:val="clear" w:color="000000" w:fill="FFFFFF"/>
            <w:noWrap/>
            <w:vAlign w:val="bottom"/>
            <w:hideMark/>
          </w:tcPr>
          <w:p w14:paraId="05E53843" w14:textId="77777777" w:rsidR="0021298F" w:rsidRPr="00935C7E" w:rsidRDefault="0021298F" w:rsidP="00760009">
            <w:pPr>
              <w:rPr>
                <w:rFonts w:ascii="Calibri" w:eastAsia="Times New Roman" w:hAnsi="Calibri" w:cs="Calibri"/>
                <w:b/>
                <w:bCs/>
                <w:color w:val="000000"/>
                <w:lang w:eastAsia="en-GB"/>
              </w:rPr>
            </w:pPr>
            <w:r w:rsidRPr="00935C7E">
              <w:rPr>
                <w:rFonts w:ascii="Calibri" w:eastAsia="Times New Roman" w:hAnsi="Calibri" w:cs="Calibri"/>
                <w:b/>
                <w:bCs/>
                <w:color w:val="000000"/>
                <w:lang w:eastAsia="en-GB"/>
              </w:rPr>
              <w:t> </w:t>
            </w:r>
          </w:p>
        </w:tc>
        <w:tc>
          <w:tcPr>
            <w:tcW w:w="2286" w:type="dxa"/>
            <w:tcBorders>
              <w:top w:val="nil"/>
              <w:left w:val="nil"/>
              <w:bottom w:val="nil"/>
              <w:right w:val="nil"/>
            </w:tcBorders>
            <w:shd w:val="clear" w:color="000000" w:fill="FFFFFF"/>
            <w:vAlign w:val="bottom"/>
            <w:hideMark/>
          </w:tcPr>
          <w:p w14:paraId="45AC1D29" w14:textId="77777777" w:rsidR="0021298F" w:rsidRPr="00935C7E" w:rsidRDefault="0021298F" w:rsidP="00760009">
            <w:pPr>
              <w:jc w:val="right"/>
              <w:rPr>
                <w:rFonts w:ascii="Arial" w:eastAsia="Times New Roman" w:hAnsi="Arial" w:cs="Arial"/>
                <w:b/>
                <w:bCs/>
                <w:color w:val="000000"/>
                <w:lang w:eastAsia="en-GB"/>
              </w:rPr>
            </w:pPr>
            <w:r w:rsidRPr="00935C7E">
              <w:rPr>
                <w:rFonts w:ascii="Arial" w:eastAsia="Times New Roman" w:hAnsi="Arial" w:cs="Arial"/>
                <w:b/>
                <w:bCs/>
                <w:color w:val="000000"/>
                <w:lang w:eastAsia="en-GB"/>
              </w:rPr>
              <w:t>For the year ended</w:t>
            </w:r>
          </w:p>
        </w:tc>
        <w:tc>
          <w:tcPr>
            <w:tcW w:w="2268" w:type="dxa"/>
            <w:tcBorders>
              <w:top w:val="nil"/>
              <w:left w:val="nil"/>
              <w:bottom w:val="nil"/>
              <w:right w:val="nil"/>
            </w:tcBorders>
            <w:shd w:val="clear" w:color="000000" w:fill="FFFFFF"/>
            <w:vAlign w:val="bottom"/>
            <w:hideMark/>
          </w:tcPr>
          <w:p w14:paraId="76E777EC" w14:textId="77777777" w:rsidR="0021298F" w:rsidRPr="00935C7E" w:rsidRDefault="0021298F" w:rsidP="00760009">
            <w:pPr>
              <w:jc w:val="right"/>
              <w:rPr>
                <w:rFonts w:ascii="Arial" w:eastAsia="Times New Roman" w:hAnsi="Arial" w:cs="Arial"/>
                <w:b/>
                <w:bCs/>
                <w:color w:val="000000"/>
                <w:lang w:eastAsia="en-GB"/>
              </w:rPr>
            </w:pPr>
            <w:r w:rsidRPr="00935C7E">
              <w:rPr>
                <w:rFonts w:ascii="Arial" w:eastAsia="Times New Roman" w:hAnsi="Arial" w:cs="Arial"/>
                <w:b/>
                <w:bCs/>
                <w:color w:val="000000"/>
                <w:lang w:eastAsia="en-GB"/>
              </w:rPr>
              <w:t>For the year ended</w:t>
            </w:r>
          </w:p>
        </w:tc>
      </w:tr>
      <w:tr w:rsidR="0021298F" w:rsidRPr="00935C7E" w14:paraId="4FEA9763" w14:textId="77777777" w:rsidTr="00760009">
        <w:trPr>
          <w:trHeight w:val="300"/>
        </w:trPr>
        <w:tc>
          <w:tcPr>
            <w:tcW w:w="5103" w:type="dxa"/>
            <w:tcBorders>
              <w:top w:val="nil"/>
              <w:left w:val="nil"/>
              <w:bottom w:val="nil"/>
              <w:right w:val="nil"/>
            </w:tcBorders>
            <w:shd w:val="clear" w:color="000000" w:fill="FFFFFF"/>
            <w:noWrap/>
            <w:vAlign w:val="bottom"/>
            <w:hideMark/>
          </w:tcPr>
          <w:p w14:paraId="2E0EA4A1" w14:textId="77777777" w:rsidR="0021298F" w:rsidRPr="00935C7E" w:rsidRDefault="0021298F" w:rsidP="00760009">
            <w:pPr>
              <w:rPr>
                <w:rFonts w:ascii="Calibri" w:eastAsia="Times New Roman" w:hAnsi="Calibri" w:cs="Calibri"/>
                <w:b/>
                <w:bCs/>
                <w:color w:val="000000"/>
                <w:lang w:eastAsia="en-GB"/>
              </w:rPr>
            </w:pPr>
            <w:r w:rsidRPr="00935C7E">
              <w:rPr>
                <w:rFonts w:ascii="Calibri" w:eastAsia="Times New Roman" w:hAnsi="Calibri" w:cs="Calibri"/>
                <w:b/>
                <w:bCs/>
                <w:color w:val="000000"/>
                <w:lang w:eastAsia="en-GB"/>
              </w:rPr>
              <w:t> </w:t>
            </w:r>
          </w:p>
        </w:tc>
        <w:tc>
          <w:tcPr>
            <w:tcW w:w="266" w:type="dxa"/>
            <w:tcBorders>
              <w:top w:val="nil"/>
              <w:left w:val="nil"/>
              <w:bottom w:val="nil"/>
              <w:right w:val="nil"/>
            </w:tcBorders>
            <w:shd w:val="clear" w:color="000000" w:fill="FFFFFF"/>
            <w:noWrap/>
            <w:vAlign w:val="bottom"/>
            <w:hideMark/>
          </w:tcPr>
          <w:p w14:paraId="02CE875D" w14:textId="77777777" w:rsidR="0021298F" w:rsidRPr="00935C7E" w:rsidRDefault="0021298F" w:rsidP="00760009">
            <w:pPr>
              <w:rPr>
                <w:rFonts w:ascii="Calibri" w:eastAsia="Times New Roman" w:hAnsi="Calibri" w:cs="Calibri"/>
                <w:b/>
                <w:bCs/>
                <w:color w:val="000000"/>
                <w:lang w:eastAsia="en-GB"/>
              </w:rPr>
            </w:pPr>
            <w:r w:rsidRPr="00935C7E">
              <w:rPr>
                <w:rFonts w:ascii="Calibri" w:eastAsia="Times New Roman" w:hAnsi="Calibri" w:cs="Calibri"/>
                <w:b/>
                <w:bCs/>
                <w:color w:val="000000"/>
                <w:lang w:eastAsia="en-GB"/>
              </w:rPr>
              <w:t> </w:t>
            </w:r>
          </w:p>
        </w:tc>
        <w:tc>
          <w:tcPr>
            <w:tcW w:w="2286" w:type="dxa"/>
            <w:tcBorders>
              <w:top w:val="nil"/>
              <w:left w:val="nil"/>
              <w:bottom w:val="nil"/>
              <w:right w:val="nil"/>
            </w:tcBorders>
            <w:shd w:val="clear" w:color="000000" w:fill="FFFFFF"/>
            <w:vAlign w:val="center"/>
            <w:hideMark/>
          </w:tcPr>
          <w:p w14:paraId="482BAA37" w14:textId="77777777" w:rsidR="0021298F" w:rsidRPr="00935C7E" w:rsidRDefault="0021298F" w:rsidP="00760009">
            <w:pPr>
              <w:jc w:val="right"/>
              <w:rPr>
                <w:rFonts w:ascii="Arial" w:eastAsia="Times New Roman" w:hAnsi="Arial" w:cs="Arial"/>
                <w:b/>
                <w:bCs/>
                <w:color w:val="000000"/>
                <w:lang w:eastAsia="en-GB"/>
              </w:rPr>
            </w:pPr>
            <w:r w:rsidRPr="00935C7E">
              <w:rPr>
                <w:rFonts w:ascii="Arial" w:eastAsia="Times New Roman" w:hAnsi="Arial" w:cs="Arial"/>
                <w:b/>
                <w:bCs/>
                <w:color w:val="000000"/>
                <w:lang w:eastAsia="en-GB"/>
              </w:rPr>
              <w:t>31 December 2020</w:t>
            </w:r>
          </w:p>
        </w:tc>
        <w:tc>
          <w:tcPr>
            <w:tcW w:w="2268" w:type="dxa"/>
            <w:tcBorders>
              <w:top w:val="nil"/>
              <w:left w:val="nil"/>
              <w:bottom w:val="nil"/>
              <w:right w:val="nil"/>
            </w:tcBorders>
            <w:shd w:val="clear" w:color="000000" w:fill="FFFFFF"/>
            <w:vAlign w:val="center"/>
            <w:hideMark/>
          </w:tcPr>
          <w:p w14:paraId="4E2DD8FF" w14:textId="77777777" w:rsidR="0021298F" w:rsidRPr="00935C7E" w:rsidRDefault="0021298F" w:rsidP="00760009">
            <w:pPr>
              <w:jc w:val="right"/>
              <w:rPr>
                <w:rFonts w:ascii="Arial" w:eastAsia="Times New Roman" w:hAnsi="Arial" w:cs="Arial"/>
                <w:b/>
                <w:bCs/>
                <w:color w:val="000000"/>
                <w:lang w:eastAsia="en-GB"/>
              </w:rPr>
            </w:pPr>
            <w:r w:rsidRPr="00935C7E">
              <w:rPr>
                <w:rFonts w:ascii="Arial" w:eastAsia="Times New Roman" w:hAnsi="Arial" w:cs="Arial"/>
                <w:b/>
                <w:bCs/>
                <w:color w:val="000000"/>
                <w:lang w:eastAsia="en-GB"/>
              </w:rPr>
              <w:t>31 December 2019</w:t>
            </w:r>
          </w:p>
        </w:tc>
      </w:tr>
      <w:tr w:rsidR="0021298F" w:rsidRPr="00935C7E" w14:paraId="1A1FE856" w14:textId="77777777" w:rsidTr="00760009">
        <w:trPr>
          <w:trHeight w:val="300"/>
        </w:trPr>
        <w:tc>
          <w:tcPr>
            <w:tcW w:w="5103" w:type="dxa"/>
            <w:tcBorders>
              <w:top w:val="nil"/>
              <w:left w:val="nil"/>
              <w:bottom w:val="single" w:sz="4" w:space="0" w:color="auto"/>
              <w:right w:val="nil"/>
            </w:tcBorders>
            <w:shd w:val="clear" w:color="000000" w:fill="FFFFFF"/>
            <w:noWrap/>
            <w:vAlign w:val="bottom"/>
            <w:hideMark/>
          </w:tcPr>
          <w:p w14:paraId="75BE8841" w14:textId="77777777" w:rsidR="0021298F" w:rsidRPr="00935C7E" w:rsidRDefault="0021298F" w:rsidP="00760009">
            <w:pPr>
              <w:rPr>
                <w:rFonts w:ascii="Calibri" w:eastAsia="Times New Roman" w:hAnsi="Calibri" w:cs="Calibri"/>
                <w:b/>
                <w:bCs/>
                <w:color w:val="000000"/>
                <w:lang w:eastAsia="en-GB"/>
              </w:rPr>
            </w:pPr>
            <w:r w:rsidRPr="00935C7E">
              <w:rPr>
                <w:rFonts w:ascii="Calibri" w:eastAsia="Times New Roman" w:hAnsi="Calibri" w:cs="Calibri"/>
                <w:b/>
                <w:bCs/>
                <w:color w:val="000000"/>
                <w:lang w:eastAsia="en-GB"/>
              </w:rPr>
              <w:t> </w:t>
            </w:r>
          </w:p>
        </w:tc>
        <w:tc>
          <w:tcPr>
            <w:tcW w:w="266" w:type="dxa"/>
            <w:tcBorders>
              <w:top w:val="nil"/>
              <w:left w:val="nil"/>
              <w:bottom w:val="single" w:sz="4" w:space="0" w:color="auto"/>
              <w:right w:val="nil"/>
            </w:tcBorders>
            <w:shd w:val="clear" w:color="000000" w:fill="FFFFFF"/>
            <w:noWrap/>
            <w:vAlign w:val="bottom"/>
            <w:hideMark/>
          </w:tcPr>
          <w:p w14:paraId="297E16E8" w14:textId="77777777" w:rsidR="0021298F" w:rsidRPr="00935C7E" w:rsidRDefault="0021298F" w:rsidP="00760009">
            <w:pPr>
              <w:rPr>
                <w:rFonts w:ascii="Calibri" w:eastAsia="Times New Roman" w:hAnsi="Calibri" w:cs="Calibri"/>
                <w:b/>
                <w:bCs/>
                <w:color w:val="000000"/>
                <w:lang w:eastAsia="en-GB"/>
              </w:rPr>
            </w:pPr>
            <w:r w:rsidRPr="00935C7E">
              <w:rPr>
                <w:rFonts w:ascii="Calibri" w:eastAsia="Times New Roman" w:hAnsi="Calibri" w:cs="Calibri"/>
                <w:b/>
                <w:bCs/>
                <w:color w:val="000000"/>
                <w:lang w:eastAsia="en-GB"/>
              </w:rPr>
              <w:t> </w:t>
            </w:r>
          </w:p>
        </w:tc>
        <w:tc>
          <w:tcPr>
            <w:tcW w:w="2286" w:type="dxa"/>
            <w:tcBorders>
              <w:top w:val="nil"/>
              <w:left w:val="nil"/>
              <w:bottom w:val="single" w:sz="4" w:space="0" w:color="auto"/>
              <w:right w:val="nil"/>
            </w:tcBorders>
            <w:shd w:val="clear" w:color="000000" w:fill="FFFFFF"/>
            <w:noWrap/>
            <w:vAlign w:val="center"/>
            <w:hideMark/>
          </w:tcPr>
          <w:p w14:paraId="65418E55" w14:textId="77777777" w:rsidR="0021298F" w:rsidRPr="00935C7E" w:rsidRDefault="0021298F" w:rsidP="00760009">
            <w:pPr>
              <w:jc w:val="right"/>
              <w:rPr>
                <w:rFonts w:ascii="Arial" w:eastAsia="Times New Roman" w:hAnsi="Arial" w:cs="Arial"/>
                <w:b/>
                <w:bCs/>
                <w:color w:val="000000"/>
                <w:lang w:eastAsia="en-GB"/>
              </w:rPr>
            </w:pPr>
            <w:r w:rsidRPr="00935C7E">
              <w:rPr>
                <w:rFonts w:ascii="Arial" w:eastAsia="Times New Roman" w:hAnsi="Arial" w:cs="Arial"/>
                <w:b/>
                <w:bCs/>
                <w:color w:val="000000"/>
                <w:lang w:eastAsia="en-GB"/>
              </w:rPr>
              <w:t>€’000</w:t>
            </w:r>
          </w:p>
        </w:tc>
        <w:tc>
          <w:tcPr>
            <w:tcW w:w="2268" w:type="dxa"/>
            <w:tcBorders>
              <w:top w:val="nil"/>
              <w:left w:val="nil"/>
              <w:bottom w:val="single" w:sz="4" w:space="0" w:color="auto"/>
              <w:right w:val="nil"/>
            </w:tcBorders>
            <w:shd w:val="clear" w:color="000000" w:fill="FFFFFF"/>
            <w:noWrap/>
            <w:vAlign w:val="center"/>
            <w:hideMark/>
          </w:tcPr>
          <w:p w14:paraId="1EFE3ABB" w14:textId="77777777" w:rsidR="0021298F" w:rsidRPr="00935C7E" w:rsidRDefault="0021298F" w:rsidP="00760009">
            <w:pPr>
              <w:jc w:val="right"/>
              <w:rPr>
                <w:rFonts w:ascii="Arial" w:eastAsia="Times New Roman" w:hAnsi="Arial" w:cs="Arial"/>
                <w:b/>
                <w:bCs/>
                <w:color w:val="000000"/>
                <w:lang w:eastAsia="en-GB"/>
              </w:rPr>
            </w:pPr>
            <w:r w:rsidRPr="00935C7E">
              <w:rPr>
                <w:rFonts w:ascii="Arial" w:eastAsia="Times New Roman" w:hAnsi="Arial" w:cs="Arial"/>
                <w:b/>
                <w:bCs/>
                <w:color w:val="000000"/>
                <w:lang w:eastAsia="en-GB"/>
              </w:rPr>
              <w:t>€’000</w:t>
            </w:r>
          </w:p>
        </w:tc>
      </w:tr>
      <w:tr w:rsidR="0021298F" w:rsidRPr="00935C7E" w14:paraId="7ABB4318" w14:textId="77777777" w:rsidTr="00760009">
        <w:trPr>
          <w:trHeight w:val="457"/>
        </w:trPr>
        <w:tc>
          <w:tcPr>
            <w:tcW w:w="5103" w:type="dxa"/>
            <w:tcBorders>
              <w:top w:val="nil"/>
              <w:left w:val="nil"/>
              <w:bottom w:val="nil"/>
              <w:right w:val="nil"/>
            </w:tcBorders>
            <w:shd w:val="clear" w:color="000000" w:fill="FFFFFF"/>
            <w:vAlign w:val="center"/>
            <w:hideMark/>
          </w:tcPr>
          <w:p w14:paraId="5520DAE5" w14:textId="77777777" w:rsidR="0021298F" w:rsidRPr="00935C7E" w:rsidRDefault="0021298F" w:rsidP="00760009">
            <w:pPr>
              <w:rPr>
                <w:rFonts w:ascii="Arial" w:eastAsia="Times New Roman" w:hAnsi="Arial" w:cs="Arial"/>
                <w:color w:val="000000"/>
                <w:lang w:eastAsia="en-GB"/>
              </w:rPr>
            </w:pPr>
            <w:r w:rsidRPr="00935C7E">
              <w:rPr>
                <w:rFonts w:ascii="Arial" w:eastAsia="Times New Roman" w:hAnsi="Arial" w:cs="Arial"/>
                <w:color w:val="000000"/>
                <w:lang w:eastAsia="en-GB"/>
              </w:rPr>
              <w:t>Interest on shareholder loan investment (note 19)</w:t>
            </w:r>
          </w:p>
        </w:tc>
        <w:tc>
          <w:tcPr>
            <w:tcW w:w="266" w:type="dxa"/>
            <w:tcBorders>
              <w:top w:val="nil"/>
              <w:left w:val="nil"/>
              <w:bottom w:val="nil"/>
              <w:right w:val="nil"/>
            </w:tcBorders>
            <w:shd w:val="clear" w:color="auto" w:fill="auto"/>
            <w:noWrap/>
            <w:vAlign w:val="bottom"/>
            <w:hideMark/>
          </w:tcPr>
          <w:p w14:paraId="687A711C" w14:textId="77777777" w:rsidR="0021298F" w:rsidRPr="00935C7E" w:rsidRDefault="0021298F" w:rsidP="00760009">
            <w:pPr>
              <w:rPr>
                <w:rFonts w:ascii="Arial" w:eastAsia="Times New Roman" w:hAnsi="Arial" w:cs="Arial"/>
                <w:color w:val="000000"/>
                <w:lang w:eastAsia="en-GB"/>
              </w:rPr>
            </w:pPr>
          </w:p>
        </w:tc>
        <w:tc>
          <w:tcPr>
            <w:tcW w:w="2286" w:type="dxa"/>
            <w:tcBorders>
              <w:top w:val="nil"/>
              <w:left w:val="nil"/>
              <w:bottom w:val="nil"/>
              <w:right w:val="nil"/>
            </w:tcBorders>
            <w:shd w:val="clear" w:color="000000" w:fill="EDFFB7"/>
            <w:vAlign w:val="center"/>
            <w:hideMark/>
          </w:tcPr>
          <w:p w14:paraId="3C522AEB" w14:textId="77777777" w:rsidR="0021298F" w:rsidRPr="00935C7E" w:rsidRDefault="0021298F" w:rsidP="00760009">
            <w:pPr>
              <w:jc w:val="right"/>
              <w:rPr>
                <w:rFonts w:ascii="Arial" w:eastAsia="Times New Roman" w:hAnsi="Arial" w:cs="Arial"/>
                <w:color w:val="000000"/>
                <w:lang w:eastAsia="en-GB"/>
              </w:rPr>
            </w:pPr>
            <w:r w:rsidRPr="00935C7E">
              <w:rPr>
                <w:rFonts w:ascii="Arial" w:eastAsia="Times New Roman" w:hAnsi="Arial" w:cs="Arial"/>
                <w:color w:val="000000"/>
                <w:lang w:eastAsia="en-GB"/>
              </w:rPr>
              <w:t>12,189</w:t>
            </w:r>
          </w:p>
        </w:tc>
        <w:tc>
          <w:tcPr>
            <w:tcW w:w="2268" w:type="dxa"/>
            <w:tcBorders>
              <w:top w:val="nil"/>
              <w:left w:val="nil"/>
              <w:bottom w:val="nil"/>
              <w:right w:val="nil"/>
            </w:tcBorders>
            <w:shd w:val="clear" w:color="000000" w:fill="FFFFFF"/>
            <w:noWrap/>
            <w:vAlign w:val="center"/>
            <w:hideMark/>
          </w:tcPr>
          <w:p w14:paraId="37455ADB" w14:textId="77777777" w:rsidR="0021298F" w:rsidRPr="00935C7E" w:rsidRDefault="0021298F" w:rsidP="00760009">
            <w:pPr>
              <w:jc w:val="right"/>
              <w:rPr>
                <w:rFonts w:ascii="Arial" w:eastAsia="Times New Roman" w:hAnsi="Arial" w:cs="Arial"/>
                <w:color w:val="000000"/>
                <w:lang w:eastAsia="en-GB"/>
              </w:rPr>
            </w:pPr>
            <w:r w:rsidRPr="00935C7E">
              <w:rPr>
                <w:rFonts w:ascii="Arial" w:eastAsia="Times New Roman" w:hAnsi="Arial" w:cs="Arial"/>
                <w:color w:val="000000"/>
                <w:lang w:eastAsia="en-GB"/>
              </w:rPr>
              <w:t>11,917</w:t>
            </w:r>
          </w:p>
        </w:tc>
      </w:tr>
      <w:tr w:rsidR="0021298F" w:rsidRPr="00935C7E" w14:paraId="24195DD5" w14:textId="77777777" w:rsidTr="00760009">
        <w:trPr>
          <w:trHeight w:val="360"/>
        </w:trPr>
        <w:tc>
          <w:tcPr>
            <w:tcW w:w="5103" w:type="dxa"/>
            <w:tcBorders>
              <w:top w:val="nil"/>
              <w:left w:val="nil"/>
              <w:bottom w:val="nil"/>
              <w:right w:val="nil"/>
            </w:tcBorders>
            <w:shd w:val="clear" w:color="000000" w:fill="FFFFFF"/>
            <w:vAlign w:val="center"/>
            <w:hideMark/>
          </w:tcPr>
          <w:p w14:paraId="7D09F11E" w14:textId="77777777" w:rsidR="0021298F" w:rsidRPr="00935C7E" w:rsidRDefault="0021298F" w:rsidP="00760009">
            <w:pPr>
              <w:rPr>
                <w:rFonts w:ascii="Arial" w:eastAsia="Times New Roman" w:hAnsi="Arial" w:cs="Arial"/>
                <w:color w:val="000000"/>
                <w:lang w:eastAsia="en-GB"/>
              </w:rPr>
            </w:pPr>
            <w:r w:rsidRPr="00935C7E">
              <w:rPr>
                <w:rFonts w:ascii="Arial" w:eastAsia="Times New Roman" w:hAnsi="Arial" w:cs="Arial"/>
                <w:color w:val="000000"/>
                <w:lang w:eastAsia="en-GB"/>
              </w:rPr>
              <w:t>Dividends received (note 19)</w:t>
            </w:r>
          </w:p>
        </w:tc>
        <w:tc>
          <w:tcPr>
            <w:tcW w:w="266" w:type="dxa"/>
            <w:tcBorders>
              <w:top w:val="nil"/>
              <w:left w:val="nil"/>
              <w:bottom w:val="nil"/>
              <w:right w:val="nil"/>
            </w:tcBorders>
            <w:shd w:val="clear" w:color="auto" w:fill="auto"/>
            <w:noWrap/>
            <w:vAlign w:val="bottom"/>
            <w:hideMark/>
          </w:tcPr>
          <w:p w14:paraId="0174006B" w14:textId="77777777" w:rsidR="0021298F" w:rsidRPr="00935C7E" w:rsidRDefault="0021298F" w:rsidP="00760009">
            <w:pPr>
              <w:rPr>
                <w:rFonts w:ascii="Arial" w:eastAsia="Times New Roman" w:hAnsi="Arial" w:cs="Arial"/>
                <w:color w:val="000000"/>
                <w:lang w:eastAsia="en-GB"/>
              </w:rPr>
            </w:pPr>
          </w:p>
        </w:tc>
        <w:tc>
          <w:tcPr>
            <w:tcW w:w="2286" w:type="dxa"/>
            <w:tcBorders>
              <w:top w:val="nil"/>
              <w:left w:val="nil"/>
              <w:bottom w:val="nil"/>
              <w:right w:val="nil"/>
            </w:tcBorders>
            <w:shd w:val="clear" w:color="000000" w:fill="EDFFB7"/>
            <w:vAlign w:val="center"/>
            <w:hideMark/>
          </w:tcPr>
          <w:p w14:paraId="5A40A75E" w14:textId="77777777" w:rsidR="0021298F" w:rsidRPr="00935C7E" w:rsidRDefault="0021298F" w:rsidP="00760009">
            <w:pPr>
              <w:jc w:val="right"/>
              <w:rPr>
                <w:rFonts w:ascii="Arial" w:eastAsia="Times New Roman" w:hAnsi="Arial" w:cs="Arial"/>
                <w:color w:val="000000"/>
                <w:lang w:eastAsia="en-GB"/>
              </w:rPr>
            </w:pPr>
            <w:r w:rsidRPr="00935C7E">
              <w:rPr>
                <w:rFonts w:ascii="Arial" w:eastAsia="Times New Roman" w:hAnsi="Arial" w:cs="Arial"/>
                <w:color w:val="000000"/>
                <w:lang w:eastAsia="en-GB"/>
              </w:rPr>
              <w:t>15,311</w:t>
            </w:r>
          </w:p>
        </w:tc>
        <w:tc>
          <w:tcPr>
            <w:tcW w:w="2268" w:type="dxa"/>
            <w:tcBorders>
              <w:top w:val="nil"/>
              <w:left w:val="nil"/>
              <w:bottom w:val="nil"/>
              <w:right w:val="nil"/>
            </w:tcBorders>
            <w:shd w:val="clear" w:color="000000" w:fill="FFFFFF"/>
            <w:noWrap/>
            <w:vAlign w:val="center"/>
            <w:hideMark/>
          </w:tcPr>
          <w:p w14:paraId="7D619836" w14:textId="77777777" w:rsidR="0021298F" w:rsidRPr="00935C7E" w:rsidRDefault="0021298F" w:rsidP="00760009">
            <w:pPr>
              <w:jc w:val="right"/>
              <w:rPr>
                <w:rFonts w:ascii="Arial" w:eastAsia="Times New Roman" w:hAnsi="Arial" w:cs="Arial"/>
                <w:color w:val="000000"/>
                <w:lang w:eastAsia="en-GB"/>
              </w:rPr>
            </w:pPr>
            <w:r w:rsidRPr="00935C7E">
              <w:rPr>
                <w:rFonts w:ascii="Arial" w:eastAsia="Times New Roman" w:hAnsi="Arial" w:cs="Arial"/>
                <w:color w:val="000000"/>
                <w:lang w:eastAsia="en-GB"/>
              </w:rPr>
              <w:t>3,950</w:t>
            </w:r>
          </w:p>
        </w:tc>
      </w:tr>
      <w:tr w:rsidR="0021298F" w:rsidRPr="00935C7E" w14:paraId="3EA67471" w14:textId="77777777" w:rsidTr="00760009">
        <w:trPr>
          <w:trHeight w:val="570"/>
        </w:trPr>
        <w:tc>
          <w:tcPr>
            <w:tcW w:w="5103" w:type="dxa"/>
            <w:tcBorders>
              <w:top w:val="nil"/>
              <w:left w:val="nil"/>
              <w:bottom w:val="nil"/>
              <w:right w:val="nil"/>
            </w:tcBorders>
            <w:shd w:val="clear" w:color="000000" w:fill="FFFFFF"/>
            <w:vAlign w:val="center"/>
            <w:hideMark/>
          </w:tcPr>
          <w:p w14:paraId="7C3184EC" w14:textId="77777777" w:rsidR="0021298F" w:rsidRPr="00935C7E" w:rsidRDefault="0021298F" w:rsidP="00760009">
            <w:pPr>
              <w:rPr>
                <w:rFonts w:ascii="Arial" w:eastAsia="Times New Roman" w:hAnsi="Arial" w:cs="Arial"/>
                <w:color w:val="000000"/>
                <w:lang w:eastAsia="en-GB"/>
              </w:rPr>
            </w:pPr>
            <w:r w:rsidRPr="00935C7E">
              <w:rPr>
                <w:rFonts w:ascii="Arial" w:eastAsia="Times New Roman" w:hAnsi="Arial" w:cs="Arial"/>
                <w:color w:val="000000"/>
                <w:lang w:eastAsia="en-GB"/>
              </w:rPr>
              <w:lastRenderedPageBreak/>
              <w:t>Unrealised movement in fair value of investments (note 9)</w:t>
            </w:r>
          </w:p>
        </w:tc>
        <w:tc>
          <w:tcPr>
            <w:tcW w:w="266" w:type="dxa"/>
            <w:tcBorders>
              <w:top w:val="nil"/>
              <w:left w:val="nil"/>
              <w:bottom w:val="nil"/>
              <w:right w:val="nil"/>
            </w:tcBorders>
            <w:shd w:val="clear" w:color="auto" w:fill="auto"/>
            <w:noWrap/>
            <w:vAlign w:val="bottom"/>
            <w:hideMark/>
          </w:tcPr>
          <w:p w14:paraId="12C55C0E" w14:textId="77777777" w:rsidR="0021298F" w:rsidRPr="00935C7E" w:rsidRDefault="0021298F" w:rsidP="00760009">
            <w:pPr>
              <w:rPr>
                <w:rFonts w:ascii="Arial" w:eastAsia="Times New Roman" w:hAnsi="Arial" w:cs="Arial"/>
                <w:color w:val="000000"/>
                <w:lang w:eastAsia="en-GB"/>
              </w:rPr>
            </w:pPr>
          </w:p>
        </w:tc>
        <w:tc>
          <w:tcPr>
            <w:tcW w:w="2286" w:type="dxa"/>
            <w:tcBorders>
              <w:top w:val="nil"/>
              <w:left w:val="nil"/>
              <w:bottom w:val="nil"/>
              <w:right w:val="nil"/>
            </w:tcBorders>
            <w:shd w:val="clear" w:color="000000" w:fill="EDFFB7"/>
            <w:vAlign w:val="center"/>
            <w:hideMark/>
          </w:tcPr>
          <w:p w14:paraId="3869448D" w14:textId="77777777" w:rsidR="0021298F" w:rsidRPr="00935C7E" w:rsidRDefault="0021298F" w:rsidP="00760009">
            <w:pPr>
              <w:jc w:val="right"/>
              <w:rPr>
                <w:rFonts w:ascii="Arial" w:eastAsia="Times New Roman" w:hAnsi="Arial" w:cs="Arial"/>
                <w:color w:val="000000"/>
                <w:lang w:eastAsia="en-GB"/>
              </w:rPr>
            </w:pPr>
            <w:r w:rsidRPr="00935C7E">
              <w:rPr>
                <w:rFonts w:ascii="Arial" w:eastAsia="Times New Roman" w:hAnsi="Arial" w:cs="Arial"/>
                <w:color w:val="000000"/>
                <w:lang w:eastAsia="en-GB"/>
              </w:rPr>
              <w:t xml:space="preserve"> (1,034)</w:t>
            </w:r>
          </w:p>
        </w:tc>
        <w:tc>
          <w:tcPr>
            <w:tcW w:w="2268" w:type="dxa"/>
            <w:tcBorders>
              <w:top w:val="nil"/>
              <w:left w:val="nil"/>
              <w:bottom w:val="nil"/>
              <w:right w:val="nil"/>
            </w:tcBorders>
            <w:shd w:val="clear" w:color="000000" w:fill="FFFFFF"/>
            <w:noWrap/>
            <w:vAlign w:val="center"/>
            <w:hideMark/>
          </w:tcPr>
          <w:p w14:paraId="3977A94B" w14:textId="77777777" w:rsidR="0021298F" w:rsidRPr="00935C7E" w:rsidRDefault="0021298F" w:rsidP="00760009">
            <w:pPr>
              <w:jc w:val="right"/>
              <w:rPr>
                <w:rFonts w:ascii="Arial" w:eastAsia="Times New Roman" w:hAnsi="Arial" w:cs="Arial"/>
                <w:color w:val="000000"/>
                <w:lang w:eastAsia="en-GB"/>
              </w:rPr>
            </w:pPr>
            <w:r w:rsidRPr="00935C7E">
              <w:rPr>
                <w:rFonts w:ascii="Arial" w:eastAsia="Times New Roman" w:hAnsi="Arial" w:cs="Arial"/>
                <w:color w:val="000000"/>
                <w:lang w:eastAsia="en-GB"/>
              </w:rPr>
              <w:t>10,685</w:t>
            </w:r>
          </w:p>
        </w:tc>
      </w:tr>
      <w:tr w:rsidR="0021298F" w:rsidRPr="00935C7E" w14:paraId="34D26BEB" w14:textId="77777777" w:rsidTr="00760009">
        <w:trPr>
          <w:trHeight w:val="600"/>
        </w:trPr>
        <w:tc>
          <w:tcPr>
            <w:tcW w:w="5103" w:type="dxa"/>
            <w:tcBorders>
              <w:top w:val="nil"/>
              <w:left w:val="nil"/>
              <w:bottom w:val="single" w:sz="4" w:space="0" w:color="auto"/>
              <w:right w:val="nil"/>
            </w:tcBorders>
            <w:shd w:val="clear" w:color="000000" w:fill="FFFFFF"/>
            <w:vAlign w:val="center"/>
            <w:hideMark/>
          </w:tcPr>
          <w:p w14:paraId="12CDF6DC" w14:textId="77777777" w:rsidR="0021298F" w:rsidRPr="00935C7E" w:rsidRDefault="0021298F" w:rsidP="00760009">
            <w:pPr>
              <w:rPr>
                <w:rFonts w:ascii="Arial" w:eastAsia="Times New Roman" w:hAnsi="Arial" w:cs="Arial"/>
                <w:color w:val="000000"/>
                <w:lang w:eastAsia="en-GB"/>
              </w:rPr>
            </w:pPr>
            <w:r w:rsidRPr="00935C7E">
              <w:rPr>
                <w:rFonts w:ascii="Arial" w:eastAsia="Times New Roman" w:hAnsi="Arial" w:cs="Arial"/>
                <w:color w:val="000000"/>
                <w:lang w:eastAsia="en-GB"/>
              </w:rPr>
              <w:t>Gain on adjustment to purchase price of investments (note 9)</w:t>
            </w:r>
          </w:p>
        </w:tc>
        <w:tc>
          <w:tcPr>
            <w:tcW w:w="266" w:type="dxa"/>
            <w:tcBorders>
              <w:top w:val="nil"/>
              <w:left w:val="nil"/>
              <w:bottom w:val="single" w:sz="4" w:space="0" w:color="auto"/>
              <w:right w:val="nil"/>
            </w:tcBorders>
            <w:shd w:val="clear" w:color="auto" w:fill="auto"/>
            <w:noWrap/>
            <w:vAlign w:val="bottom"/>
            <w:hideMark/>
          </w:tcPr>
          <w:p w14:paraId="0284074E" w14:textId="77777777" w:rsidR="0021298F" w:rsidRPr="00935C7E" w:rsidRDefault="0021298F" w:rsidP="00760009">
            <w:pPr>
              <w:rPr>
                <w:rFonts w:ascii="Calibri" w:eastAsia="Times New Roman" w:hAnsi="Calibri" w:cs="Calibri"/>
                <w:color w:val="000000"/>
                <w:lang w:eastAsia="en-GB"/>
              </w:rPr>
            </w:pPr>
            <w:r w:rsidRPr="00935C7E">
              <w:rPr>
                <w:rFonts w:ascii="Calibri" w:eastAsia="Times New Roman" w:hAnsi="Calibri" w:cs="Calibri"/>
                <w:color w:val="000000"/>
                <w:lang w:eastAsia="en-GB"/>
              </w:rPr>
              <w:t> </w:t>
            </w:r>
          </w:p>
        </w:tc>
        <w:tc>
          <w:tcPr>
            <w:tcW w:w="2286" w:type="dxa"/>
            <w:tcBorders>
              <w:top w:val="nil"/>
              <w:left w:val="nil"/>
              <w:bottom w:val="single" w:sz="4" w:space="0" w:color="auto"/>
              <w:right w:val="nil"/>
            </w:tcBorders>
            <w:shd w:val="clear" w:color="000000" w:fill="EDFFB7"/>
            <w:vAlign w:val="center"/>
            <w:hideMark/>
          </w:tcPr>
          <w:p w14:paraId="1E18E35A" w14:textId="77777777" w:rsidR="0021298F" w:rsidRPr="00935C7E" w:rsidRDefault="0021298F" w:rsidP="00760009">
            <w:pPr>
              <w:jc w:val="right"/>
              <w:rPr>
                <w:rFonts w:ascii="Arial" w:eastAsia="Times New Roman" w:hAnsi="Arial" w:cs="Arial"/>
                <w:color w:val="000000"/>
                <w:lang w:eastAsia="en-GB"/>
              </w:rPr>
            </w:pPr>
            <w:r w:rsidRPr="00935C7E">
              <w:rPr>
                <w:rFonts w:ascii="Arial" w:eastAsia="Times New Roman" w:hAnsi="Arial" w:cs="Arial"/>
                <w:color w:val="000000"/>
                <w:lang w:eastAsia="en-GB"/>
              </w:rPr>
              <w:t xml:space="preserve">-   </w:t>
            </w:r>
          </w:p>
        </w:tc>
        <w:tc>
          <w:tcPr>
            <w:tcW w:w="2268" w:type="dxa"/>
            <w:tcBorders>
              <w:top w:val="nil"/>
              <w:left w:val="nil"/>
              <w:bottom w:val="single" w:sz="4" w:space="0" w:color="auto"/>
              <w:right w:val="nil"/>
            </w:tcBorders>
            <w:shd w:val="clear" w:color="000000" w:fill="FFFFFF"/>
            <w:noWrap/>
            <w:vAlign w:val="center"/>
            <w:hideMark/>
          </w:tcPr>
          <w:p w14:paraId="3BD6A706" w14:textId="77777777" w:rsidR="0021298F" w:rsidRPr="00935C7E" w:rsidRDefault="0021298F" w:rsidP="00760009">
            <w:pPr>
              <w:jc w:val="right"/>
              <w:rPr>
                <w:rFonts w:ascii="Arial" w:eastAsia="Times New Roman" w:hAnsi="Arial" w:cs="Arial"/>
                <w:color w:val="000000"/>
                <w:lang w:eastAsia="en-GB"/>
              </w:rPr>
            </w:pPr>
            <w:r w:rsidRPr="00935C7E">
              <w:rPr>
                <w:rFonts w:ascii="Arial" w:eastAsia="Times New Roman" w:hAnsi="Arial" w:cs="Arial"/>
                <w:color w:val="000000"/>
                <w:lang w:eastAsia="en-GB"/>
              </w:rPr>
              <w:t>2,923</w:t>
            </w:r>
          </w:p>
        </w:tc>
      </w:tr>
      <w:tr w:rsidR="0021298F" w:rsidRPr="00935C7E" w14:paraId="31F1D783" w14:textId="77777777" w:rsidTr="00760009">
        <w:trPr>
          <w:trHeight w:val="315"/>
        </w:trPr>
        <w:tc>
          <w:tcPr>
            <w:tcW w:w="5103" w:type="dxa"/>
            <w:tcBorders>
              <w:top w:val="nil"/>
              <w:left w:val="nil"/>
              <w:bottom w:val="single" w:sz="8" w:space="0" w:color="auto"/>
              <w:right w:val="nil"/>
            </w:tcBorders>
            <w:shd w:val="clear" w:color="000000" w:fill="FFFFFF"/>
            <w:noWrap/>
            <w:vAlign w:val="bottom"/>
            <w:hideMark/>
          </w:tcPr>
          <w:p w14:paraId="0782EEF1" w14:textId="77777777" w:rsidR="0021298F" w:rsidRPr="00935C7E" w:rsidRDefault="0021298F" w:rsidP="00760009">
            <w:pPr>
              <w:rPr>
                <w:rFonts w:ascii="Calibri" w:eastAsia="Times New Roman" w:hAnsi="Calibri" w:cs="Calibri"/>
                <w:color w:val="000000"/>
                <w:lang w:eastAsia="en-GB"/>
              </w:rPr>
            </w:pPr>
            <w:r w:rsidRPr="00935C7E">
              <w:rPr>
                <w:rFonts w:ascii="Calibri" w:eastAsia="Times New Roman" w:hAnsi="Calibri" w:cs="Calibri"/>
                <w:color w:val="000000"/>
                <w:lang w:eastAsia="en-GB"/>
              </w:rPr>
              <w:t> </w:t>
            </w:r>
          </w:p>
        </w:tc>
        <w:tc>
          <w:tcPr>
            <w:tcW w:w="266" w:type="dxa"/>
            <w:tcBorders>
              <w:top w:val="nil"/>
              <w:left w:val="nil"/>
              <w:bottom w:val="single" w:sz="8" w:space="0" w:color="auto"/>
              <w:right w:val="nil"/>
            </w:tcBorders>
            <w:shd w:val="clear" w:color="auto" w:fill="auto"/>
            <w:noWrap/>
            <w:vAlign w:val="bottom"/>
            <w:hideMark/>
          </w:tcPr>
          <w:p w14:paraId="45153B7D" w14:textId="77777777" w:rsidR="0021298F" w:rsidRPr="00935C7E" w:rsidRDefault="0021298F" w:rsidP="00760009">
            <w:pPr>
              <w:rPr>
                <w:rFonts w:ascii="Calibri" w:eastAsia="Times New Roman" w:hAnsi="Calibri" w:cs="Calibri"/>
                <w:color w:val="000000"/>
                <w:lang w:eastAsia="en-GB"/>
              </w:rPr>
            </w:pPr>
            <w:r w:rsidRPr="00935C7E">
              <w:rPr>
                <w:rFonts w:ascii="Calibri" w:eastAsia="Times New Roman" w:hAnsi="Calibri" w:cs="Calibri"/>
                <w:color w:val="000000"/>
                <w:lang w:eastAsia="en-GB"/>
              </w:rPr>
              <w:t> </w:t>
            </w:r>
          </w:p>
        </w:tc>
        <w:tc>
          <w:tcPr>
            <w:tcW w:w="2286" w:type="dxa"/>
            <w:tcBorders>
              <w:top w:val="nil"/>
              <w:left w:val="nil"/>
              <w:bottom w:val="single" w:sz="8" w:space="0" w:color="auto"/>
              <w:right w:val="nil"/>
            </w:tcBorders>
            <w:shd w:val="clear" w:color="000000" w:fill="EDFFB7"/>
            <w:vAlign w:val="center"/>
            <w:hideMark/>
          </w:tcPr>
          <w:p w14:paraId="5A97FD21" w14:textId="77777777" w:rsidR="0021298F" w:rsidRPr="00935C7E" w:rsidRDefault="0021298F" w:rsidP="00760009">
            <w:pPr>
              <w:jc w:val="right"/>
              <w:rPr>
                <w:rFonts w:ascii="Arial" w:eastAsia="Times New Roman" w:hAnsi="Arial" w:cs="Arial"/>
                <w:b/>
                <w:bCs/>
                <w:color w:val="000000"/>
                <w:lang w:eastAsia="en-GB"/>
              </w:rPr>
            </w:pPr>
            <w:r w:rsidRPr="00935C7E">
              <w:rPr>
                <w:rFonts w:ascii="Arial" w:eastAsia="Times New Roman" w:hAnsi="Arial" w:cs="Arial"/>
                <w:b/>
                <w:bCs/>
                <w:color w:val="000000"/>
                <w:lang w:eastAsia="en-GB"/>
              </w:rPr>
              <w:t>26,466</w:t>
            </w:r>
          </w:p>
        </w:tc>
        <w:tc>
          <w:tcPr>
            <w:tcW w:w="2268" w:type="dxa"/>
            <w:tcBorders>
              <w:top w:val="nil"/>
              <w:left w:val="nil"/>
              <w:bottom w:val="single" w:sz="8" w:space="0" w:color="auto"/>
              <w:right w:val="nil"/>
            </w:tcBorders>
            <w:shd w:val="clear" w:color="000000" w:fill="FFFFFF"/>
            <w:noWrap/>
            <w:vAlign w:val="center"/>
            <w:hideMark/>
          </w:tcPr>
          <w:p w14:paraId="13D6C936" w14:textId="77777777" w:rsidR="0021298F" w:rsidRPr="00935C7E" w:rsidRDefault="0021298F" w:rsidP="00760009">
            <w:pPr>
              <w:jc w:val="right"/>
              <w:rPr>
                <w:rFonts w:ascii="Arial" w:eastAsia="Times New Roman" w:hAnsi="Arial" w:cs="Arial"/>
                <w:b/>
                <w:bCs/>
                <w:color w:val="000000"/>
                <w:lang w:eastAsia="en-GB"/>
              </w:rPr>
            </w:pPr>
            <w:r w:rsidRPr="00935C7E">
              <w:rPr>
                <w:rFonts w:ascii="Arial" w:eastAsia="Times New Roman" w:hAnsi="Arial" w:cs="Arial"/>
                <w:b/>
                <w:bCs/>
                <w:color w:val="000000"/>
                <w:lang w:eastAsia="en-GB"/>
              </w:rPr>
              <w:t>29,475</w:t>
            </w:r>
          </w:p>
        </w:tc>
      </w:tr>
    </w:tbl>
    <w:p w14:paraId="25E58D97" w14:textId="77777777" w:rsidR="0021298F" w:rsidRPr="00660DCB" w:rsidRDefault="0021298F" w:rsidP="0021298F">
      <w:pPr>
        <w:rPr>
          <w:rFonts w:ascii="Arial" w:hAnsi="Arial" w:cs="Arial"/>
          <w:lang w:eastAsia="en-GB"/>
        </w:rPr>
      </w:pPr>
    </w:p>
    <w:p w14:paraId="72759AE4" w14:textId="77777777" w:rsidR="0021298F" w:rsidRDefault="0021298F" w:rsidP="0021298F">
      <w:pPr>
        <w:pStyle w:val="Heading2"/>
        <w:keepNext w:val="0"/>
        <w:keepLines w:val="0"/>
        <w:spacing w:before="0" w:line="240" w:lineRule="auto"/>
        <w:jc w:val="both"/>
        <w:rPr>
          <w:rFonts w:ascii="Arial" w:hAnsi="Arial" w:cs="Arial"/>
          <w:color w:val="auto"/>
          <w:sz w:val="24"/>
          <w:szCs w:val="22"/>
          <w:lang w:eastAsia="en-GB"/>
        </w:rPr>
      </w:pPr>
      <w:r>
        <w:rPr>
          <w:rFonts w:ascii="Arial" w:hAnsi="Arial" w:cs="Arial"/>
          <w:color w:val="auto"/>
          <w:sz w:val="24"/>
          <w:szCs w:val="22"/>
          <w:lang w:eastAsia="en-GB"/>
        </w:rPr>
        <w:t xml:space="preserve">5. </w:t>
      </w:r>
      <w:r w:rsidRPr="00B269CA">
        <w:rPr>
          <w:rFonts w:ascii="Arial" w:hAnsi="Arial" w:cs="Arial"/>
          <w:color w:val="auto"/>
          <w:sz w:val="24"/>
          <w:szCs w:val="22"/>
          <w:lang w:eastAsia="en-GB"/>
        </w:rPr>
        <w:t xml:space="preserve">Operating </w:t>
      </w:r>
      <w:r>
        <w:rPr>
          <w:rFonts w:ascii="Arial" w:hAnsi="Arial" w:cs="Arial"/>
          <w:color w:val="auto"/>
          <w:sz w:val="24"/>
          <w:szCs w:val="22"/>
          <w:lang w:eastAsia="en-GB"/>
        </w:rPr>
        <w:t>e</w:t>
      </w:r>
      <w:r w:rsidRPr="00B269CA">
        <w:rPr>
          <w:rFonts w:ascii="Arial" w:hAnsi="Arial" w:cs="Arial"/>
          <w:color w:val="auto"/>
          <w:sz w:val="24"/>
          <w:szCs w:val="22"/>
          <w:lang w:eastAsia="en-GB"/>
        </w:rPr>
        <w:t>xpenses</w:t>
      </w:r>
    </w:p>
    <w:tbl>
      <w:tblPr>
        <w:tblW w:w="9498" w:type="dxa"/>
        <w:tblLook w:val="04A0" w:firstRow="1" w:lastRow="0" w:firstColumn="1" w:lastColumn="0" w:noHBand="0" w:noVBand="1"/>
      </w:tblPr>
      <w:tblGrid>
        <w:gridCol w:w="4736"/>
        <w:gridCol w:w="283"/>
        <w:gridCol w:w="2216"/>
        <w:gridCol w:w="2268"/>
      </w:tblGrid>
      <w:tr w:rsidR="0021298F" w:rsidRPr="00935C7E" w14:paraId="0059D6F8" w14:textId="77777777" w:rsidTr="00760009">
        <w:trPr>
          <w:trHeight w:val="300"/>
        </w:trPr>
        <w:tc>
          <w:tcPr>
            <w:tcW w:w="4736" w:type="dxa"/>
            <w:tcBorders>
              <w:top w:val="nil"/>
              <w:left w:val="nil"/>
              <w:bottom w:val="nil"/>
              <w:right w:val="nil"/>
            </w:tcBorders>
            <w:shd w:val="clear" w:color="000000" w:fill="FFFFFF"/>
            <w:noWrap/>
            <w:vAlign w:val="bottom"/>
            <w:hideMark/>
          </w:tcPr>
          <w:p w14:paraId="24C41025" w14:textId="77777777" w:rsidR="0021298F" w:rsidRPr="00935C7E" w:rsidRDefault="0021298F" w:rsidP="00760009">
            <w:pPr>
              <w:rPr>
                <w:rFonts w:ascii="Calibri" w:eastAsia="Times New Roman" w:hAnsi="Calibri" w:cs="Calibri"/>
                <w:b/>
                <w:bCs/>
                <w:color w:val="000000"/>
                <w:lang w:eastAsia="en-GB"/>
              </w:rPr>
            </w:pPr>
            <w:r w:rsidRPr="00935C7E">
              <w:rPr>
                <w:rFonts w:ascii="Calibri" w:eastAsia="Times New Roman" w:hAnsi="Calibri" w:cs="Calibri"/>
                <w:b/>
                <w:bCs/>
                <w:color w:val="000000"/>
                <w:lang w:eastAsia="en-GB"/>
              </w:rPr>
              <w:t> </w:t>
            </w:r>
          </w:p>
        </w:tc>
        <w:tc>
          <w:tcPr>
            <w:tcW w:w="278" w:type="dxa"/>
            <w:tcBorders>
              <w:top w:val="nil"/>
              <w:left w:val="nil"/>
              <w:bottom w:val="nil"/>
              <w:right w:val="nil"/>
            </w:tcBorders>
            <w:shd w:val="clear" w:color="auto" w:fill="auto"/>
            <w:noWrap/>
            <w:vAlign w:val="bottom"/>
            <w:hideMark/>
          </w:tcPr>
          <w:p w14:paraId="10AC23E6" w14:textId="77777777" w:rsidR="0021298F" w:rsidRPr="00935C7E" w:rsidRDefault="0021298F" w:rsidP="00760009">
            <w:pPr>
              <w:rPr>
                <w:rFonts w:ascii="Calibri" w:eastAsia="Times New Roman" w:hAnsi="Calibri" w:cs="Calibri"/>
                <w:b/>
                <w:bCs/>
                <w:color w:val="000000"/>
                <w:lang w:eastAsia="en-GB"/>
              </w:rPr>
            </w:pPr>
          </w:p>
        </w:tc>
        <w:tc>
          <w:tcPr>
            <w:tcW w:w="2216" w:type="dxa"/>
            <w:tcBorders>
              <w:top w:val="nil"/>
              <w:left w:val="nil"/>
              <w:bottom w:val="nil"/>
              <w:right w:val="nil"/>
            </w:tcBorders>
            <w:shd w:val="clear" w:color="000000" w:fill="FFFFFF"/>
            <w:vAlign w:val="bottom"/>
            <w:hideMark/>
          </w:tcPr>
          <w:p w14:paraId="36E9FAD5" w14:textId="77777777" w:rsidR="0021298F" w:rsidRPr="00935C7E" w:rsidRDefault="0021298F" w:rsidP="00760009">
            <w:pPr>
              <w:jc w:val="right"/>
              <w:rPr>
                <w:rFonts w:ascii="Arial" w:eastAsia="Times New Roman" w:hAnsi="Arial" w:cs="Arial"/>
                <w:b/>
                <w:bCs/>
                <w:color w:val="000000"/>
                <w:lang w:eastAsia="en-GB"/>
              </w:rPr>
            </w:pPr>
            <w:r w:rsidRPr="00935C7E">
              <w:rPr>
                <w:rFonts w:ascii="Arial" w:eastAsia="Times New Roman" w:hAnsi="Arial" w:cs="Arial"/>
                <w:b/>
                <w:bCs/>
                <w:color w:val="000000"/>
                <w:lang w:eastAsia="en-GB"/>
              </w:rPr>
              <w:t>For the year ended</w:t>
            </w:r>
          </w:p>
        </w:tc>
        <w:tc>
          <w:tcPr>
            <w:tcW w:w="2268" w:type="dxa"/>
            <w:tcBorders>
              <w:top w:val="nil"/>
              <w:left w:val="nil"/>
              <w:bottom w:val="nil"/>
              <w:right w:val="nil"/>
            </w:tcBorders>
            <w:shd w:val="clear" w:color="000000" w:fill="FFFFFF"/>
            <w:vAlign w:val="bottom"/>
            <w:hideMark/>
          </w:tcPr>
          <w:p w14:paraId="494893C5" w14:textId="77777777" w:rsidR="0021298F" w:rsidRPr="00935C7E" w:rsidRDefault="0021298F" w:rsidP="00760009">
            <w:pPr>
              <w:jc w:val="right"/>
              <w:rPr>
                <w:rFonts w:ascii="Arial" w:eastAsia="Times New Roman" w:hAnsi="Arial" w:cs="Arial"/>
                <w:b/>
                <w:bCs/>
                <w:color w:val="000000"/>
                <w:lang w:eastAsia="en-GB"/>
              </w:rPr>
            </w:pPr>
            <w:r w:rsidRPr="00935C7E">
              <w:rPr>
                <w:rFonts w:ascii="Arial" w:eastAsia="Times New Roman" w:hAnsi="Arial" w:cs="Arial"/>
                <w:b/>
                <w:bCs/>
                <w:color w:val="000000"/>
                <w:lang w:eastAsia="en-GB"/>
              </w:rPr>
              <w:t>For the year ended</w:t>
            </w:r>
          </w:p>
        </w:tc>
      </w:tr>
      <w:tr w:rsidR="0021298F" w:rsidRPr="00935C7E" w14:paraId="7A634E1C" w14:textId="77777777" w:rsidTr="00760009">
        <w:trPr>
          <w:trHeight w:val="300"/>
        </w:trPr>
        <w:tc>
          <w:tcPr>
            <w:tcW w:w="4736" w:type="dxa"/>
            <w:tcBorders>
              <w:top w:val="nil"/>
              <w:left w:val="nil"/>
              <w:bottom w:val="nil"/>
              <w:right w:val="nil"/>
            </w:tcBorders>
            <w:shd w:val="clear" w:color="000000" w:fill="FFFFFF"/>
            <w:noWrap/>
            <w:vAlign w:val="bottom"/>
            <w:hideMark/>
          </w:tcPr>
          <w:p w14:paraId="119898E0" w14:textId="77777777" w:rsidR="0021298F" w:rsidRPr="00935C7E" w:rsidRDefault="0021298F" w:rsidP="00760009">
            <w:pPr>
              <w:rPr>
                <w:rFonts w:ascii="Calibri" w:eastAsia="Times New Roman" w:hAnsi="Calibri" w:cs="Calibri"/>
                <w:b/>
                <w:bCs/>
                <w:color w:val="000000"/>
                <w:lang w:eastAsia="en-GB"/>
              </w:rPr>
            </w:pPr>
            <w:r w:rsidRPr="00935C7E">
              <w:rPr>
                <w:rFonts w:ascii="Calibri" w:eastAsia="Times New Roman" w:hAnsi="Calibri" w:cs="Calibri"/>
                <w:b/>
                <w:bCs/>
                <w:color w:val="000000"/>
                <w:lang w:eastAsia="en-GB"/>
              </w:rPr>
              <w:t> </w:t>
            </w:r>
          </w:p>
        </w:tc>
        <w:tc>
          <w:tcPr>
            <w:tcW w:w="278" w:type="dxa"/>
            <w:tcBorders>
              <w:top w:val="nil"/>
              <w:left w:val="nil"/>
              <w:bottom w:val="nil"/>
              <w:right w:val="nil"/>
            </w:tcBorders>
            <w:shd w:val="clear" w:color="auto" w:fill="auto"/>
            <w:noWrap/>
            <w:vAlign w:val="bottom"/>
            <w:hideMark/>
          </w:tcPr>
          <w:p w14:paraId="262D865F" w14:textId="77777777" w:rsidR="0021298F" w:rsidRPr="00935C7E" w:rsidRDefault="0021298F" w:rsidP="00760009">
            <w:pPr>
              <w:rPr>
                <w:rFonts w:ascii="Calibri" w:eastAsia="Times New Roman" w:hAnsi="Calibri" w:cs="Calibri"/>
                <w:b/>
                <w:bCs/>
                <w:color w:val="000000"/>
                <w:lang w:eastAsia="en-GB"/>
              </w:rPr>
            </w:pPr>
          </w:p>
        </w:tc>
        <w:tc>
          <w:tcPr>
            <w:tcW w:w="2216" w:type="dxa"/>
            <w:tcBorders>
              <w:top w:val="nil"/>
              <w:left w:val="nil"/>
              <w:bottom w:val="nil"/>
              <w:right w:val="nil"/>
            </w:tcBorders>
            <w:shd w:val="clear" w:color="000000" w:fill="FFFFFF"/>
            <w:vAlign w:val="center"/>
            <w:hideMark/>
          </w:tcPr>
          <w:p w14:paraId="3B88A6D0" w14:textId="77777777" w:rsidR="0021298F" w:rsidRPr="00935C7E" w:rsidRDefault="0021298F" w:rsidP="00760009">
            <w:pPr>
              <w:jc w:val="right"/>
              <w:rPr>
                <w:rFonts w:ascii="Arial" w:eastAsia="Times New Roman" w:hAnsi="Arial" w:cs="Arial"/>
                <w:b/>
                <w:bCs/>
                <w:color w:val="000000"/>
                <w:lang w:eastAsia="en-GB"/>
              </w:rPr>
            </w:pPr>
            <w:r w:rsidRPr="00935C7E">
              <w:rPr>
                <w:rFonts w:ascii="Arial" w:eastAsia="Times New Roman" w:hAnsi="Arial" w:cs="Arial"/>
                <w:b/>
                <w:bCs/>
                <w:color w:val="000000"/>
                <w:lang w:eastAsia="en-GB"/>
              </w:rPr>
              <w:t>31 December 2020</w:t>
            </w:r>
          </w:p>
        </w:tc>
        <w:tc>
          <w:tcPr>
            <w:tcW w:w="2268" w:type="dxa"/>
            <w:tcBorders>
              <w:top w:val="nil"/>
              <w:left w:val="nil"/>
              <w:bottom w:val="nil"/>
              <w:right w:val="nil"/>
            </w:tcBorders>
            <w:shd w:val="clear" w:color="000000" w:fill="FFFFFF"/>
            <w:vAlign w:val="center"/>
            <w:hideMark/>
          </w:tcPr>
          <w:p w14:paraId="04743D60" w14:textId="77777777" w:rsidR="0021298F" w:rsidRPr="00935C7E" w:rsidRDefault="0021298F" w:rsidP="00760009">
            <w:pPr>
              <w:jc w:val="right"/>
              <w:rPr>
                <w:rFonts w:ascii="Arial" w:eastAsia="Times New Roman" w:hAnsi="Arial" w:cs="Arial"/>
                <w:b/>
                <w:bCs/>
                <w:color w:val="000000"/>
                <w:lang w:eastAsia="en-GB"/>
              </w:rPr>
            </w:pPr>
            <w:r w:rsidRPr="00935C7E">
              <w:rPr>
                <w:rFonts w:ascii="Arial" w:eastAsia="Times New Roman" w:hAnsi="Arial" w:cs="Arial"/>
                <w:b/>
                <w:bCs/>
                <w:color w:val="000000"/>
                <w:lang w:eastAsia="en-GB"/>
              </w:rPr>
              <w:t>31 December 2019</w:t>
            </w:r>
          </w:p>
        </w:tc>
      </w:tr>
      <w:tr w:rsidR="0021298F" w:rsidRPr="00935C7E" w14:paraId="30ED8019" w14:textId="77777777" w:rsidTr="00760009">
        <w:trPr>
          <w:trHeight w:val="300"/>
        </w:trPr>
        <w:tc>
          <w:tcPr>
            <w:tcW w:w="4736" w:type="dxa"/>
            <w:tcBorders>
              <w:top w:val="nil"/>
              <w:left w:val="nil"/>
              <w:bottom w:val="single" w:sz="4" w:space="0" w:color="auto"/>
              <w:right w:val="nil"/>
            </w:tcBorders>
            <w:shd w:val="clear" w:color="000000" w:fill="FFFFFF"/>
            <w:noWrap/>
            <w:vAlign w:val="bottom"/>
            <w:hideMark/>
          </w:tcPr>
          <w:p w14:paraId="4EB877E4" w14:textId="77777777" w:rsidR="0021298F" w:rsidRPr="00935C7E" w:rsidRDefault="0021298F" w:rsidP="00760009">
            <w:pPr>
              <w:rPr>
                <w:rFonts w:ascii="Calibri" w:eastAsia="Times New Roman" w:hAnsi="Calibri" w:cs="Calibri"/>
                <w:b/>
                <w:bCs/>
                <w:color w:val="000000"/>
                <w:lang w:eastAsia="en-GB"/>
              </w:rPr>
            </w:pPr>
            <w:r w:rsidRPr="00935C7E">
              <w:rPr>
                <w:rFonts w:ascii="Calibri" w:eastAsia="Times New Roman" w:hAnsi="Calibri" w:cs="Calibri"/>
                <w:b/>
                <w:bCs/>
                <w:color w:val="000000"/>
                <w:lang w:eastAsia="en-GB"/>
              </w:rPr>
              <w:t> </w:t>
            </w:r>
          </w:p>
        </w:tc>
        <w:tc>
          <w:tcPr>
            <w:tcW w:w="278" w:type="dxa"/>
            <w:tcBorders>
              <w:top w:val="nil"/>
              <w:left w:val="nil"/>
              <w:bottom w:val="single" w:sz="4" w:space="0" w:color="auto"/>
              <w:right w:val="nil"/>
            </w:tcBorders>
            <w:shd w:val="clear" w:color="000000" w:fill="FFFFFF"/>
            <w:noWrap/>
            <w:vAlign w:val="center"/>
            <w:hideMark/>
          </w:tcPr>
          <w:p w14:paraId="15DC3914" w14:textId="77777777" w:rsidR="0021298F" w:rsidRPr="00935C7E" w:rsidRDefault="0021298F" w:rsidP="00760009">
            <w:pPr>
              <w:jc w:val="right"/>
              <w:rPr>
                <w:rFonts w:ascii="Arial" w:eastAsia="Times New Roman" w:hAnsi="Arial" w:cs="Arial"/>
                <w:b/>
                <w:bCs/>
                <w:color w:val="000000"/>
                <w:lang w:eastAsia="en-GB"/>
              </w:rPr>
            </w:pPr>
            <w:r w:rsidRPr="00935C7E">
              <w:rPr>
                <w:rFonts w:ascii="Arial" w:eastAsia="Times New Roman" w:hAnsi="Arial" w:cs="Arial"/>
                <w:b/>
                <w:bCs/>
                <w:color w:val="000000"/>
                <w:lang w:eastAsia="en-GB"/>
              </w:rPr>
              <w:t> </w:t>
            </w:r>
          </w:p>
        </w:tc>
        <w:tc>
          <w:tcPr>
            <w:tcW w:w="2216" w:type="dxa"/>
            <w:tcBorders>
              <w:top w:val="nil"/>
              <w:left w:val="nil"/>
              <w:bottom w:val="single" w:sz="4" w:space="0" w:color="auto"/>
              <w:right w:val="nil"/>
            </w:tcBorders>
            <w:shd w:val="clear" w:color="000000" w:fill="FFFFFF"/>
            <w:noWrap/>
            <w:vAlign w:val="center"/>
            <w:hideMark/>
          </w:tcPr>
          <w:p w14:paraId="3C86602D" w14:textId="77777777" w:rsidR="0021298F" w:rsidRPr="00935C7E" w:rsidRDefault="0021298F" w:rsidP="00760009">
            <w:pPr>
              <w:jc w:val="right"/>
              <w:rPr>
                <w:rFonts w:ascii="Arial" w:eastAsia="Times New Roman" w:hAnsi="Arial" w:cs="Arial"/>
                <w:b/>
                <w:bCs/>
                <w:color w:val="000000"/>
                <w:lang w:eastAsia="en-GB"/>
              </w:rPr>
            </w:pPr>
            <w:r w:rsidRPr="00935C7E">
              <w:rPr>
                <w:rFonts w:ascii="Arial" w:eastAsia="Times New Roman" w:hAnsi="Arial" w:cs="Arial"/>
                <w:b/>
                <w:bCs/>
                <w:color w:val="000000"/>
                <w:lang w:eastAsia="en-GB"/>
              </w:rPr>
              <w:t>€’000</w:t>
            </w:r>
          </w:p>
        </w:tc>
        <w:tc>
          <w:tcPr>
            <w:tcW w:w="2268" w:type="dxa"/>
            <w:tcBorders>
              <w:top w:val="nil"/>
              <w:left w:val="nil"/>
              <w:bottom w:val="single" w:sz="4" w:space="0" w:color="auto"/>
              <w:right w:val="nil"/>
            </w:tcBorders>
            <w:shd w:val="clear" w:color="000000" w:fill="FFFFFF"/>
            <w:noWrap/>
            <w:vAlign w:val="center"/>
            <w:hideMark/>
          </w:tcPr>
          <w:p w14:paraId="0A2462C3" w14:textId="77777777" w:rsidR="0021298F" w:rsidRPr="00935C7E" w:rsidRDefault="0021298F" w:rsidP="00760009">
            <w:pPr>
              <w:jc w:val="right"/>
              <w:rPr>
                <w:rFonts w:ascii="Arial" w:eastAsia="Times New Roman" w:hAnsi="Arial" w:cs="Arial"/>
                <w:b/>
                <w:bCs/>
                <w:color w:val="000000"/>
                <w:lang w:eastAsia="en-GB"/>
              </w:rPr>
            </w:pPr>
            <w:r w:rsidRPr="00935C7E">
              <w:rPr>
                <w:rFonts w:ascii="Arial" w:eastAsia="Times New Roman" w:hAnsi="Arial" w:cs="Arial"/>
                <w:b/>
                <w:bCs/>
                <w:color w:val="000000"/>
                <w:lang w:eastAsia="en-GB"/>
              </w:rPr>
              <w:t>€’000</w:t>
            </w:r>
          </w:p>
        </w:tc>
      </w:tr>
      <w:tr w:rsidR="0021298F" w:rsidRPr="00935C7E" w14:paraId="7ACB18C1" w14:textId="77777777" w:rsidTr="00760009">
        <w:trPr>
          <w:trHeight w:val="300"/>
        </w:trPr>
        <w:tc>
          <w:tcPr>
            <w:tcW w:w="4736" w:type="dxa"/>
            <w:tcBorders>
              <w:top w:val="nil"/>
              <w:left w:val="nil"/>
              <w:bottom w:val="nil"/>
              <w:right w:val="nil"/>
            </w:tcBorders>
            <w:shd w:val="clear" w:color="000000" w:fill="FFFFFF"/>
            <w:vAlign w:val="center"/>
            <w:hideMark/>
          </w:tcPr>
          <w:p w14:paraId="22580DD5" w14:textId="77777777" w:rsidR="0021298F" w:rsidRPr="00935C7E" w:rsidRDefault="0021298F" w:rsidP="00760009">
            <w:pPr>
              <w:jc w:val="both"/>
              <w:rPr>
                <w:rFonts w:ascii="Arial" w:eastAsia="Times New Roman" w:hAnsi="Arial" w:cs="Arial"/>
                <w:color w:val="000000"/>
                <w:lang w:eastAsia="en-GB"/>
              </w:rPr>
            </w:pPr>
            <w:r w:rsidRPr="00935C7E">
              <w:rPr>
                <w:rFonts w:ascii="Arial" w:eastAsia="Times New Roman" w:hAnsi="Arial" w:cs="Arial"/>
                <w:color w:val="000000"/>
                <w:lang w:eastAsia="en-GB"/>
              </w:rPr>
              <w:t>Investment management fees (note 3)</w:t>
            </w:r>
          </w:p>
        </w:tc>
        <w:tc>
          <w:tcPr>
            <w:tcW w:w="278" w:type="dxa"/>
            <w:tcBorders>
              <w:top w:val="nil"/>
              <w:left w:val="nil"/>
              <w:bottom w:val="nil"/>
              <w:right w:val="nil"/>
            </w:tcBorders>
            <w:shd w:val="clear" w:color="000000" w:fill="EDFFB7"/>
            <w:vAlign w:val="center"/>
            <w:hideMark/>
          </w:tcPr>
          <w:p w14:paraId="27177A8C" w14:textId="77777777" w:rsidR="0021298F" w:rsidRPr="00935C7E" w:rsidRDefault="0021298F" w:rsidP="00760009">
            <w:pPr>
              <w:jc w:val="right"/>
              <w:rPr>
                <w:rFonts w:ascii="Arial" w:eastAsia="Times New Roman" w:hAnsi="Arial" w:cs="Arial"/>
                <w:color w:val="000000"/>
                <w:lang w:eastAsia="en-GB"/>
              </w:rPr>
            </w:pPr>
            <w:r w:rsidRPr="00935C7E">
              <w:rPr>
                <w:rFonts w:ascii="Arial" w:eastAsia="Times New Roman" w:hAnsi="Arial" w:cs="Arial"/>
                <w:color w:val="000000"/>
                <w:lang w:eastAsia="en-GB"/>
              </w:rPr>
              <w:t> </w:t>
            </w:r>
          </w:p>
        </w:tc>
        <w:tc>
          <w:tcPr>
            <w:tcW w:w="2216" w:type="dxa"/>
            <w:tcBorders>
              <w:top w:val="nil"/>
              <w:left w:val="nil"/>
              <w:bottom w:val="nil"/>
              <w:right w:val="nil"/>
            </w:tcBorders>
            <w:shd w:val="clear" w:color="000000" w:fill="EDFFB7"/>
            <w:vAlign w:val="center"/>
            <w:hideMark/>
          </w:tcPr>
          <w:p w14:paraId="4AC5225A" w14:textId="77777777" w:rsidR="0021298F" w:rsidRPr="00935C7E" w:rsidRDefault="0021298F" w:rsidP="00760009">
            <w:pPr>
              <w:jc w:val="right"/>
              <w:rPr>
                <w:rFonts w:ascii="Arial" w:eastAsia="Times New Roman" w:hAnsi="Arial" w:cs="Arial"/>
                <w:color w:val="000000"/>
                <w:lang w:eastAsia="en-GB"/>
              </w:rPr>
            </w:pPr>
            <w:r w:rsidRPr="00935C7E">
              <w:rPr>
                <w:rFonts w:ascii="Arial" w:eastAsia="Times New Roman" w:hAnsi="Arial" w:cs="Arial"/>
                <w:color w:val="000000"/>
                <w:lang w:eastAsia="en-GB"/>
              </w:rPr>
              <w:t xml:space="preserve">6,522 </w:t>
            </w:r>
          </w:p>
        </w:tc>
        <w:tc>
          <w:tcPr>
            <w:tcW w:w="2268" w:type="dxa"/>
            <w:tcBorders>
              <w:top w:val="nil"/>
              <w:left w:val="nil"/>
              <w:bottom w:val="nil"/>
              <w:right w:val="nil"/>
            </w:tcBorders>
            <w:shd w:val="clear" w:color="000000" w:fill="FFFFFF"/>
            <w:vAlign w:val="center"/>
            <w:hideMark/>
          </w:tcPr>
          <w:p w14:paraId="07C3BA34" w14:textId="77777777" w:rsidR="0021298F" w:rsidRPr="00935C7E" w:rsidRDefault="0021298F" w:rsidP="00760009">
            <w:pPr>
              <w:jc w:val="right"/>
              <w:rPr>
                <w:rFonts w:ascii="Arial" w:eastAsia="Times New Roman" w:hAnsi="Arial" w:cs="Arial"/>
                <w:color w:val="000000"/>
                <w:lang w:eastAsia="en-GB"/>
              </w:rPr>
            </w:pPr>
            <w:r w:rsidRPr="00935C7E">
              <w:rPr>
                <w:rFonts w:ascii="Arial" w:eastAsia="Times New Roman" w:hAnsi="Arial" w:cs="Arial"/>
                <w:color w:val="000000"/>
                <w:lang w:eastAsia="en-GB"/>
              </w:rPr>
              <w:t xml:space="preserve">5,221 </w:t>
            </w:r>
          </w:p>
        </w:tc>
      </w:tr>
      <w:tr w:rsidR="0021298F" w:rsidRPr="00935C7E" w14:paraId="5C9EC9B2" w14:textId="77777777" w:rsidTr="00760009">
        <w:trPr>
          <w:trHeight w:val="300"/>
        </w:trPr>
        <w:tc>
          <w:tcPr>
            <w:tcW w:w="4736" w:type="dxa"/>
            <w:tcBorders>
              <w:top w:val="nil"/>
              <w:left w:val="nil"/>
              <w:bottom w:val="nil"/>
              <w:right w:val="nil"/>
            </w:tcBorders>
            <w:shd w:val="clear" w:color="000000" w:fill="FFFFFF"/>
            <w:vAlign w:val="center"/>
            <w:hideMark/>
          </w:tcPr>
          <w:p w14:paraId="5C81A956" w14:textId="77777777" w:rsidR="0021298F" w:rsidRPr="00935C7E" w:rsidRDefault="0021298F" w:rsidP="00760009">
            <w:pPr>
              <w:jc w:val="both"/>
              <w:rPr>
                <w:rFonts w:ascii="Arial" w:eastAsia="Times New Roman" w:hAnsi="Arial" w:cs="Arial"/>
                <w:color w:val="000000"/>
                <w:lang w:eastAsia="en-GB"/>
              </w:rPr>
            </w:pPr>
            <w:r w:rsidRPr="00935C7E">
              <w:rPr>
                <w:rFonts w:ascii="Arial" w:eastAsia="Times New Roman" w:hAnsi="Arial" w:cs="Arial"/>
                <w:color w:val="000000"/>
                <w:lang w:eastAsia="en-GB"/>
              </w:rPr>
              <w:t>Other expenses</w:t>
            </w:r>
          </w:p>
        </w:tc>
        <w:tc>
          <w:tcPr>
            <w:tcW w:w="278" w:type="dxa"/>
            <w:tcBorders>
              <w:top w:val="nil"/>
              <w:left w:val="nil"/>
              <w:bottom w:val="nil"/>
              <w:right w:val="nil"/>
            </w:tcBorders>
            <w:shd w:val="clear" w:color="000000" w:fill="EDFFB7"/>
            <w:vAlign w:val="center"/>
            <w:hideMark/>
          </w:tcPr>
          <w:p w14:paraId="754A2094" w14:textId="77777777" w:rsidR="0021298F" w:rsidRPr="00935C7E" w:rsidRDefault="0021298F" w:rsidP="00760009">
            <w:pPr>
              <w:jc w:val="right"/>
              <w:rPr>
                <w:rFonts w:ascii="Arial" w:eastAsia="Times New Roman" w:hAnsi="Arial" w:cs="Arial"/>
                <w:color w:val="000000"/>
                <w:lang w:eastAsia="en-GB"/>
              </w:rPr>
            </w:pPr>
            <w:r w:rsidRPr="00935C7E">
              <w:rPr>
                <w:rFonts w:ascii="Arial" w:eastAsia="Times New Roman" w:hAnsi="Arial" w:cs="Arial"/>
                <w:color w:val="000000"/>
                <w:lang w:eastAsia="en-GB"/>
              </w:rPr>
              <w:t> </w:t>
            </w:r>
          </w:p>
        </w:tc>
        <w:tc>
          <w:tcPr>
            <w:tcW w:w="2216" w:type="dxa"/>
            <w:tcBorders>
              <w:top w:val="nil"/>
              <w:left w:val="nil"/>
              <w:bottom w:val="nil"/>
              <w:right w:val="nil"/>
            </w:tcBorders>
            <w:shd w:val="clear" w:color="000000" w:fill="EDFFB7"/>
            <w:vAlign w:val="center"/>
            <w:hideMark/>
          </w:tcPr>
          <w:p w14:paraId="37D0D3E3" w14:textId="77777777" w:rsidR="0021298F" w:rsidRPr="00935C7E" w:rsidRDefault="0021298F" w:rsidP="00760009">
            <w:pPr>
              <w:jc w:val="right"/>
              <w:rPr>
                <w:rFonts w:ascii="Arial" w:eastAsia="Times New Roman" w:hAnsi="Arial" w:cs="Arial"/>
                <w:color w:val="000000"/>
                <w:lang w:eastAsia="en-GB"/>
              </w:rPr>
            </w:pPr>
            <w:r w:rsidRPr="00935C7E">
              <w:rPr>
                <w:rFonts w:ascii="Arial" w:eastAsia="Times New Roman" w:hAnsi="Arial" w:cs="Arial"/>
                <w:color w:val="000000"/>
                <w:lang w:eastAsia="en-GB"/>
              </w:rPr>
              <w:t xml:space="preserve">1,607 </w:t>
            </w:r>
          </w:p>
        </w:tc>
        <w:tc>
          <w:tcPr>
            <w:tcW w:w="2268" w:type="dxa"/>
            <w:tcBorders>
              <w:top w:val="nil"/>
              <w:left w:val="nil"/>
              <w:bottom w:val="nil"/>
              <w:right w:val="nil"/>
            </w:tcBorders>
            <w:shd w:val="clear" w:color="000000" w:fill="FFFFFF"/>
            <w:vAlign w:val="center"/>
            <w:hideMark/>
          </w:tcPr>
          <w:p w14:paraId="615D8AB2" w14:textId="77777777" w:rsidR="0021298F" w:rsidRPr="00935C7E" w:rsidRDefault="0021298F" w:rsidP="00760009">
            <w:pPr>
              <w:jc w:val="right"/>
              <w:rPr>
                <w:rFonts w:ascii="Arial" w:eastAsia="Times New Roman" w:hAnsi="Arial" w:cs="Arial"/>
                <w:color w:val="000000"/>
                <w:lang w:eastAsia="en-GB"/>
              </w:rPr>
            </w:pPr>
            <w:r w:rsidRPr="00935C7E">
              <w:rPr>
                <w:rFonts w:ascii="Arial" w:eastAsia="Times New Roman" w:hAnsi="Arial" w:cs="Arial"/>
                <w:color w:val="000000"/>
                <w:lang w:eastAsia="en-GB"/>
              </w:rPr>
              <w:t xml:space="preserve">928 </w:t>
            </w:r>
          </w:p>
        </w:tc>
      </w:tr>
      <w:tr w:rsidR="0021298F" w:rsidRPr="00935C7E" w14:paraId="31A077FC" w14:textId="77777777" w:rsidTr="00760009">
        <w:trPr>
          <w:trHeight w:val="300"/>
        </w:trPr>
        <w:tc>
          <w:tcPr>
            <w:tcW w:w="4736" w:type="dxa"/>
            <w:tcBorders>
              <w:top w:val="nil"/>
              <w:left w:val="nil"/>
              <w:bottom w:val="nil"/>
              <w:right w:val="nil"/>
            </w:tcBorders>
            <w:shd w:val="clear" w:color="000000" w:fill="FFFFFF"/>
            <w:vAlign w:val="center"/>
            <w:hideMark/>
          </w:tcPr>
          <w:p w14:paraId="52AC953E" w14:textId="77777777" w:rsidR="0021298F" w:rsidRPr="00935C7E" w:rsidRDefault="0021298F" w:rsidP="00760009">
            <w:pPr>
              <w:jc w:val="both"/>
              <w:rPr>
                <w:rFonts w:ascii="Arial" w:eastAsia="Times New Roman" w:hAnsi="Arial" w:cs="Arial"/>
                <w:color w:val="000000"/>
                <w:lang w:eastAsia="en-GB"/>
              </w:rPr>
            </w:pPr>
            <w:r w:rsidRPr="00935C7E">
              <w:rPr>
                <w:rFonts w:ascii="Arial" w:eastAsia="Times New Roman" w:hAnsi="Arial" w:cs="Arial"/>
                <w:color w:val="000000"/>
                <w:lang w:eastAsia="en-GB"/>
              </w:rPr>
              <w:t>Group and SPV administration fees</w:t>
            </w:r>
          </w:p>
        </w:tc>
        <w:tc>
          <w:tcPr>
            <w:tcW w:w="278" w:type="dxa"/>
            <w:tcBorders>
              <w:top w:val="nil"/>
              <w:left w:val="nil"/>
              <w:bottom w:val="nil"/>
              <w:right w:val="nil"/>
            </w:tcBorders>
            <w:shd w:val="clear" w:color="000000" w:fill="EDFFB7"/>
            <w:vAlign w:val="center"/>
            <w:hideMark/>
          </w:tcPr>
          <w:p w14:paraId="41E654B9" w14:textId="77777777" w:rsidR="0021298F" w:rsidRPr="00935C7E" w:rsidRDefault="0021298F" w:rsidP="00760009">
            <w:pPr>
              <w:jc w:val="right"/>
              <w:rPr>
                <w:rFonts w:ascii="Arial" w:eastAsia="Times New Roman" w:hAnsi="Arial" w:cs="Arial"/>
                <w:color w:val="000000"/>
                <w:lang w:eastAsia="en-GB"/>
              </w:rPr>
            </w:pPr>
            <w:r w:rsidRPr="00935C7E">
              <w:rPr>
                <w:rFonts w:ascii="Arial" w:eastAsia="Times New Roman" w:hAnsi="Arial" w:cs="Arial"/>
                <w:color w:val="000000"/>
                <w:lang w:eastAsia="en-GB"/>
              </w:rPr>
              <w:t> </w:t>
            </w:r>
          </w:p>
        </w:tc>
        <w:tc>
          <w:tcPr>
            <w:tcW w:w="2216" w:type="dxa"/>
            <w:tcBorders>
              <w:top w:val="nil"/>
              <w:left w:val="nil"/>
              <w:bottom w:val="nil"/>
              <w:right w:val="nil"/>
            </w:tcBorders>
            <w:shd w:val="clear" w:color="000000" w:fill="EDFFB7"/>
            <w:vAlign w:val="center"/>
            <w:hideMark/>
          </w:tcPr>
          <w:p w14:paraId="3C4D17F2" w14:textId="77777777" w:rsidR="0021298F" w:rsidRPr="00935C7E" w:rsidRDefault="0021298F" w:rsidP="00760009">
            <w:pPr>
              <w:jc w:val="right"/>
              <w:rPr>
                <w:rFonts w:ascii="Arial" w:eastAsia="Times New Roman" w:hAnsi="Arial" w:cs="Arial"/>
                <w:color w:val="000000"/>
                <w:lang w:eastAsia="en-GB"/>
              </w:rPr>
            </w:pPr>
            <w:r w:rsidRPr="00935C7E">
              <w:rPr>
                <w:rFonts w:ascii="Arial" w:eastAsia="Times New Roman" w:hAnsi="Arial" w:cs="Arial"/>
                <w:color w:val="000000"/>
                <w:lang w:eastAsia="en-GB"/>
              </w:rPr>
              <w:t xml:space="preserve">339 </w:t>
            </w:r>
          </w:p>
        </w:tc>
        <w:tc>
          <w:tcPr>
            <w:tcW w:w="2268" w:type="dxa"/>
            <w:tcBorders>
              <w:top w:val="nil"/>
              <w:left w:val="nil"/>
              <w:bottom w:val="nil"/>
              <w:right w:val="nil"/>
            </w:tcBorders>
            <w:shd w:val="clear" w:color="000000" w:fill="FFFFFF"/>
            <w:vAlign w:val="center"/>
            <w:hideMark/>
          </w:tcPr>
          <w:p w14:paraId="749C777A" w14:textId="77777777" w:rsidR="0021298F" w:rsidRPr="00935C7E" w:rsidRDefault="0021298F" w:rsidP="00760009">
            <w:pPr>
              <w:jc w:val="right"/>
              <w:rPr>
                <w:rFonts w:ascii="Arial" w:eastAsia="Times New Roman" w:hAnsi="Arial" w:cs="Arial"/>
                <w:color w:val="000000"/>
                <w:lang w:eastAsia="en-GB"/>
              </w:rPr>
            </w:pPr>
            <w:r w:rsidRPr="00935C7E">
              <w:rPr>
                <w:rFonts w:ascii="Arial" w:eastAsia="Times New Roman" w:hAnsi="Arial" w:cs="Arial"/>
                <w:color w:val="000000"/>
                <w:lang w:eastAsia="en-GB"/>
              </w:rPr>
              <w:t xml:space="preserve">327 </w:t>
            </w:r>
          </w:p>
        </w:tc>
      </w:tr>
      <w:tr w:rsidR="0021298F" w:rsidRPr="00935C7E" w14:paraId="13BCB7D7" w14:textId="77777777" w:rsidTr="00760009">
        <w:trPr>
          <w:trHeight w:val="300"/>
        </w:trPr>
        <w:tc>
          <w:tcPr>
            <w:tcW w:w="4736" w:type="dxa"/>
            <w:tcBorders>
              <w:top w:val="nil"/>
              <w:left w:val="nil"/>
              <w:bottom w:val="nil"/>
              <w:right w:val="nil"/>
            </w:tcBorders>
            <w:shd w:val="clear" w:color="000000" w:fill="FFFFFF"/>
            <w:vAlign w:val="center"/>
            <w:hideMark/>
          </w:tcPr>
          <w:p w14:paraId="7427D157" w14:textId="77777777" w:rsidR="0021298F" w:rsidRPr="00935C7E" w:rsidRDefault="0021298F" w:rsidP="00760009">
            <w:pPr>
              <w:jc w:val="both"/>
              <w:rPr>
                <w:rFonts w:ascii="Arial" w:eastAsia="Times New Roman" w:hAnsi="Arial" w:cs="Arial"/>
                <w:color w:val="000000"/>
                <w:lang w:eastAsia="en-GB"/>
              </w:rPr>
            </w:pPr>
            <w:r w:rsidRPr="00935C7E">
              <w:rPr>
                <w:rFonts w:ascii="Arial" w:eastAsia="Times New Roman" w:hAnsi="Arial" w:cs="Arial"/>
                <w:color w:val="000000"/>
                <w:lang w:eastAsia="en-GB"/>
              </w:rPr>
              <w:t>Non-executive Directors' remuneration</w:t>
            </w:r>
          </w:p>
        </w:tc>
        <w:tc>
          <w:tcPr>
            <w:tcW w:w="278" w:type="dxa"/>
            <w:tcBorders>
              <w:top w:val="nil"/>
              <w:left w:val="nil"/>
              <w:bottom w:val="nil"/>
              <w:right w:val="nil"/>
            </w:tcBorders>
            <w:shd w:val="clear" w:color="000000" w:fill="EDFFB7"/>
            <w:vAlign w:val="center"/>
            <w:hideMark/>
          </w:tcPr>
          <w:p w14:paraId="3696EBCB" w14:textId="77777777" w:rsidR="0021298F" w:rsidRPr="00935C7E" w:rsidRDefault="0021298F" w:rsidP="00760009">
            <w:pPr>
              <w:jc w:val="right"/>
              <w:rPr>
                <w:rFonts w:ascii="Arial" w:eastAsia="Times New Roman" w:hAnsi="Arial" w:cs="Arial"/>
                <w:color w:val="000000"/>
                <w:lang w:eastAsia="en-GB"/>
              </w:rPr>
            </w:pPr>
            <w:r w:rsidRPr="00935C7E">
              <w:rPr>
                <w:rFonts w:ascii="Arial" w:eastAsia="Times New Roman" w:hAnsi="Arial" w:cs="Arial"/>
                <w:color w:val="000000"/>
                <w:lang w:eastAsia="en-GB"/>
              </w:rPr>
              <w:t> </w:t>
            </w:r>
          </w:p>
        </w:tc>
        <w:tc>
          <w:tcPr>
            <w:tcW w:w="2216" w:type="dxa"/>
            <w:tcBorders>
              <w:top w:val="nil"/>
              <w:left w:val="nil"/>
              <w:bottom w:val="nil"/>
              <w:right w:val="nil"/>
            </w:tcBorders>
            <w:shd w:val="clear" w:color="000000" w:fill="EDFFB7"/>
            <w:vAlign w:val="center"/>
            <w:hideMark/>
          </w:tcPr>
          <w:p w14:paraId="56E0A7E2" w14:textId="77777777" w:rsidR="0021298F" w:rsidRPr="00935C7E" w:rsidRDefault="0021298F" w:rsidP="00760009">
            <w:pPr>
              <w:jc w:val="right"/>
              <w:rPr>
                <w:rFonts w:ascii="Arial" w:eastAsia="Times New Roman" w:hAnsi="Arial" w:cs="Arial"/>
                <w:color w:val="000000"/>
                <w:lang w:eastAsia="en-GB"/>
              </w:rPr>
            </w:pPr>
            <w:r w:rsidRPr="00935C7E">
              <w:rPr>
                <w:rFonts w:ascii="Arial" w:eastAsia="Times New Roman" w:hAnsi="Arial" w:cs="Arial"/>
                <w:color w:val="000000"/>
                <w:lang w:eastAsia="en-GB"/>
              </w:rPr>
              <w:t xml:space="preserve">254 </w:t>
            </w:r>
          </w:p>
        </w:tc>
        <w:tc>
          <w:tcPr>
            <w:tcW w:w="2268" w:type="dxa"/>
            <w:tcBorders>
              <w:top w:val="nil"/>
              <w:left w:val="nil"/>
              <w:bottom w:val="nil"/>
              <w:right w:val="nil"/>
            </w:tcBorders>
            <w:shd w:val="clear" w:color="000000" w:fill="FFFFFF"/>
            <w:vAlign w:val="center"/>
            <w:hideMark/>
          </w:tcPr>
          <w:p w14:paraId="03955A7A" w14:textId="77777777" w:rsidR="0021298F" w:rsidRPr="00935C7E" w:rsidRDefault="0021298F" w:rsidP="00760009">
            <w:pPr>
              <w:jc w:val="right"/>
              <w:rPr>
                <w:rFonts w:ascii="Arial" w:eastAsia="Times New Roman" w:hAnsi="Arial" w:cs="Arial"/>
                <w:color w:val="000000"/>
                <w:lang w:eastAsia="en-GB"/>
              </w:rPr>
            </w:pPr>
            <w:r w:rsidRPr="00935C7E">
              <w:rPr>
                <w:rFonts w:ascii="Arial" w:eastAsia="Times New Roman" w:hAnsi="Arial" w:cs="Arial"/>
                <w:color w:val="000000"/>
                <w:lang w:eastAsia="en-GB"/>
              </w:rPr>
              <w:t xml:space="preserve">200 </w:t>
            </w:r>
          </w:p>
        </w:tc>
      </w:tr>
      <w:tr w:rsidR="0021298F" w:rsidRPr="00935C7E" w14:paraId="04D9BBD5" w14:textId="77777777" w:rsidTr="00760009">
        <w:trPr>
          <w:trHeight w:val="300"/>
        </w:trPr>
        <w:tc>
          <w:tcPr>
            <w:tcW w:w="4736" w:type="dxa"/>
            <w:tcBorders>
              <w:top w:val="nil"/>
              <w:left w:val="nil"/>
              <w:bottom w:val="nil"/>
              <w:right w:val="nil"/>
            </w:tcBorders>
            <w:shd w:val="clear" w:color="000000" w:fill="FFFFFF"/>
            <w:vAlign w:val="center"/>
            <w:hideMark/>
          </w:tcPr>
          <w:p w14:paraId="49E56B74" w14:textId="77777777" w:rsidR="0021298F" w:rsidRPr="00935C7E" w:rsidRDefault="0021298F" w:rsidP="00760009">
            <w:pPr>
              <w:jc w:val="both"/>
              <w:rPr>
                <w:rFonts w:ascii="Arial" w:eastAsia="Times New Roman" w:hAnsi="Arial" w:cs="Arial"/>
                <w:color w:val="000000"/>
                <w:lang w:eastAsia="en-GB"/>
              </w:rPr>
            </w:pPr>
            <w:r w:rsidRPr="00935C7E">
              <w:rPr>
                <w:rFonts w:ascii="Arial" w:eastAsia="Times New Roman" w:hAnsi="Arial" w:cs="Arial"/>
                <w:color w:val="000000"/>
                <w:lang w:eastAsia="en-GB"/>
              </w:rPr>
              <w:t>Fees to the Company's Auditor:</w:t>
            </w:r>
          </w:p>
        </w:tc>
        <w:tc>
          <w:tcPr>
            <w:tcW w:w="278" w:type="dxa"/>
            <w:tcBorders>
              <w:top w:val="nil"/>
              <w:left w:val="nil"/>
              <w:bottom w:val="nil"/>
              <w:right w:val="nil"/>
            </w:tcBorders>
            <w:shd w:val="clear" w:color="000000" w:fill="EDFFB7"/>
            <w:vAlign w:val="center"/>
            <w:hideMark/>
          </w:tcPr>
          <w:p w14:paraId="01580B66" w14:textId="77777777" w:rsidR="0021298F" w:rsidRPr="00935C7E" w:rsidRDefault="0021298F" w:rsidP="00760009">
            <w:pPr>
              <w:jc w:val="right"/>
              <w:rPr>
                <w:rFonts w:ascii="Arial" w:eastAsia="Times New Roman" w:hAnsi="Arial" w:cs="Arial"/>
                <w:color w:val="000000"/>
                <w:lang w:eastAsia="en-GB"/>
              </w:rPr>
            </w:pPr>
            <w:r w:rsidRPr="00935C7E">
              <w:rPr>
                <w:rFonts w:ascii="Arial" w:eastAsia="Times New Roman" w:hAnsi="Arial" w:cs="Arial"/>
                <w:color w:val="000000"/>
                <w:lang w:eastAsia="en-GB"/>
              </w:rPr>
              <w:t> </w:t>
            </w:r>
          </w:p>
        </w:tc>
        <w:tc>
          <w:tcPr>
            <w:tcW w:w="2216" w:type="dxa"/>
            <w:tcBorders>
              <w:top w:val="nil"/>
              <w:left w:val="nil"/>
              <w:bottom w:val="nil"/>
              <w:right w:val="nil"/>
            </w:tcBorders>
            <w:shd w:val="clear" w:color="000000" w:fill="EDFFB7"/>
            <w:vAlign w:val="center"/>
            <w:hideMark/>
          </w:tcPr>
          <w:p w14:paraId="29B9FBC2" w14:textId="77777777" w:rsidR="0021298F" w:rsidRPr="00935C7E" w:rsidRDefault="0021298F" w:rsidP="00760009">
            <w:pPr>
              <w:jc w:val="right"/>
              <w:rPr>
                <w:rFonts w:ascii="Arial" w:eastAsia="Times New Roman" w:hAnsi="Arial" w:cs="Arial"/>
                <w:color w:val="000000"/>
                <w:lang w:eastAsia="en-GB"/>
              </w:rPr>
            </w:pPr>
            <w:r w:rsidRPr="00935C7E">
              <w:rPr>
                <w:rFonts w:ascii="Arial" w:eastAsia="Times New Roman" w:hAnsi="Arial" w:cs="Arial"/>
                <w:color w:val="000000"/>
                <w:lang w:eastAsia="en-GB"/>
              </w:rPr>
              <w:t> </w:t>
            </w:r>
          </w:p>
        </w:tc>
        <w:tc>
          <w:tcPr>
            <w:tcW w:w="2268" w:type="dxa"/>
            <w:tcBorders>
              <w:top w:val="nil"/>
              <w:left w:val="nil"/>
              <w:bottom w:val="nil"/>
              <w:right w:val="nil"/>
            </w:tcBorders>
            <w:shd w:val="clear" w:color="000000" w:fill="FFFFFF"/>
            <w:vAlign w:val="center"/>
            <w:hideMark/>
          </w:tcPr>
          <w:p w14:paraId="5EFC01B1" w14:textId="77777777" w:rsidR="0021298F" w:rsidRPr="00935C7E" w:rsidRDefault="0021298F" w:rsidP="00760009">
            <w:pPr>
              <w:jc w:val="right"/>
              <w:rPr>
                <w:rFonts w:ascii="Arial" w:eastAsia="Times New Roman" w:hAnsi="Arial" w:cs="Arial"/>
                <w:color w:val="000000"/>
                <w:lang w:eastAsia="en-GB"/>
              </w:rPr>
            </w:pPr>
            <w:r w:rsidRPr="00935C7E">
              <w:rPr>
                <w:rFonts w:ascii="Arial" w:eastAsia="Times New Roman" w:hAnsi="Arial" w:cs="Arial"/>
                <w:color w:val="000000"/>
                <w:lang w:eastAsia="en-GB"/>
              </w:rPr>
              <w:t> </w:t>
            </w:r>
          </w:p>
        </w:tc>
      </w:tr>
      <w:tr w:rsidR="0021298F" w:rsidRPr="00935C7E" w14:paraId="7E0080DB" w14:textId="77777777" w:rsidTr="00760009">
        <w:trPr>
          <w:trHeight w:val="570"/>
        </w:trPr>
        <w:tc>
          <w:tcPr>
            <w:tcW w:w="4736" w:type="dxa"/>
            <w:tcBorders>
              <w:top w:val="nil"/>
              <w:left w:val="nil"/>
              <w:bottom w:val="nil"/>
              <w:right w:val="nil"/>
            </w:tcBorders>
            <w:shd w:val="clear" w:color="000000" w:fill="FFFFFF"/>
            <w:vAlign w:val="center"/>
            <w:hideMark/>
          </w:tcPr>
          <w:p w14:paraId="300791FA" w14:textId="77777777" w:rsidR="0021298F" w:rsidRPr="00935C7E" w:rsidRDefault="0021298F" w:rsidP="00760009">
            <w:pPr>
              <w:ind w:left="462"/>
              <w:rPr>
                <w:rFonts w:ascii="Arial" w:eastAsia="Times New Roman" w:hAnsi="Arial" w:cs="Arial"/>
                <w:color w:val="000000"/>
                <w:lang w:eastAsia="en-GB"/>
              </w:rPr>
            </w:pPr>
            <w:r w:rsidRPr="00935C7E">
              <w:rPr>
                <w:rFonts w:ascii="Arial" w:eastAsia="Times New Roman" w:hAnsi="Arial" w:cs="Arial"/>
                <w:color w:val="000000"/>
                <w:lang w:eastAsia="en-GB"/>
              </w:rPr>
              <w:t xml:space="preserve">for audit of the statutory financial </w:t>
            </w:r>
            <w:r>
              <w:rPr>
                <w:rFonts w:ascii="Arial" w:eastAsia="Times New Roman" w:hAnsi="Arial" w:cs="Arial"/>
                <w:color w:val="000000"/>
                <w:lang w:eastAsia="en-GB"/>
              </w:rPr>
              <w:t xml:space="preserve">               </w:t>
            </w:r>
            <w:r w:rsidRPr="00935C7E">
              <w:rPr>
                <w:rFonts w:ascii="Arial" w:eastAsia="Times New Roman" w:hAnsi="Arial" w:cs="Arial"/>
                <w:color w:val="000000"/>
                <w:lang w:eastAsia="en-GB"/>
              </w:rPr>
              <w:t>statements</w:t>
            </w:r>
          </w:p>
        </w:tc>
        <w:tc>
          <w:tcPr>
            <w:tcW w:w="278" w:type="dxa"/>
            <w:tcBorders>
              <w:top w:val="nil"/>
              <w:left w:val="nil"/>
              <w:bottom w:val="nil"/>
              <w:right w:val="nil"/>
            </w:tcBorders>
            <w:shd w:val="clear" w:color="000000" w:fill="EDFFB7"/>
            <w:vAlign w:val="center"/>
            <w:hideMark/>
          </w:tcPr>
          <w:p w14:paraId="2D77F51E" w14:textId="77777777" w:rsidR="0021298F" w:rsidRPr="00935C7E" w:rsidRDefault="0021298F" w:rsidP="00760009">
            <w:pPr>
              <w:jc w:val="right"/>
              <w:rPr>
                <w:rFonts w:ascii="Arial" w:eastAsia="Times New Roman" w:hAnsi="Arial" w:cs="Arial"/>
                <w:color w:val="000000"/>
                <w:lang w:eastAsia="en-GB"/>
              </w:rPr>
            </w:pPr>
            <w:r w:rsidRPr="00935C7E">
              <w:rPr>
                <w:rFonts w:ascii="Arial" w:eastAsia="Times New Roman" w:hAnsi="Arial" w:cs="Arial"/>
                <w:color w:val="000000"/>
                <w:lang w:eastAsia="en-GB"/>
              </w:rPr>
              <w:t> </w:t>
            </w:r>
          </w:p>
        </w:tc>
        <w:tc>
          <w:tcPr>
            <w:tcW w:w="2216" w:type="dxa"/>
            <w:tcBorders>
              <w:top w:val="nil"/>
              <w:left w:val="nil"/>
              <w:bottom w:val="nil"/>
              <w:right w:val="nil"/>
            </w:tcBorders>
            <w:shd w:val="clear" w:color="000000" w:fill="EDFFB7"/>
            <w:vAlign w:val="center"/>
            <w:hideMark/>
          </w:tcPr>
          <w:p w14:paraId="6E035CCF" w14:textId="77777777" w:rsidR="0021298F" w:rsidRPr="00935C7E" w:rsidRDefault="0021298F" w:rsidP="00760009">
            <w:pPr>
              <w:jc w:val="right"/>
              <w:rPr>
                <w:rFonts w:ascii="Arial" w:eastAsia="Times New Roman" w:hAnsi="Arial" w:cs="Arial"/>
                <w:color w:val="000000"/>
                <w:lang w:eastAsia="en-GB"/>
              </w:rPr>
            </w:pPr>
            <w:r w:rsidRPr="00935C7E">
              <w:rPr>
                <w:rFonts w:ascii="Arial" w:eastAsia="Times New Roman" w:hAnsi="Arial" w:cs="Arial"/>
                <w:color w:val="000000"/>
                <w:lang w:eastAsia="en-GB"/>
              </w:rPr>
              <w:t xml:space="preserve">69 </w:t>
            </w:r>
          </w:p>
        </w:tc>
        <w:tc>
          <w:tcPr>
            <w:tcW w:w="2268" w:type="dxa"/>
            <w:tcBorders>
              <w:top w:val="nil"/>
              <w:left w:val="nil"/>
              <w:bottom w:val="nil"/>
              <w:right w:val="nil"/>
            </w:tcBorders>
            <w:shd w:val="clear" w:color="000000" w:fill="FFFFFF"/>
            <w:vAlign w:val="center"/>
            <w:hideMark/>
          </w:tcPr>
          <w:p w14:paraId="120C5408" w14:textId="77777777" w:rsidR="0021298F" w:rsidRPr="00935C7E" w:rsidRDefault="0021298F" w:rsidP="00760009">
            <w:pPr>
              <w:jc w:val="right"/>
              <w:rPr>
                <w:rFonts w:ascii="Arial" w:eastAsia="Times New Roman" w:hAnsi="Arial" w:cs="Arial"/>
                <w:color w:val="000000"/>
                <w:lang w:eastAsia="en-GB"/>
              </w:rPr>
            </w:pPr>
            <w:r w:rsidRPr="00935C7E">
              <w:rPr>
                <w:rFonts w:ascii="Arial" w:eastAsia="Times New Roman" w:hAnsi="Arial" w:cs="Arial"/>
                <w:color w:val="000000"/>
                <w:lang w:eastAsia="en-GB"/>
              </w:rPr>
              <w:t xml:space="preserve">55 </w:t>
            </w:r>
          </w:p>
        </w:tc>
      </w:tr>
      <w:tr w:rsidR="0021298F" w:rsidRPr="00935C7E" w14:paraId="4F2FDBF6" w14:textId="77777777" w:rsidTr="00760009">
        <w:trPr>
          <w:trHeight w:val="300"/>
        </w:trPr>
        <w:tc>
          <w:tcPr>
            <w:tcW w:w="4736" w:type="dxa"/>
            <w:tcBorders>
              <w:top w:val="nil"/>
              <w:left w:val="nil"/>
              <w:bottom w:val="single" w:sz="4" w:space="0" w:color="auto"/>
              <w:right w:val="nil"/>
            </w:tcBorders>
            <w:shd w:val="clear" w:color="000000" w:fill="FFFFFF"/>
            <w:vAlign w:val="center"/>
            <w:hideMark/>
          </w:tcPr>
          <w:p w14:paraId="745C5C79" w14:textId="77777777" w:rsidR="0021298F" w:rsidRPr="00935C7E" w:rsidRDefault="0021298F" w:rsidP="00760009">
            <w:pPr>
              <w:ind w:firstLineChars="200" w:firstLine="480"/>
              <w:rPr>
                <w:rFonts w:ascii="Arial" w:eastAsia="Times New Roman" w:hAnsi="Arial" w:cs="Arial"/>
                <w:color w:val="000000"/>
                <w:lang w:eastAsia="en-GB"/>
              </w:rPr>
            </w:pPr>
            <w:r w:rsidRPr="00935C7E">
              <w:rPr>
                <w:rFonts w:ascii="Arial" w:eastAsia="Times New Roman" w:hAnsi="Arial" w:cs="Arial"/>
                <w:color w:val="000000"/>
                <w:lang w:eastAsia="en-GB"/>
              </w:rPr>
              <w:t>for other services</w:t>
            </w:r>
          </w:p>
        </w:tc>
        <w:tc>
          <w:tcPr>
            <w:tcW w:w="278" w:type="dxa"/>
            <w:tcBorders>
              <w:top w:val="nil"/>
              <w:left w:val="nil"/>
              <w:bottom w:val="single" w:sz="4" w:space="0" w:color="auto"/>
              <w:right w:val="nil"/>
            </w:tcBorders>
            <w:shd w:val="clear" w:color="000000" w:fill="EDFFB7"/>
            <w:vAlign w:val="center"/>
            <w:hideMark/>
          </w:tcPr>
          <w:p w14:paraId="1654852C" w14:textId="77777777" w:rsidR="0021298F" w:rsidRPr="00935C7E" w:rsidRDefault="0021298F" w:rsidP="00760009">
            <w:pPr>
              <w:jc w:val="right"/>
              <w:rPr>
                <w:rFonts w:ascii="Arial" w:eastAsia="Times New Roman" w:hAnsi="Arial" w:cs="Arial"/>
                <w:color w:val="000000"/>
                <w:lang w:eastAsia="en-GB"/>
              </w:rPr>
            </w:pPr>
            <w:r w:rsidRPr="00935C7E">
              <w:rPr>
                <w:rFonts w:ascii="Arial" w:eastAsia="Times New Roman" w:hAnsi="Arial" w:cs="Arial"/>
                <w:color w:val="000000"/>
                <w:lang w:eastAsia="en-GB"/>
              </w:rPr>
              <w:t> </w:t>
            </w:r>
          </w:p>
        </w:tc>
        <w:tc>
          <w:tcPr>
            <w:tcW w:w="2216" w:type="dxa"/>
            <w:tcBorders>
              <w:top w:val="nil"/>
              <w:left w:val="nil"/>
              <w:bottom w:val="single" w:sz="4" w:space="0" w:color="auto"/>
              <w:right w:val="nil"/>
            </w:tcBorders>
            <w:shd w:val="clear" w:color="000000" w:fill="EDFFB7"/>
            <w:vAlign w:val="center"/>
            <w:hideMark/>
          </w:tcPr>
          <w:p w14:paraId="43859C29" w14:textId="77777777" w:rsidR="0021298F" w:rsidRPr="00935C7E" w:rsidRDefault="0021298F" w:rsidP="00760009">
            <w:pPr>
              <w:jc w:val="right"/>
              <w:rPr>
                <w:rFonts w:ascii="Arial" w:eastAsia="Times New Roman" w:hAnsi="Arial" w:cs="Arial"/>
                <w:color w:val="000000"/>
                <w:lang w:eastAsia="en-GB"/>
              </w:rPr>
            </w:pPr>
            <w:r w:rsidRPr="00935C7E">
              <w:rPr>
                <w:rFonts w:ascii="Arial" w:eastAsia="Times New Roman" w:hAnsi="Arial" w:cs="Arial"/>
                <w:color w:val="000000"/>
                <w:lang w:eastAsia="en-GB"/>
              </w:rPr>
              <w:t xml:space="preserve">3 </w:t>
            </w:r>
          </w:p>
        </w:tc>
        <w:tc>
          <w:tcPr>
            <w:tcW w:w="2268" w:type="dxa"/>
            <w:tcBorders>
              <w:top w:val="nil"/>
              <w:left w:val="nil"/>
              <w:bottom w:val="nil"/>
              <w:right w:val="nil"/>
            </w:tcBorders>
            <w:shd w:val="clear" w:color="000000" w:fill="FFFFFF"/>
            <w:vAlign w:val="center"/>
            <w:hideMark/>
          </w:tcPr>
          <w:p w14:paraId="77C4AD0E" w14:textId="77777777" w:rsidR="0021298F" w:rsidRPr="00935C7E" w:rsidRDefault="0021298F" w:rsidP="00760009">
            <w:pPr>
              <w:jc w:val="right"/>
              <w:rPr>
                <w:rFonts w:ascii="Arial" w:eastAsia="Times New Roman" w:hAnsi="Arial" w:cs="Arial"/>
                <w:color w:val="000000"/>
                <w:lang w:eastAsia="en-GB"/>
              </w:rPr>
            </w:pPr>
            <w:r w:rsidRPr="00935C7E">
              <w:rPr>
                <w:rFonts w:ascii="Arial" w:eastAsia="Times New Roman" w:hAnsi="Arial" w:cs="Arial"/>
                <w:color w:val="000000"/>
                <w:lang w:eastAsia="en-GB"/>
              </w:rPr>
              <w:t xml:space="preserve">3 </w:t>
            </w:r>
          </w:p>
        </w:tc>
      </w:tr>
      <w:tr w:rsidR="0021298F" w:rsidRPr="00935C7E" w14:paraId="1A9090C4" w14:textId="77777777" w:rsidTr="00760009">
        <w:trPr>
          <w:trHeight w:val="409"/>
        </w:trPr>
        <w:tc>
          <w:tcPr>
            <w:tcW w:w="4736" w:type="dxa"/>
            <w:tcBorders>
              <w:top w:val="nil"/>
              <w:left w:val="nil"/>
              <w:bottom w:val="single" w:sz="8" w:space="0" w:color="auto"/>
              <w:right w:val="nil"/>
            </w:tcBorders>
            <w:shd w:val="clear" w:color="000000" w:fill="FFFFFF"/>
            <w:noWrap/>
            <w:vAlign w:val="bottom"/>
            <w:hideMark/>
          </w:tcPr>
          <w:p w14:paraId="7A16392A" w14:textId="77777777" w:rsidR="0021298F" w:rsidRPr="00935C7E" w:rsidRDefault="0021298F" w:rsidP="00760009">
            <w:pPr>
              <w:rPr>
                <w:rFonts w:ascii="Calibri" w:eastAsia="Times New Roman" w:hAnsi="Calibri" w:cs="Calibri"/>
                <w:color w:val="000000"/>
                <w:lang w:eastAsia="en-GB"/>
              </w:rPr>
            </w:pPr>
            <w:r w:rsidRPr="00935C7E">
              <w:rPr>
                <w:rFonts w:ascii="Calibri" w:eastAsia="Times New Roman" w:hAnsi="Calibri" w:cs="Calibri"/>
                <w:color w:val="000000"/>
                <w:lang w:eastAsia="en-GB"/>
              </w:rPr>
              <w:t> </w:t>
            </w:r>
          </w:p>
        </w:tc>
        <w:tc>
          <w:tcPr>
            <w:tcW w:w="278" w:type="dxa"/>
            <w:tcBorders>
              <w:top w:val="nil"/>
              <w:left w:val="nil"/>
              <w:bottom w:val="single" w:sz="8" w:space="0" w:color="auto"/>
              <w:right w:val="nil"/>
            </w:tcBorders>
            <w:shd w:val="clear" w:color="000000" w:fill="EDFFB7"/>
            <w:vAlign w:val="center"/>
            <w:hideMark/>
          </w:tcPr>
          <w:p w14:paraId="419C076E" w14:textId="77777777" w:rsidR="0021298F" w:rsidRPr="00935C7E" w:rsidRDefault="0021298F" w:rsidP="00760009">
            <w:pPr>
              <w:jc w:val="right"/>
              <w:rPr>
                <w:rFonts w:ascii="Arial" w:eastAsia="Times New Roman" w:hAnsi="Arial" w:cs="Arial"/>
                <w:b/>
                <w:bCs/>
                <w:color w:val="000000"/>
                <w:lang w:eastAsia="en-GB"/>
              </w:rPr>
            </w:pPr>
            <w:r w:rsidRPr="00935C7E">
              <w:rPr>
                <w:rFonts w:ascii="Arial" w:eastAsia="Times New Roman" w:hAnsi="Arial" w:cs="Arial"/>
                <w:b/>
                <w:bCs/>
                <w:color w:val="000000"/>
                <w:lang w:eastAsia="en-GB"/>
              </w:rPr>
              <w:t> </w:t>
            </w:r>
          </w:p>
        </w:tc>
        <w:tc>
          <w:tcPr>
            <w:tcW w:w="2216" w:type="dxa"/>
            <w:tcBorders>
              <w:top w:val="nil"/>
              <w:left w:val="nil"/>
              <w:bottom w:val="single" w:sz="8" w:space="0" w:color="auto"/>
              <w:right w:val="nil"/>
            </w:tcBorders>
            <w:shd w:val="clear" w:color="000000" w:fill="EDFFB7"/>
            <w:vAlign w:val="center"/>
            <w:hideMark/>
          </w:tcPr>
          <w:p w14:paraId="19D5D484" w14:textId="77777777" w:rsidR="0021298F" w:rsidRPr="00935C7E" w:rsidRDefault="0021298F" w:rsidP="00760009">
            <w:pPr>
              <w:jc w:val="right"/>
              <w:rPr>
                <w:rFonts w:ascii="Arial" w:eastAsia="Times New Roman" w:hAnsi="Arial" w:cs="Arial"/>
                <w:b/>
                <w:bCs/>
                <w:color w:val="000000"/>
                <w:lang w:eastAsia="en-GB"/>
              </w:rPr>
            </w:pPr>
            <w:r w:rsidRPr="00935C7E">
              <w:rPr>
                <w:rFonts w:ascii="Arial" w:eastAsia="Times New Roman" w:hAnsi="Arial" w:cs="Arial"/>
                <w:b/>
                <w:bCs/>
                <w:color w:val="000000"/>
                <w:lang w:eastAsia="en-GB"/>
              </w:rPr>
              <w:t>8,794</w:t>
            </w:r>
          </w:p>
        </w:tc>
        <w:tc>
          <w:tcPr>
            <w:tcW w:w="2268" w:type="dxa"/>
            <w:tcBorders>
              <w:top w:val="single" w:sz="4" w:space="0" w:color="auto"/>
              <w:left w:val="nil"/>
              <w:bottom w:val="single" w:sz="8" w:space="0" w:color="auto"/>
              <w:right w:val="nil"/>
            </w:tcBorders>
            <w:shd w:val="clear" w:color="auto" w:fill="auto"/>
            <w:vAlign w:val="center"/>
            <w:hideMark/>
          </w:tcPr>
          <w:p w14:paraId="3B467F5B" w14:textId="77777777" w:rsidR="0021298F" w:rsidRPr="00935C7E" w:rsidRDefault="0021298F" w:rsidP="00760009">
            <w:pPr>
              <w:jc w:val="right"/>
              <w:rPr>
                <w:rFonts w:ascii="Arial" w:eastAsia="Times New Roman" w:hAnsi="Arial" w:cs="Arial"/>
                <w:b/>
                <w:bCs/>
                <w:color w:val="000000"/>
                <w:lang w:eastAsia="en-GB"/>
              </w:rPr>
            </w:pPr>
            <w:r w:rsidRPr="00935C7E">
              <w:rPr>
                <w:rFonts w:ascii="Arial" w:eastAsia="Times New Roman" w:hAnsi="Arial" w:cs="Arial"/>
                <w:b/>
                <w:bCs/>
                <w:color w:val="000000"/>
                <w:lang w:eastAsia="en-GB"/>
              </w:rPr>
              <w:t>6,734</w:t>
            </w:r>
          </w:p>
        </w:tc>
      </w:tr>
    </w:tbl>
    <w:p w14:paraId="370E665A" w14:textId="77777777" w:rsidR="0021298F" w:rsidRDefault="0021298F" w:rsidP="0021298F">
      <w:pPr>
        <w:rPr>
          <w:lang w:eastAsia="en-GB"/>
        </w:rPr>
      </w:pPr>
    </w:p>
    <w:p w14:paraId="3E79588C" w14:textId="77777777" w:rsidR="0021298F" w:rsidRDefault="0021298F" w:rsidP="0021298F">
      <w:pPr>
        <w:jc w:val="both"/>
        <w:rPr>
          <w:rFonts w:ascii="Arial" w:eastAsia="Times New Roman" w:hAnsi="Arial" w:cs="Arial"/>
          <w:lang w:eastAsia="en-GB"/>
        </w:rPr>
      </w:pPr>
      <w:r>
        <w:rPr>
          <w:rFonts w:ascii="Arial" w:eastAsia="Times New Roman" w:hAnsi="Arial" w:cs="Arial"/>
          <w:lang w:eastAsia="en-GB"/>
        </w:rPr>
        <w:t xml:space="preserve">The fees to the Company’s Auditor include </w:t>
      </w:r>
      <w:r w:rsidRPr="007B5C3C">
        <w:rPr>
          <w:rFonts w:ascii="Arial" w:eastAsia="Times New Roman" w:hAnsi="Arial" w:cs="Arial"/>
          <w:lang w:eastAsia="en-GB"/>
        </w:rPr>
        <w:t>€</w:t>
      </w:r>
      <w:r w:rsidRPr="001E34C8">
        <w:rPr>
          <w:rFonts w:ascii="Arial" w:eastAsia="Times New Roman" w:hAnsi="Arial" w:cs="Arial"/>
          <w:lang w:eastAsia="en-GB"/>
        </w:rPr>
        <w:t>3,000</w:t>
      </w:r>
      <w:r>
        <w:rPr>
          <w:rFonts w:ascii="Arial" w:eastAsia="Times New Roman" w:hAnsi="Arial" w:cs="Arial"/>
          <w:lang w:eastAsia="en-GB"/>
        </w:rPr>
        <w:t xml:space="preserve"> (2019: €3,000) paid in relation to a limited review of the Interim Report during the year. </w:t>
      </w:r>
    </w:p>
    <w:p w14:paraId="5046C222" w14:textId="77777777" w:rsidR="0021298F" w:rsidRDefault="0021298F" w:rsidP="0021298F">
      <w:pPr>
        <w:jc w:val="both"/>
        <w:rPr>
          <w:rFonts w:ascii="Arial" w:eastAsia="Times New Roman" w:hAnsi="Arial" w:cs="Arial"/>
          <w:lang w:eastAsia="en-GB"/>
        </w:rPr>
      </w:pPr>
    </w:p>
    <w:p w14:paraId="459272EF" w14:textId="77777777" w:rsidR="0021298F" w:rsidRPr="009E4AB3" w:rsidRDefault="0021298F" w:rsidP="0021298F">
      <w:pPr>
        <w:pStyle w:val="Heading2"/>
        <w:keepNext w:val="0"/>
        <w:keepLines w:val="0"/>
        <w:spacing w:before="0" w:line="240" w:lineRule="auto"/>
        <w:jc w:val="both"/>
        <w:rPr>
          <w:rFonts w:ascii="Arial" w:hAnsi="Arial" w:cs="Arial"/>
          <w:color w:val="auto"/>
          <w:sz w:val="24"/>
          <w:szCs w:val="22"/>
          <w:lang w:eastAsia="en-GB"/>
        </w:rPr>
      </w:pPr>
      <w:r>
        <w:rPr>
          <w:rFonts w:ascii="Arial" w:hAnsi="Arial" w:cs="Arial"/>
          <w:color w:val="auto"/>
          <w:sz w:val="24"/>
          <w:szCs w:val="22"/>
          <w:lang w:eastAsia="en-GB"/>
        </w:rPr>
        <w:t xml:space="preserve">6. </w:t>
      </w:r>
      <w:r w:rsidRPr="0096193D">
        <w:rPr>
          <w:rFonts w:ascii="Arial" w:hAnsi="Arial" w:cs="Arial"/>
          <w:color w:val="auto"/>
          <w:sz w:val="24"/>
          <w:szCs w:val="22"/>
          <w:lang w:eastAsia="en-GB"/>
        </w:rPr>
        <w:t>Taxati</w:t>
      </w:r>
      <w:r w:rsidRPr="00B269CA">
        <w:rPr>
          <w:rFonts w:ascii="Arial" w:hAnsi="Arial" w:cs="Arial"/>
          <w:color w:val="auto"/>
          <w:sz w:val="24"/>
          <w:szCs w:val="22"/>
          <w:lang w:eastAsia="en-GB"/>
        </w:rPr>
        <w:t>on</w:t>
      </w:r>
    </w:p>
    <w:tbl>
      <w:tblPr>
        <w:tblW w:w="5261" w:type="pct"/>
        <w:tblLayout w:type="fixed"/>
        <w:tblLook w:val="04A0" w:firstRow="1" w:lastRow="0" w:firstColumn="1" w:lastColumn="0" w:noHBand="0" w:noVBand="1"/>
      </w:tblPr>
      <w:tblGrid>
        <w:gridCol w:w="4880"/>
        <w:gridCol w:w="2207"/>
        <w:gridCol w:w="2410"/>
      </w:tblGrid>
      <w:tr w:rsidR="0021298F" w:rsidRPr="00A8680E" w14:paraId="619210E9" w14:textId="77777777" w:rsidTr="00760009">
        <w:trPr>
          <w:trHeight w:val="505"/>
        </w:trPr>
        <w:tc>
          <w:tcPr>
            <w:tcW w:w="2569" w:type="pct"/>
            <w:tcBorders>
              <w:top w:val="nil"/>
              <w:left w:val="nil"/>
              <w:right w:val="nil"/>
            </w:tcBorders>
            <w:shd w:val="clear" w:color="auto" w:fill="auto"/>
            <w:vAlign w:val="center"/>
          </w:tcPr>
          <w:p w14:paraId="1E5019D6" w14:textId="77777777" w:rsidR="0021298F" w:rsidRPr="00A8680E" w:rsidRDefault="0021298F" w:rsidP="00760009">
            <w:pPr>
              <w:jc w:val="both"/>
              <w:rPr>
                <w:rFonts w:ascii="Arial" w:eastAsia="Times New Roman" w:hAnsi="Arial" w:cs="Arial"/>
                <w:lang w:eastAsia="en-GB"/>
              </w:rPr>
            </w:pPr>
          </w:p>
        </w:tc>
        <w:tc>
          <w:tcPr>
            <w:tcW w:w="1162" w:type="pct"/>
            <w:tcBorders>
              <w:top w:val="nil"/>
              <w:left w:val="nil"/>
              <w:right w:val="nil"/>
            </w:tcBorders>
            <w:vAlign w:val="center"/>
          </w:tcPr>
          <w:p w14:paraId="01FBE683" w14:textId="77777777" w:rsidR="0021298F" w:rsidRPr="00A8680E" w:rsidRDefault="0021298F" w:rsidP="00760009">
            <w:pPr>
              <w:ind w:left="-305" w:hanging="142"/>
              <w:jc w:val="right"/>
              <w:rPr>
                <w:rFonts w:ascii="Arial" w:eastAsia="Times New Roman" w:hAnsi="Arial" w:cs="Arial"/>
                <w:b/>
                <w:bCs/>
                <w:lang w:eastAsia="en-GB"/>
              </w:rPr>
            </w:pPr>
            <w:r w:rsidRPr="00A8680E">
              <w:rPr>
                <w:rFonts w:ascii="Arial" w:eastAsia="Times New Roman" w:hAnsi="Arial" w:cs="Arial"/>
                <w:b/>
                <w:bCs/>
                <w:lang w:eastAsia="en-GB"/>
              </w:rPr>
              <w:t xml:space="preserve">For the year ended </w:t>
            </w:r>
            <w:r w:rsidRPr="00A8680E">
              <w:rPr>
                <w:rFonts w:ascii="Arial" w:eastAsia="Times New Roman" w:hAnsi="Arial" w:cs="Arial"/>
                <w:b/>
                <w:bCs/>
                <w:lang w:eastAsia="en-GB"/>
              </w:rPr>
              <w:br/>
            </w:r>
            <w:r>
              <w:rPr>
                <w:rFonts w:ascii="Arial" w:eastAsia="Times New Roman" w:hAnsi="Arial" w:cs="Arial"/>
                <w:b/>
                <w:bCs/>
                <w:lang w:eastAsia="en-GB"/>
              </w:rPr>
              <w:t>31 December 2020</w:t>
            </w:r>
          </w:p>
        </w:tc>
        <w:tc>
          <w:tcPr>
            <w:tcW w:w="1269" w:type="pct"/>
            <w:tcBorders>
              <w:top w:val="nil"/>
              <w:left w:val="nil"/>
              <w:right w:val="nil"/>
            </w:tcBorders>
            <w:shd w:val="clear" w:color="auto" w:fill="auto"/>
            <w:noWrap/>
            <w:vAlign w:val="center"/>
          </w:tcPr>
          <w:p w14:paraId="37C6D2CF" w14:textId="77777777" w:rsidR="0021298F" w:rsidRPr="00A8680E" w:rsidRDefault="0021298F" w:rsidP="00760009">
            <w:pPr>
              <w:jc w:val="right"/>
              <w:rPr>
                <w:rFonts w:ascii="Arial" w:eastAsia="Times New Roman" w:hAnsi="Arial" w:cs="Arial"/>
                <w:b/>
                <w:bCs/>
                <w:lang w:eastAsia="en-GB"/>
              </w:rPr>
            </w:pPr>
            <w:r w:rsidRPr="00A8680E">
              <w:rPr>
                <w:rFonts w:ascii="Arial" w:eastAsia="Times New Roman" w:hAnsi="Arial" w:cs="Arial"/>
                <w:b/>
                <w:bCs/>
                <w:lang w:eastAsia="en-GB"/>
              </w:rPr>
              <w:t xml:space="preserve">For the </w:t>
            </w:r>
            <w:r>
              <w:rPr>
                <w:rFonts w:ascii="Arial" w:eastAsia="Times New Roman" w:hAnsi="Arial" w:cs="Arial"/>
                <w:b/>
                <w:bCs/>
                <w:lang w:eastAsia="en-GB"/>
              </w:rPr>
              <w:t>year</w:t>
            </w:r>
            <w:r w:rsidRPr="00A8680E">
              <w:rPr>
                <w:rFonts w:ascii="Arial" w:eastAsia="Times New Roman" w:hAnsi="Arial" w:cs="Arial"/>
                <w:b/>
                <w:bCs/>
                <w:lang w:eastAsia="en-GB"/>
              </w:rPr>
              <w:t xml:space="preserve"> ended </w:t>
            </w:r>
            <w:r w:rsidRPr="00A8680E">
              <w:rPr>
                <w:rFonts w:ascii="Arial" w:eastAsia="Times New Roman" w:hAnsi="Arial" w:cs="Arial"/>
                <w:b/>
                <w:bCs/>
                <w:lang w:eastAsia="en-GB"/>
              </w:rPr>
              <w:br/>
            </w:r>
            <w:r>
              <w:rPr>
                <w:rFonts w:ascii="Arial" w:eastAsia="Times New Roman" w:hAnsi="Arial" w:cs="Arial"/>
                <w:b/>
                <w:bCs/>
                <w:lang w:eastAsia="en-GB"/>
              </w:rPr>
              <w:t>31 December 2019</w:t>
            </w:r>
          </w:p>
        </w:tc>
      </w:tr>
      <w:tr w:rsidR="0021298F" w:rsidRPr="00A8680E" w14:paraId="4BA01F5E" w14:textId="77777777" w:rsidTr="00760009">
        <w:trPr>
          <w:trHeight w:val="505"/>
        </w:trPr>
        <w:tc>
          <w:tcPr>
            <w:tcW w:w="2569" w:type="pct"/>
            <w:tcBorders>
              <w:left w:val="nil"/>
              <w:bottom w:val="single" w:sz="4" w:space="0" w:color="auto"/>
              <w:right w:val="nil"/>
            </w:tcBorders>
            <w:shd w:val="clear" w:color="auto" w:fill="auto"/>
            <w:vAlign w:val="center"/>
            <w:hideMark/>
          </w:tcPr>
          <w:p w14:paraId="3B9FB6F3" w14:textId="77777777" w:rsidR="0021298F" w:rsidRPr="00A8680E" w:rsidRDefault="0021298F" w:rsidP="00760009">
            <w:pPr>
              <w:jc w:val="both"/>
              <w:rPr>
                <w:rFonts w:ascii="Arial" w:eastAsia="Times New Roman" w:hAnsi="Arial" w:cs="Arial"/>
                <w:lang w:eastAsia="en-GB"/>
              </w:rPr>
            </w:pPr>
            <w:r w:rsidRPr="00A8680E">
              <w:rPr>
                <w:rFonts w:ascii="Arial" w:eastAsia="Times New Roman" w:hAnsi="Arial" w:cs="Arial"/>
                <w:lang w:eastAsia="en-GB"/>
              </w:rPr>
              <w:t> </w:t>
            </w:r>
          </w:p>
        </w:tc>
        <w:tc>
          <w:tcPr>
            <w:tcW w:w="1162" w:type="pct"/>
            <w:tcBorders>
              <w:left w:val="nil"/>
              <w:bottom w:val="single" w:sz="4" w:space="0" w:color="auto"/>
              <w:right w:val="nil"/>
            </w:tcBorders>
            <w:vAlign w:val="center"/>
          </w:tcPr>
          <w:p w14:paraId="793A6F3A" w14:textId="77777777" w:rsidR="0021298F" w:rsidRPr="00A8680E" w:rsidRDefault="0021298F" w:rsidP="00760009">
            <w:pPr>
              <w:jc w:val="right"/>
              <w:rPr>
                <w:rFonts w:ascii="Arial" w:eastAsia="Times New Roman" w:hAnsi="Arial" w:cs="Arial"/>
                <w:b/>
                <w:bCs/>
                <w:lang w:eastAsia="en-GB"/>
              </w:rPr>
            </w:pPr>
            <w:r w:rsidRPr="00A8680E">
              <w:rPr>
                <w:rFonts w:ascii="Arial" w:eastAsia="Times New Roman" w:hAnsi="Arial" w:cs="Arial"/>
                <w:b/>
                <w:bCs/>
                <w:lang w:eastAsia="en-GB"/>
              </w:rPr>
              <w:t>€’000</w:t>
            </w:r>
          </w:p>
        </w:tc>
        <w:tc>
          <w:tcPr>
            <w:tcW w:w="1269" w:type="pct"/>
            <w:tcBorders>
              <w:left w:val="nil"/>
              <w:bottom w:val="single" w:sz="4" w:space="0" w:color="auto"/>
              <w:right w:val="nil"/>
            </w:tcBorders>
            <w:shd w:val="clear" w:color="auto" w:fill="auto"/>
            <w:noWrap/>
            <w:vAlign w:val="center"/>
            <w:hideMark/>
          </w:tcPr>
          <w:p w14:paraId="51C9F3F0" w14:textId="77777777" w:rsidR="0021298F" w:rsidRPr="00A8680E" w:rsidRDefault="0021298F" w:rsidP="00760009">
            <w:pPr>
              <w:jc w:val="right"/>
              <w:rPr>
                <w:rFonts w:ascii="Arial" w:eastAsia="Times New Roman" w:hAnsi="Arial" w:cs="Arial"/>
                <w:b/>
                <w:bCs/>
                <w:lang w:eastAsia="en-GB"/>
              </w:rPr>
            </w:pPr>
            <w:r w:rsidRPr="00A8680E">
              <w:rPr>
                <w:rFonts w:ascii="Arial" w:eastAsia="Times New Roman" w:hAnsi="Arial" w:cs="Arial"/>
                <w:b/>
                <w:bCs/>
                <w:lang w:eastAsia="en-GB"/>
              </w:rPr>
              <w:t>€’000</w:t>
            </w:r>
          </w:p>
        </w:tc>
      </w:tr>
      <w:tr w:rsidR="0021298F" w:rsidRPr="00A8680E" w14:paraId="7DA52F92" w14:textId="77777777" w:rsidTr="00760009">
        <w:trPr>
          <w:trHeight w:val="480"/>
        </w:trPr>
        <w:tc>
          <w:tcPr>
            <w:tcW w:w="2569" w:type="pct"/>
            <w:tcBorders>
              <w:top w:val="nil"/>
              <w:left w:val="nil"/>
              <w:bottom w:val="single" w:sz="4" w:space="0" w:color="auto"/>
              <w:right w:val="nil"/>
            </w:tcBorders>
            <w:shd w:val="clear" w:color="000000" w:fill="FFFFFF"/>
            <w:vAlign w:val="center"/>
          </w:tcPr>
          <w:p w14:paraId="58E0498A" w14:textId="77777777" w:rsidR="0021298F" w:rsidRPr="00A8680E" w:rsidRDefault="0021298F" w:rsidP="00760009">
            <w:pPr>
              <w:jc w:val="both"/>
              <w:rPr>
                <w:rFonts w:ascii="Arial" w:eastAsia="Times New Roman" w:hAnsi="Arial" w:cs="Arial"/>
                <w:lang w:eastAsia="en-GB"/>
              </w:rPr>
            </w:pPr>
            <w:r w:rsidRPr="00A8680E">
              <w:rPr>
                <w:rFonts w:ascii="Arial" w:eastAsia="Times New Roman" w:hAnsi="Arial" w:cs="Arial"/>
                <w:lang w:eastAsia="en-GB"/>
              </w:rPr>
              <w:t>Taxation</w:t>
            </w:r>
          </w:p>
        </w:tc>
        <w:tc>
          <w:tcPr>
            <w:tcW w:w="1162" w:type="pct"/>
            <w:tcBorders>
              <w:top w:val="nil"/>
              <w:left w:val="nil"/>
              <w:bottom w:val="single" w:sz="4" w:space="0" w:color="auto"/>
              <w:right w:val="nil"/>
            </w:tcBorders>
            <w:shd w:val="clear" w:color="000000" w:fill="EDFFB7"/>
            <w:vAlign w:val="center"/>
          </w:tcPr>
          <w:p w14:paraId="2F721EA8" w14:textId="77777777" w:rsidR="0021298F" w:rsidRPr="00A8680E" w:rsidRDefault="0021298F" w:rsidP="00760009">
            <w:pPr>
              <w:jc w:val="right"/>
              <w:rPr>
                <w:rFonts w:ascii="Arial" w:eastAsia="Times New Roman" w:hAnsi="Arial" w:cs="Arial"/>
                <w:lang w:eastAsia="en-GB"/>
              </w:rPr>
            </w:pPr>
            <w:r>
              <w:rPr>
                <w:rFonts w:ascii="Arial" w:eastAsia="Times New Roman" w:hAnsi="Arial" w:cs="Arial"/>
                <w:lang w:eastAsia="en-GB"/>
              </w:rPr>
              <w:t>-</w:t>
            </w:r>
          </w:p>
        </w:tc>
        <w:tc>
          <w:tcPr>
            <w:tcW w:w="1269" w:type="pct"/>
            <w:tcBorders>
              <w:top w:val="nil"/>
              <w:left w:val="nil"/>
              <w:bottom w:val="single" w:sz="4" w:space="0" w:color="auto"/>
              <w:right w:val="nil"/>
            </w:tcBorders>
            <w:shd w:val="clear" w:color="auto" w:fill="auto"/>
            <w:noWrap/>
            <w:vAlign w:val="center"/>
          </w:tcPr>
          <w:p w14:paraId="480EDF9C" w14:textId="77777777" w:rsidR="0021298F" w:rsidRPr="00A8680E" w:rsidRDefault="0021298F" w:rsidP="00760009">
            <w:pPr>
              <w:jc w:val="right"/>
              <w:rPr>
                <w:rFonts w:ascii="Arial" w:eastAsia="Times New Roman" w:hAnsi="Arial" w:cs="Arial"/>
                <w:lang w:eastAsia="en-GB"/>
              </w:rPr>
            </w:pPr>
            <w:r>
              <w:rPr>
                <w:rFonts w:ascii="Arial" w:eastAsia="Times New Roman" w:hAnsi="Arial" w:cs="Arial"/>
                <w:lang w:eastAsia="en-GB"/>
              </w:rPr>
              <w:t>1,237</w:t>
            </w:r>
          </w:p>
        </w:tc>
      </w:tr>
    </w:tbl>
    <w:p w14:paraId="451EF451" w14:textId="77777777" w:rsidR="0021298F" w:rsidRDefault="0021298F" w:rsidP="0021298F">
      <w:pPr>
        <w:jc w:val="both"/>
        <w:rPr>
          <w:rFonts w:ascii="Arial" w:eastAsia="Times New Roman" w:hAnsi="Arial" w:cs="Arial"/>
          <w:lang w:eastAsia="en-GB"/>
        </w:rPr>
      </w:pPr>
    </w:p>
    <w:p w14:paraId="4F8FA011" w14:textId="77777777" w:rsidR="0021298F" w:rsidRPr="00992D4D" w:rsidRDefault="0021298F" w:rsidP="0021298F">
      <w:pPr>
        <w:jc w:val="both"/>
        <w:rPr>
          <w:rFonts w:ascii="Arial" w:eastAsia="Times New Roman" w:hAnsi="Arial" w:cs="Arial"/>
          <w:lang w:eastAsia="en-GB"/>
        </w:rPr>
      </w:pPr>
      <w:r w:rsidRPr="00992D4D">
        <w:rPr>
          <w:rFonts w:ascii="Arial" w:eastAsia="Times New Roman" w:hAnsi="Arial" w:cs="Arial"/>
          <w:lang w:eastAsia="en-GB"/>
        </w:rPr>
        <w:t>The tax reconciliation is explained below.</w:t>
      </w:r>
    </w:p>
    <w:tbl>
      <w:tblPr>
        <w:tblW w:w="5261" w:type="pct"/>
        <w:tblLayout w:type="fixed"/>
        <w:tblLook w:val="04A0" w:firstRow="1" w:lastRow="0" w:firstColumn="1" w:lastColumn="0" w:noHBand="0" w:noVBand="1"/>
      </w:tblPr>
      <w:tblGrid>
        <w:gridCol w:w="4905"/>
        <w:gridCol w:w="2184"/>
        <w:gridCol w:w="2408"/>
      </w:tblGrid>
      <w:tr w:rsidR="0021298F" w:rsidRPr="005C4CCA" w14:paraId="1EEBDD50" w14:textId="77777777" w:rsidTr="00760009">
        <w:trPr>
          <w:trHeight w:val="314"/>
        </w:trPr>
        <w:tc>
          <w:tcPr>
            <w:tcW w:w="2582" w:type="pct"/>
            <w:tcBorders>
              <w:top w:val="nil"/>
              <w:left w:val="nil"/>
              <w:right w:val="nil"/>
            </w:tcBorders>
            <w:shd w:val="clear" w:color="auto" w:fill="auto"/>
            <w:vAlign w:val="center"/>
          </w:tcPr>
          <w:p w14:paraId="53FC8171" w14:textId="77777777" w:rsidR="0021298F" w:rsidRPr="005C4CCA" w:rsidRDefault="0021298F" w:rsidP="00760009">
            <w:pPr>
              <w:jc w:val="both"/>
              <w:rPr>
                <w:rFonts w:ascii="Arial" w:eastAsia="Times New Roman" w:hAnsi="Arial" w:cs="Arial"/>
                <w:lang w:eastAsia="en-GB"/>
              </w:rPr>
            </w:pPr>
          </w:p>
        </w:tc>
        <w:tc>
          <w:tcPr>
            <w:tcW w:w="1150" w:type="pct"/>
            <w:tcBorders>
              <w:top w:val="nil"/>
              <w:left w:val="nil"/>
              <w:right w:val="nil"/>
            </w:tcBorders>
            <w:vAlign w:val="center"/>
          </w:tcPr>
          <w:p w14:paraId="18FEC104" w14:textId="77777777" w:rsidR="0021298F" w:rsidRDefault="0021298F" w:rsidP="00760009">
            <w:pPr>
              <w:ind w:left="-305" w:hanging="142"/>
              <w:jc w:val="right"/>
              <w:rPr>
                <w:rFonts w:ascii="Arial" w:eastAsia="Times New Roman" w:hAnsi="Arial" w:cs="Arial"/>
                <w:b/>
                <w:bCs/>
                <w:lang w:eastAsia="en-GB"/>
              </w:rPr>
            </w:pPr>
            <w:r w:rsidRPr="005C4CCA">
              <w:rPr>
                <w:rFonts w:ascii="Arial" w:eastAsia="Times New Roman" w:hAnsi="Arial" w:cs="Arial"/>
                <w:b/>
                <w:bCs/>
                <w:lang w:eastAsia="en-GB"/>
              </w:rPr>
              <w:t xml:space="preserve">For the </w:t>
            </w:r>
            <w:r>
              <w:rPr>
                <w:rFonts w:ascii="Arial" w:eastAsia="Times New Roman" w:hAnsi="Arial" w:cs="Arial"/>
                <w:b/>
                <w:bCs/>
                <w:lang w:eastAsia="en-GB"/>
              </w:rPr>
              <w:t>year ended</w:t>
            </w:r>
            <w:r w:rsidRPr="005C4CCA">
              <w:rPr>
                <w:rFonts w:ascii="Arial" w:eastAsia="Times New Roman" w:hAnsi="Arial" w:cs="Arial"/>
                <w:b/>
                <w:bCs/>
                <w:lang w:eastAsia="en-GB"/>
              </w:rPr>
              <w:t xml:space="preserve"> </w:t>
            </w:r>
            <w:r w:rsidRPr="005C4CCA">
              <w:rPr>
                <w:rFonts w:ascii="Arial" w:eastAsia="Times New Roman" w:hAnsi="Arial" w:cs="Arial"/>
                <w:b/>
                <w:bCs/>
                <w:lang w:eastAsia="en-GB"/>
              </w:rPr>
              <w:br/>
            </w:r>
            <w:r>
              <w:rPr>
                <w:rFonts w:ascii="Arial" w:eastAsia="Times New Roman" w:hAnsi="Arial" w:cs="Arial"/>
                <w:b/>
                <w:bCs/>
                <w:lang w:eastAsia="en-GB"/>
              </w:rPr>
              <w:t>31 December 2020</w:t>
            </w:r>
          </w:p>
        </w:tc>
        <w:tc>
          <w:tcPr>
            <w:tcW w:w="1268" w:type="pct"/>
            <w:tcBorders>
              <w:top w:val="nil"/>
              <w:left w:val="nil"/>
              <w:right w:val="nil"/>
            </w:tcBorders>
            <w:shd w:val="clear" w:color="auto" w:fill="auto"/>
            <w:noWrap/>
            <w:vAlign w:val="center"/>
          </w:tcPr>
          <w:p w14:paraId="003F7EB0" w14:textId="77777777" w:rsidR="0021298F" w:rsidRDefault="0021298F" w:rsidP="00760009">
            <w:pPr>
              <w:jc w:val="right"/>
              <w:rPr>
                <w:rFonts w:ascii="Arial" w:eastAsia="Times New Roman" w:hAnsi="Arial" w:cs="Arial"/>
                <w:b/>
                <w:bCs/>
                <w:lang w:eastAsia="en-GB"/>
              </w:rPr>
            </w:pPr>
            <w:r w:rsidRPr="005C4CCA">
              <w:rPr>
                <w:rFonts w:ascii="Arial" w:eastAsia="Times New Roman" w:hAnsi="Arial" w:cs="Arial"/>
                <w:b/>
                <w:bCs/>
                <w:lang w:eastAsia="en-GB"/>
              </w:rPr>
              <w:t xml:space="preserve">For the </w:t>
            </w:r>
            <w:r>
              <w:rPr>
                <w:rFonts w:ascii="Arial" w:eastAsia="Times New Roman" w:hAnsi="Arial" w:cs="Arial"/>
                <w:b/>
                <w:bCs/>
                <w:lang w:eastAsia="en-GB"/>
              </w:rPr>
              <w:t>year ended</w:t>
            </w:r>
            <w:r w:rsidRPr="005C4CCA">
              <w:rPr>
                <w:rFonts w:ascii="Arial" w:eastAsia="Times New Roman" w:hAnsi="Arial" w:cs="Arial"/>
                <w:b/>
                <w:bCs/>
                <w:lang w:eastAsia="en-GB"/>
              </w:rPr>
              <w:t xml:space="preserve"> </w:t>
            </w:r>
            <w:r w:rsidRPr="005C4CCA">
              <w:rPr>
                <w:rFonts w:ascii="Arial" w:eastAsia="Times New Roman" w:hAnsi="Arial" w:cs="Arial"/>
                <w:b/>
                <w:bCs/>
                <w:lang w:eastAsia="en-GB"/>
              </w:rPr>
              <w:br/>
            </w:r>
            <w:r>
              <w:rPr>
                <w:rFonts w:ascii="Arial" w:eastAsia="Times New Roman" w:hAnsi="Arial" w:cs="Arial"/>
                <w:b/>
                <w:bCs/>
                <w:lang w:eastAsia="en-GB"/>
              </w:rPr>
              <w:t>31 December 2019</w:t>
            </w:r>
          </w:p>
        </w:tc>
      </w:tr>
      <w:tr w:rsidR="0021298F" w:rsidRPr="005C4CCA" w14:paraId="23159E6F" w14:textId="77777777" w:rsidTr="00760009">
        <w:trPr>
          <w:trHeight w:val="314"/>
        </w:trPr>
        <w:tc>
          <w:tcPr>
            <w:tcW w:w="2582" w:type="pct"/>
            <w:tcBorders>
              <w:left w:val="nil"/>
              <w:bottom w:val="single" w:sz="4" w:space="0" w:color="auto"/>
              <w:right w:val="nil"/>
            </w:tcBorders>
            <w:shd w:val="clear" w:color="auto" w:fill="auto"/>
            <w:vAlign w:val="center"/>
            <w:hideMark/>
          </w:tcPr>
          <w:p w14:paraId="59960274" w14:textId="77777777" w:rsidR="0021298F" w:rsidRPr="005C4CCA" w:rsidRDefault="0021298F" w:rsidP="00760009">
            <w:pPr>
              <w:jc w:val="both"/>
              <w:rPr>
                <w:rFonts w:ascii="Arial" w:eastAsia="Times New Roman" w:hAnsi="Arial" w:cs="Arial"/>
                <w:lang w:eastAsia="en-GB"/>
              </w:rPr>
            </w:pPr>
            <w:r w:rsidRPr="005C4CCA">
              <w:rPr>
                <w:rFonts w:ascii="Arial" w:eastAsia="Times New Roman" w:hAnsi="Arial" w:cs="Arial"/>
                <w:lang w:eastAsia="en-GB"/>
              </w:rPr>
              <w:t> </w:t>
            </w:r>
          </w:p>
        </w:tc>
        <w:tc>
          <w:tcPr>
            <w:tcW w:w="1150" w:type="pct"/>
            <w:tcBorders>
              <w:left w:val="nil"/>
              <w:bottom w:val="single" w:sz="4" w:space="0" w:color="auto"/>
              <w:right w:val="nil"/>
            </w:tcBorders>
            <w:vAlign w:val="center"/>
          </w:tcPr>
          <w:p w14:paraId="6AE913CC" w14:textId="77777777" w:rsidR="0021298F" w:rsidRPr="00A25A70" w:rsidRDefault="0021298F" w:rsidP="00760009">
            <w:pPr>
              <w:jc w:val="right"/>
              <w:rPr>
                <w:rFonts w:ascii="Arial" w:eastAsia="Times New Roman" w:hAnsi="Arial" w:cs="Arial"/>
                <w:b/>
                <w:bCs/>
                <w:lang w:eastAsia="en-GB"/>
              </w:rPr>
            </w:pPr>
            <w:r>
              <w:rPr>
                <w:rFonts w:ascii="Arial" w:eastAsia="Times New Roman" w:hAnsi="Arial" w:cs="Arial"/>
                <w:b/>
                <w:bCs/>
                <w:lang w:eastAsia="en-GB"/>
              </w:rPr>
              <w:t>€’000</w:t>
            </w:r>
          </w:p>
        </w:tc>
        <w:tc>
          <w:tcPr>
            <w:tcW w:w="1268" w:type="pct"/>
            <w:tcBorders>
              <w:left w:val="nil"/>
              <w:bottom w:val="single" w:sz="4" w:space="0" w:color="auto"/>
              <w:right w:val="nil"/>
            </w:tcBorders>
            <w:shd w:val="clear" w:color="auto" w:fill="auto"/>
            <w:noWrap/>
            <w:vAlign w:val="center"/>
            <w:hideMark/>
          </w:tcPr>
          <w:p w14:paraId="0AA97C63" w14:textId="77777777" w:rsidR="0021298F" w:rsidRPr="005C4CCA" w:rsidRDefault="0021298F" w:rsidP="00760009">
            <w:pPr>
              <w:jc w:val="right"/>
              <w:rPr>
                <w:rFonts w:ascii="Arial" w:eastAsia="Times New Roman" w:hAnsi="Arial" w:cs="Arial"/>
                <w:b/>
                <w:bCs/>
                <w:lang w:eastAsia="en-GB"/>
              </w:rPr>
            </w:pPr>
            <w:r>
              <w:rPr>
                <w:rFonts w:ascii="Arial" w:eastAsia="Times New Roman" w:hAnsi="Arial" w:cs="Arial"/>
                <w:b/>
                <w:bCs/>
                <w:lang w:eastAsia="en-GB"/>
              </w:rPr>
              <w:t>€’000</w:t>
            </w:r>
          </w:p>
        </w:tc>
      </w:tr>
      <w:tr w:rsidR="0021298F" w:rsidRPr="005C4CCA" w14:paraId="0E18BB3C" w14:textId="77777777" w:rsidTr="00760009">
        <w:trPr>
          <w:trHeight w:val="299"/>
        </w:trPr>
        <w:tc>
          <w:tcPr>
            <w:tcW w:w="2582" w:type="pct"/>
            <w:tcBorders>
              <w:top w:val="nil"/>
              <w:left w:val="nil"/>
              <w:bottom w:val="nil"/>
              <w:right w:val="nil"/>
            </w:tcBorders>
            <w:shd w:val="clear" w:color="000000" w:fill="FFFFFF"/>
            <w:vAlign w:val="center"/>
            <w:hideMark/>
          </w:tcPr>
          <w:p w14:paraId="0F6BD235" w14:textId="77777777" w:rsidR="0021298F" w:rsidRPr="005C4CCA" w:rsidRDefault="0021298F" w:rsidP="00760009">
            <w:pPr>
              <w:jc w:val="both"/>
              <w:rPr>
                <w:rFonts w:ascii="Arial" w:eastAsia="Times New Roman" w:hAnsi="Arial" w:cs="Arial"/>
                <w:lang w:eastAsia="en-GB"/>
              </w:rPr>
            </w:pPr>
            <w:r w:rsidRPr="005C4CCA">
              <w:rPr>
                <w:rFonts w:ascii="Arial" w:eastAsia="Times New Roman" w:hAnsi="Arial" w:cs="Arial"/>
                <w:lang w:eastAsia="en-GB"/>
              </w:rPr>
              <w:t> </w:t>
            </w:r>
          </w:p>
        </w:tc>
        <w:tc>
          <w:tcPr>
            <w:tcW w:w="1150" w:type="pct"/>
            <w:tcBorders>
              <w:top w:val="nil"/>
              <w:left w:val="nil"/>
              <w:bottom w:val="nil"/>
              <w:right w:val="nil"/>
            </w:tcBorders>
            <w:shd w:val="clear" w:color="000000" w:fill="EDFFB7"/>
          </w:tcPr>
          <w:p w14:paraId="366BF27A" w14:textId="77777777" w:rsidR="0021298F" w:rsidRPr="005C4CCA" w:rsidRDefault="0021298F" w:rsidP="00760009">
            <w:pPr>
              <w:jc w:val="right"/>
              <w:rPr>
                <w:rFonts w:ascii="Arial" w:eastAsia="Times New Roman" w:hAnsi="Arial" w:cs="Arial"/>
                <w:lang w:eastAsia="en-GB"/>
              </w:rPr>
            </w:pPr>
          </w:p>
        </w:tc>
        <w:tc>
          <w:tcPr>
            <w:tcW w:w="1268" w:type="pct"/>
            <w:tcBorders>
              <w:top w:val="nil"/>
              <w:left w:val="nil"/>
              <w:bottom w:val="nil"/>
              <w:right w:val="nil"/>
            </w:tcBorders>
            <w:shd w:val="clear" w:color="auto" w:fill="auto"/>
            <w:noWrap/>
            <w:vAlign w:val="center"/>
            <w:hideMark/>
          </w:tcPr>
          <w:p w14:paraId="66420723" w14:textId="77777777" w:rsidR="0021298F" w:rsidRPr="005C4CCA" w:rsidRDefault="0021298F" w:rsidP="00760009">
            <w:pPr>
              <w:jc w:val="right"/>
              <w:rPr>
                <w:rFonts w:ascii="Arial" w:eastAsia="Times New Roman" w:hAnsi="Arial" w:cs="Arial"/>
                <w:lang w:eastAsia="en-GB"/>
              </w:rPr>
            </w:pPr>
            <w:r w:rsidRPr="005C4CCA">
              <w:rPr>
                <w:rFonts w:ascii="Arial" w:eastAsia="Times New Roman" w:hAnsi="Arial" w:cs="Arial"/>
                <w:lang w:eastAsia="en-GB"/>
              </w:rPr>
              <w:t> </w:t>
            </w:r>
          </w:p>
        </w:tc>
      </w:tr>
      <w:tr w:rsidR="0021298F" w:rsidRPr="005C4CCA" w14:paraId="4389D03B" w14:textId="77777777" w:rsidTr="00760009">
        <w:trPr>
          <w:trHeight w:val="299"/>
        </w:trPr>
        <w:tc>
          <w:tcPr>
            <w:tcW w:w="2582" w:type="pct"/>
            <w:tcBorders>
              <w:top w:val="nil"/>
              <w:left w:val="nil"/>
              <w:bottom w:val="single" w:sz="4" w:space="0" w:color="auto"/>
              <w:right w:val="nil"/>
            </w:tcBorders>
            <w:shd w:val="clear" w:color="000000" w:fill="FFFFFF"/>
            <w:noWrap/>
            <w:vAlign w:val="center"/>
            <w:hideMark/>
          </w:tcPr>
          <w:p w14:paraId="65D3A764" w14:textId="77777777" w:rsidR="0021298F" w:rsidRPr="005C4CCA" w:rsidRDefault="0021298F" w:rsidP="00760009">
            <w:pPr>
              <w:jc w:val="both"/>
              <w:rPr>
                <w:rFonts w:ascii="Arial" w:eastAsia="Times New Roman" w:hAnsi="Arial" w:cs="Arial"/>
                <w:lang w:eastAsia="en-GB"/>
              </w:rPr>
            </w:pPr>
            <w:r>
              <w:rPr>
                <w:rFonts w:ascii="Arial" w:eastAsia="Times New Roman" w:hAnsi="Arial" w:cs="Arial"/>
                <w:lang w:eastAsia="en-GB"/>
              </w:rPr>
              <w:t>Profit</w:t>
            </w:r>
            <w:r w:rsidRPr="005C4CCA">
              <w:rPr>
                <w:rFonts w:ascii="Arial" w:eastAsia="Times New Roman" w:hAnsi="Arial" w:cs="Arial"/>
                <w:lang w:eastAsia="en-GB"/>
              </w:rPr>
              <w:t xml:space="preserve"> for the </w:t>
            </w:r>
            <w:r>
              <w:rPr>
                <w:rFonts w:ascii="Arial" w:eastAsia="Times New Roman" w:hAnsi="Arial" w:cs="Arial"/>
                <w:lang w:eastAsia="en-GB"/>
              </w:rPr>
              <w:t>year</w:t>
            </w:r>
            <w:r w:rsidRPr="005C4CCA">
              <w:rPr>
                <w:rFonts w:ascii="Arial" w:eastAsia="Times New Roman" w:hAnsi="Arial" w:cs="Arial"/>
                <w:lang w:eastAsia="en-GB"/>
              </w:rPr>
              <w:t xml:space="preserve"> before taxation</w:t>
            </w:r>
          </w:p>
        </w:tc>
        <w:tc>
          <w:tcPr>
            <w:tcW w:w="1150" w:type="pct"/>
            <w:tcBorders>
              <w:top w:val="nil"/>
              <w:left w:val="nil"/>
              <w:bottom w:val="single" w:sz="4" w:space="0" w:color="auto"/>
              <w:right w:val="nil"/>
            </w:tcBorders>
            <w:shd w:val="clear" w:color="000000" w:fill="EDFFB7"/>
          </w:tcPr>
          <w:p w14:paraId="03C982D2" w14:textId="77777777" w:rsidR="0021298F" w:rsidRPr="005D733B" w:rsidRDefault="0021298F" w:rsidP="00760009">
            <w:pPr>
              <w:jc w:val="right"/>
              <w:rPr>
                <w:rFonts w:ascii="Arial" w:eastAsia="Times New Roman" w:hAnsi="Arial" w:cs="Arial"/>
                <w:lang w:eastAsia="en-GB"/>
              </w:rPr>
            </w:pPr>
            <w:r>
              <w:rPr>
                <w:rFonts w:ascii="Arial" w:eastAsia="Times New Roman" w:hAnsi="Arial" w:cs="Arial"/>
                <w:lang w:eastAsia="en-GB"/>
              </w:rPr>
              <w:t>14,068</w:t>
            </w:r>
          </w:p>
        </w:tc>
        <w:tc>
          <w:tcPr>
            <w:tcW w:w="1268" w:type="pct"/>
            <w:tcBorders>
              <w:top w:val="nil"/>
              <w:left w:val="nil"/>
              <w:bottom w:val="single" w:sz="4" w:space="0" w:color="auto"/>
              <w:right w:val="nil"/>
            </w:tcBorders>
            <w:shd w:val="clear" w:color="auto" w:fill="auto"/>
            <w:noWrap/>
          </w:tcPr>
          <w:p w14:paraId="64AC5D72" w14:textId="77777777" w:rsidR="0021298F" w:rsidRPr="005C4CCA" w:rsidRDefault="0021298F" w:rsidP="00760009">
            <w:pPr>
              <w:jc w:val="right"/>
              <w:rPr>
                <w:rFonts w:ascii="Arial" w:eastAsia="Times New Roman" w:hAnsi="Arial" w:cs="Arial"/>
                <w:lang w:eastAsia="en-GB"/>
              </w:rPr>
            </w:pPr>
            <w:r w:rsidRPr="008B3458">
              <w:rPr>
                <w:rFonts w:ascii="Arial" w:eastAsia="Times New Roman" w:hAnsi="Arial" w:cs="Arial"/>
                <w:lang w:eastAsia="en-GB"/>
              </w:rPr>
              <w:t>1</w:t>
            </w:r>
            <w:r>
              <w:rPr>
                <w:rFonts w:ascii="Arial" w:eastAsia="Times New Roman" w:hAnsi="Arial" w:cs="Arial"/>
                <w:lang w:eastAsia="en-GB"/>
              </w:rPr>
              <w:t>8</w:t>
            </w:r>
            <w:r w:rsidRPr="008B3458">
              <w:rPr>
                <w:rFonts w:ascii="Arial" w:eastAsia="Times New Roman" w:hAnsi="Arial" w:cs="Arial"/>
                <w:lang w:eastAsia="en-GB"/>
              </w:rPr>
              <w:t>,</w:t>
            </w:r>
            <w:r>
              <w:rPr>
                <w:rFonts w:ascii="Arial" w:eastAsia="Times New Roman" w:hAnsi="Arial" w:cs="Arial"/>
                <w:lang w:eastAsia="en-GB"/>
              </w:rPr>
              <w:t>334</w:t>
            </w:r>
          </w:p>
        </w:tc>
      </w:tr>
      <w:tr w:rsidR="0021298F" w:rsidRPr="005C4CCA" w14:paraId="369318D8" w14:textId="77777777" w:rsidTr="00760009">
        <w:trPr>
          <w:trHeight w:val="299"/>
        </w:trPr>
        <w:tc>
          <w:tcPr>
            <w:tcW w:w="2582" w:type="pct"/>
            <w:tcBorders>
              <w:top w:val="nil"/>
              <w:left w:val="nil"/>
              <w:bottom w:val="nil"/>
              <w:right w:val="nil"/>
            </w:tcBorders>
            <w:shd w:val="clear" w:color="000000" w:fill="FFFFFF"/>
            <w:vAlign w:val="center"/>
            <w:hideMark/>
          </w:tcPr>
          <w:p w14:paraId="19063DE7" w14:textId="77777777" w:rsidR="0021298F" w:rsidRPr="005C4CCA" w:rsidRDefault="0021298F" w:rsidP="00760009">
            <w:pPr>
              <w:jc w:val="both"/>
              <w:rPr>
                <w:rFonts w:ascii="Arial" w:eastAsia="Times New Roman" w:hAnsi="Arial" w:cs="Arial"/>
                <w:lang w:eastAsia="en-GB"/>
              </w:rPr>
            </w:pPr>
            <w:r w:rsidRPr="005C4CCA">
              <w:rPr>
                <w:rFonts w:ascii="Arial" w:eastAsia="Times New Roman" w:hAnsi="Arial" w:cs="Arial"/>
                <w:lang w:eastAsia="en-GB"/>
              </w:rPr>
              <w:t> </w:t>
            </w:r>
          </w:p>
        </w:tc>
        <w:tc>
          <w:tcPr>
            <w:tcW w:w="1150" w:type="pct"/>
            <w:tcBorders>
              <w:top w:val="nil"/>
              <w:left w:val="nil"/>
              <w:bottom w:val="nil"/>
              <w:right w:val="nil"/>
            </w:tcBorders>
            <w:shd w:val="clear" w:color="000000" w:fill="EDFFB7"/>
          </w:tcPr>
          <w:p w14:paraId="1F8191EC" w14:textId="77777777" w:rsidR="0021298F" w:rsidRPr="005D733B" w:rsidRDefault="0021298F" w:rsidP="00760009">
            <w:pPr>
              <w:jc w:val="right"/>
              <w:rPr>
                <w:rFonts w:ascii="Arial" w:eastAsia="Times New Roman" w:hAnsi="Arial" w:cs="Arial"/>
                <w:lang w:eastAsia="en-GB"/>
              </w:rPr>
            </w:pPr>
          </w:p>
        </w:tc>
        <w:tc>
          <w:tcPr>
            <w:tcW w:w="1268" w:type="pct"/>
            <w:tcBorders>
              <w:top w:val="nil"/>
              <w:left w:val="nil"/>
              <w:bottom w:val="nil"/>
              <w:right w:val="nil"/>
            </w:tcBorders>
            <w:shd w:val="clear" w:color="auto" w:fill="auto"/>
            <w:noWrap/>
          </w:tcPr>
          <w:p w14:paraId="48C7DDC1" w14:textId="77777777" w:rsidR="0021298F" w:rsidRPr="005C4CCA" w:rsidRDefault="0021298F" w:rsidP="00760009">
            <w:pPr>
              <w:jc w:val="right"/>
              <w:rPr>
                <w:rFonts w:ascii="Arial" w:eastAsia="Times New Roman" w:hAnsi="Arial" w:cs="Arial"/>
                <w:lang w:eastAsia="en-GB"/>
              </w:rPr>
            </w:pPr>
          </w:p>
        </w:tc>
      </w:tr>
      <w:tr w:rsidR="0021298F" w:rsidRPr="005C4CCA" w14:paraId="7CD6BC9B" w14:textId="77777777" w:rsidTr="00760009">
        <w:trPr>
          <w:trHeight w:val="598"/>
        </w:trPr>
        <w:tc>
          <w:tcPr>
            <w:tcW w:w="2582" w:type="pct"/>
            <w:tcBorders>
              <w:top w:val="nil"/>
              <w:left w:val="nil"/>
              <w:bottom w:val="nil"/>
              <w:right w:val="nil"/>
            </w:tcBorders>
            <w:shd w:val="clear" w:color="000000" w:fill="FFFFFF"/>
            <w:vAlign w:val="center"/>
            <w:hideMark/>
          </w:tcPr>
          <w:p w14:paraId="442CE73E" w14:textId="77777777" w:rsidR="0021298F" w:rsidRPr="005C4CCA" w:rsidRDefault="0021298F" w:rsidP="00760009">
            <w:pPr>
              <w:rPr>
                <w:rFonts w:ascii="Arial" w:eastAsia="Times New Roman" w:hAnsi="Arial" w:cs="Arial"/>
                <w:lang w:eastAsia="en-GB"/>
              </w:rPr>
            </w:pPr>
            <w:r>
              <w:rPr>
                <w:rFonts w:ascii="Arial" w:eastAsia="Times New Roman" w:hAnsi="Arial" w:cs="Arial"/>
                <w:lang w:eastAsia="en-GB"/>
              </w:rPr>
              <w:t>Profit</w:t>
            </w:r>
            <w:r w:rsidRPr="005C4CCA">
              <w:rPr>
                <w:rFonts w:ascii="Arial" w:eastAsia="Times New Roman" w:hAnsi="Arial" w:cs="Arial"/>
                <w:lang w:eastAsia="en-GB"/>
              </w:rPr>
              <w:t xml:space="preserve"> for the </w:t>
            </w:r>
            <w:r>
              <w:rPr>
                <w:rFonts w:ascii="Arial" w:eastAsia="Times New Roman" w:hAnsi="Arial" w:cs="Arial"/>
                <w:lang w:eastAsia="en-GB"/>
              </w:rPr>
              <w:t>year</w:t>
            </w:r>
            <w:r w:rsidRPr="005C4CCA">
              <w:rPr>
                <w:rFonts w:ascii="Arial" w:eastAsia="Times New Roman" w:hAnsi="Arial" w:cs="Arial"/>
                <w:lang w:eastAsia="en-GB"/>
              </w:rPr>
              <w:t xml:space="preserve"> multiplied by the standard rate of </w:t>
            </w:r>
            <w:r>
              <w:rPr>
                <w:rFonts w:ascii="Arial" w:eastAsia="Times New Roman" w:hAnsi="Arial" w:cs="Arial"/>
                <w:lang w:eastAsia="en-GB"/>
              </w:rPr>
              <w:t>corporation tax of 12.5 per cent</w:t>
            </w:r>
          </w:p>
        </w:tc>
        <w:tc>
          <w:tcPr>
            <w:tcW w:w="1150" w:type="pct"/>
            <w:tcBorders>
              <w:top w:val="nil"/>
              <w:left w:val="nil"/>
              <w:bottom w:val="nil"/>
              <w:right w:val="nil"/>
            </w:tcBorders>
            <w:shd w:val="clear" w:color="000000" w:fill="EDFFB7"/>
          </w:tcPr>
          <w:p w14:paraId="09B00806" w14:textId="77777777" w:rsidR="0021298F" w:rsidRPr="005D733B" w:rsidRDefault="0021298F" w:rsidP="00760009">
            <w:pPr>
              <w:jc w:val="right"/>
              <w:rPr>
                <w:rFonts w:ascii="Arial" w:eastAsia="Times New Roman" w:hAnsi="Arial" w:cs="Arial"/>
                <w:lang w:eastAsia="en-GB"/>
              </w:rPr>
            </w:pPr>
            <w:r>
              <w:rPr>
                <w:rFonts w:ascii="Arial" w:eastAsia="Times New Roman" w:hAnsi="Arial" w:cs="Arial"/>
                <w:lang w:eastAsia="en-GB"/>
              </w:rPr>
              <w:t>1,758</w:t>
            </w:r>
          </w:p>
        </w:tc>
        <w:tc>
          <w:tcPr>
            <w:tcW w:w="1268" w:type="pct"/>
            <w:tcBorders>
              <w:top w:val="nil"/>
              <w:left w:val="nil"/>
              <w:bottom w:val="nil"/>
              <w:right w:val="nil"/>
            </w:tcBorders>
            <w:shd w:val="clear" w:color="auto" w:fill="auto"/>
            <w:noWrap/>
          </w:tcPr>
          <w:p w14:paraId="41308122" w14:textId="77777777" w:rsidR="0021298F" w:rsidRPr="005C4CCA" w:rsidRDefault="0021298F" w:rsidP="00760009">
            <w:pPr>
              <w:jc w:val="right"/>
              <w:rPr>
                <w:rFonts w:ascii="Arial" w:eastAsia="Times New Roman" w:hAnsi="Arial" w:cs="Arial"/>
                <w:lang w:eastAsia="en-GB"/>
              </w:rPr>
            </w:pPr>
            <w:r w:rsidRPr="008B3458">
              <w:rPr>
                <w:rFonts w:ascii="Arial" w:eastAsia="Times New Roman" w:hAnsi="Arial" w:cs="Arial"/>
                <w:lang w:eastAsia="en-GB"/>
              </w:rPr>
              <w:t>2,</w:t>
            </w:r>
            <w:r>
              <w:rPr>
                <w:rFonts w:ascii="Arial" w:eastAsia="Times New Roman" w:hAnsi="Arial" w:cs="Arial"/>
                <w:lang w:eastAsia="en-GB"/>
              </w:rPr>
              <w:t>292</w:t>
            </w:r>
          </w:p>
        </w:tc>
      </w:tr>
      <w:tr w:rsidR="0021298F" w:rsidRPr="00926373" w14:paraId="006C5CFA" w14:textId="77777777" w:rsidTr="00760009">
        <w:trPr>
          <w:trHeight w:val="299"/>
        </w:trPr>
        <w:tc>
          <w:tcPr>
            <w:tcW w:w="2582" w:type="pct"/>
            <w:tcBorders>
              <w:top w:val="nil"/>
              <w:left w:val="nil"/>
              <w:bottom w:val="nil"/>
              <w:right w:val="nil"/>
            </w:tcBorders>
            <w:shd w:val="clear" w:color="000000" w:fill="FFFFFF"/>
            <w:noWrap/>
            <w:vAlign w:val="center"/>
          </w:tcPr>
          <w:p w14:paraId="550E7C8B" w14:textId="77777777" w:rsidR="0021298F" w:rsidRDefault="0021298F" w:rsidP="00760009">
            <w:pPr>
              <w:rPr>
                <w:rFonts w:ascii="Arial" w:eastAsia="Times New Roman" w:hAnsi="Arial" w:cs="Arial"/>
                <w:lang w:eastAsia="en-GB"/>
              </w:rPr>
            </w:pPr>
            <w:r>
              <w:rPr>
                <w:rFonts w:ascii="Arial" w:eastAsia="Times New Roman" w:hAnsi="Arial" w:cs="Arial"/>
                <w:lang w:eastAsia="en-GB"/>
              </w:rPr>
              <w:t>Tax on income at a higher rate</w:t>
            </w:r>
          </w:p>
        </w:tc>
        <w:tc>
          <w:tcPr>
            <w:tcW w:w="1150" w:type="pct"/>
            <w:tcBorders>
              <w:top w:val="nil"/>
              <w:left w:val="nil"/>
              <w:bottom w:val="nil"/>
              <w:right w:val="nil"/>
            </w:tcBorders>
            <w:shd w:val="clear" w:color="000000" w:fill="EDFFB7"/>
          </w:tcPr>
          <w:p w14:paraId="27CCD29D" w14:textId="77777777" w:rsidR="0021298F" w:rsidRDefault="0021298F" w:rsidP="00760009">
            <w:pPr>
              <w:jc w:val="right"/>
              <w:rPr>
                <w:rFonts w:ascii="Arial" w:eastAsia="Times New Roman" w:hAnsi="Arial" w:cs="Arial"/>
                <w:lang w:eastAsia="en-GB"/>
              </w:rPr>
            </w:pPr>
            <w:r>
              <w:rPr>
                <w:rFonts w:ascii="Arial" w:eastAsia="Times New Roman" w:hAnsi="Arial" w:cs="Arial"/>
                <w:lang w:eastAsia="en-GB"/>
              </w:rPr>
              <w:t>142</w:t>
            </w:r>
          </w:p>
        </w:tc>
        <w:tc>
          <w:tcPr>
            <w:tcW w:w="1268" w:type="pct"/>
            <w:tcBorders>
              <w:top w:val="nil"/>
              <w:left w:val="nil"/>
              <w:bottom w:val="nil"/>
              <w:right w:val="nil"/>
            </w:tcBorders>
            <w:shd w:val="clear" w:color="auto" w:fill="auto"/>
            <w:noWrap/>
          </w:tcPr>
          <w:p w14:paraId="77B89D02" w14:textId="77777777" w:rsidR="0021298F" w:rsidRPr="006026BD" w:rsidRDefault="0021298F" w:rsidP="00760009">
            <w:pPr>
              <w:jc w:val="right"/>
              <w:rPr>
                <w:rFonts w:ascii="Arial" w:eastAsia="Times New Roman" w:hAnsi="Arial" w:cs="Arial"/>
                <w:lang w:eastAsia="en-GB"/>
              </w:rPr>
            </w:pPr>
            <w:r>
              <w:rPr>
                <w:rFonts w:ascii="Arial" w:eastAsia="Times New Roman" w:hAnsi="Arial" w:cs="Arial"/>
                <w:lang w:eastAsia="en-GB"/>
              </w:rPr>
              <w:t>-</w:t>
            </w:r>
          </w:p>
        </w:tc>
      </w:tr>
      <w:tr w:rsidR="0021298F" w:rsidRPr="00926373" w14:paraId="082C691C" w14:textId="77777777" w:rsidTr="00760009">
        <w:trPr>
          <w:trHeight w:val="299"/>
        </w:trPr>
        <w:tc>
          <w:tcPr>
            <w:tcW w:w="2582" w:type="pct"/>
            <w:tcBorders>
              <w:top w:val="nil"/>
              <w:left w:val="nil"/>
              <w:bottom w:val="nil"/>
              <w:right w:val="nil"/>
            </w:tcBorders>
            <w:shd w:val="clear" w:color="000000" w:fill="FFFFFF"/>
            <w:noWrap/>
            <w:vAlign w:val="center"/>
          </w:tcPr>
          <w:p w14:paraId="5837910D" w14:textId="77777777" w:rsidR="0021298F" w:rsidRPr="005C4CCA" w:rsidRDefault="0021298F" w:rsidP="00760009">
            <w:pPr>
              <w:rPr>
                <w:rFonts w:ascii="Arial" w:eastAsia="Times New Roman" w:hAnsi="Arial" w:cs="Arial"/>
                <w:lang w:eastAsia="en-GB"/>
              </w:rPr>
            </w:pPr>
            <w:r>
              <w:rPr>
                <w:rFonts w:ascii="Arial" w:eastAsia="Times New Roman" w:hAnsi="Arial" w:cs="Arial"/>
                <w:lang w:eastAsia="en-GB"/>
              </w:rPr>
              <w:t>Movement in deferred tax asset</w:t>
            </w:r>
          </w:p>
        </w:tc>
        <w:tc>
          <w:tcPr>
            <w:tcW w:w="1150" w:type="pct"/>
            <w:tcBorders>
              <w:top w:val="nil"/>
              <w:left w:val="nil"/>
              <w:bottom w:val="nil"/>
              <w:right w:val="nil"/>
            </w:tcBorders>
            <w:shd w:val="clear" w:color="000000" w:fill="EDFFB7"/>
          </w:tcPr>
          <w:p w14:paraId="66C47C55" w14:textId="77777777" w:rsidR="0021298F" w:rsidRPr="005D733B" w:rsidRDefault="0021298F" w:rsidP="00760009">
            <w:pPr>
              <w:jc w:val="right"/>
              <w:rPr>
                <w:rFonts w:ascii="Arial" w:eastAsia="Times New Roman" w:hAnsi="Arial" w:cs="Arial"/>
                <w:lang w:eastAsia="en-GB"/>
              </w:rPr>
            </w:pPr>
            <w:r>
              <w:rPr>
                <w:rFonts w:ascii="Arial" w:eastAsia="Times New Roman" w:hAnsi="Arial" w:cs="Arial"/>
                <w:lang w:eastAsia="en-GB"/>
              </w:rPr>
              <w:t>-</w:t>
            </w:r>
          </w:p>
        </w:tc>
        <w:tc>
          <w:tcPr>
            <w:tcW w:w="1268" w:type="pct"/>
            <w:tcBorders>
              <w:top w:val="nil"/>
              <w:left w:val="nil"/>
              <w:bottom w:val="nil"/>
              <w:right w:val="nil"/>
            </w:tcBorders>
            <w:shd w:val="clear" w:color="auto" w:fill="auto"/>
            <w:noWrap/>
          </w:tcPr>
          <w:p w14:paraId="1AE2C1AA" w14:textId="77777777" w:rsidR="0021298F" w:rsidRPr="00BA2EAC" w:rsidRDefault="0021298F" w:rsidP="00760009">
            <w:pPr>
              <w:jc w:val="right"/>
              <w:rPr>
                <w:rFonts w:ascii="Arial" w:eastAsia="Times New Roman" w:hAnsi="Arial" w:cs="Arial"/>
                <w:lang w:eastAsia="en-GB"/>
              </w:rPr>
            </w:pPr>
            <w:r w:rsidRPr="006026BD">
              <w:rPr>
                <w:rFonts w:ascii="Arial" w:eastAsia="Times New Roman" w:hAnsi="Arial" w:cs="Arial"/>
                <w:lang w:eastAsia="en-GB"/>
              </w:rPr>
              <w:t>1,237</w:t>
            </w:r>
          </w:p>
        </w:tc>
      </w:tr>
      <w:tr w:rsidR="0021298F" w:rsidRPr="00926373" w14:paraId="4EB5A9B5" w14:textId="77777777" w:rsidTr="00760009">
        <w:trPr>
          <w:trHeight w:val="299"/>
        </w:trPr>
        <w:tc>
          <w:tcPr>
            <w:tcW w:w="2582" w:type="pct"/>
            <w:tcBorders>
              <w:top w:val="nil"/>
              <w:left w:val="nil"/>
              <w:bottom w:val="nil"/>
              <w:right w:val="nil"/>
            </w:tcBorders>
            <w:shd w:val="clear" w:color="000000" w:fill="FFFFFF"/>
            <w:noWrap/>
            <w:vAlign w:val="center"/>
            <w:hideMark/>
          </w:tcPr>
          <w:p w14:paraId="2AC8FC30" w14:textId="77777777" w:rsidR="0021298F" w:rsidRPr="005C4CCA" w:rsidRDefault="0021298F" w:rsidP="00760009">
            <w:pPr>
              <w:rPr>
                <w:rFonts w:ascii="Arial" w:eastAsia="Times New Roman" w:hAnsi="Arial" w:cs="Arial"/>
                <w:lang w:eastAsia="en-GB"/>
              </w:rPr>
            </w:pPr>
            <w:r w:rsidRPr="005C4CCA">
              <w:rPr>
                <w:rFonts w:ascii="Arial" w:eastAsia="Times New Roman" w:hAnsi="Arial" w:cs="Arial"/>
                <w:lang w:eastAsia="en-GB"/>
              </w:rPr>
              <w:t>Fair value movements (not subject to taxation)</w:t>
            </w:r>
          </w:p>
        </w:tc>
        <w:tc>
          <w:tcPr>
            <w:tcW w:w="1150" w:type="pct"/>
            <w:tcBorders>
              <w:top w:val="nil"/>
              <w:left w:val="nil"/>
              <w:bottom w:val="nil"/>
              <w:right w:val="nil"/>
            </w:tcBorders>
            <w:shd w:val="clear" w:color="000000" w:fill="EDFFB7"/>
          </w:tcPr>
          <w:p w14:paraId="7B7F8CEF" w14:textId="77777777" w:rsidR="0021298F" w:rsidRPr="005D733B" w:rsidRDefault="0021298F" w:rsidP="00760009">
            <w:pPr>
              <w:jc w:val="right"/>
              <w:rPr>
                <w:rFonts w:ascii="Arial" w:eastAsia="Times New Roman" w:hAnsi="Arial" w:cs="Arial"/>
                <w:lang w:eastAsia="en-GB"/>
              </w:rPr>
            </w:pPr>
            <w:r>
              <w:rPr>
                <w:rFonts w:ascii="Arial" w:eastAsia="Times New Roman" w:hAnsi="Arial" w:cs="Arial"/>
                <w:lang w:eastAsia="en-GB"/>
              </w:rPr>
              <w:t>(214)</w:t>
            </w:r>
          </w:p>
        </w:tc>
        <w:tc>
          <w:tcPr>
            <w:tcW w:w="1268" w:type="pct"/>
            <w:tcBorders>
              <w:top w:val="nil"/>
              <w:left w:val="nil"/>
              <w:bottom w:val="nil"/>
              <w:right w:val="nil"/>
            </w:tcBorders>
            <w:shd w:val="clear" w:color="auto" w:fill="auto"/>
            <w:noWrap/>
          </w:tcPr>
          <w:p w14:paraId="674EA24F" w14:textId="77777777" w:rsidR="0021298F" w:rsidRPr="001C3559" w:rsidRDefault="0021298F" w:rsidP="00760009">
            <w:pPr>
              <w:jc w:val="right"/>
              <w:rPr>
                <w:rFonts w:ascii="Arial" w:eastAsia="Times New Roman" w:hAnsi="Arial" w:cs="Arial"/>
                <w:lang w:eastAsia="en-GB"/>
              </w:rPr>
            </w:pPr>
            <w:r w:rsidRPr="00382C2F">
              <w:rPr>
                <w:rFonts w:ascii="Arial" w:eastAsia="Times New Roman" w:hAnsi="Arial" w:cs="Arial"/>
                <w:lang w:eastAsia="en-GB"/>
              </w:rPr>
              <w:t>(1,</w:t>
            </w:r>
            <w:r>
              <w:rPr>
                <w:rFonts w:ascii="Arial" w:eastAsia="Times New Roman" w:hAnsi="Arial" w:cs="Arial"/>
                <w:lang w:eastAsia="en-GB"/>
              </w:rPr>
              <w:t>701</w:t>
            </w:r>
            <w:r w:rsidRPr="00382C2F">
              <w:rPr>
                <w:rFonts w:ascii="Arial" w:eastAsia="Times New Roman" w:hAnsi="Arial" w:cs="Arial"/>
                <w:lang w:eastAsia="en-GB"/>
              </w:rPr>
              <w:t>)</w:t>
            </w:r>
          </w:p>
        </w:tc>
      </w:tr>
      <w:tr w:rsidR="0021298F" w:rsidRPr="005C4CCA" w14:paraId="38E5E8DD" w14:textId="77777777" w:rsidTr="00760009">
        <w:trPr>
          <w:trHeight w:val="299"/>
        </w:trPr>
        <w:tc>
          <w:tcPr>
            <w:tcW w:w="2582" w:type="pct"/>
            <w:tcBorders>
              <w:top w:val="nil"/>
              <w:left w:val="nil"/>
              <w:bottom w:val="nil"/>
              <w:right w:val="nil"/>
            </w:tcBorders>
            <w:shd w:val="clear" w:color="000000" w:fill="FFFFFF"/>
            <w:noWrap/>
            <w:vAlign w:val="center"/>
          </w:tcPr>
          <w:p w14:paraId="2A3C6C02" w14:textId="77777777" w:rsidR="0021298F" w:rsidRPr="005C4CCA" w:rsidRDefault="0021298F" w:rsidP="00760009">
            <w:pPr>
              <w:rPr>
                <w:rFonts w:ascii="Arial" w:eastAsia="Times New Roman" w:hAnsi="Arial" w:cs="Arial"/>
                <w:lang w:eastAsia="en-GB"/>
              </w:rPr>
            </w:pPr>
            <w:r>
              <w:rPr>
                <w:rFonts w:ascii="Arial" w:eastAsia="Times New Roman" w:hAnsi="Arial" w:cs="Arial"/>
                <w:lang w:eastAsia="en-GB"/>
              </w:rPr>
              <w:t>Dividends received (not subject to taxation)</w:t>
            </w:r>
          </w:p>
        </w:tc>
        <w:tc>
          <w:tcPr>
            <w:tcW w:w="1150" w:type="pct"/>
            <w:tcBorders>
              <w:top w:val="nil"/>
              <w:left w:val="nil"/>
              <w:bottom w:val="nil"/>
              <w:right w:val="nil"/>
            </w:tcBorders>
            <w:shd w:val="clear" w:color="000000" w:fill="EDFFB7"/>
          </w:tcPr>
          <w:p w14:paraId="6B0847BD" w14:textId="77777777" w:rsidR="0021298F" w:rsidRPr="005D733B" w:rsidRDefault="0021298F" w:rsidP="00760009">
            <w:pPr>
              <w:jc w:val="right"/>
              <w:rPr>
                <w:rFonts w:ascii="Arial" w:eastAsia="Times New Roman" w:hAnsi="Arial" w:cs="Arial"/>
                <w:lang w:eastAsia="en-GB"/>
              </w:rPr>
            </w:pPr>
            <w:r>
              <w:rPr>
                <w:rFonts w:ascii="Arial" w:eastAsia="Times New Roman" w:hAnsi="Arial" w:cs="Arial"/>
                <w:lang w:eastAsia="en-GB"/>
              </w:rPr>
              <w:t>(1,914)</w:t>
            </w:r>
          </w:p>
        </w:tc>
        <w:tc>
          <w:tcPr>
            <w:tcW w:w="1268" w:type="pct"/>
            <w:tcBorders>
              <w:top w:val="nil"/>
              <w:left w:val="nil"/>
              <w:bottom w:val="nil"/>
              <w:right w:val="nil"/>
            </w:tcBorders>
            <w:shd w:val="clear" w:color="auto" w:fill="auto"/>
            <w:noWrap/>
          </w:tcPr>
          <w:p w14:paraId="37B514A6" w14:textId="77777777" w:rsidR="0021298F" w:rsidRDefault="0021298F" w:rsidP="00760009">
            <w:pPr>
              <w:jc w:val="right"/>
              <w:rPr>
                <w:rFonts w:ascii="Arial" w:eastAsia="Times New Roman" w:hAnsi="Arial" w:cs="Arial"/>
                <w:lang w:eastAsia="en-GB"/>
              </w:rPr>
            </w:pPr>
            <w:r w:rsidRPr="00382C2F">
              <w:rPr>
                <w:rFonts w:ascii="Arial" w:eastAsia="Times New Roman" w:hAnsi="Arial" w:cs="Arial"/>
                <w:lang w:eastAsia="en-GB"/>
              </w:rPr>
              <w:t>(494)</w:t>
            </w:r>
          </w:p>
        </w:tc>
      </w:tr>
      <w:tr w:rsidR="0021298F" w:rsidRPr="005C4CCA" w14:paraId="120AC11D" w14:textId="77777777" w:rsidTr="00760009">
        <w:trPr>
          <w:trHeight w:val="299"/>
        </w:trPr>
        <w:tc>
          <w:tcPr>
            <w:tcW w:w="2582" w:type="pct"/>
            <w:tcBorders>
              <w:top w:val="nil"/>
              <w:left w:val="nil"/>
              <w:right w:val="nil"/>
            </w:tcBorders>
            <w:shd w:val="clear" w:color="000000" w:fill="FFFFFF"/>
            <w:noWrap/>
            <w:vAlign w:val="center"/>
            <w:hideMark/>
          </w:tcPr>
          <w:p w14:paraId="672347D7" w14:textId="77777777" w:rsidR="0021298F" w:rsidRPr="005C4CCA" w:rsidRDefault="0021298F" w:rsidP="00760009">
            <w:pPr>
              <w:rPr>
                <w:rFonts w:ascii="Arial" w:eastAsia="Times New Roman" w:hAnsi="Arial" w:cs="Arial"/>
                <w:lang w:eastAsia="en-GB"/>
              </w:rPr>
            </w:pPr>
            <w:r w:rsidRPr="005C4CCA">
              <w:rPr>
                <w:rFonts w:ascii="Arial" w:eastAsia="Times New Roman" w:hAnsi="Arial" w:cs="Arial"/>
                <w:lang w:eastAsia="en-GB"/>
              </w:rPr>
              <w:t>Expenditure not deductible for tax purposes</w:t>
            </w:r>
          </w:p>
        </w:tc>
        <w:tc>
          <w:tcPr>
            <w:tcW w:w="1150" w:type="pct"/>
            <w:tcBorders>
              <w:top w:val="nil"/>
              <w:left w:val="nil"/>
              <w:right w:val="nil"/>
            </w:tcBorders>
            <w:shd w:val="clear" w:color="000000" w:fill="EDFFB7"/>
          </w:tcPr>
          <w:p w14:paraId="4F87EFFA" w14:textId="77777777" w:rsidR="0021298F" w:rsidRPr="005D733B" w:rsidRDefault="0021298F" w:rsidP="00760009">
            <w:pPr>
              <w:jc w:val="right"/>
              <w:rPr>
                <w:rFonts w:ascii="Arial" w:eastAsia="Times New Roman" w:hAnsi="Arial" w:cs="Arial"/>
                <w:lang w:eastAsia="en-GB"/>
              </w:rPr>
            </w:pPr>
            <w:r>
              <w:rPr>
                <w:rFonts w:ascii="Arial" w:eastAsia="Times New Roman" w:hAnsi="Arial" w:cs="Arial"/>
                <w:lang w:eastAsia="en-GB"/>
              </w:rPr>
              <w:t>504</w:t>
            </w:r>
          </w:p>
        </w:tc>
        <w:tc>
          <w:tcPr>
            <w:tcW w:w="1268" w:type="pct"/>
            <w:tcBorders>
              <w:top w:val="nil"/>
              <w:left w:val="nil"/>
              <w:right w:val="nil"/>
            </w:tcBorders>
            <w:shd w:val="clear" w:color="auto" w:fill="auto"/>
            <w:noWrap/>
          </w:tcPr>
          <w:p w14:paraId="2D0E20BD" w14:textId="77777777" w:rsidR="0021298F" w:rsidRPr="008113DA" w:rsidRDefault="0021298F" w:rsidP="00760009">
            <w:pPr>
              <w:jc w:val="right"/>
              <w:rPr>
                <w:rFonts w:ascii="Arial" w:eastAsia="Times New Roman" w:hAnsi="Arial" w:cs="Arial"/>
                <w:lang w:eastAsia="en-GB"/>
              </w:rPr>
            </w:pPr>
            <w:r>
              <w:rPr>
                <w:rFonts w:ascii="Arial" w:eastAsia="Times New Roman" w:hAnsi="Arial" w:cs="Arial"/>
                <w:lang w:eastAsia="en-GB"/>
              </w:rPr>
              <w:t>230</w:t>
            </w:r>
          </w:p>
        </w:tc>
      </w:tr>
      <w:tr w:rsidR="0021298F" w:rsidRPr="005C4CCA" w14:paraId="13ECE31D" w14:textId="77777777" w:rsidTr="00760009">
        <w:trPr>
          <w:trHeight w:val="299"/>
        </w:trPr>
        <w:tc>
          <w:tcPr>
            <w:tcW w:w="2582" w:type="pct"/>
            <w:tcBorders>
              <w:left w:val="nil"/>
              <w:bottom w:val="single" w:sz="4" w:space="0" w:color="auto"/>
              <w:right w:val="nil"/>
            </w:tcBorders>
            <w:shd w:val="clear" w:color="000000" w:fill="FFFFFF"/>
            <w:vAlign w:val="center"/>
            <w:hideMark/>
          </w:tcPr>
          <w:p w14:paraId="419F2FD4" w14:textId="77777777" w:rsidR="0021298F" w:rsidRPr="005C4CCA" w:rsidRDefault="0021298F" w:rsidP="00760009">
            <w:pPr>
              <w:rPr>
                <w:rFonts w:ascii="Arial" w:eastAsia="Times New Roman" w:hAnsi="Arial" w:cs="Arial"/>
                <w:lang w:eastAsia="en-GB"/>
              </w:rPr>
            </w:pPr>
            <w:r>
              <w:rPr>
                <w:rFonts w:ascii="Arial" w:eastAsia="Times New Roman" w:hAnsi="Arial" w:cs="Arial"/>
                <w:lang w:eastAsia="en-GB"/>
              </w:rPr>
              <w:lastRenderedPageBreak/>
              <w:t>Receipt of tax losses from unconsolidated subsidiaries</w:t>
            </w:r>
          </w:p>
        </w:tc>
        <w:tc>
          <w:tcPr>
            <w:tcW w:w="1150" w:type="pct"/>
            <w:tcBorders>
              <w:left w:val="nil"/>
              <w:bottom w:val="single" w:sz="4" w:space="0" w:color="auto"/>
              <w:right w:val="nil"/>
            </w:tcBorders>
            <w:shd w:val="clear" w:color="000000" w:fill="EDFFB7"/>
          </w:tcPr>
          <w:p w14:paraId="12FABDFF" w14:textId="77777777" w:rsidR="0021298F" w:rsidRPr="005D733B" w:rsidRDefault="0021298F" w:rsidP="00760009">
            <w:pPr>
              <w:jc w:val="right"/>
              <w:rPr>
                <w:rFonts w:ascii="Arial" w:eastAsia="Times New Roman" w:hAnsi="Arial" w:cs="Arial"/>
                <w:lang w:eastAsia="en-GB"/>
              </w:rPr>
            </w:pPr>
            <w:r>
              <w:rPr>
                <w:rFonts w:ascii="Arial" w:eastAsia="Times New Roman" w:hAnsi="Arial" w:cs="Arial"/>
                <w:lang w:eastAsia="en-GB"/>
              </w:rPr>
              <w:t>(276)</w:t>
            </w:r>
          </w:p>
        </w:tc>
        <w:tc>
          <w:tcPr>
            <w:tcW w:w="1268" w:type="pct"/>
            <w:tcBorders>
              <w:left w:val="nil"/>
              <w:bottom w:val="single" w:sz="4" w:space="0" w:color="auto"/>
              <w:right w:val="nil"/>
            </w:tcBorders>
            <w:shd w:val="clear" w:color="auto" w:fill="auto"/>
            <w:noWrap/>
          </w:tcPr>
          <w:p w14:paraId="38579B48" w14:textId="77777777" w:rsidR="0021298F" w:rsidRPr="008113DA" w:rsidRDefault="0021298F" w:rsidP="00760009">
            <w:pPr>
              <w:jc w:val="right"/>
              <w:rPr>
                <w:rFonts w:ascii="Arial" w:eastAsia="Times New Roman" w:hAnsi="Arial" w:cs="Arial"/>
                <w:lang w:eastAsia="en-GB"/>
              </w:rPr>
            </w:pPr>
            <w:r w:rsidRPr="00382C2F">
              <w:rPr>
                <w:rFonts w:ascii="Arial" w:eastAsia="Times New Roman" w:hAnsi="Arial" w:cs="Arial"/>
                <w:lang w:eastAsia="en-GB"/>
              </w:rPr>
              <w:t>(</w:t>
            </w:r>
            <w:r>
              <w:rPr>
                <w:rFonts w:ascii="Arial" w:eastAsia="Times New Roman" w:hAnsi="Arial" w:cs="Arial"/>
                <w:lang w:eastAsia="en-GB"/>
              </w:rPr>
              <w:t>327</w:t>
            </w:r>
            <w:r w:rsidRPr="00382C2F">
              <w:rPr>
                <w:rFonts w:ascii="Arial" w:eastAsia="Times New Roman" w:hAnsi="Arial" w:cs="Arial"/>
                <w:lang w:eastAsia="en-GB"/>
              </w:rPr>
              <w:t>)</w:t>
            </w:r>
          </w:p>
        </w:tc>
      </w:tr>
      <w:tr w:rsidR="0021298F" w:rsidRPr="005C4CCA" w14:paraId="04B906A9" w14:textId="77777777" w:rsidTr="00760009">
        <w:trPr>
          <w:trHeight w:val="330"/>
        </w:trPr>
        <w:tc>
          <w:tcPr>
            <w:tcW w:w="2582" w:type="pct"/>
            <w:tcBorders>
              <w:top w:val="nil"/>
              <w:left w:val="nil"/>
              <w:bottom w:val="single" w:sz="8" w:space="0" w:color="auto"/>
              <w:right w:val="nil"/>
            </w:tcBorders>
            <w:shd w:val="clear" w:color="000000" w:fill="FFFFFF"/>
            <w:vAlign w:val="center"/>
          </w:tcPr>
          <w:p w14:paraId="01D18DBB" w14:textId="77777777" w:rsidR="0021298F" w:rsidRPr="005C4CCA" w:rsidRDefault="0021298F" w:rsidP="00760009">
            <w:pPr>
              <w:jc w:val="both"/>
              <w:rPr>
                <w:rFonts w:ascii="Arial" w:eastAsia="Times New Roman" w:hAnsi="Arial" w:cs="Arial"/>
                <w:b/>
                <w:bCs/>
                <w:lang w:eastAsia="en-GB"/>
              </w:rPr>
            </w:pPr>
          </w:p>
        </w:tc>
        <w:tc>
          <w:tcPr>
            <w:tcW w:w="1150" w:type="pct"/>
            <w:tcBorders>
              <w:top w:val="nil"/>
              <w:left w:val="nil"/>
              <w:bottom w:val="single" w:sz="8" w:space="0" w:color="auto"/>
              <w:right w:val="nil"/>
            </w:tcBorders>
            <w:shd w:val="clear" w:color="000000" w:fill="EDFFB7"/>
          </w:tcPr>
          <w:p w14:paraId="5F36E944" w14:textId="77777777" w:rsidR="0021298F" w:rsidRPr="005D733B" w:rsidRDefault="0021298F" w:rsidP="00760009">
            <w:pPr>
              <w:jc w:val="right"/>
              <w:rPr>
                <w:rFonts w:ascii="Arial" w:eastAsia="Times New Roman" w:hAnsi="Arial" w:cs="Arial"/>
                <w:b/>
                <w:bCs/>
                <w:lang w:eastAsia="en-GB"/>
              </w:rPr>
            </w:pPr>
            <w:r w:rsidRPr="00B06F04">
              <w:rPr>
                <w:rFonts w:ascii="Arial" w:eastAsia="Times New Roman" w:hAnsi="Arial" w:cs="Arial"/>
                <w:b/>
                <w:bCs/>
                <w:lang w:eastAsia="en-GB"/>
              </w:rPr>
              <w:t>-</w:t>
            </w:r>
          </w:p>
        </w:tc>
        <w:tc>
          <w:tcPr>
            <w:tcW w:w="1268" w:type="pct"/>
            <w:tcBorders>
              <w:top w:val="nil"/>
              <w:left w:val="nil"/>
              <w:bottom w:val="single" w:sz="8" w:space="0" w:color="auto"/>
              <w:right w:val="nil"/>
            </w:tcBorders>
            <w:shd w:val="clear" w:color="auto" w:fill="auto"/>
            <w:noWrap/>
          </w:tcPr>
          <w:p w14:paraId="589FC798" w14:textId="77777777" w:rsidR="0021298F" w:rsidRPr="00B06F04" w:rsidRDefault="0021298F" w:rsidP="00760009">
            <w:pPr>
              <w:jc w:val="right"/>
              <w:rPr>
                <w:rFonts w:ascii="Arial" w:eastAsia="Times New Roman" w:hAnsi="Arial" w:cs="Arial"/>
                <w:b/>
                <w:bCs/>
                <w:lang w:eastAsia="en-GB"/>
              </w:rPr>
            </w:pPr>
            <w:r w:rsidRPr="00B06F04">
              <w:rPr>
                <w:rFonts w:ascii="Arial" w:eastAsia="Times New Roman" w:hAnsi="Arial" w:cs="Arial"/>
                <w:b/>
                <w:bCs/>
                <w:lang w:eastAsia="en-GB"/>
              </w:rPr>
              <w:t>1,237</w:t>
            </w:r>
          </w:p>
        </w:tc>
      </w:tr>
    </w:tbl>
    <w:p w14:paraId="49413F36" w14:textId="77777777" w:rsidR="0021298F" w:rsidRDefault="0021298F" w:rsidP="0021298F">
      <w:pPr>
        <w:jc w:val="both"/>
        <w:rPr>
          <w:rFonts w:ascii="Arial" w:hAnsi="Arial" w:cs="Arial"/>
          <w:lang w:eastAsia="en-GB"/>
        </w:rPr>
      </w:pPr>
    </w:p>
    <w:p w14:paraId="6722CED6" w14:textId="77777777" w:rsidR="0021298F" w:rsidRDefault="0021298F" w:rsidP="0021298F">
      <w:pPr>
        <w:pStyle w:val="Heading2"/>
        <w:keepNext w:val="0"/>
        <w:keepLines w:val="0"/>
        <w:tabs>
          <w:tab w:val="left" w:pos="426"/>
        </w:tabs>
        <w:spacing w:before="0" w:line="240" w:lineRule="auto"/>
        <w:jc w:val="both"/>
        <w:rPr>
          <w:rFonts w:ascii="Arial" w:hAnsi="Arial" w:cs="Arial"/>
          <w:color w:val="auto"/>
          <w:sz w:val="24"/>
          <w:szCs w:val="22"/>
          <w:lang w:eastAsia="en-GB"/>
        </w:rPr>
      </w:pPr>
      <w:r>
        <w:rPr>
          <w:rFonts w:ascii="Arial" w:hAnsi="Arial" w:cs="Arial"/>
          <w:color w:val="auto"/>
          <w:sz w:val="24"/>
          <w:szCs w:val="22"/>
          <w:lang w:eastAsia="en-GB"/>
        </w:rPr>
        <w:t>7. Earnings p</w:t>
      </w:r>
      <w:r w:rsidRPr="00B269CA">
        <w:rPr>
          <w:rFonts w:ascii="Arial" w:hAnsi="Arial" w:cs="Arial"/>
          <w:color w:val="auto"/>
          <w:sz w:val="24"/>
          <w:szCs w:val="22"/>
          <w:lang w:eastAsia="en-GB"/>
        </w:rPr>
        <w:t xml:space="preserve">er </w:t>
      </w:r>
      <w:r>
        <w:rPr>
          <w:rFonts w:ascii="Arial" w:hAnsi="Arial" w:cs="Arial"/>
          <w:color w:val="auto"/>
          <w:sz w:val="24"/>
          <w:szCs w:val="22"/>
          <w:lang w:eastAsia="en-GB"/>
        </w:rPr>
        <w:t>s</w:t>
      </w:r>
      <w:r w:rsidRPr="00B269CA">
        <w:rPr>
          <w:rFonts w:ascii="Arial" w:hAnsi="Arial" w:cs="Arial"/>
          <w:color w:val="auto"/>
          <w:sz w:val="24"/>
          <w:szCs w:val="22"/>
          <w:lang w:eastAsia="en-GB"/>
        </w:rPr>
        <w:t>hare</w:t>
      </w:r>
    </w:p>
    <w:tbl>
      <w:tblPr>
        <w:tblW w:w="9060" w:type="dxa"/>
        <w:tblLook w:val="04A0" w:firstRow="1" w:lastRow="0" w:firstColumn="1" w:lastColumn="0" w:noHBand="0" w:noVBand="1"/>
      </w:tblPr>
      <w:tblGrid>
        <w:gridCol w:w="4736"/>
        <w:gridCol w:w="271"/>
        <w:gridCol w:w="1969"/>
        <w:gridCol w:w="2084"/>
      </w:tblGrid>
      <w:tr w:rsidR="0021298F" w:rsidRPr="00935C7E" w14:paraId="5330F756" w14:textId="77777777" w:rsidTr="00760009">
        <w:trPr>
          <w:trHeight w:val="300"/>
        </w:trPr>
        <w:tc>
          <w:tcPr>
            <w:tcW w:w="4736" w:type="dxa"/>
            <w:tcBorders>
              <w:top w:val="nil"/>
              <w:left w:val="nil"/>
              <w:bottom w:val="nil"/>
              <w:right w:val="nil"/>
            </w:tcBorders>
            <w:shd w:val="clear" w:color="000000" w:fill="FFFFFF"/>
            <w:noWrap/>
            <w:vAlign w:val="bottom"/>
            <w:hideMark/>
          </w:tcPr>
          <w:p w14:paraId="3D65C7E0" w14:textId="77777777" w:rsidR="0021298F" w:rsidRPr="00935C7E" w:rsidRDefault="0021298F" w:rsidP="00760009">
            <w:pPr>
              <w:rPr>
                <w:rFonts w:ascii="Calibri" w:eastAsia="Times New Roman" w:hAnsi="Calibri" w:cs="Calibri"/>
                <w:color w:val="000000"/>
                <w:lang w:eastAsia="en-GB"/>
              </w:rPr>
            </w:pPr>
            <w:r w:rsidRPr="00935C7E">
              <w:rPr>
                <w:rFonts w:ascii="Calibri" w:eastAsia="Times New Roman" w:hAnsi="Calibri" w:cs="Calibri"/>
                <w:color w:val="000000"/>
                <w:lang w:eastAsia="en-GB"/>
              </w:rPr>
              <w:t> </w:t>
            </w:r>
          </w:p>
        </w:tc>
        <w:tc>
          <w:tcPr>
            <w:tcW w:w="156" w:type="dxa"/>
            <w:tcBorders>
              <w:top w:val="nil"/>
              <w:left w:val="nil"/>
              <w:bottom w:val="nil"/>
              <w:right w:val="nil"/>
            </w:tcBorders>
            <w:shd w:val="clear" w:color="000000" w:fill="FFFFFF"/>
            <w:noWrap/>
            <w:vAlign w:val="bottom"/>
            <w:hideMark/>
          </w:tcPr>
          <w:p w14:paraId="04B1B7F1" w14:textId="77777777" w:rsidR="0021298F" w:rsidRPr="00935C7E" w:rsidRDefault="0021298F" w:rsidP="00760009">
            <w:pPr>
              <w:rPr>
                <w:rFonts w:ascii="Calibri" w:eastAsia="Times New Roman" w:hAnsi="Calibri" w:cs="Calibri"/>
                <w:color w:val="000000"/>
                <w:lang w:eastAsia="en-GB"/>
              </w:rPr>
            </w:pPr>
            <w:r w:rsidRPr="00935C7E">
              <w:rPr>
                <w:rFonts w:ascii="Calibri" w:eastAsia="Times New Roman" w:hAnsi="Calibri" w:cs="Calibri"/>
                <w:color w:val="000000"/>
                <w:lang w:eastAsia="en-GB"/>
              </w:rPr>
              <w:t> </w:t>
            </w:r>
          </w:p>
        </w:tc>
        <w:tc>
          <w:tcPr>
            <w:tcW w:w="2084" w:type="dxa"/>
            <w:tcBorders>
              <w:top w:val="nil"/>
              <w:left w:val="nil"/>
              <w:bottom w:val="nil"/>
              <w:right w:val="nil"/>
            </w:tcBorders>
            <w:shd w:val="clear" w:color="000000" w:fill="FFFFFF"/>
            <w:vAlign w:val="bottom"/>
            <w:hideMark/>
          </w:tcPr>
          <w:p w14:paraId="30EA4AAE" w14:textId="77777777" w:rsidR="0021298F" w:rsidRPr="00935C7E" w:rsidRDefault="0021298F" w:rsidP="00760009">
            <w:pPr>
              <w:jc w:val="right"/>
              <w:rPr>
                <w:rFonts w:ascii="Arial" w:eastAsia="Times New Roman" w:hAnsi="Arial" w:cs="Arial"/>
                <w:b/>
                <w:bCs/>
                <w:color w:val="000000"/>
                <w:lang w:eastAsia="en-GB"/>
              </w:rPr>
            </w:pPr>
            <w:r w:rsidRPr="00935C7E">
              <w:rPr>
                <w:rFonts w:ascii="Arial" w:eastAsia="Times New Roman" w:hAnsi="Arial" w:cs="Arial"/>
                <w:b/>
                <w:bCs/>
                <w:color w:val="000000"/>
                <w:lang w:eastAsia="en-GB"/>
              </w:rPr>
              <w:t>For the year ended</w:t>
            </w:r>
          </w:p>
        </w:tc>
        <w:tc>
          <w:tcPr>
            <w:tcW w:w="2084" w:type="dxa"/>
            <w:tcBorders>
              <w:top w:val="nil"/>
              <w:left w:val="nil"/>
              <w:bottom w:val="nil"/>
              <w:right w:val="nil"/>
            </w:tcBorders>
            <w:shd w:val="clear" w:color="000000" w:fill="FFFFFF"/>
            <w:vAlign w:val="bottom"/>
            <w:hideMark/>
          </w:tcPr>
          <w:p w14:paraId="273FBC8B" w14:textId="77777777" w:rsidR="0021298F" w:rsidRPr="00935C7E" w:rsidRDefault="0021298F" w:rsidP="00760009">
            <w:pPr>
              <w:jc w:val="right"/>
              <w:rPr>
                <w:rFonts w:ascii="Arial" w:eastAsia="Times New Roman" w:hAnsi="Arial" w:cs="Arial"/>
                <w:b/>
                <w:bCs/>
                <w:color w:val="000000"/>
                <w:lang w:eastAsia="en-GB"/>
              </w:rPr>
            </w:pPr>
            <w:r w:rsidRPr="00935C7E">
              <w:rPr>
                <w:rFonts w:ascii="Arial" w:eastAsia="Times New Roman" w:hAnsi="Arial" w:cs="Arial"/>
                <w:b/>
                <w:bCs/>
                <w:color w:val="000000"/>
                <w:lang w:eastAsia="en-GB"/>
              </w:rPr>
              <w:t>For the year ended</w:t>
            </w:r>
          </w:p>
        </w:tc>
      </w:tr>
      <w:tr w:rsidR="0021298F" w:rsidRPr="00935C7E" w14:paraId="06046A5E" w14:textId="77777777" w:rsidTr="00760009">
        <w:trPr>
          <w:trHeight w:val="300"/>
        </w:trPr>
        <w:tc>
          <w:tcPr>
            <w:tcW w:w="4736" w:type="dxa"/>
            <w:tcBorders>
              <w:top w:val="nil"/>
              <w:left w:val="nil"/>
              <w:bottom w:val="single" w:sz="4" w:space="0" w:color="auto"/>
              <w:right w:val="nil"/>
            </w:tcBorders>
            <w:shd w:val="clear" w:color="000000" w:fill="FFFFFF"/>
            <w:noWrap/>
            <w:vAlign w:val="bottom"/>
            <w:hideMark/>
          </w:tcPr>
          <w:p w14:paraId="188D8C17" w14:textId="77777777" w:rsidR="0021298F" w:rsidRPr="00935C7E" w:rsidRDefault="0021298F" w:rsidP="00760009">
            <w:pPr>
              <w:rPr>
                <w:rFonts w:ascii="Calibri" w:eastAsia="Times New Roman" w:hAnsi="Calibri" w:cs="Calibri"/>
                <w:color w:val="000000"/>
                <w:lang w:eastAsia="en-GB"/>
              </w:rPr>
            </w:pPr>
            <w:r w:rsidRPr="00935C7E">
              <w:rPr>
                <w:rFonts w:ascii="Calibri" w:eastAsia="Times New Roman" w:hAnsi="Calibri" w:cs="Calibri"/>
                <w:color w:val="000000"/>
                <w:lang w:eastAsia="en-GB"/>
              </w:rPr>
              <w:t> </w:t>
            </w:r>
          </w:p>
        </w:tc>
        <w:tc>
          <w:tcPr>
            <w:tcW w:w="156" w:type="dxa"/>
            <w:tcBorders>
              <w:top w:val="nil"/>
              <w:left w:val="nil"/>
              <w:bottom w:val="single" w:sz="4" w:space="0" w:color="auto"/>
              <w:right w:val="nil"/>
            </w:tcBorders>
            <w:shd w:val="clear" w:color="000000" w:fill="FFFFFF"/>
            <w:noWrap/>
            <w:vAlign w:val="bottom"/>
            <w:hideMark/>
          </w:tcPr>
          <w:p w14:paraId="09440CC6" w14:textId="77777777" w:rsidR="0021298F" w:rsidRPr="00935C7E" w:rsidRDefault="0021298F" w:rsidP="00760009">
            <w:pPr>
              <w:rPr>
                <w:rFonts w:ascii="Calibri" w:eastAsia="Times New Roman" w:hAnsi="Calibri" w:cs="Calibri"/>
                <w:color w:val="000000"/>
                <w:lang w:eastAsia="en-GB"/>
              </w:rPr>
            </w:pPr>
            <w:r w:rsidRPr="00935C7E">
              <w:rPr>
                <w:rFonts w:ascii="Calibri" w:eastAsia="Times New Roman" w:hAnsi="Calibri" w:cs="Calibri"/>
                <w:color w:val="000000"/>
                <w:lang w:eastAsia="en-GB"/>
              </w:rPr>
              <w:t> </w:t>
            </w:r>
          </w:p>
        </w:tc>
        <w:tc>
          <w:tcPr>
            <w:tcW w:w="2084" w:type="dxa"/>
            <w:tcBorders>
              <w:top w:val="nil"/>
              <w:left w:val="nil"/>
              <w:bottom w:val="single" w:sz="4" w:space="0" w:color="auto"/>
              <w:right w:val="nil"/>
            </w:tcBorders>
            <w:shd w:val="clear" w:color="000000" w:fill="FFFFFF"/>
            <w:vAlign w:val="center"/>
            <w:hideMark/>
          </w:tcPr>
          <w:p w14:paraId="12AAC72C" w14:textId="77777777" w:rsidR="0021298F" w:rsidRPr="00935C7E" w:rsidRDefault="0021298F" w:rsidP="00760009">
            <w:pPr>
              <w:jc w:val="right"/>
              <w:rPr>
                <w:rFonts w:ascii="Arial" w:eastAsia="Times New Roman" w:hAnsi="Arial" w:cs="Arial"/>
                <w:b/>
                <w:bCs/>
                <w:color w:val="000000"/>
                <w:lang w:eastAsia="en-GB"/>
              </w:rPr>
            </w:pPr>
            <w:r w:rsidRPr="00935C7E">
              <w:rPr>
                <w:rFonts w:ascii="Arial" w:eastAsia="Times New Roman" w:hAnsi="Arial" w:cs="Arial"/>
                <w:b/>
                <w:bCs/>
                <w:color w:val="000000"/>
                <w:lang w:eastAsia="en-GB"/>
              </w:rPr>
              <w:t>31 December 2020</w:t>
            </w:r>
          </w:p>
        </w:tc>
        <w:tc>
          <w:tcPr>
            <w:tcW w:w="2084" w:type="dxa"/>
            <w:tcBorders>
              <w:top w:val="nil"/>
              <w:left w:val="nil"/>
              <w:bottom w:val="single" w:sz="4" w:space="0" w:color="auto"/>
              <w:right w:val="nil"/>
            </w:tcBorders>
            <w:shd w:val="clear" w:color="000000" w:fill="FFFFFF"/>
            <w:vAlign w:val="center"/>
            <w:hideMark/>
          </w:tcPr>
          <w:p w14:paraId="3CA7A226" w14:textId="77777777" w:rsidR="0021298F" w:rsidRPr="00935C7E" w:rsidRDefault="0021298F" w:rsidP="00760009">
            <w:pPr>
              <w:jc w:val="right"/>
              <w:rPr>
                <w:rFonts w:ascii="Arial" w:eastAsia="Times New Roman" w:hAnsi="Arial" w:cs="Arial"/>
                <w:b/>
                <w:bCs/>
                <w:color w:val="000000"/>
                <w:lang w:eastAsia="en-GB"/>
              </w:rPr>
            </w:pPr>
            <w:r w:rsidRPr="00935C7E">
              <w:rPr>
                <w:rFonts w:ascii="Arial" w:eastAsia="Times New Roman" w:hAnsi="Arial" w:cs="Arial"/>
                <w:b/>
                <w:bCs/>
                <w:color w:val="000000"/>
                <w:lang w:eastAsia="en-GB"/>
              </w:rPr>
              <w:t>31 December 2019</w:t>
            </w:r>
          </w:p>
        </w:tc>
      </w:tr>
      <w:tr w:rsidR="0021298F" w:rsidRPr="00935C7E" w14:paraId="7663BD53" w14:textId="77777777" w:rsidTr="00760009">
        <w:trPr>
          <w:trHeight w:val="552"/>
        </w:trPr>
        <w:tc>
          <w:tcPr>
            <w:tcW w:w="4736" w:type="dxa"/>
            <w:tcBorders>
              <w:top w:val="nil"/>
              <w:left w:val="nil"/>
              <w:bottom w:val="nil"/>
              <w:right w:val="nil"/>
            </w:tcBorders>
            <w:shd w:val="clear" w:color="000000" w:fill="FFFFFF"/>
            <w:vAlign w:val="center"/>
            <w:hideMark/>
          </w:tcPr>
          <w:p w14:paraId="72715477" w14:textId="77777777" w:rsidR="0021298F" w:rsidRPr="00935C7E" w:rsidRDefault="0021298F" w:rsidP="00760009">
            <w:pPr>
              <w:rPr>
                <w:rFonts w:ascii="Arial" w:eastAsia="Times New Roman" w:hAnsi="Arial" w:cs="Arial"/>
                <w:color w:val="000000"/>
                <w:lang w:eastAsia="en-GB"/>
              </w:rPr>
            </w:pPr>
            <w:r w:rsidRPr="00935C7E">
              <w:rPr>
                <w:rFonts w:ascii="Arial" w:eastAsia="Times New Roman" w:hAnsi="Arial" w:cs="Arial"/>
                <w:color w:val="000000"/>
                <w:lang w:eastAsia="en-GB"/>
              </w:rPr>
              <w:t>Profit attributable to equity holders of the Company - €’000</w:t>
            </w:r>
          </w:p>
        </w:tc>
        <w:tc>
          <w:tcPr>
            <w:tcW w:w="156" w:type="dxa"/>
            <w:tcBorders>
              <w:top w:val="nil"/>
              <w:left w:val="nil"/>
              <w:bottom w:val="nil"/>
              <w:right w:val="nil"/>
            </w:tcBorders>
            <w:shd w:val="clear" w:color="000000" w:fill="FFFFFF"/>
            <w:noWrap/>
            <w:vAlign w:val="bottom"/>
            <w:hideMark/>
          </w:tcPr>
          <w:p w14:paraId="00C23B8A" w14:textId="77777777" w:rsidR="0021298F" w:rsidRPr="00935C7E" w:rsidRDefault="0021298F" w:rsidP="00760009">
            <w:pPr>
              <w:rPr>
                <w:rFonts w:ascii="Calibri" w:eastAsia="Times New Roman" w:hAnsi="Calibri" w:cs="Calibri"/>
                <w:color w:val="000000"/>
                <w:lang w:eastAsia="en-GB"/>
              </w:rPr>
            </w:pPr>
            <w:r w:rsidRPr="00935C7E">
              <w:rPr>
                <w:rFonts w:ascii="Calibri" w:eastAsia="Times New Roman" w:hAnsi="Calibri" w:cs="Calibri"/>
                <w:color w:val="000000"/>
                <w:lang w:eastAsia="en-GB"/>
              </w:rPr>
              <w:t> </w:t>
            </w:r>
          </w:p>
        </w:tc>
        <w:tc>
          <w:tcPr>
            <w:tcW w:w="2084" w:type="dxa"/>
            <w:tcBorders>
              <w:top w:val="nil"/>
              <w:left w:val="nil"/>
              <w:bottom w:val="nil"/>
              <w:right w:val="nil"/>
            </w:tcBorders>
            <w:shd w:val="clear" w:color="000000" w:fill="EDFFB7"/>
            <w:vAlign w:val="center"/>
            <w:hideMark/>
          </w:tcPr>
          <w:p w14:paraId="3672DC99" w14:textId="77777777" w:rsidR="0021298F" w:rsidRPr="00935C7E" w:rsidRDefault="0021298F" w:rsidP="00760009">
            <w:pPr>
              <w:jc w:val="right"/>
              <w:rPr>
                <w:rFonts w:ascii="Arial" w:eastAsia="Times New Roman" w:hAnsi="Arial" w:cs="Arial"/>
                <w:color w:val="000000"/>
                <w:lang w:eastAsia="en-GB"/>
              </w:rPr>
            </w:pPr>
            <w:r w:rsidRPr="00935C7E">
              <w:rPr>
                <w:rFonts w:ascii="Arial" w:eastAsia="Times New Roman" w:hAnsi="Arial" w:cs="Arial"/>
                <w:color w:val="000000"/>
                <w:lang w:eastAsia="en-GB"/>
              </w:rPr>
              <w:t>14,068</w:t>
            </w:r>
          </w:p>
        </w:tc>
        <w:tc>
          <w:tcPr>
            <w:tcW w:w="2084" w:type="dxa"/>
            <w:tcBorders>
              <w:top w:val="nil"/>
              <w:left w:val="nil"/>
              <w:bottom w:val="nil"/>
              <w:right w:val="nil"/>
            </w:tcBorders>
            <w:shd w:val="clear" w:color="000000" w:fill="FFFFFF"/>
            <w:noWrap/>
            <w:vAlign w:val="center"/>
            <w:hideMark/>
          </w:tcPr>
          <w:p w14:paraId="6F85ADA6" w14:textId="77777777" w:rsidR="0021298F" w:rsidRPr="00935C7E" w:rsidRDefault="0021298F" w:rsidP="00760009">
            <w:pPr>
              <w:jc w:val="right"/>
              <w:rPr>
                <w:rFonts w:ascii="Arial" w:eastAsia="Times New Roman" w:hAnsi="Arial" w:cs="Arial"/>
                <w:color w:val="000000"/>
                <w:lang w:eastAsia="en-GB"/>
              </w:rPr>
            </w:pPr>
            <w:r w:rsidRPr="00935C7E">
              <w:rPr>
                <w:rFonts w:ascii="Arial" w:eastAsia="Times New Roman" w:hAnsi="Arial" w:cs="Arial"/>
                <w:color w:val="000000"/>
                <w:lang w:eastAsia="en-GB"/>
              </w:rPr>
              <w:t>17,097</w:t>
            </w:r>
          </w:p>
        </w:tc>
      </w:tr>
      <w:tr w:rsidR="0021298F" w:rsidRPr="00935C7E" w14:paraId="3779E76B" w14:textId="77777777" w:rsidTr="00760009">
        <w:trPr>
          <w:trHeight w:val="619"/>
        </w:trPr>
        <w:tc>
          <w:tcPr>
            <w:tcW w:w="4736" w:type="dxa"/>
            <w:tcBorders>
              <w:top w:val="nil"/>
              <w:left w:val="nil"/>
              <w:bottom w:val="single" w:sz="4" w:space="0" w:color="auto"/>
              <w:right w:val="nil"/>
            </w:tcBorders>
            <w:shd w:val="clear" w:color="000000" w:fill="FFFFFF"/>
            <w:vAlign w:val="center"/>
            <w:hideMark/>
          </w:tcPr>
          <w:p w14:paraId="6B631B73" w14:textId="77777777" w:rsidR="0021298F" w:rsidRPr="00935C7E" w:rsidRDefault="0021298F" w:rsidP="00760009">
            <w:pPr>
              <w:rPr>
                <w:rFonts w:ascii="Arial" w:eastAsia="Times New Roman" w:hAnsi="Arial" w:cs="Arial"/>
                <w:color w:val="000000"/>
                <w:lang w:eastAsia="en-GB"/>
              </w:rPr>
            </w:pPr>
            <w:r w:rsidRPr="00935C7E">
              <w:rPr>
                <w:rFonts w:ascii="Arial" w:eastAsia="Times New Roman" w:hAnsi="Arial" w:cs="Arial"/>
                <w:color w:val="000000"/>
                <w:lang w:eastAsia="en-GB"/>
              </w:rPr>
              <w:t>Weighted average number of ordinary shares in issue</w:t>
            </w:r>
          </w:p>
        </w:tc>
        <w:tc>
          <w:tcPr>
            <w:tcW w:w="156" w:type="dxa"/>
            <w:tcBorders>
              <w:top w:val="nil"/>
              <w:left w:val="nil"/>
              <w:bottom w:val="single" w:sz="4" w:space="0" w:color="auto"/>
              <w:right w:val="nil"/>
            </w:tcBorders>
            <w:shd w:val="clear" w:color="000000" w:fill="FFFFFF"/>
            <w:noWrap/>
            <w:vAlign w:val="bottom"/>
            <w:hideMark/>
          </w:tcPr>
          <w:p w14:paraId="5421062F" w14:textId="77777777" w:rsidR="0021298F" w:rsidRPr="00935C7E" w:rsidRDefault="0021298F" w:rsidP="00760009">
            <w:pPr>
              <w:rPr>
                <w:rFonts w:ascii="Calibri" w:eastAsia="Times New Roman" w:hAnsi="Calibri" w:cs="Calibri"/>
                <w:color w:val="000000"/>
                <w:lang w:eastAsia="en-GB"/>
              </w:rPr>
            </w:pPr>
            <w:r w:rsidRPr="00935C7E">
              <w:rPr>
                <w:rFonts w:ascii="Calibri" w:eastAsia="Times New Roman" w:hAnsi="Calibri" w:cs="Calibri"/>
                <w:color w:val="000000"/>
                <w:lang w:eastAsia="en-GB"/>
              </w:rPr>
              <w:t> </w:t>
            </w:r>
          </w:p>
        </w:tc>
        <w:tc>
          <w:tcPr>
            <w:tcW w:w="2084" w:type="dxa"/>
            <w:tcBorders>
              <w:top w:val="nil"/>
              <w:left w:val="nil"/>
              <w:bottom w:val="single" w:sz="4" w:space="0" w:color="auto"/>
              <w:right w:val="nil"/>
            </w:tcBorders>
            <w:shd w:val="clear" w:color="000000" w:fill="EDFFB7"/>
            <w:vAlign w:val="center"/>
            <w:hideMark/>
          </w:tcPr>
          <w:p w14:paraId="11F71936" w14:textId="77777777" w:rsidR="0021298F" w:rsidRPr="00935C7E" w:rsidRDefault="0021298F" w:rsidP="00760009">
            <w:pPr>
              <w:jc w:val="right"/>
              <w:rPr>
                <w:rFonts w:ascii="Arial" w:eastAsia="Times New Roman" w:hAnsi="Arial" w:cs="Arial"/>
                <w:color w:val="000000"/>
                <w:lang w:eastAsia="en-GB"/>
              </w:rPr>
            </w:pPr>
            <w:r w:rsidRPr="00935C7E">
              <w:rPr>
                <w:rFonts w:ascii="Arial" w:eastAsia="Times New Roman" w:hAnsi="Arial" w:cs="Arial"/>
                <w:color w:val="000000"/>
                <w:lang w:eastAsia="en-GB"/>
              </w:rPr>
              <w:t>636,966,488</w:t>
            </w:r>
          </w:p>
        </w:tc>
        <w:tc>
          <w:tcPr>
            <w:tcW w:w="2084" w:type="dxa"/>
            <w:tcBorders>
              <w:top w:val="nil"/>
              <w:left w:val="nil"/>
              <w:bottom w:val="single" w:sz="4" w:space="0" w:color="auto"/>
              <w:right w:val="nil"/>
            </w:tcBorders>
            <w:shd w:val="clear" w:color="000000" w:fill="FFFFFF"/>
            <w:noWrap/>
            <w:vAlign w:val="center"/>
            <w:hideMark/>
          </w:tcPr>
          <w:p w14:paraId="4F8EE1D1" w14:textId="77777777" w:rsidR="0021298F" w:rsidRPr="00935C7E" w:rsidRDefault="0021298F" w:rsidP="00760009">
            <w:pPr>
              <w:jc w:val="right"/>
              <w:rPr>
                <w:rFonts w:ascii="Arial" w:eastAsia="Times New Roman" w:hAnsi="Arial" w:cs="Arial"/>
                <w:color w:val="000000"/>
                <w:lang w:eastAsia="en-GB"/>
              </w:rPr>
            </w:pPr>
            <w:r w:rsidRPr="00935C7E">
              <w:rPr>
                <w:rFonts w:ascii="Arial" w:eastAsia="Times New Roman" w:hAnsi="Arial" w:cs="Arial"/>
                <w:color w:val="000000"/>
                <w:lang w:eastAsia="en-GB"/>
              </w:rPr>
              <w:t>493,861,074</w:t>
            </w:r>
          </w:p>
        </w:tc>
      </w:tr>
      <w:tr w:rsidR="0021298F" w:rsidRPr="00935C7E" w14:paraId="222FAE38" w14:textId="77777777" w:rsidTr="00760009">
        <w:trPr>
          <w:trHeight w:val="720"/>
        </w:trPr>
        <w:tc>
          <w:tcPr>
            <w:tcW w:w="4736" w:type="dxa"/>
            <w:tcBorders>
              <w:top w:val="nil"/>
              <w:left w:val="nil"/>
              <w:bottom w:val="single" w:sz="8" w:space="0" w:color="auto"/>
              <w:right w:val="nil"/>
            </w:tcBorders>
            <w:shd w:val="clear" w:color="000000" w:fill="FFFFFF"/>
            <w:vAlign w:val="center"/>
            <w:hideMark/>
          </w:tcPr>
          <w:p w14:paraId="5AAFBB34" w14:textId="77777777" w:rsidR="0021298F" w:rsidRPr="00935C7E" w:rsidRDefault="0021298F" w:rsidP="00760009">
            <w:pPr>
              <w:rPr>
                <w:rFonts w:ascii="Arial" w:eastAsia="Times New Roman" w:hAnsi="Arial" w:cs="Arial"/>
                <w:b/>
                <w:bCs/>
                <w:color w:val="000000"/>
                <w:lang w:eastAsia="en-GB"/>
              </w:rPr>
            </w:pPr>
            <w:r w:rsidRPr="00935C7E">
              <w:rPr>
                <w:rFonts w:ascii="Arial" w:eastAsia="Times New Roman" w:hAnsi="Arial" w:cs="Arial"/>
                <w:b/>
                <w:bCs/>
                <w:color w:val="000000"/>
                <w:lang w:eastAsia="en-GB"/>
              </w:rPr>
              <w:t>Basic and diluted earnings from continuing operations in the year (cent)</w:t>
            </w:r>
          </w:p>
        </w:tc>
        <w:tc>
          <w:tcPr>
            <w:tcW w:w="156" w:type="dxa"/>
            <w:tcBorders>
              <w:top w:val="nil"/>
              <w:left w:val="nil"/>
              <w:bottom w:val="single" w:sz="8" w:space="0" w:color="auto"/>
              <w:right w:val="nil"/>
            </w:tcBorders>
            <w:shd w:val="clear" w:color="000000" w:fill="FFFFFF"/>
            <w:noWrap/>
            <w:vAlign w:val="bottom"/>
            <w:hideMark/>
          </w:tcPr>
          <w:p w14:paraId="22AD90BC" w14:textId="77777777" w:rsidR="0021298F" w:rsidRPr="00935C7E" w:rsidRDefault="0021298F" w:rsidP="00760009">
            <w:pPr>
              <w:rPr>
                <w:rFonts w:ascii="Calibri" w:eastAsia="Times New Roman" w:hAnsi="Calibri" w:cs="Calibri"/>
                <w:color w:val="000000"/>
                <w:lang w:eastAsia="en-GB"/>
              </w:rPr>
            </w:pPr>
            <w:r w:rsidRPr="00935C7E">
              <w:rPr>
                <w:rFonts w:ascii="Calibri" w:eastAsia="Times New Roman" w:hAnsi="Calibri" w:cs="Calibri"/>
                <w:color w:val="000000"/>
                <w:lang w:eastAsia="en-GB"/>
              </w:rPr>
              <w:t> </w:t>
            </w:r>
          </w:p>
        </w:tc>
        <w:tc>
          <w:tcPr>
            <w:tcW w:w="2084" w:type="dxa"/>
            <w:tcBorders>
              <w:top w:val="nil"/>
              <w:left w:val="nil"/>
              <w:bottom w:val="single" w:sz="8" w:space="0" w:color="auto"/>
              <w:right w:val="nil"/>
            </w:tcBorders>
            <w:shd w:val="clear" w:color="000000" w:fill="EDFFB7"/>
            <w:vAlign w:val="center"/>
            <w:hideMark/>
          </w:tcPr>
          <w:p w14:paraId="779643C7" w14:textId="77777777" w:rsidR="0021298F" w:rsidRPr="00935C7E" w:rsidRDefault="0021298F" w:rsidP="00760009">
            <w:pPr>
              <w:jc w:val="right"/>
              <w:rPr>
                <w:rFonts w:ascii="Arial" w:eastAsia="Times New Roman" w:hAnsi="Arial" w:cs="Arial"/>
                <w:b/>
                <w:bCs/>
                <w:color w:val="000000"/>
                <w:lang w:eastAsia="en-GB"/>
              </w:rPr>
            </w:pPr>
            <w:r w:rsidRPr="00935C7E">
              <w:rPr>
                <w:rFonts w:ascii="Arial" w:eastAsia="Times New Roman" w:hAnsi="Arial" w:cs="Arial"/>
                <w:b/>
                <w:bCs/>
                <w:color w:val="000000"/>
                <w:lang w:eastAsia="en-GB"/>
              </w:rPr>
              <w:t>2.21</w:t>
            </w:r>
          </w:p>
        </w:tc>
        <w:tc>
          <w:tcPr>
            <w:tcW w:w="2084" w:type="dxa"/>
            <w:tcBorders>
              <w:top w:val="nil"/>
              <w:left w:val="nil"/>
              <w:bottom w:val="single" w:sz="8" w:space="0" w:color="auto"/>
              <w:right w:val="nil"/>
            </w:tcBorders>
            <w:shd w:val="clear" w:color="000000" w:fill="FFFFFF"/>
            <w:noWrap/>
            <w:vAlign w:val="center"/>
            <w:hideMark/>
          </w:tcPr>
          <w:p w14:paraId="5AB30E12" w14:textId="77777777" w:rsidR="0021298F" w:rsidRPr="00935C7E" w:rsidRDefault="0021298F" w:rsidP="00760009">
            <w:pPr>
              <w:jc w:val="right"/>
              <w:rPr>
                <w:rFonts w:ascii="Arial" w:eastAsia="Times New Roman" w:hAnsi="Arial" w:cs="Arial"/>
                <w:b/>
                <w:bCs/>
                <w:color w:val="000000"/>
                <w:lang w:eastAsia="en-GB"/>
              </w:rPr>
            </w:pPr>
            <w:r w:rsidRPr="00935C7E">
              <w:rPr>
                <w:rFonts w:ascii="Arial" w:eastAsia="Times New Roman" w:hAnsi="Arial" w:cs="Arial"/>
                <w:b/>
                <w:bCs/>
                <w:color w:val="000000"/>
                <w:lang w:eastAsia="en-GB"/>
              </w:rPr>
              <w:t>3.46</w:t>
            </w:r>
          </w:p>
        </w:tc>
      </w:tr>
    </w:tbl>
    <w:p w14:paraId="1A3B607B" w14:textId="77777777" w:rsidR="0021298F" w:rsidRDefault="0021298F" w:rsidP="0021298F">
      <w:pPr>
        <w:rPr>
          <w:rFonts w:ascii="Arial" w:hAnsi="Arial" w:cs="Arial"/>
          <w:szCs w:val="26"/>
        </w:rPr>
      </w:pPr>
    </w:p>
    <w:p w14:paraId="72F102C2" w14:textId="77777777" w:rsidR="0021298F" w:rsidRPr="00F042C3" w:rsidRDefault="0021298F" w:rsidP="0021298F">
      <w:pPr>
        <w:pStyle w:val="Heading2"/>
        <w:keepNext w:val="0"/>
        <w:keepLines w:val="0"/>
        <w:tabs>
          <w:tab w:val="left" w:pos="426"/>
        </w:tabs>
        <w:spacing w:before="0" w:line="240" w:lineRule="auto"/>
        <w:jc w:val="both"/>
        <w:rPr>
          <w:rFonts w:ascii="Arial" w:hAnsi="Arial" w:cs="Arial"/>
          <w:sz w:val="24"/>
          <w:lang w:eastAsia="en-GB"/>
        </w:rPr>
      </w:pPr>
      <w:r w:rsidRPr="00F042C3">
        <w:rPr>
          <w:rFonts w:ascii="Arial" w:hAnsi="Arial" w:cs="Arial"/>
          <w:color w:val="auto"/>
          <w:sz w:val="24"/>
          <w:szCs w:val="22"/>
          <w:lang w:eastAsia="en-GB"/>
        </w:rPr>
        <w:t>8. Dividends declared with respect to the year</w:t>
      </w:r>
    </w:p>
    <w:tbl>
      <w:tblPr>
        <w:tblW w:w="5000" w:type="pct"/>
        <w:tblLook w:val="04A0" w:firstRow="1" w:lastRow="0" w:firstColumn="1" w:lastColumn="0" w:noHBand="0" w:noVBand="1"/>
      </w:tblPr>
      <w:tblGrid>
        <w:gridCol w:w="4855"/>
        <w:gridCol w:w="2480"/>
        <w:gridCol w:w="1691"/>
      </w:tblGrid>
      <w:tr w:rsidR="0021298F" w:rsidRPr="0032178B" w14:paraId="01C446C7" w14:textId="77777777" w:rsidTr="00760009">
        <w:trPr>
          <w:trHeight w:val="300"/>
        </w:trPr>
        <w:tc>
          <w:tcPr>
            <w:tcW w:w="2689" w:type="pct"/>
            <w:tcBorders>
              <w:left w:val="nil"/>
              <w:bottom w:val="single" w:sz="4" w:space="0" w:color="auto"/>
              <w:right w:val="nil"/>
            </w:tcBorders>
            <w:shd w:val="clear" w:color="auto" w:fill="auto"/>
            <w:vAlign w:val="center"/>
          </w:tcPr>
          <w:p w14:paraId="2303AF89" w14:textId="77777777" w:rsidR="0021298F" w:rsidRPr="00E775B8" w:rsidRDefault="0021298F" w:rsidP="00760009">
            <w:pPr>
              <w:jc w:val="both"/>
              <w:rPr>
                <w:rFonts w:ascii="Arial" w:eastAsia="Times New Roman" w:hAnsi="Arial" w:cs="Arial"/>
                <w:b/>
                <w:lang w:eastAsia="en-GB"/>
              </w:rPr>
            </w:pPr>
            <w:r w:rsidRPr="00E775B8">
              <w:rPr>
                <w:rFonts w:ascii="Arial" w:eastAsia="Times New Roman" w:hAnsi="Arial" w:cs="Arial"/>
                <w:b/>
                <w:lang w:eastAsia="en-GB"/>
              </w:rPr>
              <w:t>Interim dividends paid during</w:t>
            </w:r>
            <w:r>
              <w:rPr>
                <w:rFonts w:ascii="Arial" w:eastAsia="Times New Roman" w:hAnsi="Arial" w:cs="Arial"/>
                <w:b/>
                <w:lang w:eastAsia="en-GB"/>
              </w:rPr>
              <w:t xml:space="preserve"> the year ended 31 December 2020</w:t>
            </w:r>
          </w:p>
        </w:tc>
        <w:tc>
          <w:tcPr>
            <w:tcW w:w="1374" w:type="pct"/>
            <w:tcBorders>
              <w:left w:val="nil"/>
              <w:bottom w:val="single" w:sz="4" w:space="0" w:color="auto"/>
              <w:right w:val="nil"/>
            </w:tcBorders>
            <w:shd w:val="clear" w:color="auto" w:fill="auto"/>
            <w:noWrap/>
            <w:vAlign w:val="center"/>
          </w:tcPr>
          <w:p w14:paraId="5F71D357" w14:textId="77777777" w:rsidR="0021298F" w:rsidRDefault="0021298F" w:rsidP="00760009">
            <w:pPr>
              <w:jc w:val="right"/>
              <w:rPr>
                <w:rFonts w:ascii="Arial" w:eastAsia="Times New Roman" w:hAnsi="Arial" w:cs="Arial"/>
                <w:b/>
                <w:bCs/>
                <w:lang w:eastAsia="en-GB"/>
              </w:rPr>
            </w:pPr>
            <w:r w:rsidRPr="005766EB">
              <w:rPr>
                <w:rFonts w:ascii="Arial" w:eastAsia="Times New Roman" w:hAnsi="Arial" w:cs="Arial"/>
                <w:b/>
                <w:bCs/>
                <w:lang w:eastAsia="en-GB"/>
              </w:rPr>
              <w:t xml:space="preserve">Dividend per </w:t>
            </w:r>
          </w:p>
          <w:p w14:paraId="2CC58FC4" w14:textId="77777777" w:rsidR="0021298F" w:rsidRDefault="0021298F" w:rsidP="00760009">
            <w:pPr>
              <w:jc w:val="right"/>
              <w:rPr>
                <w:rFonts w:ascii="Arial" w:eastAsia="Times New Roman" w:hAnsi="Arial" w:cs="Arial"/>
                <w:b/>
                <w:bCs/>
                <w:lang w:eastAsia="en-GB"/>
              </w:rPr>
            </w:pPr>
            <w:r w:rsidRPr="00BB7315">
              <w:rPr>
                <w:rFonts w:ascii="Arial" w:eastAsia="Times New Roman" w:hAnsi="Arial" w:cs="Arial"/>
                <w:b/>
                <w:bCs/>
                <w:lang w:eastAsia="en-GB"/>
              </w:rPr>
              <w:t>S</w:t>
            </w:r>
            <w:r w:rsidRPr="005766EB">
              <w:rPr>
                <w:rFonts w:ascii="Arial" w:eastAsia="Times New Roman" w:hAnsi="Arial" w:cs="Arial"/>
                <w:b/>
                <w:bCs/>
                <w:lang w:eastAsia="en-GB"/>
              </w:rPr>
              <w:t>hare</w:t>
            </w:r>
            <w:r>
              <w:rPr>
                <w:rFonts w:ascii="Arial" w:eastAsia="Times New Roman" w:hAnsi="Arial" w:cs="Arial"/>
                <w:b/>
                <w:bCs/>
                <w:lang w:eastAsia="en-GB"/>
              </w:rPr>
              <w:t xml:space="preserve"> </w:t>
            </w:r>
          </w:p>
          <w:p w14:paraId="32291FE8" w14:textId="77777777" w:rsidR="0021298F" w:rsidRPr="005766EB" w:rsidRDefault="0021298F" w:rsidP="00760009">
            <w:pPr>
              <w:jc w:val="right"/>
              <w:rPr>
                <w:rFonts w:ascii="Arial" w:eastAsia="Times New Roman" w:hAnsi="Arial" w:cs="Arial"/>
                <w:b/>
                <w:bCs/>
                <w:lang w:eastAsia="en-GB"/>
              </w:rPr>
            </w:pPr>
            <w:r w:rsidRPr="005766EB">
              <w:rPr>
                <w:rFonts w:ascii="Arial" w:eastAsia="Times New Roman" w:hAnsi="Arial" w:cs="Arial"/>
                <w:b/>
                <w:bCs/>
                <w:lang w:eastAsia="en-GB"/>
              </w:rPr>
              <w:t>cent</w:t>
            </w:r>
          </w:p>
        </w:tc>
        <w:tc>
          <w:tcPr>
            <w:tcW w:w="937" w:type="pct"/>
            <w:tcBorders>
              <w:left w:val="nil"/>
              <w:bottom w:val="single" w:sz="4" w:space="0" w:color="auto"/>
              <w:right w:val="nil"/>
            </w:tcBorders>
            <w:shd w:val="clear" w:color="auto" w:fill="auto"/>
            <w:noWrap/>
            <w:vAlign w:val="center"/>
          </w:tcPr>
          <w:p w14:paraId="6EB9C89E" w14:textId="77777777" w:rsidR="0021298F" w:rsidRDefault="0021298F" w:rsidP="00760009">
            <w:pPr>
              <w:jc w:val="right"/>
              <w:rPr>
                <w:rFonts w:ascii="Arial" w:eastAsia="Times New Roman" w:hAnsi="Arial" w:cs="Arial"/>
                <w:b/>
                <w:bCs/>
                <w:lang w:eastAsia="en-GB"/>
              </w:rPr>
            </w:pPr>
            <w:r>
              <w:rPr>
                <w:rFonts w:ascii="Arial" w:eastAsia="Times New Roman" w:hAnsi="Arial" w:cs="Arial"/>
                <w:b/>
                <w:bCs/>
                <w:lang w:eastAsia="en-GB"/>
              </w:rPr>
              <w:t xml:space="preserve">Total </w:t>
            </w:r>
          </w:p>
          <w:p w14:paraId="68523E39" w14:textId="77777777" w:rsidR="0021298F" w:rsidRDefault="0021298F" w:rsidP="00760009">
            <w:pPr>
              <w:jc w:val="right"/>
              <w:rPr>
                <w:rFonts w:ascii="Arial" w:eastAsia="Times New Roman" w:hAnsi="Arial" w:cs="Arial"/>
                <w:b/>
                <w:bCs/>
                <w:lang w:eastAsia="en-GB"/>
              </w:rPr>
            </w:pPr>
            <w:r>
              <w:rPr>
                <w:rFonts w:ascii="Arial" w:eastAsia="Times New Roman" w:hAnsi="Arial" w:cs="Arial"/>
                <w:b/>
                <w:bCs/>
                <w:lang w:eastAsia="en-GB"/>
              </w:rPr>
              <w:t>Dividend</w:t>
            </w:r>
          </w:p>
          <w:p w14:paraId="3629EF0B" w14:textId="77777777" w:rsidR="0021298F" w:rsidRDefault="0021298F" w:rsidP="00760009">
            <w:pPr>
              <w:jc w:val="right"/>
              <w:rPr>
                <w:rFonts w:ascii="Arial" w:eastAsia="Times New Roman" w:hAnsi="Arial" w:cs="Arial"/>
                <w:b/>
                <w:bCs/>
                <w:lang w:eastAsia="en-GB"/>
              </w:rPr>
            </w:pPr>
            <w:r>
              <w:rPr>
                <w:rFonts w:ascii="Arial" w:eastAsia="Times New Roman" w:hAnsi="Arial" w:cs="Arial"/>
                <w:b/>
                <w:bCs/>
                <w:lang w:eastAsia="en-GB"/>
              </w:rPr>
              <w:t>€’000</w:t>
            </w:r>
          </w:p>
        </w:tc>
      </w:tr>
      <w:tr w:rsidR="0021298F" w:rsidRPr="0032178B" w14:paraId="3CFB0F4C" w14:textId="77777777" w:rsidTr="00760009">
        <w:trPr>
          <w:trHeight w:val="300"/>
        </w:trPr>
        <w:tc>
          <w:tcPr>
            <w:tcW w:w="2689" w:type="pct"/>
            <w:tcBorders>
              <w:top w:val="single" w:sz="4" w:space="0" w:color="auto"/>
              <w:left w:val="nil"/>
              <w:right w:val="nil"/>
            </w:tcBorders>
            <w:shd w:val="clear" w:color="000000" w:fill="FFFFFF"/>
            <w:vAlign w:val="center"/>
          </w:tcPr>
          <w:p w14:paraId="61DBE23C" w14:textId="77777777" w:rsidR="0021298F" w:rsidRPr="00AE47CC" w:rsidRDefault="0021298F" w:rsidP="00760009">
            <w:pPr>
              <w:jc w:val="both"/>
              <w:rPr>
                <w:rFonts w:ascii="Arial" w:hAnsi="Arial" w:cs="Arial"/>
                <w:color w:val="000000"/>
                <w:lang w:val="en-US"/>
              </w:rPr>
            </w:pPr>
            <w:r w:rsidRPr="00AE47CC">
              <w:rPr>
                <w:rFonts w:ascii="Arial" w:hAnsi="Arial" w:cs="Arial"/>
                <w:color w:val="000000"/>
                <w:lang w:val="en-US"/>
              </w:rPr>
              <w:t>With respect to the quarter ended 31 December 2019</w:t>
            </w:r>
          </w:p>
        </w:tc>
        <w:tc>
          <w:tcPr>
            <w:tcW w:w="1374" w:type="pct"/>
            <w:tcBorders>
              <w:top w:val="single" w:sz="4" w:space="0" w:color="auto"/>
              <w:left w:val="nil"/>
              <w:right w:val="nil"/>
            </w:tcBorders>
            <w:shd w:val="clear" w:color="000000" w:fill="EDFFB7"/>
            <w:noWrap/>
            <w:vAlign w:val="center"/>
          </w:tcPr>
          <w:p w14:paraId="4B82FC81" w14:textId="77777777" w:rsidR="0021298F" w:rsidRPr="00DF23A9" w:rsidRDefault="0021298F" w:rsidP="00760009">
            <w:pPr>
              <w:jc w:val="right"/>
              <w:rPr>
                <w:rFonts w:ascii="Arial" w:eastAsia="Times New Roman" w:hAnsi="Arial" w:cs="Arial"/>
                <w:bCs/>
                <w:lang w:eastAsia="en-GB"/>
              </w:rPr>
            </w:pPr>
            <w:r w:rsidRPr="00DF23A9">
              <w:rPr>
                <w:rFonts w:ascii="Arial" w:eastAsia="Times New Roman" w:hAnsi="Arial" w:cs="Arial"/>
                <w:bCs/>
                <w:lang w:eastAsia="en-GB"/>
              </w:rPr>
              <w:t>1.5075</w:t>
            </w:r>
          </w:p>
        </w:tc>
        <w:tc>
          <w:tcPr>
            <w:tcW w:w="937" w:type="pct"/>
            <w:tcBorders>
              <w:top w:val="single" w:sz="4" w:space="0" w:color="auto"/>
              <w:left w:val="nil"/>
              <w:right w:val="nil"/>
            </w:tcBorders>
            <w:shd w:val="clear" w:color="000000" w:fill="EDFFB7"/>
            <w:noWrap/>
            <w:vAlign w:val="center"/>
          </w:tcPr>
          <w:p w14:paraId="7B1DB022" w14:textId="77777777" w:rsidR="0021298F" w:rsidRPr="00DF23A9" w:rsidRDefault="0021298F" w:rsidP="00760009">
            <w:pPr>
              <w:jc w:val="right"/>
              <w:rPr>
                <w:rFonts w:ascii="Arial" w:eastAsia="Times New Roman" w:hAnsi="Arial" w:cs="Arial"/>
                <w:b/>
                <w:bCs/>
                <w:lang w:eastAsia="en-GB"/>
              </w:rPr>
            </w:pPr>
            <w:r w:rsidRPr="00DF23A9">
              <w:rPr>
                <w:rFonts w:ascii="Arial" w:eastAsia="Times New Roman" w:hAnsi="Arial" w:cs="Arial"/>
                <w:b/>
                <w:bCs/>
                <w:lang w:eastAsia="en-GB"/>
              </w:rPr>
              <w:t>9,50</w:t>
            </w:r>
            <w:r>
              <w:rPr>
                <w:rFonts w:ascii="Arial" w:eastAsia="Times New Roman" w:hAnsi="Arial" w:cs="Arial"/>
                <w:b/>
                <w:bCs/>
                <w:lang w:eastAsia="en-GB"/>
              </w:rPr>
              <w:t>6</w:t>
            </w:r>
          </w:p>
        </w:tc>
      </w:tr>
      <w:tr w:rsidR="0021298F" w:rsidRPr="0032178B" w14:paraId="6A4F741D" w14:textId="77777777" w:rsidTr="00760009">
        <w:trPr>
          <w:trHeight w:val="300"/>
        </w:trPr>
        <w:tc>
          <w:tcPr>
            <w:tcW w:w="2689" w:type="pct"/>
            <w:tcBorders>
              <w:left w:val="nil"/>
              <w:bottom w:val="nil"/>
              <w:right w:val="nil"/>
            </w:tcBorders>
            <w:shd w:val="clear" w:color="000000" w:fill="FFFFFF"/>
            <w:vAlign w:val="center"/>
            <w:hideMark/>
          </w:tcPr>
          <w:p w14:paraId="0686B5B2" w14:textId="77777777" w:rsidR="0021298F" w:rsidRPr="00A93797" w:rsidRDefault="0021298F" w:rsidP="00760009">
            <w:pPr>
              <w:jc w:val="both"/>
              <w:rPr>
                <w:rFonts w:ascii="Arial" w:eastAsia="Times New Roman" w:hAnsi="Arial" w:cs="Arial"/>
                <w:highlight w:val="cyan"/>
                <w:lang w:eastAsia="en-GB"/>
              </w:rPr>
            </w:pPr>
            <w:r w:rsidRPr="00AE47CC">
              <w:rPr>
                <w:rFonts w:ascii="Arial" w:hAnsi="Arial" w:cs="Arial"/>
                <w:color w:val="000000"/>
                <w:lang w:val="en-US"/>
              </w:rPr>
              <w:t>With respect to the quarter ended 31 March 2020</w:t>
            </w:r>
          </w:p>
        </w:tc>
        <w:tc>
          <w:tcPr>
            <w:tcW w:w="1374" w:type="pct"/>
            <w:tcBorders>
              <w:left w:val="nil"/>
              <w:bottom w:val="nil"/>
              <w:right w:val="nil"/>
            </w:tcBorders>
            <w:shd w:val="clear" w:color="000000" w:fill="EDFFB7"/>
            <w:noWrap/>
            <w:vAlign w:val="center"/>
          </w:tcPr>
          <w:p w14:paraId="78F53465" w14:textId="77777777" w:rsidR="0021298F" w:rsidRPr="00DF23A9" w:rsidRDefault="0021298F" w:rsidP="00760009">
            <w:pPr>
              <w:jc w:val="right"/>
              <w:rPr>
                <w:rFonts w:ascii="Arial" w:eastAsia="Times New Roman" w:hAnsi="Arial" w:cs="Arial"/>
                <w:bCs/>
                <w:lang w:eastAsia="en-GB"/>
              </w:rPr>
            </w:pPr>
            <w:r w:rsidRPr="00DF23A9">
              <w:rPr>
                <w:rFonts w:ascii="Arial" w:eastAsia="Times New Roman" w:hAnsi="Arial" w:cs="Arial"/>
                <w:bCs/>
                <w:lang w:eastAsia="en-GB"/>
              </w:rPr>
              <w:t>1.5150</w:t>
            </w:r>
          </w:p>
        </w:tc>
        <w:tc>
          <w:tcPr>
            <w:tcW w:w="937" w:type="pct"/>
            <w:tcBorders>
              <w:left w:val="nil"/>
              <w:bottom w:val="nil"/>
              <w:right w:val="nil"/>
            </w:tcBorders>
            <w:shd w:val="clear" w:color="000000" w:fill="EDFFB7"/>
            <w:noWrap/>
            <w:vAlign w:val="center"/>
          </w:tcPr>
          <w:p w14:paraId="71E7F283" w14:textId="77777777" w:rsidR="0021298F" w:rsidRPr="00DF23A9" w:rsidRDefault="0021298F" w:rsidP="00760009">
            <w:pPr>
              <w:jc w:val="right"/>
              <w:rPr>
                <w:rFonts w:ascii="Arial" w:eastAsia="Times New Roman" w:hAnsi="Arial" w:cs="Arial"/>
                <w:b/>
                <w:bCs/>
                <w:lang w:eastAsia="en-GB"/>
              </w:rPr>
            </w:pPr>
            <w:r w:rsidRPr="00DF23A9">
              <w:rPr>
                <w:rFonts w:ascii="Arial" w:eastAsia="Times New Roman" w:hAnsi="Arial" w:cs="Arial"/>
                <w:b/>
                <w:bCs/>
                <w:lang w:eastAsia="en-GB"/>
              </w:rPr>
              <w:t>9,554</w:t>
            </w:r>
          </w:p>
        </w:tc>
      </w:tr>
      <w:tr w:rsidR="0021298F" w:rsidRPr="0032178B" w14:paraId="28269408" w14:textId="77777777" w:rsidTr="00760009">
        <w:trPr>
          <w:trHeight w:val="300"/>
        </w:trPr>
        <w:tc>
          <w:tcPr>
            <w:tcW w:w="2689" w:type="pct"/>
            <w:tcBorders>
              <w:top w:val="nil"/>
              <w:left w:val="nil"/>
              <w:bottom w:val="nil"/>
              <w:right w:val="nil"/>
            </w:tcBorders>
            <w:shd w:val="clear" w:color="000000" w:fill="FFFFFF"/>
            <w:vAlign w:val="center"/>
          </w:tcPr>
          <w:p w14:paraId="0526655D" w14:textId="77777777" w:rsidR="0021298F" w:rsidRPr="00A93797" w:rsidRDefault="0021298F" w:rsidP="00760009">
            <w:pPr>
              <w:jc w:val="both"/>
              <w:rPr>
                <w:rFonts w:ascii="Arial" w:eastAsia="Times New Roman" w:hAnsi="Arial" w:cs="Arial"/>
                <w:highlight w:val="cyan"/>
                <w:lang w:eastAsia="en-GB"/>
              </w:rPr>
            </w:pPr>
            <w:r w:rsidRPr="00AE47CC">
              <w:rPr>
                <w:rFonts w:ascii="Arial" w:hAnsi="Arial" w:cs="Arial"/>
                <w:color w:val="000000"/>
                <w:lang w:val="en-US"/>
              </w:rPr>
              <w:t>With respect to the quarter ended 30 June 2020</w:t>
            </w:r>
          </w:p>
        </w:tc>
        <w:tc>
          <w:tcPr>
            <w:tcW w:w="1374" w:type="pct"/>
            <w:tcBorders>
              <w:top w:val="nil"/>
              <w:left w:val="nil"/>
              <w:bottom w:val="nil"/>
              <w:right w:val="nil"/>
            </w:tcBorders>
            <w:shd w:val="clear" w:color="000000" w:fill="EDFFB7"/>
            <w:noWrap/>
            <w:vAlign w:val="center"/>
          </w:tcPr>
          <w:p w14:paraId="2D0B58AF" w14:textId="77777777" w:rsidR="0021298F" w:rsidRPr="00DF23A9" w:rsidRDefault="0021298F" w:rsidP="00760009">
            <w:pPr>
              <w:jc w:val="right"/>
              <w:rPr>
                <w:rFonts w:ascii="Arial" w:eastAsia="Times New Roman" w:hAnsi="Arial" w:cs="Arial"/>
                <w:bCs/>
                <w:lang w:eastAsia="en-GB"/>
              </w:rPr>
            </w:pPr>
            <w:r w:rsidRPr="00DF23A9">
              <w:rPr>
                <w:rFonts w:ascii="Arial" w:eastAsia="Times New Roman" w:hAnsi="Arial" w:cs="Arial"/>
                <w:bCs/>
                <w:lang w:eastAsia="en-GB"/>
              </w:rPr>
              <w:t>1.5150</w:t>
            </w:r>
          </w:p>
        </w:tc>
        <w:tc>
          <w:tcPr>
            <w:tcW w:w="937" w:type="pct"/>
            <w:tcBorders>
              <w:top w:val="nil"/>
              <w:left w:val="nil"/>
              <w:bottom w:val="nil"/>
              <w:right w:val="nil"/>
            </w:tcBorders>
            <w:shd w:val="clear" w:color="000000" w:fill="EDFFB7"/>
            <w:noWrap/>
            <w:vAlign w:val="center"/>
          </w:tcPr>
          <w:p w14:paraId="2755F862" w14:textId="77777777" w:rsidR="0021298F" w:rsidRPr="00DF23A9" w:rsidRDefault="0021298F" w:rsidP="00760009">
            <w:pPr>
              <w:jc w:val="right"/>
              <w:rPr>
                <w:rFonts w:ascii="Arial" w:eastAsia="Times New Roman" w:hAnsi="Arial" w:cs="Arial"/>
                <w:b/>
                <w:bCs/>
                <w:lang w:eastAsia="en-GB"/>
              </w:rPr>
            </w:pPr>
            <w:r w:rsidRPr="00DF23A9">
              <w:rPr>
                <w:rFonts w:ascii="Arial" w:eastAsia="Times New Roman" w:hAnsi="Arial" w:cs="Arial"/>
                <w:b/>
                <w:bCs/>
                <w:lang w:eastAsia="en-GB"/>
              </w:rPr>
              <w:t>9,554</w:t>
            </w:r>
          </w:p>
        </w:tc>
      </w:tr>
      <w:tr w:rsidR="0021298F" w:rsidRPr="0032178B" w14:paraId="4F01BBB8" w14:textId="77777777" w:rsidTr="00760009">
        <w:trPr>
          <w:trHeight w:val="300"/>
        </w:trPr>
        <w:tc>
          <w:tcPr>
            <w:tcW w:w="2689" w:type="pct"/>
            <w:tcBorders>
              <w:top w:val="nil"/>
              <w:left w:val="nil"/>
              <w:bottom w:val="nil"/>
              <w:right w:val="nil"/>
            </w:tcBorders>
            <w:shd w:val="clear" w:color="000000" w:fill="FFFFFF"/>
            <w:vAlign w:val="center"/>
          </w:tcPr>
          <w:p w14:paraId="6B09B4DF" w14:textId="77777777" w:rsidR="0021298F" w:rsidRPr="00A93797" w:rsidRDefault="0021298F" w:rsidP="00760009">
            <w:pPr>
              <w:jc w:val="both"/>
              <w:rPr>
                <w:rFonts w:ascii="Arial" w:eastAsia="Times New Roman" w:hAnsi="Arial" w:cs="Arial"/>
                <w:highlight w:val="cyan"/>
                <w:lang w:eastAsia="en-GB"/>
              </w:rPr>
            </w:pPr>
            <w:r w:rsidRPr="00AE47CC">
              <w:rPr>
                <w:rFonts w:ascii="Arial" w:hAnsi="Arial" w:cs="Arial"/>
                <w:color w:val="000000"/>
                <w:lang w:val="en-US"/>
              </w:rPr>
              <w:t>With respect to the quarter ended 30 September 2020</w:t>
            </w:r>
          </w:p>
        </w:tc>
        <w:tc>
          <w:tcPr>
            <w:tcW w:w="1374" w:type="pct"/>
            <w:tcBorders>
              <w:top w:val="nil"/>
              <w:left w:val="nil"/>
              <w:bottom w:val="nil"/>
              <w:right w:val="nil"/>
            </w:tcBorders>
            <w:shd w:val="clear" w:color="000000" w:fill="EDFFB7"/>
            <w:noWrap/>
            <w:vAlign w:val="center"/>
          </w:tcPr>
          <w:p w14:paraId="6E6CB12A" w14:textId="77777777" w:rsidR="0021298F" w:rsidRPr="00DF23A9" w:rsidRDefault="0021298F" w:rsidP="00760009">
            <w:pPr>
              <w:jc w:val="right"/>
              <w:rPr>
                <w:rFonts w:ascii="Arial" w:eastAsia="Times New Roman" w:hAnsi="Arial" w:cs="Arial"/>
                <w:bCs/>
                <w:lang w:eastAsia="en-GB"/>
              </w:rPr>
            </w:pPr>
            <w:r w:rsidRPr="00DF23A9">
              <w:rPr>
                <w:rFonts w:ascii="Arial" w:eastAsia="Times New Roman" w:hAnsi="Arial" w:cs="Arial"/>
                <w:bCs/>
                <w:lang w:eastAsia="en-GB"/>
              </w:rPr>
              <w:t>1.5150</w:t>
            </w:r>
          </w:p>
        </w:tc>
        <w:tc>
          <w:tcPr>
            <w:tcW w:w="937" w:type="pct"/>
            <w:tcBorders>
              <w:top w:val="nil"/>
              <w:left w:val="nil"/>
              <w:bottom w:val="nil"/>
              <w:right w:val="nil"/>
            </w:tcBorders>
            <w:shd w:val="clear" w:color="000000" w:fill="EDFFB7"/>
            <w:noWrap/>
            <w:vAlign w:val="center"/>
          </w:tcPr>
          <w:p w14:paraId="5AD596A9" w14:textId="77777777" w:rsidR="0021298F" w:rsidRPr="00DF23A9" w:rsidRDefault="0021298F" w:rsidP="00760009">
            <w:pPr>
              <w:jc w:val="right"/>
              <w:rPr>
                <w:rFonts w:ascii="Arial" w:eastAsia="Times New Roman" w:hAnsi="Arial" w:cs="Arial"/>
                <w:b/>
                <w:bCs/>
                <w:lang w:eastAsia="en-GB"/>
              </w:rPr>
            </w:pPr>
            <w:r w:rsidRPr="00DF23A9">
              <w:rPr>
                <w:rFonts w:ascii="Arial" w:eastAsia="Times New Roman" w:hAnsi="Arial" w:cs="Arial"/>
                <w:b/>
                <w:bCs/>
                <w:lang w:eastAsia="en-GB"/>
              </w:rPr>
              <w:t>9,554</w:t>
            </w:r>
          </w:p>
        </w:tc>
      </w:tr>
      <w:tr w:rsidR="0021298F" w:rsidRPr="00992D4D" w14:paraId="244F53DD" w14:textId="77777777" w:rsidTr="00760009">
        <w:trPr>
          <w:trHeight w:val="315"/>
        </w:trPr>
        <w:tc>
          <w:tcPr>
            <w:tcW w:w="2689" w:type="pct"/>
            <w:tcBorders>
              <w:top w:val="single" w:sz="4" w:space="0" w:color="auto"/>
              <w:left w:val="nil"/>
              <w:bottom w:val="single" w:sz="8" w:space="0" w:color="auto"/>
              <w:right w:val="nil"/>
            </w:tcBorders>
            <w:shd w:val="clear" w:color="000000" w:fill="FFFFFF"/>
            <w:vAlign w:val="center"/>
            <w:hideMark/>
          </w:tcPr>
          <w:p w14:paraId="108B5205" w14:textId="77777777" w:rsidR="0021298F" w:rsidRPr="008C49AF" w:rsidRDefault="0021298F" w:rsidP="00760009">
            <w:pPr>
              <w:jc w:val="both"/>
              <w:rPr>
                <w:rFonts w:ascii="Arial" w:eastAsia="Times New Roman" w:hAnsi="Arial" w:cs="Arial"/>
                <w:b/>
                <w:bCs/>
                <w:highlight w:val="cyan"/>
                <w:lang w:eastAsia="en-GB"/>
              </w:rPr>
            </w:pPr>
            <w:r w:rsidRPr="00012D93">
              <w:rPr>
                <w:rFonts w:ascii="Arial" w:eastAsia="Times New Roman" w:hAnsi="Arial" w:cs="Arial"/>
                <w:b/>
                <w:bCs/>
                <w:lang w:eastAsia="en-GB"/>
              </w:rPr>
              <w:t> </w:t>
            </w:r>
          </w:p>
        </w:tc>
        <w:tc>
          <w:tcPr>
            <w:tcW w:w="1374" w:type="pct"/>
            <w:tcBorders>
              <w:top w:val="single" w:sz="4" w:space="0" w:color="auto"/>
              <w:left w:val="nil"/>
              <w:bottom w:val="single" w:sz="8" w:space="0" w:color="auto"/>
              <w:right w:val="nil"/>
            </w:tcBorders>
            <w:shd w:val="clear" w:color="000000" w:fill="EDFFB7"/>
            <w:noWrap/>
            <w:vAlign w:val="center"/>
          </w:tcPr>
          <w:p w14:paraId="4BD64AEE" w14:textId="77777777" w:rsidR="0021298F" w:rsidRPr="00DF23A9" w:rsidRDefault="0021298F" w:rsidP="00760009">
            <w:pPr>
              <w:jc w:val="right"/>
              <w:rPr>
                <w:rFonts w:ascii="Arial" w:eastAsia="Times New Roman" w:hAnsi="Arial" w:cs="Arial"/>
                <w:b/>
                <w:bCs/>
                <w:lang w:eastAsia="en-GB"/>
              </w:rPr>
            </w:pPr>
            <w:r w:rsidRPr="00DF23A9">
              <w:rPr>
                <w:rFonts w:ascii="Arial" w:eastAsia="Times New Roman" w:hAnsi="Arial" w:cs="Arial"/>
                <w:b/>
                <w:bCs/>
                <w:lang w:eastAsia="en-GB"/>
              </w:rPr>
              <w:t>6.0525</w:t>
            </w:r>
          </w:p>
        </w:tc>
        <w:tc>
          <w:tcPr>
            <w:tcW w:w="937" w:type="pct"/>
            <w:tcBorders>
              <w:top w:val="single" w:sz="4" w:space="0" w:color="auto"/>
              <w:left w:val="nil"/>
              <w:bottom w:val="single" w:sz="8" w:space="0" w:color="auto"/>
              <w:right w:val="nil"/>
            </w:tcBorders>
            <w:shd w:val="clear" w:color="000000" w:fill="EDFFB7"/>
            <w:noWrap/>
            <w:vAlign w:val="center"/>
          </w:tcPr>
          <w:p w14:paraId="77056061" w14:textId="77777777" w:rsidR="0021298F" w:rsidRPr="00DF23A9" w:rsidRDefault="0021298F" w:rsidP="00760009">
            <w:pPr>
              <w:jc w:val="right"/>
              <w:rPr>
                <w:rFonts w:ascii="Arial" w:eastAsia="Times New Roman" w:hAnsi="Arial" w:cs="Arial"/>
                <w:b/>
                <w:bCs/>
                <w:lang w:eastAsia="en-GB"/>
              </w:rPr>
            </w:pPr>
            <w:r w:rsidRPr="00DF23A9">
              <w:rPr>
                <w:rFonts w:ascii="Arial" w:eastAsia="Times New Roman" w:hAnsi="Arial" w:cs="Arial"/>
                <w:b/>
                <w:bCs/>
                <w:lang w:eastAsia="en-GB"/>
              </w:rPr>
              <w:t>38,16</w:t>
            </w:r>
            <w:r>
              <w:rPr>
                <w:rFonts w:ascii="Arial" w:eastAsia="Times New Roman" w:hAnsi="Arial" w:cs="Arial"/>
                <w:b/>
                <w:bCs/>
                <w:lang w:eastAsia="en-GB"/>
              </w:rPr>
              <w:t>8</w:t>
            </w:r>
          </w:p>
        </w:tc>
      </w:tr>
    </w:tbl>
    <w:p w14:paraId="12510B0C" w14:textId="77777777" w:rsidR="0021298F" w:rsidRDefault="0021298F" w:rsidP="0021298F">
      <w:pPr>
        <w:jc w:val="both"/>
        <w:rPr>
          <w:rFonts w:ascii="Arial" w:hAnsi="Arial" w:cs="Arial"/>
          <w:b/>
          <w:sz w:val="26"/>
          <w:szCs w:val="26"/>
        </w:rPr>
      </w:pPr>
    </w:p>
    <w:tbl>
      <w:tblPr>
        <w:tblW w:w="5000" w:type="pct"/>
        <w:tblLook w:val="04A0" w:firstRow="1" w:lastRow="0" w:firstColumn="1" w:lastColumn="0" w:noHBand="0" w:noVBand="1"/>
      </w:tblPr>
      <w:tblGrid>
        <w:gridCol w:w="4952"/>
        <w:gridCol w:w="2383"/>
        <w:gridCol w:w="1691"/>
      </w:tblGrid>
      <w:tr w:rsidR="0021298F" w14:paraId="0AB5F3FC" w14:textId="77777777" w:rsidTr="00760009">
        <w:trPr>
          <w:trHeight w:val="300"/>
        </w:trPr>
        <w:tc>
          <w:tcPr>
            <w:tcW w:w="2743" w:type="pct"/>
            <w:tcBorders>
              <w:left w:val="nil"/>
              <w:bottom w:val="single" w:sz="4" w:space="0" w:color="auto"/>
              <w:right w:val="nil"/>
            </w:tcBorders>
            <w:shd w:val="clear" w:color="auto" w:fill="auto"/>
            <w:vAlign w:val="center"/>
          </w:tcPr>
          <w:p w14:paraId="4A2182F5" w14:textId="77777777" w:rsidR="0021298F" w:rsidRPr="00E775B8" w:rsidRDefault="0021298F" w:rsidP="00760009">
            <w:pPr>
              <w:jc w:val="both"/>
              <w:rPr>
                <w:rFonts w:ascii="Arial" w:eastAsia="Times New Roman" w:hAnsi="Arial" w:cs="Arial"/>
                <w:b/>
                <w:lang w:eastAsia="en-GB"/>
              </w:rPr>
            </w:pPr>
            <w:r w:rsidRPr="00E775B8">
              <w:rPr>
                <w:rFonts w:ascii="Arial" w:eastAsia="Times New Roman" w:hAnsi="Arial" w:cs="Arial"/>
                <w:b/>
                <w:lang w:eastAsia="en-GB"/>
              </w:rPr>
              <w:t xml:space="preserve">Interim dividends declared after </w:t>
            </w:r>
            <w:r>
              <w:rPr>
                <w:rFonts w:ascii="Arial" w:eastAsia="Times New Roman" w:hAnsi="Arial" w:cs="Arial"/>
                <w:b/>
                <w:lang w:eastAsia="en-GB"/>
              </w:rPr>
              <w:t>31 December 2020</w:t>
            </w:r>
            <w:r w:rsidRPr="00E775B8">
              <w:rPr>
                <w:rFonts w:ascii="Arial" w:eastAsia="Times New Roman" w:hAnsi="Arial" w:cs="Arial"/>
                <w:b/>
                <w:lang w:eastAsia="en-GB"/>
              </w:rPr>
              <w:t xml:space="preserve"> and not accrued in the year</w:t>
            </w:r>
          </w:p>
        </w:tc>
        <w:tc>
          <w:tcPr>
            <w:tcW w:w="1320" w:type="pct"/>
            <w:tcBorders>
              <w:left w:val="nil"/>
              <w:bottom w:val="single" w:sz="4" w:space="0" w:color="auto"/>
              <w:right w:val="nil"/>
            </w:tcBorders>
            <w:shd w:val="clear" w:color="auto" w:fill="auto"/>
            <w:noWrap/>
            <w:vAlign w:val="center"/>
          </w:tcPr>
          <w:p w14:paraId="02A9C24E" w14:textId="77777777" w:rsidR="0021298F" w:rsidRDefault="0021298F" w:rsidP="00760009">
            <w:pPr>
              <w:jc w:val="right"/>
              <w:rPr>
                <w:rFonts w:ascii="Arial" w:eastAsia="Times New Roman" w:hAnsi="Arial" w:cs="Arial"/>
                <w:b/>
                <w:bCs/>
                <w:lang w:eastAsia="en-GB"/>
              </w:rPr>
            </w:pPr>
            <w:r w:rsidRPr="00A009D6">
              <w:rPr>
                <w:rFonts w:ascii="Arial" w:eastAsia="Times New Roman" w:hAnsi="Arial" w:cs="Arial"/>
                <w:b/>
                <w:bCs/>
                <w:lang w:eastAsia="en-GB"/>
              </w:rPr>
              <w:t xml:space="preserve">Dividend per </w:t>
            </w:r>
          </w:p>
          <w:p w14:paraId="458FE0E2" w14:textId="77777777" w:rsidR="0021298F" w:rsidRDefault="0021298F" w:rsidP="00760009">
            <w:pPr>
              <w:jc w:val="right"/>
              <w:rPr>
                <w:rFonts w:ascii="Arial" w:eastAsia="Times New Roman" w:hAnsi="Arial" w:cs="Arial"/>
                <w:b/>
                <w:bCs/>
                <w:lang w:eastAsia="en-GB"/>
              </w:rPr>
            </w:pPr>
            <w:r w:rsidRPr="00BB7315">
              <w:rPr>
                <w:rFonts w:ascii="Arial" w:eastAsia="Times New Roman" w:hAnsi="Arial" w:cs="Arial"/>
                <w:b/>
                <w:bCs/>
                <w:lang w:eastAsia="en-GB"/>
              </w:rPr>
              <w:t>S</w:t>
            </w:r>
            <w:r w:rsidRPr="00A009D6">
              <w:rPr>
                <w:rFonts w:ascii="Arial" w:eastAsia="Times New Roman" w:hAnsi="Arial" w:cs="Arial"/>
                <w:b/>
                <w:bCs/>
                <w:lang w:eastAsia="en-GB"/>
              </w:rPr>
              <w:t>hare</w:t>
            </w:r>
            <w:r>
              <w:rPr>
                <w:rFonts w:ascii="Arial" w:eastAsia="Times New Roman" w:hAnsi="Arial" w:cs="Arial"/>
                <w:b/>
                <w:bCs/>
                <w:lang w:eastAsia="en-GB"/>
              </w:rPr>
              <w:t xml:space="preserve"> </w:t>
            </w:r>
          </w:p>
          <w:p w14:paraId="3BB320EF" w14:textId="77777777" w:rsidR="0021298F" w:rsidRPr="00A009D6" w:rsidRDefault="0021298F" w:rsidP="00760009">
            <w:pPr>
              <w:jc w:val="right"/>
              <w:rPr>
                <w:rFonts w:ascii="Arial" w:eastAsia="Times New Roman" w:hAnsi="Arial" w:cs="Arial"/>
                <w:b/>
                <w:bCs/>
                <w:lang w:eastAsia="en-GB"/>
              </w:rPr>
            </w:pPr>
            <w:r w:rsidRPr="00A009D6">
              <w:rPr>
                <w:rFonts w:ascii="Arial" w:eastAsia="Times New Roman" w:hAnsi="Arial" w:cs="Arial"/>
                <w:b/>
                <w:bCs/>
                <w:lang w:eastAsia="en-GB"/>
              </w:rPr>
              <w:t>cent</w:t>
            </w:r>
          </w:p>
        </w:tc>
        <w:tc>
          <w:tcPr>
            <w:tcW w:w="937" w:type="pct"/>
            <w:tcBorders>
              <w:left w:val="nil"/>
              <w:bottom w:val="single" w:sz="4" w:space="0" w:color="auto"/>
              <w:right w:val="nil"/>
            </w:tcBorders>
            <w:shd w:val="clear" w:color="auto" w:fill="auto"/>
            <w:noWrap/>
            <w:vAlign w:val="center"/>
          </w:tcPr>
          <w:p w14:paraId="620351B4" w14:textId="77777777" w:rsidR="0021298F" w:rsidRDefault="0021298F" w:rsidP="00760009">
            <w:pPr>
              <w:jc w:val="right"/>
              <w:rPr>
                <w:rFonts w:ascii="Arial" w:eastAsia="Times New Roman" w:hAnsi="Arial" w:cs="Arial"/>
                <w:b/>
                <w:bCs/>
                <w:lang w:eastAsia="en-GB"/>
              </w:rPr>
            </w:pPr>
            <w:r>
              <w:rPr>
                <w:rFonts w:ascii="Arial" w:eastAsia="Times New Roman" w:hAnsi="Arial" w:cs="Arial"/>
                <w:b/>
                <w:bCs/>
                <w:lang w:eastAsia="en-GB"/>
              </w:rPr>
              <w:t xml:space="preserve">Total </w:t>
            </w:r>
          </w:p>
          <w:p w14:paraId="34626146" w14:textId="77777777" w:rsidR="0021298F" w:rsidRDefault="0021298F" w:rsidP="00760009">
            <w:pPr>
              <w:jc w:val="right"/>
              <w:rPr>
                <w:rFonts w:ascii="Arial" w:eastAsia="Times New Roman" w:hAnsi="Arial" w:cs="Arial"/>
                <w:b/>
                <w:bCs/>
                <w:lang w:eastAsia="en-GB"/>
              </w:rPr>
            </w:pPr>
            <w:r>
              <w:rPr>
                <w:rFonts w:ascii="Arial" w:eastAsia="Times New Roman" w:hAnsi="Arial" w:cs="Arial"/>
                <w:b/>
                <w:bCs/>
                <w:lang w:eastAsia="en-GB"/>
              </w:rPr>
              <w:t>Dividend</w:t>
            </w:r>
          </w:p>
          <w:p w14:paraId="3D3A9013" w14:textId="77777777" w:rsidR="0021298F" w:rsidRDefault="0021298F" w:rsidP="00760009">
            <w:pPr>
              <w:jc w:val="right"/>
              <w:rPr>
                <w:rFonts w:ascii="Arial" w:eastAsia="Times New Roman" w:hAnsi="Arial" w:cs="Arial"/>
                <w:b/>
                <w:bCs/>
                <w:lang w:eastAsia="en-GB"/>
              </w:rPr>
            </w:pPr>
            <w:r>
              <w:rPr>
                <w:rFonts w:ascii="Arial" w:eastAsia="Times New Roman" w:hAnsi="Arial" w:cs="Arial"/>
                <w:b/>
                <w:bCs/>
                <w:lang w:eastAsia="en-GB"/>
              </w:rPr>
              <w:t>€’000</w:t>
            </w:r>
          </w:p>
        </w:tc>
      </w:tr>
      <w:tr w:rsidR="0021298F" w:rsidRPr="00534D72" w14:paraId="4FE6CBEE" w14:textId="77777777" w:rsidTr="00760009">
        <w:trPr>
          <w:trHeight w:val="300"/>
        </w:trPr>
        <w:tc>
          <w:tcPr>
            <w:tcW w:w="2743" w:type="pct"/>
            <w:tcBorders>
              <w:top w:val="nil"/>
              <w:left w:val="nil"/>
              <w:bottom w:val="single" w:sz="4" w:space="0" w:color="auto"/>
              <w:right w:val="nil"/>
            </w:tcBorders>
            <w:shd w:val="clear" w:color="000000" w:fill="FFFFFF"/>
            <w:vAlign w:val="center"/>
          </w:tcPr>
          <w:p w14:paraId="015DBE2D" w14:textId="77777777" w:rsidR="0021298F" w:rsidRPr="00534D72" w:rsidRDefault="0021298F" w:rsidP="00760009">
            <w:pPr>
              <w:jc w:val="both"/>
              <w:rPr>
                <w:rFonts w:ascii="Arial" w:eastAsia="Times New Roman" w:hAnsi="Arial" w:cs="Arial"/>
                <w:lang w:eastAsia="en-GB"/>
              </w:rPr>
            </w:pPr>
            <w:r w:rsidRPr="00534D72">
              <w:rPr>
                <w:rFonts w:ascii="Arial" w:eastAsia="Times New Roman" w:hAnsi="Arial" w:cs="Arial"/>
                <w:lang w:eastAsia="en-GB"/>
              </w:rPr>
              <w:t xml:space="preserve">With respect to the quarter ended </w:t>
            </w:r>
            <w:r>
              <w:rPr>
                <w:rFonts w:ascii="Arial" w:eastAsia="Times New Roman" w:hAnsi="Arial" w:cs="Arial"/>
                <w:lang w:eastAsia="en-GB"/>
              </w:rPr>
              <w:t>31 December 2020</w:t>
            </w:r>
          </w:p>
        </w:tc>
        <w:tc>
          <w:tcPr>
            <w:tcW w:w="1320" w:type="pct"/>
            <w:tcBorders>
              <w:top w:val="nil"/>
              <w:left w:val="nil"/>
              <w:bottom w:val="single" w:sz="4" w:space="0" w:color="auto"/>
              <w:right w:val="nil"/>
            </w:tcBorders>
            <w:shd w:val="clear" w:color="000000" w:fill="EDFFB7"/>
            <w:noWrap/>
            <w:vAlign w:val="center"/>
          </w:tcPr>
          <w:p w14:paraId="04557D99" w14:textId="77777777" w:rsidR="0021298F" w:rsidRPr="00534D72" w:rsidRDefault="0021298F" w:rsidP="00760009">
            <w:pPr>
              <w:jc w:val="right"/>
              <w:rPr>
                <w:rFonts w:ascii="Arial" w:eastAsia="Times New Roman" w:hAnsi="Arial" w:cs="Arial"/>
                <w:bCs/>
                <w:lang w:eastAsia="en-GB"/>
              </w:rPr>
            </w:pPr>
            <w:r w:rsidRPr="00D94CB1">
              <w:rPr>
                <w:rFonts w:ascii="Arial" w:eastAsia="Times New Roman" w:hAnsi="Arial" w:cs="Arial"/>
                <w:bCs/>
                <w:lang w:eastAsia="en-GB"/>
              </w:rPr>
              <w:t>1.5150</w:t>
            </w:r>
          </w:p>
        </w:tc>
        <w:tc>
          <w:tcPr>
            <w:tcW w:w="937" w:type="pct"/>
            <w:tcBorders>
              <w:top w:val="nil"/>
              <w:left w:val="nil"/>
              <w:bottom w:val="single" w:sz="4" w:space="0" w:color="auto"/>
              <w:right w:val="nil"/>
            </w:tcBorders>
            <w:shd w:val="clear" w:color="000000" w:fill="EDFFB7"/>
            <w:noWrap/>
            <w:vAlign w:val="center"/>
          </w:tcPr>
          <w:p w14:paraId="5EC0015E" w14:textId="77777777" w:rsidR="0021298F" w:rsidRDefault="0021298F" w:rsidP="00760009">
            <w:pPr>
              <w:jc w:val="right"/>
              <w:rPr>
                <w:rFonts w:ascii="Arial" w:eastAsia="Times New Roman" w:hAnsi="Arial" w:cs="Arial"/>
                <w:bCs/>
                <w:lang w:eastAsia="en-GB"/>
              </w:rPr>
            </w:pPr>
          </w:p>
          <w:p w14:paraId="07014DA0" w14:textId="77777777" w:rsidR="0021298F" w:rsidRPr="00B92891" w:rsidRDefault="0021298F" w:rsidP="00760009">
            <w:pPr>
              <w:jc w:val="right"/>
              <w:rPr>
                <w:rFonts w:ascii="Arial" w:eastAsia="Times New Roman" w:hAnsi="Arial" w:cs="Arial"/>
                <w:bCs/>
                <w:lang w:eastAsia="en-GB"/>
              </w:rPr>
            </w:pPr>
            <w:r w:rsidRPr="00B92891">
              <w:rPr>
                <w:rFonts w:ascii="Arial" w:eastAsia="Times New Roman" w:hAnsi="Arial" w:cs="Arial"/>
                <w:bCs/>
                <w:lang w:eastAsia="en-GB"/>
              </w:rPr>
              <w:t>11,2</w:t>
            </w:r>
            <w:r>
              <w:rPr>
                <w:rFonts w:ascii="Arial" w:eastAsia="Times New Roman" w:hAnsi="Arial" w:cs="Arial"/>
                <w:bCs/>
                <w:lang w:eastAsia="en-GB"/>
              </w:rPr>
              <w:t>30</w:t>
            </w:r>
          </w:p>
          <w:p w14:paraId="580B9883" w14:textId="77777777" w:rsidR="0021298F" w:rsidRPr="001E34C8" w:rsidRDefault="0021298F" w:rsidP="00760009">
            <w:pPr>
              <w:jc w:val="right"/>
              <w:rPr>
                <w:rFonts w:ascii="Arial" w:eastAsia="Times New Roman" w:hAnsi="Arial" w:cs="Arial"/>
                <w:bCs/>
                <w:lang w:eastAsia="en-GB"/>
              </w:rPr>
            </w:pPr>
          </w:p>
        </w:tc>
      </w:tr>
      <w:tr w:rsidR="0021298F" w:rsidRPr="00534D72" w14:paraId="1A11272B" w14:textId="77777777" w:rsidTr="00760009">
        <w:trPr>
          <w:trHeight w:val="315"/>
        </w:trPr>
        <w:tc>
          <w:tcPr>
            <w:tcW w:w="2743" w:type="pct"/>
            <w:tcBorders>
              <w:top w:val="single" w:sz="4" w:space="0" w:color="auto"/>
              <w:left w:val="nil"/>
              <w:bottom w:val="single" w:sz="8" w:space="0" w:color="auto"/>
              <w:right w:val="nil"/>
            </w:tcBorders>
            <w:shd w:val="clear" w:color="000000" w:fill="FFFFFF"/>
            <w:vAlign w:val="center"/>
            <w:hideMark/>
          </w:tcPr>
          <w:p w14:paraId="642A4A57" w14:textId="77777777" w:rsidR="0021298F" w:rsidRPr="00534D72" w:rsidRDefault="0021298F" w:rsidP="00760009">
            <w:pPr>
              <w:jc w:val="both"/>
              <w:rPr>
                <w:rFonts w:ascii="Arial" w:eastAsia="Times New Roman" w:hAnsi="Arial" w:cs="Arial"/>
                <w:b/>
                <w:bCs/>
                <w:lang w:eastAsia="en-GB"/>
              </w:rPr>
            </w:pPr>
            <w:r w:rsidRPr="00534D72">
              <w:rPr>
                <w:rFonts w:ascii="Arial" w:eastAsia="Times New Roman" w:hAnsi="Arial" w:cs="Arial"/>
                <w:b/>
                <w:bCs/>
                <w:lang w:eastAsia="en-GB"/>
              </w:rPr>
              <w:t> </w:t>
            </w:r>
          </w:p>
        </w:tc>
        <w:tc>
          <w:tcPr>
            <w:tcW w:w="1320" w:type="pct"/>
            <w:tcBorders>
              <w:top w:val="single" w:sz="4" w:space="0" w:color="auto"/>
              <w:left w:val="nil"/>
              <w:bottom w:val="single" w:sz="8" w:space="0" w:color="auto"/>
              <w:right w:val="nil"/>
            </w:tcBorders>
            <w:shd w:val="clear" w:color="000000" w:fill="EDFFB7"/>
            <w:noWrap/>
            <w:vAlign w:val="center"/>
          </w:tcPr>
          <w:p w14:paraId="4572E67D" w14:textId="77777777" w:rsidR="0021298F" w:rsidRPr="00534D72" w:rsidRDefault="0021298F" w:rsidP="00760009">
            <w:pPr>
              <w:jc w:val="right"/>
              <w:rPr>
                <w:rFonts w:ascii="Arial" w:eastAsia="Times New Roman" w:hAnsi="Arial" w:cs="Arial"/>
                <w:b/>
                <w:bCs/>
                <w:lang w:eastAsia="en-GB"/>
              </w:rPr>
            </w:pPr>
            <w:r w:rsidRPr="00534D72">
              <w:rPr>
                <w:rFonts w:ascii="Arial" w:eastAsia="Times New Roman" w:hAnsi="Arial" w:cs="Arial"/>
                <w:b/>
                <w:bCs/>
                <w:lang w:eastAsia="en-GB"/>
              </w:rPr>
              <w:t>1.5</w:t>
            </w:r>
            <w:r>
              <w:rPr>
                <w:rFonts w:ascii="Arial" w:eastAsia="Times New Roman" w:hAnsi="Arial" w:cs="Arial"/>
                <w:b/>
                <w:bCs/>
                <w:lang w:eastAsia="en-GB"/>
              </w:rPr>
              <w:t>150</w:t>
            </w:r>
          </w:p>
        </w:tc>
        <w:tc>
          <w:tcPr>
            <w:tcW w:w="937" w:type="pct"/>
            <w:tcBorders>
              <w:top w:val="single" w:sz="4" w:space="0" w:color="auto"/>
              <w:left w:val="nil"/>
              <w:bottom w:val="single" w:sz="8" w:space="0" w:color="auto"/>
              <w:right w:val="nil"/>
            </w:tcBorders>
            <w:shd w:val="clear" w:color="000000" w:fill="EDFFB7"/>
            <w:noWrap/>
            <w:vAlign w:val="center"/>
          </w:tcPr>
          <w:p w14:paraId="64011F0D" w14:textId="77777777" w:rsidR="0021298F" w:rsidRPr="00534D72" w:rsidRDefault="0021298F" w:rsidP="00760009">
            <w:pPr>
              <w:jc w:val="right"/>
              <w:rPr>
                <w:rFonts w:ascii="Arial" w:eastAsia="Times New Roman" w:hAnsi="Arial" w:cs="Arial"/>
                <w:b/>
                <w:bCs/>
                <w:lang w:eastAsia="en-GB"/>
              </w:rPr>
            </w:pPr>
            <w:r>
              <w:rPr>
                <w:rFonts w:ascii="Arial" w:eastAsia="Times New Roman" w:hAnsi="Arial" w:cs="Arial"/>
                <w:b/>
                <w:bCs/>
                <w:lang w:eastAsia="en-GB"/>
              </w:rPr>
              <w:t>11,230</w:t>
            </w:r>
          </w:p>
        </w:tc>
      </w:tr>
    </w:tbl>
    <w:p w14:paraId="1F185040" w14:textId="77777777" w:rsidR="0021298F" w:rsidRDefault="0021298F" w:rsidP="0021298F">
      <w:pPr>
        <w:jc w:val="both"/>
        <w:rPr>
          <w:rFonts w:ascii="Arial" w:hAnsi="Arial" w:cs="Arial"/>
          <w:b/>
          <w:sz w:val="26"/>
          <w:szCs w:val="26"/>
        </w:rPr>
      </w:pPr>
    </w:p>
    <w:p w14:paraId="02CB6080" w14:textId="77777777" w:rsidR="0021298F" w:rsidRDefault="0021298F" w:rsidP="0021298F">
      <w:pPr>
        <w:jc w:val="both"/>
        <w:rPr>
          <w:rFonts w:ascii="Arial" w:hAnsi="Arial" w:cs="Arial"/>
          <w:b/>
          <w:sz w:val="26"/>
          <w:szCs w:val="26"/>
        </w:rPr>
      </w:pPr>
      <w:r w:rsidRPr="00A8680E">
        <w:rPr>
          <w:rFonts w:ascii="Arial" w:eastAsia="Times New Roman" w:hAnsi="Arial" w:cs="Arial"/>
        </w:rPr>
        <w:t xml:space="preserve">On </w:t>
      </w:r>
      <w:r>
        <w:rPr>
          <w:rFonts w:ascii="Arial" w:eastAsia="Times New Roman" w:hAnsi="Arial" w:cs="Arial"/>
        </w:rPr>
        <w:t>28</w:t>
      </w:r>
      <w:r w:rsidRPr="00A8680E">
        <w:rPr>
          <w:rFonts w:ascii="Arial" w:eastAsia="Times New Roman" w:hAnsi="Arial" w:cs="Arial"/>
        </w:rPr>
        <w:t xml:space="preserve"> January 202</w:t>
      </w:r>
      <w:r>
        <w:rPr>
          <w:rFonts w:ascii="Arial" w:eastAsia="Times New Roman" w:hAnsi="Arial" w:cs="Arial"/>
        </w:rPr>
        <w:t>1</w:t>
      </w:r>
      <w:r w:rsidRPr="00A8680E">
        <w:rPr>
          <w:rFonts w:ascii="Arial" w:eastAsia="Times New Roman" w:hAnsi="Arial" w:cs="Arial"/>
        </w:rPr>
        <w:t>, the Company announced a dividend of 1.5</w:t>
      </w:r>
      <w:r>
        <w:rPr>
          <w:rFonts w:ascii="Arial" w:eastAsia="Times New Roman" w:hAnsi="Arial" w:cs="Arial"/>
        </w:rPr>
        <w:t>150</w:t>
      </w:r>
      <w:r w:rsidRPr="00A8680E">
        <w:rPr>
          <w:rFonts w:ascii="Arial" w:eastAsia="Times New Roman" w:hAnsi="Arial" w:cs="Arial"/>
        </w:rPr>
        <w:t xml:space="preserve"> cent per share with respect to the quarter ended </w:t>
      </w:r>
      <w:r>
        <w:rPr>
          <w:rFonts w:ascii="Arial" w:eastAsia="Times New Roman" w:hAnsi="Arial" w:cs="Arial"/>
        </w:rPr>
        <w:t>31 December 2020</w:t>
      </w:r>
      <w:r w:rsidRPr="00A8680E">
        <w:rPr>
          <w:rFonts w:ascii="Arial" w:eastAsia="Times New Roman" w:hAnsi="Arial" w:cs="Arial"/>
        </w:rPr>
        <w:t xml:space="preserve">, bringing the total dividend declared with respect to the year to </w:t>
      </w:r>
      <w:r>
        <w:rPr>
          <w:rFonts w:ascii="Arial" w:eastAsia="Times New Roman" w:hAnsi="Arial" w:cs="Arial"/>
        </w:rPr>
        <w:t>31 December 2020</w:t>
      </w:r>
      <w:r w:rsidRPr="00A8680E">
        <w:rPr>
          <w:rFonts w:ascii="Arial" w:eastAsia="Times New Roman" w:hAnsi="Arial" w:cs="Arial"/>
        </w:rPr>
        <w:t xml:space="preserve"> to 6.0</w:t>
      </w:r>
      <w:r>
        <w:rPr>
          <w:rFonts w:ascii="Arial" w:eastAsia="Times New Roman" w:hAnsi="Arial" w:cs="Arial"/>
        </w:rPr>
        <w:t>6</w:t>
      </w:r>
      <w:r w:rsidRPr="00A8680E">
        <w:rPr>
          <w:rFonts w:ascii="Arial" w:eastAsia="Times New Roman" w:hAnsi="Arial" w:cs="Arial"/>
        </w:rPr>
        <w:t xml:space="preserve"> cent per share. The record date for the dividend was </w:t>
      </w:r>
      <w:r w:rsidRPr="00AE47CC">
        <w:rPr>
          <w:rFonts w:ascii="Arial" w:eastAsia="Times New Roman" w:hAnsi="Arial" w:cs="Arial"/>
        </w:rPr>
        <w:t>5</w:t>
      </w:r>
      <w:r w:rsidRPr="00A8680E">
        <w:rPr>
          <w:rFonts w:ascii="Arial" w:eastAsia="Times New Roman" w:hAnsi="Arial" w:cs="Arial"/>
        </w:rPr>
        <w:t xml:space="preserve"> February 202</w:t>
      </w:r>
      <w:r>
        <w:rPr>
          <w:rFonts w:ascii="Arial" w:eastAsia="Times New Roman" w:hAnsi="Arial" w:cs="Arial"/>
        </w:rPr>
        <w:t>1</w:t>
      </w:r>
      <w:r w:rsidRPr="00A8680E">
        <w:rPr>
          <w:rFonts w:ascii="Arial" w:eastAsia="Times New Roman" w:hAnsi="Arial" w:cs="Arial"/>
        </w:rPr>
        <w:t xml:space="preserve"> and the payment date was </w:t>
      </w:r>
      <w:r>
        <w:rPr>
          <w:rFonts w:ascii="Arial" w:eastAsia="Times New Roman" w:hAnsi="Arial" w:cs="Arial"/>
        </w:rPr>
        <w:t>26</w:t>
      </w:r>
      <w:r w:rsidRPr="00A8680E">
        <w:rPr>
          <w:rFonts w:ascii="Arial" w:eastAsia="Times New Roman" w:hAnsi="Arial" w:cs="Arial"/>
        </w:rPr>
        <w:t xml:space="preserve"> February 202</w:t>
      </w:r>
      <w:r>
        <w:rPr>
          <w:rFonts w:ascii="Arial" w:eastAsia="Times New Roman" w:hAnsi="Arial" w:cs="Arial"/>
        </w:rPr>
        <w:t>1</w:t>
      </w:r>
      <w:r w:rsidRPr="00A8680E">
        <w:rPr>
          <w:rFonts w:ascii="Arial" w:eastAsia="Times New Roman" w:hAnsi="Arial" w:cs="Arial"/>
        </w:rPr>
        <w:t>.</w:t>
      </w:r>
    </w:p>
    <w:p w14:paraId="4F41B949" w14:textId="77777777" w:rsidR="0021298F" w:rsidRDefault="0021298F" w:rsidP="0021298F">
      <w:pPr>
        <w:rPr>
          <w:rFonts w:ascii="Arial" w:eastAsia="Times New Roman" w:hAnsi="Arial" w:cs="Arial"/>
        </w:rPr>
      </w:pPr>
    </w:p>
    <w:p w14:paraId="276DF480" w14:textId="77777777" w:rsidR="0021298F" w:rsidRDefault="0021298F" w:rsidP="0021298F">
      <w:pPr>
        <w:jc w:val="both"/>
        <w:rPr>
          <w:rFonts w:ascii="Arial" w:eastAsia="Times New Roman" w:hAnsi="Arial" w:cs="Arial"/>
        </w:rPr>
      </w:pPr>
      <w:r w:rsidRPr="00496540">
        <w:rPr>
          <w:rFonts w:ascii="Arial" w:eastAsia="Times New Roman" w:hAnsi="Arial" w:cs="Arial"/>
        </w:rPr>
        <w:t>The following table shows dividends paid in the prior year.</w:t>
      </w:r>
    </w:p>
    <w:tbl>
      <w:tblPr>
        <w:tblW w:w="5000" w:type="pct"/>
        <w:tblLook w:val="04A0" w:firstRow="1" w:lastRow="0" w:firstColumn="1" w:lastColumn="0" w:noHBand="0" w:noVBand="1"/>
      </w:tblPr>
      <w:tblGrid>
        <w:gridCol w:w="4855"/>
        <w:gridCol w:w="2480"/>
        <w:gridCol w:w="1691"/>
      </w:tblGrid>
      <w:tr w:rsidR="0021298F" w14:paraId="2BD84B12" w14:textId="77777777" w:rsidTr="00760009">
        <w:trPr>
          <w:trHeight w:val="300"/>
        </w:trPr>
        <w:tc>
          <w:tcPr>
            <w:tcW w:w="2689" w:type="pct"/>
            <w:tcBorders>
              <w:left w:val="nil"/>
              <w:bottom w:val="single" w:sz="4" w:space="0" w:color="auto"/>
              <w:right w:val="nil"/>
            </w:tcBorders>
            <w:shd w:val="clear" w:color="auto" w:fill="auto"/>
            <w:vAlign w:val="center"/>
          </w:tcPr>
          <w:p w14:paraId="404987D9" w14:textId="77777777" w:rsidR="0021298F" w:rsidRPr="00E775B8" w:rsidRDefault="0021298F" w:rsidP="00760009">
            <w:pPr>
              <w:jc w:val="both"/>
              <w:rPr>
                <w:rFonts w:ascii="Arial" w:eastAsia="Times New Roman" w:hAnsi="Arial" w:cs="Arial"/>
                <w:b/>
                <w:lang w:eastAsia="en-GB"/>
              </w:rPr>
            </w:pPr>
            <w:r w:rsidRPr="00E775B8">
              <w:rPr>
                <w:rFonts w:ascii="Arial" w:eastAsia="Times New Roman" w:hAnsi="Arial" w:cs="Arial"/>
                <w:b/>
                <w:lang w:eastAsia="en-GB"/>
              </w:rPr>
              <w:t xml:space="preserve">Interim dividends paid during the year ended </w:t>
            </w:r>
            <w:r>
              <w:rPr>
                <w:rFonts w:ascii="Arial" w:eastAsia="Times New Roman" w:hAnsi="Arial" w:cs="Arial"/>
                <w:b/>
                <w:lang w:eastAsia="en-GB"/>
              </w:rPr>
              <w:t>31 December 2019</w:t>
            </w:r>
          </w:p>
        </w:tc>
        <w:tc>
          <w:tcPr>
            <w:tcW w:w="1374" w:type="pct"/>
            <w:tcBorders>
              <w:left w:val="nil"/>
              <w:bottom w:val="single" w:sz="4" w:space="0" w:color="auto"/>
              <w:right w:val="nil"/>
            </w:tcBorders>
            <w:shd w:val="clear" w:color="auto" w:fill="auto"/>
            <w:noWrap/>
            <w:vAlign w:val="center"/>
          </w:tcPr>
          <w:p w14:paraId="5FED7642" w14:textId="77777777" w:rsidR="0021298F" w:rsidRDefault="0021298F" w:rsidP="00760009">
            <w:pPr>
              <w:jc w:val="right"/>
              <w:rPr>
                <w:rFonts w:ascii="Arial" w:eastAsia="Times New Roman" w:hAnsi="Arial" w:cs="Arial"/>
                <w:b/>
                <w:bCs/>
                <w:lang w:eastAsia="en-GB"/>
              </w:rPr>
            </w:pPr>
            <w:r w:rsidRPr="005766EB">
              <w:rPr>
                <w:rFonts w:ascii="Arial" w:eastAsia="Times New Roman" w:hAnsi="Arial" w:cs="Arial"/>
                <w:b/>
                <w:bCs/>
                <w:lang w:eastAsia="en-GB"/>
              </w:rPr>
              <w:t xml:space="preserve">Dividend per </w:t>
            </w:r>
          </w:p>
          <w:p w14:paraId="33DEA76E" w14:textId="77777777" w:rsidR="0021298F" w:rsidRDefault="0021298F" w:rsidP="00760009">
            <w:pPr>
              <w:jc w:val="right"/>
              <w:rPr>
                <w:rFonts w:ascii="Arial" w:eastAsia="Times New Roman" w:hAnsi="Arial" w:cs="Arial"/>
                <w:b/>
                <w:bCs/>
                <w:lang w:eastAsia="en-GB"/>
              </w:rPr>
            </w:pPr>
            <w:r w:rsidRPr="00BB7315">
              <w:rPr>
                <w:rFonts w:ascii="Arial" w:eastAsia="Times New Roman" w:hAnsi="Arial" w:cs="Arial"/>
                <w:b/>
                <w:bCs/>
                <w:lang w:eastAsia="en-GB"/>
              </w:rPr>
              <w:t>S</w:t>
            </w:r>
            <w:r w:rsidRPr="005766EB">
              <w:rPr>
                <w:rFonts w:ascii="Arial" w:eastAsia="Times New Roman" w:hAnsi="Arial" w:cs="Arial"/>
                <w:b/>
                <w:bCs/>
                <w:lang w:eastAsia="en-GB"/>
              </w:rPr>
              <w:t>hare</w:t>
            </w:r>
            <w:r>
              <w:rPr>
                <w:rFonts w:ascii="Arial" w:eastAsia="Times New Roman" w:hAnsi="Arial" w:cs="Arial"/>
                <w:b/>
                <w:bCs/>
                <w:lang w:eastAsia="en-GB"/>
              </w:rPr>
              <w:t xml:space="preserve"> </w:t>
            </w:r>
          </w:p>
          <w:p w14:paraId="7FC9FE8C" w14:textId="77777777" w:rsidR="0021298F" w:rsidRPr="005766EB" w:rsidRDefault="0021298F" w:rsidP="00760009">
            <w:pPr>
              <w:jc w:val="right"/>
              <w:rPr>
                <w:rFonts w:ascii="Arial" w:eastAsia="Times New Roman" w:hAnsi="Arial" w:cs="Arial"/>
                <w:b/>
                <w:bCs/>
                <w:lang w:eastAsia="en-GB"/>
              </w:rPr>
            </w:pPr>
            <w:r w:rsidRPr="005766EB">
              <w:rPr>
                <w:rFonts w:ascii="Arial" w:eastAsia="Times New Roman" w:hAnsi="Arial" w:cs="Arial"/>
                <w:b/>
                <w:bCs/>
                <w:lang w:eastAsia="en-GB"/>
              </w:rPr>
              <w:t>cent</w:t>
            </w:r>
          </w:p>
        </w:tc>
        <w:tc>
          <w:tcPr>
            <w:tcW w:w="937" w:type="pct"/>
            <w:tcBorders>
              <w:left w:val="nil"/>
              <w:bottom w:val="single" w:sz="4" w:space="0" w:color="auto"/>
              <w:right w:val="nil"/>
            </w:tcBorders>
            <w:shd w:val="clear" w:color="auto" w:fill="auto"/>
            <w:noWrap/>
            <w:vAlign w:val="center"/>
          </w:tcPr>
          <w:p w14:paraId="03374E07" w14:textId="77777777" w:rsidR="0021298F" w:rsidRDefault="0021298F" w:rsidP="00760009">
            <w:pPr>
              <w:jc w:val="right"/>
              <w:rPr>
                <w:rFonts w:ascii="Arial" w:eastAsia="Times New Roman" w:hAnsi="Arial" w:cs="Arial"/>
                <w:b/>
                <w:bCs/>
                <w:lang w:eastAsia="en-GB"/>
              </w:rPr>
            </w:pPr>
            <w:r>
              <w:rPr>
                <w:rFonts w:ascii="Arial" w:eastAsia="Times New Roman" w:hAnsi="Arial" w:cs="Arial"/>
                <w:b/>
                <w:bCs/>
                <w:lang w:eastAsia="en-GB"/>
              </w:rPr>
              <w:t xml:space="preserve">Total </w:t>
            </w:r>
          </w:p>
          <w:p w14:paraId="7BB91E1C" w14:textId="77777777" w:rsidR="0021298F" w:rsidRDefault="0021298F" w:rsidP="00760009">
            <w:pPr>
              <w:jc w:val="right"/>
              <w:rPr>
                <w:rFonts w:ascii="Arial" w:eastAsia="Times New Roman" w:hAnsi="Arial" w:cs="Arial"/>
                <w:b/>
                <w:bCs/>
                <w:lang w:eastAsia="en-GB"/>
              </w:rPr>
            </w:pPr>
            <w:r>
              <w:rPr>
                <w:rFonts w:ascii="Arial" w:eastAsia="Times New Roman" w:hAnsi="Arial" w:cs="Arial"/>
                <w:b/>
                <w:bCs/>
                <w:lang w:eastAsia="en-GB"/>
              </w:rPr>
              <w:t>Dividend</w:t>
            </w:r>
          </w:p>
          <w:p w14:paraId="07C50187" w14:textId="77777777" w:rsidR="0021298F" w:rsidRDefault="0021298F" w:rsidP="00760009">
            <w:pPr>
              <w:jc w:val="right"/>
              <w:rPr>
                <w:rFonts w:ascii="Arial" w:eastAsia="Times New Roman" w:hAnsi="Arial" w:cs="Arial"/>
                <w:b/>
                <w:bCs/>
                <w:lang w:eastAsia="en-GB"/>
              </w:rPr>
            </w:pPr>
            <w:r>
              <w:rPr>
                <w:rFonts w:ascii="Arial" w:eastAsia="Times New Roman" w:hAnsi="Arial" w:cs="Arial"/>
                <w:b/>
                <w:bCs/>
                <w:lang w:eastAsia="en-GB"/>
              </w:rPr>
              <w:t>€’000</w:t>
            </w:r>
          </w:p>
        </w:tc>
      </w:tr>
      <w:tr w:rsidR="0021298F" w:rsidRPr="0032178B" w14:paraId="75A76D10" w14:textId="77777777" w:rsidTr="00760009">
        <w:trPr>
          <w:trHeight w:val="300"/>
        </w:trPr>
        <w:tc>
          <w:tcPr>
            <w:tcW w:w="2689" w:type="pct"/>
            <w:tcBorders>
              <w:top w:val="single" w:sz="4" w:space="0" w:color="auto"/>
              <w:left w:val="nil"/>
              <w:bottom w:val="nil"/>
              <w:right w:val="nil"/>
            </w:tcBorders>
            <w:shd w:val="clear" w:color="000000" w:fill="FFFFFF"/>
            <w:vAlign w:val="center"/>
            <w:hideMark/>
          </w:tcPr>
          <w:p w14:paraId="23C4BFC4" w14:textId="77777777" w:rsidR="0021298F" w:rsidRPr="00A93797" w:rsidRDefault="0021298F" w:rsidP="00760009">
            <w:pPr>
              <w:jc w:val="both"/>
              <w:rPr>
                <w:rFonts w:ascii="Arial" w:eastAsia="Times New Roman" w:hAnsi="Arial" w:cs="Arial"/>
                <w:lang w:eastAsia="en-GB"/>
              </w:rPr>
            </w:pPr>
            <w:r w:rsidRPr="00AE47CC">
              <w:rPr>
                <w:rFonts w:ascii="Arial" w:hAnsi="Arial" w:cs="Arial"/>
                <w:color w:val="000000"/>
                <w:lang w:val="en-US"/>
              </w:rPr>
              <w:lastRenderedPageBreak/>
              <w:t>With respect to the quarter ended 31 December 2018</w:t>
            </w:r>
          </w:p>
        </w:tc>
        <w:tc>
          <w:tcPr>
            <w:tcW w:w="1374" w:type="pct"/>
            <w:tcBorders>
              <w:top w:val="single" w:sz="4" w:space="0" w:color="auto"/>
              <w:left w:val="nil"/>
              <w:bottom w:val="nil"/>
              <w:right w:val="nil"/>
            </w:tcBorders>
            <w:shd w:val="clear" w:color="auto" w:fill="auto"/>
            <w:noWrap/>
            <w:vAlign w:val="center"/>
          </w:tcPr>
          <w:p w14:paraId="4DFD8DF5" w14:textId="77777777" w:rsidR="0021298F" w:rsidRPr="00D223B0" w:rsidRDefault="0021298F" w:rsidP="00760009">
            <w:pPr>
              <w:jc w:val="right"/>
              <w:rPr>
                <w:rFonts w:ascii="Arial" w:eastAsia="Times New Roman" w:hAnsi="Arial" w:cs="Arial"/>
                <w:bCs/>
                <w:lang w:eastAsia="en-GB"/>
              </w:rPr>
            </w:pPr>
            <w:r w:rsidRPr="00B51A0F">
              <w:rPr>
                <w:rFonts w:ascii="Arial" w:eastAsia="Times New Roman" w:hAnsi="Arial" w:cs="Arial"/>
                <w:bCs/>
                <w:lang w:eastAsia="en-GB"/>
              </w:rPr>
              <w:t>1.50</w:t>
            </w:r>
            <w:r>
              <w:rPr>
                <w:rFonts w:ascii="Arial" w:eastAsia="Times New Roman" w:hAnsi="Arial" w:cs="Arial"/>
                <w:bCs/>
                <w:lang w:eastAsia="en-GB"/>
              </w:rPr>
              <w:t>00</w:t>
            </w:r>
          </w:p>
        </w:tc>
        <w:tc>
          <w:tcPr>
            <w:tcW w:w="937" w:type="pct"/>
            <w:tcBorders>
              <w:top w:val="single" w:sz="4" w:space="0" w:color="auto"/>
              <w:left w:val="nil"/>
              <w:bottom w:val="nil"/>
              <w:right w:val="nil"/>
            </w:tcBorders>
            <w:shd w:val="clear" w:color="auto" w:fill="auto"/>
            <w:noWrap/>
            <w:vAlign w:val="center"/>
          </w:tcPr>
          <w:p w14:paraId="133BBBFC" w14:textId="77777777" w:rsidR="0021298F" w:rsidRPr="0032178B" w:rsidRDefault="0021298F" w:rsidP="00760009">
            <w:pPr>
              <w:jc w:val="right"/>
              <w:rPr>
                <w:rFonts w:ascii="Arial" w:eastAsia="Times New Roman" w:hAnsi="Arial" w:cs="Arial"/>
                <w:b/>
                <w:bCs/>
                <w:lang w:eastAsia="en-GB"/>
              </w:rPr>
            </w:pPr>
            <w:r w:rsidRPr="00B51A0F">
              <w:rPr>
                <w:rFonts w:ascii="Arial" w:eastAsia="Times New Roman" w:hAnsi="Arial" w:cs="Arial"/>
                <w:b/>
                <w:bCs/>
                <w:lang w:eastAsia="en-GB"/>
              </w:rPr>
              <w:t>5,700</w:t>
            </w:r>
          </w:p>
        </w:tc>
      </w:tr>
      <w:tr w:rsidR="0021298F" w:rsidRPr="0032178B" w14:paraId="4ADA1848" w14:textId="77777777" w:rsidTr="00760009">
        <w:trPr>
          <w:trHeight w:val="300"/>
        </w:trPr>
        <w:tc>
          <w:tcPr>
            <w:tcW w:w="2689" w:type="pct"/>
            <w:tcBorders>
              <w:top w:val="nil"/>
              <w:left w:val="nil"/>
              <w:bottom w:val="nil"/>
              <w:right w:val="nil"/>
            </w:tcBorders>
            <w:shd w:val="clear" w:color="000000" w:fill="FFFFFF"/>
            <w:vAlign w:val="center"/>
          </w:tcPr>
          <w:p w14:paraId="330FF9B2" w14:textId="77777777" w:rsidR="0021298F" w:rsidRPr="00A93797" w:rsidRDefault="0021298F" w:rsidP="00760009">
            <w:pPr>
              <w:jc w:val="both"/>
              <w:rPr>
                <w:rFonts w:ascii="Arial" w:eastAsia="Times New Roman" w:hAnsi="Arial" w:cs="Arial"/>
                <w:lang w:eastAsia="en-GB"/>
              </w:rPr>
            </w:pPr>
            <w:r w:rsidRPr="00AE47CC">
              <w:rPr>
                <w:rFonts w:ascii="Arial" w:hAnsi="Arial" w:cs="Arial"/>
                <w:color w:val="000000"/>
                <w:lang w:val="en-US"/>
              </w:rPr>
              <w:t>With respect to the quarter ended 31 March 2019</w:t>
            </w:r>
          </w:p>
        </w:tc>
        <w:tc>
          <w:tcPr>
            <w:tcW w:w="1374" w:type="pct"/>
            <w:tcBorders>
              <w:top w:val="nil"/>
              <w:left w:val="nil"/>
              <w:bottom w:val="nil"/>
              <w:right w:val="nil"/>
            </w:tcBorders>
            <w:shd w:val="clear" w:color="auto" w:fill="auto"/>
            <w:noWrap/>
            <w:vAlign w:val="center"/>
          </w:tcPr>
          <w:p w14:paraId="06EAF750" w14:textId="77777777" w:rsidR="0021298F" w:rsidRPr="00D223B0" w:rsidRDefault="0021298F" w:rsidP="00760009">
            <w:pPr>
              <w:jc w:val="right"/>
              <w:rPr>
                <w:rFonts w:ascii="Arial" w:eastAsia="Times New Roman" w:hAnsi="Arial" w:cs="Arial"/>
                <w:bCs/>
                <w:lang w:eastAsia="en-GB"/>
              </w:rPr>
            </w:pPr>
            <w:r w:rsidRPr="0005236B">
              <w:rPr>
                <w:rFonts w:ascii="Arial" w:eastAsia="Times New Roman" w:hAnsi="Arial" w:cs="Arial"/>
                <w:bCs/>
                <w:lang w:eastAsia="en-GB"/>
              </w:rPr>
              <w:t>1.5</w:t>
            </w:r>
            <w:r>
              <w:rPr>
                <w:rFonts w:ascii="Arial" w:eastAsia="Times New Roman" w:hAnsi="Arial" w:cs="Arial"/>
                <w:bCs/>
                <w:lang w:eastAsia="en-GB"/>
              </w:rPr>
              <w:t>075</w:t>
            </w:r>
          </w:p>
        </w:tc>
        <w:tc>
          <w:tcPr>
            <w:tcW w:w="937" w:type="pct"/>
            <w:tcBorders>
              <w:top w:val="nil"/>
              <w:left w:val="nil"/>
              <w:bottom w:val="nil"/>
              <w:right w:val="nil"/>
            </w:tcBorders>
            <w:shd w:val="clear" w:color="auto" w:fill="auto"/>
            <w:noWrap/>
            <w:vAlign w:val="center"/>
          </w:tcPr>
          <w:p w14:paraId="7F1E5CC6" w14:textId="77777777" w:rsidR="0021298F" w:rsidRPr="0032178B" w:rsidRDefault="0021298F" w:rsidP="00760009">
            <w:pPr>
              <w:jc w:val="right"/>
              <w:rPr>
                <w:rFonts w:ascii="Arial" w:eastAsia="Times New Roman" w:hAnsi="Arial" w:cs="Arial"/>
                <w:b/>
                <w:bCs/>
                <w:lang w:eastAsia="en-GB"/>
              </w:rPr>
            </w:pPr>
            <w:r w:rsidRPr="0005236B">
              <w:rPr>
                <w:rFonts w:ascii="Arial" w:eastAsia="Times New Roman" w:hAnsi="Arial" w:cs="Arial"/>
                <w:b/>
                <w:bCs/>
                <w:lang w:eastAsia="en-GB"/>
              </w:rPr>
              <w:t>7,839</w:t>
            </w:r>
          </w:p>
        </w:tc>
      </w:tr>
      <w:tr w:rsidR="0021298F" w:rsidRPr="0032178B" w14:paraId="51E5AF65" w14:textId="77777777" w:rsidTr="00760009">
        <w:trPr>
          <w:trHeight w:val="300"/>
        </w:trPr>
        <w:tc>
          <w:tcPr>
            <w:tcW w:w="2689" w:type="pct"/>
            <w:tcBorders>
              <w:top w:val="nil"/>
              <w:left w:val="nil"/>
              <w:bottom w:val="nil"/>
              <w:right w:val="nil"/>
            </w:tcBorders>
            <w:shd w:val="clear" w:color="000000" w:fill="FFFFFF"/>
            <w:vAlign w:val="center"/>
          </w:tcPr>
          <w:p w14:paraId="2BE261D7" w14:textId="77777777" w:rsidR="0021298F" w:rsidRPr="00A93797" w:rsidRDefault="0021298F" w:rsidP="00760009">
            <w:pPr>
              <w:jc w:val="both"/>
              <w:rPr>
                <w:rFonts w:ascii="Arial" w:eastAsia="Times New Roman" w:hAnsi="Arial" w:cs="Arial"/>
                <w:lang w:eastAsia="en-GB"/>
              </w:rPr>
            </w:pPr>
            <w:r w:rsidRPr="00AE47CC">
              <w:rPr>
                <w:rFonts w:ascii="Arial" w:hAnsi="Arial" w:cs="Arial"/>
                <w:color w:val="000000"/>
                <w:lang w:val="en-US"/>
              </w:rPr>
              <w:t>With respect to the quarter ended 30 June 2019</w:t>
            </w:r>
          </w:p>
        </w:tc>
        <w:tc>
          <w:tcPr>
            <w:tcW w:w="1374" w:type="pct"/>
            <w:tcBorders>
              <w:top w:val="nil"/>
              <w:left w:val="nil"/>
              <w:bottom w:val="nil"/>
              <w:right w:val="nil"/>
            </w:tcBorders>
            <w:shd w:val="clear" w:color="auto" w:fill="auto"/>
            <w:noWrap/>
            <w:vAlign w:val="center"/>
          </w:tcPr>
          <w:p w14:paraId="26D04D39" w14:textId="77777777" w:rsidR="0021298F" w:rsidRPr="00D223B0" w:rsidRDefault="0021298F" w:rsidP="00760009">
            <w:pPr>
              <w:jc w:val="right"/>
              <w:rPr>
                <w:rFonts w:ascii="Arial" w:eastAsia="Times New Roman" w:hAnsi="Arial" w:cs="Arial"/>
                <w:bCs/>
                <w:lang w:eastAsia="en-GB"/>
              </w:rPr>
            </w:pPr>
            <w:r>
              <w:rPr>
                <w:rFonts w:ascii="Arial" w:eastAsia="Times New Roman" w:hAnsi="Arial" w:cs="Arial"/>
                <w:bCs/>
                <w:lang w:eastAsia="en-GB"/>
              </w:rPr>
              <w:t>1.5075</w:t>
            </w:r>
          </w:p>
        </w:tc>
        <w:tc>
          <w:tcPr>
            <w:tcW w:w="937" w:type="pct"/>
            <w:tcBorders>
              <w:top w:val="nil"/>
              <w:left w:val="nil"/>
              <w:bottom w:val="nil"/>
              <w:right w:val="nil"/>
            </w:tcBorders>
            <w:shd w:val="clear" w:color="auto" w:fill="auto"/>
            <w:noWrap/>
            <w:vAlign w:val="center"/>
          </w:tcPr>
          <w:p w14:paraId="202F4E90" w14:textId="77777777" w:rsidR="0021298F" w:rsidRPr="0032178B" w:rsidRDefault="0021298F" w:rsidP="00760009">
            <w:pPr>
              <w:jc w:val="right"/>
              <w:rPr>
                <w:rFonts w:ascii="Arial" w:eastAsia="Times New Roman" w:hAnsi="Arial" w:cs="Arial"/>
                <w:b/>
                <w:bCs/>
                <w:lang w:eastAsia="en-GB"/>
              </w:rPr>
            </w:pPr>
            <w:r w:rsidRPr="00B51A0F">
              <w:rPr>
                <w:rFonts w:ascii="Arial" w:eastAsia="Times New Roman" w:hAnsi="Arial" w:cs="Arial"/>
                <w:b/>
                <w:bCs/>
                <w:lang w:eastAsia="en-GB"/>
              </w:rPr>
              <w:t>7,839</w:t>
            </w:r>
          </w:p>
        </w:tc>
      </w:tr>
      <w:tr w:rsidR="0021298F" w:rsidRPr="0032178B" w14:paraId="032C1A54" w14:textId="77777777" w:rsidTr="00760009">
        <w:trPr>
          <w:trHeight w:val="300"/>
        </w:trPr>
        <w:tc>
          <w:tcPr>
            <w:tcW w:w="2689" w:type="pct"/>
            <w:tcBorders>
              <w:top w:val="nil"/>
              <w:left w:val="nil"/>
              <w:bottom w:val="single" w:sz="4" w:space="0" w:color="auto"/>
              <w:right w:val="nil"/>
            </w:tcBorders>
            <w:shd w:val="clear" w:color="000000" w:fill="FFFFFF"/>
            <w:vAlign w:val="center"/>
          </w:tcPr>
          <w:p w14:paraId="7386A1A9" w14:textId="77777777" w:rsidR="0021298F" w:rsidRPr="00A93797" w:rsidRDefault="0021298F" w:rsidP="00760009">
            <w:pPr>
              <w:jc w:val="both"/>
              <w:rPr>
                <w:rFonts w:ascii="Arial" w:eastAsia="Times New Roman" w:hAnsi="Arial" w:cs="Arial"/>
                <w:lang w:eastAsia="en-GB"/>
              </w:rPr>
            </w:pPr>
            <w:r w:rsidRPr="00AE47CC">
              <w:rPr>
                <w:rFonts w:ascii="Arial" w:hAnsi="Arial" w:cs="Arial"/>
                <w:color w:val="000000"/>
                <w:lang w:val="en-US"/>
              </w:rPr>
              <w:t>With respect to the quarter ended 30 September 2019</w:t>
            </w:r>
          </w:p>
        </w:tc>
        <w:tc>
          <w:tcPr>
            <w:tcW w:w="1374" w:type="pct"/>
            <w:tcBorders>
              <w:top w:val="nil"/>
              <w:left w:val="nil"/>
              <w:bottom w:val="single" w:sz="4" w:space="0" w:color="auto"/>
              <w:right w:val="nil"/>
            </w:tcBorders>
            <w:shd w:val="clear" w:color="auto" w:fill="auto"/>
            <w:noWrap/>
            <w:vAlign w:val="center"/>
          </w:tcPr>
          <w:p w14:paraId="0EF4C6C9" w14:textId="77777777" w:rsidR="0021298F" w:rsidRPr="00D223B0" w:rsidRDefault="0021298F" w:rsidP="00760009">
            <w:pPr>
              <w:jc w:val="right"/>
              <w:rPr>
                <w:rFonts w:ascii="Arial" w:eastAsia="Times New Roman" w:hAnsi="Arial" w:cs="Arial"/>
                <w:bCs/>
                <w:lang w:eastAsia="en-GB"/>
              </w:rPr>
            </w:pPr>
            <w:r w:rsidRPr="0005236B">
              <w:rPr>
                <w:rFonts w:ascii="Arial" w:eastAsia="Times New Roman" w:hAnsi="Arial" w:cs="Arial"/>
                <w:bCs/>
                <w:lang w:eastAsia="en-GB"/>
              </w:rPr>
              <w:t>1.5</w:t>
            </w:r>
            <w:r>
              <w:rPr>
                <w:rFonts w:ascii="Arial" w:eastAsia="Times New Roman" w:hAnsi="Arial" w:cs="Arial"/>
                <w:bCs/>
                <w:lang w:eastAsia="en-GB"/>
              </w:rPr>
              <w:t>075</w:t>
            </w:r>
          </w:p>
        </w:tc>
        <w:tc>
          <w:tcPr>
            <w:tcW w:w="937" w:type="pct"/>
            <w:tcBorders>
              <w:top w:val="nil"/>
              <w:left w:val="nil"/>
              <w:bottom w:val="single" w:sz="4" w:space="0" w:color="auto"/>
              <w:right w:val="nil"/>
            </w:tcBorders>
            <w:shd w:val="clear" w:color="auto" w:fill="auto"/>
            <w:noWrap/>
            <w:vAlign w:val="center"/>
          </w:tcPr>
          <w:p w14:paraId="5F7AC032" w14:textId="77777777" w:rsidR="0021298F" w:rsidRPr="0032178B" w:rsidRDefault="0021298F" w:rsidP="00760009">
            <w:pPr>
              <w:jc w:val="right"/>
              <w:rPr>
                <w:rFonts w:ascii="Arial" w:eastAsia="Times New Roman" w:hAnsi="Arial" w:cs="Arial"/>
                <w:b/>
                <w:bCs/>
                <w:lang w:eastAsia="en-GB"/>
              </w:rPr>
            </w:pPr>
            <w:r w:rsidRPr="0005236B">
              <w:rPr>
                <w:rFonts w:ascii="Arial" w:eastAsia="Times New Roman" w:hAnsi="Arial" w:cs="Arial"/>
                <w:b/>
                <w:bCs/>
                <w:lang w:eastAsia="en-GB"/>
              </w:rPr>
              <w:t>7,839</w:t>
            </w:r>
          </w:p>
        </w:tc>
      </w:tr>
      <w:tr w:rsidR="0021298F" w:rsidRPr="00992D4D" w14:paraId="5E88DB40" w14:textId="77777777" w:rsidTr="00760009">
        <w:trPr>
          <w:trHeight w:val="315"/>
        </w:trPr>
        <w:tc>
          <w:tcPr>
            <w:tcW w:w="2689" w:type="pct"/>
            <w:tcBorders>
              <w:top w:val="single" w:sz="4" w:space="0" w:color="auto"/>
              <w:left w:val="nil"/>
              <w:bottom w:val="single" w:sz="8" w:space="0" w:color="auto"/>
              <w:right w:val="nil"/>
            </w:tcBorders>
            <w:shd w:val="clear" w:color="000000" w:fill="FFFFFF"/>
            <w:vAlign w:val="center"/>
            <w:hideMark/>
          </w:tcPr>
          <w:p w14:paraId="4DFACC07" w14:textId="77777777" w:rsidR="0021298F" w:rsidRPr="004563D6" w:rsidRDefault="0021298F" w:rsidP="00760009">
            <w:pPr>
              <w:jc w:val="both"/>
              <w:rPr>
                <w:rFonts w:ascii="Arial" w:eastAsia="Times New Roman" w:hAnsi="Arial" w:cs="Arial"/>
                <w:b/>
                <w:bCs/>
                <w:lang w:eastAsia="en-GB"/>
              </w:rPr>
            </w:pPr>
            <w:r w:rsidRPr="00012D93">
              <w:rPr>
                <w:rFonts w:ascii="Arial" w:eastAsia="Times New Roman" w:hAnsi="Arial" w:cs="Arial"/>
                <w:b/>
                <w:bCs/>
                <w:lang w:eastAsia="en-GB"/>
              </w:rPr>
              <w:t> </w:t>
            </w:r>
          </w:p>
        </w:tc>
        <w:tc>
          <w:tcPr>
            <w:tcW w:w="1374" w:type="pct"/>
            <w:tcBorders>
              <w:top w:val="single" w:sz="4" w:space="0" w:color="auto"/>
              <w:left w:val="nil"/>
              <w:bottom w:val="single" w:sz="8" w:space="0" w:color="auto"/>
              <w:right w:val="nil"/>
            </w:tcBorders>
            <w:shd w:val="clear" w:color="auto" w:fill="auto"/>
            <w:noWrap/>
            <w:vAlign w:val="center"/>
          </w:tcPr>
          <w:p w14:paraId="2971F546" w14:textId="77777777" w:rsidR="0021298F" w:rsidRPr="00992D4D" w:rsidRDefault="0021298F" w:rsidP="00760009">
            <w:pPr>
              <w:jc w:val="right"/>
              <w:rPr>
                <w:rFonts w:ascii="Arial" w:eastAsia="Times New Roman" w:hAnsi="Arial" w:cs="Arial"/>
                <w:b/>
                <w:bCs/>
                <w:lang w:eastAsia="en-GB"/>
              </w:rPr>
            </w:pPr>
            <w:r w:rsidRPr="0005236B">
              <w:rPr>
                <w:rFonts w:ascii="Arial" w:eastAsia="Times New Roman" w:hAnsi="Arial" w:cs="Arial"/>
                <w:b/>
                <w:bCs/>
                <w:lang w:eastAsia="en-GB"/>
              </w:rPr>
              <w:t>6.0</w:t>
            </w:r>
            <w:r>
              <w:rPr>
                <w:rFonts w:ascii="Arial" w:eastAsia="Times New Roman" w:hAnsi="Arial" w:cs="Arial"/>
                <w:b/>
                <w:bCs/>
                <w:lang w:eastAsia="en-GB"/>
              </w:rPr>
              <w:t>225</w:t>
            </w:r>
          </w:p>
        </w:tc>
        <w:tc>
          <w:tcPr>
            <w:tcW w:w="937" w:type="pct"/>
            <w:tcBorders>
              <w:top w:val="single" w:sz="4" w:space="0" w:color="auto"/>
              <w:left w:val="nil"/>
              <w:bottom w:val="single" w:sz="8" w:space="0" w:color="auto"/>
              <w:right w:val="nil"/>
            </w:tcBorders>
            <w:shd w:val="clear" w:color="auto" w:fill="auto"/>
            <w:noWrap/>
            <w:vAlign w:val="center"/>
          </w:tcPr>
          <w:p w14:paraId="13DB48E9" w14:textId="77777777" w:rsidR="0021298F" w:rsidRPr="00992D4D" w:rsidRDefault="0021298F" w:rsidP="00760009">
            <w:pPr>
              <w:jc w:val="right"/>
              <w:rPr>
                <w:rFonts w:ascii="Arial" w:eastAsia="Times New Roman" w:hAnsi="Arial" w:cs="Arial"/>
                <w:b/>
                <w:bCs/>
                <w:lang w:eastAsia="en-GB"/>
              </w:rPr>
            </w:pPr>
            <w:r w:rsidRPr="0005236B">
              <w:rPr>
                <w:rFonts w:ascii="Arial" w:eastAsia="Times New Roman" w:hAnsi="Arial" w:cs="Arial"/>
                <w:b/>
                <w:bCs/>
                <w:lang w:eastAsia="en-GB"/>
              </w:rPr>
              <w:t>29,217</w:t>
            </w:r>
          </w:p>
        </w:tc>
      </w:tr>
    </w:tbl>
    <w:p w14:paraId="43500077" w14:textId="77777777" w:rsidR="0021298F" w:rsidRDefault="0021298F" w:rsidP="0021298F">
      <w:pPr>
        <w:rPr>
          <w:rFonts w:ascii="Arial" w:hAnsi="Arial" w:cs="Arial"/>
          <w:lang w:eastAsia="en-GB"/>
        </w:rPr>
      </w:pPr>
    </w:p>
    <w:p w14:paraId="6F2EA361" w14:textId="77777777" w:rsidR="0021298F" w:rsidRDefault="0021298F" w:rsidP="0021298F">
      <w:pPr>
        <w:pStyle w:val="Heading2"/>
        <w:keepNext w:val="0"/>
        <w:keepLines w:val="0"/>
        <w:spacing w:before="0" w:line="240" w:lineRule="auto"/>
        <w:jc w:val="both"/>
        <w:rPr>
          <w:rFonts w:ascii="Arial" w:hAnsi="Arial" w:cs="Arial"/>
          <w:color w:val="auto"/>
          <w:sz w:val="24"/>
          <w:szCs w:val="22"/>
          <w:lang w:eastAsia="en-GB"/>
        </w:rPr>
      </w:pPr>
      <w:r>
        <w:rPr>
          <w:rFonts w:ascii="Arial" w:hAnsi="Arial" w:cs="Arial"/>
          <w:color w:val="auto"/>
          <w:sz w:val="24"/>
          <w:szCs w:val="22"/>
          <w:lang w:eastAsia="en-GB"/>
        </w:rPr>
        <w:t xml:space="preserve">9. </w:t>
      </w:r>
      <w:r w:rsidRPr="005F7949">
        <w:rPr>
          <w:rFonts w:ascii="Arial" w:hAnsi="Arial" w:cs="Arial"/>
          <w:color w:val="auto"/>
          <w:sz w:val="24"/>
          <w:szCs w:val="22"/>
          <w:lang w:eastAsia="en-GB"/>
        </w:rPr>
        <w:t xml:space="preserve">Investments </w:t>
      </w:r>
      <w:r>
        <w:rPr>
          <w:rFonts w:ascii="Arial" w:hAnsi="Arial" w:cs="Arial"/>
          <w:color w:val="auto"/>
          <w:sz w:val="24"/>
          <w:szCs w:val="22"/>
          <w:lang w:eastAsia="en-GB"/>
        </w:rPr>
        <w:t>a</w:t>
      </w:r>
      <w:r w:rsidRPr="005F7949">
        <w:rPr>
          <w:rFonts w:ascii="Arial" w:hAnsi="Arial" w:cs="Arial"/>
          <w:color w:val="auto"/>
          <w:sz w:val="24"/>
          <w:szCs w:val="22"/>
          <w:lang w:eastAsia="en-GB"/>
        </w:rPr>
        <w:t xml:space="preserve">t </w:t>
      </w:r>
      <w:r>
        <w:rPr>
          <w:rFonts w:ascii="Arial" w:hAnsi="Arial" w:cs="Arial"/>
          <w:color w:val="auto"/>
          <w:sz w:val="24"/>
          <w:szCs w:val="22"/>
          <w:lang w:eastAsia="en-GB"/>
        </w:rPr>
        <w:t>f</w:t>
      </w:r>
      <w:r w:rsidRPr="005F7949">
        <w:rPr>
          <w:rFonts w:ascii="Arial" w:hAnsi="Arial" w:cs="Arial"/>
          <w:color w:val="auto"/>
          <w:sz w:val="24"/>
          <w:szCs w:val="22"/>
          <w:lang w:eastAsia="en-GB"/>
        </w:rPr>
        <w:t xml:space="preserve">air </w:t>
      </w:r>
      <w:r>
        <w:rPr>
          <w:rFonts w:ascii="Arial" w:hAnsi="Arial" w:cs="Arial"/>
          <w:color w:val="auto"/>
          <w:sz w:val="24"/>
          <w:szCs w:val="22"/>
          <w:lang w:eastAsia="en-GB"/>
        </w:rPr>
        <w:t>v</w:t>
      </w:r>
      <w:r w:rsidRPr="005F7949">
        <w:rPr>
          <w:rFonts w:ascii="Arial" w:hAnsi="Arial" w:cs="Arial"/>
          <w:color w:val="auto"/>
          <w:sz w:val="24"/>
          <w:szCs w:val="22"/>
          <w:lang w:eastAsia="en-GB"/>
        </w:rPr>
        <w:t xml:space="preserve">alue </w:t>
      </w:r>
      <w:r>
        <w:rPr>
          <w:rFonts w:ascii="Arial" w:hAnsi="Arial" w:cs="Arial"/>
          <w:color w:val="auto"/>
          <w:sz w:val="24"/>
          <w:szCs w:val="22"/>
          <w:lang w:eastAsia="en-GB"/>
        </w:rPr>
        <w:t>t</w:t>
      </w:r>
      <w:r w:rsidRPr="005F7949">
        <w:rPr>
          <w:rFonts w:ascii="Arial" w:hAnsi="Arial" w:cs="Arial"/>
          <w:color w:val="auto"/>
          <w:sz w:val="24"/>
          <w:szCs w:val="22"/>
          <w:lang w:eastAsia="en-GB"/>
        </w:rPr>
        <w:t xml:space="preserve">hrough </w:t>
      </w:r>
      <w:r>
        <w:rPr>
          <w:rFonts w:ascii="Arial" w:hAnsi="Arial" w:cs="Arial"/>
          <w:color w:val="auto"/>
          <w:sz w:val="24"/>
          <w:szCs w:val="22"/>
          <w:lang w:eastAsia="en-GB"/>
        </w:rPr>
        <w:t>p</w:t>
      </w:r>
      <w:r w:rsidRPr="005F7949">
        <w:rPr>
          <w:rFonts w:ascii="Arial" w:hAnsi="Arial" w:cs="Arial"/>
          <w:color w:val="auto"/>
          <w:sz w:val="24"/>
          <w:szCs w:val="22"/>
          <w:lang w:eastAsia="en-GB"/>
        </w:rPr>
        <w:t xml:space="preserve">rofit </w:t>
      </w:r>
      <w:r>
        <w:rPr>
          <w:rFonts w:ascii="Arial" w:hAnsi="Arial" w:cs="Arial"/>
          <w:color w:val="auto"/>
          <w:sz w:val="24"/>
          <w:szCs w:val="22"/>
          <w:lang w:eastAsia="en-GB"/>
        </w:rPr>
        <w:t>o</w:t>
      </w:r>
      <w:r w:rsidRPr="005F7949">
        <w:rPr>
          <w:rFonts w:ascii="Arial" w:hAnsi="Arial" w:cs="Arial"/>
          <w:color w:val="auto"/>
          <w:sz w:val="24"/>
          <w:szCs w:val="22"/>
          <w:lang w:eastAsia="en-GB"/>
        </w:rPr>
        <w:t xml:space="preserve">r </w:t>
      </w:r>
      <w:r>
        <w:rPr>
          <w:rFonts w:ascii="Arial" w:hAnsi="Arial" w:cs="Arial"/>
          <w:color w:val="auto"/>
          <w:sz w:val="24"/>
          <w:szCs w:val="22"/>
          <w:lang w:eastAsia="en-GB"/>
        </w:rPr>
        <w:t>l</w:t>
      </w:r>
      <w:r w:rsidRPr="005F7949">
        <w:rPr>
          <w:rFonts w:ascii="Arial" w:hAnsi="Arial" w:cs="Arial"/>
          <w:color w:val="auto"/>
          <w:sz w:val="24"/>
          <w:szCs w:val="22"/>
          <w:lang w:eastAsia="en-GB"/>
        </w:rPr>
        <w:t>oss</w:t>
      </w:r>
    </w:p>
    <w:tbl>
      <w:tblPr>
        <w:tblW w:w="9393" w:type="dxa"/>
        <w:tblLook w:val="04A0" w:firstRow="1" w:lastRow="0" w:firstColumn="1" w:lastColumn="0" w:noHBand="0" w:noVBand="1"/>
      </w:tblPr>
      <w:tblGrid>
        <w:gridCol w:w="3969"/>
        <w:gridCol w:w="1736"/>
        <w:gridCol w:w="8"/>
        <w:gridCol w:w="1832"/>
        <w:gridCol w:w="8"/>
        <w:gridCol w:w="1832"/>
        <w:gridCol w:w="8"/>
      </w:tblGrid>
      <w:tr w:rsidR="0021298F" w:rsidRPr="00935C7E" w14:paraId="7AEF858F" w14:textId="77777777" w:rsidTr="00760009">
        <w:trPr>
          <w:gridAfter w:val="1"/>
          <w:wAfter w:w="8" w:type="dxa"/>
          <w:trHeight w:val="330"/>
        </w:trPr>
        <w:tc>
          <w:tcPr>
            <w:tcW w:w="3969" w:type="dxa"/>
            <w:tcBorders>
              <w:top w:val="nil"/>
              <w:left w:val="nil"/>
              <w:bottom w:val="nil"/>
              <w:right w:val="nil"/>
            </w:tcBorders>
            <w:shd w:val="clear" w:color="auto" w:fill="auto"/>
            <w:noWrap/>
            <w:vAlign w:val="bottom"/>
            <w:hideMark/>
          </w:tcPr>
          <w:p w14:paraId="6B3EAB62" w14:textId="77777777" w:rsidR="0021298F" w:rsidRPr="00935C7E" w:rsidRDefault="0021298F" w:rsidP="00760009">
            <w:pPr>
              <w:rPr>
                <w:rFonts w:ascii="Times New Roman" w:eastAsia="Times New Roman" w:hAnsi="Times New Roman" w:cs="Times New Roman"/>
                <w:lang w:eastAsia="en-GB"/>
              </w:rPr>
            </w:pPr>
          </w:p>
        </w:tc>
        <w:tc>
          <w:tcPr>
            <w:tcW w:w="1736" w:type="dxa"/>
            <w:tcBorders>
              <w:top w:val="nil"/>
              <w:left w:val="nil"/>
              <w:bottom w:val="nil"/>
              <w:right w:val="nil"/>
            </w:tcBorders>
            <w:shd w:val="clear" w:color="000000" w:fill="FFFFFF"/>
            <w:vAlign w:val="bottom"/>
            <w:hideMark/>
          </w:tcPr>
          <w:p w14:paraId="5E41C536" w14:textId="77777777" w:rsidR="0021298F" w:rsidRPr="00935C7E" w:rsidRDefault="0021298F" w:rsidP="00760009">
            <w:pPr>
              <w:jc w:val="right"/>
              <w:rPr>
                <w:rFonts w:ascii="Arial" w:eastAsia="Times New Roman" w:hAnsi="Arial" w:cs="Arial"/>
                <w:b/>
                <w:bCs/>
                <w:color w:val="000000"/>
                <w:lang w:eastAsia="en-GB"/>
              </w:rPr>
            </w:pPr>
            <w:r w:rsidRPr="00935C7E">
              <w:rPr>
                <w:rFonts w:ascii="Arial" w:eastAsia="Times New Roman" w:hAnsi="Arial" w:cs="Arial"/>
                <w:b/>
                <w:bCs/>
                <w:color w:val="000000"/>
                <w:lang w:eastAsia="en-GB"/>
              </w:rPr>
              <w:t xml:space="preserve">Loans </w:t>
            </w:r>
          </w:p>
        </w:tc>
        <w:tc>
          <w:tcPr>
            <w:tcW w:w="1840" w:type="dxa"/>
            <w:gridSpan w:val="2"/>
            <w:tcBorders>
              <w:top w:val="nil"/>
              <w:left w:val="nil"/>
              <w:bottom w:val="nil"/>
              <w:right w:val="nil"/>
            </w:tcBorders>
            <w:shd w:val="clear" w:color="000000" w:fill="FFFFFF"/>
            <w:vAlign w:val="bottom"/>
            <w:hideMark/>
          </w:tcPr>
          <w:p w14:paraId="1C379724" w14:textId="77777777" w:rsidR="0021298F" w:rsidRPr="00935C7E" w:rsidRDefault="0021298F" w:rsidP="00760009">
            <w:pPr>
              <w:jc w:val="right"/>
              <w:rPr>
                <w:rFonts w:ascii="Arial" w:eastAsia="Times New Roman" w:hAnsi="Arial" w:cs="Arial"/>
                <w:b/>
                <w:bCs/>
                <w:color w:val="000000"/>
                <w:lang w:eastAsia="en-GB"/>
              </w:rPr>
            </w:pPr>
            <w:r w:rsidRPr="00935C7E">
              <w:rPr>
                <w:rFonts w:ascii="Arial" w:eastAsia="Times New Roman" w:hAnsi="Arial" w:cs="Arial"/>
                <w:b/>
                <w:bCs/>
                <w:color w:val="000000"/>
                <w:lang w:eastAsia="en-GB"/>
              </w:rPr>
              <w:t xml:space="preserve">Equity interest </w:t>
            </w:r>
          </w:p>
        </w:tc>
        <w:tc>
          <w:tcPr>
            <w:tcW w:w="1840" w:type="dxa"/>
            <w:gridSpan w:val="2"/>
            <w:tcBorders>
              <w:top w:val="nil"/>
              <w:left w:val="nil"/>
              <w:bottom w:val="nil"/>
              <w:right w:val="nil"/>
            </w:tcBorders>
            <w:shd w:val="clear" w:color="000000" w:fill="FFFFFF"/>
            <w:vAlign w:val="bottom"/>
            <w:hideMark/>
          </w:tcPr>
          <w:p w14:paraId="1BADF07C" w14:textId="77777777" w:rsidR="0021298F" w:rsidRPr="00935C7E" w:rsidRDefault="0021298F" w:rsidP="00760009">
            <w:pPr>
              <w:jc w:val="right"/>
              <w:rPr>
                <w:rFonts w:ascii="Arial" w:eastAsia="Times New Roman" w:hAnsi="Arial" w:cs="Arial"/>
                <w:b/>
                <w:bCs/>
                <w:color w:val="000000"/>
                <w:lang w:eastAsia="en-GB"/>
              </w:rPr>
            </w:pPr>
            <w:r w:rsidRPr="00935C7E">
              <w:rPr>
                <w:rFonts w:ascii="Arial" w:eastAsia="Times New Roman" w:hAnsi="Arial" w:cs="Arial"/>
                <w:b/>
                <w:bCs/>
                <w:color w:val="000000"/>
                <w:lang w:eastAsia="en-GB"/>
              </w:rPr>
              <w:t>Total</w:t>
            </w:r>
          </w:p>
        </w:tc>
      </w:tr>
      <w:tr w:rsidR="0021298F" w:rsidRPr="00935C7E" w14:paraId="30266AC8" w14:textId="77777777" w:rsidTr="00760009">
        <w:trPr>
          <w:gridAfter w:val="1"/>
          <w:wAfter w:w="8" w:type="dxa"/>
          <w:trHeight w:val="330"/>
        </w:trPr>
        <w:tc>
          <w:tcPr>
            <w:tcW w:w="3969" w:type="dxa"/>
            <w:tcBorders>
              <w:top w:val="nil"/>
              <w:left w:val="nil"/>
              <w:bottom w:val="single" w:sz="4" w:space="0" w:color="auto"/>
              <w:right w:val="nil"/>
            </w:tcBorders>
            <w:shd w:val="clear" w:color="000000" w:fill="FFFFFF"/>
            <w:vAlign w:val="center"/>
            <w:hideMark/>
          </w:tcPr>
          <w:p w14:paraId="51E3A7D9" w14:textId="77777777" w:rsidR="0021298F" w:rsidRPr="00935C7E" w:rsidRDefault="0021298F" w:rsidP="00760009">
            <w:pPr>
              <w:rPr>
                <w:rFonts w:ascii="Arial" w:eastAsia="Times New Roman" w:hAnsi="Arial" w:cs="Arial"/>
                <w:b/>
                <w:bCs/>
                <w:color w:val="000000"/>
                <w:lang w:eastAsia="en-GB"/>
              </w:rPr>
            </w:pPr>
            <w:r w:rsidRPr="00935C7E">
              <w:rPr>
                <w:rFonts w:ascii="Arial" w:eastAsia="Times New Roman" w:hAnsi="Arial" w:cs="Arial"/>
                <w:b/>
                <w:bCs/>
                <w:color w:val="000000"/>
                <w:lang w:eastAsia="en-GB"/>
              </w:rPr>
              <w:t>Group as at 31 December 2020</w:t>
            </w:r>
          </w:p>
        </w:tc>
        <w:tc>
          <w:tcPr>
            <w:tcW w:w="1736" w:type="dxa"/>
            <w:tcBorders>
              <w:top w:val="nil"/>
              <w:left w:val="nil"/>
              <w:bottom w:val="single" w:sz="4" w:space="0" w:color="auto"/>
              <w:right w:val="nil"/>
            </w:tcBorders>
            <w:shd w:val="clear" w:color="000000" w:fill="FFFFFF"/>
            <w:noWrap/>
            <w:vAlign w:val="bottom"/>
            <w:hideMark/>
          </w:tcPr>
          <w:p w14:paraId="25AB1510" w14:textId="77777777" w:rsidR="0021298F" w:rsidRPr="00935C7E" w:rsidRDefault="0021298F" w:rsidP="00760009">
            <w:pPr>
              <w:jc w:val="right"/>
              <w:rPr>
                <w:rFonts w:ascii="Arial" w:eastAsia="Times New Roman" w:hAnsi="Arial" w:cs="Arial"/>
                <w:b/>
                <w:bCs/>
                <w:color w:val="000000"/>
                <w:lang w:eastAsia="en-GB"/>
              </w:rPr>
            </w:pPr>
            <w:r w:rsidRPr="00935C7E">
              <w:rPr>
                <w:rFonts w:ascii="Arial" w:eastAsia="Times New Roman" w:hAnsi="Arial" w:cs="Arial"/>
                <w:b/>
                <w:bCs/>
                <w:color w:val="000000"/>
                <w:lang w:eastAsia="en-GB"/>
              </w:rPr>
              <w:t>€'000</w:t>
            </w:r>
          </w:p>
        </w:tc>
        <w:tc>
          <w:tcPr>
            <w:tcW w:w="1840" w:type="dxa"/>
            <w:gridSpan w:val="2"/>
            <w:tcBorders>
              <w:top w:val="nil"/>
              <w:left w:val="nil"/>
              <w:bottom w:val="single" w:sz="4" w:space="0" w:color="auto"/>
              <w:right w:val="nil"/>
            </w:tcBorders>
            <w:shd w:val="clear" w:color="000000" w:fill="FFFFFF"/>
            <w:noWrap/>
            <w:vAlign w:val="bottom"/>
            <w:hideMark/>
          </w:tcPr>
          <w:p w14:paraId="2F53C980" w14:textId="77777777" w:rsidR="0021298F" w:rsidRPr="00935C7E" w:rsidRDefault="0021298F" w:rsidP="00760009">
            <w:pPr>
              <w:jc w:val="right"/>
              <w:rPr>
                <w:rFonts w:ascii="Arial" w:eastAsia="Times New Roman" w:hAnsi="Arial" w:cs="Arial"/>
                <w:b/>
                <w:bCs/>
                <w:color w:val="000000"/>
                <w:lang w:eastAsia="en-GB"/>
              </w:rPr>
            </w:pPr>
            <w:r w:rsidRPr="00935C7E">
              <w:rPr>
                <w:rFonts w:ascii="Arial" w:eastAsia="Times New Roman" w:hAnsi="Arial" w:cs="Arial"/>
                <w:b/>
                <w:bCs/>
                <w:color w:val="000000"/>
                <w:lang w:eastAsia="en-GB"/>
              </w:rPr>
              <w:t>€'000</w:t>
            </w:r>
          </w:p>
        </w:tc>
        <w:tc>
          <w:tcPr>
            <w:tcW w:w="1840" w:type="dxa"/>
            <w:gridSpan w:val="2"/>
            <w:tcBorders>
              <w:top w:val="nil"/>
              <w:left w:val="nil"/>
              <w:bottom w:val="single" w:sz="4" w:space="0" w:color="auto"/>
              <w:right w:val="nil"/>
            </w:tcBorders>
            <w:shd w:val="clear" w:color="000000" w:fill="FFFFFF"/>
            <w:noWrap/>
            <w:vAlign w:val="bottom"/>
            <w:hideMark/>
          </w:tcPr>
          <w:p w14:paraId="3C66004D" w14:textId="77777777" w:rsidR="0021298F" w:rsidRPr="00935C7E" w:rsidRDefault="0021298F" w:rsidP="00760009">
            <w:pPr>
              <w:jc w:val="right"/>
              <w:rPr>
                <w:rFonts w:ascii="Arial" w:eastAsia="Times New Roman" w:hAnsi="Arial" w:cs="Arial"/>
                <w:b/>
                <w:bCs/>
                <w:color w:val="000000"/>
                <w:lang w:eastAsia="en-GB"/>
              </w:rPr>
            </w:pPr>
            <w:r w:rsidRPr="00935C7E">
              <w:rPr>
                <w:rFonts w:ascii="Arial" w:eastAsia="Times New Roman" w:hAnsi="Arial" w:cs="Arial"/>
                <w:b/>
                <w:bCs/>
                <w:color w:val="000000"/>
                <w:lang w:eastAsia="en-GB"/>
              </w:rPr>
              <w:t>€'000</w:t>
            </w:r>
          </w:p>
        </w:tc>
      </w:tr>
      <w:tr w:rsidR="0021298F" w:rsidRPr="00935C7E" w14:paraId="16B96ADE" w14:textId="77777777" w:rsidTr="00760009">
        <w:trPr>
          <w:gridAfter w:val="1"/>
          <w:wAfter w:w="8" w:type="dxa"/>
          <w:trHeight w:val="150"/>
        </w:trPr>
        <w:tc>
          <w:tcPr>
            <w:tcW w:w="3969" w:type="dxa"/>
            <w:tcBorders>
              <w:top w:val="nil"/>
              <w:left w:val="nil"/>
              <w:bottom w:val="nil"/>
              <w:right w:val="nil"/>
            </w:tcBorders>
            <w:shd w:val="clear" w:color="000000" w:fill="FFFFFF"/>
            <w:noWrap/>
            <w:vAlign w:val="bottom"/>
            <w:hideMark/>
          </w:tcPr>
          <w:p w14:paraId="4CDB4835" w14:textId="77777777" w:rsidR="0021298F" w:rsidRPr="00935C7E" w:rsidRDefault="0021298F" w:rsidP="00760009">
            <w:pPr>
              <w:rPr>
                <w:rFonts w:ascii="Arial" w:eastAsia="Times New Roman" w:hAnsi="Arial" w:cs="Arial"/>
                <w:b/>
                <w:bCs/>
                <w:color w:val="000000"/>
                <w:lang w:eastAsia="en-GB"/>
              </w:rPr>
            </w:pPr>
            <w:r w:rsidRPr="00935C7E">
              <w:rPr>
                <w:rFonts w:ascii="Arial" w:eastAsia="Times New Roman" w:hAnsi="Arial" w:cs="Arial"/>
                <w:b/>
                <w:bCs/>
                <w:color w:val="000000"/>
                <w:lang w:eastAsia="en-GB"/>
              </w:rPr>
              <w:t> </w:t>
            </w:r>
          </w:p>
        </w:tc>
        <w:tc>
          <w:tcPr>
            <w:tcW w:w="1736" w:type="dxa"/>
            <w:tcBorders>
              <w:top w:val="nil"/>
              <w:left w:val="nil"/>
              <w:bottom w:val="nil"/>
              <w:right w:val="nil"/>
            </w:tcBorders>
            <w:shd w:val="clear" w:color="000000" w:fill="EDFFB7"/>
            <w:noWrap/>
            <w:vAlign w:val="center"/>
            <w:hideMark/>
          </w:tcPr>
          <w:p w14:paraId="136DF305" w14:textId="77777777" w:rsidR="0021298F" w:rsidRPr="00935C7E" w:rsidRDefault="0021298F" w:rsidP="00760009">
            <w:pPr>
              <w:jc w:val="right"/>
              <w:rPr>
                <w:rFonts w:ascii="Arial" w:eastAsia="Times New Roman" w:hAnsi="Arial" w:cs="Arial"/>
                <w:b/>
                <w:bCs/>
                <w:color w:val="000000"/>
                <w:lang w:eastAsia="en-GB"/>
              </w:rPr>
            </w:pPr>
            <w:r w:rsidRPr="00935C7E">
              <w:rPr>
                <w:rFonts w:ascii="Arial" w:eastAsia="Times New Roman" w:hAnsi="Arial" w:cs="Arial"/>
                <w:b/>
                <w:bCs/>
                <w:color w:val="000000"/>
                <w:lang w:eastAsia="en-GB"/>
              </w:rPr>
              <w:t> </w:t>
            </w:r>
          </w:p>
        </w:tc>
        <w:tc>
          <w:tcPr>
            <w:tcW w:w="1840" w:type="dxa"/>
            <w:gridSpan w:val="2"/>
            <w:tcBorders>
              <w:top w:val="nil"/>
              <w:left w:val="nil"/>
              <w:bottom w:val="nil"/>
              <w:right w:val="nil"/>
            </w:tcBorders>
            <w:shd w:val="clear" w:color="000000" w:fill="EDFFB7"/>
            <w:noWrap/>
            <w:vAlign w:val="center"/>
            <w:hideMark/>
          </w:tcPr>
          <w:p w14:paraId="7C10D184" w14:textId="77777777" w:rsidR="0021298F" w:rsidRPr="00935C7E" w:rsidRDefault="0021298F" w:rsidP="00760009">
            <w:pPr>
              <w:jc w:val="right"/>
              <w:rPr>
                <w:rFonts w:ascii="Arial" w:eastAsia="Times New Roman" w:hAnsi="Arial" w:cs="Arial"/>
                <w:b/>
                <w:bCs/>
                <w:color w:val="000000"/>
                <w:lang w:eastAsia="en-GB"/>
              </w:rPr>
            </w:pPr>
            <w:r w:rsidRPr="00935C7E">
              <w:rPr>
                <w:rFonts w:ascii="Arial" w:eastAsia="Times New Roman" w:hAnsi="Arial" w:cs="Arial"/>
                <w:b/>
                <w:bCs/>
                <w:color w:val="000000"/>
                <w:lang w:eastAsia="en-GB"/>
              </w:rPr>
              <w:t> </w:t>
            </w:r>
          </w:p>
        </w:tc>
        <w:tc>
          <w:tcPr>
            <w:tcW w:w="1840" w:type="dxa"/>
            <w:gridSpan w:val="2"/>
            <w:tcBorders>
              <w:top w:val="nil"/>
              <w:left w:val="nil"/>
              <w:bottom w:val="nil"/>
              <w:right w:val="nil"/>
            </w:tcBorders>
            <w:shd w:val="clear" w:color="000000" w:fill="EDFFB7"/>
            <w:noWrap/>
            <w:vAlign w:val="center"/>
            <w:hideMark/>
          </w:tcPr>
          <w:p w14:paraId="2C42B8D4" w14:textId="77777777" w:rsidR="0021298F" w:rsidRPr="00935C7E" w:rsidRDefault="0021298F" w:rsidP="00760009">
            <w:pPr>
              <w:jc w:val="right"/>
              <w:rPr>
                <w:rFonts w:ascii="Arial" w:eastAsia="Times New Roman" w:hAnsi="Arial" w:cs="Arial"/>
                <w:b/>
                <w:bCs/>
                <w:color w:val="000000"/>
                <w:lang w:eastAsia="en-GB"/>
              </w:rPr>
            </w:pPr>
            <w:r w:rsidRPr="00935C7E">
              <w:rPr>
                <w:rFonts w:ascii="Arial" w:eastAsia="Times New Roman" w:hAnsi="Arial" w:cs="Arial"/>
                <w:b/>
                <w:bCs/>
                <w:color w:val="000000"/>
                <w:lang w:eastAsia="en-GB"/>
              </w:rPr>
              <w:t> </w:t>
            </w:r>
          </w:p>
        </w:tc>
      </w:tr>
      <w:tr w:rsidR="0021298F" w:rsidRPr="00935C7E" w14:paraId="3E4800B8" w14:textId="77777777" w:rsidTr="00760009">
        <w:trPr>
          <w:gridAfter w:val="1"/>
          <w:wAfter w:w="8" w:type="dxa"/>
          <w:trHeight w:val="330"/>
        </w:trPr>
        <w:tc>
          <w:tcPr>
            <w:tcW w:w="3969" w:type="dxa"/>
            <w:tcBorders>
              <w:top w:val="nil"/>
              <w:left w:val="nil"/>
              <w:bottom w:val="nil"/>
              <w:right w:val="nil"/>
            </w:tcBorders>
            <w:shd w:val="clear" w:color="000000" w:fill="FFFFFF"/>
            <w:noWrap/>
            <w:vAlign w:val="bottom"/>
            <w:hideMark/>
          </w:tcPr>
          <w:p w14:paraId="624595EC" w14:textId="77777777" w:rsidR="0021298F" w:rsidRPr="00935C7E" w:rsidRDefault="0021298F" w:rsidP="00760009">
            <w:pPr>
              <w:rPr>
                <w:rFonts w:ascii="Arial" w:eastAsia="Times New Roman" w:hAnsi="Arial" w:cs="Arial"/>
                <w:color w:val="000000"/>
                <w:lang w:eastAsia="en-GB"/>
              </w:rPr>
            </w:pPr>
            <w:r w:rsidRPr="00935C7E">
              <w:rPr>
                <w:rFonts w:ascii="Arial" w:eastAsia="Times New Roman" w:hAnsi="Arial" w:cs="Arial"/>
                <w:color w:val="000000"/>
                <w:lang w:eastAsia="en-GB"/>
              </w:rPr>
              <w:t>Opening balance</w:t>
            </w:r>
          </w:p>
        </w:tc>
        <w:tc>
          <w:tcPr>
            <w:tcW w:w="1736" w:type="dxa"/>
            <w:tcBorders>
              <w:top w:val="nil"/>
              <w:left w:val="nil"/>
              <w:bottom w:val="nil"/>
              <w:right w:val="nil"/>
            </w:tcBorders>
            <w:shd w:val="clear" w:color="000000" w:fill="EDFFB7"/>
            <w:noWrap/>
            <w:vAlign w:val="center"/>
            <w:hideMark/>
          </w:tcPr>
          <w:p w14:paraId="22955F52" w14:textId="77777777" w:rsidR="0021298F" w:rsidRPr="00935C7E" w:rsidRDefault="0021298F" w:rsidP="00760009">
            <w:pPr>
              <w:jc w:val="right"/>
              <w:rPr>
                <w:rFonts w:ascii="Arial" w:eastAsia="Times New Roman" w:hAnsi="Arial" w:cs="Arial"/>
                <w:b/>
                <w:bCs/>
                <w:color w:val="000000"/>
                <w:lang w:eastAsia="en-GB"/>
              </w:rPr>
            </w:pPr>
            <w:r w:rsidRPr="00935C7E">
              <w:rPr>
                <w:rFonts w:ascii="Arial" w:eastAsia="Times New Roman" w:hAnsi="Arial" w:cs="Arial"/>
                <w:b/>
                <w:bCs/>
                <w:color w:val="000000"/>
                <w:lang w:eastAsia="en-GB"/>
              </w:rPr>
              <w:t xml:space="preserve">435,336 </w:t>
            </w:r>
          </w:p>
        </w:tc>
        <w:tc>
          <w:tcPr>
            <w:tcW w:w="1840" w:type="dxa"/>
            <w:gridSpan w:val="2"/>
            <w:tcBorders>
              <w:top w:val="nil"/>
              <w:left w:val="nil"/>
              <w:bottom w:val="nil"/>
              <w:right w:val="nil"/>
            </w:tcBorders>
            <w:shd w:val="clear" w:color="000000" w:fill="EDFFB7"/>
            <w:noWrap/>
            <w:vAlign w:val="center"/>
            <w:hideMark/>
          </w:tcPr>
          <w:p w14:paraId="5776856F" w14:textId="77777777" w:rsidR="0021298F" w:rsidRPr="00935C7E" w:rsidRDefault="0021298F" w:rsidP="00760009">
            <w:pPr>
              <w:jc w:val="right"/>
              <w:rPr>
                <w:rFonts w:ascii="Arial" w:eastAsia="Times New Roman" w:hAnsi="Arial" w:cs="Arial"/>
                <w:b/>
                <w:bCs/>
                <w:color w:val="000000"/>
                <w:lang w:eastAsia="en-GB"/>
              </w:rPr>
            </w:pPr>
            <w:r w:rsidRPr="00935C7E">
              <w:rPr>
                <w:rFonts w:ascii="Arial" w:eastAsia="Times New Roman" w:hAnsi="Arial" w:cs="Arial"/>
                <w:b/>
                <w:bCs/>
                <w:color w:val="000000"/>
                <w:lang w:eastAsia="en-GB"/>
              </w:rPr>
              <w:t xml:space="preserve">414,771 </w:t>
            </w:r>
          </w:p>
        </w:tc>
        <w:tc>
          <w:tcPr>
            <w:tcW w:w="1840" w:type="dxa"/>
            <w:gridSpan w:val="2"/>
            <w:tcBorders>
              <w:top w:val="nil"/>
              <w:left w:val="nil"/>
              <w:bottom w:val="nil"/>
              <w:right w:val="nil"/>
            </w:tcBorders>
            <w:shd w:val="clear" w:color="000000" w:fill="EDFFB7"/>
            <w:noWrap/>
            <w:vAlign w:val="center"/>
            <w:hideMark/>
          </w:tcPr>
          <w:p w14:paraId="78E9D973" w14:textId="77777777" w:rsidR="0021298F" w:rsidRPr="00935C7E" w:rsidRDefault="0021298F" w:rsidP="00760009">
            <w:pPr>
              <w:jc w:val="right"/>
              <w:rPr>
                <w:rFonts w:ascii="Arial" w:eastAsia="Times New Roman" w:hAnsi="Arial" w:cs="Arial"/>
                <w:b/>
                <w:bCs/>
                <w:color w:val="000000"/>
                <w:lang w:eastAsia="en-GB"/>
              </w:rPr>
            </w:pPr>
            <w:r w:rsidRPr="00935C7E">
              <w:rPr>
                <w:rFonts w:ascii="Arial" w:eastAsia="Times New Roman" w:hAnsi="Arial" w:cs="Arial"/>
                <w:b/>
                <w:bCs/>
                <w:color w:val="000000"/>
                <w:lang w:eastAsia="en-GB"/>
              </w:rPr>
              <w:t xml:space="preserve">850,107 </w:t>
            </w:r>
          </w:p>
        </w:tc>
      </w:tr>
      <w:tr w:rsidR="0021298F" w:rsidRPr="00935C7E" w14:paraId="4345CD33" w14:textId="77777777" w:rsidTr="00760009">
        <w:trPr>
          <w:gridAfter w:val="1"/>
          <w:wAfter w:w="8" w:type="dxa"/>
          <w:trHeight w:val="330"/>
        </w:trPr>
        <w:tc>
          <w:tcPr>
            <w:tcW w:w="3969" w:type="dxa"/>
            <w:tcBorders>
              <w:top w:val="nil"/>
              <w:left w:val="nil"/>
              <w:bottom w:val="nil"/>
              <w:right w:val="nil"/>
            </w:tcBorders>
            <w:shd w:val="clear" w:color="000000" w:fill="FFFFFF"/>
            <w:noWrap/>
            <w:vAlign w:val="bottom"/>
            <w:hideMark/>
          </w:tcPr>
          <w:p w14:paraId="6B507B11" w14:textId="77777777" w:rsidR="0021298F" w:rsidRPr="00935C7E" w:rsidRDefault="0021298F" w:rsidP="00760009">
            <w:pPr>
              <w:rPr>
                <w:rFonts w:ascii="Arial" w:eastAsia="Times New Roman" w:hAnsi="Arial" w:cs="Arial"/>
                <w:color w:val="000000"/>
                <w:lang w:eastAsia="en-GB"/>
              </w:rPr>
            </w:pPr>
            <w:r w:rsidRPr="00935C7E">
              <w:rPr>
                <w:rFonts w:ascii="Arial" w:eastAsia="Times New Roman" w:hAnsi="Arial" w:cs="Arial"/>
                <w:color w:val="000000"/>
                <w:lang w:eastAsia="en-GB"/>
              </w:rPr>
              <w:t>Additions</w:t>
            </w:r>
          </w:p>
        </w:tc>
        <w:tc>
          <w:tcPr>
            <w:tcW w:w="1736" w:type="dxa"/>
            <w:tcBorders>
              <w:top w:val="nil"/>
              <w:left w:val="nil"/>
              <w:bottom w:val="nil"/>
              <w:right w:val="nil"/>
            </w:tcBorders>
            <w:shd w:val="clear" w:color="000000" w:fill="EDFFB7"/>
            <w:noWrap/>
            <w:vAlign w:val="center"/>
            <w:hideMark/>
          </w:tcPr>
          <w:p w14:paraId="098E2E6B" w14:textId="77777777" w:rsidR="0021298F" w:rsidRPr="00935C7E" w:rsidRDefault="0021298F" w:rsidP="00760009">
            <w:pPr>
              <w:jc w:val="right"/>
              <w:rPr>
                <w:rFonts w:ascii="Arial" w:eastAsia="Times New Roman" w:hAnsi="Arial" w:cs="Arial"/>
                <w:color w:val="000000"/>
                <w:lang w:eastAsia="en-GB"/>
              </w:rPr>
            </w:pPr>
            <w:r w:rsidRPr="00935C7E">
              <w:rPr>
                <w:rFonts w:ascii="Arial" w:eastAsia="Times New Roman" w:hAnsi="Arial" w:cs="Arial"/>
                <w:color w:val="000000"/>
                <w:lang w:eastAsia="en-GB"/>
              </w:rPr>
              <w:t xml:space="preserve">98,578 </w:t>
            </w:r>
          </w:p>
        </w:tc>
        <w:tc>
          <w:tcPr>
            <w:tcW w:w="1840" w:type="dxa"/>
            <w:gridSpan w:val="2"/>
            <w:tcBorders>
              <w:top w:val="nil"/>
              <w:left w:val="nil"/>
              <w:bottom w:val="nil"/>
              <w:right w:val="nil"/>
            </w:tcBorders>
            <w:shd w:val="clear" w:color="000000" w:fill="EDFFB7"/>
            <w:noWrap/>
            <w:vAlign w:val="center"/>
            <w:hideMark/>
          </w:tcPr>
          <w:p w14:paraId="2E97806F" w14:textId="77777777" w:rsidR="0021298F" w:rsidRPr="00935C7E" w:rsidRDefault="0021298F" w:rsidP="00760009">
            <w:pPr>
              <w:jc w:val="right"/>
              <w:rPr>
                <w:rFonts w:ascii="Arial" w:eastAsia="Times New Roman" w:hAnsi="Arial" w:cs="Arial"/>
                <w:color w:val="000000"/>
                <w:lang w:eastAsia="en-GB"/>
              </w:rPr>
            </w:pPr>
            <w:r w:rsidRPr="00935C7E">
              <w:rPr>
                <w:rFonts w:ascii="Arial" w:eastAsia="Times New Roman" w:hAnsi="Arial" w:cs="Arial"/>
                <w:color w:val="000000"/>
                <w:lang w:eastAsia="en-GB"/>
              </w:rPr>
              <w:t xml:space="preserve">25,063 </w:t>
            </w:r>
          </w:p>
        </w:tc>
        <w:tc>
          <w:tcPr>
            <w:tcW w:w="1840" w:type="dxa"/>
            <w:gridSpan w:val="2"/>
            <w:tcBorders>
              <w:top w:val="nil"/>
              <w:left w:val="nil"/>
              <w:bottom w:val="nil"/>
              <w:right w:val="nil"/>
            </w:tcBorders>
            <w:shd w:val="clear" w:color="000000" w:fill="EDFFB7"/>
            <w:noWrap/>
            <w:vAlign w:val="center"/>
            <w:hideMark/>
          </w:tcPr>
          <w:p w14:paraId="0526F9B2" w14:textId="77777777" w:rsidR="0021298F" w:rsidRPr="00935C7E" w:rsidRDefault="0021298F" w:rsidP="00760009">
            <w:pPr>
              <w:jc w:val="right"/>
              <w:rPr>
                <w:rFonts w:ascii="Arial" w:eastAsia="Times New Roman" w:hAnsi="Arial" w:cs="Arial"/>
                <w:b/>
                <w:bCs/>
                <w:color w:val="000000"/>
                <w:lang w:eastAsia="en-GB"/>
              </w:rPr>
            </w:pPr>
            <w:r w:rsidRPr="00935C7E">
              <w:rPr>
                <w:rFonts w:ascii="Arial" w:eastAsia="Times New Roman" w:hAnsi="Arial" w:cs="Arial"/>
                <w:b/>
                <w:bCs/>
                <w:color w:val="000000"/>
                <w:lang w:eastAsia="en-GB"/>
              </w:rPr>
              <w:t xml:space="preserve">123,641 </w:t>
            </w:r>
          </w:p>
        </w:tc>
      </w:tr>
      <w:tr w:rsidR="0021298F" w:rsidRPr="00935C7E" w14:paraId="75A9033F" w14:textId="77777777" w:rsidTr="00760009">
        <w:trPr>
          <w:gridAfter w:val="1"/>
          <w:wAfter w:w="8" w:type="dxa"/>
          <w:trHeight w:val="570"/>
        </w:trPr>
        <w:tc>
          <w:tcPr>
            <w:tcW w:w="3969" w:type="dxa"/>
            <w:tcBorders>
              <w:top w:val="nil"/>
              <w:left w:val="nil"/>
              <w:bottom w:val="nil"/>
              <w:right w:val="nil"/>
            </w:tcBorders>
            <w:shd w:val="clear" w:color="000000" w:fill="FFFFFF"/>
            <w:vAlign w:val="center"/>
            <w:hideMark/>
          </w:tcPr>
          <w:p w14:paraId="67DDE575" w14:textId="77777777" w:rsidR="0021298F" w:rsidRPr="00935C7E" w:rsidRDefault="0021298F" w:rsidP="00760009">
            <w:pPr>
              <w:rPr>
                <w:rFonts w:ascii="Arial" w:eastAsia="Times New Roman" w:hAnsi="Arial" w:cs="Arial"/>
                <w:color w:val="000000"/>
                <w:lang w:eastAsia="en-GB"/>
              </w:rPr>
            </w:pPr>
            <w:r w:rsidRPr="00935C7E">
              <w:rPr>
                <w:rFonts w:ascii="Arial" w:eastAsia="Times New Roman" w:hAnsi="Arial" w:cs="Arial"/>
                <w:color w:val="000000"/>
                <w:lang w:eastAsia="en-GB"/>
              </w:rPr>
              <w:t>Shareholder loan interest capitalised (note 19)</w:t>
            </w:r>
          </w:p>
        </w:tc>
        <w:tc>
          <w:tcPr>
            <w:tcW w:w="1736" w:type="dxa"/>
            <w:tcBorders>
              <w:top w:val="nil"/>
              <w:left w:val="nil"/>
              <w:bottom w:val="nil"/>
              <w:right w:val="nil"/>
            </w:tcBorders>
            <w:shd w:val="clear" w:color="000000" w:fill="EDFFB7"/>
            <w:noWrap/>
            <w:vAlign w:val="center"/>
            <w:hideMark/>
          </w:tcPr>
          <w:p w14:paraId="46B8A1BB" w14:textId="77777777" w:rsidR="0021298F" w:rsidRPr="00935C7E" w:rsidRDefault="0021298F" w:rsidP="00760009">
            <w:pPr>
              <w:jc w:val="right"/>
              <w:rPr>
                <w:rFonts w:ascii="Arial" w:eastAsia="Times New Roman" w:hAnsi="Arial" w:cs="Arial"/>
                <w:color w:val="000000"/>
                <w:lang w:eastAsia="en-GB"/>
              </w:rPr>
            </w:pPr>
            <w:r w:rsidRPr="00935C7E">
              <w:rPr>
                <w:rFonts w:ascii="Arial" w:eastAsia="Times New Roman" w:hAnsi="Arial" w:cs="Arial"/>
                <w:color w:val="000000"/>
                <w:lang w:eastAsia="en-GB"/>
              </w:rPr>
              <w:t xml:space="preserve">1,339 </w:t>
            </w:r>
          </w:p>
        </w:tc>
        <w:tc>
          <w:tcPr>
            <w:tcW w:w="1840" w:type="dxa"/>
            <w:gridSpan w:val="2"/>
            <w:tcBorders>
              <w:top w:val="nil"/>
              <w:left w:val="nil"/>
              <w:bottom w:val="nil"/>
              <w:right w:val="nil"/>
            </w:tcBorders>
            <w:shd w:val="clear" w:color="000000" w:fill="EDFFB7"/>
            <w:noWrap/>
            <w:vAlign w:val="center"/>
            <w:hideMark/>
          </w:tcPr>
          <w:p w14:paraId="34214FD0" w14:textId="77777777" w:rsidR="0021298F" w:rsidRPr="00935C7E" w:rsidRDefault="0021298F" w:rsidP="00760009">
            <w:pPr>
              <w:jc w:val="right"/>
              <w:rPr>
                <w:rFonts w:ascii="Arial" w:eastAsia="Times New Roman" w:hAnsi="Arial" w:cs="Arial"/>
                <w:color w:val="000000"/>
                <w:lang w:eastAsia="en-GB"/>
              </w:rPr>
            </w:pPr>
            <w:r w:rsidRPr="00935C7E">
              <w:rPr>
                <w:rFonts w:ascii="Arial" w:eastAsia="Times New Roman" w:hAnsi="Arial" w:cs="Arial"/>
                <w:color w:val="000000"/>
                <w:lang w:eastAsia="en-GB"/>
              </w:rPr>
              <w:t xml:space="preserve">-   </w:t>
            </w:r>
          </w:p>
        </w:tc>
        <w:tc>
          <w:tcPr>
            <w:tcW w:w="1840" w:type="dxa"/>
            <w:gridSpan w:val="2"/>
            <w:tcBorders>
              <w:top w:val="nil"/>
              <w:left w:val="nil"/>
              <w:bottom w:val="nil"/>
              <w:right w:val="nil"/>
            </w:tcBorders>
            <w:shd w:val="clear" w:color="000000" w:fill="EDFFB7"/>
            <w:noWrap/>
            <w:vAlign w:val="center"/>
            <w:hideMark/>
          </w:tcPr>
          <w:p w14:paraId="7CFF9FF9" w14:textId="77777777" w:rsidR="0021298F" w:rsidRPr="00935C7E" w:rsidRDefault="0021298F" w:rsidP="00760009">
            <w:pPr>
              <w:jc w:val="right"/>
              <w:rPr>
                <w:rFonts w:ascii="Arial" w:eastAsia="Times New Roman" w:hAnsi="Arial" w:cs="Arial"/>
                <w:b/>
                <w:bCs/>
                <w:color w:val="000000"/>
                <w:lang w:eastAsia="en-GB"/>
              </w:rPr>
            </w:pPr>
            <w:r w:rsidRPr="00935C7E">
              <w:rPr>
                <w:rFonts w:ascii="Arial" w:eastAsia="Times New Roman" w:hAnsi="Arial" w:cs="Arial"/>
                <w:b/>
                <w:bCs/>
                <w:color w:val="000000"/>
                <w:lang w:eastAsia="en-GB"/>
              </w:rPr>
              <w:t xml:space="preserve">1,339 </w:t>
            </w:r>
          </w:p>
        </w:tc>
      </w:tr>
      <w:tr w:rsidR="0021298F" w:rsidRPr="00935C7E" w14:paraId="3D48C20C" w14:textId="77777777" w:rsidTr="00760009">
        <w:trPr>
          <w:gridAfter w:val="1"/>
          <w:wAfter w:w="8" w:type="dxa"/>
          <w:trHeight w:val="570"/>
        </w:trPr>
        <w:tc>
          <w:tcPr>
            <w:tcW w:w="3969" w:type="dxa"/>
            <w:tcBorders>
              <w:top w:val="nil"/>
              <w:left w:val="nil"/>
              <w:bottom w:val="nil"/>
              <w:right w:val="nil"/>
            </w:tcBorders>
            <w:shd w:val="clear" w:color="000000" w:fill="FFFFFF"/>
            <w:vAlign w:val="center"/>
            <w:hideMark/>
          </w:tcPr>
          <w:p w14:paraId="6FEE8863" w14:textId="77777777" w:rsidR="0021298F" w:rsidRPr="00935C7E" w:rsidRDefault="0021298F" w:rsidP="00760009">
            <w:pPr>
              <w:rPr>
                <w:rFonts w:ascii="Arial" w:eastAsia="Times New Roman" w:hAnsi="Arial" w:cs="Arial"/>
                <w:color w:val="000000"/>
                <w:lang w:eastAsia="en-GB"/>
              </w:rPr>
            </w:pPr>
            <w:r w:rsidRPr="00935C7E">
              <w:rPr>
                <w:rFonts w:ascii="Arial" w:eastAsia="Times New Roman" w:hAnsi="Arial" w:cs="Arial"/>
                <w:color w:val="000000"/>
                <w:lang w:eastAsia="en-GB"/>
              </w:rPr>
              <w:t>Repayment of shareholder loan investments (note 19)</w:t>
            </w:r>
          </w:p>
        </w:tc>
        <w:tc>
          <w:tcPr>
            <w:tcW w:w="1736" w:type="dxa"/>
            <w:tcBorders>
              <w:top w:val="nil"/>
              <w:left w:val="nil"/>
              <w:bottom w:val="nil"/>
              <w:right w:val="nil"/>
            </w:tcBorders>
            <w:shd w:val="clear" w:color="000000" w:fill="EDFFB7"/>
            <w:noWrap/>
            <w:vAlign w:val="center"/>
            <w:hideMark/>
          </w:tcPr>
          <w:p w14:paraId="2CF32B96" w14:textId="77777777" w:rsidR="0021298F" w:rsidRPr="00935C7E" w:rsidRDefault="0021298F" w:rsidP="00760009">
            <w:pPr>
              <w:jc w:val="right"/>
              <w:rPr>
                <w:rFonts w:ascii="Arial" w:eastAsia="Times New Roman" w:hAnsi="Arial" w:cs="Arial"/>
                <w:color w:val="000000"/>
                <w:lang w:eastAsia="en-GB"/>
              </w:rPr>
            </w:pPr>
            <w:r w:rsidRPr="00935C7E">
              <w:rPr>
                <w:rFonts w:ascii="Arial" w:eastAsia="Times New Roman" w:hAnsi="Arial" w:cs="Arial"/>
                <w:color w:val="000000"/>
                <w:lang w:eastAsia="en-GB"/>
              </w:rPr>
              <w:t xml:space="preserve"> (32,442)</w:t>
            </w:r>
          </w:p>
        </w:tc>
        <w:tc>
          <w:tcPr>
            <w:tcW w:w="1840" w:type="dxa"/>
            <w:gridSpan w:val="2"/>
            <w:tcBorders>
              <w:top w:val="nil"/>
              <w:left w:val="nil"/>
              <w:bottom w:val="nil"/>
              <w:right w:val="nil"/>
            </w:tcBorders>
            <w:shd w:val="clear" w:color="000000" w:fill="EDFFB7"/>
            <w:noWrap/>
            <w:vAlign w:val="center"/>
            <w:hideMark/>
          </w:tcPr>
          <w:p w14:paraId="07DBE972" w14:textId="77777777" w:rsidR="0021298F" w:rsidRPr="00935C7E" w:rsidRDefault="0021298F" w:rsidP="00760009">
            <w:pPr>
              <w:jc w:val="right"/>
              <w:rPr>
                <w:rFonts w:ascii="Arial" w:eastAsia="Times New Roman" w:hAnsi="Arial" w:cs="Arial"/>
                <w:color w:val="000000"/>
                <w:lang w:eastAsia="en-GB"/>
              </w:rPr>
            </w:pPr>
            <w:r w:rsidRPr="00935C7E">
              <w:rPr>
                <w:rFonts w:ascii="Arial" w:eastAsia="Times New Roman" w:hAnsi="Arial" w:cs="Arial"/>
                <w:color w:val="000000"/>
                <w:lang w:eastAsia="en-GB"/>
              </w:rPr>
              <w:t xml:space="preserve">-   </w:t>
            </w:r>
          </w:p>
        </w:tc>
        <w:tc>
          <w:tcPr>
            <w:tcW w:w="1840" w:type="dxa"/>
            <w:gridSpan w:val="2"/>
            <w:tcBorders>
              <w:top w:val="nil"/>
              <w:left w:val="nil"/>
              <w:bottom w:val="nil"/>
              <w:right w:val="nil"/>
            </w:tcBorders>
            <w:shd w:val="clear" w:color="000000" w:fill="EDFFB7"/>
            <w:noWrap/>
            <w:vAlign w:val="center"/>
            <w:hideMark/>
          </w:tcPr>
          <w:p w14:paraId="1A9766A0" w14:textId="77777777" w:rsidR="0021298F" w:rsidRPr="00935C7E" w:rsidRDefault="0021298F" w:rsidP="00760009">
            <w:pPr>
              <w:jc w:val="right"/>
              <w:rPr>
                <w:rFonts w:ascii="Arial" w:eastAsia="Times New Roman" w:hAnsi="Arial" w:cs="Arial"/>
                <w:b/>
                <w:bCs/>
                <w:color w:val="000000"/>
                <w:lang w:eastAsia="en-GB"/>
              </w:rPr>
            </w:pPr>
            <w:r w:rsidRPr="00935C7E">
              <w:rPr>
                <w:rFonts w:ascii="Arial" w:eastAsia="Times New Roman" w:hAnsi="Arial" w:cs="Arial"/>
                <w:b/>
                <w:bCs/>
                <w:color w:val="000000"/>
                <w:lang w:eastAsia="en-GB"/>
              </w:rPr>
              <w:t xml:space="preserve"> (32,442)</w:t>
            </w:r>
          </w:p>
        </w:tc>
      </w:tr>
      <w:tr w:rsidR="0021298F" w:rsidRPr="00935C7E" w14:paraId="727D3487" w14:textId="77777777" w:rsidTr="00760009">
        <w:trPr>
          <w:gridAfter w:val="1"/>
          <w:wAfter w:w="8" w:type="dxa"/>
          <w:trHeight w:val="570"/>
        </w:trPr>
        <w:tc>
          <w:tcPr>
            <w:tcW w:w="3969" w:type="dxa"/>
            <w:tcBorders>
              <w:top w:val="nil"/>
              <w:left w:val="nil"/>
              <w:bottom w:val="single" w:sz="4" w:space="0" w:color="auto"/>
              <w:right w:val="nil"/>
            </w:tcBorders>
            <w:shd w:val="clear" w:color="000000" w:fill="FFFFFF"/>
            <w:vAlign w:val="center"/>
            <w:hideMark/>
          </w:tcPr>
          <w:p w14:paraId="2B49097F" w14:textId="77777777" w:rsidR="0021298F" w:rsidRPr="00935C7E" w:rsidRDefault="0021298F" w:rsidP="00760009">
            <w:pPr>
              <w:rPr>
                <w:rFonts w:ascii="Arial" w:eastAsia="Times New Roman" w:hAnsi="Arial" w:cs="Arial"/>
                <w:color w:val="000000"/>
                <w:lang w:eastAsia="en-GB"/>
              </w:rPr>
            </w:pPr>
            <w:r w:rsidRPr="00935C7E">
              <w:rPr>
                <w:rFonts w:ascii="Arial" w:eastAsia="Times New Roman" w:hAnsi="Arial" w:cs="Arial"/>
                <w:color w:val="000000"/>
                <w:lang w:eastAsia="en-GB"/>
              </w:rPr>
              <w:t>Unrealised movement in fair value of investments (note 4)</w:t>
            </w:r>
          </w:p>
        </w:tc>
        <w:tc>
          <w:tcPr>
            <w:tcW w:w="1736" w:type="dxa"/>
            <w:tcBorders>
              <w:top w:val="nil"/>
              <w:left w:val="nil"/>
              <w:bottom w:val="single" w:sz="4" w:space="0" w:color="auto"/>
              <w:right w:val="nil"/>
            </w:tcBorders>
            <w:shd w:val="clear" w:color="000000" w:fill="EDFFB7"/>
            <w:noWrap/>
            <w:vAlign w:val="center"/>
            <w:hideMark/>
          </w:tcPr>
          <w:p w14:paraId="2BFE1D63" w14:textId="77777777" w:rsidR="0021298F" w:rsidRPr="00935C7E" w:rsidRDefault="0021298F" w:rsidP="00760009">
            <w:pPr>
              <w:jc w:val="right"/>
              <w:rPr>
                <w:rFonts w:ascii="Arial" w:eastAsia="Times New Roman" w:hAnsi="Arial" w:cs="Arial"/>
                <w:color w:val="000000"/>
                <w:lang w:eastAsia="en-GB"/>
              </w:rPr>
            </w:pPr>
            <w:r w:rsidRPr="00935C7E">
              <w:rPr>
                <w:rFonts w:ascii="Arial" w:eastAsia="Times New Roman" w:hAnsi="Arial" w:cs="Arial"/>
                <w:color w:val="000000"/>
                <w:lang w:eastAsia="en-GB"/>
              </w:rPr>
              <w:t xml:space="preserve">2,741 </w:t>
            </w:r>
          </w:p>
        </w:tc>
        <w:tc>
          <w:tcPr>
            <w:tcW w:w="1840" w:type="dxa"/>
            <w:gridSpan w:val="2"/>
            <w:tcBorders>
              <w:top w:val="nil"/>
              <w:left w:val="nil"/>
              <w:bottom w:val="single" w:sz="4" w:space="0" w:color="auto"/>
              <w:right w:val="nil"/>
            </w:tcBorders>
            <w:shd w:val="clear" w:color="000000" w:fill="EDFFB7"/>
            <w:noWrap/>
            <w:vAlign w:val="center"/>
            <w:hideMark/>
          </w:tcPr>
          <w:p w14:paraId="4EBA270C" w14:textId="77777777" w:rsidR="0021298F" w:rsidRPr="00935C7E" w:rsidRDefault="0021298F" w:rsidP="00760009">
            <w:pPr>
              <w:jc w:val="right"/>
              <w:rPr>
                <w:rFonts w:ascii="Arial" w:eastAsia="Times New Roman" w:hAnsi="Arial" w:cs="Arial"/>
                <w:color w:val="000000"/>
                <w:lang w:eastAsia="en-GB"/>
              </w:rPr>
            </w:pPr>
            <w:r w:rsidRPr="00935C7E">
              <w:rPr>
                <w:rFonts w:ascii="Arial" w:eastAsia="Times New Roman" w:hAnsi="Arial" w:cs="Arial"/>
                <w:color w:val="000000"/>
                <w:lang w:eastAsia="en-GB"/>
              </w:rPr>
              <w:t xml:space="preserve"> (1,034)</w:t>
            </w:r>
          </w:p>
        </w:tc>
        <w:tc>
          <w:tcPr>
            <w:tcW w:w="1840" w:type="dxa"/>
            <w:gridSpan w:val="2"/>
            <w:tcBorders>
              <w:top w:val="nil"/>
              <w:left w:val="nil"/>
              <w:bottom w:val="single" w:sz="4" w:space="0" w:color="auto"/>
              <w:right w:val="nil"/>
            </w:tcBorders>
            <w:shd w:val="clear" w:color="000000" w:fill="EDFFB7"/>
            <w:noWrap/>
            <w:vAlign w:val="center"/>
            <w:hideMark/>
          </w:tcPr>
          <w:p w14:paraId="5678C728" w14:textId="77777777" w:rsidR="0021298F" w:rsidRPr="00935C7E" w:rsidRDefault="0021298F" w:rsidP="00760009">
            <w:pPr>
              <w:jc w:val="right"/>
              <w:rPr>
                <w:rFonts w:ascii="Arial" w:eastAsia="Times New Roman" w:hAnsi="Arial" w:cs="Arial"/>
                <w:b/>
                <w:bCs/>
                <w:color w:val="000000"/>
                <w:lang w:eastAsia="en-GB"/>
              </w:rPr>
            </w:pPr>
            <w:r w:rsidRPr="00935C7E">
              <w:rPr>
                <w:rFonts w:ascii="Arial" w:eastAsia="Times New Roman" w:hAnsi="Arial" w:cs="Arial"/>
                <w:b/>
                <w:bCs/>
                <w:color w:val="000000"/>
                <w:lang w:eastAsia="en-GB"/>
              </w:rPr>
              <w:t xml:space="preserve">1,707 </w:t>
            </w:r>
          </w:p>
        </w:tc>
      </w:tr>
      <w:tr w:rsidR="0021298F" w:rsidRPr="00935C7E" w14:paraId="3187AD32" w14:textId="77777777" w:rsidTr="00760009">
        <w:trPr>
          <w:gridAfter w:val="1"/>
          <w:wAfter w:w="8" w:type="dxa"/>
          <w:trHeight w:val="435"/>
        </w:trPr>
        <w:tc>
          <w:tcPr>
            <w:tcW w:w="3969" w:type="dxa"/>
            <w:tcBorders>
              <w:top w:val="nil"/>
              <w:left w:val="nil"/>
              <w:bottom w:val="single" w:sz="8" w:space="0" w:color="auto"/>
              <w:right w:val="nil"/>
            </w:tcBorders>
            <w:shd w:val="clear" w:color="000000" w:fill="FFFFFF"/>
            <w:noWrap/>
            <w:vAlign w:val="center"/>
            <w:hideMark/>
          </w:tcPr>
          <w:p w14:paraId="48550791" w14:textId="77777777" w:rsidR="0021298F" w:rsidRPr="00935C7E" w:rsidRDefault="0021298F" w:rsidP="00760009">
            <w:pPr>
              <w:rPr>
                <w:rFonts w:ascii="Arial" w:eastAsia="Times New Roman" w:hAnsi="Arial" w:cs="Arial"/>
                <w:b/>
                <w:bCs/>
                <w:color w:val="000000"/>
                <w:lang w:eastAsia="en-GB"/>
              </w:rPr>
            </w:pPr>
            <w:r w:rsidRPr="00935C7E">
              <w:rPr>
                <w:rFonts w:ascii="Arial" w:eastAsia="Times New Roman" w:hAnsi="Arial" w:cs="Arial"/>
                <w:b/>
                <w:bCs/>
                <w:color w:val="000000"/>
                <w:lang w:eastAsia="en-GB"/>
              </w:rPr>
              <w:t> </w:t>
            </w:r>
          </w:p>
        </w:tc>
        <w:tc>
          <w:tcPr>
            <w:tcW w:w="1736" w:type="dxa"/>
            <w:tcBorders>
              <w:top w:val="nil"/>
              <w:left w:val="nil"/>
              <w:bottom w:val="single" w:sz="8" w:space="0" w:color="auto"/>
              <w:right w:val="nil"/>
            </w:tcBorders>
            <w:shd w:val="clear" w:color="000000" w:fill="EDFFB7"/>
            <w:noWrap/>
            <w:vAlign w:val="center"/>
            <w:hideMark/>
          </w:tcPr>
          <w:p w14:paraId="01102E81" w14:textId="77777777" w:rsidR="0021298F" w:rsidRPr="00935C7E" w:rsidRDefault="0021298F" w:rsidP="00760009">
            <w:pPr>
              <w:jc w:val="right"/>
              <w:rPr>
                <w:rFonts w:ascii="Arial" w:eastAsia="Times New Roman" w:hAnsi="Arial" w:cs="Arial"/>
                <w:b/>
                <w:bCs/>
                <w:color w:val="000000"/>
                <w:lang w:eastAsia="en-GB"/>
              </w:rPr>
            </w:pPr>
            <w:r w:rsidRPr="00935C7E">
              <w:rPr>
                <w:rFonts w:ascii="Arial" w:eastAsia="Times New Roman" w:hAnsi="Arial" w:cs="Arial"/>
                <w:b/>
                <w:bCs/>
                <w:color w:val="000000"/>
                <w:lang w:eastAsia="en-GB"/>
              </w:rPr>
              <w:t xml:space="preserve">505,552 </w:t>
            </w:r>
          </w:p>
        </w:tc>
        <w:tc>
          <w:tcPr>
            <w:tcW w:w="1840" w:type="dxa"/>
            <w:gridSpan w:val="2"/>
            <w:tcBorders>
              <w:top w:val="nil"/>
              <w:left w:val="nil"/>
              <w:bottom w:val="single" w:sz="8" w:space="0" w:color="auto"/>
              <w:right w:val="nil"/>
            </w:tcBorders>
            <w:shd w:val="clear" w:color="000000" w:fill="EDFFB7"/>
            <w:noWrap/>
            <w:vAlign w:val="center"/>
            <w:hideMark/>
          </w:tcPr>
          <w:p w14:paraId="64D4C2C2" w14:textId="77777777" w:rsidR="0021298F" w:rsidRPr="00935C7E" w:rsidRDefault="0021298F" w:rsidP="00760009">
            <w:pPr>
              <w:jc w:val="right"/>
              <w:rPr>
                <w:rFonts w:ascii="Arial" w:eastAsia="Times New Roman" w:hAnsi="Arial" w:cs="Arial"/>
                <w:b/>
                <w:bCs/>
                <w:color w:val="000000"/>
                <w:lang w:eastAsia="en-GB"/>
              </w:rPr>
            </w:pPr>
            <w:r w:rsidRPr="00935C7E">
              <w:rPr>
                <w:rFonts w:ascii="Arial" w:eastAsia="Times New Roman" w:hAnsi="Arial" w:cs="Arial"/>
                <w:b/>
                <w:bCs/>
                <w:color w:val="000000"/>
                <w:lang w:eastAsia="en-GB"/>
              </w:rPr>
              <w:t xml:space="preserve">438,800 </w:t>
            </w:r>
          </w:p>
        </w:tc>
        <w:tc>
          <w:tcPr>
            <w:tcW w:w="1840" w:type="dxa"/>
            <w:gridSpan w:val="2"/>
            <w:tcBorders>
              <w:top w:val="nil"/>
              <w:left w:val="nil"/>
              <w:bottom w:val="single" w:sz="8" w:space="0" w:color="auto"/>
              <w:right w:val="nil"/>
            </w:tcBorders>
            <w:shd w:val="clear" w:color="000000" w:fill="EDFFB7"/>
            <w:noWrap/>
            <w:vAlign w:val="center"/>
            <w:hideMark/>
          </w:tcPr>
          <w:p w14:paraId="514079A6" w14:textId="77777777" w:rsidR="0021298F" w:rsidRPr="00935C7E" w:rsidRDefault="0021298F" w:rsidP="00760009">
            <w:pPr>
              <w:jc w:val="right"/>
              <w:rPr>
                <w:rFonts w:ascii="Arial" w:eastAsia="Times New Roman" w:hAnsi="Arial" w:cs="Arial"/>
                <w:b/>
                <w:bCs/>
                <w:color w:val="000000"/>
                <w:lang w:eastAsia="en-GB"/>
              </w:rPr>
            </w:pPr>
            <w:r w:rsidRPr="00935C7E">
              <w:rPr>
                <w:rFonts w:ascii="Arial" w:eastAsia="Times New Roman" w:hAnsi="Arial" w:cs="Arial"/>
                <w:b/>
                <w:bCs/>
                <w:color w:val="000000"/>
                <w:lang w:eastAsia="en-GB"/>
              </w:rPr>
              <w:t xml:space="preserve">944,352 </w:t>
            </w:r>
          </w:p>
        </w:tc>
      </w:tr>
      <w:tr w:rsidR="0021298F" w:rsidRPr="00935C7E" w14:paraId="3A7EAED8" w14:textId="77777777" w:rsidTr="00760009">
        <w:trPr>
          <w:trHeight w:val="300"/>
        </w:trPr>
        <w:tc>
          <w:tcPr>
            <w:tcW w:w="3969" w:type="dxa"/>
            <w:tcBorders>
              <w:top w:val="nil"/>
              <w:left w:val="nil"/>
              <w:bottom w:val="nil"/>
              <w:right w:val="nil"/>
            </w:tcBorders>
            <w:shd w:val="clear" w:color="auto" w:fill="auto"/>
            <w:noWrap/>
            <w:vAlign w:val="bottom"/>
            <w:hideMark/>
          </w:tcPr>
          <w:p w14:paraId="3D0C337A" w14:textId="77777777" w:rsidR="0021298F" w:rsidRPr="009D431D" w:rsidRDefault="0021298F" w:rsidP="00760009">
            <w:pPr>
              <w:rPr>
                <w:rFonts w:ascii="Times New Roman" w:eastAsia="Times New Roman" w:hAnsi="Times New Roman" w:cs="Times New Roman"/>
                <w:sz w:val="10"/>
                <w:szCs w:val="10"/>
                <w:lang w:eastAsia="en-GB"/>
              </w:rPr>
            </w:pPr>
          </w:p>
          <w:p w14:paraId="181FA0C5" w14:textId="77777777" w:rsidR="0021298F" w:rsidRPr="00935C7E" w:rsidRDefault="0021298F" w:rsidP="00760009">
            <w:pPr>
              <w:rPr>
                <w:rFonts w:ascii="Times New Roman" w:eastAsia="Times New Roman" w:hAnsi="Times New Roman" w:cs="Times New Roman"/>
                <w:lang w:eastAsia="en-GB"/>
              </w:rPr>
            </w:pPr>
          </w:p>
        </w:tc>
        <w:tc>
          <w:tcPr>
            <w:tcW w:w="1744" w:type="dxa"/>
            <w:gridSpan w:val="2"/>
            <w:tcBorders>
              <w:top w:val="nil"/>
              <w:left w:val="nil"/>
              <w:bottom w:val="nil"/>
              <w:right w:val="nil"/>
            </w:tcBorders>
            <w:shd w:val="clear" w:color="000000" w:fill="FFFFFF"/>
            <w:vAlign w:val="center"/>
            <w:hideMark/>
          </w:tcPr>
          <w:p w14:paraId="10676A0E" w14:textId="77777777" w:rsidR="0021298F" w:rsidRPr="00935C7E" w:rsidRDefault="0021298F" w:rsidP="00760009">
            <w:pPr>
              <w:jc w:val="right"/>
              <w:rPr>
                <w:rFonts w:ascii="Arial" w:eastAsia="Times New Roman" w:hAnsi="Arial" w:cs="Arial"/>
                <w:b/>
                <w:bCs/>
                <w:color w:val="000000"/>
                <w:lang w:eastAsia="en-GB"/>
              </w:rPr>
            </w:pPr>
            <w:r w:rsidRPr="00935C7E">
              <w:rPr>
                <w:rFonts w:ascii="Arial" w:eastAsia="Times New Roman" w:hAnsi="Arial" w:cs="Arial"/>
                <w:b/>
                <w:bCs/>
                <w:color w:val="000000"/>
                <w:lang w:eastAsia="en-GB"/>
              </w:rPr>
              <w:t xml:space="preserve">Loans </w:t>
            </w:r>
          </w:p>
        </w:tc>
        <w:tc>
          <w:tcPr>
            <w:tcW w:w="1840" w:type="dxa"/>
            <w:gridSpan w:val="2"/>
            <w:tcBorders>
              <w:top w:val="nil"/>
              <w:left w:val="nil"/>
              <w:bottom w:val="nil"/>
              <w:right w:val="nil"/>
            </w:tcBorders>
            <w:shd w:val="clear" w:color="000000" w:fill="FFFFFF"/>
            <w:vAlign w:val="center"/>
            <w:hideMark/>
          </w:tcPr>
          <w:p w14:paraId="6A5C4F4F" w14:textId="77777777" w:rsidR="0021298F" w:rsidRPr="00935C7E" w:rsidRDefault="0021298F" w:rsidP="00760009">
            <w:pPr>
              <w:jc w:val="right"/>
              <w:rPr>
                <w:rFonts w:ascii="Arial" w:eastAsia="Times New Roman" w:hAnsi="Arial" w:cs="Arial"/>
                <w:b/>
                <w:bCs/>
                <w:color w:val="000000"/>
                <w:lang w:eastAsia="en-GB"/>
              </w:rPr>
            </w:pPr>
            <w:r w:rsidRPr="00935C7E">
              <w:rPr>
                <w:rFonts w:ascii="Arial" w:eastAsia="Times New Roman" w:hAnsi="Arial" w:cs="Arial"/>
                <w:b/>
                <w:bCs/>
                <w:color w:val="000000"/>
                <w:lang w:eastAsia="en-GB"/>
              </w:rPr>
              <w:t xml:space="preserve">Equity interest </w:t>
            </w:r>
          </w:p>
        </w:tc>
        <w:tc>
          <w:tcPr>
            <w:tcW w:w="1840" w:type="dxa"/>
            <w:gridSpan w:val="2"/>
            <w:tcBorders>
              <w:top w:val="nil"/>
              <w:left w:val="nil"/>
              <w:bottom w:val="nil"/>
              <w:right w:val="nil"/>
            </w:tcBorders>
            <w:shd w:val="clear" w:color="000000" w:fill="FFFFFF"/>
            <w:vAlign w:val="center"/>
            <w:hideMark/>
          </w:tcPr>
          <w:p w14:paraId="725B7AB0" w14:textId="77777777" w:rsidR="0021298F" w:rsidRPr="00935C7E" w:rsidRDefault="0021298F" w:rsidP="00760009">
            <w:pPr>
              <w:jc w:val="right"/>
              <w:rPr>
                <w:rFonts w:ascii="Arial" w:eastAsia="Times New Roman" w:hAnsi="Arial" w:cs="Arial"/>
                <w:b/>
                <w:bCs/>
                <w:color w:val="000000"/>
                <w:lang w:eastAsia="en-GB"/>
              </w:rPr>
            </w:pPr>
            <w:r w:rsidRPr="00935C7E">
              <w:rPr>
                <w:rFonts w:ascii="Arial" w:eastAsia="Times New Roman" w:hAnsi="Arial" w:cs="Arial"/>
                <w:b/>
                <w:bCs/>
                <w:color w:val="000000"/>
                <w:lang w:eastAsia="en-GB"/>
              </w:rPr>
              <w:t>Total</w:t>
            </w:r>
          </w:p>
        </w:tc>
      </w:tr>
      <w:tr w:rsidR="0021298F" w:rsidRPr="00935C7E" w14:paraId="5D0187B0" w14:textId="77777777" w:rsidTr="00760009">
        <w:trPr>
          <w:trHeight w:val="300"/>
        </w:trPr>
        <w:tc>
          <w:tcPr>
            <w:tcW w:w="3969" w:type="dxa"/>
            <w:tcBorders>
              <w:top w:val="nil"/>
              <w:left w:val="nil"/>
              <w:bottom w:val="single" w:sz="4" w:space="0" w:color="auto"/>
              <w:right w:val="nil"/>
            </w:tcBorders>
            <w:shd w:val="clear" w:color="000000" w:fill="FFFFFF"/>
            <w:vAlign w:val="bottom"/>
            <w:hideMark/>
          </w:tcPr>
          <w:p w14:paraId="29066684" w14:textId="77777777" w:rsidR="0021298F" w:rsidRPr="00935C7E" w:rsidRDefault="0021298F" w:rsidP="00760009">
            <w:pPr>
              <w:rPr>
                <w:rFonts w:ascii="Arial" w:eastAsia="Times New Roman" w:hAnsi="Arial" w:cs="Arial"/>
                <w:b/>
                <w:bCs/>
                <w:color w:val="000000"/>
                <w:lang w:eastAsia="en-GB"/>
              </w:rPr>
            </w:pPr>
            <w:r w:rsidRPr="00935C7E">
              <w:rPr>
                <w:rFonts w:ascii="Arial" w:eastAsia="Times New Roman" w:hAnsi="Arial" w:cs="Arial"/>
                <w:b/>
                <w:bCs/>
                <w:color w:val="000000"/>
                <w:lang w:eastAsia="en-GB"/>
              </w:rPr>
              <w:t>Group as at 31 December 2019</w:t>
            </w:r>
          </w:p>
        </w:tc>
        <w:tc>
          <w:tcPr>
            <w:tcW w:w="1744" w:type="dxa"/>
            <w:gridSpan w:val="2"/>
            <w:tcBorders>
              <w:top w:val="nil"/>
              <w:left w:val="nil"/>
              <w:bottom w:val="single" w:sz="4" w:space="0" w:color="auto"/>
              <w:right w:val="nil"/>
            </w:tcBorders>
            <w:shd w:val="clear" w:color="000000" w:fill="FFFFFF"/>
            <w:noWrap/>
            <w:vAlign w:val="bottom"/>
            <w:hideMark/>
          </w:tcPr>
          <w:p w14:paraId="7597ABD1" w14:textId="77777777" w:rsidR="0021298F" w:rsidRPr="00935C7E" w:rsidRDefault="0021298F" w:rsidP="00760009">
            <w:pPr>
              <w:jc w:val="right"/>
              <w:rPr>
                <w:rFonts w:ascii="Arial" w:eastAsia="Times New Roman" w:hAnsi="Arial" w:cs="Arial"/>
                <w:b/>
                <w:bCs/>
                <w:color w:val="000000"/>
                <w:lang w:eastAsia="en-GB"/>
              </w:rPr>
            </w:pPr>
            <w:r w:rsidRPr="00935C7E">
              <w:rPr>
                <w:rFonts w:ascii="Arial" w:eastAsia="Times New Roman" w:hAnsi="Arial" w:cs="Arial"/>
                <w:b/>
                <w:bCs/>
                <w:color w:val="000000"/>
                <w:lang w:eastAsia="en-GB"/>
              </w:rPr>
              <w:t>€'000</w:t>
            </w:r>
          </w:p>
        </w:tc>
        <w:tc>
          <w:tcPr>
            <w:tcW w:w="1840" w:type="dxa"/>
            <w:gridSpan w:val="2"/>
            <w:tcBorders>
              <w:top w:val="nil"/>
              <w:left w:val="nil"/>
              <w:bottom w:val="single" w:sz="4" w:space="0" w:color="auto"/>
              <w:right w:val="nil"/>
            </w:tcBorders>
            <w:shd w:val="clear" w:color="000000" w:fill="FFFFFF"/>
            <w:noWrap/>
            <w:vAlign w:val="bottom"/>
            <w:hideMark/>
          </w:tcPr>
          <w:p w14:paraId="56A77745" w14:textId="77777777" w:rsidR="0021298F" w:rsidRPr="00935C7E" w:rsidRDefault="0021298F" w:rsidP="00760009">
            <w:pPr>
              <w:jc w:val="right"/>
              <w:rPr>
                <w:rFonts w:ascii="Arial" w:eastAsia="Times New Roman" w:hAnsi="Arial" w:cs="Arial"/>
                <w:b/>
                <w:bCs/>
                <w:color w:val="000000"/>
                <w:lang w:eastAsia="en-GB"/>
              </w:rPr>
            </w:pPr>
            <w:r w:rsidRPr="00935C7E">
              <w:rPr>
                <w:rFonts w:ascii="Arial" w:eastAsia="Times New Roman" w:hAnsi="Arial" w:cs="Arial"/>
                <w:b/>
                <w:bCs/>
                <w:color w:val="000000"/>
                <w:lang w:eastAsia="en-GB"/>
              </w:rPr>
              <w:t>€'000</w:t>
            </w:r>
          </w:p>
        </w:tc>
        <w:tc>
          <w:tcPr>
            <w:tcW w:w="1840" w:type="dxa"/>
            <w:gridSpan w:val="2"/>
            <w:tcBorders>
              <w:top w:val="nil"/>
              <w:left w:val="nil"/>
              <w:bottom w:val="single" w:sz="4" w:space="0" w:color="auto"/>
              <w:right w:val="nil"/>
            </w:tcBorders>
            <w:shd w:val="clear" w:color="000000" w:fill="FFFFFF"/>
            <w:noWrap/>
            <w:vAlign w:val="bottom"/>
            <w:hideMark/>
          </w:tcPr>
          <w:p w14:paraId="71978621" w14:textId="77777777" w:rsidR="0021298F" w:rsidRPr="00935C7E" w:rsidRDefault="0021298F" w:rsidP="00760009">
            <w:pPr>
              <w:jc w:val="right"/>
              <w:rPr>
                <w:rFonts w:ascii="Arial" w:eastAsia="Times New Roman" w:hAnsi="Arial" w:cs="Arial"/>
                <w:b/>
                <w:bCs/>
                <w:color w:val="000000"/>
                <w:lang w:eastAsia="en-GB"/>
              </w:rPr>
            </w:pPr>
            <w:r w:rsidRPr="00935C7E">
              <w:rPr>
                <w:rFonts w:ascii="Arial" w:eastAsia="Times New Roman" w:hAnsi="Arial" w:cs="Arial"/>
                <w:b/>
                <w:bCs/>
                <w:color w:val="000000"/>
                <w:lang w:eastAsia="en-GB"/>
              </w:rPr>
              <w:t>€'000</w:t>
            </w:r>
          </w:p>
        </w:tc>
      </w:tr>
      <w:tr w:rsidR="0021298F" w:rsidRPr="00935C7E" w14:paraId="012FC7F7" w14:textId="77777777" w:rsidTr="00760009">
        <w:trPr>
          <w:trHeight w:val="139"/>
        </w:trPr>
        <w:tc>
          <w:tcPr>
            <w:tcW w:w="3969" w:type="dxa"/>
            <w:tcBorders>
              <w:top w:val="nil"/>
              <w:left w:val="nil"/>
              <w:bottom w:val="nil"/>
              <w:right w:val="nil"/>
            </w:tcBorders>
            <w:shd w:val="clear" w:color="000000" w:fill="FFFFFF"/>
            <w:noWrap/>
            <w:vAlign w:val="bottom"/>
            <w:hideMark/>
          </w:tcPr>
          <w:p w14:paraId="1EBF53C4" w14:textId="77777777" w:rsidR="0021298F" w:rsidRPr="00935C7E" w:rsidRDefault="0021298F" w:rsidP="00760009">
            <w:pPr>
              <w:rPr>
                <w:rFonts w:ascii="Arial" w:eastAsia="Times New Roman" w:hAnsi="Arial" w:cs="Arial"/>
                <w:b/>
                <w:bCs/>
                <w:color w:val="000000"/>
                <w:lang w:eastAsia="en-GB"/>
              </w:rPr>
            </w:pPr>
            <w:r w:rsidRPr="00935C7E">
              <w:rPr>
                <w:rFonts w:ascii="Arial" w:eastAsia="Times New Roman" w:hAnsi="Arial" w:cs="Arial"/>
                <w:b/>
                <w:bCs/>
                <w:color w:val="000000"/>
                <w:lang w:eastAsia="en-GB"/>
              </w:rPr>
              <w:t> </w:t>
            </w:r>
          </w:p>
        </w:tc>
        <w:tc>
          <w:tcPr>
            <w:tcW w:w="1744" w:type="dxa"/>
            <w:gridSpan w:val="2"/>
            <w:tcBorders>
              <w:top w:val="nil"/>
              <w:left w:val="nil"/>
              <w:bottom w:val="nil"/>
              <w:right w:val="nil"/>
            </w:tcBorders>
            <w:shd w:val="clear" w:color="000000" w:fill="FFFFFF"/>
            <w:vAlign w:val="center"/>
            <w:hideMark/>
          </w:tcPr>
          <w:p w14:paraId="2CFD3E1A" w14:textId="77777777" w:rsidR="0021298F" w:rsidRPr="00935C7E" w:rsidRDefault="0021298F" w:rsidP="00760009">
            <w:pPr>
              <w:jc w:val="right"/>
              <w:rPr>
                <w:rFonts w:ascii="Arial" w:eastAsia="Times New Roman" w:hAnsi="Arial" w:cs="Arial"/>
                <w:color w:val="000000"/>
                <w:lang w:eastAsia="en-GB"/>
              </w:rPr>
            </w:pPr>
            <w:r w:rsidRPr="00935C7E">
              <w:rPr>
                <w:rFonts w:ascii="Arial" w:eastAsia="Times New Roman" w:hAnsi="Arial" w:cs="Arial"/>
                <w:color w:val="000000"/>
                <w:lang w:eastAsia="en-GB"/>
              </w:rPr>
              <w:t> </w:t>
            </w:r>
          </w:p>
        </w:tc>
        <w:tc>
          <w:tcPr>
            <w:tcW w:w="1840" w:type="dxa"/>
            <w:gridSpan w:val="2"/>
            <w:tcBorders>
              <w:top w:val="nil"/>
              <w:left w:val="nil"/>
              <w:bottom w:val="nil"/>
              <w:right w:val="nil"/>
            </w:tcBorders>
            <w:shd w:val="clear" w:color="000000" w:fill="FFFFFF"/>
            <w:vAlign w:val="center"/>
            <w:hideMark/>
          </w:tcPr>
          <w:p w14:paraId="0A443242" w14:textId="77777777" w:rsidR="0021298F" w:rsidRPr="00935C7E" w:rsidRDefault="0021298F" w:rsidP="00760009">
            <w:pPr>
              <w:jc w:val="right"/>
              <w:rPr>
                <w:rFonts w:ascii="Arial" w:eastAsia="Times New Roman" w:hAnsi="Arial" w:cs="Arial"/>
                <w:color w:val="000000"/>
                <w:lang w:eastAsia="en-GB"/>
              </w:rPr>
            </w:pPr>
            <w:r w:rsidRPr="00935C7E">
              <w:rPr>
                <w:rFonts w:ascii="Arial" w:eastAsia="Times New Roman" w:hAnsi="Arial" w:cs="Arial"/>
                <w:color w:val="000000"/>
                <w:lang w:eastAsia="en-GB"/>
              </w:rPr>
              <w:t> </w:t>
            </w:r>
          </w:p>
        </w:tc>
        <w:tc>
          <w:tcPr>
            <w:tcW w:w="1840" w:type="dxa"/>
            <w:gridSpan w:val="2"/>
            <w:tcBorders>
              <w:top w:val="nil"/>
              <w:left w:val="nil"/>
              <w:bottom w:val="nil"/>
              <w:right w:val="nil"/>
            </w:tcBorders>
            <w:shd w:val="clear" w:color="000000" w:fill="FFFFFF"/>
            <w:vAlign w:val="center"/>
            <w:hideMark/>
          </w:tcPr>
          <w:p w14:paraId="7548B40A" w14:textId="77777777" w:rsidR="0021298F" w:rsidRPr="00935C7E" w:rsidRDefault="0021298F" w:rsidP="00760009">
            <w:pPr>
              <w:jc w:val="right"/>
              <w:rPr>
                <w:rFonts w:ascii="Arial" w:eastAsia="Times New Roman" w:hAnsi="Arial" w:cs="Arial"/>
                <w:color w:val="000000"/>
                <w:lang w:eastAsia="en-GB"/>
              </w:rPr>
            </w:pPr>
            <w:r w:rsidRPr="00935C7E">
              <w:rPr>
                <w:rFonts w:ascii="Arial" w:eastAsia="Times New Roman" w:hAnsi="Arial" w:cs="Arial"/>
                <w:color w:val="000000"/>
                <w:lang w:eastAsia="en-GB"/>
              </w:rPr>
              <w:t> </w:t>
            </w:r>
          </w:p>
        </w:tc>
      </w:tr>
      <w:tr w:rsidR="0021298F" w:rsidRPr="00935C7E" w14:paraId="44B72679" w14:textId="77777777" w:rsidTr="00760009">
        <w:trPr>
          <w:trHeight w:val="300"/>
        </w:trPr>
        <w:tc>
          <w:tcPr>
            <w:tcW w:w="3969" w:type="dxa"/>
            <w:tcBorders>
              <w:top w:val="nil"/>
              <w:left w:val="nil"/>
              <w:bottom w:val="nil"/>
              <w:right w:val="nil"/>
            </w:tcBorders>
            <w:shd w:val="clear" w:color="000000" w:fill="FFFFFF"/>
            <w:noWrap/>
            <w:vAlign w:val="bottom"/>
            <w:hideMark/>
          </w:tcPr>
          <w:p w14:paraId="21170A9A" w14:textId="77777777" w:rsidR="0021298F" w:rsidRPr="00935C7E" w:rsidRDefault="0021298F" w:rsidP="00760009">
            <w:pPr>
              <w:rPr>
                <w:rFonts w:ascii="Arial" w:eastAsia="Times New Roman" w:hAnsi="Arial" w:cs="Arial"/>
                <w:color w:val="000000"/>
                <w:lang w:eastAsia="en-GB"/>
              </w:rPr>
            </w:pPr>
            <w:r w:rsidRPr="00935C7E">
              <w:rPr>
                <w:rFonts w:ascii="Arial" w:eastAsia="Times New Roman" w:hAnsi="Arial" w:cs="Arial"/>
                <w:color w:val="000000"/>
                <w:lang w:eastAsia="en-GB"/>
              </w:rPr>
              <w:t>Opening balance</w:t>
            </w:r>
          </w:p>
        </w:tc>
        <w:tc>
          <w:tcPr>
            <w:tcW w:w="1744" w:type="dxa"/>
            <w:gridSpan w:val="2"/>
            <w:tcBorders>
              <w:top w:val="nil"/>
              <w:left w:val="nil"/>
              <w:bottom w:val="nil"/>
              <w:right w:val="nil"/>
            </w:tcBorders>
            <w:shd w:val="clear" w:color="000000" w:fill="FFFFFF"/>
            <w:vAlign w:val="center"/>
            <w:hideMark/>
          </w:tcPr>
          <w:p w14:paraId="0BFE6E72" w14:textId="77777777" w:rsidR="0021298F" w:rsidRPr="00935C7E" w:rsidRDefault="0021298F" w:rsidP="00760009">
            <w:pPr>
              <w:jc w:val="right"/>
              <w:rPr>
                <w:rFonts w:ascii="Arial" w:eastAsia="Times New Roman" w:hAnsi="Arial" w:cs="Arial"/>
                <w:b/>
                <w:bCs/>
                <w:color w:val="000000"/>
                <w:lang w:eastAsia="en-GB"/>
              </w:rPr>
            </w:pPr>
            <w:r w:rsidRPr="00935C7E">
              <w:rPr>
                <w:rFonts w:ascii="Arial" w:eastAsia="Times New Roman" w:hAnsi="Arial" w:cs="Arial"/>
                <w:b/>
                <w:bCs/>
                <w:color w:val="000000"/>
                <w:lang w:eastAsia="en-GB"/>
              </w:rPr>
              <w:t xml:space="preserve">419,016 </w:t>
            </w:r>
          </w:p>
        </w:tc>
        <w:tc>
          <w:tcPr>
            <w:tcW w:w="1840" w:type="dxa"/>
            <w:gridSpan w:val="2"/>
            <w:tcBorders>
              <w:top w:val="nil"/>
              <w:left w:val="nil"/>
              <w:bottom w:val="nil"/>
              <w:right w:val="nil"/>
            </w:tcBorders>
            <w:shd w:val="clear" w:color="000000" w:fill="FFFFFF"/>
            <w:vAlign w:val="center"/>
            <w:hideMark/>
          </w:tcPr>
          <w:p w14:paraId="3ADFC8BE" w14:textId="77777777" w:rsidR="0021298F" w:rsidRPr="00935C7E" w:rsidRDefault="0021298F" w:rsidP="00760009">
            <w:pPr>
              <w:jc w:val="right"/>
              <w:rPr>
                <w:rFonts w:ascii="Arial" w:eastAsia="Times New Roman" w:hAnsi="Arial" w:cs="Arial"/>
                <w:b/>
                <w:bCs/>
                <w:color w:val="000000"/>
                <w:lang w:eastAsia="en-GB"/>
              </w:rPr>
            </w:pPr>
            <w:r w:rsidRPr="00935C7E">
              <w:rPr>
                <w:rFonts w:ascii="Arial" w:eastAsia="Times New Roman" w:hAnsi="Arial" w:cs="Arial"/>
                <w:b/>
                <w:bCs/>
                <w:color w:val="000000"/>
                <w:lang w:eastAsia="en-GB"/>
              </w:rPr>
              <w:t xml:space="preserve">338,383 </w:t>
            </w:r>
          </w:p>
        </w:tc>
        <w:tc>
          <w:tcPr>
            <w:tcW w:w="1840" w:type="dxa"/>
            <w:gridSpan w:val="2"/>
            <w:tcBorders>
              <w:top w:val="nil"/>
              <w:left w:val="nil"/>
              <w:bottom w:val="nil"/>
              <w:right w:val="nil"/>
            </w:tcBorders>
            <w:shd w:val="clear" w:color="000000" w:fill="FFFFFF"/>
            <w:vAlign w:val="center"/>
            <w:hideMark/>
          </w:tcPr>
          <w:p w14:paraId="3625017F" w14:textId="77777777" w:rsidR="0021298F" w:rsidRPr="00935C7E" w:rsidRDefault="0021298F" w:rsidP="00760009">
            <w:pPr>
              <w:jc w:val="right"/>
              <w:rPr>
                <w:rFonts w:ascii="Arial" w:eastAsia="Times New Roman" w:hAnsi="Arial" w:cs="Arial"/>
                <w:b/>
                <w:bCs/>
                <w:color w:val="000000"/>
                <w:lang w:eastAsia="en-GB"/>
              </w:rPr>
            </w:pPr>
            <w:r w:rsidRPr="00935C7E">
              <w:rPr>
                <w:rFonts w:ascii="Arial" w:eastAsia="Times New Roman" w:hAnsi="Arial" w:cs="Arial"/>
                <w:b/>
                <w:bCs/>
                <w:color w:val="000000"/>
                <w:lang w:eastAsia="en-GB"/>
              </w:rPr>
              <w:t xml:space="preserve">757,399 </w:t>
            </w:r>
          </w:p>
        </w:tc>
      </w:tr>
      <w:tr w:rsidR="0021298F" w:rsidRPr="00935C7E" w14:paraId="5A8D640B" w14:textId="77777777" w:rsidTr="00760009">
        <w:trPr>
          <w:trHeight w:val="300"/>
        </w:trPr>
        <w:tc>
          <w:tcPr>
            <w:tcW w:w="3969" w:type="dxa"/>
            <w:tcBorders>
              <w:top w:val="nil"/>
              <w:left w:val="nil"/>
              <w:bottom w:val="nil"/>
              <w:right w:val="nil"/>
            </w:tcBorders>
            <w:shd w:val="clear" w:color="000000" w:fill="FFFFFF"/>
            <w:noWrap/>
            <w:vAlign w:val="bottom"/>
            <w:hideMark/>
          </w:tcPr>
          <w:p w14:paraId="414BD8C8" w14:textId="77777777" w:rsidR="0021298F" w:rsidRPr="00935C7E" w:rsidRDefault="0021298F" w:rsidP="00760009">
            <w:pPr>
              <w:rPr>
                <w:rFonts w:ascii="Arial" w:eastAsia="Times New Roman" w:hAnsi="Arial" w:cs="Arial"/>
                <w:color w:val="000000"/>
                <w:lang w:eastAsia="en-GB"/>
              </w:rPr>
            </w:pPr>
            <w:r w:rsidRPr="00935C7E">
              <w:rPr>
                <w:rFonts w:ascii="Arial" w:eastAsia="Times New Roman" w:hAnsi="Arial" w:cs="Arial"/>
                <w:color w:val="000000"/>
                <w:lang w:eastAsia="en-GB"/>
              </w:rPr>
              <w:t>Additions</w:t>
            </w:r>
          </w:p>
        </w:tc>
        <w:tc>
          <w:tcPr>
            <w:tcW w:w="1744" w:type="dxa"/>
            <w:gridSpan w:val="2"/>
            <w:tcBorders>
              <w:top w:val="nil"/>
              <w:left w:val="nil"/>
              <w:bottom w:val="nil"/>
              <w:right w:val="nil"/>
            </w:tcBorders>
            <w:shd w:val="clear" w:color="000000" w:fill="FFFFFF"/>
            <w:vAlign w:val="center"/>
            <w:hideMark/>
          </w:tcPr>
          <w:p w14:paraId="15C84EEB" w14:textId="77777777" w:rsidR="0021298F" w:rsidRPr="00935C7E" w:rsidRDefault="0021298F" w:rsidP="00760009">
            <w:pPr>
              <w:jc w:val="right"/>
              <w:rPr>
                <w:rFonts w:ascii="Arial" w:eastAsia="Times New Roman" w:hAnsi="Arial" w:cs="Arial"/>
                <w:color w:val="000000"/>
                <w:lang w:eastAsia="en-GB"/>
              </w:rPr>
            </w:pPr>
            <w:r w:rsidRPr="00935C7E">
              <w:rPr>
                <w:rFonts w:ascii="Arial" w:eastAsia="Times New Roman" w:hAnsi="Arial" w:cs="Arial"/>
                <w:color w:val="000000"/>
                <w:lang w:eastAsia="en-GB"/>
              </w:rPr>
              <w:t xml:space="preserve">49,704 </w:t>
            </w:r>
          </w:p>
        </w:tc>
        <w:tc>
          <w:tcPr>
            <w:tcW w:w="1840" w:type="dxa"/>
            <w:gridSpan w:val="2"/>
            <w:tcBorders>
              <w:top w:val="nil"/>
              <w:left w:val="nil"/>
              <w:bottom w:val="nil"/>
              <w:right w:val="nil"/>
            </w:tcBorders>
            <w:shd w:val="clear" w:color="000000" w:fill="FFFFFF"/>
            <w:vAlign w:val="center"/>
            <w:hideMark/>
          </w:tcPr>
          <w:p w14:paraId="4088542E" w14:textId="77777777" w:rsidR="0021298F" w:rsidRPr="00935C7E" w:rsidRDefault="0021298F" w:rsidP="00760009">
            <w:pPr>
              <w:jc w:val="right"/>
              <w:rPr>
                <w:rFonts w:ascii="Arial" w:eastAsia="Times New Roman" w:hAnsi="Arial" w:cs="Arial"/>
                <w:color w:val="000000"/>
                <w:lang w:eastAsia="en-GB"/>
              </w:rPr>
            </w:pPr>
            <w:r w:rsidRPr="00935C7E">
              <w:rPr>
                <w:rFonts w:ascii="Arial" w:eastAsia="Times New Roman" w:hAnsi="Arial" w:cs="Arial"/>
                <w:color w:val="000000"/>
                <w:lang w:eastAsia="en-GB"/>
              </w:rPr>
              <w:t xml:space="preserve">65,703 </w:t>
            </w:r>
          </w:p>
        </w:tc>
        <w:tc>
          <w:tcPr>
            <w:tcW w:w="1840" w:type="dxa"/>
            <w:gridSpan w:val="2"/>
            <w:tcBorders>
              <w:top w:val="nil"/>
              <w:left w:val="nil"/>
              <w:bottom w:val="nil"/>
              <w:right w:val="nil"/>
            </w:tcBorders>
            <w:shd w:val="clear" w:color="000000" w:fill="FFFFFF"/>
            <w:vAlign w:val="center"/>
            <w:hideMark/>
          </w:tcPr>
          <w:p w14:paraId="49123523" w14:textId="77777777" w:rsidR="0021298F" w:rsidRPr="00935C7E" w:rsidRDefault="0021298F" w:rsidP="00760009">
            <w:pPr>
              <w:jc w:val="right"/>
              <w:rPr>
                <w:rFonts w:ascii="Arial" w:eastAsia="Times New Roman" w:hAnsi="Arial" w:cs="Arial"/>
                <w:b/>
                <w:bCs/>
                <w:color w:val="000000"/>
                <w:lang w:eastAsia="en-GB"/>
              </w:rPr>
            </w:pPr>
            <w:r w:rsidRPr="00935C7E">
              <w:rPr>
                <w:rFonts w:ascii="Arial" w:eastAsia="Times New Roman" w:hAnsi="Arial" w:cs="Arial"/>
                <w:b/>
                <w:bCs/>
                <w:color w:val="000000"/>
                <w:lang w:eastAsia="en-GB"/>
              </w:rPr>
              <w:t xml:space="preserve">115,407 </w:t>
            </w:r>
          </w:p>
        </w:tc>
      </w:tr>
      <w:tr w:rsidR="0021298F" w:rsidRPr="00935C7E" w14:paraId="72B32641" w14:textId="77777777" w:rsidTr="00760009">
        <w:trPr>
          <w:trHeight w:val="570"/>
        </w:trPr>
        <w:tc>
          <w:tcPr>
            <w:tcW w:w="3969" w:type="dxa"/>
            <w:tcBorders>
              <w:top w:val="nil"/>
              <w:left w:val="nil"/>
              <w:bottom w:val="nil"/>
              <w:right w:val="nil"/>
            </w:tcBorders>
            <w:shd w:val="clear" w:color="000000" w:fill="FFFFFF"/>
            <w:vAlign w:val="center"/>
            <w:hideMark/>
          </w:tcPr>
          <w:p w14:paraId="7D43DC26" w14:textId="77777777" w:rsidR="0021298F" w:rsidRPr="00935C7E" w:rsidRDefault="0021298F" w:rsidP="00760009">
            <w:pPr>
              <w:rPr>
                <w:rFonts w:ascii="Arial" w:eastAsia="Times New Roman" w:hAnsi="Arial" w:cs="Arial"/>
                <w:color w:val="000000"/>
                <w:lang w:eastAsia="en-GB"/>
              </w:rPr>
            </w:pPr>
            <w:r w:rsidRPr="00935C7E">
              <w:rPr>
                <w:rFonts w:ascii="Arial" w:eastAsia="Times New Roman" w:hAnsi="Arial" w:cs="Arial"/>
                <w:color w:val="000000"/>
                <w:lang w:eastAsia="en-GB"/>
              </w:rPr>
              <w:t>Repayment of shareholder loan investments (note 19)</w:t>
            </w:r>
          </w:p>
        </w:tc>
        <w:tc>
          <w:tcPr>
            <w:tcW w:w="1744" w:type="dxa"/>
            <w:gridSpan w:val="2"/>
            <w:tcBorders>
              <w:top w:val="nil"/>
              <w:left w:val="nil"/>
              <w:bottom w:val="nil"/>
              <w:right w:val="nil"/>
            </w:tcBorders>
            <w:shd w:val="clear" w:color="000000" w:fill="FFFFFF"/>
            <w:vAlign w:val="center"/>
            <w:hideMark/>
          </w:tcPr>
          <w:p w14:paraId="2F619C0F" w14:textId="77777777" w:rsidR="0021298F" w:rsidRPr="00935C7E" w:rsidRDefault="0021298F" w:rsidP="00760009">
            <w:pPr>
              <w:jc w:val="right"/>
              <w:rPr>
                <w:rFonts w:ascii="Arial" w:eastAsia="Times New Roman" w:hAnsi="Arial" w:cs="Arial"/>
                <w:color w:val="000000"/>
                <w:lang w:eastAsia="en-GB"/>
              </w:rPr>
            </w:pPr>
            <w:r w:rsidRPr="00935C7E">
              <w:rPr>
                <w:rFonts w:ascii="Arial" w:eastAsia="Times New Roman" w:hAnsi="Arial" w:cs="Arial"/>
                <w:color w:val="000000"/>
                <w:lang w:eastAsia="en-GB"/>
              </w:rPr>
              <w:t xml:space="preserve"> (29,482)</w:t>
            </w:r>
          </w:p>
        </w:tc>
        <w:tc>
          <w:tcPr>
            <w:tcW w:w="1840" w:type="dxa"/>
            <w:gridSpan w:val="2"/>
            <w:tcBorders>
              <w:top w:val="nil"/>
              <w:left w:val="nil"/>
              <w:bottom w:val="nil"/>
              <w:right w:val="nil"/>
            </w:tcBorders>
            <w:shd w:val="clear" w:color="000000" w:fill="FFFFFF"/>
            <w:vAlign w:val="center"/>
            <w:hideMark/>
          </w:tcPr>
          <w:p w14:paraId="4EACC7D6" w14:textId="77777777" w:rsidR="0021298F" w:rsidRPr="00935C7E" w:rsidRDefault="0021298F" w:rsidP="00760009">
            <w:pPr>
              <w:jc w:val="right"/>
              <w:rPr>
                <w:rFonts w:ascii="Arial" w:eastAsia="Times New Roman" w:hAnsi="Arial" w:cs="Arial"/>
                <w:color w:val="000000"/>
                <w:lang w:eastAsia="en-GB"/>
              </w:rPr>
            </w:pPr>
            <w:r w:rsidRPr="00935C7E">
              <w:rPr>
                <w:rFonts w:ascii="Arial" w:eastAsia="Times New Roman" w:hAnsi="Arial" w:cs="Arial"/>
                <w:color w:val="000000"/>
                <w:lang w:eastAsia="en-GB"/>
              </w:rPr>
              <w:t xml:space="preserve"> - </w:t>
            </w:r>
          </w:p>
        </w:tc>
        <w:tc>
          <w:tcPr>
            <w:tcW w:w="1840" w:type="dxa"/>
            <w:gridSpan w:val="2"/>
            <w:tcBorders>
              <w:top w:val="nil"/>
              <w:left w:val="nil"/>
              <w:bottom w:val="nil"/>
              <w:right w:val="nil"/>
            </w:tcBorders>
            <w:shd w:val="clear" w:color="000000" w:fill="FFFFFF"/>
            <w:vAlign w:val="center"/>
            <w:hideMark/>
          </w:tcPr>
          <w:p w14:paraId="557B3528" w14:textId="77777777" w:rsidR="0021298F" w:rsidRPr="00935C7E" w:rsidRDefault="0021298F" w:rsidP="00760009">
            <w:pPr>
              <w:jc w:val="right"/>
              <w:rPr>
                <w:rFonts w:ascii="Arial" w:eastAsia="Times New Roman" w:hAnsi="Arial" w:cs="Arial"/>
                <w:b/>
                <w:bCs/>
                <w:color w:val="000000"/>
                <w:lang w:eastAsia="en-GB"/>
              </w:rPr>
            </w:pPr>
            <w:r w:rsidRPr="00935C7E">
              <w:rPr>
                <w:rFonts w:ascii="Arial" w:eastAsia="Times New Roman" w:hAnsi="Arial" w:cs="Arial"/>
                <w:b/>
                <w:bCs/>
                <w:color w:val="000000"/>
                <w:lang w:eastAsia="en-GB"/>
              </w:rPr>
              <w:t xml:space="preserve"> (29,482)</w:t>
            </w:r>
          </w:p>
        </w:tc>
      </w:tr>
      <w:tr w:rsidR="0021298F" w:rsidRPr="00935C7E" w14:paraId="1CB18A03" w14:textId="77777777" w:rsidTr="00760009">
        <w:trPr>
          <w:trHeight w:val="570"/>
        </w:trPr>
        <w:tc>
          <w:tcPr>
            <w:tcW w:w="3969" w:type="dxa"/>
            <w:tcBorders>
              <w:top w:val="nil"/>
              <w:left w:val="nil"/>
              <w:bottom w:val="nil"/>
              <w:right w:val="nil"/>
            </w:tcBorders>
            <w:shd w:val="clear" w:color="000000" w:fill="FFFFFF"/>
            <w:vAlign w:val="center"/>
            <w:hideMark/>
          </w:tcPr>
          <w:p w14:paraId="5DCF8CF0" w14:textId="77777777" w:rsidR="0021298F" w:rsidRPr="00935C7E" w:rsidRDefault="0021298F" w:rsidP="00760009">
            <w:pPr>
              <w:rPr>
                <w:rFonts w:ascii="Arial" w:eastAsia="Times New Roman" w:hAnsi="Arial" w:cs="Arial"/>
                <w:color w:val="000000"/>
                <w:lang w:eastAsia="en-GB"/>
              </w:rPr>
            </w:pPr>
            <w:r w:rsidRPr="00935C7E">
              <w:rPr>
                <w:rFonts w:ascii="Arial" w:eastAsia="Times New Roman" w:hAnsi="Arial" w:cs="Arial"/>
                <w:color w:val="000000"/>
                <w:lang w:eastAsia="en-GB"/>
              </w:rPr>
              <w:t>Adjustment to purchase price of investments (note 14)</w:t>
            </w:r>
          </w:p>
        </w:tc>
        <w:tc>
          <w:tcPr>
            <w:tcW w:w="1744" w:type="dxa"/>
            <w:gridSpan w:val="2"/>
            <w:tcBorders>
              <w:top w:val="nil"/>
              <w:left w:val="nil"/>
              <w:bottom w:val="nil"/>
              <w:right w:val="nil"/>
            </w:tcBorders>
            <w:shd w:val="clear" w:color="000000" w:fill="FFFFFF"/>
            <w:vAlign w:val="center"/>
            <w:hideMark/>
          </w:tcPr>
          <w:p w14:paraId="7E5EC0CE" w14:textId="77777777" w:rsidR="0021298F" w:rsidRPr="00935C7E" w:rsidRDefault="0021298F" w:rsidP="00760009">
            <w:pPr>
              <w:jc w:val="right"/>
              <w:rPr>
                <w:rFonts w:ascii="Arial" w:eastAsia="Times New Roman" w:hAnsi="Arial" w:cs="Arial"/>
                <w:color w:val="000000"/>
                <w:lang w:eastAsia="en-GB"/>
              </w:rPr>
            </w:pPr>
            <w:r w:rsidRPr="00935C7E">
              <w:rPr>
                <w:rFonts w:ascii="Arial" w:eastAsia="Times New Roman" w:hAnsi="Arial" w:cs="Arial"/>
                <w:color w:val="000000"/>
                <w:lang w:eastAsia="en-GB"/>
              </w:rPr>
              <w:t xml:space="preserve"> - </w:t>
            </w:r>
          </w:p>
        </w:tc>
        <w:tc>
          <w:tcPr>
            <w:tcW w:w="1840" w:type="dxa"/>
            <w:gridSpan w:val="2"/>
            <w:tcBorders>
              <w:top w:val="nil"/>
              <w:left w:val="nil"/>
              <w:bottom w:val="nil"/>
              <w:right w:val="nil"/>
            </w:tcBorders>
            <w:shd w:val="clear" w:color="000000" w:fill="FFFFFF"/>
            <w:vAlign w:val="center"/>
            <w:hideMark/>
          </w:tcPr>
          <w:p w14:paraId="14179513" w14:textId="77777777" w:rsidR="0021298F" w:rsidRPr="00935C7E" w:rsidRDefault="0021298F" w:rsidP="00760009">
            <w:pPr>
              <w:jc w:val="right"/>
              <w:rPr>
                <w:rFonts w:ascii="Arial" w:eastAsia="Times New Roman" w:hAnsi="Arial" w:cs="Arial"/>
                <w:color w:val="000000"/>
                <w:lang w:eastAsia="en-GB"/>
              </w:rPr>
            </w:pPr>
            <w:r w:rsidRPr="00935C7E">
              <w:rPr>
                <w:rFonts w:ascii="Arial" w:eastAsia="Times New Roman" w:hAnsi="Arial" w:cs="Arial"/>
                <w:color w:val="000000"/>
                <w:lang w:eastAsia="en-GB"/>
              </w:rPr>
              <w:t xml:space="preserve"> (2,923)</w:t>
            </w:r>
          </w:p>
        </w:tc>
        <w:tc>
          <w:tcPr>
            <w:tcW w:w="1840" w:type="dxa"/>
            <w:gridSpan w:val="2"/>
            <w:tcBorders>
              <w:top w:val="nil"/>
              <w:left w:val="nil"/>
              <w:bottom w:val="nil"/>
              <w:right w:val="nil"/>
            </w:tcBorders>
            <w:shd w:val="clear" w:color="000000" w:fill="FFFFFF"/>
            <w:vAlign w:val="center"/>
            <w:hideMark/>
          </w:tcPr>
          <w:p w14:paraId="67BEC5A7" w14:textId="77777777" w:rsidR="0021298F" w:rsidRPr="00935C7E" w:rsidRDefault="0021298F" w:rsidP="00760009">
            <w:pPr>
              <w:jc w:val="right"/>
              <w:rPr>
                <w:rFonts w:ascii="Arial" w:eastAsia="Times New Roman" w:hAnsi="Arial" w:cs="Arial"/>
                <w:b/>
                <w:bCs/>
                <w:color w:val="000000"/>
                <w:lang w:eastAsia="en-GB"/>
              </w:rPr>
            </w:pPr>
            <w:r w:rsidRPr="00935C7E">
              <w:rPr>
                <w:rFonts w:ascii="Arial" w:eastAsia="Times New Roman" w:hAnsi="Arial" w:cs="Arial"/>
                <w:b/>
                <w:bCs/>
                <w:color w:val="000000"/>
                <w:lang w:eastAsia="en-GB"/>
              </w:rPr>
              <w:t xml:space="preserve"> (2,923)</w:t>
            </w:r>
          </w:p>
        </w:tc>
      </w:tr>
      <w:tr w:rsidR="0021298F" w:rsidRPr="00935C7E" w14:paraId="5FFBD8A2" w14:textId="77777777" w:rsidTr="00760009">
        <w:trPr>
          <w:trHeight w:val="570"/>
        </w:trPr>
        <w:tc>
          <w:tcPr>
            <w:tcW w:w="3969" w:type="dxa"/>
            <w:tcBorders>
              <w:top w:val="nil"/>
              <w:left w:val="nil"/>
              <w:bottom w:val="nil"/>
              <w:right w:val="nil"/>
            </w:tcBorders>
            <w:shd w:val="clear" w:color="000000" w:fill="FFFFFF"/>
            <w:vAlign w:val="center"/>
            <w:hideMark/>
          </w:tcPr>
          <w:p w14:paraId="62084F9B" w14:textId="77777777" w:rsidR="0021298F" w:rsidRPr="00935C7E" w:rsidRDefault="0021298F" w:rsidP="00760009">
            <w:pPr>
              <w:rPr>
                <w:rFonts w:ascii="Arial" w:eastAsia="Times New Roman" w:hAnsi="Arial" w:cs="Arial"/>
                <w:color w:val="000000"/>
                <w:lang w:eastAsia="en-GB"/>
              </w:rPr>
            </w:pPr>
            <w:r w:rsidRPr="00935C7E">
              <w:rPr>
                <w:rFonts w:ascii="Arial" w:eastAsia="Times New Roman" w:hAnsi="Arial" w:cs="Arial"/>
                <w:color w:val="000000"/>
                <w:lang w:eastAsia="en-GB"/>
              </w:rPr>
              <w:t>Gain on adjustment to purchase price of investment (note 14)</w:t>
            </w:r>
          </w:p>
        </w:tc>
        <w:tc>
          <w:tcPr>
            <w:tcW w:w="1744" w:type="dxa"/>
            <w:gridSpan w:val="2"/>
            <w:tcBorders>
              <w:top w:val="nil"/>
              <w:left w:val="nil"/>
              <w:bottom w:val="nil"/>
              <w:right w:val="nil"/>
            </w:tcBorders>
            <w:shd w:val="clear" w:color="000000" w:fill="FFFFFF"/>
            <w:vAlign w:val="center"/>
            <w:hideMark/>
          </w:tcPr>
          <w:p w14:paraId="73E2E830" w14:textId="77777777" w:rsidR="0021298F" w:rsidRPr="00935C7E" w:rsidRDefault="0021298F" w:rsidP="00760009">
            <w:pPr>
              <w:jc w:val="right"/>
              <w:rPr>
                <w:rFonts w:ascii="Arial" w:eastAsia="Times New Roman" w:hAnsi="Arial" w:cs="Arial"/>
                <w:color w:val="000000"/>
                <w:lang w:eastAsia="en-GB"/>
              </w:rPr>
            </w:pPr>
            <w:r w:rsidRPr="00935C7E">
              <w:rPr>
                <w:rFonts w:ascii="Arial" w:eastAsia="Times New Roman" w:hAnsi="Arial" w:cs="Arial"/>
                <w:color w:val="000000"/>
                <w:lang w:eastAsia="en-GB"/>
              </w:rPr>
              <w:t xml:space="preserve"> - </w:t>
            </w:r>
          </w:p>
        </w:tc>
        <w:tc>
          <w:tcPr>
            <w:tcW w:w="1840" w:type="dxa"/>
            <w:gridSpan w:val="2"/>
            <w:tcBorders>
              <w:top w:val="nil"/>
              <w:left w:val="nil"/>
              <w:bottom w:val="nil"/>
              <w:right w:val="nil"/>
            </w:tcBorders>
            <w:shd w:val="clear" w:color="000000" w:fill="FFFFFF"/>
            <w:vAlign w:val="center"/>
            <w:hideMark/>
          </w:tcPr>
          <w:p w14:paraId="62F27571" w14:textId="77777777" w:rsidR="0021298F" w:rsidRPr="00935C7E" w:rsidRDefault="0021298F" w:rsidP="00760009">
            <w:pPr>
              <w:jc w:val="right"/>
              <w:rPr>
                <w:rFonts w:ascii="Arial" w:eastAsia="Times New Roman" w:hAnsi="Arial" w:cs="Arial"/>
                <w:color w:val="000000"/>
                <w:lang w:eastAsia="en-GB"/>
              </w:rPr>
            </w:pPr>
            <w:r w:rsidRPr="00935C7E">
              <w:rPr>
                <w:rFonts w:ascii="Arial" w:eastAsia="Times New Roman" w:hAnsi="Arial" w:cs="Arial"/>
                <w:color w:val="000000"/>
                <w:lang w:eastAsia="en-GB"/>
              </w:rPr>
              <w:t xml:space="preserve">2,923 </w:t>
            </w:r>
          </w:p>
        </w:tc>
        <w:tc>
          <w:tcPr>
            <w:tcW w:w="1840" w:type="dxa"/>
            <w:gridSpan w:val="2"/>
            <w:tcBorders>
              <w:top w:val="nil"/>
              <w:left w:val="nil"/>
              <w:bottom w:val="nil"/>
              <w:right w:val="nil"/>
            </w:tcBorders>
            <w:shd w:val="clear" w:color="000000" w:fill="FFFFFF"/>
            <w:vAlign w:val="center"/>
            <w:hideMark/>
          </w:tcPr>
          <w:p w14:paraId="0A906192" w14:textId="77777777" w:rsidR="0021298F" w:rsidRPr="00935C7E" w:rsidRDefault="0021298F" w:rsidP="00760009">
            <w:pPr>
              <w:jc w:val="right"/>
              <w:rPr>
                <w:rFonts w:ascii="Arial" w:eastAsia="Times New Roman" w:hAnsi="Arial" w:cs="Arial"/>
                <w:b/>
                <w:bCs/>
                <w:color w:val="000000"/>
                <w:lang w:eastAsia="en-GB"/>
              </w:rPr>
            </w:pPr>
            <w:r w:rsidRPr="00935C7E">
              <w:rPr>
                <w:rFonts w:ascii="Arial" w:eastAsia="Times New Roman" w:hAnsi="Arial" w:cs="Arial"/>
                <w:b/>
                <w:bCs/>
                <w:color w:val="000000"/>
                <w:lang w:eastAsia="en-GB"/>
              </w:rPr>
              <w:t xml:space="preserve">2,923 </w:t>
            </w:r>
          </w:p>
        </w:tc>
      </w:tr>
      <w:tr w:rsidR="0021298F" w:rsidRPr="00935C7E" w14:paraId="71079030" w14:textId="77777777" w:rsidTr="00760009">
        <w:trPr>
          <w:trHeight w:val="570"/>
        </w:trPr>
        <w:tc>
          <w:tcPr>
            <w:tcW w:w="3969" w:type="dxa"/>
            <w:tcBorders>
              <w:top w:val="nil"/>
              <w:left w:val="nil"/>
              <w:bottom w:val="single" w:sz="4" w:space="0" w:color="auto"/>
              <w:right w:val="nil"/>
            </w:tcBorders>
            <w:shd w:val="clear" w:color="000000" w:fill="FFFFFF"/>
            <w:vAlign w:val="center"/>
            <w:hideMark/>
          </w:tcPr>
          <w:p w14:paraId="5BB29A56" w14:textId="77777777" w:rsidR="0021298F" w:rsidRPr="00935C7E" w:rsidRDefault="0021298F" w:rsidP="00760009">
            <w:pPr>
              <w:rPr>
                <w:rFonts w:ascii="Arial" w:eastAsia="Times New Roman" w:hAnsi="Arial" w:cs="Arial"/>
                <w:color w:val="000000"/>
                <w:lang w:eastAsia="en-GB"/>
              </w:rPr>
            </w:pPr>
            <w:r w:rsidRPr="00935C7E">
              <w:rPr>
                <w:rFonts w:ascii="Arial" w:eastAsia="Times New Roman" w:hAnsi="Arial" w:cs="Arial"/>
                <w:color w:val="000000"/>
                <w:lang w:eastAsia="en-GB"/>
              </w:rPr>
              <w:t>Unrealised movement in fair value of investments (note 4)</w:t>
            </w:r>
          </w:p>
        </w:tc>
        <w:tc>
          <w:tcPr>
            <w:tcW w:w="1744" w:type="dxa"/>
            <w:gridSpan w:val="2"/>
            <w:tcBorders>
              <w:top w:val="nil"/>
              <w:left w:val="nil"/>
              <w:bottom w:val="nil"/>
              <w:right w:val="nil"/>
            </w:tcBorders>
            <w:shd w:val="clear" w:color="000000" w:fill="FFFFFF"/>
            <w:vAlign w:val="center"/>
            <w:hideMark/>
          </w:tcPr>
          <w:p w14:paraId="6DD7CD20" w14:textId="77777777" w:rsidR="0021298F" w:rsidRPr="00935C7E" w:rsidRDefault="0021298F" w:rsidP="00760009">
            <w:pPr>
              <w:jc w:val="right"/>
              <w:rPr>
                <w:rFonts w:ascii="Arial" w:eastAsia="Times New Roman" w:hAnsi="Arial" w:cs="Arial"/>
                <w:color w:val="000000"/>
                <w:lang w:eastAsia="en-GB"/>
              </w:rPr>
            </w:pPr>
            <w:r w:rsidRPr="00935C7E">
              <w:rPr>
                <w:rFonts w:ascii="Arial" w:eastAsia="Times New Roman" w:hAnsi="Arial" w:cs="Arial"/>
                <w:color w:val="000000"/>
                <w:lang w:eastAsia="en-GB"/>
              </w:rPr>
              <w:t xml:space="preserve"> (3,902)</w:t>
            </w:r>
          </w:p>
        </w:tc>
        <w:tc>
          <w:tcPr>
            <w:tcW w:w="1840" w:type="dxa"/>
            <w:gridSpan w:val="2"/>
            <w:tcBorders>
              <w:top w:val="nil"/>
              <w:left w:val="nil"/>
              <w:bottom w:val="nil"/>
              <w:right w:val="nil"/>
            </w:tcBorders>
            <w:shd w:val="clear" w:color="000000" w:fill="FFFFFF"/>
            <w:vAlign w:val="center"/>
            <w:hideMark/>
          </w:tcPr>
          <w:p w14:paraId="0AE53672" w14:textId="77777777" w:rsidR="0021298F" w:rsidRPr="00935C7E" w:rsidRDefault="0021298F" w:rsidP="00760009">
            <w:pPr>
              <w:jc w:val="right"/>
              <w:rPr>
                <w:rFonts w:ascii="Arial" w:eastAsia="Times New Roman" w:hAnsi="Arial" w:cs="Arial"/>
                <w:color w:val="000000"/>
                <w:lang w:eastAsia="en-GB"/>
              </w:rPr>
            </w:pPr>
            <w:r w:rsidRPr="00935C7E">
              <w:rPr>
                <w:rFonts w:ascii="Arial" w:eastAsia="Times New Roman" w:hAnsi="Arial" w:cs="Arial"/>
                <w:color w:val="000000"/>
                <w:lang w:eastAsia="en-GB"/>
              </w:rPr>
              <w:t xml:space="preserve">10,685 </w:t>
            </w:r>
          </w:p>
        </w:tc>
        <w:tc>
          <w:tcPr>
            <w:tcW w:w="1840" w:type="dxa"/>
            <w:gridSpan w:val="2"/>
            <w:tcBorders>
              <w:top w:val="nil"/>
              <w:left w:val="nil"/>
              <w:bottom w:val="nil"/>
              <w:right w:val="nil"/>
            </w:tcBorders>
            <w:shd w:val="clear" w:color="000000" w:fill="FFFFFF"/>
            <w:vAlign w:val="center"/>
            <w:hideMark/>
          </w:tcPr>
          <w:p w14:paraId="16666399" w14:textId="77777777" w:rsidR="0021298F" w:rsidRPr="00935C7E" w:rsidRDefault="0021298F" w:rsidP="00760009">
            <w:pPr>
              <w:jc w:val="right"/>
              <w:rPr>
                <w:rFonts w:ascii="Arial" w:eastAsia="Times New Roman" w:hAnsi="Arial" w:cs="Arial"/>
                <w:b/>
                <w:bCs/>
                <w:color w:val="000000"/>
                <w:lang w:eastAsia="en-GB"/>
              </w:rPr>
            </w:pPr>
            <w:r w:rsidRPr="00935C7E">
              <w:rPr>
                <w:rFonts w:ascii="Arial" w:eastAsia="Times New Roman" w:hAnsi="Arial" w:cs="Arial"/>
                <w:b/>
                <w:bCs/>
                <w:color w:val="000000"/>
                <w:lang w:eastAsia="en-GB"/>
              </w:rPr>
              <w:t xml:space="preserve">6,783 </w:t>
            </w:r>
          </w:p>
        </w:tc>
      </w:tr>
      <w:tr w:rsidR="0021298F" w:rsidRPr="00935C7E" w14:paraId="0F9B9DEC" w14:textId="77777777" w:rsidTr="00760009">
        <w:trPr>
          <w:trHeight w:val="450"/>
        </w:trPr>
        <w:tc>
          <w:tcPr>
            <w:tcW w:w="3969" w:type="dxa"/>
            <w:tcBorders>
              <w:top w:val="nil"/>
              <w:left w:val="nil"/>
              <w:bottom w:val="single" w:sz="8" w:space="0" w:color="auto"/>
              <w:right w:val="nil"/>
            </w:tcBorders>
            <w:shd w:val="clear" w:color="000000" w:fill="FFFFFF"/>
            <w:noWrap/>
            <w:vAlign w:val="center"/>
            <w:hideMark/>
          </w:tcPr>
          <w:p w14:paraId="4A3376B3" w14:textId="77777777" w:rsidR="0021298F" w:rsidRPr="00935C7E" w:rsidRDefault="0021298F" w:rsidP="00760009">
            <w:pPr>
              <w:rPr>
                <w:rFonts w:ascii="Arial" w:eastAsia="Times New Roman" w:hAnsi="Arial" w:cs="Arial"/>
                <w:b/>
                <w:bCs/>
                <w:color w:val="000000"/>
                <w:lang w:eastAsia="en-GB"/>
              </w:rPr>
            </w:pPr>
            <w:r w:rsidRPr="00935C7E">
              <w:rPr>
                <w:rFonts w:ascii="Arial" w:eastAsia="Times New Roman" w:hAnsi="Arial" w:cs="Arial"/>
                <w:b/>
                <w:bCs/>
                <w:color w:val="000000"/>
                <w:lang w:eastAsia="en-GB"/>
              </w:rPr>
              <w:t> </w:t>
            </w:r>
          </w:p>
        </w:tc>
        <w:tc>
          <w:tcPr>
            <w:tcW w:w="1744" w:type="dxa"/>
            <w:gridSpan w:val="2"/>
            <w:tcBorders>
              <w:top w:val="single" w:sz="4" w:space="0" w:color="auto"/>
              <w:left w:val="nil"/>
              <w:bottom w:val="single" w:sz="8" w:space="0" w:color="auto"/>
              <w:right w:val="nil"/>
            </w:tcBorders>
            <w:shd w:val="clear" w:color="000000" w:fill="FFFFFF"/>
            <w:vAlign w:val="center"/>
            <w:hideMark/>
          </w:tcPr>
          <w:p w14:paraId="335D9535" w14:textId="77777777" w:rsidR="0021298F" w:rsidRPr="00935C7E" w:rsidRDefault="0021298F" w:rsidP="00760009">
            <w:pPr>
              <w:jc w:val="right"/>
              <w:rPr>
                <w:rFonts w:ascii="Arial" w:eastAsia="Times New Roman" w:hAnsi="Arial" w:cs="Arial"/>
                <w:b/>
                <w:bCs/>
                <w:color w:val="000000"/>
                <w:lang w:eastAsia="en-GB"/>
              </w:rPr>
            </w:pPr>
            <w:r w:rsidRPr="00935C7E">
              <w:rPr>
                <w:rFonts w:ascii="Arial" w:eastAsia="Times New Roman" w:hAnsi="Arial" w:cs="Arial"/>
                <w:b/>
                <w:bCs/>
                <w:color w:val="000000"/>
                <w:lang w:eastAsia="en-GB"/>
              </w:rPr>
              <w:t xml:space="preserve">435,336 </w:t>
            </w:r>
          </w:p>
        </w:tc>
        <w:tc>
          <w:tcPr>
            <w:tcW w:w="1840" w:type="dxa"/>
            <w:gridSpan w:val="2"/>
            <w:tcBorders>
              <w:top w:val="single" w:sz="4" w:space="0" w:color="auto"/>
              <w:left w:val="nil"/>
              <w:bottom w:val="single" w:sz="8" w:space="0" w:color="auto"/>
              <w:right w:val="nil"/>
            </w:tcBorders>
            <w:shd w:val="clear" w:color="000000" w:fill="FFFFFF"/>
            <w:vAlign w:val="center"/>
            <w:hideMark/>
          </w:tcPr>
          <w:p w14:paraId="2831E67A" w14:textId="77777777" w:rsidR="0021298F" w:rsidRPr="00935C7E" w:rsidRDefault="0021298F" w:rsidP="00760009">
            <w:pPr>
              <w:jc w:val="right"/>
              <w:rPr>
                <w:rFonts w:ascii="Arial" w:eastAsia="Times New Roman" w:hAnsi="Arial" w:cs="Arial"/>
                <w:b/>
                <w:bCs/>
                <w:color w:val="000000"/>
                <w:lang w:eastAsia="en-GB"/>
              </w:rPr>
            </w:pPr>
            <w:r w:rsidRPr="00935C7E">
              <w:rPr>
                <w:rFonts w:ascii="Arial" w:eastAsia="Times New Roman" w:hAnsi="Arial" w:cs="Arial"/>
                <w:b/>
                <w:bCs/>
                <w:color w:val="000000"/>
                <w:lang w:eastAsia="en-GB"/>
              </w:rPr>
              <w:t xml:space="preserve">414,771 </w:t>
            </w:r>
          </w:p>
        </w:tc>
        <w:tc>
          <w:tcPr>
            <w:tcW w:w="1840" w:type="dxa"/>
            <w:gridSpan w:val="2"/>
            <w:tcBorders>
              <w:top w:val="single" w:sz="4" w:space="0" w:color="auto"/>
              <w:left w:val="nil"/>
              <w:bottom w:val="single" w:sz="8" w:space="0" w:color="auto"/>
              <w:right w:val="nil"/>
            </w:tcBorders>
            <w:shd w:val="clear" w:color="000000" w:fill="FFFFFF"/>
            <w:vAlign w:val="center"/>
            <w:hideMark/>
          </w:tcPr>
          <w:p w14:paraId="1D639018" w14:textId="77777777" w:rsidR="0021298F" w:rsidRPr="00935C7E" w:rsidRDefault="0021298F" w:rsidP="00760009">
            <w:pPr>
              <w:jc w:val="right"/>
              <w:rPr>
                <w:rFonts w:ascii="Arial" w:eastAsia="Times New Roman" w:hAnsi="Arial" w:cs="Arial"/>
                <w:b/>
                <w:bCs/>
                <w:color w:val="000000"/>
                <w:lang w:eastAsia="en-GB"/>
              </w:rPr>
            </w:pPr>
            <w:r w:rsidRPr="00935C7E">
              <w:rPr>
                <w:rFonts w:ascii="Arial" w:eastAsia="Times New Roman" w:hAnsi="Arial" w:cs="Arial"/>
                <w:b/>
                <w:bCs/>
                <w:color w:val="000000"/>
                <w:lang w:eastAsia="en-GB"/>
              </w:rPr>
              <w:t xml:space="preserve">850,107 </w:t>
            </w:r>
          </w:p>
        </w:tc>
      </w:tr>
    </w:tbl>
    <w:p w14:paraId="600618DC" w14:textId="77777777" w:rsidR="0021298F" w:rsidRDefault="0021298F" w:rsidP="0021298F">
      <w:pPr>
        <w:spacing w:before="100"/>
        <w:jc w:val="both"/>
        <w:rPr>
          <w:rFonts w:ascii="Arial" w:hAnsi="Arial" w:cs="Arial"/>
        </w:rPr>
      </w:pPr>
      <w:r>
        <w:rPr>
          <w:rFonts w:ascii="Arial" w:hAnsi="Arial" w:cs="Arial"/>
        </w:rPr>
        <w:t xml:space="preserve">The </w:t>
      </w:r>
      <w:r>
        <w:rPr>
          <w:rFonts w:ascii="Arial" w:eastAsia="Times New Roman" w:hAnsi="Arial" w:cs="Arial"/>
          <w:lang w:eastAsia="en-GB"/>
        </w:rPr>
        <w:t>unrealised m</w:t>
      </w:r>
      <w:r w:rsidRPr="001A3A96">
        <w:rPr>
          <w:rFonts w:ascii="Arial" w:eastAsia="Times New Roman" w:hAnsi="Arial" w:cs="Arial"/>
          <w:lang w:eastAsia="en-GB"/>
        </w:rPr>
        <w:t xml:space="preserve">ovement </w:t>
      </w:r>
      <w:r>
        <w:rPr>
          <w:rFonts w:ascii="Arial" w:hAnsi="Arial" w:cs="Arial"/>
        </w:rPr>
        <w:t>in fair value of investments of the Group during the year were made up as follows:</w:t>
      </w:r>
    </w:p>
    <w:tbl>
      <w:tblPr>
        <w:tblW w:w="9453" w:type="dxa"/>
        <w:tblLook w:val="04A0" w:firstRow="1" w:lastRow="0" w:firstColumn="1" w:lastColumn="0" w:noHBand="0" w:noVBand="1"/>
      </w:tblPr>
      <w:tblGrid>
        <w:gridCol w:w="5529"/>
        <w:gridCol w:w="271"/>
        <w:gridCol w:w="1828"/>
        <w:gridCol w:w="1828"/>
      </w:tblGrid>
      <w:tr w:rsidR="0021298F" w:rsidRPr="00917A54" w14:paraId="2DC52CAF" w14:textId="77777777" w:rsidTr="00760009">
        <w:trPr>
          <w:trHeight w:val="420"/>
        </w:trPr>
        <w:tc>
          <w:tcPr>
            <w:tcW w:w="5529" w:type="dxa"/>
            <w:tcBorders>
              <w:top w:val="nil"/>
              <w:left w:val="nil"/>
              <w:bottom w:val="nil"/>
              <w:right w:val="nil"/>
            </w:tcBorders>
            <w:shd w:val="clear" w:color="000000" w:fill="FFFFFF"/>
            <w:noWrap/>
            <w:vAlign w:val="bottom"/>
            <w:hideMark/>
          </w:tcPr>
          <w:p w14:paraId="64F49D9D" w14:textId="77777777" w:rsidR="0021298F" w:rsidRPr="00917A54" w:rsidRDefault="0021298F" w:rsidP="00760009">
            <w:pPr>
              <w:rPr>
                <w:rFonts w:ascii="Arial" w:eastAsia="Times New Roman" w:hAnsi="Arial" w:cs="Arial"/>
                <w:color w:val="000000"/>
                <w:lang w:eastAsia="en-GB"/>
              </w:rPr>
            </w:pPr>
            <w:r w:rsidRPr="00917A54">
              <w:rPr>
                <w:rFonts w:ascii="Arial" w:eastAsia="Times New Roman" w:hAnsi="Arial" w:cs="Arial"/>
                <w:color w:val="000000"/>
                <w:lang w:eastAsia="en-GB"/>
              </w:rPr>
              <w:t> </w:t>
            </w:r>
          </w:p>
        </w:tc>
        <w:tc>
          <w:tcPr>
            <w:tcW w:w="266" w:type="dxa"/>
            <w:tcBorders>
              <w:top w:val="nil"/>
              <w:left w:val="nil"/>
              <w:bottom w:val="nil"/>
              <w:right w:val="nil"/>
            </w:tcBorders>
            <w:shd w:val="clear" w:color="000000" w:fill="FFFFFF"/>
            <w:noWrap/>
            <w:vAlign w:val="bottom"/>
            <w:hideMark/>
          </w:tcPr>
          <w:p w14:paraId="174F8D3E" w14:textId="77777777" w:rsidR="0021298F" w:rsidRPr="00917A54" w:rsidRDefault="0021298F" w:rsidP="00760009">
            <w:pPr>
              <w:rPr>
                <w:rFonts w:ascii="Calibri" w:eastAsia="Times New Roman" w:hAnsi="Calibri" w:cs="Calibri"/>
                <w:color w:val="000000"/>
                <w:lang w:eastAsia="en-GB"/>
              </w:rPr>
            </w:pPr>
            <w:r w:rsidRPr="00917A54">
              <w:rPr>
                <w:rFonts w:ascii="Calibri" w:eastAsia="Times New Roman" w:hAnsi="Calibri" w:cs="Calibri"/>
                <w:color w:val="000000"/>
                <w:lang w:eastAsia="en-GB"/>
              </w:rPr>
              <w:t> </w:t>
            </w:r>
          </w:p>
        </w:tc>
        <w:tc>
          <w:tcPr>
            <w:tcW w:w="1828" w:type="dxa"/>
            <w:tcBorders>
              <w:top w:val="nil"/>
              <w:left w:val="nil"/>
              <w:bottom w:val="nil"/>
              <w:right w:val="nil"/>
            </w:tcBorders>
            <w:shd w:val="clear" w:color="000000" w:fill="FFFFFF"/>
            <w:vAlign w:val="center"/>
            <w:hideMark/>
          </w:tcPr>
          <w:p w14:paraId="61EA4B01" w14:textId="77777777" w:rsidR="0021298F" w:rsidRPr="00917A54" w:rsidRDefault="0021298F" w:rsidP="00760009">
            <w:pPr>
              <w:jc w:val="right"/>
              <w:rPr>
                <w:rFonts w:ascii="Arial" w:eastAsia="Times New Roman" w:hAnsi="Arial" w:cs="Arial"/>
                <w:b/>
                <w:bCs/>
                <w:color w:val="000000"/>
                <w:lang w:eastAsia="en-GB"/>
              </w:rPr>
            </w:pPr>
            <w:r w:rsidRPr="00917A54">
              <w:rPr>
                <w:rFonts w:ascii="Arial" w:eastAsia="Times New Roman" w:hAnsi="Arial" w:cs="Arial"/>
                <w:b/>
                <w:bCs/>
                <w:color w:val="000000"/>
                <w:lang w:eastAsia="en-GB"/>
              </w:rPr>
              <w:t xml:space="preserve">For the year ended </w:t>
            </w:r>
          </w:p>
        </w:tc>
        <w:tc>
          <w:tcPr>
            <w:tcW w:w="1828" w:type="dxa"/>
            <w:tcBorders>
              <w:top w:val="nil"/>
              <w:left w:val="nil"/>
              <w:bottom w:val="nil"/>
              <w:right w:val="nil"/>
            </w:tcBorders>
            <w:shd w:val="clear" w:color="000000" w:fill="FFFFFF"/>
            <w:vAlign w:val="center"/>
            <w:hideMark/>
          </w:tcPr>
          <w:p w14:paraId="744C4A24" w14:textId="77777777" w:rsidR="0021298F" w:rsidRPr="00917A54" w:rsidRDefault="0021298F" w:rsidP="00760009">
            <w:pPr>
              <w:jc w:val="right"/>
              <w:rPr>
                <w:rFonts w:ascii="Arial" w:eastAsia="Times New Roman" w:hAnsi="Arial" w:cs="Arial"/>
                <w:b/>
                <w:bCs/>
                <w:color w:val="000000"/>
                <w:lang w:eastAsia="en-GB"/>
              </w:rPr>
            </w:pPr>
            <w:r w:rsidRPr="00917A54">
              <w:rPr>
                <w:rFonts w:ascii="Arial" w:eastAsia="Times New Roman" w:hAnsi="Arial" w:cs="Arial"/>
                <w:b/>
                <w:bCs/>
                <w:color w:val="000000"/>
                <w:lang w:eastAsia="en-GB"/>
              </w:rPr>
              <w:t xml:space="preserve">For the year ended </w:t>
            </w:r>
          </w:p>
        </w:tc>
      </w:tr>
      <w:tr w:rsidR="0021298F" w:rsidRPr="00917A54" w14:paraId="74A03A18" w14:textId="77777777" w:rsidTr="00760009">
        <w:trPr>
          <w:trHeight w:val="270"/>
        </w:trPr>
        <w:tc>
          <w:tcPr>
            <w:tcW w:w="5529" w:type="dxa"/>
            <w:tcBorders>
              <w:top w:val="nil"/>
              <w:left w:val="nil"/>
              <w:bottom w:val="nil"/>
              <w:right w:val="nil"/>
            </w:tcBorders>
            <w:shd w:val="clear" w:color="000000" w:fill="FFFFFF"/>
            <w:noWrap/>
            <w:vAlign w:val="bottom"/>
            <w:hideMark/>
          </w:tcPr>
          <w:p w14:paraId="004FF4BE" w14:textId="77777777" w:rsidR="0021298F" w:rsidRPr="00917A54" w:rsidRDefault="0021298F" w:rsidP="00760009">
            <w:pPr>
              <w:rPr>
                <w:rFonts w:ascii="Arial" w:eastAsia="Times New Roman" w:hAnsi="Arial" w:cs="Arial"/>
                <w:color w:val="000000"/>
                <w:lang w:eastAsia="en-GB"/>
              </w:rPr>
            </w:pPr>
            <w:r w:rsidRPr="00917A54">
              <w:rPr>
                <w:rFonts w:ascii="Arial" w:eastAsia="Times New Roman" w:hAnsi="Arial" w:cs="Arial"/>
                <w:color w:val="000000"/>
                <w:lang w:eastAsia="en-GB"/>
              </w:rPr>
              <w:t> </w:t>
            </w:r>
          </w:p>
        </w:tc>
        <w:tc>
          <w:tcPr>
            <w:tcW w:w="266" w:type="dxa"/>
            <w:tcBorders>
              <w:top w:val="nil"/>
              <w:left w:val="nil"/>
              <w:bottom w:val="nil"/>
              <w:right w:val="nil"/>
            </w:tcBorders>
            <w:shd w:val="clear" w:color="000000" w:fill="FFFFFF"/>
            <w:noWrap/>
            <w:vAlign w:val="bottom"/>
            <w:hideMark/>
          </w:tcPr>
          <w:p w14:paraId="166CD539" w14:textId="77777777" w:rsidR="0021298F" w:rsidRPr="00917A54" w:rsidRDefault="0021298F" w:rsidP="00760009">
            <w:pPr>
              <w:rPr>
                <w:rFonts w:ascii="Calibri" w:eastAsia="Times New Roman" w:hAnsi="Calibri" w:cs="Calibri"/>
                <w:color w:val="000000"/>
                <w:lang w:eastAsia="en-GB"/>
              </w:rPr>
            </w:pPr>
            <w:r w:rsidRPr="00917A54">
              <w:rPr>
                <w:rFonts w:ascii="Calibri" w:eastAsia="Times New Roman" w:hAnsi="Calibri" w:cs="Calibri"/>
                <w:color w:val="000000"/>
                <w:lang w:eastAsia="en-GB"/>
              </w:rPr>
              <w:t> </w:t>
            </w:r>
          </w:p>
        </w:tc>
        <w:tc>
          <w:tcPr>
            <w:tcW w:w="1828" w:type="dxa"/>
            <w:tcBorders>
              <w:top w:val="nil"/>
              <w:left w:val="nil"/>
              <w:bottom w:val="nil"/>
              <w:right w:val="nil"/>
            </w:tcBorders>
            <w:shd w:val="clear" w:color="000000" w:fill="FFFFFF"/>
            <w:vAlign w:val="center"/>
            <w:hideMark/>
          </w:tcPr>
          <w:p w14:paraId="683CA806" w14:textId="77777777" w:rsidR="0021298F" w:rsidRPr="00917A54" w:rsidRDefault="0021298F" w:rsidP="00760009">
            <w:pPr>
              <w:jc w:val="right"/>
              <w:rPr>
                <w:rFonts w:ascii="Arial" w:eastAsia="Times New Roman" w:hAnsi="Arial" w:cs="Arial"/>
                <w:b/>
                <w:bCs/>
                <w:color w:val="000000"/>
                <w:lang w:eastAsia="en-GB"/>
              </w:rPr>
            </w:pPr>
            <w:r w:rsidRPr="00917A54">
              <w:rPr>
                <w:rFonts w:ascii="Arial" w:eastAsia="Times New Roman" w:hAnsi="Arial" w:cs="Arial"/>
                <w:b/>
                <w:bCs/>
                <w:color w:val="000000"/>
                <w:lang w:eastAsia="en-GB"/>
              </w:rPr>
              <w:t>31 December 2020</w:t>
            </w:r>
          </w:p>
        </w:tc>
        <w:tc>
          <w:tcPr>
            <w:tcW w:w="1828" w:type="dxa"/>
            <w:tcBorders>
              <w:top w:val="nil"/>
              <w:left w:val="nil"/>
              <w:bottom w:val="nil"/>
              <w:right w:val="nil"/>
            </w:tcBorders>
            <w:shd w:val="clear" w:color="000000" w:fill="FFFFFF"/>
            <w:vAlign w:val="center"/>
            <w:hideMark/>
          </w:tcPr>
          <w:p w14:paraId="7A06DEDA" w14:textId="77777777" w:rsidR="0021298F" w:rsidRPr="00917A54" w:rsidRDefault="0021298F" w:rsidP="00760009">
            <w:pPr>
              <w:jc w:val="right"/>
              <w:rPr>
                <w:rFonts w:ascii="Arial" w:eastAsia="Times New Roman" w:hAnsi="Arial" w:cs="Arial"/>
                <w:b/>
                <w:bCs/>
                <w:color w:val="000000"/>
                <w:lang w:eastAsia="en-GB"/>
              </w:rPr>
            </w:pPr>
            <w:r w:rsidRPr="00917A54">
              <w:rPr>
                <w:rFonts w:ascii="Arial" w:eastAsia="Times New Roman" w:hAnsi="Arial" w:cs="Arial"/>
                <w:b/>
                <w:bCs/>
                <w:color w:val="000000"/>
                <w:lang w:eastAsia="en-GB"/>
              </w:rPr>
              <w:t>31 December 2019</w:t>
            </w:r>
          </w:p>
        </w:tc>
      </w:tr>
      <w:tr w:rsidR="0021298F" w:rsidRPr="00917A54" w14:paraId="59F340BC" w14:textId="77777777" w:rsidTr="00760009">
        <w:trPr>
          <w:trHeight w:val="300"/>
        </w:trPr>
        <w:tc>
          <w:tcPr>
            <w:tcW w:w="5529" w:type="dxa"/>
            <w:tcBorders>
              <w:top w:val="nil"/>
              <w:left w:val="nil"/>
              <w:bottom w:val="single" w:sz="4" w:space="0" w:color="auto"/>
              <w:right w:val="nil"/>
            </w:tcBorders>
            <w:shd w:val="clear" w:color="000000" w:fill="FFFFFF"/>
            <w:noWrap/>
            <w:vAlign w:val="bottom"/>
            <w:hideMark/>
          </w:tcPr>
          <w:p w14:paraId="41E18FF2" w14:textId="77777777" w:rsidR="0021298F" w:rsidRPr="00917A54" w:rsidRDefault="0021298F" w:rsidP="00760009">
            <w:pPr>
              <w:ind w:left="-100" w:firstLine="100"/>
              <w:rPr>
                <w:rFonts w:ascii="Arial" w:eastAsia="Times New Roman" w:hAnsi="Arial" w:cs="Arial"/>
                <w:color w:val="000000"/>
                <w:lang w:eastAsia="en-GB"/>
              </w:rPr>
            </w:pPr>
            <w:r w:rsidRPr="00917A54">
              <w:rPr>
                <w:rFonts w:ascii="Arial" w:eastAsia="Times New Roman" w:hAnsi="Arial" w:cs="Arial"/>
                <w:color w:val="000000"/>
                <w:lang w:eastAsia="en-GB"/>
              </w:rPr>
              <w:t> </w:t>
            </w:r>
          </w:p>
        </w:tc>
        <w:tc>
          <w:tcPr>
            <w:tcW w:w="266" w:type="dxa"/>
            <w:tcBorders>
              <w:top w:val="nil"/>
              <w:left w:val="nil"/>
              <w:bottom w:val="single" w:sz="4" w:space="0" w:color="auto"/>
              <w:right w:val="nil"/>
            </w:tcBorders>
            <w:shd w:val="clear" w:color="000000" w:fill="FFFFFF"/>
            <w:noWrap/>
            <w:vAlign w:val="bottom"/>
            <w:hideMark/>
          </w:tcPr>
          <w:p w14:paraId="055C200B" w14:textId="77777777" w:rsidR="0021298F" w:rsidRPr="00917A54" w:rsidRDefault="0021298F" w:rsidP="00760009">
            <w:pPr>
              <w:rPr>
                <w:rFonts w:ascii="Calibri" w:eastAsia="Times New Roman" w:hAnsi="Calibri" w:cs="Calibri"/>
                <w:color w:val="000000"/>
                <w:lang w:eastAsia="en-GB"/>
              </w:rPr>
            </w:pPr>
            <w:r w:rsidRPr="00917A54">
              <w:rPr>
                <w:rFonts w:ascii="Calibri" w:eastAsia="Times New Roman" w:hAnsi="Calibri" w:cs="Calibri"/>
                <w:color w:val="000000"/>
                <w:lang w:eastAsia="en-GB"/>
              </w:rPr>
              <w:t> </w:t>
            </w:r>
          </w:p>
        </w:tc>
        <w:tc>
          <w:tcPr>
            <w:tcW w:w="1828" w:type="dxa"/>
            <w:tcBorders>
              <w:top w:val="nil"/>
              <w:left w:val="nil"/>
              <w:bottom w:val="single" w:sz="4" w:space="0" w:color="auto"/>
              <w:right w:val="nil"/>
            </w:tcBorders>
            <w:shd w:val="clear" w:color="000000" w:fill="FFFFFF"/>
            <w:noWrap/>
            <w:vAlign w:val="bottom"/>
            <w:hideMark/>
          </w:tcPr>
          <w:p w14:paraId="3A45F367" w14:textId="77777777" w:rsidR="0021298F" w:rsidRPr="00917A54" w:rsidRDefault="0021298F" w:rsidP="00760009">
            <w:pPr>
              <w:jc w:val="right"/>
              <w:rPr>
                <w:rFonts w:ascii="Arial" w:eastAsia="Times New Roman" w:hAnsi="Arial" w:cs="Arial"/>
                <w:b/>
                <w:bCs/>
                <w:color w:val="000000"/>
                <w:lang w:eastAsia="en-GB"/>
              </w:rPr>
            </w:pPr>
            <w:r w:rsidRPr="00917A54">
              <w:rPr>
                <w:rFonts w:ascii="Arial" w:eastAsia="Times New Roman" w:hAnsi="Arial" w:cs="Arial"/>
                <w:b/>
                <w:bCs/>
                <w:color w:val="000000"/>
                <w:lang w:eastAsia="en-GB"/>
              </w:rPr>
              <w:t>€'000</w:t>
            </w:r>
          </w:p>
        </w:tc>
        <w:tc>
          <w:tcPr>
            <w:tcW w:w="1828" w:type="dxa"/>
            <w:tcBorders>
              <w:top w:val="nil"/>
              <w:left w:val="nil"/>
              <w:bottom w:val="single" w:sz="4" w:space="0" w:color="auto"/>
              <w:right w:val="nil"/>
            </w:tcBorders>
            <w:shd w:val="clear" w:color="000000" w:fill="FFFFFF"/>
            <w:noWrap/>
            <w:vAlign w:val="bottom"/>
            <w:hideMark/>
          </w:tcPr>
          <w:p w14:paraId="2897931B" w14:textId="77777777" w:rsidR="0021298F" w:rsidRPr="00917A54" w:rsidRDefault="0021298F" w:rsidP="00760009">
            <w:pPr>
              <w:jc w:val="right"/>
              <w:rPr>
                <w:rFonts w:ascii="Arial" w:eastAsia="Times New Roman" w:hAnsi="Arial" w:cs="Arial"/>
                <w:b/>
                <w:bCs/>
                <w:color w:val="000000"/>
                <w:lang w:eastAsia="en-GB"/>
              </w:rPr>
            </w:pPr>
            <w:r w:rsidRPr="00917A54">
              <w:rPr>
                <w:rFonts w:ascii="Arial" w:eastAsia="Times New Roman" w:hAnsi="Arial" w:cs="Arial"/>
                <w:b/>
                <w:bCs/>
                <w:color w:val="000000"/>
                <w:lang w:eastAsia="en-GB"/>
              </w:rPr>
              <w:t>€'000</w:t>
            </w:r>
          </w:p>
        </w:tc>
      </w:tr>
      <w:tr w:rsidR="0021298F" w:rsidRPr="00917A54" w14:paraId="17344490" w14:textId="77777777" w:rsidTr="00760009">
        <w:trPr>
          <w:trHeight w:val="300"/>
        </w:trPr>
        <w:tc>
          <w:tcPr>
            <w:tcW w:w="5529" w:type="dxa"/>
            <w:tcBorders>
              <w:top w:val="nil"/>
              <w:left w:val="nil"/>
              <w:bottom w:val="nil"/>
              <w:right w:val="nil"/>
            </w:tcBorders>
            <w:shd w:val="clear" w:color="000000" w:fill="FFFFFF"/>
            <w:vAlign w:val="center"/>
            <w:hideMark/>
          </w:tcPr>
          <w:p w14:paraId="6407428A" w14:textId="77777777" w:rsidR="0021298F" w:rsidRPr="00917A54" w:rsidRDefault="0021298F" w:rsidP="00760009">
            <w:pPr>
              <w:rPr>
                <w:rFonts w:ascii="Arial" w:eastAsia="Times New Roman" w:hAnsi="Arial" w:cs="Arial"/>
                <w:color w:val="000000"/>
                <w:lang w:eastAsia="en-GB"/>
              </w:rPr>
            </w:pPr>
            <w:r w:rsidRPr="00917A54">
              <w:rPr>
                <w:rFonts w:ascii="Arial" w:eastAsia="Times New Roman" w:hAnsi="Arial" w:cs="Arial"/>
                <w:color w:val="000000"/>
                <w:lang w:eastAsia="en-GB"/>
              </w:rPr>
              <w:lastRenderedPageBreak/>
              <w:t xml:space="preserve">Decrease in valuation of investments </w:t>
            </w:r>
          </w:p>
        </w:tc>
        <w:tc>
          <w:tcPr>
            <w:tcW w:w="266" w:type="dxa"/>
            <w:tcBorders>
              <w:top w:val="nil"/>
              <w:left w:val="nil"/>
              <w:bottom w:val="nil"/>
              <w:right w:val="nil"/>
            </w:tcBorders>
            <w:shd w:val="clear" w:color="auto" w:fill="auto"/>
            <w:noWrap/>
            <w:vAlign w:val="bottom"/>
            <w:hideMark/>
          </w:tcPr>
          <w:p w14:paraId="05908499" w14:textId="77777777" w:rsidR="0021298F" w:rsidRPr="00917A54" w:rsidRDefault="0021298F" w:rsidP="00760009">
            <w:pPr>
              <w:rPr>
                <w:rFonts w:ascii="Arial" w:eastAsia="Times New Roman" w:hAnsi="Arial" w:cs="Arial"/>
                <w:color w:val="000000"/>
                <w:lang w:eastAsia="en-GB"/>
              </w:rPr>
            </w:pPr>
          </w:p>
        </w:tc>
        <w:tc>
          <w:tcPr>
            <w:tcW w:w="1828" w:type="dxa"/>
            <w:tcBorders>
              <w:top w:val="nil"/>
              <w:left w:val="nil"/>
              <w:bottom w:val="nil"/>
              <w:right w:val="nil"/>
            </w:tcBorders>
            <w:shd w:val="clear" w:color="000000" w:fill="EDFFB7"/>
            <w:vAlign w:val="center"/>
            <w:hideMark/>
          </w:tcPr>
          <w:p w14:paraId="143B9A9B" w14:textId="77777777" w:rsidR="0021298F" w:rsidRPr="00917A54" w:rsidRDefault="0021298F" w:rsidP="00760009">
            <w:pPr>
              <w:jc w:val="right"/>
              <w:rPr>
                <w:rFonts w:ascii="Arial" w:eastAsia="Times New Roman" w:hAnsi="Arial" w:cs="Arial"/>
                <w:color w:val="000000"/>
                <w:lang w:eastAsia="en-GB"/>
              </w:rPr>
            </w:pPr>
            <w:r w:rsidRPr="00917A54">
              <w:rPr>
                <w:rFonts w:ascii="Arial" w:eastAsia="Times New Roman" w:hAnsi="Arial" w:cs="Arial"/>
                <w:color w:val="000000"/>
                <w:lang w:eastAsia="en-GB"/>
              </w:rPr>
              <w:t>(31,998)</w:t>
            </w:r>
          </w:p>
        </w:tc>
        <w:tc>
          <w:tcPr>
            <w:tcW w:w="1828" w:type="dxa"/>
            <w:tcBorders>
              <w:top w:val="nil"/>
              <w:left w:val="nil"/>
              <w:bottom w:val="nil"/>
              <w:right w:val="nil"/>
            </w:tcBorders>
            <w:shd w:val="clear" w:color="000000" w:fill="FFFFFF"/>
            <w:vAlign w:val="center"/>
            <w:hideMark/>
          </w:tcPr>
          <w:p w14:paraId="4DA6E88D" w14:textId="77777777" w:rsidR="0021298F" w:rsidRPr="00917A54" w:rsidRDefault="0021298F" w:rsidP="00760009">
            <w:pPr>
              <w:jc w:val="right"/>
              <w:rPr>
                <w:rFonts w:ascii="Arial" w:eastAsia="Times New Roman" w:hAnsi="Arial" w:cs="Arial"/>
                <w:color w:val="000000"/>
                <w:lang w:eastAsia="en-GB"/>
              </w:rPr>
            </w:pPr>
            <w:r w:rsidRPr="00917A54">
              <w:rPr>
                <w:rFonts w:ascii="Arial" w:eastAsia="Times New Roman" w:hAnsi="Arial" w:cs="Arial"/>
                <w:color w:val="000000"/>
                <w:lang w:eastAsia="en-GB"/>
              </w:rPr>
              <w:t>(14,008)</w:t>
            </w:r>
          </w:p>
        </w:tc>
      </w:tr>
      <w:tr w:rsidR="0021298F" w:rsidRPr="00917A54" w14:paraId="06DB04F3" w14:textId="77777777" w:rsidTr="00760009">
        <w:trPr>
          <w:trHeight w:val="300"/>
        </w:trPr>
        <w:tc>
          <w:tcPr>
            <w:tcW w:w="5529" w:type="dxa"/>
            <w:tcBorders>
              <w:top w:val="nil"/>
              <w:left w:val="nil"/>
              <w:bottom w:val="nil"/>
              <w:right w:val="nil"/>
            </w:tcBorders>
            <w:shd w:val="clear" w:color="000000" w:fill="FFFFFF"/>
            <w:vAlign w:val="center"/>
            <w:hideMark/>
          </w:tcPr>
          <w:p w14:paraId="4B370BE6" w14:textId="77777777" w:rsidR="0021298F" w:rsidRPr="00917A54" w:rsidRDefault="0021298F" w:rsidP="00760009">
            <w:pPr>
              <w:rPr>
                <w:rFonts w:ascii="Arial" w:eastAsia="Times New Roman" w:hAnsi="Arial" w:cs="Arial"/>
                <w:color w:val="000000"/>
                <w:lang w:eastAsia="en-GB"/>
              </w:rPr>
            </w:pPr>
            <w:r w:rsidRPr="00917A54">
              <w:rPr>
                <w:rFonts w:ascii="Arial" w:eastAsia="Times New Roman" w:hAnsi="Arial" w:cs="Arial"/>
                <w:color w:val="000000"/>
                <w:lang w:eastAsia="en-GB"/>
              </w:rPr>
              <w:t>Movement in swap fair values within SPVs</w:t>
            </w:r>
          </w:p>
        </w:tc>
        <w:tc>
          <w:tcPr>
            <w:tcW w:w="266" w:type="dxa"/>
            <w:tcBorders>
              <w:top w:val="nil"/>
              <w:left w:val="nil"/>
              <w:bottom w:val="nil"/>
              <w:right w:val="nil"/>
            </w:tcBorders>
            <w:shd w:val="clear" w:color="auto" w:fill="auto"/>
            <w:noWrap/>
            <w:vAlign w:val="bottom"/>
            <w:hideMark/>
          </w:tcPr>
          <w:p w14:paraId="19D04A41" w14:textId="77777777" w:rsidR="0021298F" w:rsidRPr="00917A54" w:rsidRDefault="0021298F" w:rsidP="00760009">
            <w:pPr>
              <w:rPr>
                <w:rFonts w:ascii="Arial" w:eastAsia="Times New Roman" w:hAnsi="Arial" w:cs="Arial"/>
                <w:color w:val="000000"/>
                <w:lang w:eastAsia="en-GB"/>
              </w:rPr>
            </w:pPr>
          </w:p>
        </w:tc>
        <w:tc>
          <w:tcPr>
            <w:tcW w:w="1828" w:type="dxa"/>
            <w:tcBorders>
              <w:top w:val="nil"/>
              <w:left w:val="nil"/>
              <w:bottom w:val="nil"/>
              <w:right w:val="nil"/>
            </w:tcBorders>
            <w:shd w:val="clear" w:color="000000" w:fill="EDFFB7"/>
            <w:vAlign w:val="center"/>
            <w:hideMark/>
          </w:tcPr>
          <w:p w14:paraId="66BD4EF7" w14:textId="77777777" w:rsidR="0021298F" w:rsidRPr="00917A54" w:rsidRDefault="0021298F" w:rsidP="00760009">
            <w:pPr>
              <w:jc w:val="right"/>
              <w:rPr>
                <w:rFonts w:ascii="Arial" w:eastAsia="Times New Roman" w:hAnsi="Arial" w:cs="Arial"/>
                <w:color w:val="000000"/>
                <w:lang w:eastAsia="en-GB"/>
              </w:rPr>
            </w:pPr>
            <w:r w:rsidRPr="00917A54">
              <w:rPr>
                <w:rFonts w:ascii="Arial" w:eastAsia="Times New Roman" w:hAnsi="Arial" w:cs="Arial"/>
                <w:color w:val="000000"/>
                <w:lang w:eastAsia="en-GB"/>
              </w:rPr>
              <w:t xml:space="preserve">511 </w:t>
            </w:r>
          </w:p>
        </w:tc>
        <w:tc>
          <w:tcPr>
            <w:tcW w:w="1828" w:type="dxa"/>
            <w:tcBorders>
              <w:top w:val="nil"/>
              <w:left w:val="nil"/>
              <w:bottom w:val="nil"/>
              <w:right w:val="nil"/>
            </w:tcBorders>
            <w:shd w:val="clear" w:color="000000" w:fill="FFFFFF"/>
            <w:vAlign w:val="center"/>
            <w:hideMark/>
          </w:tcPr>
          <w:p w14:paraId="078B5225" w14:textId="77777777" w:rsidR="0021298F" w:rsidRPr="00917A54" w:rsidRDefault="0021298F" w:rsidP="00760009">
            <w:pPr>
              <w:jc w:val="right"/>
              <w:rPr>
                <w:rFonts w:ascii="Arial" w:eastAsia="Times New Roman" w:hAnsi="Arial" w:cs="Arial"/>
                <w:color w:val="000000"/>
                <w:lang w:eastAsia="en-GB"/>
              </w:rPr>
            </w:pPr>
            <w:r w:rsidRPr="00917A54">
              <w:rPr>
                <w:rFonts w:ascii="Arial" w:eastAsia="Times New Roman" w:hAnsi="Arial" w:cs="Arial"/>
                <w:color w:val="000000"/>
                <w:lang w:eastAsia="en-GB"/>
              </w:rPr>
              <w:t>(1,627)</w:t>
            </w:r>
          </w:p>
        </w:tc>
      </w:tr>
      <w:tr w:rsidR="0021298F" w:rsidRPr="00917A54" w14:paraId="4E3DF085" w14:textId="77777777" w:rsidTr="00760009">
        <w:trPr>
          <w:trHeight w:val="300"/>
        </w:trPr>
        <w:tc>
          <w:tcPr>
            <w:tcW w:w="5529" w:type="dxa"/>
            <w:tcBorders>
              <w:top w:val="nil"/>
              <w:left w:val="nil"/>
              <w:bottom w:val="nil"/>
              <w:right w:val="nil"/>
            </w:tcBorders>
            <w:shd w:val="clear" w:color="000000" w:fill="FFFFFF"/>
            <w:vAlign w:val="center"/>
            <w:hideMark/>
          </w:tcPr>
          <w:p w14:paraId="1B5997E6" w14:textId="77777777" w:rsidR="0021298F" w:rsidRPr="00917A54" w:rsidRDefault="0021298F" w:rsidP="00760009">
            <w:pPr>
              <w:rPr>
                <w:rFonts w:ascii="Arial" w:eastAsia="Times New Roman" w:hAnsi="Arial" w:cs="Arial"/>
                <w:color w:val="000000"/>
                <w:lang w:eastAsia="en-GB"/>
              </w:rPr>
            </w:pPr>
            <w:r w:rsidRPr="00917A54">
              <w:rPr>
                <w:rFonts w:ascii="Arial" w:eastAsia="Times New Roman" w:hAnsi="Arial" w:cs="Arial"/>
                <w:color w:val="000000"/>
                <w:lang w:eastAsia="en-GB"/>
              </w:rPr>
              <w:t>Repayment of debt at SPV level</w:t>
            </w:r>
          </w:p>
        </w:tc>
        <w:tc>
          <w:tcPr>
            <w:tcW w:w="266" w:type="dxa"/>
            <w:tcBorders>
              <w:top w:val="nil"/>
              <w:left w:val="nil"/>
              <w:bottom w:val="nil"/>
              <w:right w:val="nil"/>
            </w:tcBorders>
            <w:shd w:val="clear" w:color="auto" w:fill="auto"/>
            <w:noWrap/>
            <w:vAlign w:val="bottom"/>
            <w:hideMark/>
          </w:tcPr>
          <w:p w14:paraId="5725202E" w14:textId="77777777" w:rsidR="0021298F" w:rsidRPr="00917A54" w:rsidRDefault="0021298F" w:rsidP="00760009">
            <w:pPr>
              <w:rPr>
                <w:rFonts w:ascii="Arial" w:eastAsia="Times New Roman" w:hAnsi="Arial" w:cs="Arial"/>
                <w:color w:val="000000"/>
                <w:lang w:eastAsia="en-GB"/>
              </w:rPr>
            </w:pPr>
          </w:p>
        </w:tc>
        <w:tc>
          <w:tcPr>
            <w:tcW w:w="1828" w:type="dxa"/>
            <w:tcBorders>
              <w:top w:val="nil"/>
              <w:left w:val="nil"/>
              <w:bottom w:val="nil"/>
              <w:right w:val="nil"/>
            </w:tcBorders>
            <w:shd w:val="clear" w:color="000000" w:fill="EDFFB7"/>
            <w:vAlign w:val="center"/>
            <w:hideMark/>
          </w:tcPr>
          <w:p w14:paraId="46506571" w14:textId="77777777" w:rsidR="0021298F" w:rsidRPr="00917A54" w:rsidRDefault="0021298F" w:rsidP="00760009">
            <w:pPr>
              <w:jc w:val="right"/>
              <w:rPr>
                <w:rFonts w:ascii="Arial" w:eastAsia="Times New Roman" w:hAnsi="Arial" w:cs="Arial"/>
                <w:color w:val="000000"/>
                <w:lang w:eastAsia="en-GB"/>
              </w:rPr>
            </w:pPr>
            <w:r w:rsidRPr="00917A54">
              <w:rPr>
                <w:rFonts w:ascii="Arial" w:eastAsia="Times New Roman" w:hAnsi="Arial" w:cs="Arial"/>
                <w:color w:val="000000"/>
                <w:lang w:eastAsia="en-GB"/>
              </w:rPr>
              <w:t xml:space="preserve">14,009 </w:t>
            </w:r>
          </w:p>
        </w:tc>
        <w:tc>
          <w:tcPr>
            <w:tcW w:w="1828" w:type="dxa"/>
            <w:tcBorders>
              <w:top w:val="nil"/>
              <w:left w:val="nil"/>
              <w:bottom w:val="nil"/>
              <w:right w:val="nil"/>
            </w:tcBorders>
            <w:shd w:val="clear" w:color="000000" w:fill="FFFFFF"/>
            <w:vAlign w:val="center"/>
            <w:hideMark/>
          </w:tcPr>
          <w:p w14:paraId="15508D00" w14:textId="77777777" w:rsidR="0021298F" w:rsidRPr="00917A54" w:rsidRDefault="0021298F" w:rsidP="00760009">
            <w:pPr>
              <w:jc w:val="right"/>
              <w:rPr>
                <w:rFonts w:ascii="Arial" w:eastAsia="Times New Roman" w:hAnsi="Arial" w:cs="Arial"/>
                <w:color w:val="000000"/>
                <w:lang w:eastAsia="en-GB"/>
              </w:rPr>
            </w:pPr>
            <w:r w:rsidRPr="00917A54">
              <w:rPr>
                <w:rFonts w:ascii="Arial" w:eastAsia="Times New Roman" w:hAnsi="Arial" w:cs="Arial"/>
                <w:color w:val="000000"/>
                <w:lang w:eastAsia="en-GB"/>
              </w:rPr>
              <w:t xml:space="preserve">8,212 </w:t>
            </w:r>
          </w:p>
        </w:tc>
      </w:tr>
      <w:tr w:rsidR="0021298F" w:rsidRPr="00917A54" w14:paraId="40D796E6" w14:textId="77777777" w:rsidTr="00760009">
        <w:trPr>
          <w:trHeight w:val="300"/>
        </w:trPr>
        <w:tc>
          <w:tcPr>
            <w:tcW w:w="5529" w:type="dxa"/>
            <w:tcBorders>
              <w:top w:val="nil"/>
              <w:left w:val="nil"/>
              <w:bottom w:val="nil"/>
              <w:right w:val="nil"/>
            </w:tcBorders>
            <w:shd w:val="clear" w:color="000000" w:fill="FFFFFF"/>
            <w:noWrap/>
            <w:vAlign w:val="bottom"/>
            <w:hideMark/>
          </w:tcPr>
          <w:p w14:paraId="39410F02" w14:textId="77777777" w:rsidR="0021298F" w:rsidRPr="00917A54" w:rsidRDefault="0021298F" w:rsidP="00760009">
            <w:pPr>
              <w:rPr>
                <w:rFonts w:ascii="Arial" w:eastAsia="Times New Roman" w:hAnsi="Arial" w:cs="Arial"/>
                <w:color w:val="000000"/>
                <w:lang w:eastAsia="en-GB"/>
              </w:rPr>
            </w:pPr>
            <w:r w:rsidRPr="00917A54">
              <w:rPr>
                <w:rFonts w:ascii="Arial" w:eastAsia="Times New Roman" w:hAnsi="Arial" w:cs="Arial"/>
                <w:color w:val="000000"/>
                <w:lang w:eastAsia="en-GB"/>
              </w:rPr>
              <w:t>Repayment of shareholder loan investments (note 19)</w:t>
            </w:r>
          </w:p>
        </w:tc>
        <w:tc>
          <w:tcPr>
            <w:tcW w:w="266" w:type="dxa"/>
            <w:tcBorders>
              <w:top w:val="nil"/>
              <w:left w:val="nil"/>
              <w:bottom w:val="nil"/>
              <w:right w:val="nil"/>
            </w:tcBorders>
            <w:shd w:val="clear" w:color="auto" w:fill="auto"/>
            <w:noWrap/>
            <w:vAlign w:val="bottom"/>
            <w:hideMark/>
          </w:tcPr>
          <w:p w14:paraId="0FE9A0C3" w14:textId="77777777" w:rsidR="0021298F" w:rsidRPr="00917A54" w:rsidRDefault="0021298F" w:rsidP="00760009">
            <w:pPr>
              <w:rPr>
                <w:rFonts w:ascii="Arial" w:eastAsia="Times New Roman" w:hAnsi="Arial" w:cs="Arial"/>
                <w:color w:val="000000"/>
                <w:lang w:eastAsia="en-GB"/>
              </w:rPr>
            </w:pPr>
          </w:p>
        </w:tc>
        <w:tc>
          <w:tcPr>
            <w:tcW w:w="1828" w:type="dxa"/>
            <w:tcBorders>
              <w:top w:val="nil"/>
              <w:left w:val="nil"/>
              <w:bottom w:val="nil"/>
              <w:right w:val="nil"/>
            </w:tcBorders>
            <w:shd w:val="clear" w:color="000000" w:fill="EDFFB7"/>
            <w:vAlign w:val="center"/>
            <w:hideMark/>
          </w:tcPr>
          <w:p w14:paraId="10C914EF" w14:textId="77777777" w:rsidR="0021298F" w:rsidRPr="00917A54" w:rsidRDefault="0021298F" w:rsidP="00760009">
            <w:pPr>
              <w:jc w:val="right"/>
              <w:rPr>
                <w:rFonts w:ascii="Arial" w:eastAsia="Times New Roman" w:hAnsi="Arial" w:cs="Arial"/>
                <w:color w:val="000000"/>
                <w:lang w:eastAsia="en-GB"/>
              </w:rPr>
            </w:pPr>
            <w:r w:rsidRPr="00917A54">
              <w:rPr>
                <w:rFonts w:ascii="Arial" w:eastAsia="Times New Roman" w:hAnsi="Arial" w:cs="Arial"/>
                <w:color w:val="000000"/>
                <w:lang w:eastAsia="en-GB"/>
              </w:rPr>
              <w:t xml:space="preserve">32,442 </w:t>
            </w:r>
          </w:p>
        </w:tc>
        <w:tc>
          <w:tcPr>
            <w:tcW w:w="1828" w:type="dxa"/>
            <w:tcBorders>
              <w:top w:val="nil"/>
              <w:left w:val="nil"/>
              <w:bottom w:val="nil"/>
              <w:right w:val="nil"/>
            </w:tcBorders>
            <w:shd w:val="clear" w:color="000000" w:fill="FFFFFF"/>
            <w:vAlign w:val="center"/>
            <w:hideMark/>
          </w:tcPr>
          <w:p w14:paraId="0D34E23B" w14:textId="77777777" w:rsidR="0021298F" w:rsidRPr="00917A54" w:rsidRDefault="0021298F" w:rsidP="00760009">
            <w:pPr>
              <w:jc w:val="right"/>
              <w:rPr>
                <w:rFonts w:ascii="Arial" w:eastAsia="Times New Roman" w:hAnsi="Arial" w:cs="Arial"/>
                <w:color w:val="000000"/>
                <w:lang w:eastAsia="en-GB"/>
              </w:rPr>
            </w:pPr>
            <w:r w:rsidRPr="00917A54">
              <w:rPr>
                <w:rFonts w:ascii="Arial" w:eastAsia="Times New Roman" w:hAnsi="Arial" w:cs="Arial"/>
                <w:color w:val="000000"/>
                <w:lang w:eastAsia="en-GB"/>
              </w:rPr>
              <w:t xml:space="preserve">29,482 </w:t>
            </w:r>
          </w:p>
        </w:tc>
      </w:tr>
      <w:tr w:rsidR="0021298F" w:rsidRPr="00917A54" w14:paraId="1EC8BD15" w14:textId="77777777" w:rsidTr="00760009">
        <w:trPr>
          <w:trHeight w:val="300"/>
        </w:trPr>
        <w:tc>
          <w:tcPr>
            <w:tcW w:w="5529" w:type="dxa"/>
            <w:tcBorders>
              <w:top w:val="nil"/>
              <w:left w:val="nil"/>
              <w:bottom w:val="nil"/>
              <w:right w:val="nil"/>
            </w:tcBorders>
            <w:shd w:val="clear" w:color="000000" w:fill="FFFFFF"/>
            <w:noWrap/>
            <w:vAlign w:val="bottom"/>
            <w:hideMark/>
          </w:tcPr>
          <w:p w14:paraId="29C4C881" w14:textId="77777777" w:rsidR="0021298F" w:rsidRPr="00917A54" w:rsidRDefault="0021298F" w:rsidP="00760009">
            <w:pPr>
              <w:rPr>
                <w:rFonts w:ascii="Arial" w:eastAsia="Times New Roman" w:hAnsi="Arial" w:cs="Arial"/>
                <w:color w:val="000000"/>
                <w:lang w:eastAsia="en-GB"/>
              </w:rPr>
            </w:pPr>
            <w:r w:rsidRPr="00917A54">
              <w:rPr>
                <w:rFonts w:ascii="Arial" w:eastAsia="Times New Roman" w:hAnsi="Arial" w:cs="Arial"/>
                <w:color w:val="000000"/>
                <w:lang w:eastAsia="en-GB"/>
              </w:rPr>
              <w:t>Movement in cash balances of SPVs</w:t>
            </w:r>
          </w:p>
        </w:tc>
        <w:tc>
          <w:tcPr>
            <w:tcW w:w="266" w:type="dxa"/>
            <w:tcBorders>
              <w:top w:val="nil"/>
              <w:left w:val="nil"/>
              <w:bottom w:val="nil"/>
              <w:right w:val="nil"/>
            </w:tcBorders>
            <w:shd w:val="clear" w:color="auto" w:fill="auto"/>
            <w:noWrap/>
            <w:vAlign w:val="bottom"/>
            <w:hideMark/>
          </w:tcPr>
          <w:p w14:paraId="7D4CB342" w14:textId="77777777" w:rsidR="0021298F" w:rsidRPr="00917A54" w:rsidRDefault="0021298F" w:rsidP="00760009">
            <w:pPr>
              <w:rPr>
                <w:rFonts w:ascii="Arial" w:eastAsia="Times New Roman" w:hAnsi="Arial" w:cs="Arial"/>
                <w:color w:val="000000"/>
                <w:lang w:eastAsia="en-GB"/>
              </w:rPr>
            </w:pPr>
          </w:p>
        </w:tc>
        <w:tc>
          <w:tcPr>
            <w:tcW w:w="1828" w:type="dxa"/>
            <w:tcBorders>
              <w:top w:val="nil"/>
              <w:left w:val="nil"/>
              <w:bottom w:val="nil"/>
              <w:right w:val="nil"/>
            </w:tcBorders>
            <w:shd w:val="clear" w:color="000000" w:fill="EDFFB7"/>
            <w:vAlign w:val="center"/>
            <w:hideMark/>
          </w:tcPr>
          <w:p w14:paraId="0285E63D" w14:textId="77777777" w:rsidR="0021298F" w:rsidRPr="00917A54" w:rsidRDefault="0021298F" w:rsidP="00760009">
            <w:pPr>
              <w:jc w:val="right"/>
              <w:rPr>
                <w:rFonts w:ascii="Arial" w:eastAsia="Times New Roman" w:hAnsi="Arial" w:cs="Arial"/>
                <w:color w:val="000000"/>
                <w:lang w:eastAsia="en-GB"/>
              </w:rPr>
            </w:pPr>
            <w:r w:rsidRPr="00917A54">
              <w:rPr>
                <w:rFonts w:ascii="Arial" w:eastAsia="Times New Roman" w:hAnsi="Arial" w:cs="Arial"/>
                <w:color w:val="000000"/>
                <w:lang w:eastAsia="en-GB"/>
              </w:rPr>
              <w:t>(14,798)</w:t>
            </w:r>
          </w:p>
        </w:tc>
        <w:tc>
          <w:tcPr>
            <w:tcW w:w="1828" w:type="dxa"/>
            <w:tcBorders>
              <w:top w:val="nil"/>
              <w:left w:val="nil"/>
              <w:bottom w:val="nil"/>
              <w:right w:val="nil"/>
            </w:tcBorders>
            <w:shd w:val="clear" w:color="000000" w:fill="FFFFFF"/>
            <w:vAlign w:val="center"/>
            <w:hideMark/>
          </w:tcPr>
          <w:p w14:paraId="65DE5DFE" w14:textId="77777777" w:rsidR="0021298F" w:rsidRPr="00917A54" w:rsidRDefault="0021298F" w:rsidP="00760009">
            <w:pPr>
              <w:jc w:val="right"/>
              <w:rPr>
                <w:rFonts w:ascii="Arial" w:eastAsia="Times New Roman" w:hAnsi="Arial" w:cs="Arial"/>
                <w:color w:val="000000"/>
                <w:lang w:eastAsia="en-GB"/>
              </w:rPr>
            </w:pPr>
            <w:r w:rsidRPr="00917A54">
              <w:rPr>
                <w:rFonts w:ascii="Arial" w:eastAsia="Times New Roman" w:hAnsi="Arial" w:cs="Arial"/>
                <w:color w:val="000000"/>
                <w:lang w:eastAsia="en-GB"/>
              </w:rPr>
              <w:t>(16,912)</w:t>
            </w:r>
          </w:p>
        </w:tc>
      </w:tr>
      <w:tr w:rsidR="0021298F" w:rsidRPr="00917A54" w14:paraId="127346B4" w14:textId="77777777" w:rsidTr="00760009">
        <w:trPr>
          <w:trHeight w:val="300"/>
        </w:trPr>
        <w:tc>
          <w:tcPr>
            <w:tcW w:w="5797" w:type="dxa"/>
            <w:gridSpan w:val="2"/>
            <w:tcBorders>
              <w:top w:val="nil"/>
              <w:left w:val="nil"/>
              <w:bottom w:val="single" w:sz="4" w:space="0" w:color="auto"/>
              <w:right w:val="nil"/>
            </w:tcBorders>
            <w:shd w:val="clear" w:color="000000" w:fill="FFFFFF"/>
            <w:vAlign w:val="center"/>
            <w:hideMark/>
          </w:tcPr>
          <w:p w14:paraId="160A9703" w14:textId="77777777" w:rsidR="0021298F" w:rsidRPr="00917A54" w:rsidRDefault="0021298F" w:rsidP="00760009">
            <w:pPr>
              <w:rPr>
                <w:rFonts w:ascii="Arial" w:eastAsia="Times New Roman" w:hAnsi="Arial" w:cs="Arial"/>
                <w:color w:val="000000"/>
                <w:lang w:eastAsia="en-GB"/>
              </w:rPr>
            </w:pPr>
            <w:r w:rsidRPr="00917A54">
              <w:rPr>
                <w:rFonts w:ascii="Arial" w:eastAsia="Times New Roman" w:hAnsi="Arial" w:cs="Arial"/>
                <w:color w:val="000000"/>
                <w:lang w:eastAsia="en-GB"/>
              </w:rPr>
              <w:t xml:space="preserve">Investment acquisition costs </w:t>
            </w:r>
            <w:r w:rsidRPr="00917A54">
              <w:rPr>
                <w:rFonts w:ascii="Arial" w:eastAsia="Times New Roman" w:hAnsi="Arial" w:cs="Arial"/>
                <w:color w:val="000000"/>
                <w:vertAlign w:val="superscript"/>
                <w:lang w:eastAsia="en-GB"/>
              </w:rPr>
              <w:t>(1)</w:t>
            </w:r>
          </w:p>
        </w:tc>
        <w:tc>
          <w:tcPr>
            <w:tcW w:w="1828" w:type="dxa"/>
            <w:tcBorders>
              <w:top w:val="nil"/>
              <w:left w:val="nil"/>
              <w:bottom w:val="nil"/>
              <w:right w:val="nil"/>
            </w:tcBorders>
            <w:shd w:val="clear" w:color="000000" w:fill="EDFFB7"/>
            <w:vAlign w:val="center"/>
            <w:hideMark/>
          </w:tcPr>
          <w:p w14:paraId="2F501366" w14:textId="77777777" w:rsidR="0021298F" w:rsidRPr="00917A54" w:rsidRDefault="0021298F" w:rsidP="00760009">
            <w:pPr>
              <w:jc w:val="right"/>
              <w:rPr>
                <w:rFonts w:ascii="Arial" w:eastAsia="Times New Roman" w:hAnsi="Arial" w:cs="Arial"/>
                <w:color w:val="000000"/>
                <w:lang w:eastAsia="en-GB"/>
              </w:rPr>
            </w:pPr>
            <w:r w:rsidRPr="00917A54">
              <w:rPr>
                <w:rFonts w:ascii="Arial" w:eastAsia="Times New Roman" w:hAnsi="Arial" w:cs="Arial"/>
                <w:color w:val="000000"/>
                <w:lang w:eastAsia="en-GB"/>
              </w:rPr>
              <w:t xml:space="preserve">1,541 </w:t>
            </w:r>
          </w:p>
        </w:tc>
        <w:tc>
          <w:tcPr>
            <w:tcW w:w="1828" w:type="dxa"/>
            <w:tcBorders>
              <w:top w:val="nil"/>
              <w:left w:val="nil"/>
              <w:bottom w:val="single" w:sz="4" w:space="0" w:color="auto"/>
              <w:right w:val="nil"/>
            </w:tcBorders>
            <w:shd w:val="clear" w:color="000000" w:fill="FFFFFF"/>
            <w:vAlign w:val="center"/>
            <w:hideMark/>
          </w:tcPr>
          <w:p w14:paraId="2E050A92" w14:textId="77777777" w:rsidR="0021298F" w:rsidRPr="00917A54" w:rsidRDefault="0021298F" w:rsidP="00760009">
            <w:pPr>
              <w:jc w:val="right"/>
              <w:rPr>
                <w:rFonts w:ascii="Arial" w:eastAsia="Times New Roman" w:hAnsi="Arial" w:cs="Arial"/>
                <w:color w:val="000000"/>
                <w:lang w:eastAsia="en-GB"/>
              </w:rPr>
            </w:pPr>
            <w:r w:rsidRPr="00917A54">
              <w:rPr>
                <w:rFonts w:ascii="Arial" w:eastAsia="Times New Roman" w:hAnsi="Arial" w:cs="Arial"/>
                <w:color w:val="000000"/>
                <w:lang w:eastAsia="en-GB"/>
              </w:rPr>
              <w:t xml:space="preserve">1,636 </w:t>
            </w:r>
          </w:p>
        </w:tc>
      </w:tr>
      <w:tr w:rsidR="0021298F" w:rsidRPr="00917A54" w14:paraId="24553AE4" w14:textId="77777777" w:rsidTr="00760009">
        <w:trPr>
          <w:trHeight w:val="450"/>
        </w:trPr>
        <w:tc>
          <w:tcPr>
            <w:tcW w:w="5529" w:type="dxa"/>
            <w:tcBorders>
              <w:top w:val="nil"/>
              <w:left w:val="nil"/>
              <w:bottom w:val="single" w:sz="8" w:space="0" w:color="auto"/>
              <w:right w:val="nil"/>
            </w:tcBorders>
            <w:shd w:val="clear" w:color="000000" w:fill="FFFFFF"/>
            <w:noWrap/>
            <w:vAlign w:val="bottom"/>
            <w:hideMark/>
          </w:tcPr>
          <w:p w14:paraId="6B6C1BB0" w14:textId="77777777" w:rsidR="0021298F" w:rsidRPr="00917A54" w:rsidRDefault="0021298F" w:rsidP="00760009">
            <w:pPr>
              <w:rPr>
                <w:rFonts w:ascii="Arial" w:eastAsia="Times New Roman" w:hAnsi="Arial" w:cs="Arial"/>
                <w:b/>
                <w:bCs/>
                <w:color w:val="000000"/>
                <w:lang w:eastAsia="en-GB"/>
              </w:rPr>
            </w:pPr>
            <w:r w:rsidRPr="00917A54">
              <w:rPr>
                <w:rFonts w:ascii="Arial" w:eastAsia="Times New Roman" w:hAnsi="Arial" w:cs="Arial"/>
                <w:b/>
                <w:bCs/>
                <w:color w:val="000000"/>
                <w:lang w:eastAsia="en-GB"/>
              </w:rPr>
              <w:t> </w:t>
            </w:r>
          </w:p>
        </w:tc>
        <w:tc>
          <w:tcPr>
            <w:tcW w:w="266" w:type="dxa"/>
            <w:tcBorders>
              <w:top w:val="nil"/>
              <w:left w:val="nil"/>
              <w:bottom w:val="single" w:sz="8" w:space="0" w:color="auto"/>
              <w:right w:val="nil"/>
            </w:tcBorders>
            <w:shd w:val="clear" w:color="auto" w:fill="auto"/>
            <w:noWrap/>
            <w:vAlign w:val="bottom"/>
            <w:hideMark/>
          </w:tcPr>
          <w:p w14:paraId="2D6F26E6" w14:textId="77777777" w:rsidR="0021298F" w:rsidRPr="00917A54" w:rsidRDefault="0021298F" w:rsidP="00760009">
            <w:pPr>
              <w:rPr>
                <w:rFonts w:ascii="Calibri" w:eastAsia="Times New Roman" w:hAnsi="Calibri" w:cs="Calibri"/>
                <w:color w:val="000000"/>
                <w:lang w:eastAsia="en-GB"/>
              </w:rPr>
            </w:pPr>
            <w:r w:rsidRPr="00917A54">
              <w:rPr>
                <w:rFonts w:ascii="Calibri" w:eastAsia="Times New Roman" w:hAnsi="Calibri" w:cs="Calibri"/>
                <w:color w:val="000000"/>
                <w:lang w:eastAsia="en-GB"/>
              </w:rPr>
              <w:t> </w:t>
            </w:r>
          </w:p>
        </w:tc>
        <w:tc>
          <w:tcPr>
            <w:tcW w:w="1828" w:type="dxa"/>
            <w:tcBorders>
              <w:top w:val="single" w:sz="4" w:space="0" w:color="auto"/>
              <w:left w:val="nil"/>
              <w:bottom w:val="single" w:sz="8" w:space="0" w:color="auto"/>
              <w:right w:val="nil"/>
            </w:tcBorders>
            <w:shd w:val="clear" w:color="000000" w:fill="EDFFB7"/>
            <w:vAlign w:val="center"/>
            <w:hideMark/>
          </w:tcPr>
          <w:p w14:paraId="1C34180E" w14:textId="77777777" w:rsidR="0021298F" w:rsidRPr="00917A54" w:rsidRDefault="0021298F" w:rsidP="00760009">
            <w:pPr>
              <w:jc w:val="right"/>
              <w:rPr>
                <w:rFonts w:ascii="Arial" w:eastAsia="Times New Roman" w:hAnsi="Arial" w:cs="Arial"/>
                <w:b/>
                <w:bCs/>
                <w:color w:val="000000"/>
                <w:lang w:eastAsia="en-GB"/>
              </w:rPr>
            </w:pPr>
            <w:r w:rsidRPr="00917A54">
              <w:rPr>
                <w:rFonts w:ascii="Arial" w:eastAsia="Times New Roman" w:hAnsi="Arial" w:cs="Arial"/>
                <w:b/>
                <w:bCs/>
                <w:color w:val="000000"/>
                <w:lang w:eastAsia="en-GB"/>
              </w:rPr>
              <w:t xml:space="preserve">1,707 </w:t>
            </w:r>
          </w:p>
        </w:tc>
        <w:tc>
          <w:tcPr>
            <w:tcW w:w="1828" w:type="dxa"/>
            <w:tcBorders>
              <w:top w:val="nil"/>
              <w:left w:val="nil"/>
              <w:bottom w:val="single" w:sz="8" w:space="0" w:color="auto"/>
              <w:right w:val="nil"/>
            </w:tcBorders>
            <w:shd w:val="clear" w:color="000000" w:fill="FFFFFF"/>
            <w:vAlign w:val="center"/>
            <w:hideMark/>
          </w:tcPr>
          <w:p w14:paraId="158B840A" w14:textId="77777777" w:rsidR="0021298F" w:rsidRPr="00917A54" w:rsidRDefault="0021298F" w:rsidP="00760009">
            <w:pPr>
              <w:jc w:val="right"/>
              <w:rPr>
                <w:rFonts w:ascii="Arial" w:eastAsia="Times New Roman" w:hAnsi="Arial" w:cs="Arial"/>
                <w:b/>
                <w:bCs/>
                <w:color w:val="000000"/>
                <w:lang w:eastAsia="en-GB"/>
              </w:rPr>
            </w:pPr>
            <w:r w:rsidRPr="00917A54">
              <w:rPr>
                <w:rFonts w:ascii="Arial" w:eastAsia="Times New Roman" w:hAnsi="Arial" w:cs="Arial"/>
                <w:b/>
                <w:bCs/>
                <w:color w:val="000000"/>
                <w:lang w:eastAsia="en-GB"/>
              </w:rPr>
              <w:t xml:space="preserve">6,783 </w:t>
            </w:r>
          </w:p>
        </w:tc>
      </w:tr>
    </w:tbl>
    <w:p w14:paraId="74C10CB3" w14:textId="77777777" w:rsidR="0021298F" w:rsidRDefault="0021298F" w:rsidP="0021298F">
      <w:pPr>
        <w:jc w:val="both"/>
        <w:rPr>
          <w:rFonts w:ascii="Arial" w:hAnsi="Arial" w:cs="Arial"/>
          <w:b/>
          <w:sz w:val="26"/>
          <w:szCs w:val="26"/>
        </w:rPr>
      </w:pPr>
      <w:r w:rsidRPr="00AC0336">
        <w:rPr>
          <w:rFonts w:ascii="Arial" w:eastAsia="Times New Roman" w:hAnsi="Arial" w:cs="Arial"/>
          <w:bCs/>
          <w:vertAlign w:val="superscript"/>
          <w:lang w:eastAsia="en-GB"/>
        </w:rPr>
        <w:t>(1</w:t>
      </w:r>
      <w:r>
        <w:rPr>
          <w:rFonts w:ascii="Arial" w:eastAsia="Times New Roman" w:hAnsi="Arial" w:cs="Arial"/>
          <w:bCs/>
          <w:vertAlign w:val="superscript"/>
          <w:lang w:eastAsia="en-GB"/>
        </w:rPr>
        <w:t xml:space="preserve">) </w:t>
      </w:r>
      <w:r w:rsidRPr="000C1DAA">
        <w:rPr>
          <w:rFonts w:ascii="Arial" w:hAnsi="Arial" w:cs="Arial"/>
          <w:sz w:val="18"/>
          <w:szCs w:val="18"/>
        </w:rPr>
        <w:t>€</w:t>
      </w:r>
      <w:r>
        <w:rPr>
          <w:rFonts w:ascii="Arial" w:hAnsi="Arial" w:cs="Arial"/>
          <w:sz w:val="18"/>
          <w:szCs w:val="18"/>
        </w:rPr>
        <w:t>399</w:t>
      </w:r>
      <w:r w:rsidRPr="000C1DAA">
        <w:rPr>
          <w:rFonts w:ascii="Arial" w:hAnsi="Arial" w:cs="Arial"/>
          <w:sz w:val="18"/>
          <w:szCs w:val="18"/>
        </w:rPr>
        <w:t>k of acquisition costs were not related to investments acquired in the current year as well as accrual adjustments from previous years.</w:t>
      </w:r>
    </w:p>
    <w:p w14:paraId="2D1120FF" w14:textId="77777777" w:rsidR="0021298F" w:rsidRDefault="0021298F" w:rsidP="0021298F">
      <w:pPr>
        <w:pStyle w:val="Heading2"/>
        <w:keepNext w:val="0"/>
        <w:keepLines w:val="0"/>
        <w:spacing w:before="0" w:line="240" w:lineRule="auto"/>
        <w:jc w:val="both"/>
        <w:rPr>
          <w:rFonts w:ascii="Arial" w:hAnsi="Arial" w:cs="Arial"/>
          <w:color w:val="auto"/>
          <w:sz w:val="24"/>
          <w:szCs w:val="22"/>
          <w:lang w:eastAsia="en-GB"/>
        </w:rPr>
      </w:pPr>
    </w:p>
    <w:tbl>
      <w:tblPr>
        <w:tblW w:w="9527" w:type="dxa"/>
        <w:tblLook w:val="04A0" w:firstRow="1" w:lastRow="0" w:firstColumn="1" w:lastColumn="0" w:noHBand="0" w:noVBand="1"/>
      </w:tblPr>
      <w:tblGrid>
        <w:gridCol w:w="4111"/>
        <w:gridCol w:w="1737"/>
        <w:gridCol w:w="1834"/>
        <w:gridCol w:w="6"/>
        <w:gridCol w:w="1833"/>
        <w:gridCol w:w="8"/>
      </w:tblGrid>
      <w:tr w:rsidR="0021298F" w:rsidRPr="00917A54" w14:paraId="14CC11A5" w14:textId="77777777" w:rsidTr="00760009">
        <w:trPr>
          <w:trHeight w:val="330"/>
        </w:trPr>
        <w:tc>
          <w:tcPr>
            <w:tcW w:w="4111" w:type="dxa"/>
            <w:tcBorders>
              <w:top w:val="nil"/>
              <w:left w:val="nil"/>
              <w:bottom w:val="nil"/>
              <w:right w:val="nil"/>
            </w:tcBorders>
            <w:shd w:val="clear" w:color="auto" w:fill="auto"/>
            <w:noWrap/>
            <w:vAlign w:val="bottom"/>
            <w:hideMark/>
          </w:tcPr>
          <w:p w14:paraId="052B94C2" w14:textId="77777777" w:rsidR="0021298F" w:rsidRPr="006F379C" w:rsidRDefault="0021298F" w:rsidP="00760009">
            <w:pPr>
              <w:pStyle w:val="ListParagraph"/>
              <w:rPr>
                <w:rFonts w:ascii="Times New Roman" w:eastAsia="Times New Roman" w:hAnsi="Times New Roman" w:cs="Times New Roman"/>
                <w:lang w:eastAsia="en-GB"/>
              </w:rPr>
            </w:pPr>
          </w:p>
        </w:tc>
        <w:tc>
          <w:tcPr>
            <w:tcW w:w="1737" w:type="dxa"/>
            <w:tcBorders>
              <w:top w:val="nil"/>
              <w:left w:val="nil"/>
              <w:bottom w:val="nil"/>
              <w:right w:val="nil"/>
            </w:tcBorders>
            <w:shd w:val="clear" w:color="000000" w:fill="FFFFFF"/>
            <w:vAlign w:val="bottom"/>
            <w:hideMark/>
          </w:tcPr>
          <w:p w14:paraId="73F679D7" w14:textId="77777777" w:rsidR="0021298F" w:rsidRPr="00917A54" w:rsidRDefault="0021298F" w:rsidP="00760009">
            <w:pPr>
              <w:jc w:val="right"/>
              <w:rPr>
                <w:rFonts w:ascii="Arial" w:eastAsia="Times New Roman" w:hAnsi="Arial" w:cs="Arial"/>
                <w:b/>
                <w:bCs/>
                <w:color w:val="000000"/>
                <w:lang w:eastAsia="en-GB"/>
              </w:rPr>
            </w:pPr>
            <w:r w:rsidRPr="00917A54">
              <w:rPr>
                <w:rFonts w:ascii="Arial" w:eastAsia="Times New Roman" w:hAnsi="Arial" w:cs="Arial"/>
                <w:b/>
                <w:bCs/>
                <w:color w:val="000000"/>
                <w:lang w:eastAsia="en-GB"/>
              </w:rPr>
              <w:t xml:space="preserve">Loans </w:t>
            </w:r>
          </w:p>
        </w:tc>
        <w:tc>
          <w:tcPr>
            <w:tcW w:w="1840" w:type="dxa"/>
            <w:gridSpan w:val="2"/>
            <w:tcBorders>
              <w:top w:val="nil"/>
              <w:left w:val="nil"/>
              <w:bottom w:val="nil"/>
              <w:right w:val="nil"/>
            </w:tcBorders>
            <w:shd w:val="clear" w:color="000000" w:fill="FFFFFF"/>
            <w:vAlign w:val="bottom"/>
            <w:hideMark/>
          </w:tcPr>
          <w:p w14:paraId="51AD231E" w14:textId="77777777" w:rsidR="0021298F" w:rsidRPr="00917A54" w:rsidRDefault="0021298F" w:rsidP="00760009">
            <w:pPr>
              <w:jc w:val="right"/>
              <w:rPr>
                <w:rFonts w:ascii="Arial" w:eastAsia="Times New Roman" w:hAnsi="Arial" w:cs="Arial"/>
                <w:b/>
                <w:bCs/>
                <w:color w:val="000000"/>
                <w:lang w:eastAsia="en-GB"/>
              </w:rPr>
            </w:pPr>
            <w:r w:rsidRPr="00917A54">
              <w:rPr>
                <w:rFonts w:ascii="Arial" w:eastAsia="Times New Roman" w:hAnsi="Arial" w:cs="Arial"/>
                <w:b/>
                <w:bCs/>
                <w:color w:val="000000"/>
                <w:lang w:eastAsia="en-GB"/>
              </w:rPr>
              <w:t xml:space="preserve">Equity interest </w:t>
            </w:r>
          </w:p>
        </w:tc>
        <w:tc>
          <w:tcPr>
            <w:tcW w:w="1839" w:type="dxa"/>
            <w:gridSpan w:val="2"/>
            <w:tcBorders>
              <w:top w:val="nil"/>
              <w:left w:val="nil"/>
              <w:bottom w:val="nil"/>
              <w:right w:val="nil"/>
            </w:tcBorders>
            <w:shd w:val="clear" w:color="000000" w:fill="FFFFFF"/>
            <w:vAlign w:val="bottom"/>
            <w:hideMark/>
          </w:tcPr>
          <w:p w14:paraId="7A291308" w14:textId="77777777" w:rsidR="0021298F" w:rsidRPr="00917A54" w:rsidRDefault="0021298F" w:rsidP="00760009">
            <w:pPr>
              <w:jc w:val="right"/>
              <w:rPr>
                <w:rFonts w:ascii="Arial" w:eastAsia="Times New Roman" w:hAnsi="Arial" w:cs="Arial"/>
                <w:b/>
                <w:bCs/>
                <w:color w:val="000000"/>
                <w:lang w:eastAsia="en-GB"/>
              </w:rPr>
            </w:pPr>
            <w:r w:rsidRPr="00917A54">
              <w:rPr>
                <w:rFonts w:ascii="Arial" w:eastAsia="Times New Roman" w:hAnsi="Arial" w:cs="Arial"/>
                <w:b/>
                <w:bCs/>
                <w:color w:val="000000"/>
                <w:lang w:eastAsia="en-GB"/>
              </w:rPr>
              <w:t>Total</w:t>
            </w:r>
          </w:p>
        </w:tc>
      </w:tr>
      <w:tr w:rsidR="0021298F" w:rsidRPr="00917A54" w14:paraId="512FAB2B" w14:textId="77777777" w:rsidTr="00760009">
        <w:trPr>
          <w:trHeight w:val="600"/>
        </w:trPr>
        <w:tc>
          <w:tcPr>
            <w:tcW w:w="4111" w:type="dxa"/>
            <w:tcBorders>
              <w:top w:val="nil"/>
              <w:left w:val="nil"/>
              <w:bottom w:val="single" w:sz="4" w:space="0" w:color="auto"/>
              <w:right w:val="nil"/>
            </w:tcBorders>
            <w:shd w:val="clear" w:color="000000" w:fill="FFFFFF"/>
            <w:vAlign w:val="center"/>
            <w:hideMark/>
          </w:tcPr>
          <w:p w14:paraId="73CDA49B" w14:textId="77777777" w:rsidR="0021298F" w:rsidRPr="00917A54" w:rsidRDefault="0021298F" w:rsidP="00760009">
            <w:pPr>
              <w:rPr>
                <w:rFonts w:ascii="Arial" w:eastAsia="Times New Roman" w:hAnsi="Arial" w:cs="Arial"/>
                <w:b/>
                <w:bCs/>
                <w:color w:val="000000"/>
                <w:lang w:eastAsia="en-GB"/>
              </w:rPr>
            </w:pPr>
            <w:r w:rsidRPr="00917A54">
              <w:rPr>
                <w:rFonts w:ascii="Arial" w:eastAsia="Times New Roman" w:hAnsi="Arial" w:cs="Arial"/>
                <w:b/>
                <w:bCs/>
                <w:color w:val="000000"/>
                <w:lang w:eastAsia="en-GB"/>
              </w:rPr>
              <w:t>Company as at 31 December 2020</w:t>
            </w:r>
          </w:p>
        </w:tc>
        <w:tc>
          <w:tcPr>
            <w:tcW w:w="1737" w:type="dxa"/>
            <w:tcBorders>
              <w:top w:val="nil"/>
              <w:left w:val="nil"/>
              <w:bottom w:val="single" w:sz="4" w:space="0" w:color="auto"/>
              <w:right w:val="nil"/>
            </w:tcBorders>
            <w:shd w:val="clear" w:color="000000" w:fill="FFFFFF"/>
            <w:noWrap/>
            <w:vAlign w:val="bottom"/>
            <w:hideMark/>
          </w:tcPr>
          <w:p w14:paraId="3330BAF5" w14:textId="77777777" w:rsidR="0021298F" w:rsidRPr="00917A54" w:rsidRDefault="0021298F" w:rsidP="00760009">
            <w:pPr>
              <w:jc w:val="right"/>
              <w:rPr>
                <w:rFonts w:ascii="Arial" w:eastAsia="Times New Roman" w:hAnsi="Arial" w:cs="Arial"/>
                <w:b/>
                <w:bCs/>
                <w:color w:val="000000"/>
                <w:lang w:eastAsia="en-GB"/>
              </w:rPr>
            </w:pPr>
            <w:r w:rsidRPr="00917A54">
              <w:rPr>
                <w:rFonts w:ascii="Arial" w:eastAsia="Times New Roman" w:hAnsi="Arial" w:cs="Arial"/>
                <w:b/>
                <w:bCs/>
                <w:color w:val="000000"/>
                <w:lang w:eastAsia="en-GB"/>
              </w:rPr>
              <w:t>€'000</w:t>
            </w:r>
          </w:p>
        </w:tc>
        <w:tc>
          <w:tcPr>
            <w:tcW w:w="1840" w:type="dxa"/>
            <w:gridSpan w:val="2"/>
            <w:tcBorders>
              <w:top w:val="nil"/>
              <w:left w:val="nil"/>
              <w:bottom w:val="single" w:sz="4" w:space="0" w:color="auto"/>
              <w:right w:val="nil"/>
            </w:tcBorders>
            <w:shd w:val="clear" w:color="000000" w:fill="FFFFFF"/>
            <w:noWrap/>
            <w:vAlign w:val="bottom"/>
            <w:hideMark/>
          </w:tcPr>
          <w:p w14:paraId="6F810B2A" w14:textId="77777777" w:rsidR="0021298F" w:rsidRPr="00917A54" w:rsidRDefault="0021298F" w:rsidP="00760009">
            <w:pPr>
              <w:jc w:val="right"/>
              <w:rPr>
                <w:rFonts w:ascii="Arial" w:eastAsia="Times New Roman" w:hAnsi="Arial" w:cs="Arial"/>
                <w:b/>
                <w:bCs/>
                <w:color w:val="000000"/>
                <w:lang w:eastAsia="en-GB"/>
              </w:rPr>
            </w:pPr>
            <w:r w:rsidRPr="00917A54">
              <w:rPr>
                <w:rFonts w:ascii="Arial" w:eastAsia="Times New Roman" w:hAnsi="Arial" w:cs="Arial"/>
                <w:b/>
                <w:bCs/>
                <w:color w:val="000000"/>
                <w:lang w:eastAsia="en-GB"/>
              </w:rPr>
              <w:t>€'000</w:t>
            </w:r>
          </w:p>
        </w:tc>
        <w:tc>
          <w:tcPr>
            <w:tcW w:w="1839" w:type="dxa"/>
            <w:gridSpan w:val="2"/>
            <w:tcBorders>
              <w:top w:val="nil"/>
              <w:left w:val="nil"/>
              <w:bottom w:val="single" w:sz="4" w:space="0" w:color="auto"/>
              <w:right w:val="nil"/>
            </w:tcBorders>
            <w:shd w:val="clear" w:color="000000" w:fill="FFFFFF"/>
            <w:noWrap/>
            <w:vAlign w:val="bottom"/>
            <w:hideMark/>
          </w:tcPr>
          <w:p w14:paraId="44963302" w14:textId="77777777" w:rsidR="0021298F" w:rsidRPr="00917A54" w:rsidRDefault="0021298F" w:rsidP="00760009">
            <w:pPr>
              <w:jc w:val="right"/>
              <w:rPr>
                <w:rFonts w:ascii="Arial" w:eastAsia="Times New Roman" w:hAnsi="Arial" w:cs="Arial"/>
                <w:b/>
                <w:bCs/>
                <w:color w:val="000000"/>
                <w:lang w:eastAsia="en-GB"/>
              </w:rPr>
            </w:pPr>
            <w:r w:rsidRPr="00917A54">
              <w:rPr>
                <w:rFonts w:ascii="Arial" w:eastAsia="Times New Roman" w:hAnsi="Arial" w:cs="Arial"/>
                <w:b/>
                <w:bCs/>
                <w:color w:val="000000"/>
                <w:lang w:eastAsia="en-GB"/>
              </w:rPr>
              <w:t>€'000</w:t>
            </w:r>
          </w:p>
        </w:tc>
      </w:tr>
      <w:tr w:rsidR="0021298F" w:rsidRPr="00917A54" w14:paraId="46BBC33D" w14:textId="77777777" w:rsidTr="00760009">
        <w:trPr>
          <w:trHeight w:val="120"/>
        </w:trPr>
        <w:tc>
          <w:tcPr>
            <w:tcW w:w="4111" w:type="dxa"/>
            <w:tcBorders>
              <w:top w:val="nil"/>
              <w:left w:val="nil"/>
              <w:bottom w:val="nil"/>
              <w:right w:val="nil"/>
            </w:tcBorders>
            <w:shd w:val="clear" w:color="000000" w:fill="FFFFFF"/>
            <w:noWrap/>
            <w:vAlign w:val="bottom"/>
            <w:hideMark/>
          </w:tcPr>
          <w:p w14:paraId="2CC6697D" w14:textId="77777777" w:rsidR="0021298F" w:rsidRPr="00917A54" w:rsidRDefault="0021298F" w:rsidP="00760009">
            <w:pPr>
              <w:rPr>
                <w:rFonts w:ascii="Arial" w:eastAsia="Times New Roman" w:hAnsi="Arial" w:cs="Arial"/>
                <w:b/>
                <w:bCs/>
                <w:color w:val="000000"/>
                <w:lang w:eastAsia="en-GB"/>
              </w:rPr>
            </w:pPr>
            <w:r w:rsidRPr="00917A54">
              <w:rPr>
                <w:rFonts w:ascii="Arial" w:eastAsia="Times New Roman" w:hAnsi="Arial" w:cs="Arial"/>
                <w:b/>
                <w:bCs/>
                <w:color w:val="000000"/>
                <w:lang w:eastAsia="en-GB"/>
              </w:rPr>
              <w:t> </w:t>
            </w:r>
          </w:p>
        </w:tc>
        <w:tc>
          <w:tcPr>
            <w:tcW w:w="1737" w:type="dxa"/>
            <w:tcBorders>
              <w:top w:val="nil"/>
              <w:left w:val="nil"/>
              <w:bottom w:val="nil"/>
              <w:right w:val="nil"/>
            </w:tcBorders>
            <w:shd w:val="clear" w:color="000000" w:fill="EDFFB7"/>
            <w:noWrap/>
            <w:vAlign w:val="center"/>
            <w:hideMark/>
          </w:tcPr>
          <w:p w14:paraId="52C9A438" w14:textId="77777777" w:rsidR="0021298F" w:rsidRPr="00917A54" w:rsidRDefault="0021298F" w:rsidP="00760009">
            <w:pPr>
              <w:jc w:val="right"/>
              <w:rPr>
                <w:rFonts w:ascii="Arial" w:eastAsia="Times New Roman" w:hAnsi="Arial" w:cs="Arial"/>
                <w:b/>
                <w:bCs/>
                <w:color w:val="000000"/>
                <w:lang w:eastAsia="en-GB"/>
              </w:rPr>
            </w:pPr>
            <w:r w:rsidRPr="00917A54">
              <w:rPr>
                <w:rFonts w:ascii="Arial" w:eastAsia="Times New Roman" w:hAnsi="Arial" w:cs="Arial"/>
                <w:b/>
                <w:bCs/>
                <w:color w:val="000000"/>
                <w:lang w:eastAsia="en-GB"/>
              </w:rPr>
              <w:t> </w:t>
            </w:r>
          </w:p>
        </w:tc>
        <w:tc>
          <w:tcPr>
            <w:tcW w:w="1840" w:type="dxa"/>
            <w:gridSpan w:val="2"/>
            <w:tcBorders>
              <w:top w:val="nil"/>
              <w:left w:val="nil"/>
              <w:bottom w:val="nil"/>
              <w:right w:val="nil"/>
            </w:tcBorders>
            <w:shd w:val="clear" w:color="000000" w:fill="EDFFB7"/>
            <w:noWrap/>
            <w:vAlign w:val="center"/>
            <w:hideMark/>
          </w:tcPr>
          <w:p w14:paraId="1CADE0F2" w14:textId="77777777" w:rsidR="0021298F" w:rsidRPr="00917A54" w:rsidRDefault="0021298F" w:rsidP="00760009">
            <w:pPr>
              <w:jc w:val="right"/>
              <w:rPr>
                <w:rFonts w:ascii="Arial" w:eastAsia="Times New Roman" w:hAnsi="Arial" w:cs="Arial"/>
                <w:b/>
                <w:bCs/>
                <w:color w:val="000000"/>
                <w:lang w:eastAsia="en-GB"/>
              </w:rPr>
            </w:pPr>
            <w:r w:rsidRPr="00917A54">
              <w:rPr>
                <w:rFonts w:ascii="Arial" w:eastAsia="Times New Roman" w:hAnsi="Arial" w:cs="Arial"/>
                <w:b/>
                <w:bCs/>
                <w:color w:val="000000"/>
                <w:lang w:eastAsia="en-GB"/>
              </w:rPr>
              <w:t> </w:t>
            </w:r>
          </w:p>
        </w:tc>
        <w:tc>
          <w:tcPr>
            <w:tcW w:w="1839" w:type="dxa"/>
            <w:gridSpan w:val="2"/>
            <w:tcBorders>
              <w:top w:val="nil"/>
              <w:left w:val="nil"/>
              <w:bottom w:val="nil"/>
              <w:right w:val="nil"/>
            </w:tcBorders>
            <w:shd w:val="clear" w:color="000000" w:fill="EDFFB7"/>
            <w:noWrap/>
            <w:vAlign w:val="center"/>
            <w:hideMark/>
          </w:tcPr>
          <w:p w14:paraId="559B6D45" w14:textId="77777777" w:rsidR="0021298F" w:rsidRPr="00917A54" w:rsidRDefault="0021298F" w:rsidP="00760009">
            <w:pPr>
              <w:jc w:val="right"/>
              <w:rPr>
                <w:rFonts w:ascii="Arial" w:eastAsia="Times New Roman" w:hAnsi="Arial" w:cs="Arial"/>
                <w:b/>
                <w:bCs/>
                <w:color w:val="000000"/>
                <w:lang w:eastAsia="en-GB"/>
              </w:rPr>
            </w:pPr>
            <w:r w:rsidRPr="00917A54">
              <w:rPr>
                <w:rFonts w:ascii="Arial" w:eastAsia="Times New Roman" w:hAnsi="Arial" w:cs="Arial"/>
                <w:b/>
                <w:bCs/>
                <w:color w:val="000000"/>
                <w:lang w:eastAsia="en-GB"/>
              </w:rPr>
              <w:t> </w:t>
            </w:r>
          </w:p>
        </w:tc>
      </w:tr>
      <w:tr w:rsidR="0021298F" w:rsidRPr="00917A54" w14:paraId="399EFE1D" w14:textId="77777777" w:rsidTr="00760009">
        <w:trPr>
          <w:trHeight w:val="330"/>
        </w:trPr>
        <w:tc>
          <w:tcPr>
            <w:tcW w:w="4111" w:type="dxa"/>
            <w:tcBorders>
              <w:top w:val="nil"/>
              <w:left w:val="nil"/>
              <w:bottom w:val="nil"/>
              <w:right w:val="nil"/>
            </w:tcBorders>
            <w:shd w:val="clear" w:color="000000" w:fill="FFFFFF"/>
            <w:noWrap/>
            <w:vAlign w:val="bottom"/>
            <w:hideMark/>
          </w:tcPr>
          <w:p w14:paraId="2C3DC677" w14:textId="77777777" w:rsidR="0021298F" w:rsidRPr="00917A54" w:rsidRDefault="0021298F" w:rsidP="00760009">
            <w:pPr>
              <w:rPr>
                <w:rFonts w:ascii="Arial" w:eastAsia="Times New Roman" w:hAnsi="Arial" w:cs="Arial"/>
                <w:color w:val="000000"/>
                <w:lang w:eastAsia="en-GB"/>
              </w:rPr>
            </w:pPr>
            <w:r w:rsidRPr="00917A54">
              <w:rPr>
                <w:rFonts w:ascii="Arial" w:eastAsia="Times New Roman" w:hAnsi="Arial" w:cs="Arial"/>
                <w:color w:val="000000"/>
                <w:lang w:eastAsia="en-GB"/>
              </w:rPr>
              <w:t>Opening balance</w:t>
            </w:r>
          </w:p>
        </w:tc>
        <w:tc>
          <w:tcPr>
            <w:tcW w:w="1737" w:type="dxa"/>
            <w:tcBorders>
              <w:top w:val="nil"/>
              <w:left w:val="nil"/>
              <w:bottom w:val="nil"/>
              <w:right w:val="nil"/>
            </w:tcBorders>
            <w:shd w:val="clear" w:color="000000" w:fill="EDFFB7"/>
            <w:noWrap/>
            <w:vAlign w:val="center"/>
            <w:hideMark/>
          </w:tcPr>
          <w:p w14:paraId="58F38BC3" w14:textId="77777777" w:rsidR="0021298F" w:rsidRPr="00917A54" w:rsidRDefault="0021298F" w:rsidP="00760009">
            <w:pPr>
              <w:jc w:val="right"/>
              <w:rPr>
                <w:rFonts w:ascii="Arial" w:eastAsia="Times New Roman" w:hAnsi="Arial" w:cs="Arial"/>
                <w:b/>
                <w:bCs/>
                <w:color w:val="000000"/>
                <w:lang w:eastAsia="en-GB"/>
              </w:rPr>
            </w:pPr>
            <w:r w:rsidRPr="00917A54">
              <w:rPr>
                <w:rFonts w:ascii="Arial" w:eastAsia="Times New Roman" w:hAnsi="Arial" w:cs="Arial"/>
                <w:b/>
                <w:bCs/>
                <w:color w:val="000000"/>
                <w:lang w:eastAsia="en-GB"/>
              </w:rPr>
              <w:t xml:space="preserve">551,968 </w:t>
            </w:r>
          </w:p>
        </w:tc>
        <w:tc>
          <w:tcPr>
            <w:tcW w:w="1840" w:type="dxa"/>
            <w:gridSpan w:val="2"/>
            <w:tcBorders>
              <w:top w:val="nil"/>
              <w:left w:val="nil"/>
              <w:bottom w:val="nil"/>
              <w:right w:val="nil"/>
            </w:tcBorders>
            <w:shd w:val="clear" w:color="000000" w:fill="EDFFB7"/>
            <w:noWrap/>
            <w:vAlign w:val="center"/>
            <w:hideMark/>
          </w:tcPr>
          <w:p w14:paraId="12458B17" w14:textId="77777777" w:rsidR="0021298F" w:rsidRPr="00917A54" w:rsidRDefault="0021298F" w:rsidP="00760009">
            <w:pPr>
              <w:jc w:val="right"/>
              <w:rPr>
                <w:rFonts w:ascii="Arial" w:eastAsia="Times New Roman" w:hAnsi="Arial" w:cs="Arial"/>
                <w:b/>
                <w:bCs/>
                <w:color w:val="000000"/>
                <w:lang w:eastAsia="en-GB"/>
              </w:rPr>
            </w:pPr>
            <w:r w:rsidRPr="00917A54">
              <w:rPr>
                <w:rFonts w:ascii="Arial" w:eastAsia="Times New Roman" w:hAnsi="Arial" w:cs="Arial"/>
                <w:b/>
                <w:bCs/>
                <w:color w:val="000000"/>
                <w:lang w:eastAsia="en-GB"/>
              </w:rPr>
              <w:t xml:space="preserve">96,829 </w:t>
            </w:r>
          </w:p>
        </w:tc>
        <w:tc>
          <w:tcPr>
            <w:tcW w:w="1839" w:type="dxa"/>
            <w:gridSpan w:val="2"/>
            <w:tcBorders>
              <w:top w:val="nil"/>
              <w:left w:val="nil"/>
              <w:bottom w:val="nil"/>
              <w:right w:val="nil"/>
            </w:tcBorders>
            <w:shd w:val="clear" w:color="000000" w:fill="EDFFB7"/>
            <w:noWrap/>
            <w:vAlign w:val="center"/>
            <w:hideMark/>
          </w:tcPr>
          <w:p w14:paraId="10F59D44" w14:textId="77777777" w:rsidR="0021298F" w:rsidRPr="00917A54" w:rsidRDefault="0021298F" w:rsidP="00760009">
            <w:pPr>
              <w:jc w:val="right"/>
              <w:rPr>
                <w:rFonts w:ascii="Arial" w:eastAsia="Times New Roman" w:hAnsi="Arial" w:cs="Arial"/>
                <w:b/>
                <w:bCs/>
                <w:color w:val="000000"/>
                <w:lang w:eastAsia="en-GB"/>
              </w:rPr>
            </w:pPr>
            <w:r w:rsidRPr="00917A54">
              <w:rPr>
                <w:rFonts w:ascii="Arial" w:eastAsia="Times New Roman" w:hAnsi="Arial" w:cs="Arial"/>
                <w:b/>
                <w:bCs/>
                <w:color w:val="000000"/>
                <w:lang w:eastAsia="en-GB"/>
              </w:rPr>
              <w:t xml:space="preserve">648,797 </w:t>
            </w:r>
          </w:p>
        </w:tc>
      </w:tr>
      <w:tr w:rsidR="0021298F" w:rsidRPr="00917A54" w14:paraId="39366172" w14:textId="77777777" w:rsidTr="00760009">
        <w:trPr>
          <w:trHeight w:val="335"/>
        </w:trPr>
        <w:tc>
          <w:tcPr>
            <w:tcW w:w="4111" w:type="dxa"/>
            <w:tcBorders>
              <w:top w:val="nil"/>
              <w:left w:val="nil"/>
              <w:bottom w:val="nil"/>
              <w:right w:val="nil"/>
            </w:tcBorders>
            <w:shd w:val="clear" w:color="000000" w:fill="FFFFFF"/>
            <w:vAlign w:val="bottom"/>
            <w:hideMark/>
          </w:tcPr>
          <w:p w14:paraId="23877228" w14:textId="77777777" w:rsidR="0021298F" w:rsidRPr="00917A54" w:rsidRDefault="0021298F" w:rsidP="00760009">
            <w:pPr>
              <w:rPr>
                <w:rFonts w:ascii="Arial" w:eastAsia="Times New Roman" w:hAnsi="Arial" w:cs="Arial"/>
                <w:color w:val="000000"/>
                <w:lang w:eastAsia="en-GB"/>
              </w:rPr>
            </w:pPr>
            <w:r w:rsidRPr="00917A54">
              <w:rPr>
                <w:rFonts w:ascii="Arial" w:eastAsia="Times New Roman" w:hAnsi="Arial" w:cs="Arial"/>
                <w:color w:val="000000"/>
                <w:lang w:eastAsia="en-GB"/>
              </w:rPr>
              <w:t>Loans advanced to Holdco (note 19)</w:t>
            </w:r>
          </w:p>
        </w:tc>
        <w:tc>
          <w:tcPr>
            <w:tcW w:w="1737" w:type="dxa"/>
            <w:tcBorders>
              <w:top w:val="nil"/>
              <w:left w:val="nil"/>
              <w:bottom w:val="nil"/>
              <w:right w:val="nil"/>
            </w:tcBorders>
            <w:shd w:val="clear" w:color="000000" w:fill="EDFFB7"/>
            <w:noWrap/>
            <w:vAlign w:val="center"/>
            <w:hideMark/>
          </w:tcPr>
          <w:p w14:paraId="1E333749" w14:textId="77777777" w:rsidR="0021298F" w:rsidRPr="00917A54" w:rsidRDefault="0021298F" w:rsidP="00760009">
            <w:pPr>
              <w:jc w:val="right"/>
              <w:rPr>
                <w:rFonts w:ascii="Arial" w:eastAsia="Times New Roman" w:hAnsi="Arial" w:cs="Arial"/>
                <w:color w:val="000000"/>
                <w:lang w:eastAsia="en-GB"/>
              </w:rPr>
            </w:pPr>
            <w:r>
              <w:rPr>
                <w:rFonts w:ascii="Arial" w:eastAsia="Times New Roman" w:hAnsi="Arial" w:cs="Arial"/>
                <w:color w:val="000000"/>
                <w:lang w:eastAsia="en-GB"/>
              </w:rPr>
              <w:t>6,900</w:t>
            </w:r>
            <w:r w:rsidRPr="00917A54">
              <w:rPr>
                <w:rFonts w:ascii="Arial" w:eastAsia="Times New Roman" w:hAnsi="Arial" w:cs="Arial"/>
                <w:color w:val="000000"/>
                <w:lang w:eastAsia="en-GB"/>
              </w:rPr>
              <w:t xml:space="preserve"> </w:t>
            </w:r>
          </w:p>
        </w:tc>
        <w:tc>
          <w:tcPr>
            <w:tcW w:w="1840" w:type="dxa"/>
            <w:gridSpan w:val="2"/>
            <w:tcBorders>
              <w:top w:val="nil"/>
              <w:left w:val="nil"/>
              <w:bottom w:val="nil"/>
              <w:right w:val="nil"/>
            </w:tcBorders>
            <w:shd w:val="clear" w:color="000000" w:fill="EDFFB7"/>
            <w:noWrap/>
            <w:vAlign w:val="center"/>
            <w:hideMark/>
          </w:tcPr>
          <w:p w14:paraId="2DDC9B53" w14:textId="77777777" w:rsidR="0021298F" w:rsidRPr="00917A54" w:rsidRDefault="0021298F" w:rsidP="00760009">
            <w:pPr>
              <w:jc w:val="right"/>
              <w:rPr>
                <w:rFonts w:ascii="Arial" w:eastAsia="Times New Roman" w:hAnsi="Arial" w:cs="Arial"/>
                <w:color w:val="000000"/>
                <w:lang w:eastAsia="en-GB"/>
              </w:rPr>
            </w:pPr>
            <w:r w:rsidRPr="00917A54">
              <w:rPr>
                <w:rFonts w:ascii="Arial" w:eastAsia="Times New Roman" w:hAnsi="Arial" w:cs="Arial"/>
                <w:color w:val="000000"/>
                <w:lang w:eastAsia="en-GB"/>
              </w:rPr>
              <w:t xml:space="preserve">-   </w:t>
            </w:r>
          </w:p>
        </w:tc>
        <w:tc>
          <w:tcPr>
            <w:tcW w:w="1839" w:type="dxa"/>
            <w:gridSpan w:val="2"/>
            <w:tcBorders>
              <w:top w:val="nil"/>
              <w:left w:val="nil"/>
              <w:bottom w:val="nil"/>
              <w:right w:val="nil"/>
            </w:tcBorders>
            <w:shd w:val="clear" w:color="000000" w:fill="EDFFB7"/>
            <w:noWrap/>
            <w:vAlign w:val="center"/>
            <w:hideMark/>
          </w:tcPr>
          <w:p w14:paraId="033F94A6" w14:textId="77777777" w:rsidR="0021298F" w:rsidRPr="00917A54" w:rsidRDefault="0021298F" w:rsidP="00760009">
            <w:pPr>
              <w:jc w:val="right"/>
              <w:rPr>
                <w:rFonts w:ascii="Arial" w:eastAsia="Times New Roman" w:hAnsi="Arial" w:cs="Arial"/>
                <w:b/>
                <w:bCs/>
                <w:color w:val="000000"/>
                <w:lang w:eastAsia="en-GB"/>
              </w:rPr>
            </w:pPr>
            <w:r>
              <w:rPr>
                <w:rFonts w:ascii="Arial" w:eastAsia="Times New Roman" w:hAnsi="Arial" w:cs="Arial"/>
                <w:b/>
                <w:bCs/>
                <w:color w:val="000000"/>
                <w:lang w:eastAsia="en-GB"/>
              </w:rPr>
              <w:t>6,900</w:t>
            </w:r>
          </w:p>
        </w:tc>
      </w:tr>
      <w:tr w:rsidR="0021298F" w:rsidRPr="00917A54" w14:paraId="0D64683C" w14:textId="77777777" w:rsidTr="00760009">
        <w:trPr>
          <w:trHeight w:val="300"/>
        </w:trPr>
        <w:tc>
          <w:tcPr>
            <w:tcW w:w="4111" w:type="dxa"/>
            <w:tcBorders>
              <w:top w:val="nil"/>
              <w:left w:val="nil"/>
              <w:bottom w:val="nil"/>
              <w:right w:val="nil"/>
            </w:tcBorders>
            <w:shd w:val="clear" w:color="000000" w:fill="FFFFFF"/>
            <w:vAlign w:val="bottom"/>
            <w:hideMark/>
          </w:tcPr>
          <w:p w14:paraId="764534A5" w14:textId="77777777" w:rsidR="0021298F" w:rsidRPr="00917A54" w:rsidRDefault="0021298F" w:rsidP="00760009">
            <w:pPr>
              <w:rPr>
                <w:rFonts w:ascii="Arial" w:eastAsia="Times New Roman" w:hAnsi="Arial" w:cs="Arial"/>
                <w:color w:val="000000"/>
                <w:lang w:eastAsia="en-GB"/>
              </w:rPr>
            </w:pPr>
            <w:r w:rsidRPr="00917A54">
              <w:rPr>
                <w:rFonts w:ascii="Arial" w:eastAsia="Times New Roman" w:hAnsi="Arial" w:cs="Arial"/>
                <w:color w:val="000000"/>
                <w:lang w:eastAsia="en-GB"/>
              </w:rPr>
              <w:t>Loans repaid by Holdco. (note 19)</w:t>
            </w:r>
          </w:p>
        </w:tc>
        <w:tc>
          <w:tcPr>
            <w:tcW w:w="1737" w:type="dxa"/>
            <w:tcBorders>
              <w:top w:val="nil"/>
              <w:left w:val="nil"/>
              <w:bottom w:val="nil"/>
              <w:right w:val="nil"/>
            </w:tcBorders>
            <w:shd w:val="clear" w:color="000000" w:fill="EDFFB7"/>
            <w:noWrap/>
            <w:vAlign w:val="center"/>
            <w:hideMark/>
          </w:tcPr>
          <w:p w14:paraId="580193CD" w14:textId="77777777" w:rsidR="0021298F" w:rsidRPr="00917A54" w:rsidRDefault="0021298F" w:rsidP="00760009">
            <w:pPr>
              <w:jc w:val="right"/>
              <w:rPr>
                <w:rFonts w:ascii="Arial" w:eastAsia="Times New Roman" w:hAnsi="Arial" w:cs="Arial"/>
                <w:color w:val="000000"/>
                <w:lang w:eastAsia="en-GB"/>
              </w:rPr>
            </w:pPr>
            <w:r w:rsidRPr="00917A54">
              <w:rPr>
                <w:rFonts w:ascii="Arial" w:eastAsia="Times New Roman" w:hAnsi="Arial" w:cs="Arial"/>
                <w:color w:val="000000"/>
                <w:lang w:eastAsia="en-GB"/>
              </w:rPr>
              <w:t xml:space="preserve"> (38,520)</w:t>
            </w:r>
          </w:p>
        </w:tc>
        <w:tc>
          <w:tcPr>
            <w:tcW w:w="1840" w:type="dxa"/>
            <w:gridSpan w:val="2"/>
            <w:tcBorders>
              <w:top w:val="nil"/>
              <w:left w:val="nil"/>
              <w:bottom w:val="nil"/>
              <w:right w:val="nil"/>
            </w:tcBorders>
            <w:shd w:val="clear" w:color="000000" w:fill="EDFFB7"/>
            <w:noWrap/>
            <w:vAlign w:val="center"/>
            <w:hideMark/>
          </w:tcPr>
          <w:p w14:paraId="4F901509" w14:textId="77777777" w:rsidR="0021298F" w:rsidRPr="00917A54" w:rsidRDefault="0021298F" w:rsidP="00760009">
            <w:pPr>
              <w:jc w:val="right"/>
              <w:rPr>
                <w:rFonts w:ascii="Arial" w:eastAsia="Times New Roman" w:hAnsi="Arial" w:cs="Arial"/>
                <w:color w:val="000000"/>
                <w:lang w:eastAsia="en-GB"/>
              </w:rPr>
            </w:pPr>
            <w:r w:rsidRPr="00917A54">
              <w:rPr>
                <w:rFonts w:ascii="Arial" w:eastAsia="Times New Roman" w:hAnsi="Arial" w:cs="Arial"/>
                <w:color w:val="000000"/>
                <w:lang w:eastAsia="en-GB"/>
              </w:rPr>
              <w:t xml:space="preserve">-   </w:t>
            </w:r>
          </w:p>
        </w:tc>
        <w:tc>
          <w:tcPr>
            <w:tcW w:w="1839" w:type="dxa"/>
            <w:gridSpan w:val="2"/>
            <w:tcBorders>
              <w:top w:val="nil"/>
              <w:left w:val="nil"/>
              <w:bottom w:val="nil"/>
              <w:right w:val="nil"/>
            </w:tcBorders>
            <w:shd w:val="clear" w:color="000000" w:fill="EDFFB7"/>
            <w:noWrap/>
            <w:vAlign w:val="center"/>
            <w:hideMark/>
          </w:tcPr>
          <w:p w14:paraId="6583D3E2" w14:textId="77777777" w:rsidR="0021298F" w:rsidRPr="00917A54" w:rsidRDefault="0021298F" w:rsidP="00760009">
            <w:pPr>
              <w:jc w:val="right"/>
              <w:rPr>
                <w:rFonts w:ascii="Arial" w:eastAsia="Times New Roman" w:hAnsi="Arial" w:cs="Arial"/>
                <w:b/>
                <w:bCs/>
                <w:color w:val="000000"/>
                <w:lang w:eastAsia="en-GB"/>
              </w:rPr>
            </w:pPr>
            <w:r w:rsidRPr="00917A54">
              <w:rPr>
                <w:rFonts w:ascii="Arial" w:eastAsia="Times New Roman" w:hAnsi="Arial" w:cs="Arial"/>
                <w:b/>
                <w:bCs/>
                <w:color w:val="000000"/>
                <w:lang w:eastAsia="en-GB"/>
              </w:rPr>
              <w:t xml:space="preserve"> (38,520)</w:t>
            </w:r>
          </w:p>
        </w:tc>
      </w:tr>
      <w:tr w:rsidR="0021298F" w:rsidRPr="00917A54" w14:paraId="43573E84" w14:textId="77777777" w:rsidTr="00760009">
        <w:trPr>
          <w:trHeight w:val="570"/>
        </w:trPr>
        <w:tc>
          <w:tcPr>
            <w:tcW w:w="4111" w:type="dxa"/>
            <w:tcBorders>
              <w:top w:val="nil"/>
              <w:left w:val="nil"/>
              <w:bottom w:val="nil"/>
              <w:right w:val="nil"/>
            </w:tcBorders>
            <w:shd w:val="clear" w:color="000000" w:fill="FFFFFF"/>
            <w:vAlign w:val="center"/>
            <w:hideMark/>
          </w:tcPr>
          <w:p w14:paraId="5FFF852F" w14:textId="77777777" w:rsidR="0021298F" w:rsidRPr="00917A54" w:rsidRDefault="0021298F" w:rsidP="00760009">
            <w:pPr>
              <w:rPr>
                <w:rFonts w:ascii="Arial" w:eastAsia="Times New Roman" w:hAnsi="Arial" w:cs="Arial"/>
                <w:color w:val="000000"/>
                <w:lang w:eastAsia="en-GB"/>
              </w:rPr>
            </w:pPr>
            <w:r w:rsidRPr="00917A54">
              <w:rPr>
                <w:rFonts w:ascii="Arial" w:eastAsia="Times New Roman" w:hAnsi="Arial" w:cs="Arial"/>
                <w:color w:val="000000"/>
                <w:lang w:eastAsia="en-GB"/>
              </w:rPr>
              <w:t>Loans repaid by wind farm SPVs (note 19)</w:t>
            </w:r>
          </w:p>
        </w:tc>
        <w:tc>
          <w:tcPr>
            <w:tcW w:w="1737" w:type="dxa"/>
            <w:tcBorders>
              <w:top w:val="nil"/>
              <w:left w:val="nil"/>
              <w:bottom w:val="nil"/>
              <w:right w:val="nil"/>
            </w:tcBorders>
            <w:shd w:val="clear" w:color="000000" w:fill="EDFFB7"/>
            <w:noWrap/>
            <w:vAlign w:val="center"/>
            <w:hideMark/>
          </w:tcPr>
          <w:p w14:paraId="68A54F89" w14:textId="77777777" w:rsidR="0021298F" w:rsidRPr="00917A54" w:rsidRDefault="0021298F" w:rsidP="00760009">
            <w:pPr>
              <w:jc w:val="right"/>
              <w:rPr>
                <w:rFonts w:ascii="Arial" w:eastAsia="Times New Roman" w:hAnsi="Arial" w:cs="Arial"/>
                <w:color w:val="000000"/>
                <w:lang w:eastAsia="en-GB"/>
              </w:rPr>
            </w:pPr>
            <w:r w:rsidRPr="00917A54">
              <w:rPr>
                <w:rFonts w:ascii="Arial" w:eastAsia="Times New Roman" w:hAnsi="Arial" w:cs="Arial"/>
                <w:color w:val="000000"/>
                <w:lang w:eastAsia="en-GB"/>
              </w:rPr>
              <w:t xml:space="preserve"> (2,658)</w:t>
            </w:r>
          </w:p>
        </w:tc>
        <w:tc>
          <w:tcPr>
            <w:tcW w:w="1840" w:type="dxa"/>
            <w:gridSpan w:val="2"/>
            <w:tcBorders>
              <w:top w:val="nil"/>
              <w:left w:val="nil"/>
              <w:bottom w:val="nil"/>
              <w:right w:val="nil"/>
            </w:tcBorders>
            <w:shd w:val="clear" w:color="000000" w:fill="EDFFB7"/>
            <w:noWrap/>
            <w:vAlign w:val="center"/>
            <w:hideMark/>
          </w:tcPr>
          <w:p w14:paraId="28E93774" w14:textId="77777777" w:rsidR="0021298F" w:rsidRPr="00917A54" w:rsidRDefault="0021298F" w:rsidP="00760009">
            <w:pPr>
              <w:jc w:val="right"/>
              <w:rPr>
                <w:rFonts w:ascii="Arial" w:eastAsia="Times New Roman" w:hAnsi="Arial" w:cs="Arial"/>
                <w:color w:val="000000"/>
                <w:lang w:eastAsia="en-GB"/>
              </w:rPr>
            </w:pPr>
            <w:r w:rsidRPr="00917A54">
              <w:rPr>
                <w:rFonts w:ascii="Arial" w:eastAsia="Times New Roman" w:hAnsi="Arial" w:cs="Arial"/>
                <w:color w:val="000000"/>
                <w:lang w:eastAsia="en-GB"/>
              </w:rPr>
              <w:t xml:space="preserve">-   </w:t>
            </w:r>
          </w:p>
        </w:tc>
        <w:tc>
          <w:tcPr>
            <w:tcW w:w="1839" w:type="dxa"/>
            <w:gridSpan w:val="2"/>
            <w:tcBorders>
              <w:top w:val="nil"/>
              <w:left w:val="nil"/>
              <w:bottom w:val="nil"/>
              <w:right w:val="nil"/>
            </w:tcBorders>
            <w:shd w:val="clear" w:color="000000" w:fill="EDFFB7"/>
            <w:noWrap/>
            <w:vAlign w:val="center"/>
            <w:hideMark/>
          </w:tcPr>
          <w:p w14:paraId="16011A36" w14:textId="77777777" w:rsidR="0021298F" w:rsidRPr="00917A54" w:rsidRDefault="0021298F" w:rsidP="00760009">
            <w:pPr>
              <w:jc w:val="right"/>
              <w:rPr>
                <w:rFonts w:ascii="Arial" w:eastAsia="Times New Roman" w:hAnsi="Arial" w:cs="Arial"/>
                <w:b/>
                <w:bCs/>
                <w:color w:val="000000"/>
                <w:lang w:eastAsia="en-GB"/>
              </w:rPr>
            </w:pPr>
            <w:r w:rsidRPr="00917A54">
              <w:rPr>
                <w:rFonts w:ascii="Arial" w:eastAsia="Times New Roman" w:hAnsi="Arial" w:cs="Arial"/>
                <w:b/>
                <w:bCs/>
                <w:color w:val="000000"/>
                <w:lang w:eastAsia="en-GB"/>
              </w:rPr>
              <w:t xml:space="preserve"> (2,658)</w:t>
            </w:r>
          </w:p>
        </w:tc>
      </w:tr>
      <w:tr w:rsidR="0021298F" w:rsidRPr="00917A54" w14:paraId="43E41B72" w14:textId="77777777" w:rsidTr="00760009">
        <w:trPr>
          <w:trHeight w:val="395"/>
        </w:trPr>
        <w:tc>
          <w:tcPr>
            <w:tcW w:w="4111" w:type="dxa"/>
            <w:tcBorders>
              <w:top w:val="nil"/>
              <w:left w:val="nil"/>
              <w:bottom w:val="nil"/>
              <w:right w:val="nil"/>
            </w:tcBorders>
            <w:shd w:val="clear" w:color="000000" w:fill="FFFFFF"/>
            <w:vAlign w:val="center"/>
          </w:tcPr>
          <w:p w14:paraId="050630F0" w14:textId="77777777" w:rsidR="0021298F" w:rsidRPr="00917A54" w:rsidRDefault="0021298F" w:rsidP="00760009">
            <w:pPr>
              <w:rPr>
                <w:rFonts w:ascii="Arial" w:eastAsia="Times New Roman" w:hAnsi="Arial" w:cs="Arial"/>
                <w:color w:val="000000"/>
                <w:lang w:eastAsia="en-GB"/>
              </w:rPr>
            </w:pPr>
            <w:r>
              <w:rPr>
                <w:rFonts w:ascii="Arial" w:eastAsia="Times New Roman" w:hAnsi="Arial" w:cs="Arial"/>
                <w:color w:val="000000"/>
                <w:lang w:eastAsia="en-GB"/>
              </w:rPr>
              <w:t>Capital contribution to Group companies (note 19)</w:t>
            </w:r>
          </w:p>
        </w:tc>
        <w:tc>
          <w:tcPr>
            <w:tcW w:w="1737" w:type="dxa"/>
            <w:tcBorders>
              <w:top w:val="nil"/>
              <w:left w:val="nil"/>
              <w:bottom w:val="nil"/>
              <w:right w:val="nil"/>
            </w:tcBorders>
            <w:shd w:val="clear" w:color="000000" w:fill="EDFFB7"/>
            <w:noWrap/>
            <w:vAlign w:val="center"/>
          </w:tcPr>
          <w:p w14:paraId="599018A4" w14:textId="77777777" w:rsidR="0021298F" w:rsidRPr="00917A54" w:rsidRDefault="0021298F" w:rsidP="00760009">
            <w:pPr>
              <w:jc w:val="right"/>
              <w:rPr>
                <w:rFonts w:ascii="Arial" w:eastAsia="Times New Roman" w:hAnsi="Arial" w:cs="Arial"/>
                <w:color w:val="000000"/>
                <w:lang w:eastAsia="en-GB"/>
              </w:rPr>
            </w:pPr>
            <w:r>
              <w:rPr>
                <w:rFonts w:ascii="Arial" w:eastAsia="Times New Roman" w:hAnsi="Arial" w:cs="Arial"/>
                <w:color w:val="000000"/>
                <w:lang w:eastAsia="en-GB"/>
              </w:rPr>
              <w:t>-</w:t>
            </w:r>
          </w:p>
        </w:tc>
        <w:tc>
          <w:tcPr>
            <w:tcW w:w="1840" w:type="dxa"/>
            <w:gridSpan w:val="2"/>
            <w:tcBorders>
              <w:top w:val="nil"/>
              <w:left w:val="nil"/>
              <w:bottom w:val="nil"/>
              <w:right w:val="nil"/>
            </w:tcBorders>
            <w:shd w:val="clear" w:color="000000" w:fill="EDFFB7"/>
            <w:noWrap/>
            <w:vAlign w:val="center"/>
          </w:tcPr>
          <w:p w14:paraId="080E20ED" w14:textId="77777777" w:rsidR="0021298F" w:rsidRPr="00917A54" w:rsidRDefault="0021298F" w:rsidP="00760009">
            <w:pPr>
              <w:jc w:val="right"/>
              <w:rPr>
                <w:rFonts w:ascii="Arial" w:eastAsia="Times New Roman" w:hAnsi="Arial" w:cs="Arial"/>
                <w:color w:val="000000"/>
                <w:lang w:eastAsia="en-GB"/>
              </w:rPr>
            </w:pPr>
            <w:r>
              <w:rPr>
                <w:rFonts w:ascii="Arial" w:eastAsia="Times New Roman" w:hAnsi="Arial" w:cs="Arial"/>
                <w:color w:val="000000"/>
                <w:lang w:eastAsia="en-GB"/>
              </w:rPr>
              <w:t>113,075</w:t>
            </w:r>
          </w:p>
        </w:tc>
        <w:tc>
          <w:tcPr>
            <w:tcW w:w="1839" w:type="dxa"/>
            <w:gridSpan w:val="2"/>
            <w:tcBorders>
              <w:top w:val="nil"/>
              <w:left w:val="nil"/>
              <w:bottom w:val="nil"/>
              <w:right w:val="nil"/>
            </w:tcBorders>
            <w:shd w:val="clear" w:color="000000" w:fill="EDFFB7"/>
            <w:noWrap/>
            <w:vAlign w:val="center"/>
          </w:tcPr>
          <w:p w14:paraId="2111D34E" w14:textId="77777777" w:rsidR="0021298F" w:rsidRPr="00917A54" w:rsidRDefault="0021298F" w:rsidP="00760009">
            <w:pPr>
              <w:jc w:val="right"/>
              <w:rPr>
                <w:rFonts w:ascii="Arial" w:eastAsia="Times New Roman" w:hAnsi="Arial" w:cs="Arial"/>
                <w:b/>
                <w:bCs/>
                <w:color w:val="000000"/>
                <w:lang w:eastAsia="en-GB"/>
              </w:rPr>
            </w:pPr>
            <w:r>
              <w:rPr>
                <w:rFonts w:ascii="Arial" w:eastAsia="Times New Roman" w:hAnsi="Arial" w:cs="Arial"/>
                <w:b/>
                <w:bCs/>
                <w:color w:val="000000"/>
                <w:lang w:eastAsia="en-GB"/>
              </w:rPr>
              <w:t>113,075</w:t>
            </w:r>
          </w:p>
        </w:tc>
      </w:tr>
      <w:tr w:rsidR="0021298F" w:rsidRPr="00917A54" w14:paraId="2178BCCD" w14:textId="77777777" w:rsidTr="00760009">
        <w:trPr>
          <w:trHeight w:val="570"/>
        </w:trPr>
        <w:tc>
          <w:tcPr>
            <w:tcW w:w="4111" w:type="dxa"/>
            <w:tcBorders>
              <w:top w:val="nil"/>
              <w:left w:val="nil"/>
              <w:bottom w:val="single" w:sz="4" w:space="0" w:color="auto"/>
              <w:right w:val="nil"/>
            </w:tcBorders>
            <w:shd w:val="clear" w:color="000000" w:fill="FFFFFF"/>
            <w:vAlign w:val="center"/>
            <w:hideMark/>
          </w:tcPr>
          <w:p w14:paraId="20FDC287" w14:textId="77777777" w:rsidR="0021298F" w:rsidRPr="00917A54" w:rsidRDefault="0021298F" w:rsidP="00760009">
            <w:pPr>
              <w:rPr>
                <w:rFonts w:ascii="Arial" w:eastAsia="Times New Roman" w:hAnsi="Arial" w:cs="Arial"/>
                <w:color w:val="000000"/>
                <w:lang w:eastAsia="en-GB"/>
              </w:rPr>
            </w:pPr>
            <w:r w:rsidRPr="00917A54">
              <w:rPr>
                <w:rFonts w:ascii="Arial" w:eastAsia="Times New Roman" w:hAnsi="Arial" w:cs="Arial"/>
                <w:color w:val="000000"/>
                <w:lang w:eastAsia="en-GB"/>
              </w:rPr>
              <w:t xml:space="preserve">Unrealised movement in fair value of investments </w:t>
            </w:r>
          </w:p>
        </w:tc>
        <w:tc>
          <w:tcPr>
            <w:tcW w:w="1737" w:type="dxa"/>
            <w:tcBorders>
              <w:top w:val="nil"/>
              <w:left w:val="nil"/>
              <w:bottom w:val="single" w:sz="4" w:space="0" w:color="auto"/>
              <w:right w:val="nil"/>
            </w:tcBorders>
            <w:shd w:val="clear" w:color="000000" w:fill="EDFFB7"/>
            <w:noWrap/>
            <w:vAlign w:val="center"/>
            <w:hideMark/>
          </w:tcPr>
          <w:p w14:paraId="421C6DEA" w14:textId="77777777" w:rsidR="0021298F" w:rsidRPr="00917A54" w:rsidRDefault="0021298F" w:rsidP="00760009">
            <w:pPr>
              <w:jc w:val="right"/>
              <w:rPr>
                <w:rFonts w:ascii="Arial" w:eastAsia="Times New Roman" w:hAnsi="Arial" w:cs="Arial"/>
                <w:color w:val="000000"/>
                <w:lang w:eastAsia="en-GB"/>
              </w:rPr>
            </w:pPr>
            <w:r w:rsidRPr="00917A54">
              <w:rPr>
                <w:rFonts w:ascii="Arial" w:eastAsia="Times New Roman" w:hAnsi="Arial" w:cs="Arial"/>
                <w:color w:val="000000"/>
                <w:lang w:eastAsia="en-GB"/>
              </w:rPr>
              <w:t xml:space="preserve">-   </w:t>
            </w:r>
          </w:p>
        </w:tc>
        <w:tc>
          <w:tcPr>
            <w:tcW w:w="1840" w:type="dxa"/>
            <w:gridSpan w:val="2"/>
            <w:tcBorders>
              <w:top w:val="nil"/>
              <w:left w:val="nil"/>
              <w:bottom w:val="single" w:sz="4" w:space="0" w:color="auto"/>
              <w:right w:val="nil"/>
            </w:tcBorders>
            <w:shd w:val="clear" w:color="000000" w:fill="EDFFB7"/>
            <w:noWrap/>
            <w:vAlign w:val="center"/>
            <w:hideMark/>
          </w:tcPr>
          <w:p w14:paraId="57B17EAD" w14:textId="77777777" w:rsidR="0021298F" w:rsidRPr="00917A54" w:rsidRDefault="0021298F" w:rsidP="00760009">
            <w:pPr>
              <w:jc w:val="right"/>
              <w:rPr>
                <w:rFonts w:ascii="Arial" w:eastAsia="Times New Roman" w:hAnsi="Arial" w:cs="Arial"/>
                <w:color w:val="000000"/>
                <w:lang w:eastAsia="en-GB"/>
              </w:rPr>
            </w:pPr>
            <w:r w:rsidRPr="00917A54">
              <w:rPr>
                <w:rFonts w:ascii="Arial" w:eastAsia="Times New Roman" w:hAnsi="Arial" w:cs="Arial"/>
                <w:color w:val="000000"/>
                <w:lang w:eastAsia="en-GB"/>
              </w:rPr>
              <w:t xml:space="preserve">18,313 </w:t>
            </w:r>
          </w:p>
        </w:tc>
        <w:tc>
          <w:tcPr>
            <w:tcW w:w="1839" w:type="dxa"/>
            <w:gridSpan w:val="2"/>
            <w:tcBorders>
              <w:top w:val="nil"/>
              <w:left w:val="nil"/>
              <w:bottom w:val="single" w:sz="4" w:space="0" w:color="auto"/>
              <w:right w:val="nil"/>
            </w:tcBorders>
            <w:shd w:val="clear" w:color="000000" w:fill="EDFFB7"/>
            <w:noWrap/>
            <w:vAlign w:val="center"/>
            <w:hideMark/>
          </w:tcPr>
          <w:p w14:paraId="4F55966D" w14:textId="77777777" w:rsidR="0021298F" w:rsidRPr="00917A54" w:rsidRDefault="0021298F" w:rsidP="00760009">
            <w:pPr>
              <w:jc w:val="right"/>
              <w:rPr>
                <w:rFonts w:ascii="Arial" w:eastAsia="Times New Roman" w:hAnsi="Arial" w:cs="Arial"/>
                <w:b/>
                <w:bCs/>
                <w:color w:val="000000"/>
                <w:lang w:eastAsia="en-GB"/>
              </w:rPr>
            </w:pPr>
            <w:r w:rsidRPr="00917A54">
              <w:rPr>
                <w:rFonts w:ascii="Arial" w:eastAsia="Times New Roman" w:hAnsi="Arial" w:cs="Arial"/>
                <w:b/>
                <w:bCs/>
                <w:color w:val="000000"/>
                <w:lang w:eastAsia="en-GB"/>
              </w:rPr>
              <w:t xml:space="preserve">18,313 </w:t>
            </w:r>
          </w:p>
        </w:tc>
      </w:tr>
      <w:tr w:rsidR="0021298F" w:rsidRPr="00917A54" w14:paraId="45765983" w14:textId="77777777" w:rsidTr="00760009">
        <w:trPr>
          <w:trHeight w:val="435"/>
        </w:trPr>
        <w:tc>
          <w:tcPr>
            <w:tcW w:w="4111" w:type="dxa"/>
            <w:tcBorders>
              <w:top w:val="single" w:sz="4" w:space="0" w:color="auto"/>
              <w:left w:val="nil"/>
              <w:bottom w:val="single" w:sz="4" w:space="0" w:color="auto"/>
              <w:right w:val="nil"/>
            </w:tcBorders>
            <w:shd w:val="clear" w:color="000000" w:fill="FFFFFF"/>
            <w:noWrap/>
            <w:vAlign w:val="center"/>
            <w:hideMark/>
          </w:tcPr>
          <w:p w14:paraId="2FEFB8D9" w14:textId="77777777" w:rsidR="0021298F" w:rsidRPr="00917A54" w:rsidRDefault="0021298F" w:rsidP="00760009">
            <w:pPr>
              <w:rPr>
                <w:rFonts w:ascii="Arial" w:eastAsia="Times New Roman" w:hAnsi="Arial" w:cs="Arial"/>
                <w:b/>
                <w:bCs/>
                <w:color w:val="000000"/>
                <w:lang w:eastAsia="en-GB"/>
              </w:rPr>
            </w:pPr>
            <w:r w:rsidRPr="00917A54">
              <w:rPr>
                <w:rFonts w:ascii="Arial" w:eastAsia="Times New Roman" w:hAnsi="Arial" w:cs="Arial"/>
                <w:b/>
                <w:bCs/>
                <w:color w:val="000000"/>
                <w:lang w:eastAsia="en-GB"/>
              </w:rPr>
              <w:t> </w:t>
            </w:r>
          </w:p>
        </w:tc>
        <w:tc>
          <w:tcPr>
            <w:tcW w:w="1737" w:type="dxa"/>
            <w:tcBorders>
              <w:top w:val="single" w:sz="4" w:space="0" w:color="auto"/>
              <w:left w:val="nil"/>
              <w:bottom w:val="single" w:sz="4" w:space="0" w:color="auto"/>
              <w:right w:val="nil"/>
            </w:tcBorders>
            <w:shd w:val="clear" w:color="000000" w:fill="EDFFB7"/>
            <w:noWrap/>
            <w:vAlign w:val="center"/>
            <w:hideMark/>
          </w:tcPr>
          <w:p w14:paraId="1A933566" w14:textId="77777777" w:rsidR="0021298F" w:rsidRPr="00917A54" w:rsidRDefault="0021298F" w:rsidP="00760009">
            <w:pPr>
              <w:jc w:val="right"/>
              <w:rPr>
                <w:rFonts w:ascii="Arial" w:eastAsia="Times New Roman" w:hAnsi="Arial" w:cs="Arial"/>
                <w:b/>
                <w:bCs/>
                <w:color w:val="000000"/>
                <w:lang w:eastAsia="en-GB"/>
              </w:rPr>
            </w:pPr>
            <w:r>
              <w:rPr>
                <w:rFonts w:ascii="Arial" w:eastAsia="Times New Roman" w:hAnsi="Arial" w:cs="Arial"/>
                <w:b/>
                <w:bCs/>
                <w:color w:val="000000"/>
                <w:lang w:eastAsia="en-GB"/>
              </w:rPr>
              <w:t>517,690</w:t>
            </w:r>
          </w:p>
        </w:tc>
        <w:tc>
          <w:tcPr>
            <w:tcW w:w="1840" w:type="dxa"/>
            <w:gridSpan w:val="2"/>
            <w:tcBorders>
              <w:top w:val="single" w:sz="4" w:space="0" w:color="auto"/>
              <w:left w:val="nil"/>
              <w:bottom w:val="single" w:sz="4" w:space="0" w:color="auto"/>
              <w:right w:val="nil"/>
            </w:tcBorders>
            <w:shd w:val="clear" w:color="000000" w:fill="EDFFB7"/>
            <w:noWrap/>
            <w:vAlign w:val="center"/>
            <w:hideMark/>
          </w:tcPr>
          <w:p w14:paraId="1C74585B" w14:textId="77777777" w:rsidR="0021298F" w:rsidRPr="00917A54" w:rsidRDefault="0021298F" w:rsidP="00760009">
            <w:pPr>
              <w:jc w:val="right"/>
              <w:rPr>
                <w:rFonts w:ascii="Arial" w:eastAsia="Times New Roman" w:hAnsi="Arial" w:cs="Arial"/>
                <w:b/>
                <w:bCs/>
                <w:color w:val="000000"/>
                <w:lang w:eastAsia="en-GB"/>
              </w:rPr>
            </w:pPr>
            <w:r>
              <w:rPr>
                <w:rFonts w:ascii="Arial" w:eastAsia="Times New Roman" w:hAnsi="Arial" w:cs="Arial"/>
                <w:b/>
                <w:bCs/>
                <w:color w:val="000000"/>
                <w:lang w:eastAsia="en-GB"/>
              </w:rPr>
              <w:t>228,217</w:t>
            </w:r>
          </w:p>
        </w:tc>
        <w:tc>
          <w:tcPr>
            <w:tcW w:w="1839" w:type="dxa"/>
            <w:gridSpan w:val="2"/>
            <w:tcBorders>
              <w:top w:val="single" w:sz="4" w:space="0" w:color="auto"/>
              <w:left w:val="nil"/>
              <w:bottom w:val="single" w:sz="4" w:space="0" w:color="auto"/>
              <w:right w:val="nil"/>
            </w:tcBorders>
            <w:shd w:val="clear" w:color="000000" w:fill="EDFFB7"/>
            <w:noWrap/>
            <w:vAlign w:val="center"/>
            <w:hideMark/>
          </w:tcPr>
          <w:p w14:paraId="366E6DC8" w14:textId="77777777" w:rsidR="0021298F" w:rsidRPr="00917A54" w:rsidRDefault="0021298F" w:rsidP="00760009">
            <w:pPr>
              <w:jc w:val="right"/>
              <w:rPr>
                <w:rFonts w:ascii="Arial" w:eastAsia="Times New Roman" w:hAnsi="Arial" w:cs="Arial"/>
                <w:b/>
                <w:bCs/>
                <w:color w:val="000000"/>
                <w:lang w:eastAsia="en-GB"/>
              </w:rPr>
            </w:pPr>
            <w:r w:rsidRPr="00917A54">
              <w:rPr>
                <w:rFonts w:ascii="Arial" w:eastAsia="Times New Roman" w:hAnsi="Arial" w:cs="Arial"/>
                <w:b/>
                <w:bCs/>
                <w:color w:val="000000"/>
                <w:lang w:eastAsia="en-GB"/>
              </w:rPr>
              <w:t xml:space="preserve">745,907 </w:t>
            </w:r>
          </w:p>
        </w:tc>
      </w:tr>
      <w:tr w:rsidR="0021298F" w:rsidRPr="0041736B" w14:paraId="12620409" w14:textId="77777777" w:rsidTr="00760009">
        <w:trPr>
          <w:trHeight w:val="170"/>
        </w:trPr>
        <w:tc>
          <w:tcPr>
            <w:tcW w:w="4111" w:type="dxa"/>
            <w:tcBorders>
              <w:top w:val="single" w:sz="4" w:space="0" w:color="auto"/>
              <w:left w:val="nil"/>
              <w:right w:val="nil"/>
            </w:tcBorders>
            <w:shd w:val="clear" w:color="auto" w:fill="auto"/>
            <w:noWrap/>
            <w:vAlign w:val="center"/>
          </w:tcPr>
          <w:p w14:paraId="6854D7D8" w14:textId="77777777" w:rsidR="0021298F" w:rsidRPr="0041736B" w:rsidRDefault="0021298F" w:rsidP="00760009">
            <w:pPr>
              <w:rPr>
                <w:rFonts w:ascii="Arial" w:eastAsia="Times New Roman" w:hAnsi="Arial" w:cs="Arial"/>
                <w:b/>
                <w:bCs/>
                <w:color w:val="000000"/>
                <w:sz w:val="10"/>
                <w:szCs w:val="10"/>
                <w:lang w:eastAsia="en-GB"/>
              </w:rPr>
            </w:pPr>
          </w:p>
        </w:tc>
        <w:tc>
          <w:tcPr>
            <w:tcW w:w="1737" w:type="dxa"/>
            <w:tcBorders>
              <w:top w:val="single" w:sz="4" w:space="0" w:color="auto"/>
              <w:left w:val="nil"/>
              <w:right w:val="nil"/>
            </w:tcBorders>
            <w:shd w:val="clear" w:color="auto" w:fill="auto"/>
            <w:noWrap/>
            <w:vAlign w:val="center"/>
          </w:tcPr>
          <w:p w14:paraId="19E970D5" w14:textId="77777777" w:rsidR="0021298F" w:rsidRPr="0041736B" w:rsidRDefault="0021298F" w:rsidP="00760009">
            <w:pPr>
              <w:jc w:val="right"/>
              <w:rPr>
                <w:rFonts w:ascii="Arial" w:eastAsia="Times New Roman" w:hAnsi="Arial" w:cs="Arial"/>
                <w:b/>
                <w:bCs/>
                <w:color w:val="000000"/>
                <w:sz w:val="10"/>
                <w:szCs w:val="10"/>
                <w:lang w:eastAsia="en-GB"/>
              </w:rPr>
            </w:pPr>
          </w:p>
        </w:tc>
        <w:tc>
          <w:tcPr>
            <w:tcW w:w="1840" w:type="dxa"/>
            <w:gridSpan w:val="2"/>
            <w:tcBorders>
              <w:top w:val="single" w:sz="4" w:space="0" w:color="auto"/>
              <w:left w:val="nil"/>
              <w:right w:val="nil"/>
            </w:tcBorders>
            <w:shd w:val="clear" w:color="auto" w:fill="auto"/>
            <w:noWrap/>
            <w:vAlign w:val="center"/>
          </w:tcPr>
          <w:p w14:paraId="2B9A5C6B" w14:textId="77777777" w:rsidR="0021298F" w:rsidRPr="0041736B" w:rsidRDefault="0021298F" w:rsidP="00760009">
            <w:pPr>
              <w:jc w:val="right"/>
              <w:rPr>
                <w:rFonts w:ascii="Arial" w:eastAsia="Times New Roman" w:hAnsi="Arial" w:cs="Arial"/>
                <w:b/>
                <w:bCs/>
                <w:color w:val="000000"/>
                <w:sz w:val="10"/>
                <w:szCs w:val="10"/>
                <w:lang w:eastAsia="en-GB"/>
              </w:rPr>
            </w:pPr>
          </w:p>
        </w:tc>
        <w:tc>
          <w:tcPr>
            <w:tcW w:w="1839" w:type="dxa"/>
            <w:gridSpan w:val="2"/>
            <w:tcBorders>
              <w:top w:val="single" w:sz="4" w:space="0" w:color="auto"/>
              <w:left w:val="nil"/>
              <w:right w:val="nil"/>
            </w:tcBorders>
            <w:shd w:val="clear" w:color="auto" w:fill="auto"/>
            <w:noWrap/>
            <w:vAlign w:val="center"/>
          </w:tcPr>
          <w:p w14:paraId="5BD841D2" w14:textId="77777777" w:rsidR="0021298F" w:rsidRPr="0041736B" w:rsidRDefault="0021298F" w:rsidP="00760009">
            <w:pPr>
              <w:jc w:val="right"/>
              <w:rPr>
                <w:rFonts w:ascii="Arial" w:eastAsia="Times New Roman" w:hAnsi="Arial" w:cs="Arial"/>
                <w:b/>
                <w:bCs/>
                <w:color w:val="000000"/>
                <w:sz w:val="10"/>
                <w:szCs w:val="10"/>
                <w:lang w:eastAsia="en-GB"/>
              </w:rPr>
            </w:pPr>
          </w:p>
        </w:tc>
      </w:tr>
      <w:tr w:rsidR="0021298F" w:rsidRPr="0079632A" w14:paraId="1E837D9B" w14:textId="77777777" w:rsidTr="00760009">
        <w:trPr>
          <w:gridAfter w:val="1"/>
          <w:wAfter w:w="8" w:type="dxa"/>
          <w:trHeight w:val="300"/>
        </w:trPr>
        <w:tc>
          <w:tcPr>
            <w:tcW w:w="4111" w:type="dxa"/>
            <w:tcBorders>
              <w:top w:val="nil"/>
              <w:left w:val="nil"/>
              <w:bottom w:val="nil"/>
              <w:right w:val="nil"/>
            </w:tcBorders>
            <w:shd w:val="clear" w:color="auto" w:fill="auto"/>
            <w:noWrap/>
            <w:vAlign w:val="bottom"/>
            <w:hideMark/>
          </w:tcPr>
          <w:p w14:paraId="55419294" w14:textId="77777777" w:rsidR="0021298F" w:rsidRPr="0079632A" w:rsidRDefault="0021298F" w:rsidP="00760009">
            <w:pPr>
              <w:rPr>
                <w:rFonts w:ascii="Times New Roman" w:eastAsia="Times New Roman" w:hAnsi="Times New Roman" w:cs="Times New Roman"/>
                <w:lang w:eastAsia="en-GB"/>
              </w:rPr>
            </w:pPr>
          </w:p>
        </w:tc>
        <w:tc>
          <w:tcPr>
            <w:tcW w:w="1735" w:type="dxa"/>
            <w:tcBorders>
              <w:top w:val="nil"/>
              <w:left w:val="nil"/>
              <w:bottom w:val="nil"/>
              <w:right w:val="nil"/>
            </w:tcBorders>
            <w:shd w:val="clear" w:color="000000" w:fill="FFFFFF"/>
            <w:vAlign w:val="center"/>
            <w:hideMark/>
          </w:tcPr>
          <w:p w14:paraId="4FA11247" w14:textId="77777777" w:rsidR="0021298F" w:rsidRPr="0079632A" w:rsidRDefault="0021298F" w:rsidP="00760009">
            <w:pPr>
              <w:jc w:val="right"/>
              <w:rPr>
                <w:rFonts w:ascii="Arial" w:eastAsia="Times New Roman" w:hAnsi="Arial" w:cs="Arial"/>
                <w:b/>
                <w:bCs/>
                <w:color w:val="000000"/>
                <w:lang w:eastAsia="en-GB"/>
              </w:rPr>
            </w:pPr>
            <w:r w:rsidRPr="0079632A">
              <w:rPr>
                <w:rFonts w:ascii="Arial" w:eastAsia="Times New Roman" w:hAnsi="Arial" w:cs="Arial"/>
                <w:b/>
                <w:bCs/>
                <w:color w:val="000000"/>
                <w:lang w:eastAsia="en-GB"/>
              </w:rPr>
              <w:t xml:space="preserve">Loans </w:t>
            </w:r>
          </w:p>
        </w:tc>
        <w:tc>
          <w:tcPr>
            <w:tcW w:w="1834" w:type="dxa"/>
            <w:tcBorders>
              <w:top w:val="nil"/>
              <w:left w:val="nil"/>
              <w:bottom w:val="nil"/>
              <w:right w:val="nil"/>
            </w:tcBorders>
            <w:shd w:val="clear" w:color="000000" w:fill="FFFFFF"/>
            <w:vAlign w:val="center"/>
            <w:hideMark/>
          </w:tcPr>
          <w:p w14:paraId="714717D0" w14:textId="77777777" w:rsidR="0021298F" w:rsidRPr="0079632A" w:rsidRDefault="0021298F" w:rsidP="00760009">
            <w:pPr>
              <w:jc w:val="right"/>
              <w:rPr>
                <w:rFonts w:ascii="Arial" w:eastAsia="Times New Roman" w:hAnsi="Arial" w:cs="Arial"/>
                <w:b/>
                <w:bCs/>
                <w:color w:val="000000"/>
                <w:lang w:eastAsia="en-GB"/>
              </w:rPr>
            </w:pPr>
            <w:r w:rsidRPr="0079632A">
              <w:rPr>
                <w:rFonts w:ascii="Arial" w:eastAsia="Times New Roman" w:hAnsi="Arial" w:cs="Arial"/>
                <w:b/>
                <w:bCs/>
                <w:color w:val="000000"/>
                <w:lang w:eastAsia="en-GB"/>
              </w:rPr>
              <w:t xml:space="preserve">Equity interest </w:t>
            </w:r>
          </w:p>
        </w:tc>
        <w:tc>
          <w:tcPr>
            <w:tcW w:w="1839" w:type="dxa"/>
            <w:gridSpan w:val="2"/>
            <w:tcBorders>
              <w:top w:val="nil"/>
              <w:left w:val="nil"/>
              <w:bottom w:val="nil"/>
              <w:right w:val="nil"/>
            </w:tcBorders>
            <w:shd w:val="clear" w:color="000000" w:fill="FFFFFF"/>
            <w:vAlign w:val="center"/>
            <w:hideMark/>
          </w:tcPr>
          <w:p w14:paraId="4F698797" w14:textId="77777777" w:rsidR="0021298F" w:rsidRPr="0079632A" w:rsidRDefault="0021298F" w:rsidP="00760009">
            <w:pPr>
              <w:jc w:val="right"/>
              <w:rPr>
                <w:rFonts w:ascii="Arial" w:eastAsia="Times New Roman" w:hAnsi="Arial" w:cs="Arial"/>
                <w:b/>
                <w:bCs/>
                <w:color w:val="000000"/>
                <w:lang w:eastAsia="en-GB"/>
              </w:rPr>
            </w:pPr>
            <w:r w:rsidRPr="0079632A">
              <w:rPr>
                <w:rFonts w:ascii="Arial" w:eastAsia="Times New Roman" w:hAnsi="Arial" w:cs="Arial"/>
                <w:b/>
                <w:bCs/>
                <w:color w:val="000000"/>
                <w:lang w:eastAsia="en-GB"/>
              </w:rPr>
              <w:t>Total</w:t>
            </w:r>
          </w:p>
        </w:tc>
      </w:tr>
      <w:tr w:rsidR="0021298F" w:rsidRPr="0079632A" w14:paraId="392538E6" w14:textId="77777777" w:rsidTr="00760009">
        <w:trPr>
          <w:gridAfter w:val="1"/>
          <w:wAfter w:w="8" w:type="dxa"/>
          <w:trHeight w:val="600"/>
        </w:trPr>
        <w:tc>
          <w:tcPr>
            <w:tcW w:w="4111" w:type="dxa"/>
            <w:tcBorders>
              <w:top w:val="nil"/>
              <w:left w:val="nil"/>
              <w:bottom w:val="single" w:sz="4" w:space="0" w:color="auto"/>
              <w:right w:val="nil"/>
            </w:tcBorders>
            <w:shd w:val="clear" w:color="000000" w:fill="FFFFFF"/>
            <w:vAlign w:val="bottom"/>
            <w:hideMark/>
          </w:tcPr>
          <w:p w14:paraId="35765D4E" w14:textId="77777777" w:rsidR="0021298F" w:rsidRPr="0079632A" w:rsidRDefault="0021298F" w:rsidP="00760009">
            <w:pPr>
              <w:rPr>
                <w:rFonts w:ascii="Arial" w:eastAsia="Times New Roman" w:hAnsi="Arial" w:cs="Arial"/>
                <w:b/>
                <w:bCs/>
                <w:color w:val="000000"/>
                <w:lang w:eastAsia="en-GB"/>
              </w:rPr>
            </w:pPr>
            <w:r w:rsidRPr="0079632A">
              <w:rPr>
                <w:rFonts w:ascii="Arial" w:eastAsia="Times New Roman" w:hAnsi="Arial" w:cs="Arial"/>
                <w:b/>
                <w:bCs/>
                <w:color w:val="000000"/>
                <w:lang w:eastAsia="en-GB"/>
              </w:rPr>
              <w:t>Company as at 31 December 2019</w:t>
            </w:r>
          </w:p>
        </w:tc>
        <w:tc>
          <w:tcPr>
            <w:tcW w:w="1735" w:type="dxa"/>
            <w:tcBorders>
              <w:top w:val="nil"/>
              <w:left w:val="nil"/>
              <w:bottom w:val="single" w:sz="4" w:space="0" w:color="auto"/>
              <w:right w:val="nil"/>
            </w:tcBorders>
            <w:shd w:val="clear" w:color="000000" w:fill="FFFFFF"/>
            <w:noWrap/>
            <w:vAlign w:val="bottom"/>
            <w:hideMark/>
          </w:tcPr>
          <w:p w14:paraId="18E64371" w14:textId="77777777" w:rsidR="0021298F" w:rsidRPr="0079632A" w:rsidRDefault="0021298F" w:rsidP="00760009">
            <w:pPr>
              <w:jc w:val="right"/>
              <w:rPr>
                <w:rFonts w:ascii="Arial" w:eastAsia="Times New Roman" w:hAnsi="Arial" w:cs="Arial"/>
                <w:b/>
                <w:bCs/>
                <w:color w:val="000000"/>
                <w:lang w:eastAsia="en-GB"/>
              </w:rPr>
            </w:pPr>
            <w:r w:rsidRPr="0079632A">
              <w:rPr>
                <w:rFonts w:ascii="Arial" w:eastAsia="Times New Roman" w:hAnsi="Arial" w:cs="Arial"/>
                <w:b/>
                <w:bCs/>
                <w:color w:val="000000"/>
                <w:lang w:eastAsia="en-GB"/>
              </w:rPr>
              <w:t>€'000</w:t>
            </w:r>
          </w:p>
        </w:tc>
        <w:tc>
          <w:tcPr>
            <w:tcW w:w="1834" w:type="dxa"/>
            <w:tcBorders>
              <w:top w:val="nil"/>
              <w:left w:val="nil"/>
              <w:bottom w:val="single" w:sz="4" w:space="0" w:color="auto"/>
              <w:right w:val="nil"/>
            </w:tcBorders>
            <w:shd w:val="clear" w:color="000000" w:fill="FFFFFF"/>
            <w:noWrap/>
            <w:vAlign w:val="bottom"/>
            <w:hideMark/>
          </w:tcPr>
          <w:p w14:paraId="54B6122D" w14:textId="77777777" w:rsidR="0021298F" w:rsidRPr="0079632A" w:rsidRDefault="0021298F" w:rsidP="00760009">
            <w:pPr>
              <w:jc w:val="right"/>
              <w:rPr>
                <w:rFonts w:ascii="Arial" w:eastAsia="Times New Roman" w:hAnsi="Arial" w:cs="Arial"/>
                <w:b/>
                <w:bCs/>
                <w:color w:val="000000"/>
                <w:lang w:eastAsia="en-GB"/>
              </w:rPr>
            </w:pPr>
            <w:r w:rsidRPr="0079632A">
              <w:rPr>
                <w:rFonts w:ascii="Arial" w:eastAsia="Times New Roman" w:hAnsi="Arial" w:cs="Arial"/>
                <w:b/>
                <w:bCs/>
                <w:color w:val="000000"/>
                <w:lang w:eastAsia="en-GB"/>
              </w:rPr>
              <w:t>€'000</w:t>
            </w:r>
          </w:p>
        </w:tc>
        <w:tc>
          <w:tcPr>
            <w:tcW w:w="1839" w:type="dxa"/>
            <w:gridSpan w:val="2"/>
            <w:tcBorders>
              <w:top w:val="nil"/>
              <w:left w:val="nil"/>
              <w:bottom w:val="single" w:sz="4" w:space="0" w:color="auto"/>
              <w:right w:val="nil"/>
            </w:tcBorders>
            <w:shd w:val="clear" w:color="000000" w:fill="FFFFFF"/>
            <w:noWrap/>
            <w:vAlign w:val="bottom"/>
            <w:hideMark/>
          </w:tcPr>
          <w:p w14:paraId="67E4372A" w14:textId="77777777" w:rsidR="0021298F" w:rsidRPr="0079632A" w:rsidRDefault="0021298F" w:rsidP="00760009">
            <w:pPr>
              <w:jc w:val="right"/>
              <w:rPr>
                <w:rFonts w:ascii="Arial" w:eastAsia="Times New Roman" w:hAnsi="Arial" w:cs="Arial"/>
                <w:b/>
                <w:bCs/>
                <w:color w:val="000000"/>
                <w:lang w:eastAsia="en-GB"/>
              </w:rPr>
            </w:pPr>
            <w:r w:rsidRPr="0079632A">
              <w:rPr>
                <w:rFonts w:ascii="Arial" w:eastAsia="Times New Roman" w:hAnsi="Arial" w:cs="Arial"/>
                <w:b/>
                <w:bCs/>
                <w:color w:val="000000"/>
                <w:lang w:eastAsia="en-GB"/>
              </w:rPr>
              <w:t>€'000</w:t>
            </w:r>
          </w:p>
        </w:tc>
      </w:tr>
      <w:tr w:rsidR="0021298F" w:rsidRPr="0079632A" w14:paraId="4E838A2E" w14:textId="77777777" w:rsidTr="00760009">
        <w:trPr>
          <w:gridAfter w:val="1"/>
          <w:wAfter w:w="8" w:type="dxa"/>
          <w:trHeight w:val="109"/>
        </w:trPr>
        <w:tc>
          <w:tcPr>
            <w:tcW w:w="4111" w:type="dxa"/>
            <w:tcBorders>
              <w:top w:val="nil"/>
              <w:left w:val="nil"/>
              <w:bottom w:val="nil"/>
              <w:right w:val="nil"/>
            </w:tcBorders>
            <w:shd w:val="clear" w:color="000000" w:fill="FFFFFF"/>
            <w:noWrap/>
            <w:vAlign w:val="bottom"/>
            <w:hideMark/>
          </w:tcPr>
          <w:p w14:paraId="6404A5F2" w14:textId="77777777" w:rsidR="0021298F" w:rsidRPr="0079632A" w:rsidRDefault="0021298F" w:rsidP="00760009">
            <w:pPr>
              <w:rPr>
                <w:rFonts w:ascii="Arial" w:eastAsia="Times New Roman" w:hAnsi="Arial" w:cs="Arial"/>
                <w:b/>
                <w:bCs/>
                <w:color w:val="000000"/>
                <w:lang w:eastAsia="en-GB"/>
              </w:rPr>
            </w:pPr>
            <w:r w:rsidRPr="0079632A">
              <w:rPr>
                <w:rFonts w:ascii="Arial" w:eastAsia="Times New Roman" w:hAnsi="Arial" w:cs="Arial"/>
                <w:b/>
                <w:bCs/>
                <w:color w:val="000000"/>
                <w:lang w:eastAsia="en-GB"/>
              </w:rPr>
              <w:t> </w:t>
            </w:r>
          </w:p>
        </w:tc>
        <w:tc>
          <w:tcPr>
            <w:tcW w:w="1735" w:type="dxa"/>
            <w:tcBorders>
              <w:top w:val="nil"/>
              <w:left w:val="nil"/>
              <w:bottom w:val="nil"/>
              <w:right w:val="nil"/>
            </w:tcBorders>
            <w:shd w:val="clear" w:color="000000" w:fill="FFFFFF"/>
            <w:vAlign w:val="center"/>
            <w:hideMark/>
          </w:tcPr>
          <w:p w14:paraId="215F1F50" w14:textId="77777777" w:rsidR="0021298F" w:rsidRPr="0079632A" w:rsidRDefault="0021298F" w:rsidP="00760009">
            <w:pPr>
              <w:jc w:val="right"/>
              <w:rPr>
                <w:rFonts w:ascii="Arial" w:eastAsia="Times New Roman" w:hAnsi="Arial" w:cs="Arial"/>
                <w:color w:val="000000"/>
                <w:lang w:eastAsia="en-GB"/>
              </w:rPr>
            </w:pPr>
            <w:r w:rsidRPr="0079632A">
              <w:rPr>
                <w:rFonts w:ascii="Arial" w:eastAsia="Times New Roman" w:hAnsi="Arial" w:cs="Arial"/>
                <w:color w:val="000000"/>
                <w:lang w:eastAsia="en-GB"/>
              </w:rPr>
              <w:t> </w:t>
            </w:r>
          </w:p>
        </w:tc>
        <w:tc>
          <w:tcPr>
            <w:tcW w:w="1834" w:type="dxa"/>
            <w:tcBorders>
              <w:top w:val="nil"/>
              <w:left w:val="nil"/>
              <w:bottom w:val="nil"/>
              <w:right w:val="nil"/>
            </w:tcBorders>
            <w:shd w:val="clear" w:color="000000" w:fill="FFFFFF"/>
            <w:vAlign w:val="center"/>
            <w:hideMark/>
          </w:tcPr>
          <w:p w14:paraId="59411734" w14:textId="77777777" w:rsidR="0021298F" w:rsidRPr="0079632A" w:rsidRDefault="0021298F" w:rsidP="00760009">
            <w:pPr>
              <w:jc w:val="right"/>
              <w:rPr>
                <w:rFonts w:ascii="Arial" w:eastAsia="Times New Roman" w:hAnsi="Arial" w:cs="Arial"/>
                <w:color w:val="000000"/>
                <w:lang w:eastAsia="en-GB"/>
              </w:rPr>
            </w:pPr>
            <w:r w:rsidRPr="0079632A">
              <w:rPr>
                <w:rFonts w:ascii="Arial" w:eastAsia="Times New Roman" w:hAnsi="Arial" w:cs="Arial"/>
                <w:color w:val="000000"/>
                <w:lang w:eastAsia="en-GB"/>
              </w:rPr>
              <w:t> </w:t>
            </w:r>
          </w:p>
        </w:tc>
        <w:tc>
          <w:tcPr>
            <w:tcW w:w="1839" w:type="dxa"/>
            <w:gridSpan w:val="2"/>
            <w:tcBorders>
              <w:top w:val="nil"/>
              <w:left w:val="nil"/>
              <w:bottom w:val="nil"/>
              <w:right w:val="nil"/>
            </w:tcBorders>
            <w:shd w:val="clear" w:color="000000" w:fill="FFFFFF"/>
            <w:vAlign w:val="center"/>
            <w:hideMark/>
          </w:tcPr>
          <w:p w14:paraId="3124093F" w14:textId="77777777" w:rsidR="0021298F" w:rsidRPr="0079632A" w:rsidRDefault="0021298F" w:rsidP="00760009">
            <w:pPr>
              <w:jc w:val="right"/>
              <w:rPr>
                <w:rFonts w:ascii="Arial" w:eastAsia="Times New Roman" w:hAnsi="Arial" w:cs="Arial"/>
                <w:color w:val="000000"/>
                <w:lang w:eastAsia="en-GB"/>
              </w:rPr>
            </w:pPr>
            <w:r w:rsidRPr="0079632A">
              <w:rPr>
                <w:rFonts w:ascii="Arial" w:eastAsia="Times New Roman" w:hAnsi="Arial" w:cs="Arial"/>
                <w:color w:val="000000"/>
                <w:lang w:eastAsia="en-GB"/>
              </w:rPr>
              <w:t> </w:t>
            </w:r>
          </w:p>
        </w:tc>
      </w:tr>
      <w:tr w:rsidR="0021298F" w:rsidRPr="0079632A" w14:paraId="27914520" w14:textId="77777777" w:rsidTr="00760009">
        <w:trPr>
          <w:gridAfter w:val="1"/>
          <w:wAfter w:w="8" w:type="dxa"/>
          <w:trHeight w:val="300"/>
        </w:trPr>
        <w:tc>
          <w:tcPr>
            <w:tcW w:w="4111" w:type="dxa"/>
            <w:tcBorders>
              <w:top w:val="nil"/>
              <w:left w:val="nil"/>
              <w:bottom w:val="nil"/>
              <w:right w:val="nil"/>
            </w:tcBorders>
            <w:shd w:val="clear" w:color="000000" w:fill="FFFFFF"/>
            <w:noWrap/>
            <w:vAlign w:val="bottom"/>
            <w:hideMark/>
          </w:tcPr>
          <w:p w14:paraId="2758EDD0" w14:textId="77777777" w:rsidR="0021298F" w:rsidRPr="0079632A" w:rsidRDefault="0021298F" w:rsidP="00760009">
            <w:pPr>
              <w:rPr>
                <w:rFonts w:ascii="Arial" w:eastAsia="Times New Roman" w:hAnsi="Arial" w:cs="Arial"/>
                <w:color w:val="000000"/>
                <w:lang w:eastAsia="en-GB"/>
              </w:rPr>
            </w:pPr>
            <w:r w:rsidRPr="0079632A">
              <w:rPr>
                <w:rFonts w:ascii="Arial" w:eastAsia="Times New Roman" w:hAnsi="Arial" w:cs="Arial"/>
                <w:color w:val="000000"/>
                <w:lang w:eastAsia="en-GB"/>
              </w:rPr>
              <w:t>Opening balance</w:t>
            </w:r>
          </w:p>
        </w:tc>
        <w:tc>
          <w:tcPr>
            <w:tcW w:w="1735" w:type="dxa"/>
            <w:tcBorders>
              <w:top w:val="nil"/>
              <w:left w:val="nil"/>
              <w:bottom w:val="nil"/>
              <w:right w:val="nil"/>
            </w:tcBorders>
            <w:shd w:val="clear" w:color="000000" w:fill="FFFFFF"/>
            <w:vAlign w:val="center"/>
            <w:hideMark/>
          </w:tcPr>
          <w:p w14:paraId="19A81C02" w14:textId="77777777" w:rsidR="0021298F" w:rsidRPr="0079632A" w:rsidRDefault="0021298F" w:rsidP="00760009">
            <w:pPr>
              <w:jc w:val="right"/>
              <w:rPr>
                <w:rFonts w:ascii="Arial" w:eastAsia="Times New Roman" w:hAnsi="Arial" w:cs="Arial"/>
                <w:b/>
                <w:bCs/>
                <w:color w:val="000000"/>
                <w:lang w:eastAsia="en-GB"/>
              </w:rPr>
            </w:pPr>
            <w:r w:rsidRPr="0079632A">
              <w:rPr>
                <w:rFonts w:ascii="Arial" w:eastAsia="Times New Roman" w:hAnsi="Arial" w:cs="Arial"/>
                <w:b/>
                <w:bCs/>
                <w:color w:val="000000"/>
                <w:lang w:eastAsia="en-GB"/>
              </w:rPr>
              <w:t xml:space="preserve"> 316,265 </w:t>
            </w:r>
          </w:p>
        </w:tc>
        <w:tc>
          <w:tcPr>
            <w:tcW w:w="1834" w:type="dxa"/>
            <w:tcBorders>
              <w:top w:val="nil"/>
              <w:left w:val="nil"/>
              <w:bottom w:val="nil"/>
              <w:right w:val="nil"/>
            </w:tcBorders>
            <w:shd w:val="clear" w:color="000000" w:fill="FFFFFF"/>
            <w:vAlign w:val="center"/>
            <w:hideMark/>
          </w:tcPr>
          <w:p w14:paraId="61472B3A" w14:textId="77777777" w:rsidR="0021298F" w:rsidRPr="0079632A" w:rsidRDefault="0021298F" w:rsidP="00760009">
            <w:pPr>
              <w:jc w:val="right"/>
              <w:rPr>
                <w:rFonts w:ascii="Arial" w:eastAsia="Times New Roman" w:hAnsi="Arial" w:cs="Arial"/>
                <w:b/>
                <w:bCs/>
                <w:color w:val="000000"/>
                <w:lang w:eastAsia="en-GB"/>
              </w:rPr>
            </w:pPr>
            <w:r w:rsidRPr="0079632A">
              <w:rPr>
                <w:rFonts w:ascii="Arial" w:eastAsia="Times New Roman" w:hAnsi="Arial" w:cs="Arial"/>
                <w:b/>
                <w:bCs/>
                <w:color w:val="000000"/>
                <w:lang w:eastAsia="en-GB"/>
              </w:rPr>
              <w:t xml:space="preserve">76,269 </w:t>
            </w:r>
          </w:p>
        </w:tc>
        <w:tc>
          <w:tcPr>
            <w:tcW w:w="1839" w:type="dxa"/>
            <w:gridSpan w:val="2"/>
            <w:tcBorders>
              <w:top w:val="nil"/>
              <w:left w:val="nil"/>
              <w:bottom w:val="nil"/>
              <w:right w:val="nil"/>
            </w:tcBorders>
            <w:shd w:val="clear" w:color="000000" w:fill="FFFFFF"/>
            <w:vAlign w:val="center"/>
            <w:hideMark/>
          </w:tcPr>
          <w:p w14:paraId="02523A3F" w14:textId="77777777" w:rsidR="0021298F" w:rsidRPr="0079632A" w:rsidRDefault="0021298F" w:rsidP="00760009">
            <w:pPr>
              <w:jc w:val="right"/>
              <w:rPr>
                <w:rFonts w:ascii="Arial" w:eastAsia="Times New Roman" w:hAnsi="Arial" w:cs="Arial"/>
                <w:b/>
                <w:bCs/>
                <w:color w:val="000000"/>
                <w:lang w:eastAsia="en-GB"/>
              </w:rPr>
            </w:pPr>
            <w:r w:rsidRPr="0079632A">
              <w:rPr>
                <w:rFonts w:ascii="Arial" w:eastAsia="Times New Roman" w:hAnsi="Arial" w:cs="Arial"/>
                <w:b/>
                <w:bCs/>
                <w:color w:val="000000"/>
                <w:lang w:eastAsia="en-GB"/>
              </w:rPr>
              <w:t xml:space="preserve">392,534 </w:t>
            </w:r>
          </w:p>
        </w:tc>
      </w:tr>
      <w:tr w:rsidR="0021298F" w:rsidRPr="0079632A" w14:paraId="5E233FEB" w14:textId="77777777" w:rsidTr="00760009">
        <w:trPr>
          <w:gridAfter w:val="1"/>
          <w:wAfter w:w="8" w:type="dxa"/>
          <w:trHeight w:val="300"/>
        </w:trPr>
        <w:tc>
          <w:tcPr>
            <w:tcW w:w="4111" w:type="dxa"/>
            <w:tcBorders>
              <w:top w:val="nil"/>
              <w:left w:val="nil"/>
              <w:bottom w:val="nil"/>
              <w:right w:val="nil"/>
            </w:tcBorders>
            <w:shd w:val="clear" w:color="auto" w:fill="auto"/>
            <w:noWrap/>
            <w:vAlign w:val="bottom"/>
            <w:hideMark/>
          </w:tcPr>
          <w:p w14:paraId="0B15A5FC" w14:textId="77777777" w:rsidR="0021298F" w:rsidRPr="0079632A" w:rsidRDefault="0021298F" w:rsidP="00760009">
            <w:pPr>
              <w:rPr>
                <w:rFonts w:ascii="Arial" w:eastAsia="Times New Roman" w:hAnsi="Arial" w:cs="Arial"/>
                <w:color w:val="000000"/>
                <w:lang w:eastAsia="en-GB"/>
              </w:rPr>
            </w:pPr>
            <w:r w:rsidRPr="0079632A">
              <w:rPr>
                <w:rFonts w:ascii="Arial" w:eastAsia="Times New Roman" w:hAnsi="Arial" w:cs="Arial"/>
                <w:color w:val="000000"/>
                <w:lang w:eastAsia="en-GB"/>
              </w:rPr>
              <w:t xml:space="preserve">Loans advanced to Holdco (note 19) </w:t>
            </w:r>
          </w:p>
        </w:tc>
        <w:tc>
          <w:tcPr>
            <w:tcW w:w="1735" w:type="dxa"/>
            <w:tcBorders>
              <w:top w:val="nil"/>
              <w:left w:val="nil"/>
              <w:bottom w:val="nil"/>
              <w:right w:val="nil"/>
            </w:tcBorders>
            <w:shd w:val="clear" w:color="000000" w:fill="FFFFFF"/>
            <w:vAlign w:val="center"/>
            <w:hideMark/>
          </w:tcPr>
          <w:p w14:paraId="588D785B" w14:textId="77777777" w:rsidR="0021298F" w:rsidRPr="0079632A" w:rsidRDefault="0021298F" w:rsidP="00760009">
            <w:pPr>
              <w:jc w:val="right"/>
              <w:rPr>
                <w:rFonts w:ascii="Arial" w:eastAsia="Times New Roman" w:hAnsi="Arial" w:cs="Arial"/>
                <w:color w:val="000000"/>
                <w:lang w:eastAsia="en-GB"/>
              </w:rPr>
            </w:pPr>
            <w:r w:rsidRPr="0079632A">
              <w:rPr>
                <w:rFonts w:ascii="Arial" w:eastAsia="Times New Roman" w:hAnsi="Arial" w:cs="Arial"/>
                <w:color w:val="000000"/>
                <w:lang w:eastAsia="en-GB"/>
              </w:rPr>
              <w:t xml:space="preserve">268,447 </w:t>
            </w:r>
          </w:p>
        </w:tc>
        <w:tc>
          <w:tcPr>
            <w:tcW w:w="1834" w:type="dxa"/>
            <w:tcBorders>
              <w:top w:val="nil"/>
              <w:left w:val="nil"/>
              <w:bottom w:val="nil"/>
              <w:right w:val="nil"/>
            </w:tcBorders>
            <w:shd w:val="clear" w:color="000000" w:fill="FFFFFF"/>
            <w:vAlign w:val="center"/>
            <w:hideMark/>
          </w:tcPr>
          <w:p w14:paraId="464F23A9" w14:textId="77777777" w:rsidR="0021298F" w:rsidRPr="0079632A" w:rsidRDefault="0021298F" w:rsidP="00760009">
            <w:pPr>
              <w:jc w:val="right"/>
              <w:rPr>
                <w:rFonts w:ascii="Arial" w:eastAsia="Times New Roman" w:hAnsi="Arial" w:cs="Arial"/>
                <w:color w:val="000000"/>
                <w:lang w:eastAsia="en-GB"/>
              </w:rPr>
            </w:pPr>
            <w:r w:rsidRPr="0079632A">
              <w:rPr>
                <w:rFonts w:ascii="Arial" w:eastAsia="Times New Roman" w:hAnsi="Arial" w:cs="Arial"/>
                <w:color w:val="000000"/>
                <w:lang w:eastAsia="en-GB"/>
              </w:rPr>
              <w:t xml:space="preserve"> - </w:t>
            </w:r>
          </w:p>
        </w:tc>
        <w:tc>
          <w:tcPr>
            <w:tcW w:w="1839" w:type="dxa"/>
            <w:gridSpan w:val="2"/>
            <w:tcBorders>
              <w:top w:val="nil"/>
              <w:left w:val="nil"/>
              <w:bottom w:val="nil"/>
              <w:right w:val="nil"/>
            </w:tcBorders>
            <w:shd w:val="clear" w:color="000000" w:fill="FFFFFF"/>
            <w:vAlign w:val="center"/>
            <w:hideMark/>
          </w:tcPr>
          <w:p w14:paraId="6517D3BF" w14:textId="77777777" w:rsidR="0021298F" w:rsidRPr="0079632A" w:rsidRDefault="0021298F" w:rsidP="00760009">
            <w:pPr>
              <w:jc w:val="right"/>
              <w:rPr>
                <w:rFonts w:ascii="Arial" w:eastAsia="Times New Roman" w:hAnsi="Arial" w:cs="Arial"/>
                <w:b/>
                <w:bCs/>
                <w:color w:val="000000"/>
                <w:lang w:eastAsia="en-GB"/>
              </w:rPr>
            </w:pPr>
            <w:r w:rsidRPr="0079632A">
              <w:rPr>
                <w:rFonts w:ascii="Arial" w:eastAsia="Times New Roman" w:hAnsi="Arial" w:cs="Arial"/>
                <w:b/>
                <w:bCs/>
                <w:color w:val="000000"/>
                <w:lang w:eastAsia="en-GB"/>
              </w:rPr>
              <w:t xml:space="preserve">268,447 </w:t>
            </w:r>
          </w:p>
        </w:tc>
      </w:tr>
      <w:tr w:rsidR="0021298F" w:rsidRPr="0079632A" w14:paraId="11EFF021" w14:textId="77777777" w:rsidTr="00760009">
        <w:trPr>
          <w:gridAfter w:val="1"/>
          <w:wAfter w:w="8" w:type="dxa"/>
          <w:trHeight w:val="300"/>
        </w:trPr>
        <w:tc>
          <w:tcPr>
            <w:tcW w:w="4111" w:type="dxa"/>
            <w:tcBorders>
              <w:top w:val="nil"/>
              <w:left w:val="nil"/>
              <w:bottom w:val="nil"/>
              <w:right w:val="nil"/>
            </w:tcBorders>
            <w:shd w:val="clear" w:color="000000" w:fill="FFFFFF"/>
            <w:vAlign w:val="center"/>
            <w:hideMark/>
          </w:tcPr>
          <w:p w14:paraId="09580C0A" w14:textId="77777777" w:rsidR="0021298F" w:rsidRPr="0079632A" w:rsidRDefault="0021298F" w:rsidP="00760009">
            <w:pPr>
              <w:rPr>
                <w:rFonts w:ascii="Arial" w:eastAsia="Times New Roman" w:hAnsi="Arial" w:cs="Arial"/>
                <w:color w:val="000000"/>
                <w:lang w:eastAsia="en-GB"/>
              </w:rPr>
            </w:pPr>
            <w:r w:rsidRPr="0079632A">
              <w:rPr>
                <w:rFonts w:ascii="Arial" w:eastAsia="Times New Roman" w:hAnsi="Arial" w:cs="Arial"/>
                <w:color w:val="000000"/>
                <w:lang w:eastAsia="en-GB"/>
              </w:rPr>
              <w:t>Loans repaid by Holdco (note 19)</w:t>
            </w:r>
          </w:p>
        </w:tc>
        <w:tc>
          <w:tcPr>
            <w:tcW w:w="1735" w:type="dxa"/>
            <w:tcBorders>
              <w:top w:val="nil"/>
              <w:left w:val="nil"/>
              <w:bottom w:val="nil"/>
              <w:right w:val="nil"/>
            </w:tcBorders>
            <w:shd w:val="clear" w:color="000000" w:fill="FFFFFF"/>
            <w:vAlign w:val="center"/>
            <w:hideMark/>
          </w:tcPr>
          <w:p w14:paraId="11D2A42B" w14:textId="77777777" w:rsidR="0021298F" w:rsidRPr="0079632A" w:rsidRDefault="0021298F" w:rsidP="00760009">
            <w:pPr>
              <w:jc w:val="right"/>
              <w:rPr>
                <w:rFonts w:ascii="Arial" w:eastAsia="Times New Roman" w:hAnsi="Arial" w:cs="Arial"/>
                <w:color w:val="000000"/>
                <w:lang w:eastAsia="en-GB"/>
              </w:rPr>
            </w:pPr>
            <w:r w:rsidRPr="0079632A">
              <w:rPr>
                <w:rFonts w:ascii="Arial" w:eastAsia="Times New Roman" w:hAnsi="Arial" w:cs="Arial"/>
                <w:color w:val="000000"/>
                <w:lang w:eastAsia="en-GB"/>
              </w:rPr>
              <w:t xml:space="preserve"> (29,450)</w:t>
            </w:r>
          </w:p>
        </w:tc>
        <w:tc>
          <w:tcPr>
            <w:tcW w:w="1834" w:type="dxa"/>
            <w:tcBorders>
              <w:top w:val="nil"/>
              <w:left w:val="nil"/>
              <w:bottom w:val="nil"/>
              <w:right w:val="nil"/>
            </w:tcBorders>
            <w:shd w:val="clear" w:color="000000" w:fill="FFFFFF"/>
            <w:vAlign w:val="center"/>
            <w:hideMark/>
          </w:tcPr>
          <w:p w14:paraId="58F0B280" w14:textId="77777777" w:rsidR="0021298F" w:rsidRPr="0079632A" w:rsidRDefault="0021298F" w:rsidP="00760009">
            <w:pPr>
              <w:jc w:val="right"/>
              <w:rPr>
                <w:rFonts w:ascii="Arial" w:eastAsia="Times New Roman" w:hAnsi="Arial" w:cs="Arial"/>
                <w:color w:val="000000"/>
                <w:lang w:eastAsia="en-GB"/>
              </w:rPr>
            </w:pPr>
            <w:r w:rsidRPr="0079632A">
              <w:rPr>
                <w:rFonts w:ascii="Arial" w:eastAsia="Times New Roman" w:hAnsi="Arial" w:cs="Arial"/>
                <w:color w:val="000000"/>
                <w:lang w:eastAsia="en-GB"/>
              </w:rPr>
              <w:t xml:space="preserve"> - </w:t>
            </w:r>
          </w:p>
        </w:tc>
        <w:tc>
          <w:tcPr>
            <w:tcW w:w="1839" w:type="dxa"/>
            <w:gridSpan w:val="2"/>
            <w:tcBorders>
              <w:top w:val="nil"/>
              <w:left w:val="nil"/>
              <w:bottom w:val="nil"/>
              <w:right w:val="nil"/>
            </w:tcBorders>
            <w:shd w:val="clear" w:color="000000" w:fill="FFFFFF"/>
            <w:vAlign w:val="center"/>
            <w:hideMark/>
          </w:tcPr>
          <w:p w14:paraId="24FCD123" w14:textId="77777777" w:rsidR="0021298F" w:rsidRPr="0079632A" w:rsidRDefault="0021298F" w:rsidP="00760009">
            <w:pPr>
              <w:jc w:val="right"/>
              <w:rPr>
                <w:rFonts w:ascii="Arial" w:eastAsia="Times New Roman" w:hAnsi="Arial" w:cs="Arial"/>
                <w:b/>
                <w:bCs/>
                <w:color w:val="000000"/>
                <w:lang w:eastAsia="en-GB"/>
              </w:rPr>
            </w:pPr>
            <w:r w:rsidRPr="0079632A">
              <w:rPr>
                <w:rFonts w:ascii="Arial" w:eastAsia="Times New Roman" w:hAnsi="Arial" w:cs="Arial"/>
                <w:b/>
                <w:bCs/>
                <w:color w:val="000000"/>
                <w:lang w:eastAsia="en-GB"/>
              </w:rPr>
              <w:t xml:space="preserve"> (29,450)</w:t>
            </w:r>
          </w:p>
        </w:tc>
      </w:tr>
      <w:tr w:rsidR="0021298F" w:rsidRPr="0079632A" w14:paraId="2EEAA23A" w14:textId="77777777" w:rsidTr="00760009">
        <w:trPr>
          <w:gridAfter w:val="1"/>
          <w:wAfter w:w="8" w:type="dxa"/>
          <w:trHeight w:val="570"/>
        </w:trPr>
        <w:tc>
          <w:tcPr>
            <w:tcW w:w="4111" w:type="dxa"/>
            <w:tcBorders>
              <w:top w:val="nil"/>
              <w:left w:val="nil"/>
              <w:bottom w:val="nil"/>
              <w:right w:val="nil"/>
            </w:tcBorders>
            <w:shd w:val="clear" w:color="000000" w:fill="FFFFFF"/>
            <w:vAlign w:val="center"/>
            <w:hideMark/>
          </w:tcPr>
          <w:p w14:paraId="3CDBCF3F" w14:textId="77777777" w:rsidR="0021298F" w:rsidRPr="0079632A" w:rsidRDefault="0021298F" w:rsidP="00760009">
            <w:pPr>
              <w:rPr>
                <w:rFonts w:ascii="Arial" w:eastAsia="Times New Roman" w:hAnsi="Arial" w:cs="Arial"/>
                <w:color w:val="000000"/>
                <w:lang w:eastAsia="en-GB"/>
              </w:rPr>
            </w:pPr>
            <w:r w:rsidRPr="0079632A">
              <w:rPr>
                <w:rFonts w:ascii="Arial" w:eastAsia="Times New Roman" w:hAnsi="Arial" w:cs="Arial"/>
                <w:color w:val="000000"/>
                <w:lang w:eastAsia="en-GB"/>
              </w:rPr>
              <w:t>Loans repaid by wind farm SPVs (note 19)</w:t>
            </w:r>
          </w:p>
        </w:tc>
        <w:tc>
          <w:tcPr>
            <w:tcW w:w="1735" w:type="dxa"/>
            <w:tcBorders>
              <w:top w:val="nil"/>
              <w:left w:val="nil"/>
              <w:bottom w:val="nil"/>
              <w:right w:val="nil"/>
            </w:tcBorders>
            <w:shd w:val="clear" w:color="000000" w:fill="FFFFFF"/>
            <w:vAlign w:val="center"/>
            <w:hideMark/>
          </w:tcPr>
          <w:p w14:paraId="57AA72A3" w14:textId="77777777" w:rsidR="0021298F" w:rsidRPr="0079632A" w:rsidRDefault="0021298F" w:rsidP="00760009">
            <w:pPr>
              <w:jc w:val="right"/>
              <w:rPr>
                <w:rFonts w:ascii="Arial" w:eastAsia="Times New Roman" w:hAnsi="Arial" w:cs="Arial"/>
                <w:color w:val="000000"/>
                <w:lang w:eastAsia="en-GB"/>
              </w:rPr>
            </w:pPr>
            <w:r w:rsidRPr="0079632A">
              <w:rPr>
                <w:rFonts w:ascii="Arial" w:eastAsia="Times New Roman" w:hAnsi="Arial" w:cs="Arial"/>
                <w:color w:val="000000"/>
                <w:lang w:eastAsia="en-GB"/>
              </w:rPr>
              <w:t xml:space="preserve"> (3,294)</w:t>
            </w:r>
          </w:p>
        </w:tc>
        <w:tc>
          <w:tcPr>
            <w:tcW w:w="1834" w:type="dxa"/>
            <w:tcBorders>
              <w:top w:val="nil"/>
              <w:left w:val="nil"/>
              <w:bottom w:val="nil"/>
              <w:right w:val="nil"/>
            </w:tcBorders>
            <w:shd w:val="clear" w:color="000000" w:fill="FFFFFF"/>
            <w:vAlign w:val="center"/>
            <w:hideMark/>
          </w:tcPr>
          <w:p w14:paraId="40FCAD62" w14:textId="77777777" w:rsidR="0021298F" w:rsidRPr="0079632A" w:rsidRDefault="0021298F" w:rsidP="00760009">
            <w:pPr>
              <w:jc w:val="right"/>
              <w:rPr>
                <w:rFonts w:ascii="Arial" w:eastAsia="Times New Roman" w:hAnsi="Arial" w:cs="Arial"/>
                <w:color w:val="000000"/>
                <w:lang w:eastAsia="en-GB"/>
              </w:rPr>
            </w:pPr>
            <w:r w:rsidRPr="0079632A">
              <w:rPr>
                <w:rFonts w:ascii="Arial" w:eastAsia="Times New Roman" w:hAnsi="Arial" w:cs="Arial"/>
                <w:color w:val="000000"/>
                <w:lang w:eastAsia="en-GB"/>
              </w:rPr>
              <w:t xml:space="preserve"> - </w:t>
            </w:r>
          </w:p>
        </w:tc>
        <w:tc>
          <w:tcPr>
            <w:tcW w:w="1839" w:type="dxa"/>
            <w:gridSpan w:val="2"/>
            <w:tcBorders>
              <w:top w:val="nil"/>
              <w:left w:val="nil"/>
              <w:bottom w:val="nil"/>
              <w:right w:val="nil"/>
            </w:tcBorders>
            <w:shd w:val="clear" w:color="000000" w:fill="FFFFFF"/>
            <w:vAlign w:val="center"/>
            <w:hideMark/>
          </w:tcPr>
          <w:p w14:paraId="38945E18" w14:textId="77777777" w:rsidR="0021298F" w:rsidRPr="0079632A" w:rsidRDefault="0021298F" w:rsidP="00760009">
            <w:pPr>
              <w:jc w:val="right"/>
              <w:rPr>
                <w:rFonts w:ascii="Arial" w:eastAsia="Times New Roman" w:hAnsi="Arial" w:cs="Arial"/>
                <w:b/>
                <w:bCs/>
                <w:color w:val="000000"/>
                <w:lang w:eastAsia="en-GB"/>
              </w:rPr>
            </w:pPr>
            <w:r w:rsidRPr="0079632A">
              <w:rPr>
                <w:rFonts w:ascii="Arial" w:eastAsia="Times New Roman" w:hAnsi="Arial" w:cs="Arial"/>
                <w:b/>
                <w:bCs/>
                <w:color w:val="000000"/>
                <w:lang w:eastAsia="en-GB"/>
              </w:rPr>
              <w:t xml:space="preserve"> (3,294)</w:t>
            </w:r>
          </w:p>
        </w:tc>
      </w:tr>
      <w:tr w:rsidR="0021298F" w:rsidRPr="0079632A" w14:paraId="6CDAC01A" w14:textId="77777777" w:rsidTr="00760009">
        <w:trPr>
          <w:gridAfter w:val="1"/>
          <w:wAfter w:w="8" w:type="dxa"/>
          <w:trHeight w:val="570"/>
        </w:trPr>
        <w:tc>
          <w:tcPr>
            <w:tcW w:w="4111" w:type="dxa"/>
            <w:tcBorders>
              <w:top w:val="nil"/>
              <w:left w:val="nil"/>
              <w:bottom w:val="single" w:sz="4" w:space="0" w:color="auto"/>
              <w:right w:val="nil"/>
            </w:tcBorders>
            <w:shd w:val="clear" w:color="000000" w:fill="FFFFFF"/>
            <w:vAlign w:val="center"/>
            <w:hideMark/>
          </w:tcPr>
          <w:p w14:paraId="7A5E46EF" w14:textId="77777777" w:rsidR="0021298F" w:rsidRPr="0079632A" w:rsidRDefault="0021298F" w:rsidP="00760009">
            <w:pPr>
              <w:rPr>
                <w:rFonts w:ascii="Arial" w:eastAsia="Times New Roman" w:hAnsi="Arial" w:cs="Arial"/>
                <w:color w:val="000000"/>
                <w:lang w:eastAsia="en-GB"/>
              </w:rPr>
            </w:pPr>
            <w:r w:rsidRPr="0079632A">
              <w:rPr>
                <w:rFonts w:ascii="Arial" w:eastAsia="Times New Roman" w:hAnsi="Arial" w:cs="Arial"/>
                <w:color w:val="000000"/>
                <w:lang w:eastAsia="en-GB"/>
              </w:rPr>
              <w:t xml:space="preserve">Unrealised movement in fair value of investments </w:t>
            </w:r>
          </w:p>
        </w:tc>
        <w:tc>
          <w:tcPr>
            <w:tcW w:w="1735" w:type="dxa"/>
            <w:tcBorders>
              <w:top w:val="nil"/>
              <w:left w:val="nil"/>
              <w:bottom w:val="nil"/>
              <w:right w:val="nil"/>
            </w:tcBorders>
            <w:shd w:val="clear" w:color="000000" w:fill="FFFFFF"/>
            <w:vAlign w:val="center"/>
            <w:hideMark/>
          </w:tcPr>
          <w:p w14:paraId="0DD4440D" w14:textId="77777777" w:rsidR="0021298F" w:rsidRPr="0079632A" w:rsidRDefault="0021298F" w:rsidP="00760009">
            <w:pPr>
              <w:jc w:val="right"/>
              <w:rPr>
                <w:rFonts w:ascii="Arial" w:eastAsia="Times New Roman" w:hAnsi="Arial" w:cs="Arial"/>
                <w:color w:val="000000"/>
                <w:lang w:eastAsia="en-GB"/>
              </w:rPr>
            </w:pPr>
            <w:r w:rsidRPr="0079632A">
              <w:rPr>
                <w:rFonts w:ascii="Arial" w:eastAsia="Times New Roman" w:hAnsi="Arial" w:cs="Arial"/>
                <w:color w:val="000000"/>
                <w:lang w:eastAsia="en-GB"/>
              </w:rPr>
              <w:t xml:space="preserve"> - </w:t>
            </w:r>
          </w:p>
        </w:tc>
        <w:tc>
          <w:tcPr>
            <w:tcW w:w="1834" w:type="dxa"/>
            <w:tcBorders>
              <w:top w:val="nil"/>
              <w:left w:val="nil"/>
              <w:bottom w:val="nil"/>
              <w:right w:val="nil"/>
            </w:tcBorders>
            <w:shd w:val="clear" w:color="000000" w:fill="FFFFFF"/>
            <w:vAlign w:val="center"/>
            <w:hideMark/>
          </w:tcPr>
          <w:p w14:paraId="234358B4" w14:textId="77777777" w:rsidR="0021298F" w:rsidRPr="0079632A" w:rsidRDefault="0021298F" w:rsidP="00760009">
            <w:pPr>
              <w:jc w:val="right"/>
              <w:rPr>
                <w:rFonts w:ascii="Arial" w:eastAsia="Times New Roman" w:hAnsi="Arial" w:cs="Arial"/>
                <w:color w:val="000000"/>
                <w:lang w:eastAsia="en-GB"/>
              </w:rPr>
            </w:pPr>
            <w:r w:rsidRPr="0079632A">
              <w:rPr>
                <w:rFonts w:ascii="Arial" w:eastAsia="Times New Roman" w:hAnsi="Arial" w:cs="Arial"/>
                <w:color w:val="000000"/>
                <w:lang w:eastAsia="en-GB"/>
              </w:rPr>
              <w:t xml:space="preserve">20,560 </w:t>
            </w:r>
          </w:p>
        </w:tc>
        <w:tc>
          <w:tcPr>
            <w:tcW w:w="1839" w:type="dxa"/>
            <w:gridSpan w:val="2"/>
            <w:tcBorders>
              <w:top w:val="nil"/>
              <w:left w:val="nil"/>
              <w:bottom w:val="nil"/>
              <w:right w:val="nil"/>
            </w:tcBorders>
            <w:shd w:val="clear" w:color="000000" w:fill="FFFFFF"/>
            <w:vAlign w:val="center"/>
            <w:hideMark/>
          </w:tcPr>
          <w:p w14:paraId="69AEAAC9" w14:textId="77777777" w:rsidR="0021298F" w:rsidRPr="0079632A" w:rsidRDefault="0021298F" w:rsidP="00760009">
            <w:pPr>
              <w:jc w:val="right"/>
              <w:rPr>
                <w:rFonts w:ascii="Arial" w:eastAsia="Times New Roman" w:hAnsi="Arial" w:cs="Arial"/>
                <w:b/>
                <w:bCs/>
                <w:color w:val="000000"/>
                <w:lang w:eastAsia="en-GB"/>
              </w:rPr>
            </w:pPr>
            <w:r w:rsidRPr="0079632A">
              <w:rPr>
                <w:rFonts w:ascii="Arial" w:eastAsia="Times New Roman" w:hAnsi="Arial" w:cs="Arial"/>
                <w:b/>
                <w:bCs/>
                <w:color w:val="000000"/>
                <w:lang w:eastAsia="en-GB"/>
              </w:rPr>
              <w:t xml:space="preserve">20,560 </w:t>
            </w:r>
          </w:p>
        </w:tc>
      </w:tr>
      <w:tr w:rsidR="0021298F" w:rsidRPr="0079632A" w14:paraId="6E92CE20" w14:textId="77777777" w:rsidTr="00760009">
        <w:trPr>
          <w:gridAfter w:val="1"/>
          <w:wAfter w:w="8" w:type="dxa"/>
          <w:trHeight w:val="450"/>
        </w:trPr>
        <w:tc>
          <w:tcPr>
            <w:tcW w:w="4111" w:type="dxa"/>
            <w:tcBorders>
              <w:top w:val="nil"/>
              <w:left w:val="nil"/>
              <w:bottom w:val="single" w:sz="8" w:space="0" w:color="auto"/>
              <w:right w:val="nil"/>
            </w:tcBorders>
            <w:shd w:val="clear" w:color="000000" w:fill="FFFFFF"/>
            <w:noWrap/>
            <w:vAlign w:val="center"/>
            <w:hideMark/>
          </w:tcPr>
          <w:p w14:paraId="1F08928B" w14:textId="77777777" w:rsidR="0021298F" w:rsidRPr="0079632A" w:rsidRDefault="0021298F" w:rsidP="00760009">
            <w:pPr>
              <w:rPr>
                <w:rFonts w:ascii="Arial" w:eastAsia="Times New Roman" w:hAnsi="Arial" w:cs="Arial"/>
                <w:b/>
                <w:bCs/>
                <w:color w:val="000000"/>
                <w:lang w:eastAsia="en-GB"/>
              </w:rPr>
            </w:pPr>
            <w:r w:rsidRPr="0079632A">
              <w:rPr>
                <w:rFonts w:ascii="Arial" w:eastAsia="Times New Roman" w:hAnsi="Arial" w:cs="Arial"/>
                <w:b/>
                <w:bCs/>
                <w:color w:val="000000"/>
                <w:lang w:eastAsia="en-GB"/>
              </w:rPr>
              <w:t> </w:t>
            </w:r>
          </w:p>
        </w:tc>
        <w:tc>
          <w:tcPr>
            <w:tcW w:w="1735" w:type="dxa"/>
            <w:tcBorders>
              <w:top w:val="single" w:sz="4" w:space="0" w:color="auto"/>
              <w:left w:val="nil"/>
              <w:bottom w:val="single" w:sz="8" w:space="0" w:color="auto"/>
              <w:right w:val="nil"/>
            </w:tcBorders>
            <w:shd w:val="clear" w:color="000000" w:fill="FFFFFF"/>
            <w:vAlign w:val="center"/>
            <w:hideMark/>
          </w:tcPr>
          <w:p w14:paraId="26EAA3F5" w14:textId="77777777" w:rsidR="0021298F" w:rsidRPr="0079632A" w:rsidRDefault="0021298F" w:rsidP="00760009">
            <w:pPr>
              <w:jc w:val="right"/>
              <w:rPr>
                <w:rFonts w:ascii="Arial" w:eastAsia="Times New Roman" w:hAnsi="Arial" w:cs="Arial"/>
                <w:b/>
                <w:bCs/>
                <w:color w:val="000000"/>
                <w:lang w:eastAsia="en-GB"/>
              </w:rPr>
            </w:pPr>
            <w:r w:rsidRPr="0079632A">
              <w:rPr>
                <w:rFonts w:ascii="Arial" w:eastAsia="Times New Roman" w:hAnsi="Arial" w:cs="Arial"/>
                <w:b/>
                <w:bCs/>
                <w:color w:val="000000"/>
                <w:lang w:eastAsia="en-GB"/>
              </w:rPr>
              <w:t xml:space="preserve"> 551,968 </w:t>
            </w:r>
          </w:p>
        </w:tc>
        <w:tc>
          <w:tcPr>
            <w:tcW w:w="1834" w:type="dxa"/>
            <w:tcBorders>
              <w:top w:val="single" w:sz="4" w:space="0" w:color="auto"/>
              <w:left w:val="nil"/>
              <w:bottom w:val="single" w:sz="8" w:space="0" w:color="auto"/>
              <w:right w:val="nil"/>
            </w:tcBorders>
            <w:shd w:val="clear" w:color="000000" w:fill="FFFFFF"/>
            <w:vAlign w:val="center"/>
            <w:hideMark/>
          </w:tcPr>
          <w:p w14:paraId="12A0B018" w14:textId="77777777" w:rsidR="0021298F" w:rsidRPr="0079632A" w:rsidRDefault="0021298F" w:rsidP="00760009">
            <w:pPr>
              <w:jc w:val="right"/>
              <w:rPr>
                <w:rFonts w:ascii="Arial" w:eastAsia="Times New Roman" w:hAnsi="Arial" w:cs="Arial"/>
                <w:b/>
                <w:bCs/>
                <w:color w:val="000000"/>
                <w:lang w:eastAsia="en-GB"/>
              </w:rPr>
            </w:pPr>
            <w:r w:rsidRPr="0079632A">
              <w:rPr>
                <w:rFonts w:ascii="Arial" w:eastAsia="Times New Roman" w:hAnsi="Arial" w:cs="Arial"/>
                <w:b/>
                <w:bCs/>
                <w:color w:val="000000"/>
                <w:lang w:eastAsia="en-GB"/>
              </w:rPr>
              <w:t xml:space="preserve">96,829 </w:t>
            </w:r>
          </w:p>
        </w:tc>
        <w:tc>
          <w:tcPr>
            <w:tcW w:w="1839" w:type="dxa"/>
            <w:gridSpan w:val="2"/>
            <w:tcBorders>
              <w:top w:val="single" w:sz="4" w:space="0" w:color="auto"/>
              <w:left w:val="nil"/>
              <w:bottom w:val="single" w:sz="8" w:space="0" w:color="auto"/>
              <w:right w:val="nil"/>
            </w:tcBorders>
            <w:shd w:val="clear" w:color="000000" w:fill="FFFFFF"/>
            <w:vAlign w:val="center"/>
            <w:hideMark/>
          </w:tcPr>
          <w:p w14:paraId="39904423" w14:textId="77777777" w:rsidR="0021298F" w:rsidRPr="0079632A" w:rsidRDefault="0021298F" w:rsidP="00760009">
            <w:pPr>
              <w:jc w:val="right"/>
              <w:rPr>
                <w:rFonts w:ascii="Arial" w:eastAsia="Times New Roman" w:hAnsi="Arial" w:cs="Arial"/>
                <w:b/>
                <w:bCs/>
                <w:color w:val="000000"/>
                <w:lang w:eastAsia="en-GB"/>
              </w:rPr>
            </w:pPr>
            <w:r w:rsidRPr="0079632A">
              <w:rPr>
                <w:rFonts w:ascii="Arial" w:eastAsia="Times New Roman" w:hAnsi="Arial" w:cs="Arial"/>
                <w:b/>
                <w:bCs/>
                <w:color w:val="000000"/>
                <w:lang w:eastAsia="en-GB"/>
              </w:rPr>
              <w:t xml:space="preserve">648,797 </w:t>
            </w:r>
          </w:p>
        </w:tc>
      </w:tr>
    </w:tbl>
    <w:p w14:paraId="10FA928C" w14:textId="77777777" w:rsidR="0021298F" w:rsidRDefault="0021298F" w:rsidP="0021298F">
      <w:pPr>
        <w:autoSpaceDE w:val="0"/>
        <w:autoSpaceDN w:val="0"/>
        <w:adjustRightInd w:val="0"/>
        <w:jc w:val="both"/>
        <w:rPr>
          <w:rFonts w:ascii="Arial" w:hAnsi="Arial" w:cs="Arial"/>
          <w:b/>
        </w:rPr>
      </w:pPr>
    </w:p>
    <w:p w14:paraId="77D4AE24" w14:textId="77777777" w:rsidR="0021298F" w:rsidRDefault="0021298F" w:rsidP="0021298F">
      <w:pPr>
        <w:autoSpaceDE w:val="0"/>
        <w:autoSpaceDN w:val="0"/>
        <w:adjustRightInd w:val="0"/>
        <w:jc w:val="both"/>
        <w:rPr>
          <w:rFonts w:ascii="Arial" w:hAnsi="Arial" w:cs="Arial"/>
          <w:b/>
        </w:rPr>
      </w:pPr>
      <w:r>
        <w:rPr>
          <w:rFonts w:ascii="Arial" w:hAnsi="Arial" w:cs="Arial"/>
          <w:b/>
        </w:rPr>
        <w:t>Fair value measurements</w:t>
      </w:r>
    </w:p>
    <w:p w14:paraId="35299E81" w14:textId="77777777" w:rsidR="0021298F" w:rsidRDefault="0021298F" w:rsidP="0021298F">
      <w:pPr>
        <w:pStyle w:val="Bullets"/>
        <w:numPr>
          <w:ilvl w:val="0"/>
          <w:numId w:val="0"/>
        </w:numPr>
        <w:jc w:val="both"/>
      </w:pPr>
      <w:r w:rsidRPr="008A2D0C">
        <w:t xml:space="preserve">IFRS 13 requires disclosure of fair value measurement by level. The level of fair value hierarchy </w:t>
      </w:r>
      <w:r>
        <w:t>which</w:t>
      </w:r>
      <w:r w:rsidRPr="008A2D0C">
        <w:t xml:space="preserve"> the financial assets or financial liabilities</w:t>
      </w:r>
      <w:r>
        <w:t xml:space="preserve"> are recognised</w:t>
      </w:r>
      <w:r w:rsidRPr="008A2D0C">
        <w:t xml:space="preserve"> </w:t>
      </w:r>
      <w:r>
        <w:t xml:space="preserve">is </w:t>
      </w:r>
      <w:r w:rsidRPr="008A2D0C">
        <w:t xml:space="preserve">on the basis of the lowest level input that is significant to the fair value measurement. Financial assets and financial liabilities are classified in their entirety into only one of the </w:t>
      </w:r>
      <w:r>
        <w:t>following 3</w:t>
      </w:r>
      <w:r w:rsidRPr="008A2D0C">
        <w:t xml:space="preserve"> levels</w:t>
      </w:r>
      <w:r>
        <w:t>:</w:t>
      </w:r>
    </w:p>
    <w:p w14:paraId="18B2856B" w14:textId="77777777" w:rsidR="0021298F" w:rsidRPr="00087046" w:rsidRDefault="0021298F" w:rsidP="0021298F">
      <w:pPr>
        <w:pStyle w:val="ListParagraph"/>
        <w:numPr>
          <w:ilvl w:val="0"/>
          <w:numId w:val="25"/>
        </w:numPr>
        <w:jc w:val="both"/>
        <w:rPr>
          <w:rFonts w:ascii="Arial" w:hAnsi="Arial" w:cs="Arial"/>
        </w:rPr>
      </w:pPr>
      <w:r w:rsidRPr="00087046">
        <w:rPr>
          <w:rFonts w:ascii="Arial" w:hAnsi="Arial" w:cs="Arial"/>
        </w:rPr>
        <w:lastRenderedPageBreak/>
        <w:t>Level 1</w:t>
      </w:r>
      <w:r w:rsidRPr="00087046">
        <w:rPr>
          <w:rFonts w:ascii="Arial" w:hAnsi="Arial" w:cs="Arial"/>
        </w:rPr>
        <w:tab/>
        <w:t xml:space="preserve"> – quoted prices (unadjusted) in active markets for identical assets or liabilities;</w:t>
      </w:r>
    </w:p>
    <w:p w14:paraId="13B52973" w14:textId="77777777" w:rsidR="0021298F" w:rsidRPr="00087046" w:rsidRDefault="0021298F" w:rsidP="0021298F">
      <w:pPr>
        <w:pStyle w:val="ListParagraph"/>
        <w:numPr>
          <w:ilvl w:val="0"/>
          <w:numId w:val="25"/>
        </w:numPr>
        <w:jc w:val="both"/>
        <w:rPr>
          <w:rFonts w:ascii="Arial" w:hAnsi="Arial" w:cs="Arial"/>
        </w:rPr>
      </w:pPr>
      <w:r w:rsidRPr="00087046">
        <w:rPr>
          <w:rFonts w:ascii="Arial" w:hAnsi="Arial" w:cs="Arial"/>
        </w:rPr>
        <w:t>Level 2</w:t>
      </w:r>
      <w:r w:rsidRPr="00087046">
        <w:rPr>
          <w:rFonts w:ascii="Arial" w:hAnsi="Arial" w:cs="Arial"/>
        </w:rPr>
        <w:tab/>
        <w:t xml:space="preserve"> – inputs other than quoted prices included within Level 1 that are observable for the assets or liabilities, either directly (i.e. as prices) or indirectly (i.e. derived from prices); and</w:t>
      </w:r>
    </w:p>
    <w:p w14:paraId="2803D082" w14:textId="77777777" w:rsidR="0021298F" w:rsidRPr="003735A6" w:rsidRDefault="0021298F" w:rsidP="0021298F">
      <w:pPr>
        <w:pStyle w:val="ListParagraph"/>
        <w:numPr>
          <w:ilvl w:val="0"/>
          <w:numId w:val="25"/>
        </w:numPr>
        <w:jc w:val="both"/>
        <w:rPr>
          <w:rFonts w:ascii="Arial" w:hAnsi="Arial" w:cs="Arial"/>
        </w:rPr>
      </w:pPr>
      <w:r w:rsidRPr="00087046">
        <w:rPr>
          <w:rFonts w:ascii="Arial" w:hAnsi="Arial" w:cs="Arial"/>
        </w:rPr>
        <w:t>Level 3 – inputs for assets or liabilities that are not based on observable market data (unobservable inputs).</w:t>
      </w:r>
    </w:p>
    <w:p w14:paraId="3562D9C1" w14:textId="77777777" w:rsidR="0021298F" w:rsidRDefault="0021298F" w:rsidP="0021298F">
      <w:pPr>
        <w:autoSpaceDE w:val="0"/>
        <w:autoSpaceDN w:val="0"/>
        <w:adjustRightInd w:val="0"/>
        <w:jc w:val="both"/>
        <w:rPr>
          <w:rFonts w:ascii="Arial" w:hAnsi="Arial" w:cs="Arial"/>
          <w:b/>
        </w:rPr>
      </w:pPr>
    </w:p>
    <w:p w14:paraId="2C488261" w14:textId="77777777" w:rsidR="0021298F" w:rsidRDefault="0021298F" w:rsidP="0021298F">
      <w:pPr>
        <w:jc w:val="both"/>
        <w:rPr>
          <w:rFonts w:ascii="Arial" w:hAnsi="Arial" w:cs="Arial"/>
        </w:rPr>
      </w:pPr>
      <w:r w:rsidRPr="00052BF6">
        <w:rPr>
          <w:rFonts w:ascii="Arial" w:hAnsi="Arial" w:cs="Arial"/>
        </w:rPr>
        <w:t xml:space="preserve">The determination of what constitutes ‘observable’ requires significant judgement by the </w:t>
      </w:r>
      <w:r>
        <w:rPr>
          <w:rFonts w:ascii="Arial" w:hAnsi="Arial" w:cs="Arial"/>
        </w:rPr>
        <w:t>Group</w:t>
      </w:r>
      <w:r w:rsidRPr="00052BF6">
        <w:rPr>
          <w:rFonts w:ascii="Arial" w:hAnsi="Arial" w:cs="Arial"/>
        </w:rPr>
        <w:t xml:space="preserve">. The </w:t>
      </w:r>
      <w:r>
        <w:rPr>
          <w:rFonts w:ascii="Arial" w:hAnsi="Arial" w:cs="Arial"/>
        </w:rPr>
        <w:t>Group</w:t>
      </w:r>
      <w:r w:rsidRPr="00052BF6">
        <w:rPr>
          <w:rFonts w:ascii="Arial" w:hAnsi="Arial" w:cs="Arial"/>
        </w:rPr>
        <w:t xml:space="preserve"> considers observable data to be market data that is readily available, regularly distributed or updated, reliable and verifiable, not proprietary, and provided by independent sources that are actively involved in the relevant market.</w:t>
      </w:r>
    </w:p>
    <w:p w14:paraId="74BE7EBA" w14:textId="77777777" w:rsidR="0021298F" w:rsidRPr="0022103D" w:rsidRDefault="0021298F" w:rsidP="0021298F">
      <w:pPr>
        <w:jc w:val="both"/>
        <w:rPr>
          <w:rFonts w:ascii="Arial" w:eastAsia="Times New Roman" w:hAnsi="Arial" w:cs="Arial"/>
          <w:b/>
          <w:bCs/>
          <w:lang w:eastAsia="en-GB"/>
        </w:rPr>
      </w:pPr>
    </w:p>
    <w:p w14:paraId="4B10AE50" w14:textId="77777777" w:rsidR="0021298F" w:rsidRDefault="0021298F" w:rsidP="0021298F">
      <w:pPr>
        <w:tabs>
          <w:tab w:val="left" w:pos="426"/>
        </w:tabs>
        <w:jc w:val="both"/>
        <w:rPr>
          <w:rFonts w:ascii="Arial" w:hAnsi="Arial" w:cs="Arial"/>
        </w:rPr>
      </w:pPr>
      <w:r w:rsidRPr="00BE12A2">
        <w:rPr>
          <w:rFonts w:ascii="Arial" w:hAnsi="Arial" w:cs="Arial"/>
        </w:rPr>
        <w:t>The only financial instruments held at fair value are the investments held by the Group in the SPVs, which are fair valued at each reporting date. The Group’s investments have been classified within level 3 as the investments are not traded and contain unobservable inputs. The Company’s investments are all considered to be level 3 assets. As the fair value of the Company’s equity and loan investments in Holdco is ultimately determined by the underlying fair values of the SPV investments, the Company’s sensitivity analysis of reasonably possible alternative input assumptions is the same as for the Group.</w:t>
      </w:r>
    </w:p>
    <w:p w14:paraId="59FC1FEF" w14:textId="77777777" w:rsidR="0021298F" w:rsidRDefault="0021298F" w:rsidP="0021298F">
      <w:pPr>
        <w:tabs>
          <w:tab w:val="left" w:pos="315"/>
          <w:tab w:val="left" w:pos="3915"/>
        </w:tabs>
        <w:jc w:val="both"/>
        <w:rPr>
          <w:rFonts w:ascii="Arial" w:hAnsi="Arial" w:cs="Arial"/>
        </w:rPr>
      </w:pPr>
      <w:r>
        <w:rPr>
          <w:rFonts w:ascii="Arial" w:hAnsi="Arial" w:cs="Arial"/>
        </w:rPr>
        <w:t>D</w:t>
      </w:r>
      <w:r w:rsidRPr="003C2BDC">
        <w:rPr>
          <w:rFonts w:ascii="Arial" w:hAnsi="Arial" w:cs="Arial"/>
        </w:rPr>
        <w:t>ue to the nature of the investments, th</w:t>
      </w:r>
      <w:r>
        <w:rPr>
          <w:rFonts w:ascii="Arial" w:hAnsi="Arial" w:cs="Arial"/>
        </w:rPr>
        <w:t>ey are</w:t>
      </w:r>
      <w:r w:rsidRPr="003C2BDC">
        <w:rPr>
          <w:rFonts w:ascii="Arial" w:hAnsi="Arial" w:cs="Arial"/>
        </w:rPr>
        <w:t xml:space="preserve"> always expected to be classified as </w:t>
      </w:r>
      <w:r>
        <w:rPr>
          <w:rFonts w:ascii="Arial" w:hAnsi="Arial" w:cs="Arial"/>
        </w:rPr>
        <w:t>l</w:t>
      </w:r>
      <w:r w:rsidRPr="003C2BDC">
        <w:rPr>
          <w:rFonts w:ascii="Arial" w:hAnsi="Arial" w:cs="Arial"/>
        </w:rPr>
        <w:t>evel 3.</w:t>
      </w:r>
      <w:r>
        <w:rPr>
          <w:rFonts w:ascii="Arial" w:hAnsi="Arial" w:cs="Arial"/>
        </w:rPr>
        <w:t xml:space="preserve"> </w:t>
      </w:r>
      <w:r w:rsidRPr="003C2BDC">
        <w:rPr>
          <w:rFonts w:ascii="Arial" w:hAnsi="Arial" w:cs="Arial"/>
        </w:rPr>
        <w:t xml:space="preserve">There have been no transfers between levels during the </w:t>
      </w:r>
      <w:r>
        <w:rPr>
          <w:rFonts w:ascii="Arial" w:hAnsi="Arial" w:cs="Arial"/>
        </w:rPr>
        <w:t>year ended</w:t>
      </w:r>
      <w:r w:rsidRPr="003C2BDC">
        <w:rPr>
          <w:rFonts w:ascii="Arial" w:hAnsi="Arial" w:cs="Arial"/>
        </w:rPr>
        <w:t xml:space="preserve"> </w:t>
      </w:r>
      <w:r>
        <w:rPr>
          <w:rFonts w:ascii="Arial" w:hAnsi="Arial" w:cs="Arial"/>
        </w:rPr>
        <w:t>31 December 2020</w:t>
      </w:r>
      <w:r w:rsidRPr="003C2BDC">
        <w:rPr>
          <w:rFonts w:ascii="Arial" w:hAnsi="Arial" w:cs="Arial"/>
        </w:rPr>
        <w:t xml:space="preserve">. </w:t>
      </w:r>
    </w:p>
    <w:p w14:paraId="3861EABE" w14:textId="77777777" w:rsidR="0021298F" w:rsidRDefault="0021298F" w:rsidP="0021298F">
      <w:pPr>
        <w:tabs>
          <w:tab w:val="left" w:pos="315"/>
          <w:tab w:val="left" w:pos="3915"/>
        </w:tabs>
        <w:jc w:val="both"/>
        <w:rPr>
          <w:rFonts w:ascii="Arial" w:hAnsi="Arial" w:cs="Arial"/>
        </w:rPr>
      </w:pPr>
    </w:p>
    <w:p w14:paraId="1F77497A" w14:textId="77777777" w:rsidR="0021298F" w:rsidRPr="00856080" w:rsidRDefault="0021298F" w:rsidP="0021298F">
      <w:pPr>
        <w:jc w:val="both"/>
        <w:rPr>
          <w:rFonts w:ascii="Arial" w:hAnsi="Arial" w:cs="Arial"/>
          <w:sz w:val="18"/>
        </w:rPr>
      </w:pPr>
      <w:r w:rsidRPr="003C2BDC">
        <w:rPr>
          <w:rFonts w:ascii="Arial" w:hAnsi="Arial" w:cs="Arial"/>
        </w:rPr>
        <w:t xml:space="preserve">Any transfers between the levels </w:t>
      </w:r>
      <w:r>
        <w:rPr>
          <w:rFonts w:ascii="Arial" w:hAnsi="Arial" w:cs="Arial"/>
        </w:rPr>
        <w:t>would</w:t>
      </w:r>
      <w:r w:rsidRPr="003C2BDC">
        <w:rPr>
          <w:rFonts w:ascii="Arial" w:hAnsi="Arial" w:cs="Arial"/>
        </w:rPr>
        <w:t xml:space="preserve"> be accounted for on the la</w:t>
      </w:r>
      <w:r>
        <w:rPr>
          <w:rFonts w:ascii="Arial" w:hAnsi="Arial" w:cs="Arial"/>
        </w:rPr>
        <w:t xml:space="preserve">st day of each financial period. </w:t>
      </w:r>
    </w:p>
    <w:p w14:paraId="3E4A879D" w14:textId="77777777" w:rsidR="0021298F" w:rsidRDefault="0021298F" w:rsidP="0021298F">
      <w:pPr>
        <w:jc w:val="both"/>
        <w:rPr>
          <w:rFonts w:ascii="Arial" w:hAnsi="Arial" w:cs="Arial"/>
        </w:rPr>
      </w:pPr>
    </w:p>
    <w:p w14:paraId="4C417803" w14:textId="77777777" w:rsidR="0021298F" w:rsidRDefault="0021298F" w:rsidP="0021298F">
      <w:pPr>
        <w:jc w:val="both"/>
        <w:rPr>
          <w:rFonts w:ascii="Arial" w:hAnsi="Arial" w:cs="Arial"/>
        </w:rPr>
      </w:pPr>
      <w:r w:rsidRPr="003D7C2F">
        <w:rPr>
          <w:rFonts w:ascii="Arial" w:hAnsi="Arial" w:cs="Arial"/>
        </w:rPr>
        <w:t xml:space="preserve">The Investment Manager </w:t>
      </w:r>
      <w:r>
        <w:rPr>
          <w:rFonts w:ascii="Arial" w:hAnsi="Arial" w:cs="Arial"/>
        </w:rPr>
        <w:t>carries</w:t>
      </w:r>
      <w:r w:rsidRPr="003D7C2F">
        <w:rPr>
          <w:rFonts w:ascii="Arial" w:hAnsi="Arial" w:cs="Arial"/>
        </w:rPr>
        <w:t xml:space="preserve"> out the asset valuations, which form part of the NAV calculation. These asset valuations </w:t>
      </w:r>
      <w:r>
        <w:rPr>
          <w:rFonts w:ascii="Arial" w:hAnsi="Arial" w:cs="Arial"/>
        </w:rPr>
        <w:t>are</w:t>
      </w:r>
      <w:r w:rsidRPr="003D7C2F">
        <w:rPr>
          <w:rFonts w:ascii="Arial" w:hAnsi="Arial" w:cs="Arial"/>
        </w:rPr>
        <w:t xml:space="preserve"> based on discounted cas</w:t>
      </w:r>
      <w:r>
        <w:rPr>
          <w:rFonts w:ascii="Arial" w:hAnsi="Arial" w:cs="Arial"/>
        </w:rPr>
        <w:t>h flow methodology in line with IPEV Valuation Guidelines</w:t>
      </w:r>
      <w:r w:rsidRPr="003D7C2F">
        <w:rPr>
          <w:rFonts w:ascii="Arial" w:hAnsi="Arial" w:cs="Arial"/>
        </w:rPr>
        <w:t xml:space="preserve"> and adjusted where appropriate, given the special nature of wind farm investments.</w:t>
      </w:r>
    </w:p>
    <w:p w14:paraId="06A5ED1A" w14:textId="77777777" w:rsidR="0021298F" w:rsidRDefault="0021298F" w:rsidP="0021298F">
      <w:pPr>
        <w:jc w:val="both"/>
        <w:rPr>
          <w:rFonts w:ascii="Arial" w:hAnsi="Arial" w:cs="Arial"/>
        </w:rPr>
      </w:pPr>
    </w:p>
    <w:p w14:paraId="2685A20A" w14:textId="77777777" w:rsidR="0021298F" w:rsidRDefault="0021298F" w:rsidP="0021298F">
      <w:pPr>
        <w:jc w:val="both"/>
        <w:rPr>
          <w:rFonts w:ascii="Arial" w:hAnsi="Arial" w:cs="Arial"/>
        </w:rPr>
      </w:pPr>
      <w:r>
        <w:rPr>
          <w:rFonts w:ascii="Arial" w:hAnsi="Arial" w:cs="Arial"/>
        </w:rPr>
        <w:t>V</w:t>
      </w:r>
      <w:r w:rsidRPr="003D7C2F">
        <w:rPr>
          <w:rFonts w:ascii="Arial" w:hAnsi="Arial" w:cs="Arial"/>
        </w:rPr>
        <w:t xml:space="preserve">aluations are </w:t>
      </w:r>
      <w:r>
        <w:rPr>
          <w:rFonts w:ascii="Arial" w:hAnsi="Arial" w:cs="Arial"/>
        </w:rPr>
        <w:t>derived using</w:t>
      </w:r>
      <w:r w:rsidRPr="003D7C2F">
        <w:rPr>
          <w:rFonts w:ascii="Arial" w:hAnsi="Arial" w:cs="Arial"/>
        </w:rPr>
        <w:t xml:space="preserve"> a </w:t>
      </w:r>
      <w:r>
        <w:rPr>
          <w:rFonts w:ascii="Arial" w:hAnsi="Arial" w:cs="Arial"/>
        </w:rPr>
        <w:t>discounted cashflow methodology in line with IPEV Valuation Guidelines and take</w:t>
      </w:r>
      <w:r w:rsidRPr="003D7C2F">
        <w:rPr>
          <w:rFonts w:ascii="Arial" w:hAnsi="Arial" w:cs="Arial"/>
        </w:rPr>
        <w:t xml:space="preserve"> into account, inter alia, the following:</w:t>
      </w:r>
    </w:p>
    <w:p w14:paraId="6FA617D2" w14:textId="77777777" w:rsidR="0021298F" w:rsidRPr="003D7C2F" w:rsidRDefault="0021298F" w:rsidP="0021298F">
      <w:pPr>
        <w:pStyle w:val="ListParagraph"/>
        <w:numPr>
          <w:ilvl w:val="0"/>
          <w:numId w:val="26"/>
        </w:numPr>
        <w:jc w:val="both"/>
        <w:rPr>
          <w:rFonts w:ascii="Arial" w:hAnsi="Arial" w:cs="Arial"/>
        </w:rPr>
      </w:pPr>
      <w:r>
        <w:rPr>
          <w:rFonts w:ascii="Arial" w:hAnsi="Arial" w:cs="Arial"/>
        </w:rPr>
        <w:t>d</w:t>
      </w:r>
      <w:r w:rsidRPr="003D7C2F">
        <w:rPr>
          <w:rFonts w:ascii="Arial" w:hAnsi="Arial" w:cs="Arial"/>
        </w:rPr>
        <w:t>ue dil</w:t>
      </w:r>
      <w:r>
        <w:rPr>
          <w:rFonts w:ascii="Arial" w:hAnsi="Arial" w:cs="Arial"/>
        </w:rPr>
        <w:t xml:space="preserve">igence findings where relevant; </w:t>
      </w:r>
    </w:p>
    <w:p w14:paraId="51ECCA59" w14:textId="77777777" w:rsidR="0021298F" w:rsidRPr="003D7C2F" w:rsidRDefault="0021298F" w:rsidP="0021298F">
      <w:pPr>
        <w:pStyle w:val="ListParagraph"/>
        <w:numPr>
          <w:ilvl w:val="0"/>
          <w:numId w:val="26"/>
        </w:numPr>
        <w:jc w:val="both"/>
        <w:rPr>
          <w:rFonts w:ascii="Arial" w:hAnsi="Arial" w:cs="Arial"/>
        </w:rPr>
      </w:pPr>
      <w:r>
        <w:rPr>
          <w:rFonts w:ascii="Arial" w:hAnsi="Arial" w:cs="Arial"/>
        </w:rPr>
        <w:t>t</w:t>
      </w:r>
      <w:r w:rsidRPr="003D7C2F">
        <w:rPr>
          <w:rFonts w:ascii="Arial" w:hAnsi="Arial" w:cs="Arial"/>
        </w:rPr>
        <w:t>he terms of an</w:t>
      </w:r>
      <w:r>
        <w:rPr>
          <w:rFonts w:ascii="Arial" w:hAnsi="Arial" w:cs="Arial"/>
        </w:rPr>
        <w:t>y material contracts including PPAs;</w:t>
      </w:r>
    </w:p>
    <w:p w14:paraId="041BAA4D" w14:textId="77777777" w:rsidR="0021298F" w:rsidRPr="003D7C2F" w:rsidRDefault="0021298F" w:rsidP="0021298F">
      <w:pPr>
        <w:pStyle w:val="ListParagraph"/>
        <w:numPr>
          <w:ilvl w:val="0"/>
          <w:numId w:val="26"/>
        </w:numPr>
        <w:jc w:val="both"/>
        <w:rPr>
          <w:rFonts w:ascii="Arial" w:hAnsi="Arial" w:cs="Arial"/>
        </w:rPr>
      </w:pPr>
      <w:r>
        <w:rPr>
          <w:rFonts w:ascii="Arial" w:hAnsi="Arial" w:cs="Arial"/>
        </w:rPr>
        <w:t>asset performance</w:t>
      </w:r>
      <w:r w:rsidRPr="003D7C2F">
        <w:rPr>
          <w:rFonts w:ascii="Arial" w:hAnsi="Arial" w:cs="Arial"/>
        </w:rPr>
        <w:t>;</w:t>
      </w:r>
    </w:p>
    <w:p w14:paraId="34610A04" w14:textId="77777777" w:rsidR="0021298F" w:rsidRPr="00326A2F" w:rsidRDefault="0021298F" w:rsidP="0021298F">
      <w:pPr>
        <w:pStyle w:val="ListParagraph"/>
        <w:numPr>
          <w:ilvl w:val="0"/>
          <w:numId w:val="26"/>
        </w:numPr>
        <w:jc w:val="both"/>
        <w:rPr>
          <w:rFonts w:ascii="Arial" w:hAnsi="Arial" w:cs="Arial"/>
        </w:rPr>
      </w:pPr>
      <w:r w:rsidRPr="00326A2F">
        <w:rPr>
          <w:rFonts w:ascii="Arial" w:hAnsi="Arial" w:cs="Arial"/>
        </w:rPr>
        <w:t>power price forecast from a leading market consultant; and</w:t>
      </w:r>
    </w:p>
    <w:p w14:paraId="09C9FE38" w14:textId="77777777" w:rsidR="0021298F" w:rsidRDefault="0021298F" w:rsidP="0021298F">
      <w:pPr>
        <w:pStyle w:val="ListParagraph"/>
        <w:numPr>
          <w:ilvl w:val="0"/>
          <w:numId w:val="26"/>
        </w:numPr>
        <w:jc w:val="both"/>
        <w:rPr>
          <w:rFonts w:ascii="Arial" w:hAnsi="Arial" w:cs="Arial"/>
        </w:rPr>
      </w:pPr>
      <w:r>
        <w:rPr>
          <w:rFonts w:ascii="Arial" w:hAnsi="Arial" w:cs="Arial"/>
        </w:rPr>
        <w:t>the economic</w:t>
      </w:r>
      <w:r w:rsidRPr="00EF00D7">
        <w:rPr>
          <w:rFonts w:ascii="Arial" w:hAnsi="Arial" w:cs="Arial"/>
        </w:rPr>
        <w:t>, taxation or regulatory environment.</w:t>
      </w:r>
    </w:p>
    <w:p w14:paraId="252A57C1" w14:textId="77777777" w:rsidR="0021298F" w:rsidRDefault="0021298F" w:rsidP="0021298F">
      <w:pPr>
        <w:jc w:val="both"/>
        <w:rPr>
          <w:rFonts w:ascii="Arial" w:hAnsi="Arial" w:cs="Arial"/>
        </w:rPr>
      </w:pPr>
    </w:p>
    <w:p w14:paraId="64753D6F" w14:textId="77777777" w:rsidR="0021298F" w:rsidRDefault="0021298F" w:rsidP="0021298F">
      <w:pPr>
        <w:jc w:val="both"/>
        <w:rPr>
          <w:rFonts w:ascii="Arial" w:eastAsia="Times New Roman" w:hAnsi="Arial" w:cs="Arial"/>
        </w:rPr>
      </w:pPr>
      <w:r w:rsidRPr="00AB0105">
        <w:rPr>
          <w:rFonts w:ascii="Arial" w:eastAsia="Times New Roman" w:hAnsi="Arial" w:cs="Arial"/>
        </w:rPr>
        <w:t>The DCF valuation of the Group’s investments represent</w:t>
      </w:r>
      <w:r>
        <w:rPr>
          <w:rFonts w:ascii="Arial" w:eastAsia="Times New Roman" w:hAnsi="Arial" w:cs="Arial"/>
        </w:rPr>
        <w:t>s</w:t>
      </w:r>
      <w:r w:rsidRPr="00AB0105">
        <w:rPr>
          <w:rFonts w:ascii="Arial" w:eastAsia="Times New Roman" w:hAnsi="Arial" w:cs="Arial"/>
        </w:rPr>
        <w:t xml:space="preserve"> the largest component of </w:t>
      </w:r>
      <w:r>
        <w:rPr>
          <w:rFonts w:ascii="Arial" w:eastAsia="Times New Roman" w:hAnsi="Arial" w:cs="Arial"/>
        </w:rPr>
        <w:t>G</w:t>
      </w:r>
      <w:r w:rsidRPr="00AB0105">
        <w:rPr>
          <w:rFonts w:ascii="Arial" w:eastAsia="Times New Roman" w:hAnsi="Arial" w:cs="Arial"/>
        </w:rPr>
        <w:t xml:space="preserve">AV and the key sensitivities are considered to be the discount rate used in the DCF </w:t>
      </w:r>
      <w:r>
        <w:rPr>
          <w:rFonts w:ascii="Arial" w:eastAsia="Times New Roman" w:hAnsi="Arial" w:cs="Arial"/>
        </w:rPr>
        <w:t>valuation and long-</w:t>
      </w:r>
      <w:r w:rsidRPr="00AB0105">
        <w:rPr>
          <w:rFonts w:ascii="Arial" w:eastAsia="Times New Roman" w:hAnsi="Arial" w:cs="Arial"/>
        </w:rPr>
        <w:t xml:space="preserve">term assumptions in relation to </w:t>
      </w:r>
      <w:r>
        <w:rPr>
          <w:rFonts w:ascii="Arial" w:eastAsia="Times New Roman" w:hAnsi="Arial" w:cs="Arial"/>
        </w:rPr>
        <w:t xml:space="preserve">inflation, </w:t>
      </w:r>
      <w:r w:rsidRPr="00AB0105">
        <w:rPr>
          <w:rFonts w:ascii="Arial" w:eastAsia="Times New Roman" w:hAnsi="Arial" w:cs="Arial"/>
        </w:rPr>
        <w:t>energy yi</w:t>
      </w:r>
      <w:r>
        <w:rPr>
          <w:rFonts w:ascii="Arial" w:eastAsia="Times New Roman" w:hAnsi="Arial" w:cs="Arial"/>
        </w:rPr>
        <w:t>eld, power prices, and asset life.</w:t>
      </w:r>
    </w:p>
    <w:p w14:paraId="00C2BF9E" w14:textId="77777777" w:rsidR="0021298F" w:rsidRDefault="0021298F" w:rsidP="0021298F">
      <w:pPr>
        <w:jc w:val="both"/>
        <w:rPr>
          <w:rFonts w:ascii="Arial" w:eastAsia="Times New Roman" w:hAnsi="Arial" w:cs="Arial"/>
        </w:rPr>
      </w:pPr>
    </w:p>
    <w:p w14:paraId="4A3DC047" w14:textId="77777777" w:rsidR="0021298F" w:rsidRDefault="0021298F" w:rsidP="0021298F">
      <w:pPr>
        <w:jc w:val="both"/>
        <w:rPr>
          <w:rFonts w:ascii="Arial" w:hAnsi="Arial" w:cs="Arial"/>
        </w:rPr>
      </w:pPr>
      <w:r>
        <w:rPr>
          <w:rFonts w:ascii="Arial" w:eastAsia="Times New Roman" w:hAnsi="Arial" w:cs="Arial"/>
        </w:rPr>
        <w:t xml:space="preserve">The base case discount rate is a blend of a lower discount rate for fixed cash flows and a higher discount rate for merchant cash flows. The blended discount rate reduced by 0.2 per cent from 31 December 2019 reflecting market valuations observed through 2020. </w:t>
      </w:r>
      <w:r>
        <w:rPr>
          <w:rFonts w:ascii="Arial" w:hAnsi="Arial" w:cs="Arial"/>
        </w:rPr>
        <w:t xml:space="preserve">The blended discount rate as at 31 December 2020 remains within 6 and 7 per </w:t>
      </w:r>
      <w:r>
        <w:rPr>
          <w:rFonts w:ascii="Arial" w:hAnsi="Arial" w:cs="Arial"/>
        </w:rPr>
        <w:lastRenderedPageBreak/>
        <w:t xml:space="preserve">cent, which is considered to be an appropriate base case for sensitivity analysis. </w:t>
      </w:r>
      <w:r>
        <w:rPr>
          <w:rFonts w:ascii="Arial" w:eastAsia="Times New Roman" w:hAnsi="Arial" w:cs="Arial"/>
        </w:rPr>
        <w:t xml:space="preserve">A variance of +/- 0.25 per cent is considered to be a reasonable range of alternative assumptions for discount rate. </w:t>
      </w:r>
    </w:p>
    <w:p w14:paraId="3E064042" w14:textId="77777777" w:rsidR="0021298F" w:rsidRDefault="0021298F" w:rsidP="0021298F">
      <w:pPr>
        <w:jc w:val="both"/>
        <w:rPr>
          <w:rFonts w:ascii="Arial" w:eastAsia="Times New Roman" w:hAnsi="Arial" w:cs="Arial"/>
        </w:rPr>
      </w:pPr>
    </w:p>
    <w:p w14:paraId="10DBE877" w14:textId="77777777" w:rsidR="0021298F" w:rsidRDefault="0021298F" w:rsidP="0021298F">
      <w:pPr>
        <w:jc w:val="both"/>
        <w:rPr>
          <w:rFonts w:ascii="Arial" w:eastAsia="Times New Roman" w:hAnsi="Arial" w:cs="Arial"/>
        </w:rPr>
      </w:pPr>
      <w:r>
        <w:rPr>
          <w:rFonts w:ascii="Arial" w:eastAsia="Times New Roman" w:hAnsi="Arial" w:cs="Arial"/>
        </w:rPr>
        <w:t>The base case long term CPI assumption is 2.0 per cent for both Irish and French assets.</w:t>
      </w:r>
    </w:p>
    <w:p w14:paraId="5F71D174" w14:textId="77777777" w:rsidR="0021298F" w:rsidRDefault="0021298F" w:rsidP="0021298F">
      <w:pPr>
        <w:jc w:val="both"/>
        <w:rPr>
          <w:rFonts w:ascii="Arial" w:eastAsia="Times New Roman" w:hAnsi="Arial" w:cs="Arial"/>
        </w:rPr>
      </w:pPr>
    </w:p>
    <w:p w14:paraId="2C7D4022" w14:textId="77777777" w:rsidR="0021298F" w:rsidRDefault="0021298F" w:rsidP="0021298F">
      <w:pPr>
        <w:jc w:val="both"/>
        <w:rPr>
          <w:rFonts w:ascii="Arial" w:eastAsia="Times New Roman" w:hAnsi="Arial" w:cs="Arial"/>
        </w:rPr>
      </w:pPr>
      <w:r>
        <w:rPr>
          <w:rFonts w:ascii="Arial" w:eastAsia="Times New Roman" w:hAnsi="Arial" w:cs="Arial"/>
        </w:rPr>
        <w:t xml:space="preserve">Base case energy yield assumptions are P50 (50 per cent probability of exceedance) forecasts produced by expert consultants based on long term wind data and operational history. The P90 (90 per cent probability of exceedance over a 10 year period) and P10 (10 per cent probability of exceedance over a 10 year period) sensitivities reflect the future variability of wind and the uncertainty associated with the long term data source being representative of the long term mean. </w:t>
      </w:r>
    </w:p>
    <w:p w14:paraId="5C122EE4" w14:textId="77777777" w:rsidR="0021298F" w:rsidRDefault="0021298F" w:rsidP="0021298F">
      <w:pPr>
        <w:jc w:val="both"/>
        <w:rPr>
          <w:rFonts w:ascii="Arial" w:eastAsia="Times New Roman" w:hAnsi="Arial" w:cs="Arial"/>
        </w:rPr>
      </w:pPr>
    </w:p>
    <w:p w14:paraId="409DD92A" w14:textId="77777777" w:rsidR="0021298F" w:rsidRDefault="0021298F" w:rsidP="0021298F">
      <w:pPr>
        <w:jc w:val="both"/>
        <w:rPr>
          <w:rFonts w:ascii="Arial" w:eastAsia="Times New Roman" w:hAnsi="Arial" w:cs="Arial"/>
        </w:rPr>
      </w:pPr>
      <w:r>
        <w:rPr>
          <w:rFonts w:ascii="Arial" w:eastAsia="Times New Roman" w:hAnsi="Arial" w:cs="Arial"/>
        </w:rPr>
        <w:t>Long term power price forecasts are provided by leading market consultants, updated quarterly and adjusted by the Investment Manager where more conservative assumptions are considered appropriate. The independent forecasts are never adjusted upwards. Base case real power prices increase from approximately €57/MWh (2030) to approximately €62/MWh (2040) in Ireland and approximately €50/MWh (2030) to approximately €55/MWh (2040) in France. The sensitivity below assumes a 10 per cent increase or decrease in power prices relative to the base case for every year of the asset life.</w:t>
      </w:r>
    </w:p>
    <w:p w14:paraId="02A0EF29" w14:textId="77777777" w:rsidR="0021298F" w:rsidRDefault="0021298F" w:rsidP="0021298F">
      <w:pPr>
        <w:jc w:val="both"/>
        <w:rPr>
          <w:rFonts w:ascii="Arial" w:eastAsia="Times New Roman" w:hAnsi="Arial" w:cs="Arial"/>
        </w:rPr>
      </w:pPr>
    </w:p>
    <w:p w14:paraId="7303B5A2" w14:textId="77777777" w:rsidR="0021298F" w:rsidRDefault="0021298F" w:rsidP="0021298F">
      <w:pPr>
        <w:jc w:val="both"/>
        <w:rPr>
          <w:rFonts w:ascii="Arial" w:eastAsia="Times New Roman" w:hAnsi="Arial" w:cs="Arial"/>
        </w:rPr>
      </w:pPr>
      <w:r>
        <w:rPr>
          <w:rFonts w:ascii="Arial" w:eastAsia="Times New Roman" w:hAnsi="Arial" w:cs="Arial"/>
        </w:rPr>
        <w:t xml:space="preserve">The base case asset life is 30 years. The sensitivity below assumes that asset life may be 5 years shorter or longer than the base case, which is impacted by technical durability of the wind farm components and commercial aspects of each investment, including the renewals of site leases, planning permission and grid connection agreements. </w:t>
      </w:r>
    </w:p>
    <w:p w14:paraId="705BFB77" w14:textId="77777777" w:rsidR="0021298F" w:rsidRDefault="0021298F" w:rsidP="0021298F">
      <w:pPr>
        <w:jc w:val="both"/>
        <w:rPr>
          <w:rFonts w:ascii="Arial" w:eastAsia="Times New Roman" w:hAnsi="Arial" w:cs="Arial"/>
        </w:rPr>
      </w:pPr>
    </w:p>
    <w:p w14:paraId="13CAFF7E" w14:textId="77777777" w:rsidR="0021298F" w:rsidRDefault="0021298F" w:rsidP="0021298F">
      <w:pPr>
        <w:jc w:val="both"/>
        <w:rPr>
          <w:rFonts w:ascii="Arial" w:eastAsia="Times New Roman" w:hAnsi="Arial" w:cs="Arial"/>
        </w:rPr>
      </w:pPr>
      <w:r>
        <w:rPr>
          <w:rFonts w:ascii="Arial" w:eastAsia="Times New Roman" w:hAnsi="Arial" w:cs="Arial"/>
        </w:rPr>
        <w:t xml:space="preserve">The base case valuation assumption for Irish wind farm portfolio is that all grid connection conditions have been appropriately satisfied for the wind farms to considered exempted developments, which do not require specific planning permission. The independent planning authorities in Ireland may deem these as developments rather than exempted developments, which would require the appropriate planning permission. This could potentially impair the fair value of the affected investments due to any potential costs to regularise planning, which are expected to be immaterial. </w:t>
      </w:r>
    </w:p>
    <w:p w14:paraId="6DB8309B" w14:textId="77777777" w:rsidR="0021298F" w:rsidRDefault="0021298F" w:rsidP="0021298F">
      <w:pPr>
        <w:pStyle w:val="Bullets"/>
        <w:numPr>
          <w:ilvl w:val="0"/>
          <w:numId w:val="0"/>
        </w:numPr>
        <w:jc w:val="both"/>
        <w:rPr>
          <w:rFonts w:eastAsia="Times New Roman" w:cs="Arial"/>
        </w:rPr>
      </w:pPr>
    </w:p>
    <w:p w14:paraId="4E2D8E1D" w14:textId="77777777" w:rsidR="0021298F" w:rsidRPr="005D482A" w:rsidRDefault="0021298F" w:rsidP="0021298F">
      <w:pPr>
        <w:jc w:val="both"/>
        <w:rPr>
          <w:rFonts w:ascii="Arial" w:hAnsi="Arial" w:cs="Arial"/>
          <w:b/>
        </w:rPr>
      </w:pPr>
      <w:r w:rsidRPr="005D482A">
        <w:rPr>
          <w:rFonts w:ascii="Arial" w:hAnsi="Arial" w:cs="Arial"/>
          <w:b/>
        </w:rPr>
        <w:t xml:space="preserve">Sensitivity </w:t>
      </w:r>
      <w:r>
        <w:rPr>
          <w:rFonts w:ascii="Arial" w:hAnsi="Arial" w:cs="Arial"/>
          <w:b/>
        </w:rPr>
        <w:t>a</w:t>
      </w:r>
      <w:r w:rsidRPr="005D482A">
        <w:rPr>
          <w:rFonts w:ascii="Arial" w:hAnsi="Arial" w:cs="Arial"/>
          <w:b/>
        </w:rPr>
        <w:t>nalysis</w:t>
      </w:r>
    </w:p>
    <w:p w14:paraId="44B1C647" w14:textId="77777777" w:rsidR="0021298F" w:rsidRDefault="0021298F" w:rsidP="0021298F">
      <w:pPr>
        <w:jc w:val="both"/>
        <w:rPr>
          <w:rFonts w:ascii="Arial" w:hAnsi="Arial" w:cs="Arial"/>
        </w:rPr>
      </w:pPr>
      <w:r>
        <w:rPr>
          <w:rFonts w:ascii="Arial" w:hAnsi="Arial" w:cs="Arial"/>
        </w:rPr>
        <w:t xml:space="preserve">The fair value of the Group’s </w:t>
      </w:r>
      <w:r w:rsidRPr="0006040A">
        <w:rPr>
          <w:rFonts w:ascii="Arial" w:hAnsi="Arial" w:cs="Arial"/>
        </w:rPr>
        <w:t xml:space="preserve">investments is </w:t>
      </w:r>
      <w:r w:rsidRPr="001E34C8">
        <w:rPr>
          <w:rFonts w:ascii="Arial" w:hAnsi="Arial" w:cs="Arial"/>
        </w:rPr>
        <w:t>€</w:t>
      </w:r>
      <w:r>
        <w:rPr>
          <w:rFonts w:ascii="Arial" w:hAnsi="Arial" w:cs="Arial"/>
        </w:rPr>
        <w:t>944,352</w:t>
      </w:r>
      <w:r w:rsidRPr="0006040A">
        <w:rPr>
          <w:rFonts w:ascii="Arial" w:hAnsi="Arial" w:cs="Arial"/>
        </w:rPr>
        <w:t>,</w:t>
      </w:r>
      <w:r>
        <w:rPr>
          <w:rFonts w:ascii="Arial" w:hAnsi="Arial" w:cs="Arial"/>
        </w:rPr>
        <w:t>4</w:t>
      </w:r>
      <w:r w:rsidRPr="0006040A">
        <w:rPr>
          <w:rFonts w:ascii="Arial" w:hAnsi="Arial" w:cs="Arial"/>
        </w:rPr>
        <w:t>44 (2019: €850,106,884). The following analysis is provided to illustrate the</w:t>
      </w:r>
      <w:r>
        <w:rPr>
          <w:rFonts w:ascii="Arial" w:hAnsi="Arial" w:cs="Arial"/>
        </w:rPr>
        <w:t xml:space="preserve"> sensitivity of the fair value of investments to a change in an individual input, while all other variables remain constant. The Board considers these changes in inputs to be within reasonable expected ranges. This is not intended to imply the likelihood of change or that possible changes in value would be restricted to this range.</w:t>
      </w:r>
    </w:p>
    <w:tbl>
      <w:tblPr>
        <w:tblW w:w="5025" w:type="pct"/>
        <w:tblLayout w:type="fixed"/>
        <w:tblLook w:val="04A0" w:firstRow="1" w:lastRow="0" w:firstColumn="1" w:lastColumn="0" w:noHBand="0" w:noVBand="1"/>
      </w:tblPr>
      <w:tblGrid>
        <w:gridCol w:w="1700"/>
        <w:gridCol w:w="2128"/>
        <w:gridCol w:w="2126"/>
        <w:gridCol w:w="1843"/>
        <w:gridCol w:w="1274"/>
      </w:tblGrid>
      <w:tr w:rsidR="0021298F" w:rsidRPr="00E07C61" w14:paraId="7AE4E57F" w14:textId="77777777" w:rsidTr="00760009">
        <w:trPr>
          <w:trHeight w:val="907"/>
        </w:trPr>
        <w:tc>
          <w:tcPr>
            <w:tcW w:w="937" w:type="pct"/>
            <w:tcBorders>
              <w:top w:val="nil"/>
              <w:left w:val="nil"/>
              <w:bottom w:val="single" w:sz="4" w:space="0" w:color="auto"/>
              <w:right w:val="nil"/>
            </w:tcBorders>
            <w:shd w:val="clear" w:color="auto" w:fill="auto"/>
            <w:vAlign w:val="bottom"/>
            <w:hideMark/>
          </w:tcPr>
          <w:p w14:paraId="7310602A" w14:textId="77777777" w:rsidR="0021298F" w:rsidRPr="00E07C61" w:rsidRDefault="0021298F" w:rsidP="00760009">
            <w:pPr>
              <w:jc w:val="both"/>
              <w:rPr>
                <w:rFonts w:ascii="Arial" w:eastAsia="Times New Roman" w:hAnsi="Arial" w:cs="Arial"/>
                <w:b/>
                <w:bCs/>
                <w:color w:val="000000"/>
                <w:lang w:eastAsia="en-GB"/>
              </w:rPr>
            </w:pPr>
            <w:r w:rsidRPr="00E07C61">
              <w:rPr>
                <w:rFonts w:ascii="Arial" w:eastAsia="Times New Roman" w:hAnsi="Arial" w:cs="Arial"/>
                <w:b/>
                <w:bCs/>
                <w:color w:val="000000"/>
                <w:lang w:eastAsia="en-GB"/>
              </w:rPr>
              <w:t>Input</w:t>
            </w:r>
          </w:p>
        </w:tc>
        <w:tc>
          <w:tcPr>
            <w:tcW w:w="1173" w:type="pct"/>
            <w:tcBorders>
              <w:top w:val="nil"/>
              <w:left w:val="nil"/>
              <w:bottom w:val="single" w:sz="4" w:space="0" w:color="auto"/>
              <w:right w:val="nil"/>
            </w:tcBorders>
            <w:shd w:val="clear" w:color="auto" w:fill="auto"/>
            <w:vAlign w:val="bottom"/>
            <w:hideMark/>
          </w:tcPr>
          <w:p w14:paraId="56462B4F" w14:textId="77777777" w:rsidR="0021298F" w:rsidRPr="00E07C61" w:rsidRDefault="0021298F" w:rsidP="00760009">
            <w:pPr>
              <w:jc w:val="right"/>
              <w:rPr>
                <w:rFonts w:ascii="Arial" w:eastAsia="Times New Roman" w:hAnsi="Arial" w:cs="Arial"/>
                <w:b/>
                <w:bCs/>
                <w:color w:val="000000"/>
                <w:lang w:eastAsia="en-GB"/>
              </w:rPr>
            </w:pPr>
            <w:r w:rsidRPr="00E07C61">
              <w:rPr>
                <w:rFonts w:ascii="Arial" w:eastAsia="Times New Roman" w:hAnsi="Arial" w:cs="Arial"/>
                <w:b/>
                <w:bCs/>
                <w:color w:val="000000"/>
                <w:lang w:eastAsia="en-GB"/>
              </w:rPr>
              <w:t>Base case</w:t>
            </w:r>
          </w:p>
        </w:tc>
        <w:tc>
          <w:tcPr>
            <w:tcW w:w="1172" w:type="pct"/>
            <w:tcBorders>
              <w:top w:val="nil"/>
              <w:left w:val="nil"/>
              <w:bottom w:val="single" w:sz="4" w:space="0" w:color="auto"/>
              <w:right w:val="nil"/>
            </w:tcBorders>
            <w:shd w:val="clear" w:color="auto" w:fill="auto"/>
            <w:vAlign w:val="bottom"/>
            <w:hideMark/>
          </w:tcPr>
          <w:p w14:paraId="5CF85FDF" w14:textId="77777777" w:rsidR="0021298F" w:rsidRPr="00E07C61" w:rsidRDefault="0021298F" w:rsidP="00760009">
            <w:pPr>
              <w:jc w:val="right"/>
              <w:rPr>
                <w:rFonts w:ascii="Arial" w:eastAsia="Times New Roman" w:hAnsi="Arial" w:cs="Arial"/>
                <w:b/>
                <w:bCs/>
                <w:color w:val="000000"/>
                <w:lang w:eastAsia="en-GB"/>
              </w:rPr>
            </w:pPr>
            <w:r w:rsidRPr="00E07C61">
              <w:rPr>
                <w:rFonts w:ascii="Arial" w:eastAsia="Times New Roman" w:hAnsi="Arial" w:cs="Arial"/>
                <w:b/>
                <w:bCs/>
                <w:color w:val="000000"/>
                <w:lang w:eastAsia="en-GB"/>
              </w:rPr>
              <w:t>Change in input</w:t>
            </w:r>
          </w:p>
        </w:tc>
        <w:tc>
          <w:tcPr>
            <w:tcW w:w="1016" w:type="pct"/>
            <w:tcBorders>
              <w:top w:val="nil"/>
              <w:left w:val="nil"/>
              <w:bottom w:val="single" w:sz="4" w:space="0" w:color="auto"/>
              <w:right w:val="nil"/>
            </w:tcBorders>
            <w:shd w:val="clear" w:color="auto" w:fill="auto"/>
            <w:vAlign w:val="bottom"/>
            <w:hideMark/>
          </w:tcPr>
          <w:p w14:paraId="3F82D69D" w14:textId="77777777" w:rsidR="0021298F" w:rsidRPr="00E07C61" w:rsidRDefault="0021298F" w:rsidP="00760009">
            <w:pPr>
              <w:jc w:val="right"/>
              <w:rPr>
                <w:rFonts w:ascii="Arial" w:eastAsia="Times New Roman" w:hAnsi="Arial" w:cs="Arial"/>
                <w:b/>
                <w:bCs/>
                <w:color w:val="000000"/>
                <w:lang w:eastAsia="en-GB"/>
              </w:rPr>
            </w:pPr>
            <w:r w:rsidRPr="00E07C61">
              <w:rPr>
                <w:rFonts w:ascii="Arial" w:eastAsia="Times New Roman" w:hAnsi="Arial" w:cs="Arial"/>
                <w:b/>
                <w:bCs/>
                <w:color w:val="000000"/>
                <w:lang w:eastAsia="en-GB"/>
              </w:rPr>
              <w:t>Change in                     fair value of investments</w:t>
            </w:r>
          </w:p>
        </w:tc>
        <w:tc>
          <w:tcPr>
            <w:tcW w:w="703" w:type="pct"/>
            <w:tcBorders>
              <w:top w:val="nil"/>
              <w:left w:val="nil"/>
              <w:bottom w:val="single" w:sz="4" w:space="0" w:color="auto"/>
              <w:right w:val="nil"/>
            </w:tcBorders>
            <w:shd w:val="clear" w:color="auto" w:fill="auto"/>
            <w:vAlign w:val="bottom"/>
            <w:hideMark/>
          </w:tcPr>
          <w:p w14:paraId="19700E65" w14:textId="77777777" w:rsidR="0021298F" w:rsidRPr="00E07C61" w:rsidRDefault="0021298F" w:rsidP="00760009">
            <w:pPr>
              <w:jc w:val="right"/>
              <w:rPr>
                <w:rFonts w:ascii="Arial" w:eastAsia="Times New Roman" w:hAnsi="Arial" w:cs="Arial"/>
                <w:b/>
                <w:bCs/>
                <w:color w:val="000000"/>
                <w:lang w:eastAsia="en-GB"/>
              </w:rPr>
            </w:pPr>
            <w:r w:rsidRPr="00E07C61">
              <w:rPr>
                <w:rFonts w:ascii="Arial" w:eastAsia="Times New Roman" w:hAnsi="Arial" w:cs="Arial"/>
                <w:b/>
                <w:bCs/>
                <w:color w:val="000000"/>
                <w:lang w:eastAsia="en-GB"/>
              </w:rPr>
              <w:t>Change in NAV per share</w:t>
            </w:r>
          </w:p>
        </w:tc>
      </w:tr>
      <w:tr w:rsidR="0021298F" w:rsidRPr="00E07C61" w14:paraId="5ED21211" w14:textId="77777777" w:rsidTr="00760009">
        <w:trPr>
          <w:trHeight w:val="302"/>
        </w:trPr>
        <w:tc>
          <w:tcPr>
            <w:tcW w:w="937" w:type="pct"/>
            <w:tcBorders>
              <w:top w:val="nil"/>
              <w:left w:val="nil"/>
              <w:bottom w:val="nil"/>
              <w:right w:val="nil"/>
            </w:tcBorders>
            <w:shd w:val="clear" w:color="000000" w:fill="FFFFFF"/>
            <w:vAlign w:val="center"/>
            <w:hideMark/>
          </w:tcPr>
          <w:p w14:paraId="3A452ACE" w14:textId="77777777" w:rsidR="0021298F" w:rsidRPr="00E07C61" w:rsidRDefault="0021298F" w:rsidP="00760009">
            <w:pPr>
              <w:jc w:val="both"/>
              <w:rPr>
                <w:rFonts w:ascii="Arial" w:eastAsia="Times New Roman" w:hAnsi="Arial" w:cs="Arial"/>
                <w:color w:val="000000"/>
                <w:lang w:eastAsia="en-GB"/>
              </w:rPr>
            </w:pPr>
            <w:r w:rsidRPr="00E07C61">
              <w:rPr>
                <w:rFonts w:ascii="Arial" w:eastAsia="Times New Roman" w:hAnsi="Arial" w:cs="Arial"/>
                <w:color w:val="000000"/>
                <w:lang w:eastAsia="en-GB"/>
              </w:rPr>
              <w:t> </w:t>
            </w:r>
          </w:p>
        </w:tc>
        <w:tc>
          <w:tcPr>
            <w:tcW w:w="1173" w:type="pct"/>
            <w:tcBorders>
              <w:top w:val="nil"/>
              <w:left w:val="nil"/>
              <w:bottom w:val="nil"/>
              <w:right w:val="nil"/>
            </w:tcBorders>
            <w:shd w:val="clear" w:color="000000" w:fill="EDFFB7"/>
            <w:noWrap/>
            <w:vAlign w:val="center"/>
            <w:hideMark/>
          </w:tcPr>
          <w:p w14:paraId="0A87E972" w14:textId="77777777" w:rsidR="0021298F" w:rsidRPr="00E07C61" w:rsidRDefault="0021298F" w:rsidP="00760009">
            <w:pPr>
              <w:jc w:val="both"/>
              <w:rPr>
                <w:rFonts w:ascii="Arial" w:eastAsia="Times New Roman" w:hAnsi="Arial" w:cs="Arial"/>
                <w:b/>
                <w:bCs/>
                <w:color w:val="000000"/>
                <w:lang w:eastAsia="en-GB"/>
              </w:rPr>
            </w:pPr>
            <w:r w:rsidRPr="00E07C61">
              <w:rPr>
                <w:rFonts w:ascii="Arial" w:eastAsia="Times New Roman" w:hAnsi="Arial" w:cs="Arial"/>
                <w:b/>
                <w:bCs/>
                <w:color w:val="000000"/>
                <w:lang w:eastAsia="en-GB"/>
              </w:rPr>
              <w:t> </w:t>
            </w:r>
          </w:p>
        </w:tc>
        <w:tc>
          <w:tcPr>
            <w:tcW w:w="1172" w:type="pct"/>
            <w:tcBorders>
              <w:top w:val="nil"/>
              <w:left w:val="nil"/>
              <w:bottom w:val="nil"/>
              <w:right w:val="nil"/>
            </w:tcBorders>
            <w:shd w:val="clear" w:color="000000" w:fill="EDFFB7"/>
            <w:noWrap/>
            <w:vAlign w:val="center"/>
            <w:hideMark/>
          </w:tcPr>
          <w:p w14:paraId="1B136E44" w14:textId="77777777" w:rsidR="0021298F" w:rsidRPr="00E07C61" w:rsidRDefault="0021298F" w:rsidP="00760009">
            <w:pPr>
              <w:jc w:val="both"/>
              <w:rPr>
                <w:rFonts w:ascii="Arial" w:eastAsia="Times New Roman" w:hAnsi="Arial" w:cs="Arial"/>
                <w:b/>
                <w:bCs/>
                <w:color w:val="000000"/>
                <w:lang w:eastAsia="en-GB"/>
              </w:rPr>
            </w:pPr>
            <w:r w:rsidRPr="00E07C61">
              <w:rPr>
                <w:rFonts w:ascii="Arial" w:eastAsia="Times New Roman" w:hAnsi="Arial" w:cs="Arial"/>
                <w:b/>
                <w:bCs/>
                <w:color w:val="000000"/>
                <w:lang w:eastAsia="en-GB"/>
              </w:rPr>
              <w:t> </w:t>
            </w:r>
          </w:p>
        </w:tc>
        <w:tc>
          <w:tcPr>
            <w:tcW w:w="1016" w:type="pct"/>
            <w:tcBorders>
              <w:top w:val="nil"/>
              <w:left w:val="nil"/>
              <w:bottom w:val="nil"/>
              <w:right w:val="nil"/>
            </w:tcBorders>
            <w:shd w:val="clear" w:color="000000" w:fill="EDFFB7"/>
            <w:noWrap/>
            <w:vAlign w:val="center"/>
            <w:hideMark/>
          </w:tcPr>
          <w:p w14:paraId="5379F4DA" w14:textId="77777777" w:rsidR="0021298F" w:rsidRPr="00E07C61" w:rsidRDefault="0021298F" w:rsidP="00760009">
            <w:pPr>
              <w:jc w:val="right"/>
              <w:rPr>
                <w:rFonts w:ascii="Arial" w:eastAsia="Times New Roman" w:hAnsi="Arial" w:cs="Arial"/>
                <w:b/>
                <w:bCs/>
                <w:lang w:eastAsia="en-GB"/>
              </w:rPr>
            </w:pPr>
            <w:r>
              <w:rPr>
                <w:rFonts w:ascii="Arial" w:eastAsia="Times New Roman" w:hAnsi="Arial" w:cs="Arial"/>
                <w:b/>
                <w:bCs/>
                <w:lang w:eastAsia="en-GB"/>
              </w:rPr>
              <w:t>€’000</w:t>
            </w:r>
          </w:p>
        </w:tc>
        <w:tc>
          <w:tcPr>
            <w:tcW w:w="703" w:type="pct"/>
            <w:tcBorders>
              <w:top w:val="nil"/>
              <w:left w:val="nil"/>
              <w:bottom w:val="nil"/>
              <w:right w:val="nil"/>
            </w:tcBorders>
            <w:shd w:val="clear" w:color="000000" w:fill="EDFFB7"/>
            <w:noWrap/>
            <w:vAlign w:val="center"/>
            <w:hideMark/>
          </w:tcPr>
          <w:p w14:paraId="08B33A59" w14:textId="77777777" w:rsidR="0021298F" w:rsidRPr="00E07C61" w:rsidRDefault="0021298F" w:rsidP="00760009">
            <w:pPr>
              <w:jc w:val="right"/>
              <w:rPr>
                <w:rFonts w:ascii="Arial" w:eastAsia="Times New Roman" w:hAnsi="Arial" w:cs="Arial"/>
                <w:b/>
                <w:bCs/>
                <w:color w:val="000000"/>
                <w:lang w:eastAsia="en-GB"/>
              </w:rPr>
            </w:pPr>
            <w:r>
              <w:rPr>
                <w:rFonts w:ascii="Arial" w:eastAsia="Times New Roman" w:hAnsi="Arial" w:cs="Arial"/>
                <w:b/>
                <w:bCs/>
                <w:color w:val="000000"/>
                <w:lang w:eastAsia="en-GB"/>
              </w:rPr>
              <w:t>cent</w:t>
            </w:r>
          </w:p>
        </w:tc>
      </w:tr>
      <w:tr w:rsidR="0021298F" w:rsidRPr="00B95F19" w14:paraId="0AF15B62" w14:textId="77777777" w:rsidTr="00760009">
        <w:trPr>
          <w:trHeight w:val="95"/>
        </w:trPr>
        <w:tc>
          <w:tcPr>
            <w:tcW w:w="937" w:type="pct"/>
            <w:tcBorders>
              <w:top w:val="nil"/>
              <w:left w:val="nil"/>
              <w:bottom w:val="nil"/>
              <w:right w:val="nil"/>
            </w:tcBorders>
            <w:shd w:val="clear" w:color="000000" w:fill="FFFFFF"/>
            <w:vAlign w:val="center"/>
            <w:hideMark/>
          </w:tcPr>
          <w:p w14:paraId="3C0BF6AF" w14:textId="77777777" w:rsidR="0021298F" w:rsidRPr="00B95F19" w:rsidRDefault="0021298F" w:rsidP="00760009">
            <w:pPr>
              <w:jc w:val="both"/>
              <w:rPr>
                <w:rFonts w:ascii="Arial" w:eastAsia="Times New Roman" w:hAnsi="Arial" w:cs="Arial"/>
                <w:color w:val="000000"/>
                <w:sz w:val="6"/>
                <w:lang w:eastAsia="en-GB"/>
              </w:rPr>
            </w:pPr>
            <w:r w:rsidRPr="00B95F19">
              <w:rPr>
                <w:rFonts w:ascii="Arial" w:eastAsia="Times New Roman" w:hAnsi="Arial" w:cs="Arial"/>
                <w:color w:val="000000"/>
                <w:sz w:val="6"/>
                <w:lang w:eastAsia="en-GB"/>
              </w:rPr>
              <w:t> </w:t>
            </w:r>
          </w:p>
        </w:tc>
        <w:tc>
          <w:tcPr>
            <w:tcW w:w="1173" w:type="pct"/>
            <w:tcBorders>
              <w:top w:val="nil"/>
              <w:left w:val="nil"/>
              <w:bottom w:val="nil"/>
              <w:right w:val="nil"/>
            </w:tcBorders>
            <w:shd w:val="clear" w:color="000000" w:fill="EDFFB7"/>
            <w:noWrap/>
            <w:vAlign w:val="center"/>
            <w:hideMark/>
          </w:tcPr>
          <w:p w14:paraId="32036F9E" w14:textId="77777777" w:rsidR="0021298F" w:rsidRPr="00B95F19" w:rsidRDefault="0021298F" w:rsidP="00760009">
            <w:pPr>
              <w:jc w:val="both"/>
              <w:rPr>
                <w:rFonts w:ascii="Arial" w:eastAsia="Times New Roman" w:hAnsi="Arial" w:cs="Arial"/>
                <w:b/>
                <w:bCs/>
                <w:color w:val="000000"/>
                <w:sz w:val="6"/>
                <w:lang w:eastAsia="en-GB"/>
              </w:rPr>
            </w:pPr>
            <w:r w:rsidRPr="00B95F19">
              <w:rPr>
                <w:rFonts w:ascii="Arial" w:eastAsia="Times New Roman" w:hAnsi="Arial" w:cs="Arial"/>
                <w:b/>
                <w:bCs/>
                <w:color w:val="000000"/>
                <w:sz w:val="6"/>
                <w:lang w:eastAsia="en-GB"/>
              </w:rPr>
              <w:t> </w:t>
            </w:r>
          </w:p>
        </w:tc>
        <w:tc>
          <w:tcPr>
            <w:tcW w:w="1172" w:type="pct"/>
            <w:tcBorders>
              <w:top w:val="nil"/>
              <w:left w:val="nil"/>
              <w:bottom w:val="nil"/>
              <w:right w:val="nil"/>
            </w:tcBorders>
            <w:shd w:val="clear" w:color="000000" w:fill="EDFFB7"/>
            <w:noWrap/>
            <w:vAlign w:val="center"/>
            <w:hideMark/>
          </w:tcPr>
          <w:p w14:paraId="48DDC449" w14:textId="77777777" w:rsidR="0021298F" w:rsidRPr="00B95F19" w:rsidRDefault="0021298F" w:rsidP="00760009">
            <w:pPr>
              <w:jc w:val="both"/>
              <w:rPr>
                <w:rFonts w:ascii="Arial" w:eastAsia="Times New Roman" w:hAnsi="Arial" w:cs="Arial"/>
                <w:b/>
                <w:bCs/>
                <w:color w:val="000000"/>
                <w:sz w:val="6"/>
                <w:lang w:eastAsia="en-GB"/>
              </w:rPr>
            </w:pPr>
            <w:r w:rsidRPr="00B95F19">
              <w:rPr>
                <w:rFonts w:ascii="Arial" w:eastAsia="Times New Roman" w:hAnsi="Arial" w:cs="Arial"/>
                <w:b/>
                <w:bCs/>
                <w:color w:val="000000"/>
                <w:sz w:val="6"/>
                <w:lang w:eastAsia="en-GB"/>
              </w:rPr>
              <w:t> </w:t>
            </w:r>
          </w:p>
        </w:tc>
        <w:tc>
          <w:tcPr>
            <w:tcW w:w="1016" w:type="pct"/>
            <w:tcBorders>
              <w:top w:val="nil"/>
              <w:left w:val="nil"/>
              <w:bottom w:val="nil"/>
              <w:right w:val="nil"/>
            </w:tcBorders>
            <w:shd w:val="clear" w:color="000000" w:fill="EDFFB7"/>
            <w:noWrap/>
            <w:vAlign w:val="center"/>
            <w:hideMark/>
          </w:tcPr>
          <w:p w14:paraId="7EBFEDB9" w14:textId="77777777" w:rsidR="0021298F" w:rsidRPr="00B95F19" w:rsidRDefault="0021298F" w:rsidP="00760009">
            <w:pPr>
              <w:jc w:val="both"/>
              <w:rPr>
                <w:rFonts w:ascii="Arial" w:eastAsia="Times New Roman" w:hAnsi="Arial" w:cs="Arial"/>
                <w:b/>
                <w:bCs/>
                <w:color w:val="000000"/>
                <w:sz w:val="6"/>
                <w:lang w:eastAsia="en-GB"/>
              </w:rPr>
            </w:pPr>
            <w:r w:rsidRPr="00B95F19">
              <w:rPr>
                <w:rFonts w:ascii="Arial" w:eastAsia="Times New Roman" w:hAnsi="Arial" w:cs="Arial"/>
                <w:b/>
                <w:bCs/>
                <w:color w:val="000000"/>
                <w:sz w:val="6"/>
                <w:lang w:eastAsia="en-GB"/>
              </w:rPr>
              <w:t> </w:t>
            </w:r>
          </w:p>
        </w:tc>
        <w:tc>
          <w:tcPr>
            <w:tcW w:w="703" w:type="pct"/>
            <w:tcBorders>
              <w:top w:val="nil"/>
              <w:left w:val="nil"/>
              <w:bottom w:val="nil"/>
              <w:right w:val="nil"/>
            </w:tcBorders>
            <w:shd w:val="clear" w:color="000000" w:fill="EDFFB7"/>
            <w:noWrap/>
            <w:vAlign w:val="center"/>
            <w:hideMark/>
          </w:tcPr>
          <w:p w14:paraId="240FBDCE" w14:textId="77777777" w:rsidR="0021298F" w:rsidRPr="00B95F19" w:rsidRDefault="0021298F" w:rsidP="00760009">
            <w:pPr>
              <w:jc w:val="both"/>
              <w:rPr>
                <w:rFonts w:ascii="Arial" w:eastAsia="Times New Roman" w:hAnsi="Arial" w:cs="Arial"/>
                <w:b/>
                <w:bCs/>
                <w:color w:val="000000"/>
                <w:sz w:val="6"/>
                <w:lang w:eastAsia="en-GB"/>
              </w:rPr>
            </w:pPr>
            <w:r w:rsidRPr="00B95F19">
              <w:rPr>
                <w:rFonts w:ascii="Arial" w:eastAsia="Times New Roman" w:hAnsi="Arial" w:cs="Arial"/>
                <w:b/>
                <w:bCs/>
                <w:color w:val="000000"/>
                <w:sz w:val="6"/>
                <w:lang w:eastAsia="en-GB"/>
              </w:rPr>
              <w:t> </w:t>
            </w:r>
          </w:p>
        </w:tc>
      </w:tr>
      <w:tr w:rsidR="0021298F" w:rsidRPr="00E07C61" w14:paraId="14D4152B" w14:textId="77777777" w:rsidTr="00760009">
        <w:trPr>
          <w:trHeight w:val="287"/>
        </w:trPr>
        <w:tc>
          <w:tcPr>
            <w:tcW w:w="937" w:type="pct"/>
            <w:tcBorders>
              <w:top w:val="nil"/>
              <w:left w:val="nil"/>
              <w:bottom w:val="nil"/>
              <w:right w:val="nil"/>
            </w:tcBorders>
            <w:shd w:val="clear" w:color="000000" w:fill="FFFFFF"/>
            <w:vAlign w:val="center"/>
            <w:hideMark/>
          </w:tcPr>
          <w:p w14:paraId="684B8661" w14:textId="77777777" w:rsidR="0021298F" w:rsidRPr="00AE47CC" w:rsidRDefault="0021298F" w:rsidP="00760009">
            <w:pPr>
              <w:rPr>
                <w:rFonts w:ascii="Arial" w:eastAsia="Times New Roman" w:hAnsi="Arial" w:cs="Arial"/>
                <w:color w:val="000000"/>
                <w:lang w:eastAsia="en-GB"/>
              </w:rPr>
            </w:pPr>
            <w:r w:rsidRPr="00AE47CC">
              <w:rPr>
                <w:rFonts w:ascii="Arial" w:eastAsia="Times New Roman" w:hAnsi="Arial" w:cs="Arial"/>
                <w:color w:val="000000"/>
                <w:lang w:eastAsia="en-GB"/>
              </w:rPr>
              <w:lastRenderedPageBreak/>
              <w:t>Discount rate</w:t>
            </w:r>
          </w:p>
        </w:tc>
        <w:tc>
          <w:tcPr>
            <w:tcW w:w="1173" w:type="pct"/>
            <w:tcBorders>
              <w:top w:val="nil"/>
              <w:left w:val="nil"/>
              <w:bottom w:val="nil"/>
              <w:right w:val="nil"/>
            </w:tcBorders>
            <w:shd w:val="clear" w:color="000000" w:fill="EDFFB7"/>
            <w:noWrap/>
            <w:vAlign w:val="center"/>
          </w:tcPr>
          <w:p w14:paraId="346F37E4" w14:textId="77777777" w:rsidR="0021298F" w:rsidRPr="00AE47CC" w:rsidRDefault="0021298F" w:rsidP="00760009">
            <w:pPr>
              <w:jc w:val="right"/>
              <w:rPr>
                <w:rFonts w:ascii="Arial" w:eastAsia="Times New Roman" w:hAnsi="Arial" w:cs="Arial"/>
                <w:color w:val="000000"/>
                <w:lang w:eastAsia="en-GB"/>
              </w:rPr>
            </w:pPr>
            <w:r w:rsidRPr="00AE47CC">
              <w:rPr>
                <w:rFonts w:ascii="Arial" w:eastAsia="Times New Roman" w:hAnsi="Arial" w:cs="Arial"/>
                <w:color w:val="000000"/>
                <w:lang w:eastAsia="en-GB"/>
              </w:rPr>
              <w:t>6 - 7 per cent</w:t>
            </w:r>
          </w:p>
        </w:tc>
        <w:tc>
          <w:tcPr>
            <w:tcW w:w="1172" w:type="pct"/>
            <w:tcBorders>
              <w:top w:val="nil"/>
              <w:left w:val="nil"/>
              <w:bottom w:val="nil"/>
              <w:right w:val="nil"/>
            </w:tcBorders>
            <w:shd w:val="clear" w:color="000000" w:fill="EDFFB7"/>
            <w:noWrap/>
            <w:vAlign w:val="center"/>
          </w:tcPr>
          <w:p w14:paraId="29BFFAF3" w14:textId="77777777" w:rsidR="0021298F" w:rsidRPr="00AE47CC" w:rsidRDefault="0021298F" w:rsidP="00760009">
            <w:pPr>
              <w:jc w:val="right"/>
              <w:rPr>
                <w:rFonts w:ascii="Arial" w:eastAsia="Times New Roman" w:hAnsi="Arial" w:cs="Arial"/>
                <w:color w:val="000000"/>
                <w:lang w:eastAsia="en-GB"/>
              </w:rPr>
            </w:pPr>
            <w:r w:rsidRPr="00AE47CC">
              <w:rPr>
                <w:rFonts w:ascii="Arial" w:eastAsia="Times New Roman" w:hAnsi="Arial" w:cs="Arial"/>
                <w:color w:val="000000"/>
                <w:lang w:eastAsia="en-GB"/>
              </w:rPr>
              <w:t>+ 0.25 per cent</w:t>
            </w:r>
          </w:p>
        </w:tc>
        <w:tc>
          <w:tcPr>
            <w:tcW w:w="1016" w:type="pct"/>
            <w:tcBorders>
              <w:top w:val="nil"/>
              <w:left w:val="nil"/>
              <w:bottom w:val="nil"/>
              <w:right w:val="nil"/>
            </w:tcBorders>
            <w:shd w:val="clear" w:color="000000" w:fill="EDFFB7"/>
            <w:noWrap/>
            <w:vAlign w:val="center"/>
          </w:tcPr>
          <w:p w14:paraId="450AFCF1" w14:textId="77777777" w:rsidR="0021298F" w:rsidRPr="00AE47CC" w:rsidRDefault="0021298F" w:rsidP="00760009">
            <w:pPr>
              <w:jc w:val="right"/>
              <w:rPr>
                <w:rFonts w:ascii="Arial" w:eastAsia="Times New Roman" w:hAnsi="Arial" w:cs="Arial"/>
                <w:color w:val="000000"/>
                <w:lang w:eastAsia="en-GB"/>
              </w:rPr>
            </w:pPr>
            <w:r w:rsidRPr="00AE47CC">
              <w:rPr>
                <w:rFonts w:ascii="Arial" w:eastAsia="Times New Roman" w:hAnsi="Arial" w:cs="Arial"/>
                <w:color w:val="000000"/>
                <w:lang w:eastAsia="en-GB"/>
              </w:rPr>
              <w:t>(20,824)</w:t>
            </w:r>
          </w:p>
        </w:tc>
        <w:tc>
          <w:tcPr>
            <w:tcW w:w="703" w:type="pct"/>
            <w:tcBorders>
              <w:top w:val="nil"/>
              <w:left w:val="nil"/>
              <w:bottom w:val="nil"/>
              <w:right w:val="nil"/>
            </w:tcBorders>
            <w:shd w:val="clear" w:color="000000" w:fill="EDFFB7"/>
            <w:noWrap/>
            <w:vAlign w:val="center"/>
          </w:tcPr>
          <w:p w14:paraId="51967A06" w14:textId="77777777" w:rsidR="0021298F" w:rsidRPr="00AE47CC" w:rsidRDefault="0021298F" w:rsidP="00760009">
            <w:pPr>
              <w:jc w:val="right"/>
              <w:rPr>
                <w:rFonts w:ascii="Arial" w:eastAsia="Times New Roman" w:hAnsi="Arial" w:cs="Arial"/>
                <w:color w:val="000000"/>
                <w:lang w:eastAsia="en-GB"/>
              </w:rPr>
            </w:pPr>
            <w:r w:rsidRPr="00AE47CC">
              <w:rPr>
                <w:rFonts w:ascii="Arial" w:eastAsia="Times New Roman" w:hAnsi="Arial" w:cs="Arial"/>
                <w:color w:val="000000"/>
                <w:lang w:eastAsia="en-GB"/>
              </w:rPr>
              <w:t>(2.8)</w:t>
            </w:r>
          </w:p>
        </w:tc>
      </w:tr>
      <w:tr w:rsidR="0021298F" w:rsidRPr="00E07C61" w14:paraId="0D2D6139" w14:textId="77777777" w:rsidTr="00760009">
        <w:trPr>
          <w:trHeight w:val="287"/>
        </w:trPr>
        <w:tc>
          <w:tcPr>
            <w:tcW w:w="937" w:type="pct"/>
            <w:tcBorders>
              <w:top w:val="nil"/>
              <w:left w:val="nil"/>
              <w:bottom w:val="nil"/>
              <w:right w:val="nil"/>
            </w:tcBorders>
            <w:shd w:val="clear" w:color="000000" w:fill="FFFFFF"/>
            <w:vAlign w:val="center"/>
            <w:hideMark/>
          </w:tcPr>
          <w:p w14:paraId="273CD60F" w14:textId="77777777" w:rsidR="0021298F" w:rsidRPr="00AE47CC" w:rsidRDefault="0021298F" w:rsidP="00760009">
            <w:pPr>
              <w:rPr>
                <w:rFonts w:ascii="Arial" w:eastAsia="Times New Roman" w:hAnsi="Arial" w:cs="Arial"/>
                <w:color w:val="000000"/>
                <w:lang w:eastAsia="en-GB"/>
              </w:rPr>
            </w:pPr>
            <w:r w:rsidRPr="00AE47CC">
              <w:rPr>
                <w:rFonts w:ascii="Arial" w:eastAsia="Times New Roman" w:hAnsi="Arial" w:cs="Arial"/>
                <w:color w:val="000000"/>
                <w:lang w:eastAsia="en-GB"/>
              </w:rPr>
              <w:t> </w:t>
            </w:r>
          </w:p>
        </w:tc>
        <w:tc>
          <w:tcPr>
            <w:tcW w:w="1173" w:type="pct"/>
            <w:tcBorders>
              <w:top w:val="nil"/>
              <w:left w:val="nil"/>
              <w:bottom w:val="nil"/>
              <w:right w:val="nil"/>
            </w:tcBorders>
            <w:shd w:val="clear" w:color="000000" w:fill="EDFFB7"/>
            <w:noWrap/>
            <w:vAlign w:val="center"/>
          </w:tcPr>
          <w:p w14:paraId="63ECC335" w14:textId="77777777" w:rsidR="0021298F" w:rsidRPr="00AE47CC" w:rsidRDefault="0021298F" w:rsidP="00760009">
            <w:pPr>
              <w:jc w:val="right"/>
              <w:rPr>
                <w:rFonts w:ascii="Arial" w:eastAsia="Times New Roman" w:hAnsi="Arial" w:cs="Arial"/>
                <w:color w:val="000000"/>
                <w:lang w:eastAsia="en-GB"/>
              </w:rPr>
            </w:pPr>
            <w:r w:rsidRPr="00AE47CC">
              <w:rPr>
                <w:rFonts w:ascii="Arial" w:eastAsia="Times New Roman" w:hAnsi="Arial" w:cs="Arial"/>
                <w:color w:val="000000"/>
                <w:lang w:eastAsia="en-GB"/>
              </w:rPr>
              <w:t> </w:t>
            </w:r>
          </w:p>
        </w:tc>
        <w:tc>
          <w:tcPr>
            <w:tcW w:w="1172" w:type="pct"/>
            <w:tcBorders>
              <w:top w:val="nil"/>
              <w:left w:val="nil"/>
              <w:bottom w:val="nil"/>
              <w:right w:val="nil"/>
            </w:tcBorders>
            <w:shd w:val="clear" w:color="000000" w:fill="EDFFB7"/>
            <w:noWrap/>
            <w:vAlign w:val="center"/>
          </w:tcPr>
          <w:p w14:paraId="0D09A638" w14:textId="77777777" w:rsidR="0021298F" w:rsidRPr="00AE47CC" w:rsidRDefault="0021298F" w:rsidP="00760009">
            <w:pPr>
              <w:jc w:val="right"/>
              <w:rPr>
                <w:rFonts w:ascii="Arial" w:eastAsia="Times New Roman" w:hAnsi="Arial" w:cs="Arial"/>
                <w:color w:val="000000"/>
                <w:lang w:eastAsia="en-GB"/>
              </w:rPr>
            </w:pPr>
            <w:r w:rsidRPr="00AE47CC">
              <w:rPr>
                <w:rFonts w:ascii="Arial" w:eastAsia="Times New Roman" w:hAnsi="Arial" w:cs="Arial"/>
                <w:color w:val="000000"/>
                <w:lang w:eastAsia="en-GB"/>
              </w:rPr>
              <w:t>- 0.25 per cent</w:t>
            </w:r>
          </w:p>
        </w:tc>
        <w:tc>
          <w:tcPr>
            <w:tcW w:w="1016" w:type="pct"/>
            <w:tcBorders>
              <w:top w:val="nil"/>
              <w:left w:val="nil"/>
              <w:bottom w:val="nil"/>
              <w:right w:val="nil"/>
            </w:tcBorders>
            <w:shd w:val="clear" w:color="000000" w:fill="EDFFB7"/>
            <w:noWrap/>
            <w:vAlign w:val="center"/>
          </w:tcPr>
          <w:p w14:paraId="463A5D47" w14:textId="77777777" w:rsidR="0021298F" w:rsidRPr="00AE47CC" w:rsidRDefault="0021298F" w:rsidP="00760009">
            <w:pPr>
              <w:jc w:val="right"/>
              <w:rPr>
                <w:rFonts w:ascii="Arial" w:eastAsia="Times New Roman" w:hAnsi="Arial" w:cs="Arial"/>
                <w:color w:val="000000"/>
                <w:lang w:eastAsia="en-GB"/>
              </w:rPr>
            </w:pPr>
            <w:r w:rsidRPr="00AE47CC">
              <w:rPr>
                <w:rFonts w:ascii="Arial" w:eastAsia="Times New Roman" w:hAnsi="Arial" w:cs="Arial"/>
                <w:color w:val="000000"/>
                <w:lang w:eastAsia="en-GB"/>
              </w:rPr>
              <w:t>21,528</w:t>
            </w:r>
          </w:p>
        </w:tc>
        <w:tc>
          <w:tcPr>
            <w:tcW w:w="703" w:type="pct"/>
            <w:tcBorders>
              <w:top w:val="nil"/>
              <w:left w:val="nil"/>
              <w:bottom w:val="nil"/>
              <w:right w:val="nil"/>
            </w:tcBorders>
            <w:shd w:val="clear" w:color="000000" w:fill="EDFFB7"/>
            <w:noWrap/>
            <w:vAlign w:val="center"/>
          </w:tcPr>
          <w:p w14:paraId="481949B4" w14:textId="77777777" w:rsidR="0021298F" w:rsidRPr="00AE47CC" w:rsidRDefault="0021298F" w:rsidP="00760009">
            <w:pPr>
              <w:jc w:val="right"/>
              <w:rPr>
                <w:rFonts w:ascii="Arial" w:eastAsia="Times New Roman" w:hAnsi="Arial" w:cs="Arial"/>
                <w:color w:val="000000"/>
                <w:lang w:eastAsia="en-GB"/>
              </w:rPr>
            </w:pPr>
            <w:r w:rsidRPr="00AE47CC">
              <w:rPr>
                <w:rFonts w:ascii="Arial" w:eastAsia="Times New Roman" w:hAnsi="Arial" w:cs="Arial"/>
                <w:color w:val="000000"/>
                <w:lang w:eastAsia="en-GB"/>
              </w:rPr>
              <w:t>2.9</w:t>
            </w:r>
          </w:p>
        </w:tc>
      </w:tr>
      <w:tr w:rsidR="0021298F" w:rsidRPr="00B95F19" w14:paraId="5951A88A" w14:textId="77777777" w:rsidTr="00760009">
        <w:trPr>
          <w:trHeight w:val="95"/>
        </w:trPr>
        <w:tc>
          <w:tcPr>
            <w:tcW w:w="937" w:type="pct"/>
            <w:tcBorders>
              <w:top w:val="nil"/>
              <w:left w:val="nil"/>
              <w:bottom w:val="nil"/>
              <w:right w:val="nil"/>
            </w:tcBorders>
            <w:shd w:val="clear" w:color="000000" w:fill="FFFFFF"/>
            <w:vAlign w:val="center"/>
            <w:hideMark/>
          </w:tcPr>
          <w:p w14:paraId="20F79197" w14:textId="77777777" w:rsidR="0021298F" w:rsidRPr="00AE47CC" w:rsidRDefault="0021298F" w:rsidP="00760009">
            <w:pPr>
              <w:rPr>
                <w:rFonts w:ascii="Arial" w:eastAsia="Times New Roman" w:hAnsi="Arial" w:cs="Arial"/>
                <w:color w:val="000000"/>
                <w:sz w:val="6"/>
                <w:lang w:eastAsia="en-GB"/>
              </w:rPr>
            </w:pPr>
            <w:r w:rsidRPr="00AE47CC">
              <w:rPr>
                <w:rFonts w:ascii="Arial" w:eastAsia="Times New Roman" w:hAnsi="Arial" w:cs="Arial"/>
                <w:color w:val="000000"/>
                <w:sz w:val="6"/>
                <w:lang w:eastAsia="en-GB"/>
              </w:rPr>
              <w:t> </w:t>
            </w:r>
          </w:p>
        </w:tc>
        <w:tc>
          <w:tcPr>
            <w:tcW w:w="1173" w:type="pct"/>
            <w:tcBorders>
              <w:top w:val="nil"/>
              <w:left w:val="nil"/>
              <w:bottom w:val="nil"/>
              <w:right w:val="nil"/>
            </w:tcBorders>
            <w:shd w:val="clear" w:color="000000" w:fill="EDFFB7"/>
            <w:noWrap/>
            <w:vAlign w:val="center"/>
          </w:tcPr>
          <w:p w14:paraId="54990514" w14:textId="77777777" w:rsidR="0021298F" w:rsidRPr="00AE47CC" w:rsidRDefault="0021298F" w:rsidP="00760009">
            <w:pPr>
              <w:jc w:val="right"/>
              <w:rPr>
                <w:rFonts w:ascii="Arial" w:eastAsia="Times New Roman" w:hAnsi="Arial" w:cs="Arial"/>
                <w:color w:val="000000"/>
                <w:sz w:val="6"/>
                <w:lang w:eastAsia="en-GB"/>
              </w:rPr>
            </w:pPr>
            <w:r w:rsidRPr="00AE47CC">
              <w:rPr>
                <w:rFonts w:ascii="Arial" w:eastAsia="Times New Roman" w:hAnsi="Arial" w:cs="Arial"/>
                <w:color w:val="000000"/>
                <w:sz w:val="6"/>
                <w:lang w:eastAsia="en-GB"/>
              </w:rPr>
              <w:t> </w:t>
            </w:r>
          </w:p>
        </w:tc>
        <w:tc>
          <w:tcPr>
            <w:tcW w:w="1172" w:type="pct"/>
            <w:tcBorders>
              <w:top w:val="nil"/>
              <w:left w:val="nil"/>
              <w:bottom w:val="nil"/>
              <w:right w:val="nil"/>
            </w:tcBorders>
            <w:shd w:val="clear" w:color="000000" w:fill="EDFFB7"/>
            <w:noWrap/>
            <w:vAlign w:val="center"/>
          </w:tcPr>
          <w:p w14:paraId="0D64A516" w14:textId="77777777" w:rsidR="0021298F" w:rsidRPr="00AE47CC" w:rsidRDefault="0021298F" w:rsidP="00760009">
            <w:pPr>
              <w:jc w:val="right"/>
              <w:rPr>
                <w:rFonts w:ascii="Arial" w:eastAsia="Times New Roman" w:hAnsi="Arial" w:cs="Arial"/>
                <w:color w:val="000000"/>
                <w:lang w:eastAsia="en-GB"/>
              </w:rPr>
            </w:pPr>
            <w:r w:rsidRPr="00AE47CC">
              <w:rPr>
                <w:rFonts w:ascii="Arial" w:eastAsia="Times New Roman" w:hAnsi="Arial" w:cs="Arial"/>
                <w:color w:val="000000"/>
                <w:lang w:eastAsia="en-GB"/>
              </w:rPr>
              <w:t> </w:t>
            </w:r>
          </w:p>
        </w:tc>
        <w:tc>
          <w:tcPr>
            <w:tcW w:w="1016" w:type="pct"/>
            <w:tcBorders>
              <w:top w:val="nil"/>
              <w:left w:val="nil"/>
              <w:bottom w:val="nil"/>
              <w:right w:val="nil"/>
            </w:tcBorders>
            <w:shd w:val="clear" w:color="000000" w:fill="EDFFB7"/>
            <w:noWrap/>
            <w:vAlign w:val="center"/>
          </w:tcPr>
          <w:p w14:paraId="691E0825" w14:textId="77777777" w:rsidR="0021298F" w:rsidRPr="00AE47CC" w:rsidRDefault="0021298F" w:rsidP="00760009">
            <w:pPr>
              <w:jc w:val="right"/>
              <w:rPr>
                <w:rFonts w:ascii="Arial" w:eastAsia="Times New Roman" w:hAnsi="Arial" w:cs="Arial"/>
                <w:color w:val="000000"/>
                <w:lang w:eastAsia="en-GB"/>
              </w:rPr>
            </w:pPr>
          </w:p>
        </w:tc>
        <w:tc>
          <w:tcPr>
            <w:tcW w:w="703" w:type="pct"/>
            <w:tcBorders>
              <w:top w:val="nil"/>
              <w:left w:val="nil"/>
              <w:bottom w:val="nil"/>
              <w:right w:val="nil"/>
            </w:tcBorders>
            <w:shd w:val="clear" w:color="000000" w:fill="EDFFB7"/>
            <w:noWrap/>
            <w:vAlign w:val="center"/>
          </w:tcPr>
          <w:p w14:paraId="402B5466" w14:textId="77777777" w:rsidR="0021298F" w:rsidRPr="00AE47CC" w:rsidRDefault="0021298F" w:rsidP="00760009">
            <w:pPr>
              <w:jc w:val="right"/>
              <w:rPr>
                <w:rFonts w:ascii="Arial" w:eastAsia="Times New Roman" w:hAnsi="Arial" w:cs="Arial"/>
                <w:color w:val="000000"/>
                <w:lang w:eastAsia="en-GB"/>
              </w:rPr>
            </w:pPr>
          </w:p>
        </w:tc>
      </w:tr>
      <w:tr w:rsidR="0021298F" w:rsidRPr="00E07C61" w14:paraId="012AC7E2" w14:textId="77777777" w:rsidTr="00760009">
        <w:trPr>
          <w:trHeight w:val="287"/>
        </w:trPr>
        <w:tc>
          <w:tcPr>
            <w:tcW w:w="937" w:type="pct"/>
            <w:tcBorders>
              <w:top w:val="nil"/>
              <w:left w:val="nil"/>
              <w:bottom w:val="nil"/>
              <w:right w:val="nil"/>
            </w:tcBorders>
            <w:shd w:val="clear" w:color="000000" w:fill="FFFFFF"/>
            <w:vAlign w:val="center"/>
            <w:hideMark/>
          </w:tcPr>
          <w:p w14:paraId="2CBBAE05" w14:textId="77777777" w:rsidR="0021298F" w:rsidRPr="00AE47CC" w:rsidRDefault="0021298F" w:rsidP="00760009">
            <w:pPr>
              <w:rPr>
                <w:rFonts w:ascii="Arial" w:eastAsia="Times New Roman" w:hAnsi="Arial" w:cs="Arial"/>
                <w:color w:val="000000"/>
                <w:lang w:eastAsia="en-GB"/>
              </w:rPr>
            </w:pPr>
            <w:r w:rsidRPr="00AE47CC">
              <w:rPr>
                <w:rFonts w:ascii="Arial" w:eastAsia="Times New Roman" w:hAnsi="Arial" w:cs="Arial"/>
                <w:color w:val="000000"/>
                <w:lang w:eastAsia="en-GB"/>
              </w:rPr>
              <w:t>Energy yield</w:t>
            </w:r>
          </w:p>
        </w:tc>
        <w:tc>
          <w:tcPr>
            <w:tcW w:w="1173" w:type="pct"/>
            <w:tcBorders>
              <w:top w:val="nil"/>
              <w:left w:val="nil"/>
              <w:bottom w:val="nil"/>
              <w:right w:val="nil"/>
            </w:tcBorders>
            <w:shd w:val="clear" w:color="000000" w:fill="EDFFB7"/>
            <w:noWrap/>
            <w:vAlign w:val="center"/>
          </w:tcPr>
          <w:p w14:paraId="370FC145" w14:textId="77777777" w:rsidR="0021298F" w:rsidRPr="00AE47CC" w:rsidRDefault="0021298F" w:rsidP="00760009">
            <w:pPr>
              <w:jc w:val="right"/>
              <w:rPr>
                <w:rFonts w:ascii="Arial" w:eastAsia="Times New Roman" w:hAnsi="Arial" w:cs="Arial"/>
                <w:color w:val="000000"/>
                <w:lang w:eastAsia="en-GB"/>
              </w:rPr>
            </w:pPr>
            <w:r w:rsidRPr="00AE47CC">
              <w:rPr>
                <w:rFonts w:ascii="Arial" w:eastAsia="Times New Roman" w:hAnsi="Arial" w:cs="Arial"/>
                <w:color w:val="000000"/>
                <w:lang w:eastAsia="en-GB"/>
              </w:rPr>
              <w:t>P50</w:t>
            </w:r>
          </w:p>
        </w:tc>
        <w:tc>
          <w:tcPr>
            <w:tcW w:w="1172" w:type="pct"/>
            <w:tcBorders>
              <w:top w:val="nil"/>
              <w:left w:val="nil"/>
              <w:bottom w:val="nil"/>
              <w:right w:val="nil"/>
            </w:tcBorders>
            <w:shd w:val="clear" w:color="000000" w:fill="EDFFB7"/>
            <w:noWrap/>
            <w:vAlign w:val="center"/>
          </w:tcPr>
          <w:p w14:paraId="72764A88" w14:textId="77777777" w:rsidR="0021298F" w:rsidRPr="00AE47CC" w:rsidRDefault="0021298F" w:rsidP="00760009">
            <w:pPr>
              <w:jc w:val="right"/>
              <w:rPr>
                <w:rFonts w:ascii="Arial" w:eastAsia="Times New Roman" w:hAnsi="Arial" w:cs="Arial"/>
                <w:color w:val="000000"/>
                <w:lang w:eastAsia="en-GB"/>
              </w:rPr>
            </w:pPr>
            <w:r w:rsidRPr="00AE47CC">
              <w:rPr>
                <w:rFonts w:ascii="Arial" w:eastAsia="Times New Roman" w:hAnsi="Arial" w:cs="Arial"/>
                <w:color w:val="000000"/>
                <w:lang w:eastAsia="en-GB"/>
              </w:rPr>
              <w:t>10 year P90</w:t>
            </w:r>
          </w:p>
        </w:tc>
        <w:tc>
          <w:tcPr>
            <w:tcW w:w="1016" w:type="pct"/>
            <w:tcBorders>
              <w:top w:val="nil"/>
              <w:left w:val="nil"/>
              <w:bottom w:val="nil"/>
              <w:right w:val="nil"/>
            </w:tcBorders>
            <w:shd w:val="clear" w:color="000000" w:fill="EDFFB7"/>
            <w:noWrap/>
            <w:vAlign w:val="center"/>
          </w:tcPr>
          <w:p w14:paraId="3F1634C6" w14:textId="77777777" w:rsidR="0021298F" w:rsidRPr="00AE47CC" w:rsidRDefault="0021298F" w:rsidP="00760009">
            <w:pPr>
              <w:jc w:val="right"/>
              <w:rPr>
                <w:rFonts w:ascii="Arial" w:eastAsia="Times New Roman" w:hAnsi="Arial" w:cs="Arial"/>
                <w:color w:val="000000"/>
                <w:lang w:eastAsia="en-GB"/>
              </w:rPr>
            </w:pPr>
            <w:r w:rsidRPr="00AE47CC">
              <w:rPr>
                <w:rFonts w:ascii="Arial" w:eastAsia="Times New Roman" w:hAnsi="Arial" w:cs="Arial"/>
                <w:color w:val="000000"/>
                <w:lang w:eastAsia="en-GB"/>
              </w:rPr>
              <w:t>(62,049)</w:t>
            </w:r>
          </w:p>
        </w:tc>
        <w:tc>
          <w:tcPr>
            <w:tcW w:w="703" w:type="pct"/>
            <w:tcBorders>
              <w:top w:val="nil"/>
              <w:left w:val="nil"/>
              <w:bottom w:val="nil"/>
              <w:right w:val="nil"/>
            </w:tcBorders>
            <w:shd w:val="clear" w:color="000000" w:fill="EDFFB7"/>
            <w:noWrap/>
            <w:vAlign w:val="center"/>
          </w:tcPr>
          <w:p w14:paraId="51F36306" w14:textId="77777777" w:rsidR="0021298F" w:rsidRPr="00AE47CC" w:rsidRDefault="0021298F" w:rsidP="00760009">
            <w:pPr>
              <w:jc w:val="right"/>
              <w:rPr>
                <w:rFonts w:ascii="Arial" w:eastAsia="Times New Roman" w:hAnsi="Arial" w:cs="Arial"/>
                <w:color w:val="000000"/>
                <w:lang w:eastAsia="en-GB"/>
              </w:rPr>
            </w:pPr>
            <w:r w:rsidRPr="00AE47CC">
              <w:rPr>
                <w:rFonts w:ascii="Arial" w:eastAsia="Times New Roman" w:hAnsi="Arial" w:cs="Arial"/>
                <w:color w:val="000000"/>
                <w:lang w:eastAsia="en-GB"/>
              </w:rPr>
              <w:t>(8.4)</w:t>
            </w:r>
          </w:p>
        </w:tc>
      </w:tr>
      <w:tr w:rsidR="0021298F" w:rsidRPr="00E07C61" w14:paraId="3524C983" w14:textId="77777777" w:rsidTr="00760009">
        <w:trPr>
          <w:trHeight w:val="287"/>
        </w:trPr>
        <w:tc>
          <w:tcPr>
            <w:tcW w:w="937" w:type="pct"/>
            <w:tcBorders>
              <w:top w:val="nil"/>
              <w:left w:val="nil"/>
              <w:bottom w:val="nil"/>
              <w:right w:val="nil"/>
            </w:tcBorders>
            <w:shd w:val="clear" w:color="000000" w:fill="FFFFFF"/>
            <w:vAlign w:val="center"/>
            <w:hideMark/>
          </w:tcPr>
          <w:p w14:paraId="6142CF63" w14:textId="77777777" w:rsidR="0021298F" w:rsidRPr="00AE47CC" w:rsidRDefault="0021298F" w:rsidP="00760009">
            <w:pPr>
              <w:rPr>
                <w:rFonts w:ascii="Arial" w:eastAsia="Times New Roman" w:hAnsi="Arial" w:cs="Arial"/>
                <w:color w:val="000000"/>
                <w:lang w:eastAsia="en-GB"/>
              </w:rPr>
            </w:pPr>
            <w:r w:rsidRPr="00AE47CC">
              <w:rPr>
                <w:rFonts w:ascii="Arial" w:eastAsia="Times New Roman" w:hAnsi="Arial" w:cs="Arial"/>
                <w:color w:val="000000"/>
                <w:lang w:eastAsia="en-GB"/>
              </w:rPr>
              <w:t> </w:t>
            </w:r>
          </w:p>
        </w:tc>
        <w:tc>
          <w:tcPr>
            <w:tcW w:w="1173" w:type="pct"/>
            <w:tcBorders>
              <w:top w:val="nil"/>
              <w:left w:val="nil"/>
              <w:bottom w:val="nil"/>
              <w:right w:val="nil"/>
            </w:tcBorders>
            <w:shd w:val="clear" w:color="000000" w:fill="EDFFB7"/>
            <w:noWrap/>
            <w:vAlign w:val="center"/>
          </w:tcPr>
          <w:p w14:paraId="5B1B0233" w14:textId="77777777" w:rsidR="0021298F" w:rsidRPr="00AE47CC" w:rsidRDefault="0021298F" w:rsidP="00760009">
            <w:pPr>
              <w:jc w:val="right"/>
              <w:rPr>
                <w:rFonts w:ascii="Arial" w:eastAsia="Times New Roman" w:hAnsi="Arial" w:cs="Arial"/>
                <w:color w:val="000000"/>
                <w:lang w:eastAsia="en-GB"/>
              </w:rPr>
            </w:pPr>
            <w:r w:rsidRPr="00AE47CC">
              <w:rPr>
                <w:rFonts w:ascii="Arial" w:eastAsia="Times New Roman" w:hAnsi="Arial" w:cs="Arial"/>
                <w:color w:val="000000"/>
                <w:lang w:eastAsia="en-GB"/>
              </w:rPr>
              <w:t> </w:t>
            </w:r>
          </w:p>
        </w:tc>
        <w:tc>
          <w:tcPr>
            <w:tcW w:w="1172" w:type="pct"/>
            <w:tcBorders>
              <w:top w:val="nil"/>
              <w:left w:val="nil"/>
              <w:bottom w:val="nil"/>
              <w:right w:val="nil"/>
            </w:tcBorders>
            <w:shd w:val="clear" w:color="000000" w:fill="EDFFB7"/>
            <w:noWrap/>
            <w:vAlign w:val="center"/>
          </w:tcPr>
          <w:p w14:paraId="36303FC9" w14:textId="77777777" w:rsidR="0021298F" w:rsidRPr="00AE47CC" w:rsidRDefault="0021298F" w:rsidP="00760009">
            <w:pPr>
              <w:jc w:val="right"/>
              <w:rPr>
                <w:rFonts w:ascii="Arial" w:eastAsia="Times New Roman" w:hAnsi="Arial" w:cs="Arial"/>
                <w:color w:val="000000"/>
                <w:lang w:eastAsia="en-GB"/>
              </w:rPr>
            </w:pPr>
            <w:r w:rsidRPr="00AE47CC">
              <w:rPr>
                <w:rFonts w:ascii="Arial" w:eastAsia="Times New Roman" w:hAnsi="Arial" w:cs="Arial"/>
                <w:color w:val="000000"/>
                <w:lang w:eastAsia="en-GB"/>
              </w:rPr>
              <w:t>10 year P10</w:t>
            </w:r>
          </w:p>
        </w:tc>
        <w:tc>
          <w:tcPr>
            <w:tcW w:w="1016" w:type="pct"/>
            <w:tcBorders>
              <w:top w:val="nil"/>
              <w:left w:val="nil"/>
              <w:bottom w:val="nil"/>
              <w:right w:val="nil"/>
            </w:tcBorders>
            <w:shd w:val="clear" w:color="000000" w:fill="EDFFB7"/>
            <w:noWrap/>
            <w:vAlign w:val="center"/>
          </w:tcPr>
          <w:p w14:paraId="740BD304" w14:textId="77777777" w:rsidR="0021298F" w:rsidRPr="00AE47CC" w:rsidRDefault="0021298F" w:rsidP="00760009">
            <w:pPr>
              <w:jc w:val="right"/>
              <w:rPr>
                <w:rFonts w:ascii="Arial" w:eastAsia="Times New Roman" w:hAnsi="Arial" w:cs="Arial"/>
                <w:color w:val="000000"/>
                <w:lang w:eastAsia="en-GB"/>
              </w:rPr>
            </w:pPr>
            <w:r w:rsidRPr="00AE47CC">
              <w:rPr>
                <w:rFonts w:ascii="Arial" w:eastAsia="Times New Roman" w:hAnsi="Arial" w:cs="Arial"/>
                <w:color w:val="000000"/>
                <w:lang w:eastAsia="en-GB"/>
              </w:rPr>
              <w:t>61,713</w:t>
            </w:r>
          </w:p>
        </w:tc>
        <w:tc>
          <w:tcPr>
            <w:tcW w:w="703" w:type="pct"/>
            <w:tcBorders>
              <w:top w:val="nil"/>
              <w:left w:val="nil"/>
              <w:bottom w:val="nil"/>
              <w:right w:val="nil"/>
            </w:tcBorders>
            <w:shd w:val="clear" w:color="000000" w:fill="EDFFB7"/>
            <w:noWrap/>
            <w:vAlign w:val="center"/>
          </w:tcPr>
          <w:p w14:paraId="04AB27DC" w14:textId="77777777" w:rsidR="0021298F" w:rsidRPr="00AE47CC" w:rsidRDefault="0021298F" w:rsidP="00760009">
            <w:pPr>
              <w:jc w:val="right"/>
              <w:rPr>
                <w:rFonts w:ascii="Arial" w:eastAsia="Times New Roman" w:hAnsi="Arial" w:cs="Arial"/>
                <w:color w:val="000000"/>
                <w:lang w:eastAsia="en-GB"/>
              </w:rPr>
            </w:pPr>
            <w:r w:rsidRPr="00AE47CC">
              <w:rPr>
                <w:rFonts w:ascii="Arial" w:eastAsia="Times New Roman" w:hAnsi="Arial" w:cs="Arial"/>
                <w:color w:val="000000"/>
                <w:lang w:eastAsia="en-GB"/>
              </w:rPr>
              <w:t>8.3</w:t>
            </w:r>
          </w:p>
        </w:tc>
      </w:tr>
      <w:tr w:rsidR="0021298F" w:rsidRPr="00B95F19" w14:paraId="43AE9D96" w14:textId="77777777" w:rsidTr="00760009">
        <w:trPr>
          <w:trHeight w:val="95"/>
        </w:trPr>
        <w:tc>
          <w:tcPr>
            <w:tcW w:w="937" w:type="pct"/>
            <w:tcBorders>
              <w:top w:val="nil"/>
              <w:left w:val="nil"/>
              <w:bottom w:val="nil"/>
              <w:right w:val="nil"/>
            </w:tcBorders>
            <w:shd w:val="clear" w:color="000000" w:fill="FFFFFF"/>
            <w:vAlign w:val="center"/>
            <w:hideMark/>
          </w:tcPr>
          <w:p w14:paraId="5F536EF8" w14:textId="77777777" w:rsidR="0021298F" w:rsidRPr="00AE47CC" w:rsidRDefault="0021298F" w:rsidP="00760009">
            <w:pPr>
              <w:rPr>
                <w:rFonts w:ascii="Arial" w:eastAsia="Times New Roman" w:hAnsi="Arial" w:cs="Arial"/>
                <w:color w:val="000000"/>
                <w:sz w:val="6"/>
                <w:lang w:eastAsia="en-GB"/>
              </w:rPr>
            </w:pPr>
            <w:r w:rsidRPr="00AE47CC">
              <w:rPr>
                <w:rFonts w:ascii="Arial" w:eastAsia="Times New Roman" w:hAnsi="Arial" w:cs="Arial"/>
                <w:color w:val="000000"/>
                <w:sz w:val="6"/>
                <w:lang w:eastAsia="en-GB"/>
              </w:rPr>
              <w:t> </w:t>
            </w:r>
          </w:p>
        </w:tc>
        <w:tc>
          <w:tcPr>
            <w:tcW w:w="1173" w:type="pct"/>
            <w:tcBorders>
              <w:top w:val="nil"/>
              <w:left w:val="nil"/>
              <w:bottom w:val="nil"/>
              <w:right w:val="nil"/>
            </w:tcBorders>
            <w:shd w:val="clear" w:color="000000" w:fill="EDFFB7"/>
            <w:noWrap/>
            <w:vAlign w:val="center"/>
          </w:tcPr>
          <w:p w14:paraId="1ED50BC5" w14:textId="77777777" w:rsidR="0021298F" w:rsidRPr="00AE47CC" w:rsidRDefault="0021298F" w:rsidP="00760009">
            <w:pPr>
              <w:jc w:val="right"/>
              <w:rPr>
                <w:rFonts w:ascii="Arial" w:eastAsia="Times New Roman" w:hAnsi="Arial" w:cs="Arial"/>
                <w:color w:val="000000"/>
                <w:sz w:val="6"/>
                <w:lang w:eastAsia="en-GB"/>
              </w:rPr>
            </w:pPr>
            <w:r w:rsidRPr="00AE47CC">
              <w:rPr>
                <w:rFonts w:ascii="Arial" w:eastAsia="Times New Roman" w:hAnsi="Arial" w:cs="Arial"/>
                <w:color w:val="000000"/>
                <w:sz w:val="6"/>
                <w:lang w:eastAsia="en-GB"/>
              </w:rPr>
              <w:t> </w:t>
            </w:r>
          </w:p>
        </w:tc>
        <w:tc>
          <w:tcPr>
            <w:tcW w:w="1172" w:type="pct"/>
            <w:tcBorders>
              <w:top w:val="nil"/>
              <w:left w:val="nil"/>
              <w:bottom w:val="nil"/>
              <w:right w:val="nil"/>
            </w:tcBorders>
            <w:shd w:val="clear" w:color="000000" w:fill="EDFFB7"/>
            <w:noWrap/>
            <w:vAlign w:val="center"/>
          </w:tcPr>
          <w:p w14:paraId="6E3138B7" w14:textId="77777777" w:rsidR="0021298F" w:rsidRPr="00AE47CC" w:rsidRDefault="0021298F" w:rsidP="00760009">
            <w:pPr>
              <w:jc w:val="right"/>
              <w:rPr>
                <w:rFonts w:ascii="Arial" w:eastAsia="Times New Roman" w:hAnsi="Arial" w:cs="Arial"/>
                <w:color w:val="000000"/>
                <w:lang w:eastAsia="en-GB"/>
              </w:rPr>
            </w:pPr>
            <w:r w:rsidRPr="00AE47CC">
              <w:rPr>
                <w:rFonts w:ascii="Arial" w:eastAsia="Times New Roman" w:hAnsi="Arial" w:cs="Arial"/>
                <w:color w:val="000000"/>
                <w:lang w:eastAsia="en-GB"/>
              </w:rPr>
              <w:t> </w:t>
            </w:r>
          </w:p>
        </w:tc>
        <w:tc>
          <w:tcPr>
            <w:tcW w:w="1016" w:type="pct"/>
            <w:tcBorders>
              <w:top w:val="nil"/>
              <w:left w:val="nil"/>
              <w:bottom w:val="nil"/>
              <w:right w:val="nil"/>
            </w:tcBorders>
            <w:shd w:val="clear" w:color="000000" w:fill="EDFFB7"/>
            <w:noWrap/>
            <w:vAlign w:val="center"/>
          </w:tcPr>
          <w:p w14:paraId="7159AE80" w14:textId="77777777" w:rsidR="0021298F" w:rsidRPr="00AE47CC" w:rsidRDefault="0021298F" w:rsidP="00760009">
            <w:pPr>
              <w:jc w:val="right"/>
              <w:rPr>
                <w:rFonts w:ascii="Arial" w:eastAsia="Times New Roman" w:hAnsi="Arial" w:cs="Arial"/>
                <w:color w:val="000000"/>
                <w:lang w:eastAsia="en-GB"/>
              </w:rPr>
            </w:pPr>
          </w:p>
        </w:tc>
        <w:tc>
          <w:tcPr>
            <w:tcW w:w="703" w:type="pct"/>
            <w:tcBorders>
              <w:top w:val="nil"/>
              <w:left w:val="nil"/>
              <w:bottom w:val="nil"/>
              <w:right w:val="nil"/>
            </w:tcBorders>
            <w:shd w:val="clear" w:color="000000" w:fill="EDFFB7"/>
            <w:noWrap/>
            <w:vAlign w:val="center"/>
          </w:tcPr>
          <w:p w14:paraId="1888659B" w14:textId="77777777" w:rsidR="0021298F" w:rsidRPr="00AE47CC" w:rsidRDefault="0021298F" w:rsidP="00760009">
            <w:pPr>
              <w:jc w:val="right"/>
              <w:rPr>
                <w:rFonts w:ascii="Arial" w:eastAsia="Times New Roman" w:hAnsi="Arial" w:cs="Arial"/>
                <w:color w:val="000000"/>
                <w:lang w:eastAsia="en-GB"/>
              </w:rPr>
            </w:pPr>
          </w:p>
        </w:tc>
      </w:tr>
      <w:tr w:rsidR="0021298F" w:rsidRPr="00E07C61" w14:paraId="2204D768" w14:textId="77777777" w:rsidTr="00760009">
        <w:trPr>
          <w:trHeight w:val="287"/>
        </w:trPr>
        <w:tc>
          <w:tcPr>
            <w:tcW w:w="937" w:type="pct"/>
            <w:tcBorders>
              <w:top w:val="nil"/>
              <w:left w:val="nil"/>
              <w:bottom w:val="nil"/>
              <w:right w:val="nil"/>
            </w:tcBorders>
            <w:shd w:val="clear" w:color="000000" w:fill="FFFFFF"/>
            <w:vAlign w:val="center"/>
            <w:hideMark/>
          </w:tcPr>
          <w:p w14:paraId="1CE058C3" w14:textId="77777777" w:rsidR="0021298F" w:rsidRPr="00AE47CC" w:rsidRDefault="0021298F" w:rsidP="00760009">
            <w:pPr>
              <w:rPr>
                <w:rFonts w:ascii="Arial" w:eastAsia="Times New Roman" w:hAnsi="Arial" w:cs="Arial"/>
                <w:color w:val="000000"/>
                <w:lang w:eastAsia="en-GB"/>
              </w:rPr>
            </w:pPr>
            <w:r w:rsidRPr="00AE47CC">
              <w:rPr>
                <w:rFonts w:ascii="Arial" w:eastAsia="Times New Roman" w:hAnsi="Arial" w:cs="Arial"/>
                <w:color w:val="000000"/>
                <w:lang w:eastAsia="en-GB"/>
              </w:rPr>
              <w:t>Power price</w:t>
            </w:r>
          </w:p>
        </w:tc>
        <w:tc>
          <w:tcPr>
            <w:tcW w:w="1173" w:type="pct"/>
            <w:vMerge w:val="restart"/>
            <w:tcBorders>
              <w:top w:val="nil"/>
              <w:left w:val="nil"/>
              <w:bottom w:val="nil"/>
              <w:right w:val="nil"/>
            </w:tcBorders>
            <w:shd w:val="clear" w:color="000000" w:fill="EDFFB7"/>
            <w:vAlign w:val="center"/>
          </w:tcPr>
          <w:p w14:paraId="65B9FF70" w14:textId="77777777" w:rsidR="0021298F" w:rsidRPr="00AE47CC" w:rsidRDefault="0021298F" w:rsidP="00760009">
            <w:pPr>
              <w:jc w:val="right"/>
              <w:rPr>
                <w:rFonts w:ascii="Arial" w:eastAsia="Times New Roman" w:hAnsi="Arial" w:cs="Arial"/>
                <w:color w:val="000000"/>
                <w:lang w:eastAsia="en-GB"/>
              </w:rPr>
            </w:pPr>
            <w:r w:rsidRPr="00AE47CC">
              <w:rPr>
                <w:rFonts w:ascii="Arial" w:eastAsia="Times New Roman" w:hAnsi="Arial" w:cs="Arial"/>
                <w:color w:val="000000"/>
                <w:lang w:eastAsia="en-GB"/>
              </w:rPr>
              <w:t>Forecast by leading consultant</w:t>
            </w:r>
          </w:p>
        </w:tc>
        <w:tc>
          <w:tcPr>
            <w:tcW w:w="1172" w:type="pct"/>
            <w:tcBorders>
              <w:top w:val="nil"/>
              <w:left w:val="nil"/>
              <w:bottom w:val="nil"/>
              <w:right w:val="nil"/>
            </w:tcBorders>
            <w:shd w:val="clear" w:color="000000" w:fill="EDFFB7"/>
            <w:noWrap/>
            <w:vAlign w:val="center"/>
          </w:tcPr>
          <w:p w14:paraId="2B895A49" w14:textId="77777777" w:rsidR="0021298F" w:rsidRPr="00AE47CC" w:rsidRDefault="0021298F" w:rsidP="00760009">
            <w:pPr>
              <w:jc w:val="right"/>
              <w:rPr>
                <w:rFonts w:ascii="Arial" w:eastAsia="Times New Roman" w:hAnsi="Arial" w:cs="Arial"/>
                <w:color w:val="000000"/>
                <w:lang w:eastAsia="en-GB"/>
              </w:rPr>
            </w:pPr>
            <w:r w:rsidRPr="00AE47CC">
              <w:rPr>
                <w:rFonts w:ascii="Arial" w:eastAsia="Times New Roman" w:hAnsi="Arial" w:cs="Arial"/>
                <w:color w:val="000000"/>
                <w:lang w:eastAsia="en-GB"/>
              </w:rPr>
              <w:t>- 10 per cent</w:t>
            </w:r>
          </w:p>
        </w:tc>
        <w:tc>
          <w:tcPr>
            <w:tcW w:w="1016" w:type="pct"/>
            <w:tcBorders>
              <w:top w:val="nil"/>
              <w:left w:val="nil"/>
              <w:bottom w:val="nil"/>
              <w:right w:val="nil"/>
            </w:tcBorders>
            <w:shd w:val="clear" w:color="000000" w:fill="EDFFB7"/>
            <w:noWrap/>
            <w:vAlign w:val="center"/>
          </w:tcPr>
          <w:p w14:paraId="4F5959E4" w14:textId="77777777" w:rsidR="0021298F" w:rsidRPr="00AE47CC" w:rsidRDefault="0021298F" w:rsidP="00760009">
            <w:pPr>
              <w:jc w:val="right"/>
              <w:rPr>
                <w:rFonts w:ascii="Arial" w:eastAsia="Times New Roman" w:hAnsi="Arial" w:cs="Arial"/>
                <w:color w:val="000000"/>
                <w:lang w:eastAsia="en-GB"/>
              </w:rPr>
            </w:pPr>
            <w:r w:rsidRPr="00AE47CC">
              <w:rPr>
                <w:rFonts w:ascii="Arial" w:eastAsia="Times New Roman" w:hAnsi="Arial" w:cs="Arial"/>
                <w:color w:val="000000"/>
                <w:lang w:eastAsia="en-GB"/>
              </w:rPr>
              <w:t>(</w:t>
            </w:r>
            <w:r>
              <w:rPr>
                <w:rFonts w:ascii="Arial" w:eastAsia="Times New Roman" w:hAnsi="Arial" w:cs="Arial"/>
                <w:color w:val="000000"/>
                <w:lang w:eastAsia="en-GB"/>
              </w:rPr>
              <w:t>50,271</w:t>
            </w:r>
            <w:r w:rsidRPr="00AE47CC">
              <w:rPr>
                <w:rFonts w:ascii="Arial" w:eastAsia="Times New Roman" w:hAnsi="Arial" w:cs="Arial"/>
                <w:color w:val="000000"/>
                <w:lang w:eastAsia="en-GB"/>
              </w:rPr>
              <w:t>)</w:t>
            </w:r>
          </w:p>
        </w:tc>
        <w:tc>
          <w:tcPr>
            <w:tcW w:w="703" w:type="pct"/>
            <w:tcBorders>
              <w:top w:val="nil"/>
              <w:left w:val="nil"/>
              <w:bottom w:val="nil"/>
              <w:right w:val="nil"/>
            </w:tcBorders>
            <w:shd w:val="clear" w:color="000000" w:fill="EDFFB7"/>
            <w:noWrap/>
            <w:vAlign w:val="center"/>
          </w:tcPr>
          <w:p w14:paraId="31DA6296" w14:textId="77777777" w:rsidR="0021298F" w:rsidRPr="00AE47CC" w:rsidRDefault="0021298F" w:rsidP="00760009">
            <w:pPr>
              <w:jc w:val="right"/>
              <w:rPr>
                <w:rFonts w:ascii="Arial" w:eastAsia="Times New Roman" w:hAnsi="Arial" w:cs="Arial"/>
                <w:color w:val="000000"/>
                <w:lang w:eastAsia="en-GB"/>
              </w:rPr>
            </w:pPr>
            <w:r w:rsidRPr="00AE47CC">
              <w:rPr>
                <w:rFonts w:ascii="Arial" w:eastAsia="Times New Roman" w:hAnsi="Arial" w:cs="Arial"/>
                <w:color w:val="000000"/>
                <w:lang w:eastAsia="en-GB"/>
              </w:rPr>
              <w:t>(6.</w:t>
            </w:r>
            <w:r>
              <w:rPr>
                <w:rFonts w:ascii="Arial" w:eastAsia="Times New Roman" w:hAnsi="Arial" w:cs="Arial"/>
                <w:color w:val="000000"/>
                <w:lang w:eastAsia="en-GB"/>
              </w:rPr>
              <w:t>8</w:t>
            </w:r>
            <w:r w:rsidRPr="00AE47CC">
              <w:rPr>
                <w:rFonts w:ascii="Arial" w:eastAsia="Times New Roman" w:hAnsi="Arial" w:cs="Arial"/>
                <w:color w:val="000000"/>
                <w:lang w:eastAsia="en-GB"/>
              </w:rPr>
              <w:t>)</w:t>
            </w:r>
          </w:p>
        </w:tc>
      </w:tr>
      <w:tr w:rsidR="0021298F" w:rsidRPr="00E07C61" w14:paraId="6F4EAF48" w14:textId="77777777" w:rsidTr="00760009">
        <w:trPr>
          <w:trHeight w:val="287"/>
        </w:trPr>
        <w:tc>
          <w:tcPr>
            <w:tcW w:w="937" w:type="pct"/>
            <w:tcBorders>
              <w:top w:val="nil"/>
              <w:left w:val="nil"/>
              <w:bottom w:val="nil"/>
              <w:right w:val="nil"/>
            </w:tcBorders>
            <w:shd w:val="clear" w:color="000000" w:fill="FFFFFF"/>
            <w:vAlign w:val="center"/>
            <w:hideMark/>
          </w:tcPr>
          <w:p w14:paraId="2EC86C20" w14:textId="77777777" w:rsidR="0021298F" w:rsidRPr="00AE47CC" w:rsidRDefault="0021298F" w:rsidP="00760009">
            <w:pPr>
              <w:rPr>
                <w:rFonts w:ascii="Arial" w:eastAsia="Times New Roman" w:hAnsi="Arial" w:cs="Arial"/>
                <w:color w:val="000000"/>
                <w:lang w:eastAsia="en-GB"/>
              </w:rPr>
            </w:pPr>
            <w:r w:rsidRPr="00AE47CC">
              <w:rPr>
                <w:rFonts w:ascii="Arial" w:eastAsia="Times New Roman" w:hAnsi="Arial" w:cs="Arial"/>
                <w:color w:val="000000"/>
                <w:lang w:eastAsia="en-GB"/>
              </w:rPr>
              <w:t> </w:t>
            </w:r>
          </w:p>
        </w:tc>
        <w:tc>
          <w:tcPr>
            <w:tcW w:w="1173" w:type="pct"/>
            <w:vMerge/>
            <w:tcBorders>
              <w:top w:val="nil"/>
              <w:left w:val="nil"/>
              <w:bottom w:val="nil"/>
              <w:right w:val="nil"/>
            </w:tcBorders>
            <w:vAlign w:val="center"/>
          </w:tcPr>
          <w:p w14:paraId="59E8DC11" w14:textId="77777777" w:rsidR="0021298F" w:rsidRPr="00AE47CC" w:rsidRDefault="0021298F" w:rsidP="00760009">
            <w:pPr>
              <w:jc w:val="right"/>
              <w:rPr>
                <w:rFonts w:ascii="Arial" w:eastAsia="Times New Roman" w:hAnsi="Arial" w:cs="Arial"/>
                <w:color w:val="000000"/>
                <w:lang w:eastAsia="en-GB"/>
              </w:rPr>
            </w:pPr>
          </w:p>
        </w:tc>
        <w:tc>
          <w:tcPr>
            <w:tcW w:w="1172" w:type="pct"/>
            <w:tcBorders>
              <w:top w:val="nil"/>
              <w:left w:val="nil"/>
              <w:bottom w:val="nil"/>
              <w:right w:val="nil"/>
            </w:tcBorders>
            <w:shd w:val="clear" w:color="000000" w:fill="EDFFB7"/>
            <w:noWrap/>
            <w:vAlign w:val="center"/>
          </w:tcPr>
          <w:p w14:paraId="554F6D36" w14:textId="77777777" w:rsidR="0021298F" w:rsidRPr="00AE47CC" w:rsidRDefault="0021298F" w:rsidP="00760009">
            <w:pPr>
              <w:jc w:val="right"/>
              <w:rPr>
                <w:rFonts w:ascii="Arial" w:eastAsia="Times New Roman" w:hAnsi="Arial" w:cs="Arial"/>
                <w:color w:val="000000"/>
                <w:lang w:eastAsia="en-GB"/>
              </w:rPr>
            </w:pPr>
            <w:r w:rsidRPr="00AE47CC">
              <w:rPr>
                <w:rFonts w:ascii="Arial" w:eastAsia="Times New Roman" w:hAnsi="Arial" w:cs="Arial"/>
                <w:color w:val="000000"/>
                <w:lang w:eastAsia="en-GB"/>
              </w:rPr>
              <w:t>+ 10 per cent</w:t>
            </w:r>
          </w:p>
        </w:tc>
        <w:tc>
          <w:tcPr>
            <w:tcW w:w="1016" w:type="pct"/>
            <w:tcBorders>
              <w:top w:val="nil"/>
              <w:left w:val="nil"/>
              <w:bottom w:val="nil"/>
              <w:right w:val="nil"/>
            </w:tcBorders>
            <w:shd w:val="clear" w:color="000000" w:fill="EDFFB7"/>
            <w:noWrap/>
            <w:vAlign w:val="center"/>
          </w:tcPr>
          <w:p w14:paraId="631DA62E" w14:textId="77777777" w:rsidR="0021298F" w:rsidRPr="00AE47CC" w:rsidRDefault="0021298F" w:rsidP="00760009">
            <w:pPr>
              <w:jc w:val="right"/>
              <w:rPr>
                <w:rFonts w:ascii="Arial" w:eastAsia="Times New Roman" w:hAnsi="Arial" w:cs="Arial"/>
                <w:color w:val="000000"/>
                <w:lang w:eastAsia="en-GB"/>
              </w:rPr>
            </w:pPr>
            <w:r>
              <w:rPr>
                <w:rFonts w:ascii="Arial" w:eastAsia="Times New Roman" w:hAnsi="Arial" w:cs="Arial"/>
                <w:color w:val="000000"/>
                <w:lang w:eastAsia="en-GB"/>
              </w:rPr>
              <w:t>50,271</w:t>
            </w:r>
          </w:p>
        </w:tc>
        <w:tc>
          <w:tcPr>
            <w:tcW w:w="703" w:type="pct"/>
            <w:tcBorders>
              <w:top w:val="nil"/>
              <w:left w:val="nil"/>
              <w:bottom w:val="nil"/>
              <w:right w:val="nil"/>
            </w:tcBorders>
            <w:shd w:val="clear" w:color="000000" w:fill="EDFFB7"/>
            <w:noWrap/>
            <w:vAlign w:val="center"/>
          </w:tcPr>
          <w:p w14:paraId="037D0C54" w14:textId="77777777" w:rsidR="0021298F" w:rsidRPr="00AE47CC" w:rsidRDefault="0021298F" w:rsidP="00760009">
            <w:pPr>
              <w:jc w:val="right"/>
              <w:rPr>
                <w:rFonts w:ascii="Arial" w:eastAsia="Times New Roman" w:hAnsi="Arial" w:cs="Arial"/>
                <w:color w:val="000000"/>
                <w:lang w:eastAsia="en-GB"/>
              </w:rPr>
            </w:pPr>
            <w:r w:rsidRPr="00AE47CC">
              <w:rPr>
                <w:rFonts w:ascii="Arial" w:eastAsia="Times New Roman" w:hAnsi="Arial" w:cs="Arial"/>
                <w:color w:val="000000"/>
                <w:lang w:eastAsia="en-GB"/>
              </w:rPr>
              <w:t>6.</w:t>
            </w:r>
            <w:r>
              <w:rPr>
                <w:rFonts w:ascii="Arial" w:eastAsia="Times New Roman" w:hAnsi="Arial" w:cs="Arial"/>
                <w:color w:val="000000"/>
                <w:lang w:eastAsia="en-GB"/>
              </w:rPr>
              <w:t>8</w:t>
            </w:r>
          </w:p>
        </w:tc>
      </w:tr>
      <w:tr w:rsidR="0021298F" w:rsidRPr="00B95F19" w14:paraId="41A45FF1" w14:textId="77777777" w:rsidTr="00760009">
        <w:trPr>
          <w:trHeight w:val="95"/>
        </w:trPr>
        <w:tc>
          <w:tcPr>
            <w:tcW w:w="937" w:type="pct"/>
            <w:tcBorders>
              <w:top w:val="nil"/>
              <w:left w:val="nil"/>
              <w:bottom w:val="nil"/>
              <w:right w:val="nil"/>
            </w:tcBorders>
            <w:shd w:val="clear" w:color="000000" w:fill="FFFFFF"/>
            <w:vAlign w:val="center"/>
            <w:hideMark/>
          </w:tcPr>
          <w:p w14:paraId="38A742E9" w14:textId="77777777" w:rsidR="0021298F" w:rsidRPr="00AE47CC" w:rsidRDefault="0021298F" w:rsidP="00760009">
            <w:pPr>
              <w:rPr>
                <w:rFonts w:ascii="Arial" w:eastAsia="Times New Roman" w:hAnsi="Arial" w:cs="Arial"/>
                <w:color w:val="000000"/>
                <w:sz w:val="6"/>
                <w:lang w:eastAsia="en-GB"/>
              </w:rPr>
            </w:pPr>
            <w:r w:rsidRPr="00AE47CC">
              <w:rPr>
                <w:rFonts w:ascii="Arial" w:eastAsia="Times New Roman" w:hAnsi="Arial" w:cs="Arial"/>
                <w:color w:val="000000"/>
                <w:sz w:val="6"/>
                <w:lang w:eastAsia="en-GB"/>
              </w:rPr>
              <w:t> </w:t>
            </w:r>
          </w:p>
        </w:tc>
        <w:tc>
          <w:tcPr>
            <w:tcW w:w="1173" w:type="pct"/>
            <w:tcBorders>
              <w:top w:val="nil"/>
              <w:left w:val="nil"/>
              <w:bottom w:val="nil"/>
              <w:right w:val="nil"/>
            </w:tcBorders>
            <w:shd w:val="clear" w:color="000000" w:fill="EDFFB7"/>
            <w:noWrap/>
            <w:vAlign w:val="center"/>
          </w:tcPr>
          <w:p w14:paraId="03BEB1E6" w14:textId="77777777" w:rsidR="0021298F" w:rsidRPr="00AE47CC" w:rsidRDefault="0021298F" w:rsidP="00760009">
            <w:pPr>
              <w:jc w:val="right"/>
              <w:rPr>
                <w:rFonts w:ascii="Arial" w:eastAsia="Times New Roman" w:hAnsi="Arial" w:cs="Arial"/>
                <w:color w:val="000000"/>
                <w:sz w:val="6"/>
                <w:lang w:eastAsia="en-GB"/>
              </w:rPr>
            </w:pPr>
            <w:r w:rsidRPr="00AE47CC">
              <w:rPr>
                <w:rFonts w:ascii="Arial" w:eastAsia="Times New Roman" w:hAnsi="Arial" w:cs="Arial"/>
                <w:color w:val="000000"/>
                <w:sz w:val="6"/>
                <w:lang w:eastAsia="en-GB"/>
              </w:rPr>
              <w:t> </w:t>
            </w:r>
          </w:p>
        </w:tc>
        <w:tc>
          <w:tcPr>
            <w:tcW w:w="1172" w:type="pct"/>
            <w:tcBorders>
              <w:top w:val="nil"/>
              <w:left w:val="nil"/>
              <w:bottom w:val="nil"/>
              <w:right w:val="nil"/>
            </w:tcBorders>
            <w:shd w:val="clear" w:color="000000" w:fill="EDFFB7"/>
            <w:noWrap/>
            <w:vAlign w:val="center"/>
          </w:tcPr>
          <w:p w14:paraId="45BB8272" w14:textId="77777777" w:rsidR="0021298F" w:rsidRPr="00AE47CC" w:rsidRDefault="0021298F" w:rsidP="00760009">
            <w:pPr>
              <w:jc w:val="right"/>
              <w:rPr>
                <w:rFonts w:ascii="Arial" w:eastAsia="Times New Roman" w:hAnsi="Arial" w:cs="Arial"/>
                <w:color w:val="000000"/>
                <w:lang w:eastAsia="en-GB"/>
              </w:rPr>
            </w:pPr>
            <w:r w:rsidRPr="00AE47CC">
              <w:rPr>
                <w:rFonts w:ascii="Arial" w:eastAsia="Times New Roman" w:hAnsi="Arial" w:cs="Arial"/>
                <w:color w:val="000000"/>
                <w:lang w:eastAsia="en-GB"/>
              </w:rPr>
              <w:t> </w:t>
            </w:r>
          </w:p>
        </w:tc>
        <w:tc>
          <w:tcPr>
            <w:tcW w:w="1016" w:type="pct"/>
            <w:tcBorders>
              <w:top w:val="nil"/>
              <w:left w:val="nil"/>
              <w:bottom w:val="nil"/>
              <w:right w:val="nil"/>
            </w:tcBorders>
            <w:shd w:val="clear" w:color="000000" w:fill="EDFFB7"/>
            <w:noWrap/>
            <w:vAlign w:val="center"/>
          </w:tcPr>
          <w:p w14:paraId="45882A9A" w14:textId="77777777" w:rsidR="0021298F" w:rsidRPr="00AE47CC" w:rsidRDefault="0021298F" w:rsidP="00760009">
            <w:pPr>
              <w:jc w:val="right"/>
              <w:rPr>
                <w:rFonts w:ascii="Arial" w:eastAsia="Times New Roman" w:hAnsi="Arial" w:cs="Arial"/>
                <w:color w:val="000000"/>
                <w:lang w:eastAsia="en-GB"/>
              </w:rPr>
            </w:pPr>
          </w:p>
        </w:tc>
        <w:tc>
          <w:tcPr>
            <w:tcW w:w="703" w:type="pct"/>
            <w:tcBorders>
              <w:top w:val="nil"/>
              <w:left w:val="nil"/>
              <w:bottom w:val="nil"/>
              <w:right w:val="nil"/>
            </w:tcBorders>
            <w:shd w:val="clear" w:color="000000" w:fill="EDFFB7"/>
            <w:noWrap/>
            <w:vAlign w:val="center"/>
          </w:tcPr>
          <w:p w14:paraId="13D731F6" w14:textId="77777777" w:rsidR="0021298F" w:rsidRPr="00AE47CC" w:rsidRDefault="0021298F" w:rsidP="00760009">
            <w:pPr>
              <w:jc w:val="right"/>
              <w:rPr>
                <w:rFonts w:ascii="Arial" w:eastAsia="Times New Roman" w:hAnsi="Arial" w:cs="Arial"/>
                <w:color w:val="000000"/>
                <w:lang w:eastAsia="en-GB"/>
              </w:rPr>
            </w:pPr>
          </w:p>
        </w:tc>
      </w:tr>
      <w:tr w:rsidR="0021298F" w:rsidRPr="00E07C61" w14:paraId="789CB6D0" w14:textId="77777777" w:rsidTr="00760009">
        <w:trPr>
          <w:trHeight w:val="287"/>
        </w:trPr>
        <w:tc>
          <w:tcPr>
            <w:tcW w:w="937" w:type="pct"/>
            <w:tcBorders>
              <w:top w:val="nil"/>
              <w:left w:val="nil"/>
              <w:bottom w:val="nil"/>
              <w:right w:val="nil"/>
            </w:tcBorders>
            <w:shd w:val="clear" w:color="000000" w:fill="FFFFFF"/>
            <w:vAlign w:val="center"/>
            <w:hideMark/>
          </w:tcPr>
          <w:p w14:paraId="5A017585" w14:textId="77777777" w:rsidR="0021298F" w:rsidRPr="00AE47CC" w:rsidRDefault="0021298F" w:rsidP="00760009">
            <w:pPr>
              <w:rPr>
                <w:rFonts w:ascii="Arial" w:eastAsia="Times New Roman" w:hAnsi="Arial" w:cs="Arial"/>
                <w:color w:val="000000"/>
                <w:lang w:eastAsia="en-GB"/>
              </w:rPr>
            </w:pPr>
            <w:r w:rsidRPr="00AE47CC">
              <w:rPr>
                <w:rFonts w:ascii="Arial" w:eastAsia="Times New Roman" w:hAnsi="Arial" w:cs="Arial"/>
                <w:color w:val="000000"/>
                <w:lang w:eastAsia="en-GB"/>
              </w:rPr>
              <w:t>Inflation rate</w:t>
            </w:r>
          </w:p>
        </w:tc>
        <w:tc>
          <w:tcPr>
            <w:tcW w:w="1173" w:type="pct"/>
            <w:tcBorders>
              <w:top w:val="nil"/>
              <w:left w:val="nil"/>
              <w:bottom w:val="nil"/>
              <w:right w:val="nil"/>
            </w:tcBorders>
            <w:shd w:val="clear" w:color="000000" w:fill="EDFFB7"/>
            <w:noWrap/>
            <w:vAlign w:val="center"/>
          </w:tcPr>
          <w:p w14:paraId="05064869" w14:textId="77777777" w:rsidR="0021298F" w:rsidRPr="00AE47CC" w:rsidRDefault="0021298F" w:rsidP="00760009">
            <w:pPr>
              <w:jc w:val="right"/>
              <w:rPr>
                <w:rFonts w:ascii="Arial" w:eastAsia="Times New Roman" w:hAnsi="Arial" w:cs="Arial"/>
                <w:lang w:eastAsia="en-GB"/>
              </w:rPr>
            </w:pPr>
            <w:r w:rsidRPr="00AE47CC">
              <w:rPr>
                <w:rFonts w:ascii="Arial" w:eastAsia="Times New Roman" w:hAnsi="Arial" w:cs="Arial"/>
                <w:lang w:eastAsia="en-GB"/>
              </w:rPr>
              <w:t>2.00 per cent</w:t>
            </w:r>
          </w:p>
        </w:tc>
        <w:tc>
          <w:tcPr>
            <w:tcW w:w="1172" w:type="pct"/>
            <w:tcBorders>
              <w:top w:val="nil"/>
              <w:left w:val="nil"/>
              <w:bottom w:val="nil"/>
              <w:right w:val="nil"/>
            </w:tcBorders>
            <w:shd w:val="clear" w:color="000000" w:fill="EDFFB7"/>
            <w:noWrap/>
            <w:vAlign w:val="center"/>
          </w:tcPr>
          <w:p w14:paraId="5D14967F" w14:textId="77777777" w:rsidR="0021298F" w:rsidRPr="00AE47CC" w:rsidRDefault="0021298F" w:rsidP="00760009">
            <w:pPr>
              <w:jc w:val="right"/>
              <w:rPr>
                <w:rFonts w:ascii="Arial" w:eastAsia="Times New Roman" w:hAnsi="Arial" w:cs="Arial"/>
                <w:color w:val="000000"/>
                <w:lang w:eastAsia="en-GB"/>
              </w:rPr>
            </w:pPr>
            <w:r w:rsidRPr="00AE47CC">
              <w:rPr>
                <w:rFonts w:ascii="Arial" w:eastAsia="Times New Roman" w:hAnsi="Arial" w:cs="Arial"/>
                <w:color w:val="000000"/>
                <w:lang w:eastAsia="en-GB"/>
              </w:rPr>
              <w:t>- 0.5 per cent</w:t>
            </w:r>
          </w:p>
        </w:tc>
        <w:tc>
          <w:tcPr>
            <w:tcW w:w="1016" w:type="pct"/>
            <w:tcBorders>
              <w:top w:val="nil"/>
              <w:left w:val="nil"/>
              <w:bottom w:val="nil"/>
              <w:right w:val="nil"/>
            </w:tcBorders>
            <w:shd w:val="clear" w:color="000000" w:fill="EDFFB7"/>
            <w:noWrap/>
            <w:vAlign w:val="center"/>
          </w:tcPr>
          <w:p w14:paraId="79DE625F" w14:textId="77777777" w:rsidR="0021298F" w:rsidRPr="00AE47CC" w:rsidRDefault="0021298F" w:rsidP="00760009">
            <w:pPr>
              <w:jc w:val="right"/>
              <w:rPr>
                <w:rFonts w:ascii="Arial" w:eastAsia="Times New Roman" w:hAnsi="Arial" w:cs="Arial"/>
                <w:color w:val="000000"/>
                <w:lang w:eastAsia="en-GB"/>
              </w:rPr>
            </w:pPr>
            <w:r w:rsidRPr="00AE47CC">
              <w:rPr>
                <w:rFonts w:ascii="Arial" w:eastAsia="Times New Roman" w:hAnsi="Arial" w:cs="Arial"/>
                <w:color w:val="000000"/>
                <w:lang w:eastAsia="en-GB"/>
              </w:rPr>
              <w:t>(3</w:t>
            </w:r>
            <w:r>
              <w:rPr>
                <w:rFonts w:ascii="Arial" w:eastAsia="Times New Roman" w:hAnsi="Arial" w:cs="Arial"/>
                <w:color w:val="000000"/>
                <w:lang w:eastAsia="en-GB"/>
              </w:rPr>
              <w:t>5</w:t>
            </w:r>
            <w:r w:rsidRPr="00AE47CC">
              <w:rPr>
                <w:rFonts w:ascii="Arial" w:eastAsia="Times New Roman" w:hAnsi="Arial" w:cs="Arial"/>
                <w:color w:val="000000"/>
                <w:lang w:eastAsia="en-GB"/>
              </w:rPr>
              <w:t>,</w:t>
            </w:r>
            <w:r>
              <w:rPr>
                <w:rFonts w:ascii="Arial" w:eastAsia="Times New Roman" w:hAnsi="Arial" w:cs="Arial"/>
                <w:color w:val="000000"/>
                <w:lang w:eastAsia="en-GB"/>
              </w:rPr>
              <w:t>854</w:t>
            </w:r>
            <w:r w:rsidRPr="00AE47CC">
              <w:rPr>
                <w:rFonts w:ascii="Arial" w:eastAsia="Times New Roman" w:hAnsi="Arial" w:cs="Arial"/>
                <w:color w:val="000000"/>
                <w:lang w:eastAsia="en-GB"/>
              </w:rPr>
              <w:t>)</w:t>
            </w:r>
          </w:p>
        </w:tc>
        <w:tc>
          <w:tcPr>
            <w:tcW w:w="703" w:type="pct"/>
            <w:tcBorders>
              <w:top w:val="nil"/>
              <w:left w:val="nil"/>
              <w:bottom w:val="nil"/>
              <w:right w:val="nil"/>
            </w:tcBorders>
            <w:shd w:val="clear" w:color="000000" w:fill="EDFFB7"/>
            <w:noWrap/>
            <w:vAlign w:val="center"/>
          </w:tcPr>
          <w:p w14:paraId="6370C75A" w14:textId="77777777" w:rsidR="0021298F" w:rsidRPr="00AE47CC" w:rsidRDefault="0021298F" w:rsidP="00760009">
            <w:pPr>
              <w:jc w:val="right"/>
              <w:rPr>
                <w:rFonts w:ascii="Arial" w:eastAsia="Times New Roman" w:hAnsi="Arial" w:cs="Arial"/>
                <w:color w:val="000000"/>
                <w:lang w:eastAsia="en-GB"/>
              </w:rPr>
            </w:pPr>
            <w:r w:rsidRPr="00AE47CC">
              <w:rPr>
                <w:rFonts w:ascii="Arial" w:eastAsia="Times New Roman" w:hAnsi="Arial" w:cs="Arial"/>
                <w:color w:val="000000"/>
                <w:lang w:eastAsia="en-GB"/>
              </w:rPr>
              <w:t>(4.</w:t>
            </w:r>
            <w:r>
              <w:rPr>
                <w:rFonts w:ascii="Arial" w:eastAsia="Times New Roman" w:hAnsi="Arial" w:cs="Arial"/>
                <w:color w:val="000000"/>
                <w:lang w:eastAsia="en-GB"/>
              </w:rPr>
              <w:t>8</w:t>
            </w:r>
            <w:r w:rsidRPr="00AE47CC">
              <w:rPr>
                <w:rFonts w:ascii="Arial" w:eastAsia="Times New Roman" w:hAnsi="Arial" w:cs="Arial"/>
                <w:color w:val="000000"/>
                <w:lang w:eastAsia="en-GB"/>
              </w:rPr>
              <w:t>)</w:t>
            </w:r>
          </w:p>
        </w:tc>
      </w:tr>
      <w:tr w:rsidR="0021298F" w:rsidRPr="00E07C61" w14:paraId="66D1F93A" w14:textId="77777777" w:rsidTr="00760009">
        <w:trPr>
          <w:trHeight w:val="302"/>
        </w:trPr>
        <w:tc>
          <w:tcPr>
            <w:tcW w:w="937" w:type="pct"/>
            <w:tcBorders>
              <w:top w:val="nil"/>
              <w:left w:val="nil"/>
              <w:bottom w:val="nil"/>
              <w:right w:val="nil"/>
            </w:tcBorders>
            <w:shd w:val="clear" w:color="000000" w:fill="FFFFFF"/>
            <w:vAlign w:val="center"/>
            <w:hideMark/>
          </w:tcPr>
          <w:p w14:paraId="2F1E31B7" w14:textId="77777777" w:rsidR="0021298F" w:rsidRPr="00AE47CC" w:rsidRDefault="0021298F" w:rsidP="00760009">
            <w:pPr>
              <w:rPr>
                <w:rFonts w:ascii="Arial" w:eastAsia="Times New Roman" w:hAnsi="Arial" w:cs="Arial"/>
                <w:color w:val="000000"/>
                <w:lang w:eastAsia="en-GB"/>
              </w:rPr>
            </w:pPr>
            <w:r w:rsidRPr="00AE47CC">
              <w:rPr>
                <w:rFonts w:ascii="Arial" w:eastAsia="Times New Roman" w:hAnsi="Arial" w:cs="Arial"/>
                <w:color w:val="000000"/>
                <w:lang w:eastAsia="en-GB"/>
              </w:rPr>
              <w:t> </w:t>
            </w:r>
          </w:p>
        </w:tc>
        <w:tc>
          <w:tcPr>
            <w:tcW w:w="1173" w:type="pct"/>
            <w:tcBorders>
              <w:top w:val="nil"/>
              <w:left w:val="nil"/>
              <w:bottom w:val="nil"/>
              <w:right w:val="nil"/>
            </w:tcBorders>
            <w:shd w:val="clear" w:color="000000" w:fill="EDFFB7"/>
            <w:noWrap/>
            <w:vAlign w:val="center"/>
          </w:tcPr>
          <w:p w14:paraId="3465FF8A" w14:textId="77777777" w:rsidR="0021298F" w:rsidRPr="00AE47CC" w:rsidRDefault="0021298F" w:rsidP="00760009">
            <w:pPr>
              <w:jc w:val="right"/>
              <w:rPr>
                <w:rFonts w:ascii="Arial" w:eastAsia="Times New Roman" w:hAnsi="Arial" w:cs="Arial"/>
                <w:color w:val="000000"/>
                <w:lang w:eastAsia="en-GB"/>
              </w:rPr>
            </w:pPr>
          </w:p>
        </w:tc>
        <w:tc>
          <w:tcPr>
            <w:tcW w:w="1172" w:type="pct"/>
            <w:tcBorders>
              <w:top w:val="nil"/>
              <w:left w:val="nil"/>
              <w:bottom w:val="nil"/>
              <w:right w:val="nil"/>
            </w:tcBorders>
            <w:shd w:val="clear" w:color="000000" w:fill="EDFFB7"/>
            <w:noWrap/>
            <w:vAlign w:val="center"/>
          </w:tcPr>
          <w:p w14:paraId="4809249A" w14:textId="77777777" w:rsidR="0021298F" w:rsidRPr="00AE47CC" w:rsidRDefault="0021298F" w:rsidP="00760009">
            <w:pPr>
              <w:jc w:val="right"/>
              <w:rPr>
                <w:rFonts w:ascii="Arial" w:eastAsia="Times New Roman" w:hAnsi="Arial" w:cs="Arial"/>
                <w:color w:val="000000"/>
                <w:lang w:eastAsia="en-GB"/>
              </w:rPr>
            </w:pPr>
            <w:r w:rsidRPr="00AE47CC">
              <w:rPr>
                <w:rFonts w:ascii="Arial" w:eastAsia="Times New Roman" w:hAnsi="Arial" w:cs="Arial"/>
                <w:color w:val="000000"/>
                <w:lang w:eastAsia="en-GB"/>
              </w:rPr>
              <w:t>+ 0.5 per cent</w:t>
            </w:r>
          </w:p>
        </w:tc>
        <w:tc>
          <w:tcPr>
            <w:tcW w:w="1016" w:type="pct"/>
            <w:tcBorders>
              <w:top w:val="nil"/>
              <w:left w:val="nil"/>
              <w:bottom w:val="nil"/>
              <w:right w:val="nil"/>
            </w:tcBorders>
            <w:shd w:val="clear" w:color="000000" w:fill="EDFFB7"/>
            <w:noWrap/>
            <w:vAlign w:val="center"/>
          </w:tcPr>
          <w:p w14:paraId="21CE0F20" w14:textId="77777777" w:rsidR="0021298F" w:rsidRPr="00AE47CC" w:rsidRDefault="0021298F" w:rsidP="00760009">
            <w:pPr>
              <w:jc w:val="right"/>
              <w:rPr>
                <w:rFonts w:ascii="Arial" w:eastAsia="Times New Roman" w:hAnsi="Arial" w:cs="Arial"/>
                <w:color w:val="000000"/>
                <w:lang w:eastAsia="en-GB"/>
              </w:rPr>
            </w:pPr>
            <w:r w:rsidRPr="00AE47CC">
              <w:rPr>
                <w:rFonts w:ascii="Arial" w:eastAsia="Times New Roman" w:hAnsi="Arial" w:cs="Arial"/>
                <w:color w:val="000000"/>
                <w:lang w:eastAsia="en-GB"/>
              </w:rPr>
              <w:t>3</w:t>
            </w:r>
            <w:r>
              <w:rPr>
                <w:rFonts w:ascii="Arial" w:eastAsia="Times New Roman" w:hAnsi="Arial" w:cs="Arial"/>
                <w:color w:val="000000"/>
                <w:lang w:eastAsia="en-GB"/>
              </w:rPr>
              <w:t>9</w:t>
            </w:r>
            <w:r w:rsidRPr="00AE47CC">
              <w:rPr>
                <w:rFonts w:ascii="Arial" w:eastAsia="Times New Roman" w:hAnsi="Arial" w:cs="Arial"/>
                <w:color w:val="000000"/>
                <w:lang w:eastAsia="en-GB"/>
              </w:rPr>
              <w:t>,</w:t>
            </w:r>
            <w:r>
              <w:rPr>
                <w:rFonts w:ascii="Arial" w:eastAsia="Times New Roman" w:hAnsi="Arial" w:cs="Arial"/>
                <w:color w:val="000000"/>
                <w:lang w:eastAsia="en-GB"/>
              </w:rPr>
              <w:t>781</w:t>
            </w:r>
          </w:p>
        </w:tc>
        <w:tc>
          <w:tcPr>
            <w:tcW w:w="703" w:type="pct"/>
            <w:tcBorders>
              <w:top w:val="nil"/>
              <w:left w:val="nil"/>
              <w:bottom w:val="nil"/>
              <w:right w:val="nil"/>
            </w:tcBorders>
            <w:shd w:val="clear" w:color="000000" w:fill="EDFFB7"/>
            <w:noWrap/>
            <w:vAlign w:val="center"/>
          </w:tcPr>
          <w:p w14:paraId="7926F6AB" w14:textId="77777777" w:rsidR="0021298F" w:rsidRPr="00AE47CC" w:rsidRDefault="0021298F" w:rsidP="00760009">
            <w:pPr>
              <w:jc w:val="right"/>
              <w:rPr>
                <w:rFonts w:ascii="Arial" w:eastAsia="Times New Roman" w:hAnsi="Arial" w:cs="Arial"/>
                <w:color w:val="000000"/>
                <w:lang w:eastAsia="en-GB"/>
              </w:rPr>
            </w:pPr>
            <w:r>
              <w:rPr>
                <w:rFonts w:ascii="Arial" w:eastAsia="Times New Roman" w:hAnsi="Arial" w:cs="Arial"/>
                <w:color w:val="000000"/>
                <w:lang w:eastAsia="en-GB"/>
              </w:rPr>
              <w:t>5.4</w:t>
            </w:r>
          </w:p>
        </w:tc>
      </w:tr>
      <w:tr w:rsidR="0021298F" w:rsidRPr="00E07C61" w14:paraId="30FA86C1" w14:textId="77777777" w:rsidTr="00760009">
        <w:trPr>
          <w:trHeight w:val="302"/>
        </w:trPr>
        <w:tc>
          <w:tcPr>
            <w:tcW w:w="937" w:type="pct"/>
            <w:tcBorders>
              <w:top w:val="nil"/>
              <w:left w:val="nil"/>
              <w:bottom w:val="nil"/>
              <w:right w:val="nil"/>
            </w:tcBorders>
            <w:shd w:val="clear" w:color="000000" w:fill="FFFFFF"/>
            <w:vAlign w:val="center"/>
          </w:tcPr>
          <w:p w14:paraId="205310B2" w14:textId="77777777" w:rsidR="0021298F" w:rsidRPr="00AE47CC" w:rsidRDefault="0021298F" w:rsidP="00760009">
            <w:pPr>
              <w:rPr>
                <w:rFonts w:ascii="Arial" w:eastAsia="Times New Roman" w:hAnsi="Arial" w:cs="Arial"/>
                <w:color w:val="000000"/>
                <w:lang w:eastAsia="en-GB"/>
              </w:rPr>
            </w:pPr>
          </w:p>
        </w:tc>
        <w:tc>
          <w:tcPr>
            <w:tcW w:w="1173" w:type="pct"/>
            <w:tcBorders>
              <w:top w:val="nil"/>
              <w:left w:val="nil"/>
              <w:bottom w:val="nil"/>
              <w:right w:val="nil"/>
            </w:tcBorders>
            <w:shd w:val="clear" w:color="000000" w:fill="EDFFB7"/>
            <w:noWrap/>
            <w:vAlign w:val="center"/>
          </w:tcPr>
          <w:p w14:paraId="2DB44259" w14:textId="77777777" w:rsidR="0021298F" w:rsidRPr="00AE47CC" w:rsidRDefault="0021298F" w:rsidP="00760009">
            <w:pPr>
              <w:jc w:val="right"/>
              <w:rPr>
                <w:rFonts w:ascii="Arial" w:eastAsia="Times New Roman" w:hAnsi="Arial" w:cs="Arial"/>
                <w:color w:val="000000"/>
                <w:lang w:eastAsia="en-GB"/>
              </w:rPr>
            </w:pPr>
          </w:p>
        </w:tc>
        <w:tc>
          <w:tcPr>
            <w:tcW w:w="1172" w:type="pct"/>
            <w:tcBorders>
              <w:top w:val="nil"/>
              <w:left w:val="nil"/>
              <w:bottom w:val="nil"/>
              <w:right w:val="nil"/>
            </w:tcBorders>
            <w:shd w:val="clear" w:color="000000" w:fill="EDFFB7"/>
            <w:noWrap/>
            <w:vAlign w:val="center"/>
          </w:tcPr>
          <w:p w14:paraId="77622752" w14:textId="77777777" w:rsidR="0021298F" w:rsidRPr="00AE47CC" w:rsidRDefault="0021298F" w:rsidP="00760009">
            <w:pPr>
              <w:jc w:val="right"/>
              <w:rPr>
                <w:rFonts w:ascii="Arial" w:eastAsia="Times New Roman" w:hAnsi="Arial" w:cs="Arial"/>
                <w:color w:val="000000"/>
                <w:lang w:eastAsia="en-GB"/>
              </w:rPr>
            </w:pPr>
          </w:p>
        </w:tc>
        <w:tc>
          <w:tcPr>
            <w:tcW w:w="1016" w:type="pct"/>
            <w:tcBorders>
              <w:top w:val="nil"/>
              <w:left w:val="nil"/>
              <w:bottom w:val="nil"/>
              <w:right w:val="nil"/>
            </w:tcBorders>
            <w:shd w:val="clear" w:color="000000" w:fill="EDFFB7"/>
            <w:noWrap/>
            <w:vAlign w:val="center"/>
          </w:tcPr>
          <w:p w14:paraId="0B8B7093" w14:textId="77777777" w:rsidR="0021298F" w:rsidRPr="00AE47CC" w:rsidRDefault="0021298F" w:rsidP="00760009">
            <w:pPr>
              <w:jc w:val="right"/>
              <w:rPr>
                <w:rFonts w:ascii="Arial" w:eastAsia="Times New Roman" w:hAnsi="Arial" w:cs="Arial"/>
                <w:color w:val="000000"/>
                <w:lang w:eastAsia="en-GB"/>
              </w:rPr>
            </w:pPr>
          </w:p>
        </w:tc>
        <w:tc>
          <w:tcPr>
            <w:tcW w:w="703" w:type="pct"/>
            <w:tcBorders>
              <w:top w:val="nil"/>
              <w:left w:val="nil"/>
              <w:bottom w:val="nil"/>
              <w:right w:val="nil"/>
            </w:tcBorders>
            <w:shd w:val="clear" w:color="000000" w:fill="EDFFB7"/>
            <w:noWrap/>
            <w:vAlign w:val="center"/>
          </w:tcPr>
          <w:p w14:paraId="7F6A6D92" w14:textId="77777777" w:rsidR="0021298F" w:rsidRPr="00AE47CC" w:rsidRDefault="0021298F" w:rsidP="00760009">
            <w:pPr>
              <w:jc w:val="right"/>
              <w:rPr>
                <w:rFonts w:ascii="Arial" w:eastAsia="Times New Roman" w:hAnsi="Arial" w:cs="Arial"/>
                <w:color w:val="000000"/>
                <w:lang w:eastAsia="en-GB"/>
              </w:rPr>
            </w:pPr>
          </w:p>
        </w:tc>
      </w:tr>
      <w:tr w:rsidR="0021298F" w:rsidRPr="00E07C61" w14:paraId="3D2737FC" w14:textId="77777777" w:rsidTr="00760009">
        <w:trPr>
          <w:trHeight w:val="302"/>
        </w:trPr>
        <w:tc>
          <w:tcPr>
            <w:tcW w:w="937" w:type="pct"/>
            <w:tcBorders>
              <w:top w:val="nil"/>
              <w:left w:val="nil"/>
              <w:bottom w:val="nil"/>
              <w:right w:val="nil"/>
            </w:tcBorders>
            <w:shd w:val="clear" w:color="000000" w:fill="FFFFFF"/>
            <w:vAlign w:val="center"/>
          </w:tcPr>
          <w:p w14:paraId="161078C0" w14:textId="77777777" w:rsidR="0021298F" w:rsidRPr="00AE47CC" w:rsidRDefault="0021298F" w:rsidP="00760009">
            <w:pPr>
              <w:rPr>
                <w:rFonts w:ascii="Arial" w:eastAsia="Times New Roman" w:hAnsi="Arial" w:cs="Arial"/>
                <w:color w:val="000000"/>
                <w:lang w:eastAsia="en-GB"/>
              </w:rPr>
            </w:pPr>
            <w:r w:rsidRPr="00AE47CC">
              <w:rPr>
                <w:rFonts w:ascii="Arial" w:eastAsia="Times New Roman" w:hAnsi="Arial" w:cs="Arial"/>
                <w:color w:val="000000"/>
                <w:lang w:eastAsia="en-GB"/>
              </w:rPr>
              <w:t>Asset Life</w:t>
            </w:r>
          </w:p>
        </w:tc>
        <w:tc>
          <w:tcPr>
            <w:tcW w:w="1173" w:type="pct"/>
            <w:tcBorders>
              <w:top w:val="nil"/>
              <w:left w:val="nil"/>
              <w:bottom w:val="nil"/>
              <w:right w:val="nil"/>
            </w:tcBorders>
            <w:shd w:val="clear" w:color="000000" w:fill="EDFFB7"/>
            <w:noWrap/>
            <w:vAlign w:val="center"/>
          </w:tcPr>
          <w:p w14:paraId="10F5210A" w14:textId="77777777" w:rsidR="0021298F" w:rsidRPr="00AE47CC" w:rsidRDefault="0021298F" w:rsidP="00760009">
            <w:pPr>
              <w:jc w:val="right"/>
              <w:rPr>
                <w:rFonts w:ascii="Arial" w:eastAsia="Times New Roman" w:hAnsi="Arial" w:cs="Arial"/>
                <w:color w:val="000000"/>
                <w:lang w:eastAsia="en-GB"/>
              </w:rPr>
            </w:pPr>
            <w:r w:rsidRPr="00AE47CC">
              <w:rPr>
                <w:rFonts w:ascii="Arial" w:eastAsia="Times New Roman" w:hAnsi="Arial" w:cs="Arial"/>
                <w:color w:val="000000"/>
                <w:lang w:eastAsia="en-GB"/>
              </w:rPr>
              <w:t>30 years</w:t>
            </w:r>
          </w:p>
        </w:tc>
        <w:tc>
          <w:tcPr>
            <w:tcW w:w="1172" w:type="pct"/>
            <w:tcBorders>
              <w:top w:val="nil"/>
              <w:left w:val="nil"/>
              <w:bottom w:val="nil"/>
              <w:right w:val="nil"/>
            </w:tcBorders>
            <w:shd w:val="clear" w:color="000000" w:fill="EDFFB7"/>
            <w:noWrap/>
            <w:vAlign w:val="center"/>
          </w:tcPr>
          <w:p w14:paraId="27013475" w14:textId="77777777" w:rsidR="0021298F" w:rsidRPr="00AE47CC" w:rsidRDefault="0021298F" w:rsidP="00760009">
            <w:pPr>
              <w:pStyle w:val="ListParagraph"/>
              <w:rPr>
                <w:rFonts w:ascii="Arial" w:eastAsia="Times New Roman" w:hAnsi="Arial" w:cs="Arial"/>
                <w:color w:val="000000"/>
                <w:lang w:eastAsia="en-GB"/>
              </w:rPr>
            </w:pPr>
            <w:r w:rsidRPr="00AE47CC">
              <w:rPr>
                <w:rFonts w:ascii="Arial" w:eastAsia="Times New Roman" w:hAnsi="Arial" w:cs="Arial"/>
                <w:color w:val="000000"/>
                <w:lang w:eastAsia="en-GB"/>
              </w:rPr>
              <w:t xml:space="preserve">     - 5 years </w:t>
            </w:r>
          </w:p>
        </w:tc>
        <w:tc>
          <w:tcPr>
            <w:tcW w:w="1016" w:type="pct"/>
            <w:tcBorders>
              <w:top w:val="nil"/>
              <w:left w:val="nil"/>
              <w:bottom w:val="nil"/>
              <w:right w:val="nil"/>
            </w:tcBorders>
            <w:shd w:val="clear" w:color="000000" w:fill="EDFFB7"/>
            <w:noWrap/>
            <w:vAlign w:val="center"/>
          </w:tcPr>
          <w:p w14:paraId="74462C57" w14:textId="77777777" w:rsidR="0021298F" w:rsidRPr="00AE47CC" w:rsidRDefault="0021298F" w:rsidP="00760009">
            <w:pPr>
              <w:jc w:val="right"/>
              <w:rPr>
                <w:rFonts w:ascii="Arial" w:eastAsia="Times New Roman" w:hAnsi="Arial" w:cs="Arial"/>
                <w:color w:val="000000"/>
                <w:lang w:eastAsia="en-GB"/>
              </w:rPr>
            </w:pPr>
            <w:r w:rsidRPr="00AE47CC">
              <w:rPr>
                <w:rFonts w:ascii="Arial" w:eastAsia="Times New Roman" w:hAnsi="Arial" w:cs="Arial"/>
                <w:color w:val="000000"/>
                <w:lang w:eastAsia="en-GB"/>
              </w:rPr>
              <w:t>(8</w:t>
            </w:r>
            <w:r>
              <w:rPr>
                <w:rFonts w:ascii="Arial" w:eastAsia="Times New Roman" w:hAnsi="Arial" w:cs="Arial"/>
                <w:color w:val="000000"/>
                <w:lang w:eastAsia="en-GB"/>
              </w:rPr>
              <w:t>4</w:t>
            </w:r>
            <w:r w:rsidRPr="00AE47CC">
              <w:rPr>
                <w:rFonts w:ascii="Arial" w:eastAsia="Times New Roman" w:hAnsi="Arial" w:cs="Arial"/>
                <w:color w:val="000000"/>
                <w:lang w:eastAsia="en-GB"/>
              </w:rPr>
              <w:t>,281)</w:t>
            </w:r>
          </w:p>
        </w:tc>
        <w:tc>
          <w:tcPr>
            <w:tcW w:w="703" w:type="pct"/>
            <w:tcBorders>
              <w:top w:val="nil"/>
              <w:left w:val="nil"/>
              <w:bottom w:val="nil"/>
              <w:right w:val="nil"/>
            </w:tcBorders>
            <w:shd w:val="clear" w:color="000000" w:fill="EDFFB7"/>
            <w:noWrap/>
            <w:vAlign w:val="center"/>
          </w:tcPr>
          <w:p w14:paraId="431FFC84" w14:textId="77777777" w:rsidR="0021298F" w:rsidRPr="00AE47CC" w:rsidRDefault="0021298F" w:rsidP="00760009">
            <w:pPr>
              <w:jc w:val="right"/>
              <w:rPr>
                <w:rFonts w:ascii="Arial" w:eastAsia="Times New Roman" w:hAnsi="Arial" w:cs="Arial"/>
                <w:color w:val="000000"/>
                <w:lang w:eastAsia="en-GB"/>
              </w:rPr>
            </w:pPr>
            <w:r w:rsidRPr="00AE47CC">
              <w:rPr>
                <w:rFonts w:ascii="Arial" w:eastAsia="Times New Roman" w:hAnsi="Arial" w:cs="Arial"/>
                <w:color w:val="000000"/>
                <w:lang w:eastAsia="en-GB"/>
              </w:rPr>
              <w:t>(11.</w:t>
            </w:r>
            <w:r>
              <w:rPr>
                <w:rFonts w:ascii="Arial" w:eastAsia="Times New Roman" w:hAnsi="Arial" w:cs="Arial"/>
                <w:color w:val="000000"/>
                <w:lang w:eastAsia="en-GB"/>
              </w:rPr>
              <w:t>3</w:t>
            </w:r>
            <w:r w:rsidRPr="00AE47CC">
              <w:rPr>
                <w:rFonts w:ascii="Arial" w:eastAsia="Times New Roman" w:hAnsi="Arial" w:cs="Arial"/>
                <w:color w:val="000000"/>
                <w:lang w:eastAsia="en-GB"/>
              </w:rPr>
              <w:t>)</w:t>
            </w:r>
          </w:p>
        </w:tc>
      </w:tr>
      <w:tr w:rsidR="0021298F" w:rsidRPr="00E07C61" w14:paraId="6B588639" w14:textId="77777777" w:rsidTr="00760009">
        <w:trPr>
          <w:trHeight w:val="302"/>
        </w:trPr>
        <w:tc>
          <w:tcPr>
            <w:tcW w:w="937" w:type="pct"/>
            <w:tcBorders>
              <w:top w:val="nil"/>
              <w:left w:val="nil"/>
              <w:bottom w:val="nil"/>
              <w:right w:val="nil"/>
            </w:tcBorders>
            <w:shd w:val="clear" w:color="000000" w:fill="FFFFFF"/>
            <w:vAlign w:val="center"/>
          </w:tcPr>
          <w:p w14:paraId="249B84D5" w14:textId="77777777" w:rsidR="0021298F" w:rsidRPr="00AE47CC" w:rsidRDefault="0021298F" w:rsidP="00760009">
            <w:pPr>
              <w:rPr>
                <w:rFonts w:ascii="Arial" w:eastAsia="Times New Roman" w:hAnsi="Arial" w:cs="Arial"/>
                <w:color w:val="000000"/>
                <w:lang w:eastAsia="en-GB"/>
              </w:rPr>
            </w:pPr>
          </w:p>
        </w:tc>
        <w:tc>
          <w:tcPr>
            <w:tcW w:w="1173" w:type="pct"/>
            <w:tcBorders>
              <w:top w:val="nil"/>
              <w:left w:val="nil"/>
              <w:bottom w:val="nil"/>
              <w:right w:val="nil"/>
            </w:tcBorders>
            <w:shd w:val="clear" w:color="000000" w:fill="EDFFB7"/>
            <w:noWrap/>
            <w:vAlign w:val="center"/>
          </w:tcPr>
          <w:p w14:paraId="7D43A163" w14:textId="77777777" w:rsidR="0021298F" w:rsidRPr="00AE47CC" w:rsidRDefault="0021298F" w:rsidP="00760009">
            <w:pPr>
              <w:jc w:val="both"/>
              <w:rPr>
                <w:rFonts w:ascii="Arial" w:eastAsia="Times New Roman" w:hAnsi="Arial" w:cs="Arial"/>
                <w:color w:val="000000"/>
                <w:lang w:eastAsia="en-GB"/>
              </w:rPr>
            </w:pPr>
          </w:p>
        </w:tc>
        <w:tc>
          <w:tcPr>
            <w:tcW w:w="1172" w:type="pct"/>
            <w:tcBorders>
              <w:top w:val="nil"/>
              <w:left w:val="nil"/>
              <w:bottom w:val="nil"/>
              <w:right w:val="nil"/>
            </w:tcBorders>
            <w:shd w:val="clear" w:color="000000" w:fill="EDFFB7"/>
            <w:noWrap/>
            <w:vAlign w:val="center"/>
          </w:tcPr>
          <w:p w14:paraId="26935425" w14:textId="77777777" w:rsidR="0021298F" w:rsidRPr="00AE47CC" w:rsidRDefault="0021298F" w:rsidP="00760009">
            <w:pPr>
              <w:jc w:val="right"/>
              <w:rPr>
                <w:rFonts w:ascii="Arial" w:eastAsia="Times New Roman" w:hAnsi="Arial" w:cs="Arial"/>
                <w:color w:val="000000"/>
                <w:lang w:eastAsia="en-GB"/>
              </w:rPr>
            </w:pPr>
            <w:r w:rsidRPr="00AE47CC">
              <w:rPr>
                <w:rFonts w:ascii="Arial" w:eastAsia="Times New Roman" w:hAnsi="Arial" w:cs="Arial"/>
                <w:color w:val="000000"/>
                <w:lang w:eastAsia="en-GB"/>
              </w:rPr>
              <w:t>+ 5 years</w:t>
            </w:r>
          </w:p>
        </w:tc>
        <w:tc>
          <w:tcPr>
            <w:tcW w:w="1016" w:type="pct"/>
            <w:tcBorders>
              <w:top w:val="nil"/>
              <w:left w:val="nil"/>
              <w:bottom w:val="nil"/>
              <w:right w:val="nil"/>
            </w:tcBorders>
            <w:shd w:val="clear" w:color="000000" w:fill="EDFFB7"/>
            <w:noWrap/>
            <w:vAlign w:val="center"/>
          </w:tcPr>
          <w:p w14:paraId="7D0FC89C" w14:textId="77777777" w:rsidR="0021298F" w:rsidRPr="00AE47CC" w:rsidRDefault="0021298F" w:rsidP="00760009">
            <w:pPr>
              <w:jc w:val="right"/>
              <w:rPr>
                <w:rFonts w:ascii="Arial" w:eastAsia="Times New Roman" w:hAnsi="Arial" w:cs="Arial"/>
                <w:color w:val="000000"/>
                <w:lang w:eastAsia="en-GB"/>
              </w:rPr>
            </w:pPr>
            <w:r w:rsidRPr="00AE47CC">
              <w:rPr>
                <w:rFonts w:ascii="Arial" w:eastAsia="Times New Roman" w:hAnsi="Arial" w:cs="Arial"/>
                <w:color w:val="000000"/>
                <w:lang w:eastAsia="en-GB"/>
              </w:rPr>
              <w:t>68,235</w:t>
            </w:r>
          </w:p>
        </w:tc>
        <w:tc>
          <w:tcPr>
            <w:tcW w:w="703" w:type="pct"/>
            <w:tcBorders>
              <w:top w:val="nil"/>
              <w:left w:val="nil"/>
              <w:bottom w:val="nil"/>
              <w:right w:val="nil"/>
            </w:tcBorders>
            <w:shd w:val="clear" w:color="000000" w:fill="EDFFB7"/>
            <w:noWrap/>
            <w:vAlign w:val="center"/>
          </w:tcPr>
          <w:p w14:paraId="618FF936" w14:textId="77777777" w:rsidR="0021298F" w:rsidRPr="00AE47CC" w:rsidRDefault="0021298F" w:rsidP="00760009">
            <w:pPr>
              <w:jc w:val="right"/>
              <w:rPr>
                <w:rFonts w:ascii="Arial" w:eastAsia="Times New Roman" w:hAnsi="Arial" w:cs="Arial"/>
                <w:color w:val="000000"/>
                <w:lang w:eastAsia="en-GB"/>
              </w:rPr>
            </w:pPr>
            <w:r w:rsidRPr="00737818">
              <w:rPr>
                <w:rFonts w:ascii="Arial" w:eastAsia="Times New Roman" w:hAnsi="Arial" w:cs="Arial"/>
                <w:color w:val="000000"/>
                <w:lang w:eastAsia="en-GB"/>
              </w:rPr>
              <w:t>9.2</w:t>
            </w:r>
          </w:p>
        </w:tc>
      </w:tr>
    </w:tbl>
    <w:p w14:paraId="3E223158" w14:textId="77777777" w:rsidR="0021298F" w:rsidRDefault="0021298F" w:rsidP="0021298F">
      <w:pPr>
        <w:jc w:val="both"/>
        <w:rPr>
          <w:rFonts w:ascii="Arial" w:hAnsi="Arial" w:cs="Arial"/>
        </w:rPr>
      </w:pPr>
    </w:p>
    <w:p w14:paraId="40CBC187" w14:textId="77777777" w:rsidR="0021298F" w:rsidRDefault="0021298F" w:rsidP="0021298F">
      <w:pPr>
        <w:jc w:val="both"/>
        <w:rPr>
          <w:rFonts w:ascii="Arial" w:hAnsi="Arial" w:cs="Arial"/>
        </w:rPr>
      </w:pPr>
      <w:r w:rsidRPr="00260407">
        <w:rPr>
          <w:rFonts w:ascii="Arial" w:hAnsi="Arial" w:cs="Arial"/>
        </w:rPr>
        <w:t>The sensitivities above are assumed to be independent of each other. Combined sensitivities are not presented.</w:t>
      </w:r>
      <w:r w:rsidRPr="00BA0E91">
        <w:rPr>
          <w:rFonts w:ascii="Arial" w:hAnsi="Arial" w:cs="Arial"/>
        </w:rPr>
        <w:t xml:space="preserve"> </w:t>
      </w:r>
    </w:p>
    <w:p w14:paraId="63CC3999" w14:textId="77777777" w:rsidR="0021298F" w:rsidRPr="001226F4" w:rsidRDefault="0021298F" w:rsidP="0021298F">
      <w:pPr>
        <w:pStyle w:val="Bullets"/>
        <w:numPr>
          <w:ilvl w:val="0"/>
          <w:numId w:val="0"/>
        </w:numPr>
        <w:jc w:val="both"/>
        <w:rPr>
          <w:rFonts w:cs="Arial"/>
          <w:b/>
        </w:rPr>
      </w:pPr>
    </w:p>
    <w:p w14:paraId="2CCA8F74" w14:textId="77777777" w:rsidR="0021298F" w:rsidRPr="00834BCB" w:rsidRDefault="0021298F" w:rsidP="0021298F">
      <w:pPr>
        <w:pStyle w:val="Heading2"/>
        <w:keepNext w:val="0"/>
        <w:keepLines w:val="0"/>
        <w:numPr>
          <w:ilvl w:val="0"/>
          <w:numId w:val="43"/>
        </w:numPr>
        <w:tabs>
          <w:tab w:val="left" w:pos="426"/>
        </w:tabs>
        <w:spacing w:before="0" w:line="240" w:lineRule="auto"/>
        <w:jc w:val="both"/>
        <w:rPr>
          <w:rFonts w:ascii="Arial" w:hAnsi="Arial" w:cs="Arial"/>
          <w:color w:val="auto"/>
          <w:sz w:val="24"/>
          <w:szCs w:val="22"/>
          <w:lang w:eastAsia="en-GB"/>
        </w:rPr>
      </w:pPr>
      <w:r>
        <w:rPr>
          <w:rFonts w:ascii="Arial" w:hAnsi="Arial" w:cs="Arial"/>
          <w:color w:val="auto"/>
          <w:sz w:val="24"/>
          <w:szCs w:val="22"/>
          <w:lang w:eastAsia="en-GB"/>
        </w:rPr>
        <w:t>U</w:t>
      </w:r>
      <w:r w:rsidRPr="00834BCB">
        <w:rPr>
          <w:rFonts w:ascii="Arial" w:hAnsi="Arial" w:cs="Arial"/>
          <w:color w:val="auto"/>
          <w:sz w:val="24"/>
          <w:szCs w:val="22"/>
          <w:lang w:eastAsia="en-GB"/>
        </w:rPr>
        <w:t xml:space="preserve">nconsolidated </w:t>
      </w:r>
      <w:r>
        <w:rPr>
          <w:rFonts w:ascii="Arial" w:hAnsi="Arial" w:cs="Arial"/>
          <w:color w:val="auto"/>
          <w:sz w:val="24"/>
          <w:szCs w:val="22"/>
          <w:lang w:eastAsia="en-GB"/>
        </w:rPr>
        <w:t>s</w:t>
      </w:r>
      <w:r w:rsidRPr="00834BCB">
        <w:rPr>
          <w:rFonts w:ascii="Arial" w:hAnsi="Arial" w:cs="Arial"/>
          <w:color w:val="auto"/>
          <w:sz w:val="24"/>
          <w:szCs w:val="22"/>
          <w:lang w:eastAsia="en-GB"/>
        </w:rPr>
        <w:t xml:space="preserve">ubsidiaries, </w:t>
      </w:r>
      <w:r>
        <w:rPr>
          <w:rFonts w:ascii="Arial" w:hAnsi="Arial" w:cs="Arial"/>
          <w:color w:val="auto"/>
          <w:sz w:val="24"/>
          <w:szCs w:val="22"/>
          <w:lang w:eastAsia="en-GB"/>
        </w:rPr>
        <w:t>a</w:t>
      </w:r>
      <w:r w:rsidRPr="00834BCB">
        <w:rPr>
          <w:rFonts w:ascii="Arial" w:hAnsi="Arial" w:cs="Arial"/>
          <w:color w:val="auto"/>
          <w:sz w:val="24"/>
          <w:szCs w:val="22"/>
          <w:lang w:eastAsia="en-GB"/>
        </w:rPr>
        <w:t xml:space="preserve">ssociates </w:t>
      </w:r>
      <w:r>
        <w:rPr>
          <w:rFonts w:ascii="Arial" w:hAnsi="Arial" w:cs="Arial"/>
          <w:color w:val="auto"/>
          <w:sz w:val="24"/>
          <w:szCs w:val="22"/>
          <w:lang w:eastAsia="en-GB"/>
        </w:rPr>
        <w:t>a</w:t>
      </w:r>
      <w:r w:rsidRPr="00834BCB">
        <w:rPr>
          <w:rFonts w:ascii="Arial" w:hAnsi="Arial" w:cs="Arial"/>
          <w:color w:val="auto"/>
          <w:sz w:val="24"/>
          <w:szCs w:val="22"/>
          <w:lang w:eastAsia="en-GB"/>
        </w:rPr>
        <w:t xml:space="preserve">nd </w:t>
      </w:r>
      <w:r>
        <w:rPr>
          <w:rFonts w:ascii="Arial" w:hAnsi="Arial" w:cs="Arial"/>
          <w:color w:val="auto"/>
          <w:sz w:val="24"/>
          <w:szCs w:val="22"/>
          <w:lang w:eastAsia="en-GB"/>
        </w:rPr>
        <w:t>j</w:t>
      </w:r>
      <w:r w:rsidRPr="00834BCB">
        <w:rPr>
          <w:rFonts w:ascii="Arial" w:hAnsi="Arial" w:cs="Arial"/>
          <w:color w:val="auto"/>
          <w:sz w:val="24"/>
          <w:szCs w:val="22"/>
          <w:lang w:eastAsia="en-GB"/>
        </w:rPr>
        <w:t xml:space="preserve">oint </w:t>
      </w:r>
      <w:r>
        <w:rPr>
          <w:rFonts w:ascii="Arial" w:hAnsi="Arial" w:cs="Arial"/>
          <w:color w:val="auto"/>
          <w:sz w:val="24"/>
          <w:szCs w:val="22"/>
          <w:lang w:eastAsia="en-GB"/>
        </w:rPr>
        <w:t>v</w:t>
      </w:r>
      <w:r w:rsidRPr="00834BCB">
        <w:rPr>
          <w:rFonts w:ascii="Arial" w:hAnsi="Arial" w:cs="Arial"/>
          <w:color w:val="auto"/>
          <w:sz w:val="24"/>
          <w:szCs w:val="22"/>
          <w:lang w:eastAsia="en-GB"/>
        </w:rPr>
        <w:t>entures</w:t>
      </w:r>
    </w:p>
    <w:p w14:paraId="71EE2C0E" w14:textId="77777777" w:rsidR="0021298F" w:rsidRPr="000535C5" w:rsidRDefault="0021298F" w:rsidP="0021298F">
      <w:pPr>
        <w:jc w:val="both"/>
        <w:rPr>
          <w:color w:val="FF0000"/>
        </w:rPr>
      </w:pPr>
    </w:p>
    <w:p w14:paraId="591D09E6" w14:textId="77777777" w:rsidR="0021298F" w:rsidRDefault="0021298F" w:rsidP="0021298F">
      <w:pPr>
        <w:jc w:val="both"/>
        <w:rPr>
          <w:rFonts w:ascii="Arial" w:hAnsi="Arial" w:cs="Arial"/>
        </w:rPr>
      </w:pPr>
      <w:r w:rsidRPr="000535C5">
        <w:rPr>
          <w:rFonts w:ascii="Arial" w:hAnsi="Arial" w:cs="Arial"/>
        </w:rPr>
        <w:t xml:space="preserve">The following table shows subsidiaries of the </w:t>
      </w:r>
      <w:r>
        <w:rPr>
          <w:rFonts w:ascii="Arial" w:hAnsi="Arial" w:cs="Arial"/>
        </w:rPr>
        <w:t>Group. As the Company is regarded as an Investment Entity as referred to in note 1, these subsidiaries have not been Consolidated in the preparation of the Consolidated financial statements:</w:t>
      </w:r>
    </w:p>
    <w:tbl>
      <w:tblPr>
        <w:tblW w:w="5960" w:type="pct"/>
        <w:tblLayout w:type="fixed"/>
        <w:tblLook w:val="04A0" w:firstRow="1" w:lastRow="0" w:firstColumn="1" w:lastColumn="0" w:noHBand="0" w:noVBand="1"/>
      </w:tblPr>
      <w:tblGrid>
        <w:gridCol w:w="2552"/>
        <w:gridCol w:w="284"/>
        <w:gridCol w:w="940"/>
        <w:gridCol w:w="478"/>
        <w:gridCol w:w="2782"/>
        <w:gridCol w:w="271"/>
        <w:gridCol w:w="1726"/>
        <w:gridCol w:w="84"/>
        <w:gridCol w:w="1642"/>
      </w:tblGrid>
      <w:tr w:rsidR="0021298F" w:rsidRPr="00E07C61" w14:paraId="33ECD39E" w14:textId="77777777" w:rsidTr="00760009">
        <w:trPr>
          <w:trHeight w:val="244"/>
        </w:trPr>
        <w:tc>
          <w:tcPr>
            <w:tcW w:w="1318" w:type="pct"/>
            <w:gridSpan w:val="2"/>
            <w:vMerge w:val="restart"/>
            <w:tcBorders>
              <w:top w:val="nil"/>
              <w:left w:val="nil"/>
              <w:bottom w:val="single" w:sz="4" w:space="0" w:color="000000"/>
              <w:right w:val="nil"/>
            </w:tcBorders>
            <w:shd w:val="clear" w:color="auto" w:fill="auto"/>
            <w:vAlign w:val="bottom"/>
            <w:hideMark/>
          </w:tcPr>
          <w:p w14:paraId="4A119D49" w14:textId="77777777" w:rsidR="0021298F" w:rsidRDefault="0021298F" w:rsidP="00760009">
            <w:pPr>
              <w:rPr>
                <w:rFonts w:ascii="Arial" w:eastAsia="Times New Roman" w:hAnsi="Arial" w:cs="Arial"/>
                <w:b/>
                <w:bCs/>
                <w:color w:val="000000"/>
                <w:lang w:eastAsia="en-GB"/>
              </w:rPr>
            </w:pPr>
          </w:p>
          <w:p w14:paraId="20CBE678" w14:textId="77777777" w:rsidR="0021298F" w:rsidRDefault="0021298F" w:rsidP="00760009">
            <w:pPr>
              <w:rPr>
                <w:rFonts w:ascii="Arial" w:eastAsia="Times New Roman" w:hAnsi="Arial" w:cs="Arial"/>
                <w:b/>
                <w:bCs/>
                <w:color w:val="000000"/>
                <w:lang w:eastAsia="en-GB"/>
              </w:rPr>
            </w:pPr>
          </w:p>
          <w:p w14:paraId="4955411E" w14:textId="77777777" w:rsidR="0021298F" w:rsidRPr="00E07C61" w:rsidRDefault="0021298F" w:rsidP="00760009">
            <w:pPr>
              <w:rPr>
                <w:rFonts w:ascii="Arial" w:eastAsia="Times New Roman" w:hAnsi="Arial" w:cs="Arial"/>
                <w:b/>
                <w:bCs/>
                <w:color w:val="000000"/>
                <w:lang w:eastAsia="en-GB"/>
              </w:rPr>
            </w:pPr>
            <w:r w:rsidRPr="00E07C61">
              <w:rPr>
                <w:rFonts w:ascii="Arial" w:eastAsia="Times New Roman" w:hAnsi="Arial" w:cs="Arial"/>
                <w:b/>
                <w:bCs/>
                <w:color w:val="000000"/>
                <w:lang w:eastAsia="en-GB"/>
              </w:rPr>
              <w:t>Investment</w:t>
            </w:r>
          </w:p>
        </w:tc>
        <w:tc>
          <w:tcPr>
            <w:tcW w:w="659" w:type="pct"/>
            <w:gridSpan w:val="2"/>
            <w:vMerge w:val="restart"/>
            <w:tcBorders>
              <w:top w:val="nil"/>
              <w:left w:val="nil"/>
              <w:bottom w:val="single" w:sz="4" w:space="0" w:color="000000"/>
              <w:right w:val="nil"/>
            </w:tcBorders>
            <w:shd w:val="clear" w:color="auto" w:fill="auto"/>
            <w:vAlign w:val="bottom"/>
            <w:hideMark/>
          </w:tcPr>
          <w:p w14:paraId="66AFE63A" w14:textId="77777777" w:rsidR="0021298F" w:rsidRPr="00E07C61" w:rsidRDefault="0021298F" w:rsidP="00760009">
            <w:pPr>
              <w:jc w:val="right"/>
              <w:rPr>
                <w:rFonts w:ascii="Arial" w:eastAsia="Times New Roman" w:hAnsi="Arial" w:cs="Arial"/>
                <w:b/>
                <w:bCs/>
                <w:color w:val="000000"/>
                <w:lang w:eastAsia="en-GB"/>
              </w:rPr>
            </w:pPr>
            <w:r w:rsidRPr="00E07C61">
              <w:rPr>
                <w:rFonts w:ascii="Arial" w:eastAsia="Times New Roman" w:hAnsi="Arial" w:cs="Arial"/>
                <w:b/>
                <w:bCs/>
                <w:color w:val="000000"/>
                <w:lang w:eastAsia="en-GB"/>
              </w:rPr>
              <w:t>Place of Business</w:t>
            </w:r>
          </w:p>
        </w:tc>
        <w:tc>
          <w:tcPr>
            <w:tcW w:w="1419" w:type="pct"/>
            <w:gridSpan w:val="2"/>
            <w:tcBorders>
              <w:top w:val="nil"/>
              <w:left w:val="nil"/>
              <w:right w:val="nil"/>
            </w:tcBorders>
          </w:tcPr>
          <w:p w14:paraId="0520201B" w14:textId="77777777" w:rsidR="0021298F" w:rsidRPr="00E07C61" w:rsidRDefault="0021298F" w:rsidP="00760009">
            <w:pPr>
              <w:jc w:val="right"/>
              <w:rPr>
                <w:rFonts w:ascii="Arial" w:eastAsia="Times New Roman" w:hAnsi="Arial" w:cs="Arial"/>
                <w:b/>
                <w:bCs/>
                <w:color w:val="000000"/>
                <w:lang w:eastAsia="en-GB"/>
              </w:rPr>
            </w:pPr>
          </w:p>
        </w:tc>
        <w:tc>
          <w:tcPr>
            <w:tcW w:w="802" w:type="pct"/>
            <w:vMerge w:val="restart"/>
            <w:tcBorders>
              <w:top w:val="nil"/>
              <w:left w:val="nil"/>
              <w:bottom w:val="single" w:sz="4" w:space="0" w:color="000000"/>
              <w:right w:val="nil"/>
            </w:tcBorders>
            <w:shd w:val="clear" w:color="auto" w:fill="auto"/>
            <w:vAlign w:val="bottom"/>
            <w:hideMark/>
          </w:tcPr>
          <w:p w14:paraId="3C7C67E7" w14:textId="77777777" w:rsidR="0021298F" w:rsidRPr="00E07C61" w:rsidRDefault="0021298F" w:rsidP="00760009">
            <w:pPr>
              <w:jc w:val="right"/>
              <w:rPr>
                <w:rFonts w:ascii="Arial" w:eastAsia="Times New Roman" w:hAnsi="Arial" w:cs="Arial"/>
                <w:b/>
                <w:bCs/>
                <w:color w:val="000000"/>
                <w:lang w:eastAsia="en-GB"/>
              </w:rPr>
            </w:pPr>
            <w:r w:rsidRPr="00E07C61">
              <w:rPr>
                <w:rFonts w:ascii="Arial" w:eastAsia="Times New Roman" w:hAnsi="Arial" w:cs="Arial"/>
                <w:b/>
                <w:bCs/>
                <w:color w:val="000000"/>
                <w:lang w:eastAsia="en-GB"/>
              </w:rPr>
              <w:t xml:space="preserve">Ownership Interest as at </w:t>
            </w:r>
            <w:r w:rsidRPr="00E07C61">
              <w:rPr>
                <w:rFonts w:ascii="Arial" w:eastAsia="Times New Roman" w:hAnsi="Arial" w:cs="Arial"/>
                <w:b/>
                <w:bCs/>
                <w:color w:val="000000"/>
                <w:lang w:eastAsia="en-GB"/>
              </w:rPr>
              <w:br/>
            </w:r>
            <w:r>
              <w:rPr>
                <w:rFonts w:ascii="Arial" w:eastAsia="Times New Roman" w:hAnsi="Arial" w:cs="Arial"/>
                <w:b/>
                <w:bCs/>
                <w:color w:val="000000"/>
                <w:lang w:eastAsia="en-GB"/>
              </w:rPr>
              <w:t>31 December 2020</w:t>
            </w:r>
          </w:p>
        </w:tc>
        <w:tc>
          <w:tcPr>
            <w:tcW w:w="802" w:type="pct"/>
            <w:gridSpan w:val="2"/>
            <w:tcBorders>
              <w:top w:val="nil"/>
              <w:left w:val="nil"/>
              <w:right w:val="nil"/>
            </w:tcBorders>
          </w:tcPr>
          <w:p w14:paraId="0BAAD653" w14:textId="77777777" w:rsidR="0021298F" w:rsidRPr="00E07C61" w:rsidRDefault="0021298F" w:rsidP="00760009">
            <w:pPr>
              <w:jc w:val="right"/>
              <w:rPr>
                <w:rFonts w:ascii="Arial" w:eastAsia="Times New Roman" w:hAnsi="Arial" w:cs="Arial"/>
                <w:b/>
                <w:bCs/>
                <w:color w:val="000000"/>
                <w:lang w:eastAsia="en-GB"/>
              </w:rPr>
            </w:pPr>
          </w:p>
        </w:tc>
      </w:tr>
      <w:tr w:rsidR="0021298F" w:rsidRPr="00E07C61" w14:paraId="1F227DDB" w14:textId="77777777" w:rsidTr="00760009">
        <w:trPr>
          <w:trHeight w:val="437"/>
        </w:trPr>
        <w:tc>
          <w:tcPr>
            <w:tcW w:w="1318" w:type="pct"/>
            <w:gridSpan w:val="2"/>
            <w:vMerge/>
            <w:tcBorders>
              <w:top w:val="nil"/>
              <w:left w:val="nil"/>
              <w:bottom w:val="single" w:sz="4" w:space="0" w:color="000000"/>
              <w:right w:val="nil"/>
            </w:tcBorders>
            <w:vAlign w:val="center"/>
            <w:hideMark/>
          </w:tcPr>
          <w:p w14:paraId="1F7F2759" w14:textId="77777777" w:rsidR="0021298F" w:rsidRPr="00E07C61" w:rsidRDefault="0021298F" w:rsidP="00760009">
            <w:pPr>
              <w:rPr>
                <w:rFonts w:ascii="Arial" w:eastAsia="Times New Roman" w:hAnsi="Arial" w:cs="Arial"/>
                <w:b/>
                <w:bCs/>
                <w:color w:val="000000"/>
                <w:lang w:eastAsia="en-GB"/>
              </w:rPr>
            </w:pPr>
          </w:p>
        </w:tc>
        <w:tc>
          <w:tcPr>
            <w:tcW w:w="659" w:type="pct"/>
            <w:gridSpan w:val="2"/>
            <w:vMerge/>
            <w:tcBorders>
              <w:top w:val="nil"/>
              <w:left w:val="nil"/>
              <w:bottom w:val="single" w:sz="4" w:space="0" w:color="000000"/>
              <w:right w:val="nil"/>
            </w:tcBorders>
            <w:vAlign w:val="center"/>
            <w:hideMark/>
          </w:tcPr>
          <w:p w14:paraId="6C1537BA" w14:textId="77777777" w:rsidR="0021298F" w:rsidRPr="00E07C61" w:rsidRDefault="0021298F" w:rsidP="00760009">
            <w:pPr>
              <w:jc w:val="right"/>
              <w:rPr>
                <w:rFonts w:ascii="Arial" w:eastAsia="Times New Roman" w:hAnsi="Arial" w:cs="Arial"/>
                <w:b/>
                <w:bCs/>
                <w:color w:val="000000"/>
                <w:lang w:eastAsia="en-GB"/>
              </w:rPr>
            </w:pPr>
          </w:p>
        </w:tc>
        <w:tc>
          <w:tcPr>
            <w:tcW w:w="1419" w:type="pct"/>
            <w:gridSpan w:val="2"/>
            <w:tcBorders>
              <w:left w:val="nil"/>
              <w:bottom w:val="single" w:sz="4" w:space="0" w:color="000000"/>
              <w:right w:val="nil"/>
            </w:tcBorders>
          </w:tcPr>
          <w:p w14:paraId="0507D5D5" w14:textId="77777777" w:rsidR="0021298F" w:rsidRDefault="0021298F" w:rsidP="00760009">
            <w:pPr>
              <w:jc w:val="right"/>
              <w:rPr>
                <w:rFonts w:ascii="Arial" w:eastAsia="Times New Roman" w:hAnsi="Arial" w:cs="Arial"/>
                <w:b/>
                <w:bCs/>
                <w:color w:val="000000"/>
                <w:lang w:eastAsia="en-GB"/>
              </w:rPr>
            </w:pPr>
          </w:p>
          <w:p w14:paraId="18A2F837" w14:textId="77777777" w:rsidR="0021298F" w:rsidRDefault="0021298F" w:rsidP="00760009">
            <w:pPr>
              <w:jc w:val="right"/>
              <w:rPr>
                <w:rFonts w:ascii="Arial" w:eastAsia="Times New Roman" w:hAnsi="Arial" w:cs="Arial"/>
                <w:b/>
                <w:bCs/>
                <w:color w:val="000000"/>
                <w:lang w:eastAsia="en-GB"/>
              </w:rPr>
            </w:pPr>
          </w:p>
          <w:p w14:paraId="3F19136C" w14:textId="77777777" w:rsidR="0021298F" w:rsidRPr="00E07C61" w:rsidRDefault="0021298F" w:rsidP="00760009">
            <w:pPr>
              <w:jc w:val="right"/>
              <w:rPr>
                <w:rFonts w:ascii="Arial" w:eastAsia="Times New Roman" w:hAnsi="Arial" w:cs="Arial"/>
                <w:b/>
                <w:bCs/>
                <w:color w:val="000000"/>
                <w:lang w:eastAsia="en-GB"/>
              </w:rPr>
            </w:pPr>
            <w:r>
              <w:rPr>
                <w:rFonts w:ascii="Arial" w:eastAsia="Times New Roman" w:hAnsi="Arial" w:cs="Arial"/>
                <w:b/>
                <w:bCs/>
                <w:color w:val="000000"/>
                <w:lang w:eastAsia="en-GB"/>
              </w:rPr>
              <w:t>Registered Office</w:t>
            </w:r>
          </w:p>
        </w:tc>
        <w:tc>
          <w:tcPr>
            <w:tcW w:w="802" w:type="pct"/>
            <w:vMerge/>
            <w:tcBorders>
              <w:top w:val="nil"/>
              <w:left w:val="nil"/>
              <w:bottom w:val="single" w:sz="4" w:space="0" w:color="000000"/>
              <w:right w:val="nil"/>
            </w:tcBorders>
            <w:vAlign w:val="center"/>
            <w:hideMark/>
          </w:tcPr>
          <w:p w14:paraId="400AEDFA" w14:textId="77777777" w:rsidR="0021298F" w:rsidRPr="00E07C61" w:rsidRDefault="0021298F" w:rsidP="00760009">
            <w:pPr>
              <w:jc w:val="right"/>
              <w:rPr>
                <w:rFonts w:ascii="Arial" w:eastAsia="Times New Roman" w:hAnsi="Arial" w:cs="Arial"/>
                <w:b/>
                <w:bCs/>
                <w:color w:val="000000"/>
                <w:lang w:eastAsia="en-GB"/>
              </w:rPr>
            </w:pPr>
          </w:p>
        </w:tc>
        <w:tc>
          <w:tcPr>
            <w:tcW w:w="802" w:type="pct"/>
            <w:gridSpan w:val="2"/>
            <w:tcBorders>
              <w:top w:val="nil"/>
              <w:left w:val="nil"/>
              <w:right w:val="nil"/>
            </w:tcBorders>
            <w:shd w:val="clear" w:color="auto" w:fill="auto"/>
          </w:tcPr>
          <w:p w14:paraId="7E585E31" w14:textId="77777777" w:rsidR="0021298F" w:rsidRPr="008F6629" w:rsidRDefault="0021298F" w:rsidP="00760009">
            <w:pPr>
              <w:jc w:val="right"/>
              <w:rPr>
                <w:rFonts w:ascii="Arial" w:eastAsia="Times New Roman" w:hAnsi="Arial" w:cs="Arial"/>
                <w:b/>
                <w:bCs/>
                <w:color w:val="000000"/>
                <w:lang w:eastAsia="en-GB"/>
              </w:rPr>
            </w:pPr>
          </w:p>
        </w:tc>
      </w:tr>
      <w:tr w:rsidR="0021298F" w:rsidRPr="00E07C61" w14:paraId="5153E8F1" w14:textId="77777777" w:rsidTr="00760009">
        <w:trPr>
          <w:trHeight w:val="244"/>
        </w:trPr>
        <w:tc>
          <w:tcPr>
            <w:tcW w:w="1318" w:type="pct"/>
            <w:gridSpan w:val="2"/>
            <w:tcBorders>
              <w:top w:val="nil"/>
              <w:left w:val="nil"/>
              <w:right w:val="nil"/>
            </w:tcBorders>
            <w:shd w:val="clear" w:color="000000" w:fill="FFFFFF"/>
            <w:noWrap/>
            <w:vAlign w:val="center"/>
          </w:tcPr>
          <w:p w14:paraId="0942FE5F" w14:textId="77777777" w:rsidR="0021298F" w:rsidRPr="002E614D" w:rsidRDefault="0021298F" w:rsidP="00760009">
            <w:pPr>
              <w:rPr>
                <w:rFonts w:ascii="Arial" w:eastAsia="Times New Roman" w:hAnsi="Arial" w:cs="Arial"/>
                <w:color w:val="000000"/>
                <w:lang w:eastAsia="en-GB"/>
              </w:rPr>
            </w:pPr>
          </w:p>
        </w:tc>
        <w:tc>
          <w:tcPr>
            <w:tcW w:w="659" w:type="pct"/>
            <w:gridSpan w:val="2"/>
            <w:tcBorders>
              <w:top w:val="nil"/>
              <w:left w:val="nil"/>
              <w:right w:val="nil"/>
            </w:tcBorders>
            <w:shd w:val="clear" w:color="000000" w:fill="EDFFB7"/>
            <w:noWrap/>
            <w:vAlign w:val="center"/>
          </w:tcPr>
          <w:p w14:paraId="6A2544BF" w14:textId="77777777" w:rsidR="0021298F" w:rsidRPr="002E614D" w:rsidRDefault="0021298F" w:rsidP="00760009">
            <w:pPr>
              <w:jc w:val="right"/>
              <w:rPr>
                <w:rFonts w:ascii="Arial" w:eastAsia="Times New Roman" w:hAnsi="Arial" w:cs="Arial"/>
                <w:color w:val="000000"/>
                <w:lang w:eastAsia="en-GB"/>
              </w:rPr>
            </w:pPr>
          </w:p>
        </w:tc>
        <w:tc>
          <w:tcPr>
            <w:tcW w:w="1419" w:type="pct"/>
            <w:gridSpan w:val="2"/>
            <w:tcBorders>
              <w:top w:val="nil"/>
              <w:left w:val="nil"/>
              <w:right w:val="nil"/>
            </w:tcBorders>
            <w:shd w:val="clear" w:color="000000" w:fill="EDFFB7"/>
          </w:tcPr>
          <w:p w14:paraId="32CB431B" w14:textId="77777777" w:rsidR="0021298F" w:rsidRPr="002E614D" w:rsidRDefault="0021298F" w:rsidP="00760009">
            <w:pPr>
              <w:jc w:val="right"/>
              <w:rPr>
                <w:rFonts w:ascii="Arial" w:eastAsia="Times New Roman" w:hAnsi="Arial" w:cs="Arial"/>
                <w:color w:val="000000"/>
                <w:lang w:eastAsia="en-GB"/>
              </w:rPr>
            </w:pPr>
          </w:p>
        </w:tc>
        <w:tc>
          <w:tcPr>
            <w:tcW w:w="802" w:type="pct"/>
            <w:tcBorders>
              <w:top w:val="nil"/>
              <w:left w:val="nil"/>
              <w:right w:val="nil"/>
            </w:tcBorders>
            <w:shd w:val="clear" w:color="000000" w:fill="EDFFB7"/>
            <w:noWrap/>
            <w:vAlign w:val="center"/>
          </w:tcPr>
          <w:p w14:paraId="3ADA35FB" w14:textId="77777777" w:rsidR="0021298F" w:rsidRPr="002E614D" w:rsidRDefault="0021298F" w:rsidP="00760009">
            <w:pPr>
              <w:jc w:val="right"/>
              <w:rPr>
                <w:rFonts w:ascii="Arial" w:eastAsia="Times New Roman" w:hAnsi="Arial" w:cs="Arial"/>
                <w:color w:val="000000"/>
                <w:lang w:eastAsia="en-GB"/>
              </w:rPr>
            </w:pPr>
          </w:p>
        </w:tc>
        <w:tc>
          <w:tcPr>
            <w:tcW w:w="802" w:type="pct"/>
            <w:gridSpan w:val="2"/>
            <w:tcBorders>
              <w:top w:val="nil"/>
              <w:left w:val="nil"/>
              <w:right w:val="nil"/>
            </w:tcBorders>
            <w:shd w:val="clear" w:color="auto" w:fill="auto"/>
          </w:tcPr>
          <w:p w14:paraId="6055A97C" w14:textId="77777777" w:rsidR="0021298F" w:rsidRPr="008F6629" w:rsidRDefault="0021298F" w:rsidP="00760009">
            <w:pPr>
              <w:jc w:val="right"/>
              <w:rPr>
                <w:rFonts w:ascii="Arial" w:eastAsia="Times New Roman" w:hAnsi="Arial" w:cs="Arial"/>
                <w:color w:val="000000"/>
                <w:lang w:eastAsia="en-GB"/>
              </w:rPr>
            </w:pPr>
          </w:p>
        </w:tc>
      </w:tr>
      <w:tr w:rsidR="0021298F" w:rsidRPr="00E07C61" w14:paraId="4BE114D1" w14:textId="77777777" w:rsidTr="00760009">
        <w:trPr>
          <w:trHeight w:val="244"/>
        </w:trPr>
        <w:tc>
          <w:tcPr>
            <w:tcW w:w="1318" w:type="pct"/>
            <w:gridSpan w:val="2"/>
            <w:shd w:val="clear" w:color="000000" w:fill="FFFFFF"/>
            <w:noWrap/>
            <w:vAlign w:val="center"/>
          </w:tcPr>
          <w:p w14:paraId="1B1C38CC" w14:textId="77777777" w:rsidR="0021298F" w:rsidRPr="002E614D" w:rsidRDefault="0021298F" w:rsidP="00760009">
            <w:pPr>
              <w:rPr>
                <w:rFonts w:ascii="Arial" w:eastAsia="Times New Roman" w:hAnsi="Arial" w:cs="Arial"/>
                <w:color w:val="000000"/>
                <w:szCs w:val="20"/>
                <w:lang w:eastAsia="en-GB"/>
              </w:rPr>
            </w:pPr>
            <w:r w:rsidRPr="001E64E0">
              <w:rPr>
                <w:rFonts w:ascii="Arial" w:eastAsia="Times New Roman" w:hAnsi="Arial" w:cs="Arial"/>
                <w:color w:val="000000"/>
                <w:szCs w:val="20"/>
                <w:lang w:eastAsia="en-GB"/>
              </w:rPr>
              <w:t>Ballybane Windfarms Limited</w:t>
            </w:r>
          </w:p>
        </w:tc>
        <w:tc>
          <w:tcPr>
            <w:tcW w:w="659" w:type="pct"/>
            <w:gridSpan w:val="2"/>
            <w:shd w:val="clear" w:color="000000" w:fill="EDFFB7"/>
            <w:noWrap/>
            <w:vAlign w:val="center"/>
          </w:tcPr>
          <w:p w14:paraId="24BBBC62" w14:textId="77777777" w:rsidR="0021298F" w:rsidRPr="002E614D" w:rsidRDefault="0021298F" w:rsidP="00760009">
            <w:pPr>
              <w:jc w:val="right"/>
              <w:rPr>
                <w:rFonts w:ascii="Arial" w:eastAsia="Times New Roman" w:hAnsi="Arial" w:cs="Arial"/>
                <w:color w:val="000000"/>
                <w:lang w:eastAsia="en-GB"/>
              </w:rPr>
            </w:pPr>
            <w:r w:rsidRPr="001E64E0">
              <w:rPr>
                <w:rFonts w:ascii="Arial" w:eastAsia="Times New Roman" w:hAnsi="Arial" w:cs="Arial"/>
                <w:color w:val="000000"/>
                <w:lang w:eastAsia="en-GB"/>
              </w:rPr>
              <w:t>Ireland</w:t>
            </w:r>
          </w:p>
        </w:tc>
        <w:tc>
          <w:tcPr>
            <w:tcW w:w="1419" w:type="pct"/>
            <w:gridSpan w:val="2"/>
            <w:shd w:val="clear" w:color="000000" w:fill="EDFFB7"/>
          </w:tcPr>
          <w:p w14:paraId="5136C003" w14:textId="77777777" w:rsidR="0021298F" w:rsidRPr="002E614D" w:rsidRDefault="0021298F" w:rsidP="00760009">
            <w:pPr>
              <w:jc w:val="right"/>
              <w:rPr>
                <w:rFonts w:ascii="Arial" w:eastAsia="Times New Roman" w:hAnsi="Arial" w:cs="Arial"/>
                <w:color w:val="000000"/>
                <w:lang w:eastAsia="en-GB"/>
              </w:rPr>
            </w:pPr>
            <w:r w:rsidRPr="001E64E0">
              <w:rPr>
                <w:rFonts w:ascii="Arial" w:eastAsia="Times New Roman" w:hAnsi="Arial" w:cs="Arial"/>
                <w:color w:val="000000"/>
                <w:lang w:eastAsia="en-GB"/>
              </w:rPr>
              <w:t>Riverside One, Sir John Rogerson’s Quay, Dublin 2</w:t>
            </w:r>
          </w:p>
        </w:tc>
        <w:tc>
          <w:tcPr>
            <w:tcW w:w="802" w:type="pct"/>
            <w:shd w:val="clear" w:color="000000" w:fill="EDFFB7"/>
            <w:noWrap/>
            <w:vAlign w:val="center"/>
          </w:tcPr>
          <w:p w14:paraId="3C7106B6" w14:textId="77777777" w:rsidR="0021298F" w:rsidRPr="002E614D" w:rsidRDefault="0021298F" w:rsidP="00760009">
            <w:pPr>
              <w:jc w:val="right"/>
              <w:rPr>
                <w:rFonts w:ascii="Arial" w:eastAsia="Times New Roman" w:hAnsi="Arial" w:cs="Arial"/>
                <w:color w:val="000000"/>
                <w:lang w:eastAsia="en-GB"/>
              </w:rPr>
            </w:pPr>
            <w:r w:rsidRPr="001E64E0">
              <w:rPr>
                <w:rFonts w:ascii="Arial" w:eastAsia="Times New Roman" w:hAnsi="Arial" w:cs="Arial"/>
                <w:color w:val="000000"/>
                <w:lang w:eastAsia="en-GB"/>
              </w:rPr>
              <w:t>100%</w:t>
            </w:r>
          </w:p>
        </w:tc>
        <w:tc>
          <w:tcPr>
            <w:tcW w:w="802" w:type="pct"/>
            <w:gridSpan w:val="2"/>
            <w:shd w:val="clear" w:color="auto" w:fill="auto"/>
          </w:tcPr>
          <w:p w14:paraId="571B42DE" w14:textId="77777777" w:rsidR="0021298F" w:rsidRPr="008F6629" w:rsidRDefault="0021298F" w:rsidP="00760009">
            <w:pPr>
              <w:jc w:val="right"/>
              <w:rPr>
                <w:rFonts w:ascii="Arial" w:eastAsia="Times New Roman" w:hAnsi="Arial" w:cs="Arial"/>
                <w:color w:val="000000"/>
                <w:lang w:eastAsia="en-GB"/>
              </w:rPr>
            </w:pPr>
          </w:p>
        </w:tc>
      </w:tr>
      <w:tr w:rsidR="0021298F" w:rsidRPr="00E07C61" w14:paraId="3EAC34E2" w14:textId="77777777" w:rsidTr="00760009">
        <w:trPr>
          <w:trHeight w:val="244"/>
        </w:trPr>
        <w:tc>
          <w:tcPr>
            <w:tcW w:w="1318" w:type="pct"/>
            <w:gridSpan w:val="2"/>
            <w:shd w:val="clear" w:color="000000" w:fill="FFFFFF"/>
            <w:noWrap/>
            <w:vAlign w:val="center"/>
          </w:tcPr>
          <w:p w14:paraId="14E86B6C" w14:textId="77777777" w:rsidR="0021298F" w:rsidRPr="002E614D" w:rsidRDefault="0021298F" w:rsidP="00760009">
            <w:pPr>
              <w:rPr>
                <w:rFonts w:ascii="Arial" w:eastAsia="Times New Roman" w:hAnsi="Arial" w:cs="Arial"/>
                <w:color w:val="000000"/>
                <w:szCs w:val="20"/>
                <w:lang w:eastAsia="en-GB"/>
              </w:rPr>
            </w:pPr>
          </w:p>
        </w:tc>
        <w:tc>
          <w:tcPr>
            <w:tcW w:w="659" w:type="pct"/>
            <w:gridSpan w:val="2"/>
            <w:shd w:val="clear" w:color="000000" w:fill="EDFFB7"/>
            <w:noWrap/>
            <w:vAlign w:val="center"/>
          </w:tcPr>
          <w:p w14:paraId="336DCB61" w14:textId="77777777" w:rsidR="0021298F" w:rsidRPr="002E614D" w:rsidRDefault="0021298F" w:rsidP="00760009">
            <w:pPr>
              <w:jc w:val="right"/>
              <w:rPr>
                <w:rFonts w:ascii="Arial" w:eastAsia="Times New Roman" w:hAnsi="Arial" w:cs="Arial"/>
                <w:color w:val="000000"/>
                <w:lang w:eastAsia="en-GB"/>
              </w:rPr>
            </w:pPr>
          </w:p>
        </w:tc>
        <w:tc>
          <w:tcPr>
            <w:tcW w:w="1419" w:type="pct"/>
            <w:gridSpan w:val="2"/>
            <w:shd w:val="clear" w:color="000000" w:fill="EDFFB7"/>
          </w:tcPr>
          <w:p w14:paraId="1620041C" w14:textId="77777777" w:rsidR="0021298F" w:rsidRPr="002E614D" w:rsidRDefault="0021298F" w:rsidP="00760009">
            <w:pPr>
              <w:jc w:val="right"/>
              <w:rPr>
                <w:rFonts w:ascii="Arial" w:eastAsia="Times New Roman" w:hAnsi="Arial" w:cs="Arial"/>
                <w:color w:val="000000"/>
                <w:lang w:eastAsia="en-GB"/>
              </w:rPr>
            </w:pPr>
          </w:p>
        </w:tc>
        <w:tc>
          <w:tcPr>
            <w:tcW w:w="802" w:type="pct"/>
            <w:shd w:val="clear" w:color="000000" w:fill="EDFFB7"/>
            <w:noWrap/>
            <w:vAlign w:val="center"/>
          </w:tcPr>
          <w:p w14:paraId="654A5EAA" w14:textId="77777777" w:rsidR="0021298F" w:rsidRPr="002E614D" w:rsidRDefault="0021298F" w:rsidP="00760009">
            <w:pPr>
              <w:jc w:val="right"/>
              <w:rPr>
                <w:rFonts w:ascii="Arial" w:eastAsia="Times New Roman" w:hAnsi="Arial" w:cs="Arial"/>
                <w:color w:val="000000"/>
                <w:lang w:eastAsia="en-GB"/>
              </w:rPr>
            </w:pPr>
          </w:p>
        </w:tc>
        <w:tc>
          <w:tcPr>
            <w:tcW w:w="802" w:type="pct"/>
            <w:gridSpan w:val="2"/>
            <w:shd w:val="clear" w:color="auto" w:fill="auto"/>
          </w:tcPr>
          <w:p w14:paraId="711E9E4F" w14:textId="77777777" w:rsidR="0021298F" w:rsidRPr="008F6629" w:rsidRDefault="0021298F" w:rsidP="00760009">
            <w:pPr>
              <w:jc w:val="right"/>
              <w:rPr>
                <w:rFonts w:ascii="Arial" w:eastAsia="Times New Roman" w:hAnsi="Arial" w:cs="Arial"/>
                <w:color w:val="000000"/>
                <w:lang w:eastAsia="en-GB"/>
              </w:rPr>
            </w:pPr>
          </w:p>
        </w:tc>
      </w:tr>
      <w:tr w:rsidR="0021298F" w:rsidRPr="00E07C61" w14:paraId="090FFAB0" w14:textId="77777777" w:rsidTr="00760009">
        <w:trPr>
          <w:trHeight w:val="244"/>
        </w:trPr>
        <w:tc>
          <w:tcPr>
            <w:tcW w:w="1318" w:type="pct"/>
            <w:gridSpan w:val="2"/>
            <w:shd w:val="clear" w:color="000000" w:fill="FFFFFF"/>
            <w:noWrap/>
            <w:vAlign w:val="center"/>
          </w:tcPr>
          <w:p w14:paraId="6F75A96D" w14:textId="77777777" w:rsidR="0021298F" w:rsidRPr="001E64E0" w:rsidRDefault="0021298F" w:rsidP="00760009">
            <w:pPr>
              <w:rPr>
                <w:rFonts w:ascii="Arial" w:eastAsia="Times New Roman" w:hAnsi="Arial" w:cs="Arial"/>
                <w:color w:val="000000"/>
                <w:lang w:eastAsia="en-GB"/>
              </w:rPr>
            </w:pPr>
            <w:r w:rsidRPr="001E64E0">
              <w:rPr>
                <w:rFonts w:ascii="Arial" w:eastAsia="Times New Roman" w:hAnsi="Arial" w:cs="Arial"/>
                <w:color w:val="000000"/>
                <w:lang w:eastAsia="en-GB"/>
              </w:rPr>
              <w:t>Beam Wind Limited</w:t>
            </w:r>
          </w:p>
        </w:tc>
        <w:tc>
          <w:tcPr>
            <w:tcW w:w="659" w:type="pct"/>
            <w:gridSpan w:val="2"/>
            <w:shd w:val="clear" w:color="000000" w:fill="EDFFB7"/>
            <w:noWrap/>
            <w:vAlign w:val="center"/>
          </w:tcPr>
          <w:p w14:paraId="0FF1A6F2" w14:textId="77777777" w:rsidR="0021298F" w:rsidRPr="001E64E0" w:rsidRDefault="0021298F" w:rsidP="00760009">
            <w:pPr>
              <w:jc w:val="right"/>
              <w:rPr>
                <w:rFonts w:ascii="Arial" w:eastAsia="Times New Roman" w:hAnsi="Arial" w:cs="Arial"/>
                <w:color w:val="000000"/>
                <w:lang w:eastAsia="en-GB"/>
              </w:rPr>
            </w:pPr>
            <w:r w:rsidRPr="001E64E0">
              <w:rPr>
                <w:rFonts w:ascii="Arial" w:eastAsia="Times New Roman" w:hAnsi="Arial" w:cs="Arial"/>
                <w:color w:val="000000"/>
                <w:lang w:eastAsia="en-GB"/>
              </w:rPr>
              <w:t>Ireland</w:t>
            </w:r>
          </w:p>
        </w:tc>
        <w:tc>
          <w:tcPr>
            <w:tcW w:w="1419" w:type="pct"/>
            <w:gridSpan w:val="2"/>
            <w:shd w:val="clear" w:color="000000" w:fill="EDFFB7"/>
          </w:tcPr>
          <w:p w14:paraId="449E5E91" w14:textId="77777777" w:rsidR="0021298F" w:rsidRPr="001E64E0" w:rsidRDefault="0021298F" w:rsidP="00760009">
            <w:pPr>
              <w:jc w:val="right"/>
              <w:rPr>
                <w:rFonts w:ascii="Arial" w:eastAsia="Times New Roman" w:hAnsi="Arial" w:cs="Arial"/>
                <w:color w:val="000000"/>
                <w:lang w:eastAsia="en-GB"/>
              </w:rPr>
            </w:pPr>
            <w:r w:rsidRPr="001E64E0">
              <w:rPr>
                <w:rFonts w:ascii="Arial" w:eastAsia="Times New Roman" w:hAnsi="Arial" w:cs="Arial"/>
                <w:color w:val="000000"/>
                <w:lang w:eastAsia="en-GB"/>
              </w:rPr>
              <w:t>Riverside One, Sir John Rogerson’s Quay, Dublin 2</w:t>
            </w:r>
          </w:p>
        </w:tc>
        <w:tc>
          <w:tcPr>
            <w:tcW w:w="802" w:type="pct"/>
            <w:shd w:val="clear" w:color="000000" w:fill="EDFFB7"/>
            <w:noWrap/>
            <w:vAlign w:val="center"/>
          </w:tcPr>
          <w:p w14:paraId="0A9EB38D" w14:textId="77777777" w:rsidR="0021298F" w:rsidRPr="001E64E0" w:rsidRDefault="0021298F" w:rsidP="00760009">
            <w:pPr>
              <w:jc w:val="right"/>
              <w:rPr>
                <w:rFonts w:ascii="Arial" w:eastAsia="Times New Roman" w:hAnsi="Arial" w:cs="Arial"/>
                <w:color w:val="000000"/>
                <w:lang w:eastAsia="en-GB"/>
              </w:rPr>
            </w:pPr>
            <w:r w:rsidRPr="001E64E0">
              <w:rPr>
                <w:rFonts w:ascii="Arial" w:eastAsia="Times New Roman" w:hAnsi="Arial" w:cs="Arial"/>
                <w:color w:val="000000"/>
                <w:lang w:eastAsia="en-GB"/>
              </w:rPr>
              <w:t>100%</w:t>
            </w:r>
          </w:p>
        </w:tc>
        <w:tc>
          <w:tcPr>
            <w:tcW w:w="802" w:type="pct"/>
            <w:gridSpan w:val="2"/>
            <w:shd w:val="clear" w:color="auto" w:fill="auto"/>
          </w:tcPr>
          <w:p w14:paraId="055AD7A8" w14:textId="77777777" w:rsidR="0021298F" w:rsidRPr="008F6629" w:rsidRDefault="0021298F" w:rsidP="00760009">
            <w:pPr>
              <w:jc w:val="right"/>
              <w:rPr>
                <w:rFonts w:ascii="Arial" w:eastAsia="Times New Roman" w:hAnsi="Arial" w:cs="Arial"/>
                <w:color w:val="000000"/>
                <w:lang w:eastAsia="en-GB"/>
              </w:rPr>
            </w:pPr>
          </w:p>
        </w:tc>
      </w:tr>
      <w:tr w:rsidR="0021298F" w:rsidRPr="00E07C61" w14:paraId="0361F63F" w14:textId="77777777" w:rsidTr="00760009">
        <w:trPr>
          <w:trHeight w:val="244"/>
        </w:trPr>
        <w:tc>
          <w:tcPr>
            <w:tcW w:w="1318" w:type="pct"/>
            <w:gridSpan w:val="2"/>
            <w:shd w:val="clear" w:color="000000" w:fill="FFFFFF"/>
            <w:noWrap/>
            <w:vAlign w:val="center"/>
          </w:tcPr>
          <w:p w14:paraId="4510DD52" w14:textId="77777777" w:rsidR="0021298F" w:rsidRPr="001E64E0" w:rsidRDefault="0021298F" w:rsidP="00760009">
            <w:pPr>
              <w:rPr>
                <w:rFonts w:ascii="Arial" w:eastAsia="Times New Roman" w:hAnsi="Arial" w:cs="Arial"/>
                <w:color w:val="000000"/>
                <w:szCs w:val="20"/>
                <w:lang w:eastAsia="en-GB"/>
              </w:rPr>
            </w:pPr>
          </w:p>
        </w:tc>
        <w:tc>
          <w:tcPr>
            <w:tcW w:w="659" w:type="pct"/>
            <w:gridSpan w:val="2"/>
            <w:shd w:val="clear" w:color="000000" w:fill="EDFFB7"/>
            <w:noWrap/>
            <w:vAlign w:val="center"/>
          </w:tcPr>
          <w:p w14:paraId="33077326" w14:textId="77777777" w:rsidR="0021298F" w:rsidRPr="001E64E0" w:rsidRDefault="0021298F" w:rsidP="00760009">
            <w:pPr>
              <w:jc w:val="right"/>
              <w:rPr>
                <w:rFonts w:ascii="Arial" w:eastAsia="Times New Roman" w:hAnsi="Arial" w:cs="Arial"/>
                <w:color w:val="000000"/>
                <w:lang w:eastAsia="en-GB"/>
              </w:rPr>
            </w:pPr>
          </w:p>
        </w:tc>
        <w:tc>
          <w:tcPr>
            <w:tcW w:w="1419" w:type="pct"/>
            <w:gridSpan w:val="2"/>
            <w:shd w:val="clear" w:color="000000" w:fill="EDFFB7"/>
          </w:tcPr>
          <w:p w14:paraId="3FD942E9" w14:textId="77777777" w:rsidR="0021298F" w:rsidRPr="001E64E0" w:rsidRDefault="0021298F" w:rsidP="00760009">
            <w:pPr>
              <w:jc w:val="right"/>
              <w:rPr>
                <w:rFonts w:ascii="Arial" w:eastAsia="Times New Roman" w:hAnsi="Arial" w:cs="Arial"/>
                <w:color w:val="000000"/>
                <w:lang w:eastAsia="en-GB"/>
              </w:rPr>
            </w:pPr>
          </w:p>
        </w:tc>
        <w:tc>
          <w:tcPr>
            <w:tcW w:w="802" w:type="pct"/>
            <w:shd w:val="clear" w:color="000000" w:fill="EDFFB7"/>
            <w:noWrap/>
            <w:vAlign w:val="center"/>
          </w:tcPr>
          <w:p w14:paraId="0CE8B0C6" w14:textId="77777777" w:rsidR="0021298F" w:rsidRPr="001E64E0" w:rsidRDefault="0021298F" w:rsidP="00760009">
            <w:pPr>
              <w:jc w:val="right"/>
              <w:rPr>
                <w:rFonts w:ascii="Arial" w:eastAsia="Times New Roman" w:hAnsi="Arial" w:cs="Arial"/>
                <w:color w:val="000000"/>
                <w:lang w:eastAsia="en-GB"/>
              </w:rPr>
            </w:pPr>
          </w:p>
        </w:tc>
        <w:tc>
          <w:tcPr>
            <w:tcW w:w="802" w:type="pct"/>
            <w:gridSpan w:val="2"/>
            <w:shd w:val="clear" w:color="auto" w:fill="auto"/>
          </w:tcPr>
          <w:p w14:paraId="55D26462" w14:textId="77777777" w:rsidR="0021298F" w:rsidRPr="008F6629" w:rsidRDefault="0021298F" w:rsidP="00760009">
            <w:pPr>
              <w:jc w:val="right"/>
              <w:rPr>
                <w:rFonts w:ascii="Arial" w:eastAsia="Times New Roman" w:hAnsi="Arial" w:cs="Arial"/>
                <w:color w:val="000000"/>
                <w:lang w:eastAsia="en-GB"/>
              </w:rPr>
            </w:pPr>
          </w:p>
        </w:tc>
      </w:tr>
      <w:tr w:rsidR="0021298F" w:rsidRPr="00E07C61" w14:paraId="3FDCAB26" w14:textId="77777777" w:rsidTr="00760009">
        <w:trPr>
          <w:trHeight w:val="244"/>
        </w:trPr>
        <w:tc>
          <w:tcPr>
            <w:tcW w:w="1318" w:type="pct"/>
            <w:gridSpan w:val="2"/>
            <w:shd w:val="clear" w:color="000000" w:fill="FFFFFF"/>
            <w:noWrap/>
            <w:vAlign w:val="center"/>
          </w:tcPr>
          <w:p w14:paraId="60307EEA" w14:textId="77777777" w:rsidR="0021298F" w:rsidRPr="001E64E0" w:rsidRDefault="0021298F" w:rsidP="00760009">
            <w:pPr>
              <w:rPr>
                <w:rFonts w:ascii="Arial" w:eastAsia="Times New Roman" w:hAnsi="Arial" w:cs="Arial"/>
                <w:color w:val="000000"/>
                <w:szCs w:val="20"/>
                <w:lang w:eastAsia="en-GB"/>
              </w:rPr>
            </w:pPr>
            <w:r w:rsidRPr="001C2B57">
              <w:rPr>
                <w:rFonts w:ascii="Arial" w:eastAsia="Times New Roman" w:hAnsi="Arial" w:cs="Arial"/>
                <w:color w:val="000000"/>
                <w:lang w:eastAsia="en-GB"/>
              </w:rPr>
              <w:t xml:space="preserve">Carrickallen Wind </w:t>
            </w:r>
            <w:r>
              <w:rPr>
                <w:rFonts w:ascii="Arial" w:eastAsia="Times New Roman" w:hAnsi="Arial" w:cs="Arial"/>
                <w:color w:val="000000"/>
                <w:lang w:eastAsia="en-GB"/>
              </w:rPr>
              <w:t>Limited</w:t>
            </w:r>
          </w:p>
        </w:tc>
        <w:tc>
          <w:tcPr>
            <w:tcW w:w="659" w:type="pct"/>
            <w:gridSpan w:val="2"/>
            <w:shd w:val="clear" w:color="000000" w:fill="EDFFB7"/>
            <w:noWrap/>
            <w:vAlign w:val="center"/>
          </w:tcPr>
          <w:p w14:paraId="3F81C168" w14:textId="77777777" w:rsidR="0021298F" w:rsidRPr="001E64E0" w:rsidRDefault="0021298F" w:rsidP="00760009">
            <w:pPr>
              <w:jc w:val="right"/>
              <w:rPr>
                <w:rFonts w:ascii="Arial" w:eastAsia="Times New Roman" w:hAnsi="Arial" w:cs="Arial"/>
                <w:color w:val="000000"/>
                <w:lang w:eastAsia="en-GB"/>
              </w:rPr>
            </w:pPr>
            <w:r w:rsidRPr="00827D36">
              <w:rPr>
                <w:rFonts w:ascii="Arial" w:eastAsia="Times New Roman" w:hAnsi="Arial" w:cs="Arial"/>
                <w:color w:val="000000"/>
                <w:lang w:eastAsia="en-GB"/>
              </w:rPr>
              <w:t>Ireland</w:t>
            </w:r>
          </w:p>
        </w:tc>
        <w:tc>
          <w:tcPr>
            <w:tcW w:w="1419" w:type="pct"/>
            <w:gridSpan w:val="2"/>
            <w:shd w:val="clear" w:color="000000" w:fill="EDFFB7"/>
          </w:tcPr>
          <w:p w14:paraId="6FE589EC" w14:textId="77777777" w:rsidR="0021298F" w:rsidRPr="001E64E0" w:rsidRDefault="0021298F" w:rsidP="00760009">
            <w:pPr>
              <w:jc w:val="right"/>
              <w:rPr>
                <w:rFonts w:ascii="Arial" w:eastAsia="Times New Roman" w:hAnsi="Arial" w:cs="Arial"/>
                <w:color w:val="000000"/>
                <w:lang w:eastAsia="en-GB"/>
              </w:rPr>
            </w:pPr>
            <w:r w:rsidRPr="00827D36">
              <w:rPr>
                <w:rFonts w:ascii="Arial" w:eastAsia="Times New Roman" w:hAnsi="Arial" w:cs="Arial"/>
                <w:color w:val="000000"/>
                <w:lang w:eastAsia="en-GB"/>
              </w:rPr>
              <w:t>Riverside One, Sir John Rogerson’s Quay, Dublin 2</w:t>
            </w:r>
          </w:p>
        </w:tc>
        <w:tc>
          <w:tcPr>
            <w:tcW w:w="802" w:type="pct"/>
            <w:shd w:val="clear" w:color="000000" w:fill="EDFFB7"/>
            <w:noWrap/>
            <w:vAlign w:val="center"/>
          </w:tcPr>
          <w:p w14:paraId="53E90617" w14:textId="77777777" w:rsidR="0021298F" w:rsidRPr="001E64E0" w:rsidRDefault="0021298F" w:rsidP="00760009">
            <w:pPr>
              <w:jc w:val="right"/>
              <w:rPr>
                <w:rFonts w:ascii="Arial" w:eastAsia="Times New Roman" w:hAnsi="Arial" w:cs="Arial"/>
                <w:color w:val="000000"/>
                <w:lang w:eastAsia="en-GB"/>
              </w:rPr>
            </w:pPr>
            <w:r>
              <w:rPr>
                <w:rFonts w:ascii="Arial" w:eastAsia="Times New Roman" w:hAnsi="Arial" w:cs="Arial"/>
                <w:color w:val="000000"/>
                <w:lang w:eastAsia="en-GB"/>
              </w:rPr>
              <w:t>5</w:t>
            </w:r>
            <w:r w:rsidRPr="00827D36">
              <w:rPr>
                <w:rFonts w:ascii="Arial" w:eastAsia="Times New Roman" w:hAnsi="Arial" w:cs="Arial"/>
                <w:color w:val="000000"/>
                <w:lang w:eastAsia="en-GB"/>
              </w:rPr>
              <w:t>0%</w:t>
            </w:r>
          </w:p>
        </w:tc>
        <w:tc>
          <w:tcPr>
            <w:tcW w:w="802" w:type="pct"/>
            <w:gridSpan w:val="2"/>
            <w:shd w:val="clear" w:color="auto" w:fill="auto"/>
          </w:tcPr>
          <w:p w14:paraId="2D9B74CD" w14:textId="77777777" w:rsidR="0021298F" w:rsidRPr="008F6629" w:rsidRDefault="0021298F" w:rsidP="00760009">
            <w:pPr>
              <w:jc w:val="right"/>
              <w:rPr>
                <w:rFonts w:ascii="Arial" w:eastAsia="Times New Roman" w:hAnsi="Arial" w:cs="Arial"/>
                <w:color w:val="000000"/>
                <w:lang w:eastAsia="en-GB"/>
              </w:rPr>
            </w:pPr>
          </w:p>
        </w:tc>
      </w:tr>
      <w:tr w:rsidR="0021298F" w:rsidRPr="00E07C61" w14:paraId="10FDFF0C" w14:textId="77777777" w:rsidTr="00760009">
        <w:trPr>
          <w:trHeight w:val="244"/>
        </w:trPr>
        <w:tc>
          <w:tcPr>
            <w:tcW w:w="1318" w:type="pct"/>
            <w:gridSpan w:val="2"/>
            <w:shd w:val="clear" w:color="000000" w:fill="FFFFFF"/>
            <w:noWrap/>
            <w:vAlign w:val="center"/>
          </w:tcPr>
          <w:p w14:paraId="0F9EA002" w14:textId="77777777" w:rsidR="0021298F" w:rsidRPr="002E614D" w:rsidRDefault="0021298F" w:rsidP="00760009">
            <w:pPr>
              <w:rPr>
                <w:rFonts w:ascii="Arial" w:eastAsia="Times New Roman" w:hAnsi="Arial" w:cs="Arial"/>
                <w:color w:val="000000"/>
                <w:lang w:eastAsia="en-GB"/>
              </w:rPr>
            </w:pPr>
          </w:p>
        </w:tc>
        <w:tc>
          <w:tcPr>
            <w:tcW w:w="659" w:type="pct"/>
            <w:gridSpan w:val="2"/>
            <w:shd w:val="clear" w:color="000000" w:fill="EDFFB7"/>
            <w:noWrap/>
            <w:vAlign w:val="center"/>
          </w:tcPr>
          <w:p w14:paraId="536D1FFA" w14:textId="77777777" w:rsidR="0021298F" w:rsidRPr="002E614D" w:rsidRDefault="0021298F" w:rsidP="00760009">
            <w:pPr>
              <w:jc w:val="right"/>
              <w:rPr>
                <w:rFonts w:ascii="Arial" w:eastAsia="Times New Roman" w:hAnsi="Arial" w:cs="Arial"/>
                <w:color w:val="000000"/>
                <w:lang w:eastAsia="en-GB"/>
              </w:rPr>
            </w:pPr>
          </w:p>
        </w:tc>
        <w:tc>
          <w:tcPr>
            <w:tcW w:w="1419" w:type="pct"/>
            <w:gridSpan w:val="2"/>
            <w:shd w:val="clear" w:color="000000" w:fill="EDFFB7"/>
          </w:tcPr>
          <w:p w14:paraId="1C709CF4" w14:textId="77777777" w:rsidR="0021298F" w:rsidRPr="002E614D" w:rsidRDefault="0021298F" w:rsidP="00760009">
            <w:pPr>
              <w:jc w:val="right"/>
              <w:rPr>
                <w:rFonts w:ascii="Arial" w:eastAsia="Times New Roman" w:hAnsi="Arial" w:cs="Arial"/>
                <w:color w:val="000000"/>
                <w:lang w:eastAsia="en-GB"/>
              </w:rPr>
            </w:pPr>
          </w:p>
        </w:tc>
        <w:tc>
          <w:tcPr>
            <w:tcW w:w="802" w:type="pct"/>
            <w:shd w:val="clear" w:color="000000" w:fill="EDFFB7"/>
            <w:noWrap/>
            <w:vAlign w:val="center"/>
          </w:tcPr>
          <w:p w14:paraId="2741FC08" w14:textId="77777777" w:rsidR="0021298F" w:rsidRPr="002E614D" w:rsidRDefault="0021298F" w:rsidP="00760009">
            <w:pPr>
              <w:jc w:val="right"/>
              <w:rPr>
                <w:rFonts w:ascii="Arial" w:eastAsia="Times New Roman" w:hAnsi="Arial" w:cs="Arial"/>
                <w:color w:val="000000"/>
                <w:lang w:eastAsia="en-GB"/>
              </w:rPr>
            </w:pPr>
          </w:p>
        </w:tc>
        <w:tc>
          <w:tcPr>
            <w:tcW w:w="802" w:type="pct"/>
            <w:gridSpan w:val="2"/>
            <w:shd w:val="clear" w:color="auto" w:fill="auto"/>
          </w:tcPr>
          <w:p w14:paraId="296E8C02" w14:textId="77777777" w:rsidR="0021298F" w:rsidRPr="008F6629" w:rsidRDefault="0021298F" w:rsidP="00760009">
            <w:pPr>
              <w:jc w:val="right"/>
              <w:rPr>
                <w:rFonts w:ascii="Arial" w:eastAsia="Times New Roman" w:hAnsi="Arial" w:cs="Arial"/>
                <w:color w:val="000000"/>
                <w:lang w:eastAsia="en-GB"/>
              </w:rPr>
            </w:pPr>
          </w:p>
        </w:tc>
      </w:tr>
      <w:tr w:rsidR="0021298F" w:rsidRPr="00E07C61" w14:paraId="05DB314C" w14:textId="77777777" w:rsidTr="00760009">
        <w:trPr>
          <w:trHeight w:val="244"/>
        </w:trPr>
        <w:tc>
          <w:tcPr>
            <w:tcW w:w="1318" w:type="pct"/>
            <w:gridSpan w:val="2"/>
            <w:shd w:val="clear" w:color="000000" w:fill="FFFFFF"/>
            <w:noWrap/>
            <w:vAlign w:val="center"/>
          </w:tcPr>
          <w:p w14:paraId="7B2E2C6C" w14:textId="77777777" w:rsidR="0021298F" w:rsidRPr="002E614D" w:rsidRDefault="0021298F" w:rsidP="00760009">
            <w:pPr>
              <w:rPr>
                <w:rFonts w:ascii="Arial" w:eastAsia="Times New Roman" w:hAnsi="Arial" w:cs="Arial"/>
                <w:color w:val="000000"/>
                <w:lang w:eastAsia="en-GB"/>
              </w:rPr>
            </w:pPr>
            <w:r w:rsidRPr="001E64E0">
              <w:rPr>
                <w:rFonts w:ascii="Arial" w:eastAsia="Times New Roman" w:hAnsi="Arial" w:cs="Arial"/>
                <w:color w:val="000000"/>
                <w:szCs w:val="20"/>
                <w:lang w:eastAsia="en-GB"/>
              </w:rPr>
              <w:t>Cloosh Valley Wind Farm Holdings DAC</w:t>
            </w:r>
          </w:p>
        </w:tc>
        <w:tc>
          <w:tcPr>
            <w:tcW w:w="659" w:type="pct"/>
            <w:gridSpan w:val="2"/>
            <w:shd w:val="clear" w:color="000000" w:fill="EDFFB7"/>
            <w:noWrap/>
            <w:vAlign w:val="center"/>
          </w:tcPr>
          <w:p w14:paraId="356B2CDC" w14:textId="77777777" w:rsidR="0021298F" w:rsidRPr="002E614D" w:rsidRDefault="0021298F" w:rsidP="00760009">
            <w:pPr>
              <w:jc w:val="right"/>
              <w:rPr>
                <w:rFonts w:ascii="Arial" w:eastAsia="Times New Roman" w:hAnsi="Arial" w:cs="Arial"/>
                <w:color w:val="000000"/>
                <w:lang w:eastAsia="en-GB"/>
              </w:rPr>
            </w:pPr>
            <w:r w:rsidRPr="001E64E0">
              <w:rPr>
                <w:rFonts w:ascii="Arial" w:eastAsia="Times New Roman" w:hAnsi="Arial" w:cs="Arial"/>
                <w:color w:val="000000"/>
                <w:lang w:eastAsia="en-GB"/>
              </w:rPr>
              <w:t>Ireland</w:t>
            </w:r>
          </w:p>
        </w:tc>
        <w:tc>
          <w:tcPr>
            <w:tcW w:w="1419" w:type="pct"/>
            <w:gridSpan w:val="2"/>
            <w:shd w:val="clear" w:color="000000" w:fill="EDFFB7"/>
          </w:tcPr>
          <w:p w14:paraId="6BA4D70D" w14:textId="77777777" w:rsidR="0021298F" w:rsidRPr="002E614D" w:rsidRDefault="0021298F" w:rsidP="00760009">
            <w:pPr>
              <w:jc w:val="right"/>
              <w:rPr>
                <w:rFonts w:ascii="Arial" w:eastAsia="Times New Roman" w:hAnsi="Arial" w:cs="Arial"/>
                <w:color w:val="000000"/>
                <w:lang w:eastAsia="en-GB"/>
              </w:rPr>
            </w:pPr>
            <w:r w:rsidRPr="001E64E0">
              <w:rPr>
                <w:rFonts w:ascii="Arial" w:eastAsia="Times New Roman" w:hAnsi="Arial" w:cs="Arial"/>
                <w:color w:val="000000"/>
                <w:lang w:eastAsia="en-GB"/>
              </w:rPr>
              <w:t>6</w:t>
            </w:r>
            <w:r w:rsidRPr="001E64E0">
              <w:rPr>
                <w:rFonts w:ascii="Arial" w:eastAsia="Times New Roman" w:hAnsi="Arial" w:cs="Arial"/>
                <w:color w:val="000000"/>
                <w:vertAlign w:val="superscript"/>
                <w:lang w:eastAsia="en-GB"/>
              </w:rPr>
              <w:t>th</w:t>
            </w:r>
            <w:r w:rsidRPr="001E64E0">
              <w:rPr>
                <w:rFonts w:ascii="Arial" w:eastAsia="Times New Roman" w:hAnsi="Arial" w:cs="Arial"/>
                <w:color w:val="000000"/>
                <w:lang w:eastAsia="en-GB"/>
              </w:rPr>
              <w:t xml:space="preserve"> Floor, South Bank House, Barrow Street, Dublin 4</w:t>
            </w:r>
          </w:p>
        </w:tc>
        <w:tc>
          <w:tcPr>
            <w:tcW w:w="802" w:type="pct"/>
            <w:shd w:val="clear" w:color="000000" w:fill="EDFFB7"/>
            <w:noWrap/>
            <w:vAlign w:val="center"/>
          </w:tcPr>
          <w:p w14:paraId="2DDAF37A" w14:textId="77777777" w:rsidR="0021298F" w:rsidRPr="002E614D" w:rsidRDefault="0021298F" w:rsidP="00760009">
            <w:pPr>
              <w:jc w:val="right"/>
              <w:rPr>
                <w:rFonts w:ascii="Arial" w:eastAsia="Times New Roman" w:hAnsi="Arial" w:cs="Arial"/>
                <w:color w:val="000000"/>
                <w:lang w:eastAsia="en-GB"/>
              </w:rPr>
            </w:pPr>
            <w:r w:rsidRPr="001E64E0">
              <w:rPr>
                <w:rFonts w:ascii="Arial" w:eastAsia="Times New Roman" w:hAnsi="Arial" w:cs="Arial"/>
                <w:color w:val="000000"/>
                <w:lang w:eastAsia="en-GB"/>
              </w:rPr>
              <w:t>75%</w:t>
            </w:r>
          </w:p>
        </w:tc>
        <w:tc>
          <w:tcPr>
            <w:tcW w:w="802" w:type="pct"/>
            <w:gridSpan w:val="2"/>
            <w:shd w:val="clear" w:color="auto" w:fill="auto"/>
          </w:tcPr>
          <w:p w14:paraId="43BB5C92" w14:textId="77777777" w:rsidR="0021298F" w:rsidRPr="008F6629" w:rsidRDefault="0021298F" w:rsidP="00760009">
            <w:pPr>
              <w:jc w:val="right"/>
              <w:rPr>
                <w:rFonts w:ascii="Arial" w:eastAsia="Times New Roman" w:hAnsi="Arial" w:cs="Arial"/>
                <w:color w:val="000000"/>
                <w:lang w:eastAsia="en-GB"/>
              </w:rPr>
            </w:pPr>
          </w:p>
        </w:tc>
      </w:tr>
      <w:tr w:rsidR="0021298F" w:rsidRPr="00E07C61" w14:paraId="246C1603" w14:textId="77777777" w:rsidTr="00760009">
        <w:trPr>
          <w:trHeight w:val="244"/>
        </w:trPr>
        <w:tc>
          <w:tcPr>
            <w:tcW w:w="1318" w:type="pct"/>
            <w:gridSpan w:val="2"/>
            <w:shd w:val="clear" w:color="000000" w:fill="FFFFFF"/>
            <w:noWrap/>
            <w:vAlign w:val="center"/>
          </w:tcPr>
          <w:p w14:paraId="44FEE56F" w14:textId="77777777" w:rsidR="0021298F" w:rsidRPr="002E614D" w:rsidRDefault="0021298F" w:rsidP="00760009">
            <w:pPr>
              <w:rPr>
                <w:rFonts w:ascii="Arial" w:eastAsia="Times New Roman" w:hAnsi="Arial" w:cs="Arial"/>
                <w:color w:val="000000"/>
                <w:szCs w:val="20"/>
                <w:lang w:eastAsia="en-GB"/>
              </w:rPr>
            </w:pPr>
          </w:p>
        </w:tc>
        <w:tc>
          <w:tcPr>
            <w:tcW w:w="659" w:type="pct"/>
            <w:gridSpan w:val="2"/>
            <w:shd w:val="clear" w:color="000000" w:fill="EDFFB7"/>
            <w:noWrap/>
            <w:vAlign w:val="center"/>
          </w:tcPr>
          <w:p w14:paraId="01B4AF57" w14:textId="77777777" w:rsidR="0021298F" w:rsidRPr="002E614D" w:rsidRDefault="0021298F" w:rsidP="00760009">
            <w:pPr>
              <w:jc w:val="right"/>
              <w:rPr>
                <w:rFonts w:ascii="Arial" w:eastAsia="Times New Roman" w:hAnsi="Arial" w:cs="Arial"/>
                <w:color w:val="000000"/>
                <w:lang w:eastAsia="en-GB"/>
              </w:rPr>
            </w:pPr>
          </w:p>
        </w:tc>
        <w:tc>
          <w:tcPr>
            <w:tcW w:w="1419" w:type="pct"/>
            <w:gridSpan w:val="2"/>
            <w:shd w:val="clear" w:color="000000" w:fill="EDFFB7"/>
          </w:tcPr>
          <w:p w14:paraId="0BB7522F" w14:textId="77777777" w:rsidR="0021298F" w:rsidRPr="002E614D" w:rsidRDefault="0021298F" w:rsidP="00760009">
            <w:pPr>
              <w:jc w:val="right"/>
              <w:rPr>
                <w:rFonts w:ascii="Arial" w:eastAsia="Times New Roman" w:hAnsi="Arial" w:cs="Arial"/>
                <w:color w:val="000000"/>
                <w:lang w:eastAsia="en-GB"/>
              </w:rPr>
            </w:pPr>
          </w:p>
        </w:tc>
        <w:tc>
          <w:tcPr>
            <w:tcW w:w="802" w:type="pct"/>
            <w:shd w:val="clear" w:color="000000" w:fill="EDFFB7"/>
            <w:noWrap/>
            <w:vAlign w:val="center"/>
          </w:tcPr>
          <w:p w14:paraId="12D883AF" w14:textId="77777777" w:rsidR="0021298F" w:rsidRPr="002E614D" w:rsidRDefault="0021298F" w:rsidP="00760009">
            <w:pPr>
              <w:jc w:val="right"/>
              <w:rPr>
                <w:rFonts w:ascii="Arial" w:eastAsia="Times New Roman" w:hAnsi="Arial" w:cs="Arial"/>
                <w:color w:val="000000"/>
                <w:lang w:eastAsia="en-GB"/>
              </w:rPr>
            </w:pPr>
          </w:p>
        </w:tc>
        <w:tc>
          <w:tcPr>
            <w:tcW w:w="802" w:type="pct"/>
            <w:gridSpan w:val="2"/>
            <w:shd w:val="clear" w:color="auto" w:fill="auto"/>
          </w:tcPr>
          <w:p w14:paraId="17409A4C" w14:textId="77777777" w:rsidR="0021298F" w:rsidRPr="008F6629" w:rsidRDefault="0021298F" w:rsidP="00760009">
            <w:pPr>
              <w:jc w:val="right"/>
              <w:rPr>
                <w:rFonts w:ascii="Arial" w:eastAsia="Times New Roman" w:hAnsi="Arial" w:cs="Arial"/>
                <w:color w:val="000000"/>
                <w:lang w:eastAsia="en-GB"/>
              </w:rPr>
            </w:pPr>
          </w:p>
        </w:tc>
      </w:tr>
      <w:tr w:rsidR="0021298F" w:rsidRPr="00E07C61" w14:paraId="7DA0B9A6" w14:textId="77777777" w:rsidTr="00760009">
        <w:trPr>
          <w:trHeight w:val="244"/>
        </w:trPr>
        <w:tc>
          <w:tcPr>
            <w:tcW w:w="1318" w:type="pct"/>
            <w:gridSpan w:val="2"/>
            <w:shd w:val="clear" w:color="000000" w:fill="FFFFFF"/>
            <w:noWrap/>
            <w:vAlign w:val="center"/>
          </w:tcPr>
          <w:p w14:paraId="61953C5B" w14:textId="77777777" w:rsidR="0021298F" w:rsidRDefault="0021298F" w:rsidP="00760009">
            <w:pPr>
              <w:rPr>
                <w:rFonts w:ascii="Arial" w:eastAsia="Times New Roman" w:hAnsi="Arial" w:cs="Arial"/>
                <w:color w:val="000000"/>
                <w:szCs w:val="20"/>
                <w:lang w:eastAsia="en-GB"/>
              </w:rPr>
            </w:pPr>
            <w:r w:rsidRPr="001C2B57">
              <w:rPr>
                <w:rFonts w:ascii="Arial" w:eastAsia="Times New Roman" w:hAnsi="Arial" w:cs="Arial"/>
                <w:color w:val="000000"/>
                <w:szCs w:val="20"/>
                <w:lang w:eastAsia="en-GB"/>
              </w:rPr>
              <w:t>Cnoc Windfarm</w:t>
            </w:r>
            <w:r>
              <w:rPr>
                <w:rFonts w:ascii="Arial" w:eastAsia="Times New Roman" w:hAnsi="Arial" w:cs="Arial"/>
                <w:color w:val="000000"/>
                <w:szCs w:val="20"/>
                <w:lang w:eastAsia="en-GB"/>
              </w:rPr>
              <w:t>s Limited</w:t>
            </w:r>
            <w:r w:rsidRPr="001C2B57">
              <w:rPr>
                <w:rFonts w:ascii="Arial" w:eastAsia="Times New Roman" w:hAnsi="Arial" w:cs="Arial"/>
                <w:color w:val="000000"/>
                <w:szCs w:val="20"/>
                <w:lang w:eastAsia="en-GB"/>
              </w:rPr>
              <w:t xml:space="preserve"> </w:t>
            </w:r>
          </w:p>
          <w:p w14:paraId="3539474A" w14:textId="77777777" w:rsidR="0021298F" w:rsidRPr="001E64E0" w:rsidRDefault="0021298F" w:rsidP="00760009">
            <w:pPr>
              <w:rPr>
                <w:rFonts w:ascii="Arial" w:eastAsia="Times New Roman" w:hAnsi="Arial" w:cs="Arial"/>
                <w:color w:val="000000"/>
                <w:szCs w:val="20"/>
                <w:lang w:eastAsia="en-GB"/>
              </w:rPr>
            </w:pPr>
          </w:p>
        </w:tc>
        <w:tc>
          <w:tcPr>
            <w:tcW w:w="659" w:type="pct"/>
            <w:gridSpan w:val="2"/>
            <w:shd w:val="clear" w:color="000000" w:fill="EDFFB7"/>
            <w:noWrap/>
            <w:vAlign w:val="center"/>
          </w:tcPr>
          <w:p w14:paraId="7170A3F8" w14:textId="77777777" w:rsidR="0021298F" w:rsidRPr="001E64E0" w:rsidRDefault="0021298F" w:rsidP="00760009">
            <w:pPr>
              <w:jc w:val="right"/>
              <w:rPr>
                <w:rFonts w:ascii="Arial" w:eastAsia="Times New Roman" w:hAnsi="Arial" w:cs="Arial"/>
                <w:color w:val="000000"/>
                <w:lang w:eastAsia="en-GB"/>
              </w:rPr>
            </w:pPr>
            <w:r w:rsidRPr="001C2B57">
              <w:rPr>
                <w:rFonts w:ascii="Arial" w:eastAsia="Times New Roman" w:hAnsi="Arial" w:cs="Arial"/>
                <w:color w:val="000000"/>
                <w:lang w:eastAsia="en-GB"/>
              </w:rPr>
              <w:t>Ireland</w:t>
            </w:r>
          </w:p>
        </w:tc>
        <w:tc>
          <w:tcPr>
            <w:tcW w:w="1419" w:type="pct"/>
            <w:gridSpan w:val="2"/>
            <w:shd w:val="clear" w:color="000000" w:fill="EDFFB7"/>
          </w:tcPr>
          <w:p w14:paraId="094F42E1" w14:textId="77777777" w:rsidR="0021298F" w:rsidRPr="001E64E0" w:rsidRDefault="0021298F" w:rsidP="00760009">
            <w:pPr>
              <w:jc w:val="right"/>
              <w:rPr>
                <w:rFonts w:ascii="Arial" w:eastAsia="Times New Roman" w:hAnsi="Arial" w:cs="Arial"/>
                <w:color w:val="000000"/>
                <w:lang w:eastAsia="en-GB"/>
              </w:rPr>
            </w:pPr>
            <w:r w:rsidRPr="001C2B57">
              <w:rPr>
                <w:rFonts w:ascii="Arial" w:eastAsia="Times New Roman" w:hAnsi="Arial" w:cs="Arial"/>
                <w:color w:val="000000"/>
                <w:lang w:eastAsia="en-GB"/>
              </w:rPr>
              <w:t>Riverside One, Sir John Rogerson’s Quay, Dublin 2</w:t>
            </w:r>
          </w:p>
        </w:tc>
        <w:tc>
          <w:tcPr>
            <w:tcW w:w="802" w:type="pct"/>
            <w:shd w:val="clear" w:color="000000" w:fill="EDFFB7"/>
            <w:noWrap/>
            <w:vAlign w:val="center"/>
          </w:tcPr>
          <w:p w14:paraId="40C566DD" w14:textId="77777777" w:rsidR="0021298F" w:rsidRPr="001E64E0" w:rsidRDefault="0021298F" w:rsidP="00760009">
            <w:pPr>
              <w:jc w:val="right"/>
              <w:rPr>
                <w:rFonts w:ascii="Arial" w:eastAsia="Times New Roman" w:hAnsi="Arial" w:cs="Arial"/>
                <w:color w:val="000000"/>
                <w:lang w:eastAsia="en-GB"/>
              </w:rPr>
            </w:pPr>
            <w:r>
              <w:rPr>
                <w:rFonts w:ascii="Arial" w:eastAsia="Times New Roman" w:hAnsi="Arial" w:cs="Arial"/>
                <w:color w:val="000000"/>
                <w:lang w:eastAsia="en-GB"/>
              </w:rPr>
              <w:t>100%</w:t>
            </w:r>
          </w:p>
        </w:tc>
        <w:tc>
          <w:tcPr>
            <w:tcW w:w="802" w:type="pct"/>
            <w:gridSpan w:val="2"/>
            <w:shd w:val="clear" w:color="auto" w:fill="auto"/>
          </w:tcPr>
          <w:p w14:paraId="7007FDCE" w14:textId="77777777" w:rsidR="0021298F" w:rsidRPr="008F6629" w:rsidRDefault="0021298F" w:rsidP="00760009">
            <w:pPr>
              <w:jc w:val="right"/>
              <w:rPr>
                <w:rFonts w:ascii="Arial" w:eastAsia="Times New Roman" w:hAnsi="Arial" w:cs="Arial"/>
                <w:color w:val="000000"/>
                <w:lang w:eastAsia="en-GB"/>
              </w:rPr>
            </w:pPr>
          </w:p>
        </w:tc>
      </w:tr>
      <w:tr w:rsidR="0021298F" w:rsidRPr="00E07C61" w14:paraId="77B7ADD7" w14:textId="77777777" w:rsidTr="00760009">
        <w:trPr>
          <w:trHeight w:val="244"/>
        </w:trPr>
        <w:tc>
          <w:tcPr>
            <w:tcW w:w="1318" w:type="pct"/>
            <w:gridSpan w:val="2"/>
            <w:shd w:val="clear" w:color="000000" w:fill="FFFFFF"/>
            <w:noWrap/>
            <w:vAlign w:val="center"/>
          </w:tcPr>
          <w:p w14:paraId="19FF1236" w14:textId="77777777" w:rsidR="0021298F" w:rsidRPr="001E64E0" w:rsidRDefault="0021298F" w:rsidP="00760009">
            <w:pPr>
              <w:rPr>
                <w:rFonts w:ascii="Arial" w:eastAsia="Times New Roman" w:hAnsi="Arial" w:cs="Arial"/>
                <w:color w:val="000000"/>
                <w:szCs w:val="20"/>
                <w:lang w:eastAsia="en-GB"/>
              </w:rPr>
            </w:pPr>
          </w:p>
        </w:tc>
        <w:tc>
          <w:tcPr>
            <w:tcW w:w="659" w:type="pct"/>
            <w:gridSpan w:val="2"/>
            <w:shd w:val="clear" w:color="000000" w:fill="EDFFB7"/>
            <w:noWrap/>
            <w:vAlign w:val="center"/>
          </w:tcPr>
          <w:p w14:paraId="696A73A9" w14:textId="77777777" w:rsidR="0021298F" w:rsidRPr="001E64E0" w:rsidRDefault="0021298F" w:rsidP="00760009">
            <w:pPr>
              <w:jc w:val="right"/>
              <w:rPr>
                <w:rFonts w:ascii="Arial" w:eastAsia="Times New Roman" w:hAnsi="Arial" w:cs="Arial"/>
                <w:color w:val="000000"/>
                <w:lang w:eastAsia="en-GB"/>
              </w:rPr>
            </w:pPr>
          </w:p>
        </w:tc>
        <w:tc>
          <w:tcPr>
            <w:tcW w:w="1419" w:type="pct"/>
            <w:gridSpan w:val="2"/>
            <w:shd w:val="clear" w:color="000000" w:fill="EDFFB7"/>
          </w:tcPr>
          <w:p w14:paraId="33E416A0" w14:textId="77777777" w:rsidR="0021298F" w:rsidRPr="001E64E0" w:rsidRDefault="0021298F" w:rsidP="00760009">
            <w:pPr>
              <w:jc w:val="right"/>
              <w:rPr>
                <w:rFonts w:ascii="Arial" w:eastAsia="Times New Roman" w:hAnsi="Arial" w:cs="Arial"/>
                <w:color w:val="000000"/>
                <w:lang w:eastAsia="en-GB"/>
              </w:rPr>
            </w:pPr>
          </w:p>
        </w:tc>
        <w:tc>
          <w:tcPr>
            <w:tcW w:w="802" w:type="pct"/>
            <w:shd w:val="clear" w:color="000000" w:fill="EDFFB7"/>
            <w:noWrap/>
            <w:vAlign w:val="center"/>
          </w:tcPr>
          <w:p w14:paraId="5044D81C" w14:textId="77777777" w:rsidR="0021298F" w:rsidRPr="001E64E0" w:rsidRDefault="0021298F" w:rsidP="00760009">
            <w:pPr>
              <w:jc w:val="right"/>
              <w:rPr>
                <w:rFonts w:ascii="Arial" w:eastAsia="Times New Roman" w:hAnsi="Arial" w:cs="Arial"/>
                <w:color w:val="000000"/>
                <w:lang w:eastAsia="en-GB"/>
              </w:rPr>
            </w:pPr>
          </w:p>
        </w:tc>
        <w:tc>
          <w:tcPr>
            <w:tcW w:w="802" w:type="pct"/>
            <w:gridSpan w:val="2"/>
            <w:shd w:val="clear" w:color="auto" w:fill="auto"/>
          </w:tcPr>
          <w:p w14:paraId="7C2377CB" w14:textId="77777777" w:rsidR="0021298F" w:rsidRPr="008F6629" w:rsidRDefault="0021298F" w:rsidP="00760009">
            <w:pPr>
              <w:jc w:val="right"/>
              <w:rPr>
                <w:rFonts w:ascii="Arial" w:eastAsia="Times New Roman" w:hAnsi="Arial" w:cs="Arial"/>
                <w:color w:val="000000"/>
                <w:lang w:eastAsia="en-GB"/>
              </w:rPr>
            </w:pPr>
          </w:p>
        </w:tc>
      </w:tr>
      <w:tr w:rsidR="0021298F" w:rsidRPr="00E07C61" w14:paraId="7F22EE75" w14:textId="77777777" w:rsidTr="00760009">
        <w:trPr>
          <w:trHeight w:val="244"/>
        </w:trPr>
        <w:tc>
          <w:tcPr>
            <w:tcW w:w="1318" w:type="pct"/>
            <w:gridSpan w:val="2"/>
            <w:shd w:val="clear" w:color="000000" w:fill="FFFFFF"/>
            <w:noWrap/>
            <w:vAlign w:val="center"/>
          </w:tcPr>
          <w:p w14:paraId="5C94FE20" w14:textId="77777777" w:rsidR="0021298F" w:rsidRPr="001E64E0" w:rsidRDefault="0021298F" w:rsidP="00760009">
            <w:pPr>
              <w:rPr>
                <w:rFonts w:ascii="Arial" w:eastAsia="Times New Roman" w:hAnsi="Arial" w:cs="Arial"/>
                <w:color w:val="000000"/>
                <w:szCs w:val="20"/>
                <w:lang w:eastAsia="en-GB"/>
              </w:rPr>
            </w:pPr>
            <w:r w:rsidRPr="001E64E0">
              <w:rPr>
                <w:rFonts w:ascii="Arial" w:eastAsia="Times New Roman" w:hAnsi="Arial" w:cs="Arial"/>
                <w:color w:val="000000"/>
                <w:lang w:eastAsia="en-GB"/>
              </w:rPr>
              <w:lastRenderedPageBreak/>
              <w:t>Gortahile Windfarm Limited</w:t>
            </w:r>
          </w:p>
        </w:tc>
        <w:tc>
          <w:tcPr>
            <w:tcW w:w="659" w:type="pct"/>
            <w:gridSpan w:val="2"/>
            <w:shd w:val="clear" w:color="000000" w:fill="EDFFB7"/>
            <w:noWrap/>
            <w:vAlign w:val="center"/>
          </w:tcPr>
          <w:p w14:paraId="5AE5F68D" w14:textId="77777777" w:rsidR="0021298F" w:rsidRPr="001E64E0" w:rsidRDefault="0021298F" w:rsidP="00760009">
            <w:pPr>
              <w:jc w:val="right"/>
              <w:rPr>
                <w:rFonts w:ascii="Arial" w:eastAsia="Times New Roman" w:hAnsi="Arial" w:cs="Arial"/>
                <w:color w:val="000000"/>
                <w:lang w:eastAsia="en-GB"/>
              </w:rPr>
            </w:pPr>
            <w:r w:rsidRPr="001E64E0">
              <w:rPr>
                <w:rFonts w:ascii="Arial" w:eastAsia="Times New Roman" w:hAnsi="Arial" w:cs="Arial"/>
                <w:color w:val="000000"/>
                <w:lang w:eastAsia="en-GB"/>
              </w:rPr>
              <w:t>Ireland</w:t>
            </w:r>
          </w:p>
        </w:tc>
        <w:tc>
          <w:tcPr>
            <w:tcW w:w="1419" w:type="pct"/>
            <w:gridSpan w:val="2"/>
            <w:shd w:val="clear" w:color="000000" w:fill="EDFFB7"/>
          </w:tcPr>
          <w:p w14:paraId="433072C3" w14:textId="77777777" w:rsidR="0021298F" w:rsidRPr="001E64E0" w:rsidRDefault="0021298F" w:rsidP="00760009">
            <w:pPr>
              <w:jc w:val="right"/>
              <w:rPr>
                <w:rFonts w:ascii="Arial" w:eastAsia="Times New Roman" w:hAnsi="Arial" w:cs="Arial"/>
                <w:color w:val="000000"/>
                <w:lang w:eastAsia="en-GB"/>
              </w:rPr>
            </w:pPr>
            <w:r w:rsidRPr="001E64E0">
              <w:rPr>
                <w:rFonts w:ascii="Arial" w:eastAsia="Times New Roman" w:hAnsi="Arial" w:cs="Arial"/>
                <w:color w:val="000000"/>
                <w:lang w:eastAsia="en-GB"/>
              </w:rPr>
              <w:t>Riverside One, Sir John Rogerson’s Quay, Dublin 2</w:t>
            </w:r>
          </w:p>
        </w:tc>
        <w:tc>
          <w:tcPr>
            <w:tcW w:w="802" w:type="pct"/>
            <w:shd w:val="clear" w:color="000000" w:fill="EDFFB7"/>
            <w:noWrap/>
            <w:vAlign w:val="center"/>
          </w:tcPr>
          <w:p w14:paraId="34AF8020" w14:textId="77777777" w:rsidR="0021298F" w:rsidRPr="001E64E0" w:rsidRDefault="0021298F" w:rsidP="00760009">
            <w:pPr>
              <w:jc w:val="right"/>
              <w:rPr>
                <w:rFonts w:ascii="Arial" w:eastAsia="Times New Roman" w:hAnsi="Arial" w:cs="Arial"/>
                <w:color w:val="000000"/>
                <w:lang w:eastAsia="en-GB"/>
              </w:rPr>
            </w:pPr>
            <w:r w:rsidRPr="001E64E0">
              <w:rPr>
                <w:rFonts w:ascii="Arial" w:eastAsia="Times New Roman" w:hAnsi="Arial" w:cs="Arial"/>
                <w:color w:val="000000"/>
                <w:lang w:eastAsia="en-GB"/>
              </w:rPr>
              <w:t>100%</w:t>
            </w:r>
          </w:p>
        </w:tc>
        <w:tc>
          <w:tcPr>
            <w:tcW w:w="802" w:type="pct"/>
            <w:gridSpan w:val="2"/>
            <w:shd w:val="clear" w:color="auto" w:fill="auto"/>
          </w:tcPr>
          <w:p w14:paraId="4BD32AEF" w14:textId="77777777" w:rsidR="0021298F" w:rsidRPr="008F6629" w:rsidRDefault="0021298F" w:rsidP="00760009">
            <w:pPr>
              <w:jc w:val="right"/>
              <w:rPr>
                <w:rFonts w:ascii="Arial" w:eastAsia="Times New Roman" w:hAnsi="Arial" w:cs="Arial"/>
                <w:color w:val="000000"/>
                <w:lang w:eastAsia="en-GB"/>
              </w:rPr>
            </w:pPr>
          </w:p>
        </w:tc>
      </w:tr>
      <w:tr w:rsidR="0021298F" w:rsidRPr="00E07C61" w14:paraId="7D5E073C" w14:textId="77777777" w:rsidTr="00760009">
        <w:trPr>
          <w:trHeight w:val="244"/>
        </w:trPr>
        <w:tc>
          <w:tcPr>
            <w:tcW w:w="1318" w:type="pct"/>
            <w:gridSpan w:val="2"/>
            <w:shd w:val="clear" w:color="000000" w:fill="FFFFFF"/>
            <w:noWrap/>
            <w:vAlign w:val="center"/>
          </w:tcPr>
          <w:p w14:paraId="7A230453" w14:textId="77777777" w:rsidR="0021298F" w:rsidRPr="001E64E0" w:rsidRDefault="0021298F" w:rsidP="00760009">
            <w:pPr>
              <w:rPr>
                <w:rFonts w:ascii="Arial" w:eastAsia="Times New Roman" w:hAnsi="Arial" w:cs="Arial"/>
                <w:color w:val="000000"/>
                <w:szCs w:val="20"/>
                <w:lang w:eastAsia="en-GB"/>
              </w:rPr>
            </w:pPr>
          </w:p>
        </w:tc>
        <w:tc>
          <w:tcPr>
            <w:tcW w:w="659" w:type="pct"/>
            <w:gridSpan w:val="2"/>
            <w:shd w:val="clear" w:color="000000" w:fill="EDFFB7"/>
            <w:noWrap/>
            <w:vAlign w:val="center"/>
          </w:tcPr>
          <w:p w14:paraId="2C69CDE1" w14:textId="77777777" w:rsidR="0021298F" w:rsidRPr="001E64E0" w:rsidRDefault="0021298F" w:rsidP="00760009">
            <w:pPr>
              <w:jc w:val="right"/>
              <w:rPr>
                <w:rFonts w:ascii="Arial" w:eastAsia="Times New Roman" w:hAnsi="Arial" w:cs="Arial"/>
                <w:color w:val="000000"/>
                <w:lang w:eastAsia="en-GB"/>
              </w:rPr>
            </w:pPr>
          </w:p>
        </w:tc>
        <w:tc>
          <w:tcPr>
            <w:tcW w:w="1419" w:type="pct"/>
            <w:gridSpan w:val="2"/>
            <w:shd w:val="clear" w:color="000000" w:fill="EDFFB7"/>
          </w:tcPr>
          <w:p w14:paraId="720BEF9A" w14:textId="77777777" w:rsidR="0021298F" w:rsidRPr="001E64E0" w:rsidRDefault="0021298F" w:rsidP="00760009">
            <w:pPr>
              <w:jc w:val="right"/>
              <w:rPr>
                <w:rFonts w:ascii="Arial" w:eastAsia="Times New Roman" w:hAnsi="Arial" w:cs="Arial"/>
                <w:color w:val="000000"/>
                <w:lang w:eastAsia="en-GB"/>
              </w:rPr>
            </w:pPr>
          </w:p>
        </w:tc>
        <w:tc>
          <w:tcPr>
            <w:tcW w:w="802" w:type="pct"/>
            <w:shd w:val="clear" w:color="000000" w:fill="EDFFB7"/>
            <w:noWrap/>
            <w:vAlign w:val="center"/>
          </w:tcPr>
          <w:p w14:paraId="4EF3CFFF" w14:textId="77777777" w:rsidR="0021298F" w:rsidRPr="001E64E0" w:rsidRDefault="0021298F" w:rsidP="00760009">
            <w:pPr>
              <w:jc w:val="right"/>
              <w:rPr>
                <w:rFonts w:ascii="Arial" w:eastAsia="Times New Roman" w:hAnsi="Arial" w:cs="Arial"/>
                <w:color w:val="000000"/>
                <w:lang w:eastAsia="en-GB"/>
              </w:rPr>
            </w:pPr>
          </w:p>
        </w:tc>
        <w:tc>
          <w:tcPr>
            <w:tcW w:w="802" w:type="pct"/>
            <w:gridSpan w:val="2"/>
            <w:shd w:val="clear" w:color="auto" w:fill="auto"/>
          </w:tcPr>
          <w:p w14:paraId="7A7F3696" w14:textId="77777777" w:rsidR="0021298F" w:rsidRPr="008F6629" w:rsidRDefault="0021298F" w:rsidP="00760009">
            <w:pPr>
              <w:jc w:val="right"/>
              <w:rPr>
                <w:rFonts w:ascii="Arial" w:eastAsia="Times New Roman" w:hAnsi="Arial" w:cs="Arial"/>
                <w:color w:val="000000"/>
                <w:lang w:eastAsia="en-GB"/>
              </w:rPr>
            </w:pPr>
          </w:p>
        </w:tc>
      </w:tr>
      <w:tr w:rsidR="0021298F" w:rsidRPr="00E07C61" w14:paraId="1C188AD3" w14:textId="77777777" w:rsidTr="00760009">
        <w:trPr>
          <w:trHeight w:val="244"/>
        </w:trPr>
        <w:tc>
          <w:tcPr>
            <w:tcW w:w="1318" w:type="pct"/>
            <w:gridSpan w:val="2"/>
            <w:shd w:val="clear" w:color="000000" w:fill="FFFFFF"/>
            <w:noWrap/>
            <w:vAlign w:val="center"/>
          </w:tcPr>
          <w:p w14:paraId="1B48749F" w14:textId="77777777" w:rsidR="0021298F" w:rsidRPr="001E64E0" w:rsidRDefault="0021298F" w:rsidP="00760009">
            <w:pPr>
              <w:rPr>
                <w:rFonts w:ascii="Arial" w:eastAsia="Times New Roman" w:hAnsi="Arial" w:cs="Arial"/>
                <w:color w:val="000000"/>
                <w:szCs w:val="20"/>
                <w:lang w:eastAsia="en-GB"/>
              </w:rPr>
            </w:pPr>
            <w:r w:rsidRPr="001E64E0">
              <w:rPr>
                <w:rFonts w:ascii="Arial" w:eastAsia="Times New Roman" w:hAnsi="Arial" w:cs="Arial"/>
                <w:color w:val="000000"/>
                <w:lang w:eastAsia="en-GB"/>
              </w:rPr>
              <w:t>Killala Community Wind Farm DAC</w:t>
            </w:r>
          </w:p>
        </w:tc>
        <w:tc>
          <w:tcPr>
            <w:tcW w:w="659" w:type="pct"/>
            <w:gridSpan w:val="2"/>
            <w:shd w:val="clear" w:color="000000" w:fill="EDFFB7"/>
            <w:noWrap/>
            <w:vAlign w:val="center"/>
          </w:tcPr>
          <w:p w14:paraId="45AEB9EC" w14:textId="77777777" w:rsidR="0021298F" w:rsidRPr="001E64E0" w:rsidRDefault="0021298F" w:rsidP="00760009">
            <w:pPr>
              <w:jc w:val="right"/>
              <w:rPr>
                <w:rFonts w:ascii="Arial" w:eastAsia="Times New Roman" w:hAnsi="Arial" w:cs="Arial"/>
                <w:color w:val="000000"/>
                <w:lang w:eastAsia="en-GB"/>
              </w:rPr>
            </w:pPr>
            <w:r w:rsidRPr="001E64E0">
              <w:rPr>
                <w:rFonts w:ascii="Arial" w:eastAsia="Times New Roman" w:hAnsi="Arial" w:cs="Arial"/>
                <w:color w:val="000000"/>
                <w:lang w:eastAsia="en-GB"/>
              </w:rPr>
              <w:t>Ireland</w:t>
            </w:r>
          </w:p>
        </w:tc>
        <w:tc>
          <w:tcPr>
            <w:tcW w:w="1419" w:type="pct"/>
            <w:gridSpan w:val="2"/>
            <w:shd w:val="clear" w:color="000000" w:fill="EDFFB7"/>
          </w:tcPr>
          <w:p w14:paraId="5B1F7B7C" w14:textId="77777777" w:rsidR="0021298F" w:rsidRPr="001E64E0" w:rsidRDefault="0021298F" w:rsidP="00760009">
            <w:pPr>
              <w:jc w:val="right"/>
              <w:rPr>
                <w:rFonts w:ascii="Arial" w:eastAsia="Times New Roman" w:hAnsi="Arial" w:cs="Arial"/>
                <w:color w:val="000000"/>
                <w:lang w:eastAsia="en-GB"/>
              </w:rPr>
            </w:pPr>
            <w:r w:rsidRPr="001E64E0">
              <w:rPr>
                <w:rFonts w:ascii="Arial" w:eastAsia="Times New Roman" w:hAnsi="Arial" w:cs="Arial"/>
                <w:color w:val="000000"/>
                <w:lang w:eastAsia="en-GB"/>
              </w:rPr>
              <w:t>Riverside One, Sir John Rogerson’s Quay, Dublin 2</w:t>
            </w:r>
          </w:p>
        </w:tc>
        <w:tc>
          <w:tcPr>
            <w:tcW w:w="802" w:type="pct"/>
            <w:shd w:val="clear" w:color="000000" w:fill="EDFFB7"/>
            <w:noWrap/>
            <w:vAlign w:val="center"/>
          </w:tcPr>
          <w:p w14:paraId="61D11B56" w14:textId="77777777" w:rsidR="0021298F" w:rsidRPr="001E64E0" w:rsidRDefault="0021298F" w:rsidP="00760009">
            <w:pPr>
              <w:jc w:val="right"/>
              <w:rPr>
                <w:rFonts w:ascii="Arial" w:eastAsia="Times New Roman" w:hAnsi="Arial" w:cs="Arial"/>
                <w:color w:val="000000"/>
                <w:lang w:eastAsia="en-GB"/>
              </w:rPr>
            </w:pPr>
            <w:r w:rsidRPr="001E64E0">
              <w:rPr>
                <w:rFonts w:ascii="Arial" w:eastAsia="Times New Roman" w:hAnsi="Arial" w:cs="Arial"/>
                <w:color w:val="000000"/>
                <w:lang w:eastAsia="en-GB"/>
              </w:rPr>
              <w:t>100%</w:t>
            </w:r>
          </w:p>
        </w:tc>
        <w:tc>
          <w:tcPr>
            <w:tcW w:w="802" w:type="pct"/>
            <w:gridSpan w:val="2"/>
            <w:shd w:val="clear" w:color="auto" w:fill="auto"/>
          </w:tcPr>
          <w:p w14:paraId="2E12A389" w14:textId="77777777" w:rsidR="0021298F" w:rsidRPr="008F6629" w:rsidRDefault="0021298F" w:rsidP="00760009">
            <w:pPr>
              <w:jc w:val="right"/>
              <w:rPr>
                <w:rFonts w:ascii="Arial" w:eastAsia="Times New Roman" w:hAnsi="Arial" w:cs="Arial"/>
                <w:color w:val="000000"/>
                <w:lang w:eastAsia="en-GB"/>
              </w:rPr>
            </w:pPr>
          </w:p>
        </w:tc>
      </w:tr>
      <w:tr w:rsidR="0021298F" w:rsidRPr="00E07C61" w14:paraId="0BA6E344" w14:textId="77777777" w:rsidTr="00760009">
        <w:trPr>
          <w:trHeight w:val="244"/>
        </w:trPr>
        <w:tc>
          <w:tcPr>
            <w:tcW w:w="1318" w:type="pct"/>
            <w:gridSpan w:val="2"/>
            <w:shd w:val="clear" w:color="000000" w:fill="FFFFFF"/>
            <w:noWrap/>
            <w:vAlign w:val="center"/>
          </w:tcPr>
          <w:p w14:paraId="74928223" w14:textId="77777777" w:rsidR="0021298F" w:rsidRPr="001E64E0" w:rsidRDefault="0021298F" w:rsidP="00760009">
            <w:pPr>
              <w:rPr>
                <w:rFonts w:ascii="Arial" w:eastAsia="Times New Roman" w:hAnsi="Arial" w:cs="Arial"/>
                <w:color w:val="000000"/>
                <w:szCs w:val="20"/>
                <w:lang w:eastAsia="en-GB"/>
              </w:rPr>
            </w:pPr>
          </w:p>
        </w:tc>
        <w:tc>
          <w:tcPr>
            <w:tcW w:w="659" w:type="pct"/>
            <w:gridSpan w:val="2"/>
            <w:shd w:val="clear" w:color="000000" w:fill="EDFFB7"/>
            <w:noWrap/>
            <w:vAlign w:val="center"/>
          </w:tcPr>
          <w:p w14:paraId="33976F7A" w14:textId="77777777" w:rsidR="0021298F" w:rsidRPr="001E64E0" w:rsidRDefault="0021298F" w:rsidP="00760009">
            <w:pPr>
              <w:jc w:val="right"/>
              <w:rPr>
                <w:rFonts w:ascii="Arial" w:eastAsia="Times New Roman" w:hAnsi="Arial" w:cs="Arial"/>
                <w:color w:val="000000"/>
                <w:lang w:eastAsia="en-GB"/>
              </w:rPr>
            </w:pPr>
          </w:p>
        </w:tc>
        <w:tc>
          <w:tcPr>
            <w:tcW w:w="1419" w:type="pct"/>
            <w:gridSpan w:val="2"/>
            <w:shd w:val="clear" w:color="000000" w:fill="EDFFB7"/>
          </w:tcPr>
          <w:p w14:paraId="539C7169" w14:textId="77777777" w:rsidR="0021298F" w:rsidRPr="001E64E0" w:rsidRDefault="0021298F" w:rsidP="00760009">
            <w:pPr>
              <w:jc w:val="right"/>
              <w:rPr>
                <w:rFonts w:ascii="Arial" w:eastAsia="Times New Roman" w:hAnsi="Arial" w:cs="Arial"/>
                <w:color w:val="000000"/>
                <w:lang w:eastAsia="en-GB"/>
              </w:rPr>
            </w:pPr>
          </w:p>
        </w:tc>
        <w:tc>
          <w:tcPr>
            <w:tcW w:w="802" w:type="pct"/>
            <w:shd w:val="clear" w:color="000000" w:fill="EDFFB7"/>
            <w:noWrap/>
            <w:vAlign w:val="center"/>
          </w:tcPr>
          <w:p w14:paraId="33B7BE09" w14:textId="77777777" w:rsidR="0021298F" w:rsidRPr="001E64E0" w:rsidRDefault="0021298F" w:rsidP="00760009">
            <w:pPr>
              <w:jc w:val="right"/>
              <w:rPr>
                <w:rFonts w:ascii="Arial" w:eastAsia="Times New Roman" w:hAnsi="Arial" w:cs="Arial"/>
                <w:color w:val="000000"/>
                <w:lang w:eastAsia="en-GB"/>
              </w:rPr>
            </w:pPr>
          </w:p>
        </w:tc>
        <w:tc>
          <w:tcPr>
            <w:tcW w:w="802" w:type="pct"/>
            <w:gridSpan w:val="2"/>
            <w:shd w:val="clear" w:color="auto" w:fill="auto"/>
          </w:tcPr>
          <w:p w14:paraId="2B022089" w14:textId="77777777" w:rsidR="0021298F" w:rsidRPr="008F6629" w:rsidRDefault="0021298F" w:rsidP="00760009">
            <w:pPr>
              <w:jc w:val="right"/>
              <w:rPr>
                <w:rFonts w:ascii="Arial" w:eastAsia="Times New Roman" w:hAnsi="Arial" w:cs="Arial"/>
                <w:color w:val="000000"/>
                <w:lang w:eastAsia="en-GB"/>
              </w:rPr>
            </w:pPr>
          </w:p>
        </w:tc>
      </w:tr>
      <w:tr w:rsidR="0021298F" w:rsidRPr="00E07C61" w14:paraId="6EAEB1BD" w14:textId="77777777" w:rsidTr="00760009">
        <w:trPr>
          <w:trHeight w:val="244"/>
        </w:trPr>
        <w:tc>
          <w:tcPr>
            <w:tcW w:w="1318" w:type="pct"/>
            <w:gridSpan w:val="2"/>
            <w:shd w:val="clear" w:color="000000" w:fill="FFFFFF"/>
            <w:noWrap/>
            <w:vAlign w:val="center"/>
          </w:tcPr>
          <w:p w14:paraId="1C6963B9" w14:textId="77777777" w:rsidR="0021298F" w:rsidRPr="001E64E0" w:rsidRDefault="0021298F" w:rsidP="00760009">
            <w:pPr>
              <w:rPr>
                <w:rFonts w:ascii="Arial" w:eastAsia="Times New Roman" w:hAnsi="Arial" w:cs="Arial"/>
                <w:color w:val="000000"/>
                <w:szCs w:val="20"/>
                <w:lang w:eastAsia="en-GB"/>
              </w:rPr>
            </w:pPr>
            <w:r w:rsidRPr="001E64E0">
              <w:rPr>
                <w:rFonts w:ascii="Arial" w:eastAsia="Times New Roman" w:hAnsi="Arial" w:cs="Arial"/>
                <w:color w:val="000000"/>
                <w:lang w:eastAsia="en-GB"/>
              </w:rPr>
              <w:t>Killhills Windfarm Limited</w:t>
            </w:r>
          </w:p>
        </w:tc>
        <w:tc>
          <w:tcPr>
            <w:tcW w:w="659" w:type="pct"/>
            <w:gridSpan w:val="2"/>
            <w:shd w:val="clear" w:color="000000" w:fill="EDFFB7"/>
            <w:noWrap/>
            <w:vAlign w:val="center"/>
          </w:tcPr>
          <w:p w14:paraId="122376A5" w14:textId="77777777" w:rsidR="0021298F" w:rsidRPr="001E64E0" w:rsidRDefault="0021298F" w:rsidP="00760009">
            <w:pPr>
              <w:jc w:val="right"/>
              <w:rPr>
                <w:rFonts w:ascii="Arial" w:eastAsia="Times New Roman" w:hAnsi="Arial" w:cs="Arial"/>
                <w:color w:val="000000"/>
                <w:lang w:eastAsia="en-GB"/>
              </w:rPr>
            </w:pPr>
            <w:r w:rsidRPr="001E64E0">
              <w:rPr>
                <w:rFonts w:ascii="Arial" w:eastAsia="Times New Roman" w:hAnsi="Arial" w:cs="Arial"/>
                <w:color w:val="000000"/>
                <w:lang w:eastAsia="en-GB"/>
              </w:rPr>
              <w:t>Ireland</w:t>
            </w:r>
          </w:p>
        </w:tc>
        <w:tc>
          <w:tcPr>
            <w:tcW w:w="1419" w:type="pct"/>
            <w:gridSpan w:val="2"/>
            <w:shd w:val="clear" w:color="000000" w:fill="EDFFB7"/>
          </w:tcPr>
          <w:p w14:paraId="758B4186" w14:textId="77777777" w:rsidR="0021298F" w:rsidRPr="001E64E0" w:rsidRDefault="0021298F" w:rsidP="00760009">
            <w:pPr>
              <w:jc w:val="right"/>
              <w:rPr>
                <w:rFonts w:ascii="Arial" w:eastAsia="Times New Roman" w:hAnsi="Arial" w:cs="Arial"/>
                <w:color w:val="000000"/>
                <w:lang w:eastAsia="en-GB"/>
              </w:rPr>
            </w:pPr>
            <w:r w:rsidRPr="001E64E0">
              <w:rPr>
                <w:rFonts w:ascii="Arial" w:eastAsia="Times New Roman" w:hAnsi="Arial" w:cs="Arial"/>
                <w:color w:val="000000"/>
                <w:lang w:eastAsia="en-GB"/>
              </w:rPr>
              <w:t>Riverside One, Sir John Rogerson’s Quay, Dublin 2</w:t>
            </w:r>
          </w:p>
        </w:tc>
        <w:tc>
          <w:tcPr>
            <w:tcW w:w="802" w:type="pct"/>
            <w:shd w:val="clear" w:color="000000" w:fill="EDFFB7"/>
            <w:noWrap/>
            <w:vAlign w:val="center"/>
          </w:tcPr>
          <w:p w14:paraId="7A5DAA9C" w14:textId="77777777" w:rsidR="0021298F" w:rsidRPr="001E64E0" w:rsidRDefault="0021298F" w:rsidP="00760009">
            <w:pPr>
              <w:jc w:val="right"/>
              <w:rPr>
                <w:rFonts w:ascii="Arial" w:eastAsia="Times New Roman" w:hAnsi="Arial" w:cs="Arial"/>
                <w:color w:val="000000"/>
                <w:lang w:eastAsia="en-GB"/>
              </w:rPr>
            </w:pPr>
            <w:r w:rsidRPr="001E64E0">
              <w:rPr>
                <w:rFonts w:ascii="Arial" w:eastAsia="Times New Roman" w:hAnsi="Arial" w:cs="Arial"/>
                <w:color w:val="000000"/>
                <w:lang w:eastAsia="en-GB"/>
              </w:rPr>
              <w:t>100%</w:t>
            </w:r>
          </w:p>
        </w:tc>
        <w:tc>
          <w:tcPr>
            <w:tcW w:w="802" w:type="pct"/>
            <w:gridSpan w:val="2"/>
            <w:shd w:val="clear" w:color="auto" w:fill="auto"/>
          </w:tcPr>
          <w:p w14:paraId="76672977" w14:textId="77777777" w:rsidR="0021298F" w:rsidRPr="008F6629" w:rsidRDefault="0021298F" w:rsidP="00760009">
            <w:pPr>
              <w:jc w:val="right"/>
              <w:rPr>
                <w:rFonts w:ascii="Arial" w:eastAsia="Times New Roman" w:hAnsi="Arial" w:cs="Arial"/>
                <w:color w:val="000000"/>
                <w:lang w:eastAsia="en-GB"/>
              </w:rPr>
            </w:pPr>
          </w:p>
        </w:tc>
      </w:tr>
      <w:tr w:rsidR="0021298F" w:rsidRPr="00E07C61" w14:paraId="4BA87572" w14:textId="77777777" w:rsidTr="00760009">
        <w:trPr>
          <w:trHeight w:val="244"/>
        </w:trPr>
        <w:tc>
          <w:tcPr>
            <w:tcW w:w="1318" w:type="pct"/>
            <w:gridSpan w:val="2"/>
            <w:shd w:val="clear" w:color="000000" w:fill="FFFFFF"/>
            <w:noWrap/>
            <w:vAlign w:val="center"/>
          </w:tcPr>
          <w:p w14:paraId="3EE59513" w14:textId="77777777" w:rsidR="0021298F" w:rsidRPr="001E64E0" w:rsidRDefault="0021298F" w:rsidP="00760009">
            <w:pPr>
              <w:rPr>
                <w:rFonts w:ascii="Arial" w:eastAsia="Times New Roman" w:hAnsi="Arial" w:cs="Arial"/>
                <w:color w:val="000000"/>
                <w:szCs w:val="20"/>
                <w:lang w:eastAsia="en-GB"/>
              </w:rPr>
            </w:pPr>
          </w:p>
        </w:tc>
        <w:tc>
          <w:tcPr>
            <w:tcW w:w="659" w:type="pct"/>
            <w:gridSpan w:val="2"/>
            <w:shd w:val="clear" w:color="000000" w:fill="EDFFB7"/>
            <w:noWrap/>
            <w:vAlign w:val="center"/>
          </w:tcPr>
          <w:p w14:paraId="0894C5A9" w14:textId="77777777" w:rsidR="0021298F" w:rsidRPr="001E64E0" w:rsidRDefault="0021298F" w:rsidP="00760009">
            <w:pPr>
              <w:jc w:val="right"/>
              <w:rPr>
                <w:rFonts w:ascii="Arial" w:eastAsia="Times New Roman" w:hAnsi="Arial" w:cs="Arial"/>
                <w:color w:val="000000"/>
                <w:lang w:eastAsia="en-GB"/>
              </w:rPr>
            </w:pPr>
          </w:p>
        </w:tc>
        <w:tc>
          <w:tcPr>
            <w:tcW w:w="1419" w:type="pct"/>
            <w:gridSpan w:val="2"/>
            <w:shd w:val="clear" w:color="000000" w:fill="EDFFB7"/>
          </w:tcPr>
          <w:p w14:paraId="4E6F8A02" w14:textId="77777777" w:rsidR="0021298F" w:rsidRPr="001E64E0" w:rsidRDefault="0021298F" w:rsidP="00760009">
            <w:pPr>
              <w:jc w:val="right"/>
              <w:rPr>
                <w:rFonts w:ascii="Arial" w:eastAsia="Times New Roman" w:hAnsi="Arial" w:cs="Arial"/>
                <w:color w:val="000000"/>
                <w:lang w:eastAsia="en-GB"/>
              </w:rPr>
            </w:pPr>
          </w:p>
        </w:tc>
        <w:tc>
          <w:tcPr>
            <w:tcW w:w="802" w:type="pct"/>
            <w:shd w:val="clear" w:color="000000" w:fill="EDFFB7"/>
            <w:noWrap/>
            <w:vAlign w:val="center"/>
          </w:tcPr>
          <w:p w14:paraId="280E4F9C" w14:textId="77777777" w:rsidR="0021298F" w:rsidRPr="001E64E0" w:rsidRDefault="0021298F" w:rsidP="00760009">
            <w:pPr>
              <w:jc w:val="right"/>
              <w:rPr>
                <w:rFonts w:ascii="Arial" w:eastAsia="Times New Roman" w:hAnsi="Arial" w:cs="Arial"/>
                <w:color w:val="000000"/>
                <w:lang w:eastAsia="en-GB"/>
              </w:rPr>
            </w:pPr>
          </w:p>
        </w:tc>
        <w:tc>
          <w:tcPr>
            <w:tcW w:w="802" w:type="pct"/>
            <w:gridSpan w:val="2"/>
            <w:shd w:val="clear" w:color="auto" w:fill="auto"/>
          </w:tcPr>
          <w:p w14:paraId="4810E831" w14:textId="77777777" w:rsidR="0021298F" w:rsidRPr="008F6629" w:rsidRDefault="0021298F" w:rsidP="00760009">
            <w:pPr>
              <w:jc w:val="right"/>
              <w:rPr>
                <w:rFonts w:ascii="Arial" w:eastAsia="Times New Roman" w:hAnsi="Arial" w:cs="Arial"/>
                <w:color w:val="000000"/>
                <w:lang w:eastAsia="en-GB"/>
              </w:rPr>
            </w:pPr>
          </w:p>
        </w:tc>
      </w:tr>
      <w:tr w:rsidR="0021298F" w:rsidRPr="00E07C61" w14:paraId="67C6209C" w14:textId="77777777" w:rsidTr="00760009">
        <w:trPr>
          <w:trHeight w:val="244"/>
        </w:trPr>
        <w:tc>
          <w:tcPr>
            <w:tcW w:w="1318" w:type="pct"/>
            <w:gridSpan w:val="2"/>
            <w:shd w:val="clear" w:color="000000" w:fill="FFFFFF"/>
            <w:noWrap/>
            <w:vAlign w:val="center"/>
          </w:tcPr>
          <w:p w14:paraId="18AE617F" w14:textId="77777777" w:rsidR="0021298F" w:rsidRPr="001E64E0" w:rsidRDefault="0021298F" w:rsidP="00760009">
            <w:pPr>
              <w:rPr>
                <w:rFonts w:ascii="Arial" w:eastAsia="Times New Roman" w:hAnsi="Arial" w:cs="Arial"/>
                <w:color w:val="000000"/>
                <w:szCs w:val="20"/>
                <w:lang w:eastAsia="en-GB"/>
              </w:rPr>
            </w:pPr>
            <w:r w:rsidRPr="001E64E0">
              <w:rPr>
                <w:rFonts w:ascii="Arial" w:eastAsia="Times New Roman" w:hAnsi="Arial" w:cs="Arial"/>
                <w:color w:val="000000"/>
                <w:lang w:eastAsia="en-GB"/>
              </w:rPr>
              <w:t>Knockacummer Wind Farm Limited</w:t>
            </w:r>
          </w:p>
        </w:tc>
        <w:tc>
          <w:tcPr>
            <w:tcW w:w="659" w:type="pct"/>
            <w:gridSpan w:val="2"/>
            <w:shd w:val="clear" w:color="000000" w:fill="EDFFB7"/>
            <w:noWrap/>
            <w:vAlign w:val="center"/>
          </w:tcPr>
          <w:p w14:paraId="74DEF8C2" w14:textId="77777777" w:rsidR="0021298F" w:rsidRPr="001E64E0" w:rsidRDefault="0021298F" w:rsidP="00760009">
            <w:pPr>
              <w:jc w:val="right"/>
              <w:rPr>
                <w:rFonts w:ascii="Arial" w:eastAsia="Times New Roman" w:hAnsi="Arial" w:cs="Arial"/>
                <w:color w:val="000000"/>
                <w:lang w:eastAsia="en-GB"/>
              </w:rPr>
            </w:pPr>
            <w:r w:rsidRPr="001E64E0">
              <w:rPr>
                <w:rFonts w:ascii="Arial" w:eastAsia="Times New Roman" w:hAnsi="Arial" w:cs="Arial"/>
                <w:color w:val="000000"/>
                <w:lang w:eastAsia="en-GB"/>
              </w:rPr>
              <w:t>Ireland</w:t>
            </w:r>
          </w:p>
        </w:tc>
        <w:tc>
          <w:tcPr>
            <w:tcW w:w="1419" w:type="pct"/>
            <w:gridSpan w:val="2"/>
            <w:shd w:val="clear" w:color="000000" w:fill="EDFFB7"/>
          </w:tcPr>
          <w:p w14:paraId="28FA3073" w14:textId="77777777" w:rsidR="0021298F" w:rsidRPr="001E64E0" w:rsidRDefault="0021298F" w:rsidP="00760009">
            <w:pPr>
              <w:jc w:val="right"/>
              <w:rPr>
                <w:rFonts w:ascii="Arial" w:eastAsia="Times New Roman" w:hAnsi="Arial" w:cs="Arial"/>
                <w:color w:val="000000"/>
                <w:lang w:eastAsia="en-GB"/>
              </w:rPr>
            </w:pPr>
            <w:r w:rsidRPr="001E64E0">
              <w:rPr>
                <w:rFonts w:ascii="Arial" w:eastAsia="Times New Roman" w:hAnsi="Arial" w:cs="Arial"/>
                <w:color w:val="000000"/>
                <w:lang w:eastAsia="en-GB"/>
              </w:rPr>
              <w:t>Riverside One, Sir John Rogerson’s Quay, Dublin 2</w:t>
            </w:r>
          </w:p>
        </w:tc>
        <w:tc>
          <w:tcPr>
            <w:tcW w:w="802" w:type="pct"/>
            <w:shd w:val="clear" w:color="000000" w:fill="EDFFB7"/>
            <w:noWrap/>
            <w:vAlign w:val="center"/>
          </w:tcPr>
          <w:p w14:paraId="21217CED" w14:textId="77777777" w:rsidR="0021298F" w:rsidRPr="001E64E0" w:rsidRDefault="0021298F" w:rsidP="00760009">
            <w:pPr>
              <w:jc w:val="right"/>
              <w:rPr>
                <w:rFonts w:ascii="Arial" w:eastAsia="Times New Roman" w:hAnsi="Arial" w:cs="Arial"/>
                <w:color w:val="000000"/>
                <w:lang w:eastAsia="en-GB"/>
              </w:rPr>
            </w:pPr>
            <w:r w:rsidRPr="001E64E0">
              <w:rPr>
                <w:rFonts w:ascii="Arial" w:eastAsia="Times New Roman" w:hAnsi="Arial" w:cs="Arial"/>
                <w:color w:val="000000"/>
                <w:lang w:eastAsia="en-GB"/>
              </w:rPr>
              <w:t>100%</w:t>
            </w:r>
          </w:p>
        </w:tc>
        <w:tc>
          <w:tcPr>
            <w:tcW w:w="802" w:type="pct"/>
            <w:gridSpan w:val="2"/>
            <w:shd w:val="clear" w:color="auto" w:fill="auto"/>
          </w:tcPr>
          <w:p w14:paraId="1CC25F13" w14:textId="77777777" w:rsidR="0021298F" w:rsidRPr="008F6629" w:rsidRDefault="0021298F" w:rsidP="00760009">
            <w:pPr>
              <w:jc w:val="right"/>
              <w:rPr>
                <w:rFonts w:ascii="Arial" w:eastAsia="Times New Roman" w:hAnsi="Arial" w:cs="Arial"/>
                <w:color w:val="000000"/>
                <w:lang w:eastAsia="en-GB"/>
              </w:rPr>
            </w:pPr>
          </w:p>
        </w:tc>
      </w:tr>
      <w:tr w:rsidR="0021298F" w:rsidRPr="00E07C61" w14:paraId="753FD006" w14:textId="77777777" w:rsidTr="00760009">
        <w:trPr>
          <w:trHeight w:val="244"/>
        </w:trPr>
        <w:tc>
          <w:tcPr>
            <w:tcW w:w="1318" w:type="pct"/>
            <w:gridSpan w:val="2"/>
            <w:shd w:val="clear" w:color="000000" w:fill="FFFFFF"/>
            <w:noWrap/>
            <w:vAlign w:val="center"/>
          </w:tcPr>
          <w:p w14:paraId="36DDF02B" w14:textId="77777777" w:rsidR="0021298F" w:rsidRPr="001E64E0" w:rsidRDefault="0021298F" w:rsidP="00760009">
            <w:pPr>
              <w:rPr>
                <w:rFonts w:ascii="Arial" w:eastAsia="Times New Roman" w:hAnsi="Arial" w:cs="Arial"/>
                <w:color w:val="000000"/>
                <w:lang w:eastAsia="en-GB"/>
              </w:rPr>
            </w:pPr>
          </w:p>
        </w:tc>
        <w:tc>
          <w:tcPr>
            <w:tcW w:w="659" w:type="pct"/>
            <w:gridSpan w:val="2"/>
            <w:shd w:val="clear" w:color="000000" w:fill="EDFFB7"/>
            <w:noWrap/>
            <w:vAlign w:val="center"/>
          </w:tcPr>
          <w:p w14:paraId="7B535FE2" w14:textId="77777777" w:rsidR="0021298F" w:rsidRPr="001E64E0" w:rsidRDefault="0021298F" w:rsidP="00760009">
            <w:pPr>
              <w:jc w:val="right"/>
              <w:rPr>
                <w:rFonts w:ascii="Arial" w:eastAsia="Times New Roman" w:hAnsi="Arial" w:cs="Arial"/>
                <w:color w:val="000000"/>
                <w:lang w:eastAsia="en-GB"/>
              </w:rPr>
            </w:pPr>
          </w:p>
        </w:tc>
        <w:tc>
          <w:tcPr>
            <w:tcW w:w="1419" w:type="pct"/>
            <w:gridSpan w:val="2"/>
            <w:shd w:val="clear" w:color="000000" w:fill="EDFFB7"/>
          </w:tcPr>
          <w:p w14:paraId="48925F21" w14:textId="77777777" w:rsidR="0021298F" w:rsidRPr="001E64E0" w:rsidRDefault="0021298F" w:rsidP="00760009">
            <w:pPr>
              <w:jc w:val="right"/>
              <w:rPr>
                <w:rFonts w:ascii="Arial" w:eastAsia="Times New Roman" w:hAnsi="Arial" w:cs="Arial"/>
                <w:color w:val="000000"/>
                <w:lang w:eastAsia="en-GB"/>
              </w:rPr>
            </w:pPr>
          </w:p>
        </w:tc>
        <w:tc>
          <w:tcPr>
            <w:tcW w:w="802" w:type="pct"/>
            <w:shd w:val="clear" w:color="000000" w:fill="EDFFB7"/>
            <w:noWrap/>
            <w:vAlign w:val="center"/>
          </w:tcPr>
          <w:p w14:paraId="325862E9" w14:textId="77777777" w:rsidR="0021298F" w:rsidRPr="001E64E0" w:rsidRDefault="0021298F" w:rsidP="00760009">
            <w:pPr>
              <w:jc w:val="right"/>
              <w:rPr>
                <w:rFonts w:ascii="Arial" w:eastAsia="Times New Roman" w:hAnsi="Arial" w:cs="Arial"/>
                <w:color w:val="000000"/>
                <w:lang w:eastAsia="en-GB"/>
              </w:rPr>
            </w:pPr>
          </w:p>
        </w:tc>
        <w:tc>
          <w:tcPr>
            <w:tcW w:w="802" w:type="pct"/>
            <w:gridSpan w:val="2"/>
            <w:shd w:val="clear" w:color="auto" w:fill="auto"/>
          </w:tcPr>
          <w:p w14:paraId="03D74A08" w14:textId="77777777" w:rsidR="0021298F" w:rsidRPr="008F6629" w:rsidRDefault="0021298F" w:rsidP="00760009">
            <w:pPr>
              <w:jc w:val="right"/>
              <w:rPr>
                <w:rFonts w:ascii="Arial" w:eastAsia="Times New Roman" w:hAnsi="Arial" w:cs="Arial"/>
                <w:color w:val="000000"/>
                <w:lang w:eastAsia="en-GB"/>
              </w:rPr>
            </w:pPr>
          </w:p>
        </w:tc>
      </w:tr>
      <w:tr w:rsidR="0021298F" w:rsidRPr="00E07C61" w14:paraId="2F0BC992" w14:textId="77777777" w:rsidTr="00760009">
        <w:trPr>
          <w:trHeight w:val="244"/>
        </w:trPr>
        <w:tc>
          <w:tcPr>
            <w:tcW w:w="1318" w:type="pct"/>
            <w:gridSpan w:val="2"/>
            <w:shd w:val="clear" w:color="000000" w:fill="FFFFFF"/>
            <w:noWrap/>
            <w:vAlign w:val="center"/>
          </w:tcPr>
          <w:p w14:paraId="2C1C5C15" w14:textId="77777777" w:rsidR="0021298F" w:rsidRPr="001E64E0" w:rsidRDefault="0021298F" w:rsidP="00760009">
            <w:pPr>
              <w:rPr>
                <w:rFonts w:ascii="Arial" w:eastAsia="Times New Roman" w:hAnsi="Arial" w:cs="Arial"/>
                <w:color w:val="000000"/>
                <w:lang w:eastAsia="en-GB"/>
              </w:rPr>
            </w:pPr>
            <w:r w:rsidRPr="001E64E0">
              <w:rPr>
                <w:rFonts w:ascii="Arial" w:eastAsia="Times New Roman" w:hAnsi="Arial" w:cs="Arial"/>
                <w:color w:val="000000"/>
                <w:lang w:eastAsia="en-GB"/>
              </w:rPr>
              <w:t>Knocknalour Wind Farm Holdings Limited</w:t>
            </w:r>
          </w:p>
        </w:tc>
        <w:tc>
          <w:tcPr>
            <w:tcW w:w="659" w:type="pct"/>
            <w:gridSpan w:val="2"/>
            <w:shd w:val="clear" w:color="000000" w:fill="EDFFB7"/>
            <w:noWrap/>
            <w:vAlign w:val="center"/>
          </w:tcPr>
          <w:p w14:paraId="57056CAA" w14:textId="77777777" w:rsidR="0021298F" w:rsidRPr="001E64E0" w:rsidRDefault="0021298F" w:rsidP="00760009">
            <w:pPr>
              <w:jc w:val="right"/>
              <w:rPr>
                <w:rFonts w:ascii="Arial" w:eastAsia="Times New Roman" w:hAnsi="Arial" w:cs="Arial"/>
                <w:color w:val="000000"/>
                <w:lang w:eastAsia="en-GB"/>
              </w:rPr>
            </w:pPr>
            <w:r w:rsidRPr="001E64E0">
              <w:rPr>
                <w:rFonts w:ascii="Arial" w:eastAsia="Times New Roman" w:hAnsi="Arial" w:cs="Arial"/>
                <w:color w:val="000000"/>
                <w:lang w:eastAsia="en-GB"/>
              </w:rPr>
              <w:t>Ireland</w:t>
            </w:r>
          </w:p>
        </w:tc>
        <w:tc>
          <w:tcPr>
            <w:tcW w:w="1419" w:type="pct"/>
            <w:gridSpan w:val="2"/>
            <w:shd w:val="clear" w:color="000000" w:fill="EDFFB7"/>
          </w:tcPr>
          <w:p w14:paraId="0626AA33" w14:textId="77777777" w:rsidR="0021298F" w:rsidRPr="001E64E0" w:rsidRDefault="0021298F" w:rsidP="00760009">
            <w:pPr>
              <w:jc w:val="right"/>
              <w:rPr>
                <w:rFonts w:ascii="Arial" w:eastAsia="Times New Roman" w:hAnsi="Arial" w:cs="Arial"/>
                <w:color w:val="000000"/>
                <w:lang w:eastAsia="en-GB"/>
              </w:rPr>
            </w:pPr>
            <w:r w:rsidRPr="001E64E0">
              <w:rPr>
                <w:rFonts w:ascii="Arial" w:eastAsia="Times New Roman" w:hAnsi="Arial" w:cs="Arial"/>
                <w:color w:val="000000"/>
                <w:lang w:eastAsia="en-GB"/>
              </w:rPr>
              <w:t>Riverside One, Sir John Rogerson’s Quay, Dublin 2</w:t>
            </w:r>
          </w:p>
        </w:tc>
        <w:tc>
          <w:tcPr>
            <w:tcW w:w="802" w:type="pct"/>
            <w:shd w:val="clear" w:color="000000" w:fill="EDFFB7"/>
            <w:noWrap/>
            <w:vAlign w:val="center"/>
          </w:tcPr>
          <w:p w14:paraId="145C2459" w14:textId="77777777" w:rsidR="0021298F" w:rsidRPr="001E64E0" w:rsidRDefault="0021298F" w:rsidP="00760009">
            <w:pPr>
              <w:jc w:val="right"/>
              <w:rPr>
                <w:rFonts w:ascii="Arial" w:eastAsia="Times New Roman" w:hAnsi="Arial" w:cs="Arial"/>
                <w:color w:val="000000"/>
                <w:lang w:eastAsia="en-GB"/>
              </w:rPr>
            </w:pPr>
            <w:r w:rsidRPr="001E64E0">
              <w:rPr>
                <w:rFonts w:ascii="Arial" w:eastAsia="Times New Roman" w:hAnsi="Arial" w:cs="Arial"/>
                <w:color w:val="000000"/>
                <w:lang w:eastAsia="en-GB"/>
              </w:rPr>
              <w:t>100%</w:t>
            </w:r>
          </w:p>
        </w:tc>
        <w:tc>
          <w:tcPr>
            <w:tcW w:w="802" w:type="pct"/>
            <w:gridSpan w:val="2"/>
            <w:shd w:val="clear" w:color="auto" w:fill="auto"/>
          </w:tcPr>
          <w:p w14:paraId="2DEB1831" w14:textId="77777777" w:rsidR="0021298F" w:rsidRPr="008F6629" w:rsidRDefault="0021298F" w:rsidP="00760009">
            <w:pPr>
              <w:jc w:val="right"/>
              <w:rPr>
                <w:rFonts w:ascii="Arial" w:eastAsia="Times New Roman" w:hAnsi="Arial" w:cs="Arial"/>
                <w:color w:val="000000"/>
                <w:lang w:eastAsia="en-GB"/>
              </w:rPr>
            </w:pPr>
          </w:p>
        </w:tc>
      </w:tr>
      <w:tr w:rsidR="0021298F" w:rsidRPr="00E07C61" w14:paraId="40A1275B" w14:textId="77777777" w:rsidTr="00760009">
        <w:trPr>
          <w:trHeight w:val="244"/>
        </w:trPr>
        <w:tc>
          <w:tcPr>
            <w:tcW w:w="1318" w:type="pct"/>
            <w:gridSpan w:val="2"/>
            <w:shd w:val="clear" w:color="000000" w:fill="FFFFFF"/>
            <w:noWrap/>
            <w:vAlign w:val="center"/>
          </w:tcPr>
          <w:p w14:paraId="7240C199" w14:textId="77777777" w:rsidR="0021298F" w:rsidRPr="001E64E0" w:rsidRDefault="0021298F" w:rsidP="00760009">
            <w:pPr>
              <w:rPr>
                <w:rFonts w:ascii="Arial" w:eastAsia="Times New Roman" w:hAnsi="Arial" w:cs="Arial"/>
                <w:color w:val="000000"/>
                <w:lang w:eastAsia="en-GB"/>
              </w:rPr>
            </w:pPr>
          </w:p>
        </w:tc>
        <w:tc>
          <w:tcPr>
            <w:tcW w:w="659" w:type="pct"/>
            <w:gridSpan w:val="2"/>
            <w:shd w:val="clear" w:color="000000" w:fill="EDFFB7"/>
            <w:noWrap/>
            <w:vAlign w:val="center"/>
          </w:tcPr>
          <w:p w14:paraId="39500970" w14:textId="77777777" w:rsidR="0021298F" w:rsidRPr="001E64E0" w:rsidRDefault="0021298F" w:rsidP="00760009">
            <w:pPr>
              <w:jc w:val="right"/>
              <w:rPr>
                <w:rFonts w:ascii="Arial" w:eastAsia="Times New Roman" w:hAnsi="Arial" w:cs="Arial"/>
                <w:color w:val="000000"/>
                <w:lang w:eastAsia="en-GB"/>
              </w:rPr>
            </w:pPr>
          </w:p>
        </w:tc>
        <w:tc>
          <w:tcPr>
            <w:tcW w:w="1419" w:type="pct"/>
            <w:gridSpan w:val="2"/>
            <w:shd w:val="clear" w:color="000000" w:fill="EDFFB7"/>
          </w:tcPr>
          <w:p w14:paraId="4E86D518" w14:textId="77777777" w:rsidR="0021298F" w:rsidRPr="001E64E0" w:rsidRDefault="0021298F" w:rsidP="00760009">
            <w:pPr>
              <w:jc w:val="right"/>
              <w:rPr>
                <w:rFonts w:ascii="Arial" w:eastAsia="Times New Roman" w:hAnsi="Arial" w:cs="Arial"/>
                <w:color w:val="000000"/>
                <w:lang w:eastAsia="en-GB"/>
              </w:rPr>
            </w:pPr>
          </w:p>
        </w:tc>
        <w:tc>
          <w:tcPr>
            <w:tcW w:w="802" w:type="pct"/>
            <w:shd w:val="clear" w:color="000000" w:fill="EDFFB7"/>
            <w:noWrap/>
            <w:vAlign w:val="center"/>
          </w:tcPr>
          <w:p w14:paraId="25A9D788" w14:textId="77777777" w:rsidR="0021298F" w:rsidRPr="001E64E0" w:rsidRDefault="0021298F" w:rsidP="00760009">
            <w:pPr>
              <w:jc w:val="right"/>
              <w:rPr>
                <w:rFonts w:ascii="Arial" w:eastAsia="Times New Roman" w:hAnsi="Arial" w:cs="Arial"/>
                <w:color w:val="000000"/>
                <w:lang w:eastAsia="en-GB"/>
              </w:rPr>
            </w:pPr>
          </w:p>
        </w:tc>
        <w:tc>
          <w:tcPr>
            <w:tcW w:w="802" w:type="pct"/>
            <w:gridSpan w:val="2"/>
            <w:shd w:val="clear" w:color="auto" w:fill="auto"/>
          </w:tcPr>
          <w:p w14:paraId="7FBE3FC3" w14:textId="77777777" w:rsidR="0021298F" w:rsidRPr="008F6629" w:rsidRDefault="0021298F" w:rsidP="00760009">
            <w:pPr>
              <w:jc w:val="right"/>
              <w:rPr>
                <w:rFonts w:ascii="Arial" w:eastAsia="Times New Roman" w:hAnsi="Arial" w:cs="Arial"/>
                <w:color w:val="000000"/>
                <w:lang w:eastAsia="en-GB"/>
              </w:rPr>
            </w:pPr>
          </w:p>
        </w:tc>
      </w:tr>
      <w:tr w:rsidR="0021298F" w:rsidRPr="00E07C61" w14:paraId="014FA0BE" w14:textId="77777777" w:rsidTr="00760009">
        <w:trPr>
          <w:trHeight w:val="244"/>
        </w:trPr>
        <w:tc>
          <w:tcPr>
            <w:tcW w:w="1318" w:type="pct"/>
            <w:gridSpan w:val="2"/>
            <w:shd w:val="clear" w:color="000000" w:fill="FFFFFF"/>
            <w:noWrap/>
            <w:vAlign w:val="center"/>
          </w:tcPr>
          <w:p w14:paraId="016FB04B" w14:textId="77777777" w:rsidR="0021298F" w:rsidRPr="001E64E0" w:rsidRDefault="0021298F" w:rsidP="00760009">
            <w:pPr>
              <w:rPr>
                <w:rFonts w:ascii="Arial" w:eastAsia="Times New Roman" w:hAnsi="Arial" w:cs="Arial"/>
                <w:color w:val="000000"/>
                <w:lang w:eastAsia="en-GB"/>
              </w:rPr>
            </w:pPr>
            <w:r w:rsidRPr="001E64E0">
              <w:rPr>
                <w:rFonts w:ascii="Arial" w:eastAsia="Times New Roman" w:hAnsi="Arial" w:cs="Arial"/>
                <w:color w:val="000000"/>
                <w:lang w:eastAsia="en-GB"/>
              </w:rPr>
              <w:t xml:space="preserve">Kostroma Holdings Limited </w:t>
            </w:r>
            <w:r w:rsidRPr="001E64E0">
              <w:rPr>
                <w:rFonts w:ascii="Arial" w:eastAsia="Times New Roman" w:hAnsi="Arial" w:cs="Arial"/>
                <w:color w:val="000000"/>
                <w:vertAlign w:val="superscript"/>
                <w:lang w:eastAsia="en-GB"/>
              </w:rPr>
              <w:t>(1)</w:t>
            </w:r>
          </w:p>
        </w:tc>
        <w:tc>
          <w:tcPr>
            <w:tcW w:w="659" w:type="pct"/>
            <w:gridSpan w:val="2"/>
            <w:shd w:val="clear" w:color="000000" w:fill="EDFFB7"/>
            <w:noWrap/>
            <w:vAlign w:val="center"/>
          </w:tcPr>
          <w:p w14:paraId="34CAE5BE" w14:textId="77777777" w:rsidR="0021298F" w:rsidRPr="001E64E0" w:rsidRDefault="0021298F" w:rsidP="00760009">
            <w:pPr>
              <w:jc w:val="right"/>
              <w:rPr>
                <w:rFonts w:ascii="Arial" w:eastAsia="Times New Roman" w:hAnsi="Arial" w:cs="Arial"/>
                <w:color w:val="000000"/>
                <w:lang w:eastAsia="en-GB"/>
              </w:rPr>
            </w:pPr>
            <w:r w:rsidRPr="001E64E0">
              <w:rPr>
                <w:rFonts w:ascii="Arial" w:eastAsia="Times New Roman" w:hAnsi="Arial" w:cs="Arial"/>
                <w:color w:val="000000"/>
                <w:lang w:eastAsia="en-GB"/>
              </w:rPr>
              <w:t>Ireland</w:t>
            </w:r>
          </w:p>
        </w:tc>
        <w:tc>
          <w:tcPr>
            <w:tcW w:w="1419" w:type="pct"/>
            <w:gridSpan w:val="2"/>
            <w:shd w:val="clear" w:color="000000" w:fill="EDFFB7"/>
          </w:tcPr>
          <w:p w14:paraId="66DC8237" w14:textId="77777777" w:rsidR="0021298F" w:rsidRPr="001E64E0" w:rsidRDefault="0021298F" w:rsidP="00760009">
            <w:pPr>
              <w:jc w:val="right"/>
              <w:rPr>
                <w:rFonts w:ascii="Arial" w:eastAsia="Times New Roman" w:hAnsi="Arial" w:cs="Arial"/>
                <w:color w:val="000000"/>
                <w:lang w:eastAsia="en-GB"/>
              </w:rPr>
            </w:pPr>
            <w:r w:rsidRPr="001E64E0">
              <w:rPr>
                <w:rFonts w:ascii="Arial" w:eastAsia="Times New Roman" w:hAnsi="Arial" w:cs="Arial"/>
                <w:color w:val="000000"/>
                <w:lang w:eastAsia="en-GB"/>
              </w:rPr>
              <w:t>Riverside One, Sir John Rogerson’s Quay, Dublin 2</w:t>
            </w:r>
          </w:p>
        </w:tc>
        <w:tc>
          <w:tcPr>
            <w:tcW w:w="802" w:type="pct"/>
            <w:shd w:val="clear" w:color="000000" w:fill="EDFFB7"/>
            <w:noWrap/>
            <w:vAlign w:val="center"/>
          </w:tcPr>
          <w:p w14:paraId="347C554E" w14:textId="77777777" w:rsidR="0021298F" w:rsidRPr="001E64E0" w:rsidRDefault="0021298F" w:rsidP="00760009">
            <w:pPr>
              <w:jc w:val="right"/>
              <w:rPr>
                <w:rFonts w:ascii="Arial" w:eastAsia="Times New Roman" w:hAnsi="Arial" w:cs="Arial"/>
                <w:color w:val="000000"/>
                <w:lang w:eastAsia="en-GB"/>
              </w:rPr>
            </w:pPr>
            <w:r w:rsidRPr="001E64E0">
              <w:rPr>
                <w:rFonts w:ascii="Arial" w:eastAsia="Times New Roman" w:hAnsi="Arial" w:cs="Arial"/>
                <w:color w:val="000000"/>
                <w:lang w:eastAsia="en-GB"/>
              </w:rPr>
              <w:t>100%</w:t>
            </w:r>
          </w:p>
        </w:tc>
        <w:tc>
          <w:tcPr>
            <w:tcW w:w="802" w:type="pct"/>
            <w:gridSpan w:val="2"/>
            <w:shd w:val="clear" w:color="auto" w:fill="auto"/>
          </w:tcPr>
          <w:p w14:paraId="20E160E9" w14:textId="77777777" w:rsidR="0021298F" w:rsidRPr="008F6629" w:rsidRDefault="0021298F" w:rsidP="00760009">
            <w:pPr>
              <w:jc w:val="right"/>
              <w:rPr>
                <w:rFonts w:ascii="Arial" w:eastAsia="Times New Roman" w:hAnsi="Arial" w:cs="Arial"/>
                <w:color w:val="000000"/>
                <w:lang w:eastAsia="en-GB"/>
              </w:rPr>
            </w:pPr>
          </w:p>
        </w:tc>
      </w:tr>
      <w:tr w:rsidR="0021298F" w:rsidRPr="00E07C61" w14:paraId="34782D3C" w14:textId="77777777" w:rsidTr="00760009">
        <w:trPr>
          <w:trHeight w:val="244"/>
        </w:trPr>
        <w:tc>
          <w:tcPr>
            <w:tcW w:w="1318" w:type="pct"/>
            <w:gridSpan w:val="2"/>
            <w:shd w:val="clear" w:color="000000" w:fill="FFFFFF"/>
            <w:noWrap/>
            <w:vAlign w:val="center"/>
          </w:tcPr>
          <w:p w14:paraId="66D6412F" w14:textId="77777777" w:rsidR="0021298F" w:rsidRPr="001E64E0" w:rsidRDefault="0021298F" w:rsidP="00760009">
            <w:pPr>
              <w:rPr>
                <w:rFonts w:ascii="Arial" w:eastAsia="Times New Roman" w:hAnsi="Arial" w:cs="Arial"/>
                <w:color w:val="000000"/>
                <w:lang w:eastAsia="en-GB"/>
              </w:rPr>
            </w:pPr>
          </w:p>
          <w:p w14:paraId="448F8FB4" w14:textId="77777777" w:rsidR="0021298F" w:rsidRPr="001E64E0" w:rsidRDefault="0021298F" w:rsidP="00760009">
            <w:pPr>
              <w:rPr>
                <w:rFonts w:ascii="Arial" w:eastAsia="Times New Roman" w:hAnsi="Arial" w:cs="Arial"/>
                <w:color w:val="000000"/>
                <w:lang w:eastAsia="en-GB"/>
              </w:rPr>
            </w:pPr>
            <w:r w:rsidRPr="001E64E0">
              <w:rPr>
                <w:rFonts w:ascii="Arial" w:eastAsia="Times New Roman" w:hAnsi="Arial" w:cs="Arial"/>
                <w:color w:val="000000"/>
                <w:lang w:eastAsia="en-GB"/>
              </w:rPr>
              <w:t>Lisdowney Wind Farms Limited</w:t>
            </w:r>
          </w:p>
        </w:tc>
        <w:tc>
          <w:tcPr>
            <w:tcW w:w="659" w:type="pct"/>
            <w:gridSpan w:val="2"/>
            <w:shd w:val="clear" w:color="000000" w:fill="EDFFB7"/>
            <w:noWrap/>
            <w:vAlign w:val="center"/>
          </w:tcPr>
          <w:p w14:paraId="5288B359" w14:textId="77777777" w:rsidR="0021298F" w:rsidRPr="001E64E0" w:rsidRDefault="0021298F" w:rsidP="00760009">
            <w:pPr>
              <w:jc w:val="right"/>
              <w:rPr>
                <w:rFonts w:ascii="Arial" w:eastAsia="Times New Roman" w:hAnsi="Arial" w:cs="Arial"/>
                <w:color w:val="000000"/>
                <w:lang w:eastAsia="en-GB"/>
              </w:rPr>
            </w:pPr>
          </w:p>
          <w:p w14:paraId="615537B2" w14:textId="77777777" w:rsidR="0021298F" w:rsidRPr="001E64E0" w:rsidRDefault="0021298F" w:rsidP="00760009">
            <w:pPr>
              <w:jc w:val="right"/>
              <w:rPr>
                <w:rFonts w:ascii="Arial" w:eastAsia="Times New Roman" w:hAnsi="Arial" w:cs="Arial"/>
                <w:color w:val="000000"/>
                <w:lang w:eastAsia="en-GB"/>
              </w:rPr>
            </w:pPr>
            <w:r w:rsidRPr="001E64E0">
              <w:rPr>
                <w:rFonts w:ascii="Arial" w:eastAsia="Times New Roman" w:hAnsi="Arial" w:cs="Arial"/>
                <w:color w:val="000000"/>
                <w:lang w:eastAsia="en-GB"/>
              </w:rPr>
              <w:t>Ireland</w:t>
            </w:r>
          </w:p>
        </w:tc>
        <w:tc>
          <w:tcPr>
            <w:tcW w:w="1419" w:type="pct"/>
            <w:gridSpan w:val="2"/>
            <w:shd w:val="clear" w:color="000000" w:fill="EDFFB7"/>
          </w:tcPr>
          <w:p w14:paraId="1D4683C1" w14:textId="77777777" w:rsidR="0021298F" w:rsidRPr="001E64E0" w:rsidRDefault="0021298F" w:rsidP="00760009">
            <w:pPr>
              <w:jc w:val="right"/>
              <w:rPr>
                <w:rFonts w:ascii="Arial" w:eastAsia="Times New Roman" w:hAnsi="Arial" w:cs="Arial"/>
                <w:color w:val="000000"/>
                <w:lang w:eastAsia="en-GB"/>
              </w:rPr>
            </w:pPr>
          </w:p>
          <w:p w14:paraId="35393FA8" w14:textId="77777777" w:rsidR="0021298F" w:rsidRPr="001E64E0" w:rsidRDefault="0021298F" w:rsidP="00760009">
            <w:pPr>
              <w:jc w:val="right"/>
              <w:rPr>
                <w:rFonts w:ascii="Arial" w:eastAsia="Times New Roman" w:hAnsi="Arial" w:cs="Arial"/>
                <w:color w:val="000000"/>
                <w:lang w:eastAsia="en-GB"/>
              </w:rPr>
            </w:pPr>
            <w:r w:rsidRPr="001E64E0">
              <w:rPr>
                <w:rFonts w:ascii="Arial" w:eastAsia="Times New Roman" w:hAnsi="Arial" w:cs="Arial"/>
                <w:color w:val="000000"/>
                <w:lang w:eastAsia="en-GB"/>
              </w:rPr>
              <w:t>Riverside One, Sir John Rogerson’s Quay, Dublin 2</w:t>
            </w:r>
          </w:p>
        </w:tc>
        <w:tc>
          <w:tcPr>
            <w:tcW w:w="802" w:type="pct"/>
            <w:shd w:val="clear" w:color="000000" w:fill="EDFFB7"/>
            <w:noWrap/>
            <w:vAlign w:val="center"/>
          </w:tcPr>
          <w:p w14:paraId="704BE0E0" w14:textId="77777777" w:rsidR="0021298F" w:rsidRPr="001E64E0" w:rsidRDefault="0021298F" w:rsidP="00760009">
            <w:pPr>
              <w:jc w:val="right"/>
              <w:rPr>
                <w:rFonts w:ascii="Arial" w:eastAsia="Times New Roman" w:hAnsi="Arial" w:cs="Arial"/>
                <w:color w:val="000000"/>
                <w:lang w:eastAsia="en-GB"/>
              </w:rPr>
            </w:pPr>
            <w:r w:rsidRPr="001E64E0">
              <w:rPr>
                <w:rFonts w:ascii="Arial" w:eastAsia="Times New Roman" w:hAnsi="Arial" w:cs="Arial"/>
                <w:color w:val="000000"/>
                <w:lang w:eastAsia="en-GB"/>
              </w:rPr>
              <w:t>100%</w:t>
            </w:r>
          </w:p>
        </w:tc>
        <w:tc>
          <w:tcPr>
            <w:tcW w:w="802" w:type="pct"/>
            <w:gridSpan w:val="2"/>
            <w:shd w:val="clear" w:color="auto" w:fill="auto"/>
          </w:tcPr>
          <w:p w14:paraId="29FEF134" w14:textId="77777777" w:rsidR="0021298F" w:rsidRPr="008F6629" w:rsidRDefault="0021298F" w:rsidP="00760009">
            <w:pPr>
              <w:jc w:val="right"/>
              <w:rPr>
                <w:rFonts w:ascii="Arial" w:eastAsia="Times New Roman" w:hAnsi="Arial" w:cs="Arial"/>
                <w:color w:val="000000"/>
                <w:lang w:eastAsia="en-GB"/>
              </w:rPr>
            </w:pPr>
          </w:p>
        </w:tc>
      </w:tr>
      <w:tr w:rsidR="0021298F" w:rsidRPr="00E07C61" w14:paraId="147BB865" w14:textId="77777777" w:rsidTr="00760009">
        <w:trPr>
          <w:trHeight w:val="244"/>
        </w:trPr>
        <w:tc>
          <w:tcPr>
            <w:tcW w:w="1318" w:type="pct"/>
            <w:gridSpan w:val="2"/>
            <w:shd w:val="clear" w:color="000000" w:fill="FFFFFF"/>
            <w:noWrap/>
            <w:vAlign w:val="center"/>
          </w:tcPr>
          <w:p w14:paraId="016C2C5E" w14:textId="77777777" w:rsidR="0021298F" w:rsidRPr="001E64E0" w:rsidRDefault="0021298F" w:rsidP="00760009">
            <w:pPr>
              <w:rPr>
                <w:rFonts w:ascii="Arial" w:eastAsia="Times New Roman" w:hAnsi="Arial" w:cs="Arial"/>
                <w:color w:val="000000"/>
                <w:lang w:eastAsia="en-GB"/>
              </w:rPr>
            </w:pPr>
          </w:p>
        </w:tc>
        <w:tc>
          <w:tcPr>
            <w:tcW w:w="659" w:type="pct"/>
            <w:gridSpan w:val="2"/>
            <w:shd w:val="clear" w:color="000000" w:fill="EDFFB7"/>
            <w:noWrap/>
            <w:vAlign w:val="center"/>
          </w:tcPr>
          <w:p w14:paraId="2DEED642" w14:textId="77777777" w:rsidR="0021298F" w:rsidRPr="001E64E0" w:rsidRDefault="0021298F" w:rsidP="00760009">
            <w:pPr>
              <w:jc w:val="right"/>
              <w:rPr>
                <w:rFonts w:ascii="Arial" w:eastAsia="Times New Roman" w:hAnsi="Arial" w:cs="Arial"/>
                <w:color w:val="000000"/>
                <w:lang w:eastAsia="en-GB"/>
              </w:rPr>
            </w:pPr>
          </w:p>
        </w:tc>
        <w:tc>
          <w:tcPr>
            <w:tcW w:w="1419" w:type="pct"/>
            <w:gridSpan w:val="2"/>
            <w:shd w:val="clear" w:color="000000" w:fill="EDFFB7"/>
          </w:tcPr>
          <w:p w14:paraId="3E9E8017" w14:textId="77777777" w:rsidR="0021298F" w:rsidRPr="001E64E0" w:rsidRDefault="0021298F" w:rsidP="00760009">
            <w:pPr>
              <w:jc w:val="right"/>
              <w:rPr>
                <w:rFonts w:ascii="Arial" w:eastAsia="Times New Roman" w:hAnsi="Arial" w:cs="Arial"/>
                <w:color w:val="000000"/>
                <w:lang w:eastAsia="en-GB"/>
              </w:rPr>
            </w:pPr>
          </w:p>
        </w:tc>
        <w:tc>
          <w:tcPr>
            <w:tcW w:w="802" w:type="pct"/>
            <w:shd w:val="clear" w:color="000000" w:fill="EDFFB7"/>
            <w:noWrap/>
            <w:vAlign w:val="center"/>
          </w:tcPr>
          <w:p w14:paraId="61A4B6BA" w14:textId="77777777" w:rsidR="0021298F" w:rsidRPr="001E64E0" w:rsidRDefault="0021298F" w:rsidP="00760009">
            <w:pPr>
              <w:jc w:val="right"/>
              <w:rPr>
                <w:rFonts w:ascii="Arial" w:eastAsia="Times New Roman" w:hAnsi="Arial" w:cs="Arial"/>
                <w:color w:val="000000"/>
                <w:lang w:eastAsia="en-GB"/>
              </w:rPr>
            </w:pPr>
          </w:p>
        </w:tc>
        <w:tc>
          <w:tcPr>
            <w:tcW w:w="802" w:type="pct"/>
            <w:gridSpan w:val="2"/>
            <w:shd w:val="clear" w:color="auto" w:fill="auto"/>
          </w:tcPr>
          <w:p w14:paraId="0702E0EE" w14:textId="77777777" w:rsidR="0021298F" w:rsidRPr="008F6629" w:rsidRDefault="0021298F" w:rsidP="00760009">
            <w:pPr>
              <w:jc w:val="right"/>
              <w:rPr>
                <w:rFonts w:ascii="Arial" w:eastAsia="Times New Roman" w:hAnsi="Arial" w:cs="Arial"/>
                <w:color w:val="000000"/>
                <w:lang w:eastAsia="en-GB"/>
              </w:rPr>
            </w:pPr>
          </w:p>
        </w:tc>
      </w:tr>
      <w:tr w:rsidR="0021298F" w:rsidRPr="00E07C61" w14:paraId="0FEC0942" w14:textId="77777777" w:rsidTr="00760009">
        <w:trPr>
          <w:trHeight w:val="244"/>
        </w:trPr>
        <w:tc>
          <w:tcPr>
            <w:tcW w:w="1318" w:type="pct"/>
            <w:gridSpan w:val="2"/>
            <w:shd w:val="clear" w:color="000000" w:fill="FFFFFF"/>
            <w:noWrap/>
            <w:vAlign w:val="center"/>
          </w:tcPr>
          <w:p w14:paraId="695DBB6D" w14:textId="77777777" w:rsidR="0021298F" w:rsidRPr="001E64E0" w:rsidRDefault="0021298F" w:rsidP="00760009">
            <w:pPr>
              <w:rPr>
                <w:rFonts w:ascii="Arial" w:eastAsia="Times New Roman" w:hAnsi="Arial" w:cs="Arial"/>
                <w:color w:val="000000"/>
                <w:lang w:eastAsia="en-GB"/>
              </w:rPr>
            </w:pPr>
            <w:r>
              <w:rPr>
                <w:rFonts w:ascii="Arial" w:eastAsia="Times New Roman" w:hAnsi="Arial" w:cs="Arial"/>
                <w:color w:val="000000"/>
                <w:lang w:eastAsia="en-GB"/>
              </w:rPr>
              <w:t xml:space="preserve">Meenaward Wind Farm Limited </w:t>
            </w:r>
            <w:r w:rsidRPr="000C1DAA">
              <w:rPr>
                <w:rFonts w:ascii="Arial" w:eastAsia="Times New Roman" w:hAnsi="Arial" w:cs="Arial"/>
                <w:color w:val="000000"/>
                <w:vertAlign w:val="superscript"/>
                <w:lang w:eastAsia="en-GB"/>
              </w:rPr>
              <w:t>(2)</w:t>
            </w:r>
          </w:p>
        </w:tc>
        <w:tc>
          <w:tcPr>
            <w:tcW w:w="659" w:type="pct"/>
            <w:gridSpan w:val="2"/>
            <w:shd w:val="clear" w:color="000000" w:fill="EDFFB7"/>
            <w:noWrap/>
            <w:vAlign w:val="center"/>
          </w:tcPr>
          <w:p w14:paraId="4BEC4267" w14:textId="77777777" w:rsidR="0021298F" w:rsidRPr="001E64E0" w:rsidRDefault="0021298F" w:rsidP="00760009">
            <w:pPr>
              <w:jc w:val="right"/>
              <w:rPr>
                <w:rFonts w:ascii="Arial" w:eastAsia="Times New Roman" w:hAnsi="Arial" w:cs="Arial"/>
                <w:color w:val="000000"/>
                <w:lang w:eastAsia="en-GB"/>
              </w:rPr>
            </w:pPr>
            <w:r>
              <w:rPr>
                <w:rFonts w:ascii="Arial" w:eastAsia="Times New Roman" w:hAnsi="Arial" w:cs="Arial"/>
                <w:color w:val="000000"/>
                <w:lang w:eastAsia="en-GB"/>
              </w:rPr>
              <w:t>Ireland</w:t>
            </w:r>
          </w:p>
        </w:tc>
        <w:tc>
          <w:tcPr>
            <w:tcW w:w="1419" w:type="pct"/>
            <w:gridSpan w:val="2"/>
            <w:shd w:val="clear" w:color="000000" w:fill="EDFFB7"/>
          </w:tcPr>
          <w:p w14:paraId="41BC4248" w14:textId="77777777" w:rsidR="0021298F" w:rsidRPr="001E64E0" w:rsidRDefault="0021298F" w:rsidP="00760009">
            <w:pPr>
              <w:jc w:val="right"/>
              <w:rPr>
                <w:rFonts w:ascii="Arial" w:eastAsia="Times New Roman" w:hAnsi="Arial" w:cs="Arial"/>
                <w:color w:val="000000"/>
                <w:lang w:eastAsia="en-GB"/>
              </w:rPr>
            </w:pPr>
            <w:r w:rsidRPr="001E64E0">
              <w:rPr>
                <w:rFonts w:ascii="Arial" w:eastAsia="Times New Roman" w:hAnsi="Arial" w:cs="Arial"/>
                <w:color w:val="000000"/>
                <w:lang w:eastAsia="en-GB"/>
              </w:rPr>
              <w:t>Riverside One, Sir John Rogerson’s Quay, Dublin 2</w:t>
            </w:r>
          </w:p>
        </w:tc>
        <w:tc>
          <w:tcPr>
            <w:tcW w:w="802" w:type="pct"/>
            <w:shd w:val="clear" w:color="000000" w:fill="EDFFB7"/>
            <w:noWrap/>
            <w:vAlign w:val="center"/>
          </w:tcPr>
          <w:p w14:paraId="6E47AE54" w14:textId="77777777" w:rsidR="0021298F" w:rsidRPr="001E64E0" w:rsidRDefault="0021298F" w:rsidP="00760009">
            <w:pPr>
              <w:jc w:val="right"/>
              <w:rPr>
                <w:rFonts w:ascii="Arial" w:eastAsia="Times New Roman" w:hAnsi="Arial" w:cs="Arial"/>
                <w:color w:val="000000"/>
                <w:lang w:eastAsia="en-GB"/>
              </w:rPr>
            </w:pPr>
            <w:r w:rsidRPr="001E64E0">
              <w:rPr>
                <w:rFonts w:ascii="Arial" w:eastAsia="Times New Roman" w:hAnsi="Arial" w:cs="Arial"/>
                <w:color w:val="000000"/>
                <w:lang w:eastAsia="en-GB"/>
              </w:rPr>
              <w:t>100%</w:t>
            </w:r>
          </w:p>
        </w:tc>
        <w:tc>
          <w:tcPr>
            <w:tcW w:w="802" w:type="pct"/>
            <w:gridSpan w:val="2"/>
            <w:shd w:val="clear" w:color="auto" w:fill="auto"/>
          </w:tcPr>
          <w:p w14:paraId="4EF7B51D" w14:textId="77777777" w:rsidR="0021298F" w:rsidRPr="008F6629" w:rsidRDefault="0021298F" w:rsidP="00760009">
            <w:pPr>
              <w:jc w:val="right"/>
              <w:rPr>
                <w:rFonts w:ascii="Arial" w:eastAsia="Times New Roman" w:hAnsi="Arial" w:cs="Arial"/>
                <w:color w:val="000000"/>
                <w:lang w:eastAsia="en-GB"/>
              </w:rPr>
            </w:pPr>
          </w:p>
        </w:tc>
      </w:tr>
      <w:tr w:rsidR="0021298F" w:rsidRPr="00E07C61" w14:paraId="2FB17F74" w14:textId="77777777" w:rsidTr="00760009">
        <w:trPr>
          <w:gridAfter w:val="1"/>
          <w:wAfter w:w="763" w:type="pct"/>
          <w:trHeight w:val="291"/>
        </w:trPr>
        <w:tc>
          <w:tcPr>
            <w:tcW w:w="1186" w:type="pct"/>
            <w:shd w:val="clear" w:color="000000" w:fill="FFFFFF"/>
            <w:noWrap/>
            <w:vAlign w:val="center"/>
          </w:tcPr>
          <w:p w14:paraId="6D2BD5C8" w14:textId="77777777" w:rsidR="0021298F" w:rsidRPr="004F46E3" w:rsidRDefault="0021298F" w:rsidP="00760009">
            <w:pPr>
              <w:jc w:val="both"/>
              <w:rPr>
                <w:rFonts w:ascii="Arial" w:eastAsia="Times New Roman" w:hAnsi="Arial" w:cs="Arial"/>
                <w:color w:val="000000"/>
                <w:highlight w:val="yellow"/>
                <w:lang w:eastAsia="en-GB"/>
              </w:rPr>
            </w:pPr>
          </w:p>
        </w:tc>
        <w:tc>
          <w:tcPr>
            <w:tcW w:w="569" w:type="pct"/>
            <w:gridSpan w:val="2"/>
            <w:shd w:val="clear" w:color="000000" w:fill="EDFFB7"/>
            <w:noWrap/>
            <w:vAlign w:val="center"/>
          </w:tcPr>
          <w:p w14:paraId="45B54B53" w14:textId="77777777" w:rsidR="0021298F" w:rsidRPr="004F46E3" w:rsidRDefault="0021298F" w:rsidP="00760009">
            <w:pPr>
              <w:jc w:val="right"/>
              <w:rPr>
                <w:rFonts w:ascii="Arial" w:eastAsia="Times New Roman" w:hAnsi="Arial" w:cs="Arial"/>
                <w:color w:val="000000"/>
                <w:highlight w:val="yellow"/>
                <w:lang w:eastAsia="en-GB"/>
              </w:rPr>
            </w:pPr>
          </w:p>
        </w:tc>
        <w:tc>
          <w:tcPr>
            <w:tcW w:w="1515" w:type="pct"/>
            <w:gridSpan w:val="2"/>
            <w:shd w:val="clear" w:color="000000" w:fill="EDFFB7"/>
          </w:tcPr>
          <w:p w14:paraId="571777C2" w14:textId="77777777" w:rsidR="0021298F" w:rsidRPr="004F46E3" w:rsidRDefault="0021298F" w:rsidP="00760009">
            <w:pPr>
              <w:jc w:val="right"/>
              <w:rPr>
                <w:rFonts w:ascii="Arial" w:eastAsia="Times New Roman" w:hAnsi="Arial" w:cs="Arial"/>
                <w:color w:val="000000"/>
                <w:highlight w:val="yellow"/>
                <w:lang w:eastAsia="en-GB"/>
              </w:rPr>
            </w:pPr>
          </w:p>
        </w:tc>
        <w:tc>
          <w:tcPr>
            <w:tcW w:w="967" w:type="pct"/>
            <w:gridSpan w:val="3"/>
            <w:shd w:val="clear" w:color="000000" w:fill="EDFFB7"/>
            <w:noWrap/>
            <w:vAlign w:val="center"/>
          </w:tcPr>
          <w:p w14:paraId="3A5A27B1" w14:textId="77777777" w:rsidR="0021298F" w:rsidRPr="004F46E3" w:rsidRDefault="0021298F" w:rsidP="00760009">
            <w:pPr>
              <w:jc w:val="right"/>
              <w:rPr>
                <w:rFonts w:ascii="Arial" w:eastAsia="Times New Roman" w:hAnsi="Arial" w:cs="Arial"/>
                <w:color w:val="000000"/>
                <w:highlight w:val="yellow"/>
                <w:lang w:eastAsia="en-GB"/>
              </w:rPr>
            </w:pPr>
          </w:p>
        </w:tc>
      </w:tr>
      <w:tr w:rsidR="0021298F" w:rsidRPr="002E614D" w14:paraId="7F0F6FED" w14:textId="77777777" w:rsidTr="00760009">
        <w:trPr>
          <w:gridAfter w:val="1"/>
          <w:wAfter w:w="763" w:type="pct"/>
          <w:trHeight w:val="291"/>
        </w:trPr>
        <w:tc>
          <w:tcPr>
            <w:tcW w:w="1186" w:type="pct"/>
            <w:shd w:val="clear" w:color="000000" w:fill="FFFFFF"/>
            <w:noWrap/>
            <w:vAlign w:val="bottom"/>
          </w:tcPr>
          <w:p w14:paraId="477349ED" w14:textId="77777777" w:rsidR="0021298F" w:rsidRPr="007D4B9A" w:rsidRDefault="0021298F" w:rsidP="00760009">
            <w:pPr>
              <w:rPr>
                <w:rFonts w:ascii="Arial" w:eastAsia="Times New Roman" w:hAnsi="Arial" w:cs="Arial"/>
                <w:color w:val="000000"/>
                <w:szCs w:val="20"/>
                <w:lang w:eastAsia="en-GB"/>
              </w:rPr>
            </w:pPr>
            <w:r w:rsidRPr="007D4B9A">
              <w:rPr>
                <w:rFonts w:ascii="Arial" w:eastAsia="Times New Roman" w:hAnsi="Arial" w:cs="Arial"/>
                <w:color w:val="000000"/>
                <w:szCs w:val="20"/>
                <w:lang w:eastAsia="en-GB"/>
              </w:rPr>
              <w:t>Monaincha Sigatoka Wind Holdings DAC</w:t>
            </w:r>
            <w:r>
              <w:rPr>
                <w:rFonts w:ascii="Arial" w:eastAsia="Times New Roman" w:hAnsi="Arial" w:cs="Arial"/>
                <w:color w:val="000000"/>
                <w:szCs w:val="20"/>
                <w:lang w:eastAsia="en-GB"/>
              </w:rPr>
              <w:t xml:space="preserve"> </w:t>
            </w:r>
            <w:r w:rsidRPr="00AE47CC">
              <w:rPr>
                <w:rFonts w:ascii="Arial" w:hAnsi="Arial" w:cs="Arial"/>
                <w:sz w:val="18"/>
                <w:szCs w:val="18"/>
                <w:vertAlign w:val="superscript"/>
              </w:rPr>
              <w:t>(</w:t>
            </w:r>
            <w:r>
              <w:rPr>
                <w:rFonts w:ascii="Arial" w:hAnsi="Arial" w:cs="Arial"/>
                <w:sz w:val="18"/>
                <w:szCs w:val="18"/>
                <w:vertAlign w:val="superscript"/>
              </w:rPr>
              <w:t>3</w:t>
            </w:r>
            <w:r w:rsidRPr="00AE47CC">
              <w:rPr>
                <w:rFonts w:ascii="Arial" w:hAnsi="Arial" w:cs="Arial"/>
                <w:sz w:val="18"/>
                <w:szCs w:val="18"/>
                <w:vertAlign w:val="superscript"/>
              </w:rPr>
              <w:t>)</w:t>
            </w:r>
          </w:p>
        </w:tc>
        <w:tc>
          <w:tcPr>
            <w:tcW w:w="569" w:type="pct"/>
            <w:gridSpan w:val="2"/>
            <w:shd w:val="clear" w:color="000000" w:fill="EDFFB7"/>
            <w:noWrap/>
            <w:vAlign w:val="bottom"/>
          </w:tcPr>
          <w:p w14:paraId="2CE7D933" w14:textId="77777777" w:rsidR="0021298F" w:rsidRPr="007D4B9A" w:rsidRDefault="0021298F" w:rsidP="00760009">
            <w:pPr>
              <w:jc w:val="right"/>
              <w:rPr>
                <w:rFonts w:ascii="Arial" w:eastAsia="Times New Roman" w:hAnsi="Arial" w:cs="Arial"/>
                <w:color w:val="000000"/>
                <w:szCs w:val="20"/>
                <w:lang w:eastAsia="en-GB"/>
              </w:rPr>
            </w:pPr>
            <w:r w:rsidRPr="007D4B9A">
              <w:rPr>
                <w:rFonts w:ascii="Arial" w:eastAsia="Times New Roman" w:hAnsi="Arial" w:cs="Arial"/>
                <w:color w:val="000000"/>
                <w:szCs w:val="20"/>
                <w:lang w:eastAsia="en-GB"/>
              </w:rPr>
              <w:t>Ireland</w:t>
            </w:r>
          </w:p>
        </w:tc>
        <w:tc>
          <w:tcPr>
            <w:tcW w:w="1515" w:type="pct"/>
            <w:gridSpan w:val="2"/>
            <w:shd w:val="clear" w:color="000000" w:fill="EDFFB7"/>
          </w:tcPr>
          <w:p w14:paraId="558433AC" w14:textId="77777777" w:rsidR="0021298F" w:rsidRPr="007D4B9A" w:rsidRDefault="0021298F" w:rsidP="00760009">
            <w:pPr>
              <w:jc w:val="right"/>
              <w:rPr>
                <w:rFonts w:ascii="Arial" w:eastAsia="Times New Roman" w:hAnsi="Arial" w:cs="Arial"/>
                <w:color w:val="000000"/>
                <w:szCs w:val="20"/>
                <w:lang w:eastAsia="en-GB"/>
              </w:rPr>
            </w:pPr>
            <w:r w:rsidRPr="007D4B9A">
              <w:rPr>
                <w:rFonts w:ascii="Arial" w:eastAsia="Times New Roman" w:hAnsi="Arial" w:cs="Arial"/>
                <w:color w:val="000000"/>
                <w:szCs w:val="20"/>
                <w:lang w:eastAsia="en-GB"/>
              </w:rPr>
              <w:t>Riverside One, Sir John Rogerson’s Quay, Dublin 2</w:t>
            </w:r>
          </w:p>
        </w:tc>
        <w:tc>
          <w:tcPr>
            <w:tcW w:w="967" w:type="pct"/>
            <w:gridSpan w:val="3"/>
            <w:shd w:val="clear" w:color="000000" w:fill="EDFFB7"/>
            <w:noWrap/>
            <w:vAlign w:val="bottom"/>
          </w:tcPr>
          <w:p w14:paraId="4BBF2586" w14:textId="77777777" w:rsidR="0021298F" w:rsidRPr="00AE47CC" w:rsidRDefault="0021298F" w:rsidP="00760009">
            <w:pPr>
              <w:jc w:val="right"/>
              <w:rPr>
                <w:rFonts w:ascii="Arial" w:eastAsia="Times New Roman" w:hAnsi="Arial" w:cs="Arial"/>
                <w:color w:val="000000"/>
                <w:szCs w:val="20"/>
                <w:lang w:eastAsia="en-GB"/>
              </w:rPr>
            </w:pPr>
            <w:r w:rsidRPr="007D4B9A">
              <w:rPr>
                <w:rFonts w:ascii="Arial" w:eastAsia="Times New Roman" w:hAnsi="Arial" w:cs="Arial"/>
                <w:color w:val="000000"/>
                <w:szCs w:val="20"/>
                <w:lang w:eastAsia="en-GB"/>
              </w:rPr>
              <w:t>100%</w:t>
            </w:r>
          </w:p>
        </w:tc>
      </w:tr>
      <w:tr w:rsidR="0021298F" w:rsidRPr="002E614D" w14:paraId="6CEA9BD8" w14:textId="77777777" w:rsidTr="00760009">
        <w:trPr>
          <w:gridAfter w:val="1"/>
          <w:wAfter w:w="763" w:type="pct"/>
          <w:trHeight w:val="291"/>
        </w:trPr>
        <w:tc>
          <w:tcPr>
            <w:tcW w:w="1186" w:type="pct"/>
            <w:shd w:val="clear" w:color="000000" w:fill="FFFFFF"/>
            <w:noWrap/>
            <w:vAlign w:val="center"/>
          </w:tcPr>
          <w:p w14:paraId="0E45C6AB" w14:textId="77777777" w:rsidR="0021298F" w:rsidRPr="00827D36" w:rsidRDefault="0021298F" w:rsidP="00760009">
            <w:pPr>
              <w:rPr>
                <w:rFonts w:ascii="Arial" w:eastAsia="Times New Roman" w:hAnsi="Arial" w:cs="Arial"/>
                <w:color w:val="000000"/>
                <w:lang w:val="fr-FR" w:eastAsia="en-GB"/>
              </w:rPr>
            </w:pPr>
          </w:p>
        </w:tc>
        <w:tc>
          <w:tcPr>
            <w:tcW w:w="569" w:type="pct"/>
            <w:gridSpan w:val="2"/>
            <w:shd w:val="clear" w:color="000000" w:fill="EDFFB7"/>
            <w:noWrap/>
            <w:vAlign w:val="center"/>
          </w:tcPr>
          <w:p w14:paraId="25E3536F" w14:textId="77777777" w:rsidR="0021298F" w:rsidRPr="002E614D" w:rsidRDefault="0021298F" w:rsidP="00760009">
            <w:pPr>
              <w:jc w:val="right"/>
              <w:rPr>
                <w:rFonts w:ascii="Arial" w:eastAsia="Times New Roman" w:hAnsi="Arial" w:cs="Arial"/>
                <w:color w:val="000000"/>
                <w:lang w:eastAsia="en-GB"/>
              </w:rPr>
            </w:pPr>
          </w:p>
        </w:tc>
        <w:tc>
          <w:tcPr>
            <w:tcW w:w="1515" w:type="pct"/>
            <w:gridSpan w:val="2"/>
            <w:shd w:val="clear" w:color="000000" w:fill="EDFFB7"/>
          </w:tcPr>
          <w:p w14:paraId="1D047D7A" w14:textId="77777777" w:rsidR="0021298F" w:rsidRPr="00827D36" w:rsidRDefault="0021298F" w:rsidP="00760009">
            <w:pPr>
              <w:jc w:val="right"/>
              <w:rPr>
                <w:rFonts w:ascii="Arial" w:eastAsia="Times New Roman" w:hAnsi="Arial" w:cs="Arial"/>
                <w:color w:val="000000"/>
                <w:lang w:val="fr-FR" w:eastAsia="en-GB"/>
              </w:rPr>
            </w:pPr>
          </w:p>
        </w:tc>
        <w:tc>
          <w:tcPr>
            <w:tcW w:w="967" w:type="pct"/>
            <w:gridSpan w:val="3"/>
            <w:shd w:val="clear" w:color="000000" w:fill="EDFFB7"/>
            <w:noWrap/>
            <w:vAlign w:val="center"/>
          </w:tcPr>
          <w:p w14:paraId="504E74FB" w14:textId="77777777" w:rsidR="0021298F" w:rsidRPr="00827D36" w:rsidRDefault="0021298F" w:rsidP="00760009">
            <w:pPr>
              <w:jc w:val="right"/>
              <w:rPr>
                <w:rFonts w:ascii="Arial" w:eastAsia="Times New Roman" w:hAnsi="Arial" w:cs="Arial"/>
                <w:color w:val="000000"/>
                <w:lang w:val="fr-FR" w:eastAsia="en-GB"/>
              </w:rPr>
            </w:pPr>
          </w:p>
        </w:tc>
      </w:tr>
      <w:tr w:rsidR="0021298F" w:rsidRPr="002E614D" w14:paraId="12A0751B" w14:textId="77777777" w:rsidTr="00760009">
        <w:trPr>
          <w:gridAfter w:val="1"/>
          <w:wAfter w:w="763" w:type="pct"/>
          <w:trHeight w:val="291"/>
        </w:trPr>
        <w:tc>
          <w:tcPr>
            <w:tcW w:w="1186" w:type="pct"/>
            <w:shd w:val="clear" w:color="000000" w:fill="FFFFFF"/>
            <w:noWrap/>
            <w:vAlign w:val="center"/>
          </w:tcPr>
          <w:p w14:paraId="7F69A56D" w14:textId="77777777" w:rsidR="0021298F" w:rsidRPr="002E614D" w:rsidRDefault="0021298F" w:rsidP="00760009">
            <w:pPr>
              <w:rPr>
                <w:rFonts w:ascii="Arial" w:eastAsia="Times New Roman" w:hAnsi="Arial" w:cs="Arial"/>
                <w:color w:val="000000"/>
                <w:lang w:val="fr-FR" w:eastAsia="en-GB"/>
              </w:rPr>
            </w:pPr>
            <w:r w:rsidRPr="00827D36">
              <w:rPr>
                <w:rFonts w:ascii="Arial" w:eastAsia="Times New Roman" w:hAnsi="Arial" w:cs="Arial"/>
                <w:color w:val="000000"/>
                <w:lang w:val="fr-FR" w:eastAsia="en-GB"/>
              </w:rPr>
              <w:t>Parc Eolien Des Tournevents SAS</w:t>
            </w:r>
            <w:r>
              <w:rPr>
                <w:rFonts w:ascii="Arial" w:eastAsia="Times New Roman" w:hAnsi="Arial" w:cs="Arial"/>
                <w:color w:val="000000"/>
                <w:lang w:val="fr-FR" w:eastAsia="en-GB"/>
              </w:rPr>
              <w:t xml:space="preserve"> </w:t>
            </w:r>
            <w:r w:rsidRPr="000C1DAA">
              <w:rPr>
                <w:rFonts w:ascii="Arial" w:eastAsia="Times New Roman" w:hAnsi="Arial" w:cs="Arial"/>
                <w:color w:val="000000"/>
                <w:vertAlign w:val="superscript"/>
                <w:lang w:val="fr-FR" w:eastAsia="en-GB"/>
              </w:rPr>
              <w:t>(4)</w:t>
            </w:r>
          </w:p>
        </w:tc>
        <w:tc>
          <w:tcPr>
            <w:tcW w:w="569" w:type="pct"/>
            <w:gridSpan w:val="2"/>
            <w:shd w:val="clear" w:color="000000" w:fill="EDFFB7"/>
            <w:noWrap/>
            <w:vAlign w:val="center"/>
          </w:tcPr>
          <w:p w14:paraId="12FC3F76" w14:textId="77777777" w:rsidR="0021298F" w:rsidRPr="002E614D" w:rsidRDefault="0021298F" w:rsidP="00760009">
            <w:pPr>
              <w:jc w:val="right"/>
              <w:rPr>
                <w:rFonts w:ascii="Arial" w:eastAsia="Times New Roman" w:hAnsi="Arial" w:cs="Arial"/>
                <w:color w:val="000000"/>
                <w:lang w:eastAsia="en-GB"/>
              </w:rPr>
            </w:pPr>
            <w:r w:rsidRPr="002E614D">
              <w:rPr>
                <w:rFonts w:ascii="Arial" w:eastAsia="Times New Roman" w:hAnsi="Arial" w:cs="Arial"/>
                <w:color w:val="000000"/>
                <w:lang w:eastAsia="en-GB"/>
              </w:rPr>
              <w:t>France</w:t>
            </w:r>
          </w:p>
        </w:tc>
        <w:tc>
          <w:tcPr>
            <w:tcW w:w="1515" w:type="pct"/>
            <w:gridSpan w:val="2"/>
            <w:shd w:val="clear" w:color="000000" w:fill="EDFFB7"/>
          </w:tcPr>
          <w:p w14:paraId="721B44E4" w14:textId="77777777" w:rsidR="0021298F" w:rsidRPr="00827D36" w:rsidRDefault="0021298F" w:rsidP="00760009">
            <w:pPr>
              <w:jc w:val="right"/>
              <w:rPr>
                <w:rFonts w:ascii="Arial" w:eastAsia="Times New Roman" w:hAnsi="Arial" w:cs="Arial"/>
                <w:color w:val="000000"/>
                <w:lang w:val="fr-FR" w:eastAsia="en-GB"/>
              </w:rPr>
            </w:pPr>
            <w:r w:rsidRPr="00827D36">
              <w:rPr>
                <w:rFonts w:ascii="Arial" w:eastAsia="Times New Roman" w:hAnsi="Arial" w:cs="Arial"/>
                <w:color w:val="000000"/>
                <w:lang w:val="fr-FR" w:eastAsia="en-GB"/>
              </w:rPr>
              <w:t>20, Avenue de la Paix, 67000 Strasbourg, France</w:t>
            </w:r>
          </w:p>
          <w:p w14:paraId="1B2ED36B" w14:textId="77777777" w:rsidR="0021298F" w:rsidRPr="002E614D" w:rsidRDefault="0021298F" w:rsidP="00760009">
            <w:pPr>
              <w:jc w:val="right"/>
              <w:rPr>
                <w:rFonts w:ascii="Arial" w:eastAsia="Times New Roman" w:hAnsi="Arial" w:cs="Arial"/>
                <w:color w:val="000000"/>
                <w:lang w:val="fr-FR" w:eastAsia="en-GB"/>
              </w:rPr>
            </w:pPr>
          </w:p>
        </w:tc>
        <w:tc>
          <w:tcPr>
            <w:tcW w:w="967" w:type="pct"/>
            <w:gridSpan w:val="3"/>
            <w:shd w:val="clear" w:color="000000" w:fill="EDFFB7"/>
            <w:noWrap/>
            <w:vAlign w:val="center"/>
          </w:tcPr>
          <w:p w14:paraId="6E717B9F" w14:textId="77777777" w:rsidR="0021298F" w:rsidRPr="002E614D" w:rsidRDefault="0021298F" w:rsidP="00760009">
            <w:pPr>
              <w:jc w:val="right"/>
              <w:rPr>
                <w:rFonts w:ascii="Arial" w:eastAsia="Times New Roman" w:hAnsi="Arial" w:cs="Arial"/>
                <w:color w:val="000000"/>
                <w:lang w:val="fr-FR" w:eastAsia="en-GB"/>
              </w:rPr>
            </w:pPr>
            <w:r w:rsidRPr="00827D36">
              <w:rPr>
                <w:rFonts w:ascii="Arial" w:eastAsia="Times New Roman" w:hAnsi="Arial" w:cs="Arial"/>
                <w:color w:val="000000"/>
                <w:lang w:val="fr-FR" w:eastAsia="en-GB"/>
              </w:rPr>
              <w:t>100%</w:t>
            </w:r>
          </w:p>
        </w:tc>
      </w:tr>
      <w:tr w:rsidR="0021298F" w:rsidRPr="002E614D" w14:paraId="725FECB7" w14:textId="77777777" w:rsidTr="00760009">
        <w:trPr>
          <w:gridAfter w:val="1"/>
          <w:wAfter w:w="763" w:type="pct"/>
          <w:trHeight w:val="291"/>
        </w:trPr>
        <w:tc>
          <w:tcPr>
            <w:tcW w:w="1186" w:type="pct"/>
            <w:shd w:val="clear" w:color="000000" w:fill="FFFFFF"/>
            <w:noWrap/>
            <w:vAlign w:val="center"/>
          </w:tcPr>
          <w:p w14:paraId="30B9477B" w14:textId="77777777" w:rsidR="0021298F" w:rsidRPr="002E614D" w:rsidRDefault="0021298F" w:rsidP="00760009">
            <w:pPr>
              <w:rPr>
                <w:rFonts w:ascii="Arial" w:eastAsia="Times New Roman" w:hAnsi="Arial" w:cs="Arial"/>
                <w:color w:val="000000"/>
                <w:lang w:val="fr-FR" w:eastAsia="en-GB"/>
              </w:rPr>
            </w:pPr>
          </w:p>
        </w:tc>
        <w:tc>
          <w:tcPr>
            <w:tcW w:w="569" w:type="pct"/>
            <w:gridSpan w:val="2"/>
            <w:shd w:val="clear" w:color="000000" w:fill="EDFFB7"/>
            <w:noWrap/>
            <w:vAlign w:val="center"/>
          </w:tcPr>
          <w:p w14:paraId="4EF7F5C7" w14:textId="77777777" w:rsidR="0021298F" w:rsidRPr="002E614D" w:rsidRDefault="0021298F" w:rsidP="00760009">
            <w:pPr>
              <w:jc w:val="right"/>
              <w:rPr>
                <w:rFonts w:ascii="Arial" w:eastAsia="Times New Roman" w:hAnsi="Arial" w:cs="Arial"/>
                <w:color w:val="000000"/>
                <w:lang w:eastAsia="en-GB"/>
              </w:rPr>
            </w:pPr>
          </w:p>
        </w:tc>
        <w:tc>
          <w:tcPr>
            <w:tcW w:w="1515" w:type="pct"/>
            <w:gridSpan w:val="2"/>
            <w:shd w:val="clear" w:color="000000" w:fill="EDFFB7"/>
          </w:tcPr>
          <w:p w14:paraId="199CA0B2" w14:textId="77777777" w:rsidR="0021298F" w:rsidRPr="002E614D" w:rsidRDefault="0021298F" w:rsidP="00760009">
            <w:pPr>
              <w:jc w:val="right"/>
              <w:rPr>
                <w:rFonts w:ascii="Arial" w:eastAsia="Times New Roman" w:hAnsi="Arial" w:cs="Arial"/>
                <w:color w:val="000000"/>
                <w:lang w:val="fr-FR" w:eastAsia="en-GB"/>
              </w:rPr>
            </w:pPr>
          </w:p>
        </w:tc>
        <w:tc>
          <w:tcPr>
            <w:tcW w:w="967" w:type="pct"/>
            <w:gridSpan w:val="3"/>
            <w:shd w:val="clear" w:color="000000" w:fill="EDFFB7"/>
            <w:noWrap/>
            <w:vAlign w:val="center"/>
          </w:tcPr>
          <w:p w14:paraId="28CD987E" w14:textId="77777777" w:rsidR="0021298F" w:rsidRPr="002E614D" w:rsidRDefault="0021298F" w:rsidP="00760009">
            <w:pPr>
              <w:jc w:val="right"/>
              <w:rPr>
                <w:rFonts w:ascii="Arial" w:eastAsia="Times New Roman" w:hAnsi="Arial" w:cs="Arial"/>
                <w:color w:val="000000"/>
                <w:lang w:val="fr-FR" w:eastAsia="en-GB"/>
              </w:rPr>
            </w:pPr>
          </w:p>
        </w:tc>
      </w:tr>
      <w:tr w:rsidR="0021298F" w:rsidRPr="002E614D" w14:paraId="2AA65E71" w14:textId="77777777" w:rsidTr="00760009">
        <w:trPr>
          <w:gridAfter w:val="1"/>
          <w:wAfter w:w="763" w:type="pct"/>
          <w:trHeight w:val="291"/>
        </w:trPr>
        <w:tc>
          <w:tcPr>
            <w:tcW w:w="1186" w:type="pct"/>
            <w:shd w:val="clear" w:color="000000" w:fill="FFFFFF"/>
            <w:noWrap/>
            <w:vAlign w:val="center"/>
          </w:tcPr>
          <w:p w14:paraId="65092B9A" w14:textId="77777777" w:rsidR="0021298F" w:rsidRPr="001E64E0" w:rsidRDefault="0021298F" w:rsidP="00760009">
            <w:pPr>
              <w:rPr>
                <w:rFonts w:ascii="Arial" w:eastAsia="Times New Roman" w:hAnsi="Arial" w:cs="Arial"/>
                <w:color w:val="000000"/>
                <w:lang w:val="fr-FR" w:eastAsia="en-GB"/>
              </w:rPr>
            </w:pPr>
            <w:r w:rsidRPr="002E614D">
              <w:rPr>
                <w:rFonts w:ascii="Arial" w:eastAsia="Times New Roman" w:hAnsi="Arial" w:cs="Arial"/>
                <w:color w:val="000000"/>
                <w:lang w:val="fr-FR" w:eastAsia="en-GB"/>
              </w:rPr>
              <w:t>Parc Eolien Des Courtibe</w:t>
            </w:r>
            <w:r>
              <w:rPr>
                <w:rFonts w:ascii="Arial" w:eastAsia="Times New Roman" w:hAnsi="Arial" w:cs="Arial"/>
                <w:color w:val="000000"/>
                <w:lang w:val="fr-FR" w:eastAsia="en-GB"/>
              </w:rPr>
              <w:t>a</w:t>
            </w:r>
            <w:r w:rsidRPr="002E614D">
              <w:rPr>
                <w:rFonts w:ascii="Arial" w:eastAsia="Times New Roman" w:hAnsi="Arial" w:cs="Arial"/>
                <w:color w:val="000000"/>
                <w:lang w:val="fr-FR" w:eastAsia="en-GB"/>
              </w:rPr>
              <w:t>ux SAS</w:t>
            </w:r>
            <w:r>
              <w:rPr>
                <w:rFonts w:ascii="Arial" w:eastAsia="Times New Roman" w:hAnsi="Arial" w:cs="Arial"/>
                <w:color w:val="000000"/>
                <w:lang w:val="fr-FR" w:eastAsia="en-GB"/>
              </w:rPr>
              <w:t xml:space="preserve"> </w:t>
            </w:r>
            <w:r w:rsidRPr="000C1DAA">
              <w:rPr>
                <w:rFonts w:ascii="Arial" w:eastAsia="Times New Roman" w:hAnsi="Arial" w:cs="Arial"/>
                <w:color w:val="000000"/>
                <w:vertAlign w:val="superscript"/>
                <w:lang w:val="fr-FR" w:eastAsia="en-GB"/>
              </w:rPr>
              <w:t>(5)</w:t>
            </w:r>
          </w:p>
        </w:tc>
        <w:tc>
          <w:tcPr>
            <w:tcW w:w="569" w:type="pct"/>
            <w:gridSpan w:val="2"/>
            <w:shd w:val="clear" w:color="000000" w:fill="EDFFB7"/>
            <w:noWrap/>
            <w:vAlign w:val="center"/>
          </w:tcPr>
          <w:p w14:paraId="2BDAAE5B" w14:textId="77777777" w:rsidR="0021298F" w:rsidRPr="001E64E0" w:rsidRDefault="0021298F" w:rsidP="00760009">
            <w:pPr>
              <w:jc w:val="right"/>
              <w:rPr>
                <w:rFonts w:ascii="Arial" w:eastAsia="Times New Roman" w:hAnsi="Arial" w:cs="Arial"/>
                <w:color w:val="000000"/>
                <w:lang w:eastAsia="en-GB"/>
              </w:rPr>
            </w:pPr>
            <w:r w:rsidRPr="002E614D">
              <w:rPr>
                <w:rFonts w:ascii="Arial" w:eastAsia="Times New Roman" w:hAnsi="Arial" w:cs="Arial"/>
                <w:color w:val="000000"/>
                <w:lang w:eastAsia="en-GB"/>
              </w:rPr>
              <w:t>France</w:t>
            </w:r>
          </w:p>
        </w:tc>
        <w:tc>
          <w:tcPr>
            <w:tcW w:w="1515" w:type="pct"/>
            <w:gridSpan w:val="2"/>
            <w:shd w:val="clear" w:color="000000" w:fill="EDFFB7"/>
          </w:tcPr>
          <w:p w14:paraId="7F5F92C0" w14:textId="77777777" w:rsidR="0021298F" w:rsidRPr="001E64E0" w:rsidRDefault="0021298F" w:rsidP="00760009">
            <w:pPr>
              <w:jc w:val="right"/>
              <w:rPr>
                <w:rFonts w:ascii="Arial" w:eastAsia="Times New Roman" w:hAnsi="Arial" w:cs="Arial"/>
                <w:color w:val="000000"/>
                <w:lang w:val="fr-FR" w:eastAsia="en-GB"/>
              </w:rPr>
            </w:pPr>
            <w:r w:rsidRPr="002E614D">
              <w:rPr>
                <w:rFonts w:ascii="Arial" w:eastAsia="Times New Roman" w:hAnsi="Arial" w:cs="Arial"/>
                <w:color w:val="000000"/>
                <w:lang w:val="fr-FR" w:eastAsia="en-GB"/>
              </w:rPr>
              <w:t>20, Avenue de la Paix, 67000 Strasbourg, France</w:t>
            </w:r>
          </w:p>
        </w:tc>
        <w:tc>
          <w:tcPr>
            <w:tcW w:w="967" w:type="pct"/>
            <w:gridSpan w:val="3"/>
            <w:shd w:val="clear" w:color="000000" w:fill="EDFFB7"/>
            <w:noWrap/>
            <w:vAlign w:val="center"/>
          </w:tcPr>
          <w:p w14:paraId="108DCAB6" w14:textId="77777777" w:rsidR="0021298F" w:rsidRPr="001E64E0" w:rsidRDefault="0021298F" w:rsidP="00760009">
            <w:pPr>
              <w:jc w:val="right"/>
              <w:rPr>
                <w:rFonts w:ascii="Arial" w:eastAsia="Times New Roman" w:hAnsi="Arial" w:cs="Arial"/>
                <w:color w:val="000000"/>
                <w:lang w:val="fr-FR" w:eastAsia="en-GB"/>
              </w:rPr>
            </w:pPr>
            <w:r w:rsidRPr="001E64E0">
              <w:rPr>
                <w:rFonts w:ascii="Arial" w:eastAsia="Times New Roman" w:hAnsi="Arial" w:cs="Arial"/>
                <w:color w:val="000000"/>
                <w:lang w:val="fr-FR" w:eastAsia="en-GB"/>
              </w:rPr>
              <w:t>100%</w:t>
            </w:r>
          </w:p>
        </w:tc>
      </w:tr>
      <w:tr w:rsidR="0021298F" w:rsidRPr="002E614D" w14:paraId="1D204F2C" w14:textId="77777777" w:rsidTr="00760009">
        <w:trPr>
          <w:gridAfter w:val="1"/>
          <w:wAfter w:w="763" w:type="pct"/>
          <w:trHeight w:val="291"/>
        </w:trPr>
        <w:tc>
          <w:tcPr>
            <w:tcW w:w="1186" w:type="pct"/>
            <w:shd w:val="clear" w:color="000000" w:fill="FFFFFF"/>
            <w:noWrap/>
            <w:vAlign w:val="center"/>
          </w:tcPr>
          <w:p w14:paraId="4B81E2FA" w14:textId="77777777" w:rsidR="0021298F" w:rsidRPr="001E64E0" w:rsidRDefault="0021298F" w:rsidP="00760009">
            <w:pPr>
              <w:rPr>
                <w:rFonts w:ascii="Arial" w:eastAsia="Times New Roman" w:hAnsi="Arial" w:cs="Arial"/>
                <w:color w:val="000000"/>
                <w:lang w:val="fr-FR" w:eastAsia="en-GB"/>
              </w:rPr>
            </w:pPr>
          </w:p>
        </w:tc>
        <w:tc>
          <w:tcPr>
            <w:tcW w:w="569" w:type="pct"/>
            <w:gridSpan w:val="2"/>
            <w:shd w:val="clear" w:color="000000" w:fill="EDFFB7"/>
            <w:noWrap/>
            <w:vAlign w:val="center"/>
          </w:tcPr>
          <w:p w14:paraId="50ED6710" w14:textId="77777777" w:rsidR="0021298F" w:rsidRPr="001E64E0" w:rsidRDefault="0021298F" w:rsidP="00760009">
            <w:pPr>
              <w:jc w:val="right"/>
              <w:rPr>
                <w:rFonts w:ascii="Arial" w:eastAsia="Times New Roman" w:hAnsi="Arial" w:cs="Arial"/>
                <w:color w:val="000000"/>
                <w:lang w:val="fr-FR" w:eastAsia="en-GB"/>
              </w:rPr>
            </w:pPr>
          </w:p>
        </w:tc>
        <w:tc>
          <w:tcPr>
            <w:tcW w:w="1515" w:type="pct"/>
            <w:gridSpan w:val="2"/>
            <w:shd w:val="clear" w:color="000000" w:fill="EDFFB7"/>
          </w:tcPr>
          <w:p w14:paraId="3E97AD46" w14:textId="77777777" w:rsidR="0021298F" w:rsidRPr="001E64E0" w:rsidRDefault="0021298F" w:rsidP="00760009">
            <w:pPr>
              <w:jc w:val="right"/>
              <w:rPr>
                <w:rFonts w:ascii="Arial" w:eastAsia="Times New Roman" w:hAnsi="Arial" w:cs="Arial"/>
                <w:color w:val="000000"/>
                <w:lang w:val="fr-FR" w:eastAsia="en-GB"/>
              </w:rPr>
            </w:pPr>
          </w:p>
        </w:tc>
        <w:tc>
          <w:tcPr>
            <w:tcW w:w="967" w:type="pct"/>
            <w:gridSpan w:val="3"/>
            <w:shd w:val="clear" w:color="000000" w:fill="EDFFB7"/>
            <w:noWrap/>
            <w:vAlign w:val="center"/>
          </w:tcPr>
          <w:p w14:paraId="5BDF35D0" w14:textId="77777777" w:rsidR="0021298F" w:rsidRPr="001E64E0" w:rsidRDefault="0021298F" w:rsidP="00760009">
            <w:pPr>
              <w:jc w:val="right"/>
              <w:rPr>
                <w:rFonts w:ascii="Arial" w:eastAsia="Times New Roman" w:hAnsi="Arial" w:cs="Arial"/>
                <w:color w:val="000000"/>
                <w:lang w:val="fr-FR" w:eastAsia="en-GB"/>
              </w:rPr>
            </w:pPr>
          </w:p>
        </w:tc>
      </w:tr>
      <w:tr w:rsidR="0021298F" w:rsidRPr="00E07C61" w14:paraId="7C3F0E23" w14:textId="77777777" w:rsidTr="00760009">
        <w:trPr>
          <w:gridAfter w:val="1"/>
          <w:wAfter w:w="763" w:type="pct"/>
          <w:trHeight w:val="291"/>
        </w:trPr>
        <w:tc>
          <w:tcPr>
            <w:tcW w:w="1186" w:type="pct"/>
            <w:shd w:val="clear" w:color="000000" w:fill="FFFFFF"/>
            <w:noWrap/>
            <w:vAlign w:val="center"/>
          </w:tcPr>
          <w:p w14:paraId="7B89FFF5" w14:textId="77777777" w:rsidR="0021298F" w:rsidRPr="002E614D" w:rsidRDefault="0021298F" w:rsidP="00760009">
            <w:pPr>
              <w:rPr>
                <w:rFonts w:ascii="Arial" w:eastAsia="Times New Roman" w:hAnsi="Arial" w:cs="Arial"/>
                <w:color w:val="000000"/>
                <w:lang w:eastAsia="en-GB"/>
              </w:rPr>
            </w:pPr>
            <w:r w:rsidRPr="001E64E0">
              <w:rPr>
                <w:rFonts w:ascii="Arial" w:eastAsia="Times New Roman" w:hAnsi="Arial" w:cs="Arial"/>
                <w:color w:val="000000"/>
                <w:lang w:eastAsia="en-GB"/>
              </w:rPr>
              <w:t>Raheenleagh Power DAC</w:t>
            </w:r>
          </w:p>
        </w:tc>
        <w:tc>
          <w:tcPr>
            <w:tcW w:w="569" w:type="pct"/>
            <w:gridSpan w:val="2"/>
            <w:shd w:val="clear" w:color="000000" w:fill="EDFFB7"/>
            <w:noWrap/>
            <w:vAlign w:val="center"/>
          </w:tcPr>
          <w:p w14:paraId="782D43F3" w14:textId="77777777" w:rsidR="0021298F" w:rsidRPr="002E614D" w:rsidRDefault="0021298F" w:rsidP="00760009">
            <w:pPr>
              <w:jc w:val="right"/>
              <w:rPr>
                <w:rFonts w:ascii="Arial" w:eastAsia="Times New Roman" w:hAnsi="Arial" w:cs="Arial"/>
                <w:color w:val="000000"/>
                <w:lang w:eastAsia="en-GB"/>
              </w:rPr>
            </w:pPr>
            <w:r w:rsidRPr="001E64E0">
              <w:rPr>
                <w:rFonts w:ascii="Arial" w:eastAsia="Times New Roman" w:hAnsi="Arial" w:cs="Arial"/>
                <w:color w:val="000000"/>
                <w:lang w:eastAsia="en-GB"/>
              </w:rPr>
              <w:t>Ireland</w:t>
            </w:r>
          </w:p>
        </w:tc>
        <w:tc>
          <w:tcPr>
            <w:tcW w:w="1515" w:type="pct"/>
            <w:gridSpan w:val="2"/>
            <w:shd w:val="clear" w:color="000000" w:fill="EDFFB7"/>
          </w:tcPr>
          <w:p w14:paraId="7B94BB7B" w14:textId="77777777" w:rsidR="0021298F" w:rsidRPr="002E614D" w:rsidRDefault="0021298F" w:rsidP="00760009">
            <w:pPr>
              <w:jc w:val="right"/>
              <w:rPr>
                <w:rFonts w:ascii="Arial" w:eastAsia="Times New Roman" w:hAnsi="Arial" w:cs="Arial"/>
                <w:color w:val="000000"/>
                <w:lang w:eastAsia="en-GB"/>
              </w:rPr>
            </w:pPr>
            <w:r w:rsidRPr="001E64E0">
              <w:rPr>
                <w:rFonts w:ascii="Arial" w:eastAsia="Times New Roman" w:hAnsi="Arial" w:cs="Arial"/>
                <w:color w:val="000000"/>
                <w:lang w:eastAsia="en-GB"/>
              </w:rPr>
              <w:t>Two Gateway, East Wall Road, Dublin 3</w:t>
            </w:r>
          </w:p>
        </w:tc>
        <w:tc>
          <w:tcPr>
            <w:tcW w:w="967" w:type="pct"/>
            <w:gridSpan w:val="3"/>
            <w:shd w:val="clear" w:color="000000" w:fill="EDFFB7"/>
            <w:noWrap/>
            <w:vAlign w:val="center"/>
          </w:tcPr>
          <w:p w14:paraId="13E967C8" w14:textId="77777777" w:rsidR="0021298F" w:rsidRPr="002E614D" w:rsidRDefault="0021298F" w:rsidP="00760009">
            <w:pPr>
              <w:jc w:val="right"/>
              <w:rPr>
                <w:rFonts w:ascii="Arial" w:eastAsia="Times New Roman" w:hAnsi="Arial" w:cs="Arial"/>
                <w:color w:val="000000"/>
                <w:lang w:eastAsia="en-GB"/>
              </w:rPr>
            </w:pPr>
            <w:r w:rsidRPr="001E64E0">
              <w:rPr>
                <w:rFonts w:ascii="Arial" w:eastAsia="Times New Roman" w:hAnsi="Arial" w:cs="Arial"/>
                <w:color w:val="000000"/>
                <w:lang w:eastAsia="en-GB"/>
              </w:rPr>
              <w:t>50%</w:t>
            </w:r>
          </w:p>
        </w:tc>
      </w:tr>
      <w:tr w:rsidR="0021298F" w:rsidRPr="00E07C61" w14:paraId="2A869B1E" w14:textId="77777777" w:rsidTr="00760009">
        <w:trPr>
          <w:gridAfter w:val="1"/>
          <w:wAfter w:w="763" w:type="pct"/>
          <w:trHeight w:val="291"/>
        </w:trPr>
        <w:tc>
          <w:tcPr>
            <w:tcW w:w="1186" w:type="pct"/>
            <w:shd w:val="clear" w:color="000000" w:fill="FFFFFF"/>
            <w:noWrap/>
            <w:vAlign w:val="center"/>
          </w:tcPr>
          <w:p w14:paraId="1A0E548C" w14:textId="77777777" w:rsidR="0021298F" w:rsidRPr="002E614D" w:rsidRDefault="0021298F" w:rsidP="00760009">
            <w:pPr>
              <w:rPr>
                <w:rFonts w:ascii="Arial" w:eastAsia="Times New Roman" w:hAnsi="Arial" w:cs="Arial"/>
                <w:color w:val="000000"/>
                <w:lang w:eastAsia="en-GB"/>
              </w:rPr>
            </w:pPr>
          </w:p>
        </w:tc>
        <w:tc>
          <w:tcPr>
            <w:tcW w:w="569" w:type="pct"/>
            <w:gridSpan w:val="2"/>
            <w:shd w:val="clear" w:color="000000" w:fill="EDFFB7"/>
            <w:noWrap/>
            <w:vAlign w:val="center"/>
          </w:tcPr>
          <w:p w14:paraId="32CE2DD7" w14:textId="77777777" w:rsidR="0021298F" w:rsidRPr="002E614D" w:rsidRDefault="0021298F" w:rsidP="00760009">
            <w:pPr>
              <w:jc w:val="right"/>
              <w:rPr>
                <w:rFonts w:ascii="Arial" w:eastAsia="Times New Roman" w:hAnsi="Arial" w:cs="Arial"/>
                <w:color w:val="000000"/>
                <w:lang w:eastAsia="en-GB"/>
              </w:rPr>
            </w:pPr>
          </w:p>
        </w:tc>
        <w:tc>
          <w:tcPr>
            <w:tcW w:w="1515" w:type="pct"/>
            <w:gridSpan w:val="2"/>
            <w:shd w:val="clear" w:color="000000" w:fill="EDFFB7"/>
          </w:tcPr>
          <w:p w14:paraId="2AC166AD" w14:textId="77777777" w:rsidR="0021298F" w:rsidRPr="002E614D" w:rsidRDefault="0021298F" w:rsidP="00760009">
            <w:pPr>
              <w:jc w:val="right"/>
              <w:rPr>
                <w:rFonts w:ascii="Arial" w:eastAsia="Times New Roman" w:hAnsi="Arial" w:cs="Arial"/>
                <w:color w:val="000000"/>
                <w:lang w:eastAsia="en-GB"/>
              </w:rPr>
            </w:pPr>
          </w:p>
        </w:tc>
        <w:tc>
          <w:tcPr>
            <w:tcW w:w="967" w:type="pct"/>
            <w:gridSpan w:val="3"/>
            <w:shd w:val="clear" w:color="000000" w:fill="EDFFB7"/>
            <w:noWrap/>
            <w:vAlign w:val="center"/>
          </w:tcPr>
          <w:p w14:paraId="588CBEF5" w14:textId="77777777" w:rsidR="0021298F" w:rsidRPr="002E614D" w:rsidRDefault="0021298F" w:rsidP="00760009">
            <w:pPr>
              <w:jc w:val="right"/>
              <w:rPr>
                <w:rFonts w:ascii="Arial" w:eastAsia="Times New Roman" w:hAnsi="Arial" w:cs="Arial"/>
                <w:color w:val="000000"/>
                <w:lang w:eastAsia="en-GB"/>
              </w:rPr>
            </w:pPr>
          </w:p>
        </w:tc>
      </w:tr>
      <w:tr w:rsidR="0021298F" w:rsidRPr="00E07C61" w14:paraId="135E17C3" w14:textId="77777777" w:rsidTr="00760009">
        <w:trPr>
          <w:gridAfter w:val="1"/>
          <w:wAfter w:w="763" w:type="pct"/>
          <w:trHeight w:val="291"/>
        </w:trPr>
        <w:tc>
          <w:tcPr>
            <w:tcW w:w="1186" w:type="pct"/>
            <w:shd w:val="clear" w:color="000000" w:fill="FFFFFF"/>
            <w:noWrap/>
            <w:vAlign w:val="center"/>
          </w:tcPr>
          <w:p w14:paraId="08F986C6" w14:textId="77777777" w:rsidR="0021298F" w:rsidRPr="001E64E0" w:rsidRDefault="0021298F" w:rsidP="00760009">
            <w:pPr>
              <w:rPr>
                <w:rFonts w:ascii="Arial" w:eastAsia="Times New Roman" w:hAnsi="Arial" w:cs="Arial"/>
                <w:color w:val="000000"/>
                <w:lang w:eastAsia="en-GB"/>
              </w:rPr>
            </w:pPr>
            <w:r w:rsidRPr="002E614D">
              <w:rPr>
                <w:rFonts w:ascii="Arial" w:eastAsia="Times New Roman" w:hAnsi="Arial" w:cs="Arial"/>
                <w:color w:val="000000"/>
                <w:lang w:eastAsia="en-GB"/>
              </w:rPr>
              <w:t>Seahound Wind Developments Limited</w:t>
            </w:r>
            <w:r>
              <w:rPr>
                <w:rFonts w:ascii="Arial" w:eastAsia="Times New Roman" w:hAnsi="Arial" w:cs="Arial"/>
                <w:color w:val="000000"/>
                <w:lang w:eastAsia="en-GB"/>
              </w:rPr>
              <w:t xml:space="preserve"> </w:t>
            </w:r>
            <w:r w:rsidRPr="000C1DAA">
              <w:rPr>
                <w:rFonts w:ascii="Arial" w:eastAsia="Times New Roman" w:hAnsi="Arial" w:cs="Arial"/>
                <w:color w:val="000000"/>
                <w:vertAlign w:val="superscript"/>
                <w:lang w:eastAsia="en-GB"/>
              </w:rPr>
              <w:t>(6)</w:t>
            </w:r>
          </w:p>
        </w:tc>
        <w:tc>
          <w:tcPr>
            <w:tcW w:w="569" w:type="pct"/>
            <w:gridSpan w:val="2"/>
            <w:shd w:val="clear" w:color="000000" w:fill="EDFFB7"/>
            <w:noWrap/>
            <w:vAlign w:val="center"/>
          </w:tcPr>
          <w:p w14:paraId="67B4083C" w14:textId="77777777" w:rsidR="0021298F" w:rsidRPr="001E64E0" w:rsidRDefault="0021298F" w:rsidP="00760009">
            <w:pPr>
              <w:jc w:val="right"/>
              <w:rPr>
                <w:rFonts w:ascii="Arial" w:eastAsia="Times New Roman" w:hAnsi="Arial" w:cs="Arial"/>
                <w:color w:val="000000"/>
                <w:lang w:eastAsia="en-GB"/>
              </w:rPr>
            </w:pPr>
            <w:r w:rsidRPr="001E64E0">
              <w:rPr>
                <w:rFonts w:ascii="Arial" w:eastAsia="Times New Roman" w:hAnsi="Arial" w:cs="Arial"/>
                <w:color w:val="000000"/>
                <w:lang w:eastAsia="en-GB"/>
              </w:rPr>
              <w:t>Ireland</w:t>
            </w:r>
          </w:p>
        </w:tc>
        <w:tc>
          <w:tcPr>
            <w:tcW w:w="1515" w:type="pct"/>
            <w:gridSpan w:val="2"/>
            <w:shd w:val="clear" w:color="000000" w:fill="EDFFB7"/>
          </w:tcPr>
          <w:p w14:paraId="00ACC961" w14:textId="77777777" w:rsidR="0021298F" w:rsidRPr="002E614D" w:rsidRDefault="0021298F" w:rsidP="00760009">
            <w:pPr>
              <w:jc w:val="right"/>
              <w:rPr>
                <w:rFonts w:ascii="Arial" w:eastAsia="Times New Roman" w:hAnsi="Arial" w:cs="Arial"/>
                <w:color w:val="000000"/>
                <w:lang w:eastAsia="en-GB"/>
              </w:rPr>
            </w:pPr>
            <w:r w:rsidRPr="002E614D">
              <w:rPr>
                <w:rFonts w:ascii="Arial" w:eastAsia="Times New Roman" w:hAnsi="Arial" w:cs="Arial"/>
                <w:color w:val="000000"/>
                <w:lang w:eastAsia="en-GB"/>
              </w:rPr>
              <w:t>Riverside One, Sir John Rogerson’s Quay, Dublin 2</w:t>
            </w:r>
          </w:p>
          <w:p w14:paraId="7FB65112" w14:textId="77777777" w:rsidR="0021298F" w:rsidRPr="001E64E0" w:rsidRDefault="0021298F" w:rsidP="00760009">
            <w:pPr>
              <w:jc w:val="right"/>
              <w:rPr>
                <w:rFonts w:ascii="Arial" w:eastAsia="Times New Roman" w:hAnsi="Arial" w:cs="Arial"/>
                <w:color w:val="000000"/>
                <w:lang w:eastAsia="en-GB"/>
              </w:rPr>
            </w:pPr>
          </w:p>
        </w:tc>
        <w:tc>
          <w:tcPr>
            <w:tcW w:w="967" w:type="pct"/>
            <w:gridSpan w:val="3"/>
            <w:shd w:val="clear" w:color="000000" w:fill="EDFFB7"/>
            <w:noWrap/>
            <w:vAlign w:val="center"/>
          </w:tcPr>
          <w:p w14:paraId="105120A5" w14:textId="77777777" w:rsidR="0021298F" w:rsidRPr="001E64E0" w:rsidRDefault="0021298F" w:rsidP="00760009">
            <w:pPr>
              <w:jc w:val="right"/>
              <w:rPr>
                <w:rFonts w:ascii="Arial" w:eastAsia="Times New Roman" w:hAnsi="Arial" w:cs="Arial"/>
                <w:color w:val="000000"/>
                <w:lang w:eastAsia="en-GB"/>
              </w:rPr>
            </w:pPr>
            <w:r w:rsidRPr="001E64E0">
              <w:rPr>
                <w:rFonts w:ascii="Arial" w:eastAsia="Times New Roman" w:hAnsi="Arial" w:cs="Arial"/>
                <w:color w:val="000000"/>
                <w:lang w:eastAsia="en-GB"/>
              </w:rPr>
              <w:t>100%</w:t>
            </w:r>
          </w:p>
        </w:tc>
      </w:tr>
      <w:tr w:rsidR="0021298F" w:rsidRPr="00E07C61" w14:paraId="2E230627" w14:textId="77777777" w:rsidTr="00760009">
        <w:trPr>
          <w:gridAfter w:val="1"/>
          <w:wAfter w:w="763" w:type="pct"/>
          <w:trHeight w:val="291"/>
        </w:trPr>
        <w:tc>
          <w:tcPr>
            <w:tcW w:w="1186" w:type="pct"/>
            <w:shd w:val="clear" w:color="000000" w:fill="FFFFFF"/>
            <w:noWrap/>
            <w:vAlign w:val="center"/>
          </w:tcPr>
          <w:p w14:paraId="1BC241B3" w14:textId="77777777" w:rsidR="0021298F" w:rsidRPr="001E64E0" w:rsidRDefault="0021298F" w:rsidP="00760009">
            <w:pPr>
              <w:rPr>
                <w:rFonts w:ascii="Arial" w:eastAsia="Times New Roman" w:hAnsi="Arial" w:cs="Arial"/>
                <w:color w:val="000000"/>
                <w:lang w:eastAsia="en-GB"/>
              </w:rPr>
            </w:pPr>
            <w:r w:rsidRPr="001E64E0">
              <w:rPr>
                <w:rFonts w:ascii="Arial" w:eastAsia="Times New Roman" w:hAnsi="Arial" w:cs="Arial"/>
                <w:color w:val="000000"/>
                <w:lang w:eastAsia="en-GB"/>
              </w:rPr>
              <w:lastRenderedPageBreak/>
              <w:t>Sliabh Bawn Wind Holdings DAC</w:t>
            </w:r>
          </w:p>
        </w:tc>
        <w:tc>
          <w:tcPr>
            <w:tcW w:w="569" w:type="pct"/>
            <w:gridSpan w:val="2"/>
            <w:shd w:val="clear" w:color="000000" w:fill="EDFFB7"/>
            <w:noWrap/>
            <w:vAlign w:val="center"/>
          </w:tcPr>
          <w:p w14:paraId="065F29CD" w14:textId="77777777" w:rsidR="0021298F" w:rsidRPr="001E64E0" w:rsidRDefault="0021298F" w:rsidP="00760009">
            <w:pPr>
              <w:jc w:val="right"/>
              <w:rPr>
                <w:rFonts w:ascii="Arial" w:eastAsia="Times New Roman" w:hAnsi="Arial" w:cs="Arial"/>
                <w:color w:val="000000"/>
                <w:lang w:eastAsia="en-GB"/>
              </w:rPr>
            </w:pPr>
            <w:r w:rsidRPr="001E64E0">
              <w:rPr>
                <w:rFonts w:ascii="Arial" w:eastAsia="Times New Roman" w:hAnsi="Arial" w:cs="Arial"/>
                <w:color w:val="000000"/>
                <w:lang w:eastAsia="en-GB"/>
              </w:rPr>
              <w:t>Ireland</w:t>
            </w:r>
          </w:p>
        </w:tc>
        <w:tc>
          <w:tcPr>
            <w:tcW w:w="1515" w:type="pct"/>
            <w:gridSpan w:val="2"/>
            <w:shd w:val="clear" w:color="000000" w:fill="EDFFB7"/>
          </w:tcPr>
          <w:p w14:paraId="0BD352AD" w14:textId="77777777" w:rsidR="0021298F" w:rsidRPr="001E64E0" w:rsidRDefault="0021298F" w:rsidP="00760009">
            <w:pPr>
              <w:jc w:val="right"/>
              <w:rPr>
                <w:rFonts w:ascii="Arial" w:eastAsia="Times New Roman" w:hAnsi="Arial" w:cs="Arial"/>
                <w:color w:val="000000"/>
                <w:lang w:eastAsia="en-GB"/>
              </w:rPr>
            </w:pPr>
            <w:r w:rsidRPr="001E64E0">
              <w:rPr>
                <w:rFonts w:ascii="Arial" w:eastAsia="Times New Roman" w:hAnsi="Arial" w:cs="Arial"/>
                <w:color w:val="000000"/>
                <w:lang w:eastAsia="en-GB"/>
              </w:rPr>
              <w:t>Dublin Road, Newtownmountkennedy, Co. Wicklow</w:t>
            </w:r>
          </w:p>
        </w:tc>
        <w:tc>
          <w:tcPr>
            <w:tcW w:w="967" w:type="pct"/>
            <w:gridSpan w:val="3"/>
            <w:shd w:val="clear" w:color="000000" w:fill="EDFFB7"/>
            <w:noWrap/>
            <w:vAlign w:val="center"/>
          </w:tcPr>
          <w:p w14:paraId="451768FA" w14:textId="77777777" w:rsidR="0021298F" w:rsidRPr="001E64E0" w:rsidRDefault="0021298F" w:rsidP="00760009">
            <w:pPr>
              <w:jc w:val="right"/>
              <w:rPr>
                <w:rFonts w:ascii="Arial" w:eastAsia="Times New Roman" w:hAnsi="Arial" w:cs="Arial"/>
                <w:color w:val="000000"/>
                <w:lang w:eastAsia="en-GB"/>
              </w:rPr>
            </w:pPr>
            <w:r w:rsidRPr="001E64E0">
              <w:rPr>
                <w:rFonts w:ascii="Arial" w:eastAsia="Times New Roman" w:hAnsi="Arial" w:cs="Arial"/>
                <w:color w:val="000000"/>
                <w:lang w:eastAsia="en-GB"/>
              </w:rPr>
              <w:t>25%</w:t>
            </w:r>
          </w:p>
        </w:tc>
      </w:tr>
      <w:tr w:rsidR="0021298F" w:rsidRPr="0029752A" w14:paraId="2B295793" w14:textId="77777777" w:rsidTr="00760009">
        <w:trPr>
          <w:gridAfter w:val="1"/>
          <w:wAfter w:w="763" w:type="pct"/>
          <w:trHeight w:val="291"/>
        </w:trPr>
        <w:tc>
          <w:tcPr>
            <w:tcW w:w="1186" w:type="pct"/>
            <w:shd w:val="clear" w:color="000000" w:fill="FFFFFF"/>
            <w:noWrap/>
            <w:vAlign w:val="center"/>
          </w:tcPr>
          <w:p w14:paraId="10AFDD03" w14:textId="77777777" w:rsidR="0021298F" w:rsidRPr="001E64E0" w:rsidRDefault="0021298F" w:rsidP="00760009">
            <w:pPr>
              <w:rPr>
                <w:rFonts w:ascii="Arial" w:eastAsia="Times New Roman" w:hAnsi="Arial" w:cs="Arial"/>
                <w:color w:val="000000"/>
                <w:lang w:val="fr-FR" w:eastAsia="en-GB"/>
              </w:rPr>
            </w:pPr>
          </w:p>
        </w:tc>
        <w:tc>
          <w:tcPr>
            <w:tcW w:w="569" w:type="pct"/>
            <w:gridSpan w:val="2"/>
            <w:shd w:val="clear" w:color="000000" w:fill="EDFFB7"/>
            <w:noWrap/>
            <w:vAlign w:val="center"/>
          </w:tcPr>
          <w:p w14:paraId="45BE8392" w14:textId="77777777" w:rsidR="0021298F" w:rsidRPr="001E64E0" w:rsidRDefault="0021298F" w:rsidP="00760009">
            <w:pPr>
              <w:jc w:val="right"/>
              <w:rPr>
                <w:rFonts w:ascii="Arial" w:eastAsia="Times New Roman" w:hAnsi="Arial" w:cs="Arial"/>
                <w:color w:val="000000"/>
                <w:lang w:val="fr-FR" w:eastAsia="en-GB"/>
              </w:rPr>
            </w:pPr>
          </w:p>
        </w:tc>
        <w:tc>
          <w:tcPr>
            <w:tcW w:w="1515" w:type="pct"/>
            <w:gridSpan w:val="2"/>
            <w:shd w:val="clear" w:color="000000" w:fill="EDFFB7"/>
          </w:tcPr>
          <w:p w14:paraId="38CA5CD2" w14:textId="77777777" w:rsidR="0021298F" w:rsidRPr="001E64E0" w:rsidRDefault="0021298F" w:rsidP="00760009">
            <w:pPr>
              <w:jc w:val="right"/>
              <w:rPr>
                <w:rFonts w:ascii="Arial" w:eastAsia="Times New Roman" w:hAnsi="Arial" w:cs="Arial"/>
                <w:color w:val="000000"/>
                <w:lang w:val="fr-FR" w:eastAsia="en-GB"/>
              </w:rPr>
            </w:pPr>
          </w:p>
        </w:tc>
        <w:tc>
          <w:tcPr>
            <w:tcW w:w="967" w:type="pct"/>
            <w:gridSpan w:val="3"/>
            <w:shd w:val="clear" w:color="000000" w:fill="EDFFB7"/>
            <w:noWrap/>
            <w:vAlign w:val="center"/>
          </w:tcPr>
          <w:p w14:paraId="4657A387" w14:textId="77777777" w:rsidR="0021298F" w:rsidRPr="001E64E0" w:rsidRDefault="0021298F" w:rsidP="00760009">
            <w:pPr>
              <w:jc w:val="right"/>
              <w:rPr>
                <w:rFonts w:ascii="Arial" w:eastAsia="Times New Roman" w:hAnsi="Arial" w:cs="Arial"/>
                <w:color w:val="000000"/>
                <w:lang w:val="fr-FR" w:eastAsia="en-GB"/>
              </w:rPr>
            </w:pPr>
          </w:p>
        </w:tc>
      </w:tr>
      <w:tr w:rsidR="0021298F" w:rsidRPr="0029752A" w14:paraId="28873C66" w14:textId="77777777" w:rsidTr="00760009">
        <w:trPr>
          <w:gridAfter w:val="1"/>
          <w:wAfter w:w="763" w:type="pct"/>
          <w:trHeight w:val="291"/>
        </w:trPr>
        <w:tc>
          <w:tcPr>
            <w:tcW w:w="1186" w:type="pct"/>
            <w:shd w:val="clear" w:color="000000" w:fill="FFFFFF"/>
            <w:noWrap/>
            <w:vAlign w:val="center"/>
          </w:tcPr>
          <w:p w14:paraId="6C115A99" w14:textId="77777777" w:rsidR="0021298F" w:rsidRPr="001E64E0" w:rsidRDefault="0021298F" w:rsidP="00760009">
            <w:pPr>
              <w:rPr>
                <w:rFonts w:ascii="Arial" w:eastAsia="Times New Roman" w:hAnsi="Arial" w:cs="Arial"/>
                <w:color w:val="000000"/>
                <w:lang w:val="fr-FR" w:eastAsia="en-GB"/>
              </w:rPr>
            </w:pPr>
            <w:r w:rsidRPr="001E64E0">
              <w:rPr>
                <w:rFonts w:ascii="Arial" w:eastAsia="Times New Roman" w:hAnsi="Arial" w:cs="Arial"/>
                <w:color w:val="000000"/>
                <w:lang w:val="fr-FR" w:eastAsia="en-GB"/>
              </w:rPr>
              <w:t>Société d’Exploitation du Parc Eolien du Tonnerois</w:t>
            </w:r>
            <w:r>
              <w:rPr>
                <w:rFonts w:ascii="Arial" w:eastAsia="Times New Roman" w:hAnsi="Arial" w:cs="Arial"/>
                <w:color w:val="000000"/>
                <w:lang w:val="fr-FR" w:eastAsia="en-GB"/>
              </w:rPr>
              <w:t xml:space="preserve"> </w:t>
            </w:r>
            <w:r w:rsidRPr="000C1DAA">
              <w:rPr>
                <w:rFonts w:ascii="Arial" w:eastAsia="Times New Roman" w:hAnsi="Arial" w:cs="Arial"/>
                <w:color w:val="000000"/>
                <w:vertAlign w:val="superscript"/>
                <w:lang w:val="fr-FR" w:eastAsia="en-GB"/>
              </w:rPr>
              <w:t>(7)</w:t>
            </w:r>
          </w:p>
        </w:tc>
        <w:tc>
          <w:tcPr>
            <w:tcW w:w="569" w:type="pct"/>
            <w:gridSpan w:val="2"/>
            <w:shd w:val="clear" w:color="000000" w:fill="EDFFB7"/>
            <w:noWrap/>
            <w:vAlign w:val="center"/>
          </w:tcPr>
          <w:p w14:paraId="70CD8243" w14:textId="77777777" w:rsidR="0021298F" w:rsidRPr="001E64E0" w:rsidRDefault="0021298F" w:rsidP="00760009">
            <w:pPr>
              <w:jc w:val="right"/>
              <w:rPr>
                <w:rFonts w:ascii="Arial" w:eastAsia="Times New Roman" w:hAnsi="Arial" w:cs="Arial"/>
                <w:color w:val="000000"/>
                <w:lang w:val="fr-FR" w:eastAsia="en-GB"/>
              </w:rPr>
            </w:pPr>
            <w:r w:rsidRPr="002E614D">
              <w:rPr>
                <w:rFonts w:ascii="Arial" w:eastAsia="Times New Roman" w:hAnsi="Arial" w:cs="Arial"/>
                <w:color w:val="000000"/>
                <w:lang w:eastAsia="en-GB"/>
              </w:rPr>
              <w:t>France</w:t>
            </w:r>
          </w:p>
        </w:tc>
        <w:tc>
          <w:tcPr>
            <w:tcW w:w="1515" w:type="pct"/>
            <w:gridSpan w:val="2"/>
            <w:shd w:val="clear" w:color="000000" w:fill="EDFFB7"/>
          </w:tcPr>
          <w:p w14:paraId="170B26B9" w14:textId="77777777" w:rsidR="0021298F" w:rsidRPr="001E64E0" w:rsidRDefault="0021298F" w:rsidP="00760009">
            <w:pPr>
              <w:jc w:val="right"/>
              <w:rPr>
                <w:rFonts w:ascii="Arial" w:eastAsia="Times New Roman" w:hAnsi="Arial" w:cs="Arial"/>
                <w:color w:val="000000"/>
                <w:lang w:val="fr-FR" w:eastAsia="en-GB"/>
              </w:rPr>
            </w:pPr>
            <w:r w:rsidRPr="001E64E0">
              <w:rPr>
                <w:rFonts w:ascii="Arial" w:eastAsia="Times New Roman" w:hAnsi="Arial" w:cs="Arial"/>
                <w:color w:val="000000"/>
                <w:lang w:val="fr-FR" w:eastAsia="en-GB"/>
              </w:rPr>
              <w:t>20, Avenue de la Paix, 67000 Strasbourg, France</w:t>
            </w:r>
          </w:p>
        </w:tc>
        <w:tc>
          <w:tcPr>
            <w:tcW w:w="967" w:type="pct"/>
            <w:gridSpan w:val="3"/>
            <w:shd w:val="clear" w:color="000000" w:fill="EDFFB7"/>
            <w:noWrap/>
            <w:vAlign w:val="center"/>
          </w:tcPr>
          <w:p w14:paraId="21D94DB7" w14:textId="77777777" w:rsidR="0021298F" w:rsidRPr="001E64E0" w:rsidRDefault="0021298F" w:rsidP="00760009">
            <w:pPr>
              <w:jc w:val="right"/>
              <w:rPr>
                <w:rFonts w:ascii="Arial" w:eastAsia="Times New Roman" w:hAnsi="Arial" w:cs="Arial"/>
                <w:color w:val="000000"/>
                <w:lang w:val="fr-FR" w:eastAsia="en-GB"/>
              </w:rPr>
            </w:pPr>
            <w:r w:rsidRPr="001E64E0">
              <w:rPr>
                <w:rFonts w:ascii="Arial" w:eastAsia="Times New Roman" w:hAnsi="Arial" w:cs="Arial"/>
                <w:color w:val="000000"/>
                <w:lang w:val="fr-FR" w:eastAsia="en-GB"/>
              </w:rPr>
              <w:t>100%</w:t>
            </w:r>
          </w:p>
        </w:tc>
      </w:tr>
      <w:tr w:rsidR="0021298F" w:rsidRPr="00E07C61" w14:paraId="09399A92" w14:textId="77777777" w:rsidTr="00760009">
        <w:trPr>
          <w:gridAfter w:val="1"/>
          <w:wAfter w:w="763" w:type="pct"/>
          <w:trHeight w:val="291"/>
        </w:trPr>
        <w:tc>
          <w:tcPr>
            <w:tcW w:w="1186" w:type="pct"/>
            <w:shd w:val="clear" w:color="000000" w:fill="FFFFFF"/>
            <w:noWrap/>
            <w:vAlign w:val="center"/>
          </w:tcPr>
          <w:p w14:paraId="6724E381" w14:textId="77777777" w:rsidR="0021298F" w:rsidRPr="000B7255" w:rsidRDefault="0021298F" w:rsidP="00760009">
            <w:pPr>
              <w:rPr>
                <w:rFonts w:ascii="Arial" w:eastAsia="Times New Roman" w:hAnsi="Arial" w:cs="Arial"/>
                <w:color w:val="000000"/>
                <w:lang w:eastAsia="en-GB"/>
              </w:rPr>
            </w:pPr>
          </w:p>
        </w:tc>
        <w:tc>
          <w:tcPr>
            <w:tcW w:w="569" w:type="pct"/>
            <w:gridSpan w:val="2"/>
            <w:shd w:val="clear" w:color="000000" w:fill="EDFFB7"/>
            <w:noWrap/>
            <w:vAlign w:val="center"/>
          </w:tcPr>
          <w:p w14:paraId="0D38AC86" w14:textId="77777777" w:rsidR="0021298F" w:rsidRPr="002E614D" w:rsidRDefault="0021298F" w:rsidP="00760009">
            <w:pPr>
              <w:jc w:val="right"/>
              <w:rPr>
                <w:rFonts w:ascii="Arial" w:eastAsia="Times New Roman" w:hAnsi="Arial" w:cs="Arial"/>
                <w:color w:val="000000"/>
                <w:lang w:eastAsia="en-GB"/>
              </w:rPr>
            </w:pPr>
          </w:p>
        </w:tc>
        <w:tc>
          <w:tcPr>
            <w:tcW w:w="1515" w:type="pct"/>
            <w:gridSpan w:val="2"/>
            <w:shd w:val="clear" w:color="000000" w:fill="EDFFB7"/>
          </w:tcPr>
          <w:p w14:paraId="523F504B" w14:textId="77777777" w:rsidR="0021298F" w:rsidRPr="002E614D" w:rsidRDefault="0021298F" w:rsidP="00760009">
            <w:pPr>
              <w:jc w:val="right"/>
              <w:rPr>
                <w:rFonts w:ascii="Arial" w:eastAsia="Times New Roman" w:hAnsi="Arial" w:cs="Arial"/>
                <w:color w:val="000000"/>
                <w:lang w:eastAsia="en-GB"/>
              </w:rPr>
            </w:pPr>
          </w:p>
        </w:tc>
        <w:tc>
          <w:tcPr>
            <w:tcW w:w="967" w:type="pct"/>
            <w:gridSpan w:val="3"/>
            <w:shd w:val="clear" w:color="000000" w:fill="EDFFB7"/>
            <w:noWrap/>
            <w:vAlign w:val="center"/>
          </w:tcPr>
          <w:p w14:paraId="61F82F40" w14:textId="77777777" w:rsidR="0021298F" w:rsidRPr="002E614D" w:rsidRDefault="0021298F" w:rsidP="00760009">
            <w:pPr>
              <w:jc w:val="right"/>
              <w:rPr>
                <w:rFonts w:ascii="Arial" w:eastAsia="Times New Roman" w:hAnsi="Arial" w:cs="Arial"/>
                <w:color w:val="000000"/>
                <w:lang w:eastAsia="en-GB"/>
              </w:rPr>
            </w:pPr>
          </w:p>
        </w:tc>
      </w:tr>
      <w:tr w:rsidR="0021298F" w:rsidRPr="00E07C61" w14:paraId="1E870287" w14:textId="77777777" w:rsidTr="00760009">
        <w:trPr>
          <w:gridAfter w:val="1"/>
          <w:wAfter w:w="763" w:type="pct"/>
          <w:trHeight w:val="291"/>
        </w:trPr>
        <w:tc>
          <w:tcPr>
            <w:tcW w:w="1186" w:type="pct"/>
            <w:shd w:val="clear" w:color="000000" w:fill="FFFFFF"/>
            <w:noWrap/>
            <w:vAlign w:val="center"/>
          </w:tcPr>
          <w:p w14:paraId="01EB913C" w14:textId="77777777" w:rsidR="0021298F" w:rsidRPr="001E64E0" w:rsidRDefault="0021298F" w:rsidP="00760009">
            <w:pPr>
              <w:rPr>
                <w:rFonts w:ascii="Arial" w:eastAsia="Times New Roman" w:hAnsi="Arial" w:cs="Arial"/>
                <w:color w:val="000000"/>
                <w:lang w:eastAsia="en-GB"/>
              </w:rPr>
            </w:pPr>
            <w:r w:rsidRPr="001E64E0">
              <w:rPr>
                <w:rFonts w:ascii="Arial" w:eastAsia="Times New Roman" w:hAnsi="Arial" w:cs="Arial"/>
                <w:color w:val="000000"/>
                <w:lang w:eastAsia="en-GB"/>
              </w:rPr>
              <w:t>Tullynamoyle Wind Farm II Limited</w:t>
            </w:r>
          </w:p>
        </w:tc>
        <w:tc>
          <w:tcPr>
            <w:tcW w:w="569" w:type="pct"/>
            <w:gridSpan w:val="2"/>
            <w:shd w:val="clear" w:color="000000" w:fill="EDFFB7"/>
            <w:noWrap/>
            <w:vAlign w:val="center"/>
          </w:tcPr>
          <w:p w14:paraId="452F5522" w14:textId="77777777" w:rsidR="0021298F" w:rsidRPr="001E64E0" w:rsidRDefault="0021298F" w:rsidP="00760009">
            <w:pPr>
              <w:jc w:val="right"/>
              <w:rPr>
                <w:rFonts w:ascii="Arial" w:eastAsia="Times New Roman" w:hAnsi="Arial" w:cs="Arial"/>
                <w:color w:val="000000"/>
                <w:lang w:eastAsia="en-GB"/>
              </w:rPr>
            </w:pPr>
            <w:r w:rsidRPr="001E64E0">
              <w:rPr>
                <w:rFonts w:ascii="Arial" w:eastAsia="Times New Roman" w:hAnsi="Arial" w:cs="Arial"/>
                <w:color w:val="000000"/>
                <w:lang w:eastAsia="en-GB"/>
              </w:rPr>
              <w:t>Ireland</w:t>
            </w:r>
          </w:p>
        </w:tc>
        <w:tc>
          <w:tcPr>
            <w:tcW w:w="1515" w:type="pct"/>
            <w:gridSpan w:val="2"/>
            <w:shd w:val="clear" w:color="000000" w:fill="EDFFB7"/>
          </w:tcPr>
          <w:p w14:paraId="43E1C4E2" w14:textId="77777777" w:rsidR="0021298F" w:rsidRPr="001E64E0" w:rsidRDefault="0021298F" w:rsidP="00760009">
            <w:pPr>
              <w:jc w:val="right"/>
              <w:rPr>
                <w:rFonts w:ascii="Arial" w:eastAsia="Times New Roman" w:hAnsi="Arial" w:cs="Arial"/>
                <w:color w:val="000000"/>
                <w:lang w:eastAsia="en-GB"/>
              </w:rPr>
            </w:pPr>
            <w:r w:rsidRPr="001E64E0">
              <w:rPr>
                <w:rFonts w:ascii="Arial" w:eastAsia="Times New Roman" w:hAnsi="Arial" w:cs="Arial"/>
                <w:color w:val="000000"/>
                <w:lang w:eastAsia="en-GB"/>
              </w:rPr>
              <w:t>Riverside One, Sir John Rogerson’s Quay, Dublin 2</w:t>
            </w:r>
          </w:p>
        </w:tc>
        <w:tc>
          <w:tcPr>
            <w:tcW w:w="967" w:type="pct"/>
            <w:gridSpan w:val="3"/>
            <w:shd w:val="clear" w:color="000000" w:fill="EDFFB7"/>
            <w:noWrap/>
            <w:vAlign w:val="center"/>
          </w:tcPr>
          <w:p w14:paraId="474AE02D" w14:textId="77777777" w:rsidR="0021298F" w:rsidRPr="001E64E0" w:rsidRDefault="0021298F" w:rsidP="00760009">
            <w:pPr>
              <w:jc w:val="right"/>
              <w:rPr>
                <w:rFonts w:ascii="Arial" w:eastAsia="Times New Roman" w:hAnsi="Arial" w:cs="Arial"/>
                <w:color w:val="000000"/>
                <w:lang w:eastAsia="en-GB"/>
              </w:rPr>
            </w:pPr>
            <w:r w:rsidRPr="001E64E0">
              <w:rPr>
                <w:rFonts w:ascii="Arial" w:eastAsia="Times New Roman" w:hAnsi="Arial" w:cs="Arial"/>
                <w:color w:val="000000"/>
                <w:lang w:eastAsia="en-GB"/>
              </w:rPr>
              <w:t>100%</w:t>
            </w:r>
          </w:p>
        </w:tc>
      </w:tr>
    </w:tbl>
    <w:p w14:paraId="3C78C943" w14:textId="77777777" w:rsidR="0021298F" w:rsidRPr="00AE47CC" w:rsidRDefault="0021298F" w:rsidP="0021298F">
      <w:pPr>
        <w:rPr>
          <w:rFonts w:ascii="Arial" w:hAnsi="Arial" w:cs="Arial"/>
          <w:sz w:val="16"/>
          <w:szCs w:val="16"/>
        </w:rPr>
      </w:pPr>
    </w:p>
    <w:p w14:paraId="00CDEF7A" w14:textId="77777777" w:rsidR="0021298F" w:rsidRDefault="0021298F" w:rsidP="0021298F">
      <w:pPr>
        <w:rPr>
          <w:rFonts w:ascii="Arial" w:hAnsi="Arial" w:cs="Arial"/>
          <w:sz w:val="18"/>
          <w:szCs w:val="18"/>
        </w:rPr>
      </w:pPr>
      <w:r w:rsidRPr="00AE47CC">
        <w:rPr>
          <w:rFonts w:ascii="Arial" w:hAnsi="Arial" w:cs="Arial"/>
          <w:sz w:val="18"/>
          <w:szCs w:val="18"/>
          <w:vertAlign w:val="superscript"/>
        </w:rPr>
        <w:t>(1)</w:t>
      </w:r>
      <w:r w:rsidRPr="008C4BC8">
        <w:rPr>
          <w:rFonts w:ascii="Arial" w:hAnsi="Arial" w:cs="Arial"/>
          <w:sz w:val="18"/>
          <w:szCs w:val="18"/>
        </w:rPr>
        <w:t xml:space="preserve"> The Group’s investment in Glanaruddery is held through Kostroma Holdings Limited</w:t>
      </w:r>
    </w:p>
    <w:p w14:paraId="7768D084" w14:textId="77777777" w:rsidR="0021298F" w:rsidRPr="008C4BC8" w:rsidRDefault="0021298F" w:rsidP="0021298F">
      <w:pPr>
        <w:rPr>
          <w:rFonts w:ascii="Arial" w:hAnsi="Arial" w:cs="Arial"/>
          <w:sz w:val="18"/>
          <w:szCs w:val="18"/>
        </w:rPr>
      </w:pPr>
      <w:r w:rsidRPr="000C1DAA">
        <w:rPr>
          <w:rFonts w:ascii="Arial" w:hAnsi="Arial" w:cs="Arial"/>
          <w:sz w:val="18"/>
          <w:szCs w:val="18"/>
          <w:vertAlign w:val="superscript"/>
        </w:rPr>
        <w:t>(2)</w:t>
      </w:r>
      <w:r>
        <w:rPr>
          <w:rFonts w:ascii="Arial" w:hAnsi="Arial" w:cs="Arial"/>
          <w:sz w:val="18"/>
          <w:szCs w:val="18"/>
        </w:rPr>
        <w:t xml:space="preserve"> </w:t>
      </w:r>
      <w:r w:rsidRPr="008C4BC8">
        <w:rPr>
          <w:rFonts w:ascii="Arial" w:hAnsi="Arial" w:cs="Arial"/>
          <w:sz w:val="18"/>
          <w:szCs w:val="18"/>
        </w:rPr>
        <w:t xml:space="preserve">The Group’s investment in </w:t>
      </w:r>
      <w:r>
        <w:rPr>
          <w:rFonts w:ascii="Arial" w:hAnsi="Arial" w:cs="Arial"/>
          <w:sz w:val="18"/>
          <w:szCs w:val="18"/>
        </w:rPr>
        <w:t>Beam Hill Extension</w:t>
      </w:r>
      <w:r w:rsidRPr="008C4BC8">
        <w:rPr>
          <w:rFonts w:ascii="Arial" w:hAnsi="Arial" w:cs="Arial"/>
          <w:sz w:val="18"/>
          <w:szCs w:val="18"/>
        </w:rPr>
        <w:t xml:space="preserve"> is held through </w:t>
      </w:r>
      <w:r>
        <w:rPr>
          <w:rFonts w:ascii="Arial" w:hAnsi="Arial" w:cs="Arial"/>
          <w:sz w:val="18"/>
          <w:szCs w:val="18"/>
        </w:rPr>
        <w:t xml:space="preserve">Meenaward Wind Farm </w:t>
      </w:r>
      <w:r w:rsidRPr="008C4BC8">
        <w:rPr>
          <w:rFonts w:ascii="Arial" w:hAnsi="Arial" w:cs="Arial"/>
          <w:sz w:val="18"/>
          <w:szCs w:val="18"/>
        </w:rPr>
        <w:t>Limited</w:t>
      </w:r>
    </w:p>
    <w:p w14:paraId="0B1456D0" w14:textId="77777777" w:rsidR="0021298F" w:rsidRDefault="0021298F" w:rsidP="0021298F">
      <w:pPr>
        <w:ind w:right="-23"/>
        <w:rPr>
          <w:rFonts w:ascii="Arial" w:hAnsi="Arial" w:cs="Arial"/>
          <w:sz w:val="18"/>
          <w:szCs w:val="18"/>
          <w:vertAlign w:val="superscript"/>
        </w:rPr>
      </w:pPr>
      <w:r w:rsidRPr="00AE47CC">
        <w:rPr>
          <w:rFonts w:ascii="Arial" w:hAnsi="Arial" w:cs="Arial"/>
          <w:sz w:val="18"/>
          <w:szCs w:val="18"/>
          <w:vertAlign w:val="superscript"/>
        </w:rPr>
        <w:t>(</w:t>
      </w:r>
      <w:r>
        <w:rPr>
          <w:rFonts w:ascii="Arial" w:hAnsi="Arial" w:cs="Arial"/>
          <w:sz w:val="18"/>
          <w:szCs w:val="18"/>
          <w:vertAlign w:val="superscript"/>
        </w:rPr>
        <w:t>3</w:t>
      </w:r>
      <w:r w:rsidRPr="00AE47CC">
        <w:rPr>
          <w:rFonts w:ascii="Arial" w:hAnsi="Arial" w:cs="Arial"/>
          <w:sz w:val="18"/>
          <w:szCs w:val="18"/>
          <w:vertAlign w:val="superscript"/>
        </w:rPr>
        <w:t>)</w:t>
      </w:r>
      <w:r w:rsidRPr="008C4BC8">
        <w:rPr>
          <w:rFonts w:ascii="Arial" w:hAnsi="Arial" w:cs="Arial"/>
          <w:sz w:val="18"/>
          <w:szCs w:val="18"/>
        </w:rPr>
        <w:t xml:space="preserve"> The Group’s investments in Monaincha and Garr</w:t>
      </w:r>
      <w:r>
        <w:rPr>
          <w:rFonts w:ascii="Arial" w:hAnsi="Arial" w:cs="Arial"/>
          <w:sz w:val="18"/>
          <w:szCs w:val="18"/>
        </w:rPr>
        <w:t>a</w:t>
      </w:r>
      <w:r w:rsidRPr="008C4BC8">
        <w:rPr>
          <w:rFonts w:ascii="Arial" w:hAnsi="Arial" w:cs="Arial"/>
          <w:sz w:val="18"/>
          <w:szCs w:val="18"/>
        </w:rPr>
        <w:t>nereagh are held through Monaincha Sigatoka Wind Holdings DAC</w:t>
      </w:r>
    </w:p>
    <w:p w14:paraId="26531626" w14:textId="77777777" w:rsidR="0021298F" w:rsidRDefault="0021298F" w:rsidP="0021298F">
      <w:pPr>
        <w:ind w:right="-23"/>
        <w:rPr>
          <w:rFonts w:ascii="Arial" w:hAnsi="Arial" w:cs="Arial"/>
          <w:sz w:val="18"/>
          <w:szCs w:val="18"/>
        </w:rPr>
      </w:pPr>
      <w:r w:rsidRPr="00AE47CC">
        <w:rPr>
          <w:rFonts w:ascii="Arial" w:hAnsi="Arial" w:cs="Arial"/>
          <w:sz w:val="18"/>
          <w:szCs w:val="18"/>
          <w:vertAlign w:val="superscript"/>
        </w:rPr>
        <w:t>(</w:t>
      </w:r>
      <w:r>
        <w:rPr>
          <w:rFonts w:ascii="Arial" w:hAnsi="Arial" w:cs="Arial"/>
          <w:sz w:val="18"/>
          <w:szCs w:val="18"/>
          <w:vertAlign w:val="superscript"/>
        </w:rPr>
        <w:t>4</w:t>
      </w:r>
      <w:r w:rsidRPr="00AE47CC">
        <w:rPr>
          <w:rFonts w:ascii="Arial" w:hAnsi="Arial" w:cs="Arial"/>
          <w:sz w:val="18"/>
          <w:szCs w:val="18"/>
          <w:vertAlign w:val="superscript"/>
        </w:rPr>
        <w:t>)</w:t>
      </w:r>
      <w:r w:rsidRPr="008C4BC8">
        <w:rPr>
          <w:rFonts w:ascii="Arial" w:hAnsi="Arial" w:cs="Arial"/>
          <w:sz w:val="18"/>
          <w:szCs w:val="18"/>
        </w:rPr>
        <w:t xml:space="preserve"> The Group’s investment in </w:t>
      </w:r>
      <w:r>
        <w:rPr>
          <w:rFonts w:ascii="Arial" w:hAnsi="Arial" w:cs="Arial"/>
          <w:sz w:val="18"/>
          <w:szCs w:val="18"/>
        </w:rPr>
        <w:t>Pasilly is</w:t>
      </w:r>
      <w:r w:rsidRPr="008C4BC8">
        <w:rPr>
          <w:rFonts w:ascii="Arial" w:hAnsi="Arial" w:cs="Arial"/>
          <w:sz w:val="18"/>
          <w:szCs w:val="18"/>
        </w:rPr>
        <w:t xml:space="preserve"> held through </w:t>
      </w:r>
      <w:r w:rsidRPr="00F53318">
        <w:rPr>
          <w:rFonts w:ascii="Arial" w:hAnsi="Arial" w:cs="Arial"/>
          <w:sz w:val="18"/>
          <w:szCs w:val="18"/>
        </w:rPr>
        <w:t>Parc Eolien Des Tournevents SAS</w:t>
      </w:r>
    </w:p>
    <w:p w14:paraId="5C856634" w14:textId="77777777" w:rsidR="0021298F" w:rsidRDefault="0021298F" w:rsidP="0021298F">
      <w:pPr>
        <w:rPr>
          <w:rFonts w:ascii="Arial" w:hAnsi="Arial" w:cs="Arial"/>
          <w:sz w:val="18"/>
          <w:szCs w:val="18"/>
        </w:rPr>
      </w:pPr>
      <w:r w:rsidRPr="00AE47CC">
        <w:rPr>
          <w:rFonts w:ascii="Arial" w:hAnsi="Arial" w:cs="Arial"/>
          <w:sz w:val="18"/>
          <w:szCs w:val="18"/>
          <w:vertAlign w:val="superscript"/>
        </w:rPr>
        <w:t>(</w:t>
      </w:r>
      <w:r>
        <w:rPr>
          <w:rFonts w:ascii="Arial" w:hAnsi="Arial" w:cs="Arial"/>
          <w:sz w:val="18"/>
          <w:szCs w:val="18"/>
          <w:vertAlign w:val="superscript"/>
        </w:rPr>
        <w:t>5</w:t>
      </w:r>
      <w:r w:rsidRPr="00AE47CC">
        <w:rPr>
          <w:rFonts w:ascii="Arial" w:hAnsi="Arial" w:cs="Arial"/>
          <w:sz w:val="18"/>
          <w:szCs w:val="18"/>
          <w:vertAlign w:val="superscript"/>
        </w:rPr>
        <w:t>)</w:t>
      </w:r>
      <w:r w:rsidRPr="008C4BC8">
        <w:rPr>
          <w:rFonts w:ascii="Arial" w:hAnsi="Arial" w:cs="Arial"/>
          <w:sz w:val="18"/>
          <w:szCs w:val="18"/>
        </w:rPr>
        <w:t xml:space="preserve"> The Group’s investment in </w:t>
      </w:r>
      <w:r>
        <w:rPr>
          <w:rFonts w:ascii="Arial" w:hAnsi="Arial" w:cs="Arial"/>
          <w:sz w:val="18"/>
          <w:szCs w:val="18"/>
        </w:rPr>
        <w:t>Saint Martin is</w:t>
      </w:r>
      <w:r w:rsidRPr="008C4BC8">
        <w:rPr>
          <w:rFonts w:ascii="Arial" w:hAnsi="Arial" w:cs="Arial"/>
          <w:sz w:val="18"/>
          <w:szCs w:val="18"/>
        </w:rPr>
        <w:t xml:space="preserve"> held through </w:t>
      </w:r>
      <w:r w:rsidRPr="00F53318">
        <w:rPr>
          <w:rFonts w:ascii="Arial" w:hAnsi="Arial" w:cs="Arial"/>
          <w:sz w:val="18"/>
          <w:szCs w:val="18"/>
        </w:rPr>
        <w:t>Parc Eolien Des Courtibeaux SAS</w:t>
      </w:r>
    </w:p>
    <w:p w14:paraId="04AEADCA" w14:textId="77777777" w:rsidR="0021298F" w:rsidRDefault="0021298F" w:rsidP="0021298F">
      <w:pPr>
        <w:rPr>
          <w:rFonts w:ascii="Arial" w:hAnsi="Arial" w:cs="Arial"/>
          <w:sz w:val="18"/>
          <w:szCs w:val="18"/>
        </w:rPr>
      </w:pPr>
      <w:r w:rsidRPr="00AE47CC">
        <w:rPr>
          <w:rFonts w:ascii="Arial" w:hAnsi="Arial" w:cs="Arial"/>
          <w:sz w:val="18"/>
          <w:szCs w:val="18"/>
          <w:vertAlign w:val="superscript"/>
        </w:rPr>
        <w:t>(</w:t>
      </w:r>
      <w:r>
        <w:rPr>
          <w:rFonts w:ascii="Arial" w:hAnsi="Arial" w:cs="Arial"/>
          <w:sz w:val="18"/>
          <w:szCs w:val="18"/>
          <w:vertAlign w:val="superscript"/>
        </w:rPr>
        <w:t>6</w:t>
      </w:r>
      <w:r w:rsidRPr="00AE47CC">
        <w:rPr>
          <w:rFonts w:ascii="Arial" w:hAnsi="Arial" w:cs="Arial"/>
          <w:sz w:val="18"/>
          <w:szCs w:val="18"/>
          <w:vertAlign w:val="superscript"/>
        </w:rPr>
        <w:t>)</w:t>
      </w:r>
      <w:r w:rsidRPr="008C4BC8">
        <w:rPr>
          <w:rFonts w:ascii="Arial" w:hAnsi="Arial" w:cs="Arial"/>
          <w:sz w:val="18"/>
          <w:szCs w:val="18"/>
        </w:rPr>
        <w:t xml:space="preserve"> The Group’s investment in </w:t>
      </w:r>
      <w:r>
        <w:rPr>
          <w:rFonts w:ascii="Arial" w:hAnsi="Arial" w:cs="Arial"/>
          <w:sz w:val="18"/>
          <w:szCs w:val="18"/>
        </w:rPr>
        <w:t>Letteragh is</w:t>
      </w:r>
      <w:r w:rsidRPr="008C4BC8">
        <w:rPr>
          <w:rFonts w:ascii="Arial" w:hAnsi="Arial" w:cs="Arial"/>
          <w:sz w:val="18"/>
          <w:szCs w:val="18"/>
        </w:rPr>
        <w:t xml:space="preserve"> held through </w:t>
      </w:r>
      <w:r w:rsidRPr="00F53318">
        <w:rPr>
          <w:rFonts w:ascii="Arial" w:hAnsi="Arial" w:cs="Arial"/>
          <w:sz w:val="18"/>
          <w:szCs w:val="18"/>
        </w:rPr>
        <w:t>Seahound Wind Developments Limited</w:t>
      </w:r>
    </w:p>
    <w:p w14:paraId="3C4DCA24" w14:textId="77777777" w:rsidR="0021298F" w:rsidRDefault="0021298F" w:rsidP="0021298F">
      <w:pPr>
        <w:rPr>
          <w:rFonts w:ascii="Arial" w:hAnsi="Arial" w:cs="Arial"/>
          <w:sz w:val="18"/>
          <w:szCs w:val="18"/>
        </w:rPr>
      </w:pPr>
      <w:r w:rsidRPr="00AE47CC">
        <w:rPr>
          <w:rFonts w:ascii="Arial" w:hAnsi="Arial" w:cs="Arial"/>
          <w:sz w:val="18"/>
          <w:szCs w:val="18"/>
          <w:vertAlign w:val="superscript"/>
        </w:rPr>
        <w:t>(</w:t>
      </w:r>
      <w:r>
        <w:rPr>
          <w:rFonts w:ascii="Arial" w:hAnsi="Arial" w:cs="Arial"/>
          <w:sz w:val="18"/>
          <w:szCs w:val="18"/>
          <w:vertAlign w:val="superscript"/>
        </w:rPr>
        <w:t>7</w:t>
      </w:r>
      <w:r w:rsidRPr="00AE47CC">
        <w:rPr>
          <w:rFonts w:ascii="Arial" w:hAnsi="Arial" w:cs="Arial"/>
          <w:sz w:val="18"/>
          <w:szCs w:val="18"/>
          <w:vertAlign w:val="superscript"/>
        </w:rPr>
        <w:t>)</w:t>
      </w:r>
      <w:r w:rsidRPr="008C4BC8">
        <w:rPr>
          <w:rFonts w:ascii="Arial" w:hAnsi="Arial" w:cs="Arial"/>
          <w:sz w:val="18"/>
          <w:szCs w:val="18"/>
        </w:rPr>
        <w:t xml:space="preserve"> The Group’s investment in </w:t>
      </w:r>
      <w:r>
        <w:rPr>
          <w:rFonts w:ascii="Arial" w:hAnsi="Arial" w:cs="Arial"/>
          <w:sz w:val="18"/>
          <w:szCs w:val="18"/>
        </w:rPr>
        <w:t>Sommette is</w:t>
      </w:r>
      <w:r w:rsidRPr="008C4BC8">
        <w:rPr>
          <w:rFonts w:ascii="Arial" w:hAnsi="Arial" w:cs="Arial"/>
          <w:sz w:val="18"/>
          <w:szCs w:val="18"/>
        </w:rPr>
        <w:t xml:space="preserve"> held through </w:t>
      </w:r>
      <w:r w:rsidRPr="00F53318">
        <w:rPr>
          <w:rFonts w:ascii="Arial" w:hAnsi="Arial" w:cs="Arial"/>
          <w:sz w:val="18"/>
          <w:szCs w:val="18"/>
        </w:rPr>
        <w:t>Société d’Exploitation du Parc Eolien du Tonnerois</w:t>
      </w:r>
    </w:p>
    <w:p w14:paraId="0F50A3EB" w14:textId="77777777" w:rsidR="0021298F" w:rsidRPr="00660DCB" w:rsidRDefault="0021298F" w:rsidP="0021298F">
      <w:pPr>
        <w:rPr>
          <w:rFonts w:cs="Arial"/>
          <w:b/>
        </w:rPr>
      </w:pPr>
    </w:p>
    <w:p w14:paraId="23AD23DF" w14:textId="77777777" w:rsidR="0021298F" w:rsidRDefault="0021298F" w:rsidP="0021298F">
      <w:pPr>
        <w:rPr>
          <w:rFonts w:ascii="Arial" w:hAnsi="Arial" w:cs="Arial"/>
          <w:sz w:val="18"/>
          <w:szCs w:val="18"/>
        </w:rPr>
      </w:pPr>
      <w:r>
        <w:rPr>
          <w:rFonts w:ascii="Arial" w:eastAsia="Times New Roman" w:hAnsi="Arial" w:cs="Arial"/>
          <w:lang w:eastAsia="en-GB"/>
        </w:rPr>
        <w:t>Security deposits and guarantees provided by the Group on behalf of its investments are as follows:</w:t>
      </w:r>
    </w:p>
    <w:tbl>
      <w:tblPr>
        <w:tblW w:w="5261" w:type="pct"/>
        <w:tblLayout w:type="fixed"/>
        <w:tblLook w:val="04A0" w:firstRow="1" w:lastRow="0" w:firstColumn="1" w:lastColumn="0" w:noHBand="0" w:noVBand="1"/>
      </w:tblPr>
      <w:tblGrid>
        <w:gridCol w:w="1804"/>
        <w:gridCol w:w="1556"/>
        <w:gridCol w:w="1592"/>
        <w:gridCol w:w="1375"/>
        <w:gridCol w:w="1837"/>
        <w:gridCol w:w="1333"/>
      </w:tblGrid>
      <w:tr w:rsidR="0021298F" w:rsidRPr="00A17F15" w14:paraId="4CBD2821" w14:textId="77777777" w:rsidTr="00760009">
        <w:trPr>
          <w:trHeight w:val="509"/>
        </w:trPr>
        <w:tc>
          <w:tcPr>
            <w:tcW w:w="950" w:type="pct"/>
            <w:vMerge w:val="restart"/>
            <w:tcBorders>
              <w:top w:val="nil"/>
              <w:left w:val="nil"/>
              <w:bottom w:val="nil"/>
              <w:right w:val="nil"/>
            </w:tcBorders>
            <w:shd w:val="clear" w:color="auto" w:fill="auto"/>
            <w:vAlign w:val="bottom"/>
            <w:hideMark/>
          </w:tcPr>
          <w:p w14:paraId="4445F003" w14:textId="77777777" w:rsidR="0021298F" w:rsidRPr="009B5C8A" w:rsidRDefault="0021298F" w:rsidP="00760009">
            <w:pPr>
              <w:rPr>
                <w:rFonts w:ascii="Arial" w:eastAsia="Times New Roman" w:hAnsi="Arial" w:cs="Arial"/>
                <w:b/>
                <w:bCs/>
                <w:color w:val="000000"/>
                <w:lang w:eastAsia="en-GB"/>
              </w:rPr>
            </w:pPr>
            <w:r>
              <w:rPr>
                <w:rFonts w:ascii="Arial" w:eastAsia="Times New Roman" w:hAnsi="Arial" w:cs="Arial"/>
                <w:b/>
                <w:bCs/>
                <w:color w:val="000000"/>
                <w:lang w:eastAsia="en-GB"/>
              </w:rPr>
              <w:t>P</w:t>
            </w:r>
            <w:r w:rsidRPr="009B5C8A">
              <w:rPr>
                <w:rFonts w:ascii="Arial" w:eastAsia="Times New Roman" w:hAnsi="Arial" w:cs="Arial"/>
                <w:b/>
                <w:bCs/>
                <w:color w:val="000000"/>
                <w:lang w:eastAsia="en-GB"/>
              </w:rPr>
              <w:t>rovider of security</w:t>
            </w:r>
          </w:p>
        </w:tc>
        <w:tc>
          <w:tcPr>
            <w:tcW w:w="819" w:type="pct"/>
            <w:vMerge w:val="restart"/>
            <w:tcBorders>
              <w:top w:val="nil"/>
              <w:left w:val="nil"/>
              <w:bottom w:val="nil"/>
              <w:right w:val="nil"/>
            </w:tcBorders>
            <w:shd w:val="clear" w:color="auto" w:fill="auto"/>
            <w:vAlign w:val="bottom"/>
            <w:hideMark/>
          </w:tcPr>
          <w:p w14:paraId="4A15804D" w14:textId="77777777" w:rsidR="0021298F" w:rsidRPr="009B5C8A" w:rsidRDefault="0021298F" w:rsidP="00760009">
            <w:pPr>
              <w:jc w:val="right"/>
              <w:rPr>
                <w:rFonts w:ascii="Arial" w:eastAsia="Times New Roman" w:hAnsi="Arial" w:cs="Arial"/>
                <w:b/>
                <w:bCs/>
                <w:color w:val="000000"/>
                <w:lang w:eastAsia="en-GB"/>
              </w:rPr>
            </w:pPr>
            <w:r w:rsidRPr="009B5C8A">
              <w:rPr>
                <w:rFonts w:ascii="Arial" w:eastAsia="Times New Roman" w:hAnsi="Arial" w:cs="Arial"/>
                <w:b/>
                <w:bCs/>
                <w:color w:val="000000"/>
                <w:lang w:eastAsia="en-GB"/>
              </w:rPr>
              <w:t>Investment</w:t>
            </w:r>
          </w:p>
        </w:tc>
        <w:tc>
          <w:tcPr>
            <w:tcW w:w="838" w:type="pct"/>
            <w:vMerge w:val="restart"/>
            <w:tcBorders>
              <w:top w:val="nil"/>
              <w:left w:val="nil"/>
              <w:bottom w:val="nil"/>
              <w:right w:val="nil"/>
            </w:tcBorders>
            <w:shd w:val="clear" w:color="auto" w:fill="auto"/>
            <w:vAlign w:val="bottom"/>
            <w:hideMark/>
          </w:tcPr>
          <w:p w14:paraId="35E7E250" w14:textId="77777777" w:rsidR="0021298F" w:rsidRPr="009B5C8A" w:rsidRDefault="0021298F" w:rsidP="00760009">
            <w:pPr>
              <w:jc w:val="right"/>
              <w:rPr>
                <w:rFonts w:ascii="Arial" w:eastAsia="Times New Roman" w:hAnsi="Arial" w:cs="Arial"/>
                <w:b/>
                <w:bCs/>
                <w:color w:val="000000"/>
                <w:lang w:eastAsia="en-GB"/>
              </w:rPr>
            </w:pPr>
            <w:r w:rsidRPr="009B5C8A">
              <w:rPr>
                <w:rFonts w:ascii="Arial" w:eastAsia="Times New Roman" w:hAnsi="Arial" w:cs="Arial"/>
                <w:b/>
                <w:bCs/>
                <w:color w:val="000000"/>
                <w:lang w:eastAsia="en-GB"/>
              </w:rPr>
              <w:t>Beneficiary</w:t>
            </w:r>
          </w:p>
        </w:tc>
        <w:tc>
          <w:tcPr>
            <w:tcW w:w="724" w:type="pct"/>
            <w:vMerge w:val="restart"/>
            <w:tcBorders>
              <w:top w:val="nil"/>
              <w:left w:val="nil"/>
              <w:bottom w:val="nil"/>
              <w:right w:val="nil"/>
            </w:tcBorders>
            <w:shd w:val="clear" w:color="auto" w:fill="auto"/>
            <w:noWrap/>
            <w:vAlign w:val="bottom"/>
            <w:hideMark/>
          </w:tcPr>
          <w:p w14:paraId="1BE1F6D3" w14:textId="77777777" w:rsidR="0021298F" w:rsidRPr="009B5C8A" w:rsidRDefault="0021298F" w:rsidP="00760009">
            <w:pPr>
              <w:jc w:val="right"/>
              <w:rPr>
                <w:rFonts w:ascii="Arial" w:eastAsia="Times New Roman" w:hAnsi="Arial" w:cs="Arial"/>
                <w:b/>
                <w:bCs/>
                <w:color w:val="000000"/>
                <w:lang w:eastAsia="en-GB"/>
              </w:rPr>
            </w:pPr>
            <w:r w:rsidRPr="009B5C8A">
              <w:rPr>
                <w:rFonts w:ascii="Arial" w:eastAsia="Times New Roman" w:hAnsi="Arial" w:cs="Arial"/>
                <w:b/>
                <w:bCs/>
                <w:color w:val="000000"/>
                <w:lang w:eastAsia="en-GB"/>
              </w:rPr>
              <w:t>Nature</w:t>
            </w:r>
          </w:p>
        </w:tc>
        <w:tc>
          <w:tcPr>
            <w:tcW w:w="967" w:type="pct"/>
            <w:vMerge w:val="restart"/>
            <w:tcBorders>
              <w:top w:val="nil"/>
              <w:left w:val="nil"/>
              <w:bottom w:val="nil"/>
              <w:right w:val="nil"/>
            </w:tcBorders>
            <w:shd w:val="clear" w:color="auto" w:fill="auto"/>
            <w:vAlign w:val="bottom"/>
            <w:hideMark/>
          </w:tcPr>
          <w:p w14:paraId="46C6B55F" w14:textId="77777777" w:rsidR="0021298F" w:rsidRPr="009B5C8A" w:rsidRDefault="0021298F" w:rsidP="00760009">
            <w:pPr>
              <w:jc w:val="right"/>
              <w:rPr>
                <w:rFonts w:ascii="Arial" w:eastAsia="Times New Roman" w:hAnsi="Arial" w:cs="Arial"/>
                <w:b/>
                <w:bCs/>
                <w:color w:val="000000"/>
                <w:lang w:eastAsia="en-GB"/>
              </w:rPr>
            </w:pPr>
            <w:r w:rsidRPr="009B5C8A">
              <w:rPr>
                <w:rFonts w:ascii="Arial" w:eastAsia="Times New Roman" w:hAnsi="Arial" w:cs="Arial"/>
                <w:b/>
                <w:bCs/>
                <w:color w:val="000000"/>
                <w:lang w:eastAsia="en-GB"/>
              </w:rPr>
              <w:t>Purpose</w:t>
            </w:r>
          </w:p>
        </w:tc>
        <w:tc>
          <w:tcPr>
            <w:tcW w:w="702" w:type="pct"/>
            <w:vMerge w:val="restart"/>
            <w:tcBorders>
              <w:top w:val="nil"/>
              <w:left w:val="nil"/>
              <w:bottom w:val="nil"/>
              <w:right w:val="nil"/>
            </w:tcBorders>
            <w:shd w:val="clear" w:color="auto" w:fill="auto"/>
            <w:vAlign w:val="bottom"/>
            <w:hideMark/>
          </w:tcPr>
          <w:p w14:paraId="5028EA9B" w14:textId="77777777" w:rsidR="0021298F" w:rsidRPr="009B5C8A" w:rsidRDefault="0021298F" w:rsidP="00760009">
            <w:pPr>
              <w:jc w:val="center"/>
              <w:rPr>
                <w:rFonts w:ascii="Arial" w:eastAsia="Times New Roman" w:hAnsi="Arial" w:cs="Arial"/>
                <w:b/>
                <w:bCs/>
                <w:color w:val="000000"/>
                <w:lang w:eastAsia="en-GB"/>
              </w:rPr>
            </w:pPr>
            <w:r w:rsidRPr="009B5C8A">
              <w:rPr>
                <w:rFonts w:ascii="Arial" w:eastAsia="Times New Roman" w:hAnsi="Arial" w:cs="Arial"/>
                <w:b/>
                <w:bCs/>
                <w:color w:val="000000"/>
                <w:lang w:eastAsia="en-GB"/>
              </w:rPr>
              <w:t>Amount</w:t>
            </w:r>
          </w:p>
        </w:tc>
      </w:tr>
      <w:tr w:rsidR="0021298F" w:rsidRPr="00A17F15" w14:paraId="070095D0" w14:textId="77777777" w:rsidTr="00760009">
        <w:trPr>
          <w:trHeight w:val="509"/>
        </w:trPr>
        <w:tc>
          <w:tcPr>
            <w:tcW w:w="950" w:type="pct"/>
            <w:vMerge/>
            <w:tcBorders>
              <w:top w:val="nil"/>
              <w:left w:val="nil"/>
              <w:bottom w:val="nil"/>
              <w:right w:val="nil"/>
            </w:tcBorders>
            <w:vAlign w:val="bottom"/>
            <w:hideMark/>
          </w:tcPr>
          <w:p w14:paraId="0FB96271" w14:textId="77777777" w:rsidR="0021298F" w:rsidRPr="009B5C8A" w:rsidRDefault="0021298F" w:rsidP="00760009">
            <w:pPr>
              <w:jc w:val="both"/>
              <w:rPr>
                <w:rFonts w:ascii="Arial" w:eastAsia="Times New Roman" w:hAnsi="Arial" w:cs="Arial"/>
                <w:b/>
                <w:bCs/>
                <w:color w:val="000000"/>
                <w:lang w:eastAsia="en-GB"/>
              </w:rPr>
            </w:pPr>
          </w:p>
        </w:tc>
        <w:tc>
          <w:tcPr>
            <w:tcW w:w="819" w:type="pct"/>
            <w:vMerge/>
            <w:tcBorders>
              <w:top w:val="nil"/>
              <w:left w:val="nil"/>
              <w:bottom w:val="nil"/>
              <w:right w:val="nil"/>
            </w:tcBorders>
            <w:vAlign w:val="center"/>
            <w:hideMark/>
          </w:tcPr>
          <w:p w14:paraId="56024478" w14:textId="77777777" w:rsidR="0021298F" w:rsidRPr="009B5C8A" w:rsidRDefault="0021298F" w:rsidP="00760009">
            <w:pPr>
              <w:jc w:val="right"/>
              <w:rPr>
                <w:rFonts w:ascii="Arial" w:eastAsia="Times New Roman" w:hAnsi="Arial" w:cs="Arial"/>
                <w:b/>
                <w:bCs/>
                <w:color w:val="000000"/>
                <w:lang w:eastAsia="en-GB"/>
              </w:rPr>
            </w:pPr>
          </w:p>
        </w:tc>
        <w:tc>
          <w:tcPr>
            <w:tcW w:w="838" w:type="pct"/>
            <w:vMerge/>
            <w:tcBorders>
              <w:top w:val="nil"/>
              <w:left w:val="nil"/>
              <w:bottom w:val="nil"/>
              <w:right w:val="nil"/>
            </w:tcBorders>
            <w:vAlign w:val="center"/>
            <w:hideMark/>
          </w:tcPr>
          <w:p w14:paraId="30098B02" w14:textId="77777777" w:rsidR="0021298F" w:rsidRPr="009B5C8A" w:rsidRDefault="0021298F" w:rsidP="00760009">
            <w:pPr>
              <w:jc w:val="right"/>
              <w:rPr>
                <w:rFonts w:ascii="Arial" w:eastAsia="Times New Roman" w:hAnsi="Arial" w:cs="Arial"/>
                <w:b/>
                <w:bCs/>
                <w:color w:val="000000"/>
                <w:lang w:eastAsia="en-GB"/>
              </w:rPr>
            </w:pPr>
          </w:p>
        </w:tc>
        <w:tc>
          <w:tcPr>
            <w:tcW w:w="724" w:type="pct"/>
            <w:vMerge/>
            <w:tcBorders>
              <w:top w:val="nil"/>
              <w:left w:val="nil"/>
              <w:bottom w:val="nil"/>
              <w:right w:val="nil"/>
            </w:tcBorders>
            <w:vAlign w:val="center"/>
            <w:hideMark/>
          </w:tcPr>
          <w:p w14:paraId="79269647" w14:textId="77777777" w:rsidR="0021298F" w:rsidRPr="009B5C8A" w:rsidRDefault="0021298F" w:rsidP="00760009">
            <w:pPr>
              <w:jc w:val="right"/>
              <w:rPr>
                <w:rFonts w:ascii="Arial" w:eastAsia="Times New Roman" w:hAnsi="Arial" w:cs="Arial"/>
                <w:b/>
                <w:bCs/>
                <w:color w:val="000000"/>
                <w:lang w:eastAsia="en-GB"/>
              </w:rPr>
            </w:pPr>
          </w:p>
        </w:tc>
        <w:tc>
          <w:tcPr>
            <w:tcW w:w="967" w:type="pct"/>
            <w:vMerge/>
            <w:tcBorders>
              <w:top w:val="nil"/>
              <w:left w:val="nil"/>
              <w:bottom w:val="nil"/>
              <w:right w:val="nil"/>
            </w:tcBorders>
            <w:vAlign w:val="center"/>
            <w:hideMark/>
          </w:tcPr>
          <w:p w14:paraId="586017BB" w14:textId="77777777" w:rsidR="0021298F" w:rsidRPr="009B5C8A" w:rsidRDefault="0021298F" w:rsidP="00760009">
            <w:pPr>
              <w:jc w:val="right"/>
              <w:rPr>
                <w:rFonts w:ascii="Arial" w:eastAsia="Times New Roman" w:hAnsi="Arial" w:cs="Arial"/>
                <w:b/>
                <w:bCs/>
                <w:color w:val="000000"/>
                <w:lang w:eastAsia="en-GB"/>
              </w:rPr>
            </w:pPr>
          </w:p>
        </w:tc>
        <w:tc>
          <w:tcPr>
            <w:tcW w:w="702" w:type="pct"/>
            <w:vMerge/>
            <w:tcBorders>
              <w:top w:val="nil"/>
              <w:left w:val="nil"/>
              <w:bottom w:val="nil"/>
              <w:right w:val="nil"/>
            </w:tcBorders>
            <w:vAlign w:val="center"/>
            <w:hideMark/>
          </w:tcPr>
          <w:p w14:paraId="797B372C" w14:textId="77777777" w:rsidR="0021298F" w:rsidRPr="009B5C8A" w:rsidRDefault="0021298F" w:rsidP="00760009">
            <w:pPr>
              <w:jc w:val="right"/>
              <w:rPr>
                <w:rFonts w:ascii="Arial" w:eastAsia="Times New Roman" w:hAnsi="Arial" w:cs="Arial"/>
                <w:b/>
                <w:bCs/>
                <w:color w:val="000000"/>
                <w:lang w:eastAsia="en-GB"/>
              </w:rPr>
            </w:pPr>
          </w:p>
        </w:tc>
      </w:tr>
      <w:tr w:rsidR="0021298F" w:rsidRPr="00A17F15" w14:paraId="1BB914E9" w14:textId="77777777" w:rsidTr="00760009">
        <w:trPr>
          <w:trHeight w:val="255"/>
        </w:trPr>
        <w:tc>
          <w:tcPr>
            <w:tcW w:w="950" w:type="pct"/>
            <w:tcBorders>
              <w:top w:val="nil"/>
              <w:left w:val="nil"/>
              <w:bottom w:val="single" w:sz="4" w:space="0" w:color="auto"/>
              <w:right w:val="nil"/>
            </w:tcBorders>
            <w:shd w:val="clear" w:color="auto" w:fill="auto"/>
            <w:noWrap/>
            <w:vAlign w:val="bottom"/>
            <w:hideMark/>
          </w:tcPr>
          <w:p w14:paraId="3C8005BC" w14:textId="77777777" w:rsidR="0021298F" w:rsidRPr="009B5C8A" w:rsidRDefault="0021298F" w:rsidP="00760009">
            <w:pPr>
              <w:jc w:val="both"/>
              <w:rPr>
                <w:rFonts w:ascii="Arial" w:eastAsia="Times New Roman" w:hAnsi="Arial" w:cs="Arial"/>
                <w:b/>
                <w:bCs/>
                <w:color w:val="000000"/>
                <w:lang w:eastAsia="en-GB"/>
              </w:rPr>
            </w:pPr>
            <w:r w:rsidRPr="009B5C8A">
              <w:rPr>
                <w:rFonts w:ascii="Arial" w:eastAsia="Times New Roman" w:hAnsi="Arial" w:cs="Arial"/>
                <w:b/>
                <w:bCs/>
                <w:color w:val="000000"/>
                <w:lang w:eastAsia="en-GB"/>
              </w:rPr>
              <w:t> </w:t>
            </w:r>
          </w:p>
        </w:tc>
        <w:tc>
          <w:tcPr>
            <w:tcW w:w="819" w:type="pct"/>
            <w:tcBorders>
              <w:top w:val="nil"/>
              <w:left w:val="nil"/>
              <w:bottom w:val="single" w:sz="4" w:space="0" w:color="auto"/>
              <w:right w:val="nil"/>
            </w:tcBorders>
            <w:shd w:val="clear" w:color="auto" w:fill="auto"/>
            <w:noWrap/>
            <w:vAlign w:val="center"/>
            <w:hideMark/>
          </w:tcPr>
          <w:p w14:paraId="1668C77B" w14:textId="77777777" w:rsidR="0021298F" w:rsidRPr="009B5C8A" w:rsidRDefault="0021298F" w:rsidP="00760009">
            <w:pPr>
              <w:jc w:val="right"/>
              <w:rPr>
                <w:rFonts w:ascii="Arial" w:eastAsia="Times New Roman" w:hAnsi="Arial" w:cs="Arial"/>
                <w:b/>
                <w:bCs/>
                <w:color w:val="000000"/>
                <w:lang w:eastAsia="en-GB"/>
              </w:rPr>
            </w:pPr>
            <w:r w:rsidRPr="009B5C8A">
              <w:rPr>
                <w:rFonts w:ascii="Arial" w:eastAsia="Times New Roman" w:hAnsi="Arial" w:cs="Arial"/>
                <w:b/>
                <w:bCs/>
                <w:color w:val="000000"/>
                <w:lang w:eastAsia="en-GB"/>
              </w:rPr>
              <w:t> </w:t>
            </w:r>
          </w:p>
        </w:tc>
        <w:tc>
          <w:tcPr>
            <w:tcW w:w="838" w:type="pct"/>
            <w:tcBorders>
              <w:top w:val="nil"/>
              <w:left w:val="nil"/>
              <w:bottom w:val="single" w:sz="4" w:space="0" w:color="auto"/>
              <w:right w:val="nil"/>
            </w:tcBorders>
            <w:shd w:val="clear" w:color="auto" w:fill="auto"/>
            <w:noWrap/>
            <w:vAlign w:val="center"/>
            <w:hideMark/>
          </w:tcPr>
          <w:p w14:paraId="4CB9666A" w14:textId="77777777" w:rsidR="0021298F" w:rsidRPr="009B5C8A" w:rsidRDefault="0021298F" w:rsidP="00760009">
            <w:pPr>
              <w:jc w:val="right"/>
              <w:rPr>
                <w:rFonts w:ascii="Arial" w:eastAsia="Times New Roman" w:hAnsi="Arial" w:cs="Arial"/>
                <w:b/>
                <w:bCs/>
                <w:color w:val="000000"/>
                <w:lang w:eastAsia="en-GB"/>
              </w:rPr>
            </w:pPr>
            <w:r w:rsidRPr="009B5C8A">
              <w:rPr>
                <w:rFonts w:ascii="Arial" w:eastAsia="Times New Roman" w:hAnsi="Arial" w:cs="Arial"/>
                <w:b/>
                <w:bCs/>
                <w:color w:val="000000"/>
                <w:lang w:eastAsia="en-GB"/>
              </w:rPr>
              <w:t> </w:t>
            </w:r>
          </w:p>
        </w:tc>
        <w:tc>
          <w:tcPr>
            <w:tcW w:w="724" w:type="pct"/>
            <w:tcBorders>
              <w:top w:val="nil"/>
              <w:left w:val="nil"/>
              <w:bottom w:val="single" w:sz="4" w:space="0" w:color="auto"/>
              <w:right w:val="nil"/>
            </w:tcBorders>
            <w:shd w:val="clear" w:color="auto" w:fill="auto"/>
            <w:noWrap/>
            <w:vAlign w:val="center"/>
            <w:hideMark/>
          </w:tcPr>
          <w:p w14:paraId="7F9ADB34" w14:textId="77777777" w:rsidR="0021298F" w:rsidRPr="009B5C8A" w:rsidRDefault="0021298F" w:rsidP="00760009">
            <w:pPr>
              <w:jc w:val="right"/>
              <w:rPr>
                <w:rFonts w:ascii="Arial" w:eastAsia="Times New Roman" w:hAnsi="Arial" w:cs="Arial"/>
                <w:b/>
                <w:bCs/>
                <w:color w:val="000000"/>
                <w:lang w:eastAsia="en-GB"/>
              </w:rPr>
            </w:pPr>
            <w:r w:rsidRPr="009B5C8A">
              <w:rPr>
                <w:rFonts w:ascii="Arial" w:eastAsia="Times New Roman" w:hAnsi="Arial" w:cs="Arial"/>
                <w:b/>
                <w:bCs/>
                <w:color w:val="000000"/>
                <w:lang w:eastAsia="en-GB"/>
              </w:rPr>
              <w:t> </w:t>
            </w:r>
          </w:p>
        </w:tc>
        <w:tc>
          <w:tcPr>
            <w:tcW w:w="967" w:type="pct"/>
            <w:tcBorders>
              <w:top w:val="nil"/>
              <w:left w:val="nil"/>
              <w:bottom w:val="single" w:sz="4" w:space="0" w:color="auto"/>
              <w:right w:val="nil"/>
            </w:tcBorders>
            <w:shd w:val="clear" w:color="auto" w:fill="auto"/>
            <w:noWrap/>
            <w:vAlign w:val="center"/>
            <w:hideMark/>
          </w:tcPr>
          <w:p w14:paraId="72D84CE7" w14:textId="77777777" w:rsidR="0021298F" w:rsidRPr="009B5C8A" w:rsidRDefault="0021298F" w:rsidP="00760009">
            <w:pPr>
              <w:jc w:val="right"/>
              <w:rPr>
                <w:rFonts w:ascii="Arial" w:eastAsia="Times New Roman" w:hAnsi="Arial" w:cs="Arial"/>
                <w:b/>
                <w:bCs/>
                <w:color w:val="000000"/>
                <w:lang w:eastAsia="en-GB"/>
              </w:rPr>
            </w:pPr>
            <w:r w:rsidRPr="009B5C8A">
              <w:rPr>
                <w:rFonts w:ascii="Arial" w:eastAsia="Times New Roman" w:hAnsi="Arial" w:cs="Arial"/>
                <w:b/>
                <w:bCs/>
                <w:color w:val="000000"/>
                <w:lang w:eastAsia="en-GB"/>
              </w:rPr>
              <w:t> </w:t>
            </w:r>
          </w:p>
        </w:tc>
        <w:tc>
          <w:tcPr>
            <w:tcW w:w="702" w:type="pct"/>
            <w:tcBorders>
              <w:top w:val="nil"/>
              <w:left w:val="nil"/>
              <w:bottom w:val="single" w:sz="4" w:space="0" w:color="auto"/>
              <w:right w:val="nil"/>
            </w:tcBorders>
            <w:shd w:val="clear" w:color="auto" w:fill="auto"/>
            <w:noWrap/>
            <w:vAlign w:val="center"/>
            <w:hideMark/>
          </w:tcPr>
          <w:p w14:paraId="6F0B3339" w14:textId="77777777" w:rsidR="0021298F" w:rsidRPr="009B5C8A" w:rsidRDefault="0021298F" w:rsidP="00760009">
            <w:pPr>
              <w:jc w:val="right"/>
              <w:rPr>
                <w:rFonts w:ascii="Arial" w:eastAsia="Times New Roman" w:hAnsi="Arial" w:cs="Arial"/>
                <w:b/>
                <w:bCs/>
                <w:lang w:eastAsia="en-GB"/>
              </w:rPr>
            </w:pPr>
            <w:r w:rsidRPr="009B5C8A">
              <w:rPr>
                <w:rFonts w:ascii="Arial" w:eastAsia="Times New Roman" w:hAnsi="Arial" w:cs="Arial"/>
                <w:b/>
                <w:bCs/>
                <w:lang w:eastAsia="en-GB"/>
              </w:rPr>
              <w:t>€’000</w:t>
            </w:r>
          </w:p>
        </w:tc>
      </w:tr>
      <w:tr w:rsidR="0021298F" w:rsidRPr="00A17F15" w14:paraId="37AD5199" w14:textId="77777777" w:rsidTr="00760009">
        <w:trPr>
          <w:trHeight w:val="255"/>
        </w:trPr>
        <w:tc>
          <w:tcPr>
            <w:tcW w:w="950" w:type="pct"/>
            <w:tcBorders>
              <w:left w:val="nil"/>
              <w:bottom w:val="single" w:sz="4" w:space="0" w:color="auto"/>
              <w:right w:val="nil"/>
            </w:tcBorders>
            <w:shd w:val="clear" w:color="000000" w:fill="FFFFFF"/>
            <w:noWrap/>
            <w:vAlign w:val="center"/>
            <w:hideMark/>
          </w:tcPr>
          <w:p w14:paraId="2663E438" w14:textId="77777777" w:rsidR="0021298F" w:rsidRPr="001E34C8" w:rsidRDefault="0021298F" w:rsidP="00760009">
            <w:pPr>
              <w:jc w:val="both"/>
              <w:rPr>
                <w:rFonts w:ascii="Arial" w:eastAsia="Times New Roman" w:hAnsi="Arial" w:cs="Arial"/>
                <w:color w:val="000000"/>
                <w:sz w:val="20"/>
                <w:szCs w:val="20"/>
                <w:lang w:eastAsia="en-GB"/>
              </w:rPr>
            </w:pPr>
            <w:r w:rsidRPr="001E34C8">
              <w:rPr>
                <w:rFonts w:ascii="Arial" w:eastAsia="Times New Roman" w:hAnsi="Arial" w:cs="Arial"/>
                <w:color w:val="000000"/>
                <w:sz w:val="20"/>
                <w:szCs w:val="20"/>
                <w:lang w:eastAsia="en-GB"/>
              </w:rPr>
              <w:t>The Company</w:t>
            </w:r>
          </w:p>
        </w:tc>
        <w:tc>
          <w:tcPr>
            <w:tcW w:w="819" w:type="pct"/>
            <w:tcBorders>
              <w:left w:val="nil"/>
              <w:bottom w:val="single" w:sz="4" w:space="0" w:color="auto"/>
              <w:right w:val="nil"/>
            </w:tcBorders>
            <w:shd w:val="clear" w:color="000000" w:fill="EDFFB7"/>
            <w:noWrap/>
            <w:vAlign w:val="center"/>
          </w:tcPr>
          <w:p w14:paraId="61370D50" w14:textId="77777777" w:rsidR="0021298F" w:rsidRPr="001E34C8" w:rsidRDefault="0021298F" w:rsidP="00760009">
            <w:pPr>
              <w:ind w:left="457" w:hanging="457"/>
              <w:jc w:val="right"/>
              <w:rPr>
                <w:rFonts w:ascii="Arial" w:eastAsia="Times New Roman" w:hAnsi="Arial" w:cs="Arial"/>
                <w:color w:val="000000"/>
                <w:lang w:eastAsia="en-GB"/>
              </w:rPr>
            </w:pPr>
            <w:r w:rsidRPr="001E34C8">
              <w:rPr>
                <w:rFonts w:ascii="Arial" w:eastAsia="Times New Roman" w:hAnsi="Arial" w:cs="Arial"/>
                <w:color w:val="000000"/>
                <w:lang w:eastAsia="en-GB"/>
              </w:rPr>
              <w:t>Killhills</w:t>
            </w:r>
          </w:p>
        </w:tc>
        <w:tc>
          <w:tcPr>
            <w:tcW w:w="838" w:type="pct"/>
            <w:tcBorders>
              <w:left w:val="nil"/>
              <w:bottom w:val="single" w:sz="4" w:space="0" w:color="auto"/>
              <w:right w:val="nil"/>
            </w:tcBorders>
            <w:shd w:val="clear" w:color="000000" w:fill="EDFFB7"/>
            <w:noWrap/>
            <w:vAlign w:val="center"/>
          </w:tcPr>
          <w:p w14:paraId="18068F28" w14:textId="77777777" w:rsidR="0021298F" w:rsidRPr="001E34C8" w:rsidRDefault="0021298F" w:rsidP="00760009">
            <w:pPr>
              <w:jc w:val="right"/>
              <w:rPr>
                <w:rFonts w:ascii="Arial" w:eastAsia="Times New Roman" w:hAnsi="Arial" w:cs="Arial"/>
                <w:color w:val="000000"/>
                <w:lang w:eastAsia="en-GB"/>
              </w:rPr>
            </w:pPr>
            <w:r w:rsidRPr="001E34C8">
              <w:rPr>
                <w:rFonts w:ascii="Arial" w:eastAsia="Times New Roman" w:hAnsi="Arial" w:cs="Arial"/>
                <w:color w:val="000000"/>
                <w:lang w:eastAsia="en-GB"/>
              </w:rPr>
              <w:t xml:space="preserve"> AIB</w:t>
            </w:r>
          </w:p>
        </w:tc>
        <w:tc>
          <w:tcPr>
            <w:tcW w:w="724" w:type="pct"/>
            <w:tcBorders>
              <w:left w:val="nil"/>
              <w:bottom w:val="single" w:sz="4" w:space="0" w:color="auto"/>
              <w:right w:val="nil"/>
            </w:tcBorders>
            <w:shd w:val="clear" w:color="000000" w:fill="EDFFB7"/>
            <w:noWrap/>
            <w:vAlign w:val="center"/>
          </w:tcPr>
          <w:p w14:paraId="4EAEA3E2" w14:textId="77777777" w:rsidR="0021298F" w:rsidRPr="001E34C8" w:rsidRDefault="0021298F" w:rsidP="00760009">
            <w:pPr>
              <w:jc w:val="right"/>
              <w:rPr>
                <w:rFonts w:ascii="Arial" w:eastAsia="Times New Roman" w:hAnsi="Arial" w:cs="Arial"/>
                <w:color w:val="000000"/>
                <w:lang w:eastAsia="en-GB"/>
              </w:rPr>
            </w:pPr>
            <w:r w:rsidRPr="001E34C8">
              <w:rPr>
                <w:rFonts w:ascii="Arial" w:eastAsia="Times New Roman" w:hAnsi="Arial" w:cs="Arial"/>
                <w:color w:val="000000"/>
                <w:lang w:eastAsia="en-GB"/>
              </w:rPr>
              <w:t>Cash</w:t>
            </w:r>
          </w:p>
        </w:tc>
        <w:tc>
          <w:tcPr>
            <w:tcW w:w="967" w:type="pct"/>
            <w:tcBorders>
              <w:left w:val="nil"/>
              <w:bottom w:val="single" w:sz="4" w:space="0" w:color="auto"/>
              <w:right w:val="nil"/>
            </w:tcBorders>
            <w:shd w:val="clear" w:color="000000" w:fill="EDFFB7"/>
            <w:vAlign w:val="center"/>
          </w:tcPr>
          <w:p w14:paraId="1CD1F157" w14:textId="77777777" w:rsidR="0021298F" w:rsidRPr="001E34C8" w:rsidRDefault="0021298F" w:rsidP="00760009">
            <w:pPr>
              <w:jc w:val="right"/>
              <w:rPr>
                <w:rFonts w:ascii="Arial" w:eastAsia="Times New Roman" w:hAnsi="Arial" w:cs="Arial"/>
                <w:color w:val="000000"/>
                <w:lang w:eastAsia="en-GB"/>
              </w:rPr>
            </w:pPr>
            <w:r w:rsidRPr="001E34C8">
              <w:rPr>
                <w:rFonts w:ascii="Arial" w:eastAsia="Times New Roman" w:hAnsi="Arial" w:cs="Arial"/>
                <w:color w:val="000000"/>
                <w:lang w:eastAsia="en-GB"/>
              </w:rPr>
              <w:t>Planning</w:t>
            </w:r>
          </w:p>
        </w:tc>
        <w:tc>
          <w:tcPr>
            <w:tcW w:w="702" w:type="pct"/>
            <w:tcBorders>
              <w:left w:val="nil"/>
              <w:bottom w:val="single" w:sz="4" w:space="0" w:color="auto"/>
              <w:right w:val="nil"/>
            </w:tcBorders>
            <w:shd w:val="clear" w:color="000000" w:fill="EDFFB7"/>
            <w:noWrap/>
            <w:vAlign w:val="center"/>
          </w:tcPr>
          <w:p w14:paraId="3D246116" w14:textId="77777777" w:rsidR="0021298F" w:rsidRPr="001E34C8" w:rsidRDefault="0021298F" w:rsidP="00760009">
            <w:pPr>
              <w:jc w:val="right"/>
              <w:rPr>
                <w:rFonts w:ascii="Arial" w:eastAsia="Times New Roman" w:hAnsi="Arial" w:cs="Arial"/>
                <w:color w:val="000000"/>
                <w:lang w:eastAsia="en-GB"/>
              </w:rPr>
            </w:pPr>
            <w:r w:rsidRPr="001E34C8">
              <w:rPr>
                <w:rFonts w:ascii="Arial" w:eastAsia="Times New Roman" w:hAnsi="Arial" w:cs="Arial"/>
                <w:color w:val="000000"/>
                <w:lang w:eastAsia="en-GB"/>
              </w:rPr>
              <w:t>100</w:t>
            </w:r>
          </w:p>
        </w:tc>
      </w:tr>
      <w:tr w:rsidR="0021298F" w:rsidRPr="00A17F15" w14:paraId="0413A7A5" w14:textId="77777777" w:rsidTr="00760009">
        <w:trPr>
          <w:trHeight w:val="255"/>
        </w:trPr>
        <w:tc>
          <w:tcPr>
            <w:tcW w:w="950" w:type="pct"/>
            <w:tcBorders>
              <w:top w:val="nil"/>
              <w:left w:val="nil"/>
              <w:bottom w:val="single" w:sz="8" w:space="0" w:color="auto"/>
              <w:right w:val="nil"/>
            </w:tcBorders>
            <w:shd w:val="clear" w:color="000000" w:fill="FFFFFF"/>
            <w:noWrap/>
            <w:vAlign w:val="center"/>
            <w:hideMark/>
          </w:tcPr>
          <w:p w14:paraId="0F2034CD" w14:textId="77777777" w:rsidR="0021298F" w:rsidRPr="001E34C8" w:rsidRDefault="0021298F" w:rsidP="00760009">
            <w:pPr>
              <w:jc w:val="both"/>
              <w:rPr>
                <w:rFonts w:ascii="Arial" w:eastAsia="Times New Roman" w:hAnsi="Arial" w:cs="Arial"/>
                <w:color w:val="000000"/>
                <w:sz w:val="20"/>
                <w:szCs w:val="20"/>
                <w:lang w:eastAsia="en-GB"/>
              </w:rPr>
            </w:pPr>
            <w:r w:rsidRPr="001E34C8">
              <w:rPr>
                <w:rFonts w:ascii="Arial" w:eastAsia="Times New Roman" w:hAnsi="Arial" w:cs="Arial"/>
                <w:color w:val="000000"/>
                <w:sz w:val="20"/>
                <w:szCs w:val="20"/>
                <w:lang w:eastAsia="en-GB"/>
              </w:rPr>
              <w:t> </w:t>
            </w:r>
          </w:p>
        </w:tc>
        <w:tc>
          <w:tcPr>
            <w:tcW w:w="819" w:type="pct"/>
            <w:tcBorders>
              <w:top w:val="nil"/>
              <w:left w:val="nil"/>
              <w:bottom w:val="single" w:sz="8" w:space="0" w:color="auto"/>
              <w:right w:val="nil"/>
            </w:tcBorders>
            <w:shd w:val="clear" w:color="000000" w:fill="EDFFB7"/>
            <w:noWrap/>
            <w:vAlign w:val="center"/>
          </w:tcPr>
          <w:p w14:paraId="61964442" w14:textId="77777777" w:rsidR="0021298F" w:rsidRPr="001E34C8" w:rsidRDefault="0021298F" w:rsidP="00760009">
            <w:pPr>
              <w:jc w:val="right"/>
              <w:rPr>
                <w:rFonts w:ascii="Arial" w:eastAsia="Times New Roman" w:hAnsi="Arial" w:cs="Arial"/>
                <w:b/>
                <w:bCs/>
                <w:color w:val="000000"/>
                <w:sz w:val="20"/>
                <w:szCs w:val="20"/>
                <w:lang w:eastAsia="en-GB"/>
              </w:rPr>
            </w:pPr>
          </w:p>
        </w:tc>
        <w:tc>
          <w:tcPr>
            <w:tcW w:w="838" w:type="pct"/>
            <w:tcBorders>
              <w:top w:val="nil"/>
              <w:left w:val="nil"/>
              <w:bottom w:val="single" w:sz="8" w:space="0" w:color="auto"/>
              <w:right w:val="nil"/>
            </w:tcBorders>
            <w:shd w:val="clear" w:color="000000" w:fill="EDFFB7"/>
            <w:noWrap/>
            <w:vAlign w:val="center"/>
          </w:tcPr>
          <w:p w14:paraId="5CC5831F" w14:textId="77777777" w:rsidR="0021298F" w:rsidRPr="001E34C8" w:rsidRDefault="0021298F" w:rsidP="00760009">
            <w:pPr>
              <w:jc w:val="right"/>
              <w:rPr>
                <w:rFonts w:ascii="Arial" w:eastAsia="Times New Roman" w:hAnsi="Arial" w:cs="Arial"/>
                <w:b/>
                <w:bCs/>
                <w:color w:val="000000"/>
                <w:sz w:val="20"/>
                <w:szCs w:val="20"/>
                <w:lang w:eastAsia="en-GB"/>
              </w:rPr>
            </w:pPr>
          </w:p>
        </w:tc>
        <w:tc>
          <w:tcPr>
            <w:tcW w:w="724" w:type="pct"/>
            <w:tcBorders>
              <w:top w:val="nil"/>
              <w:left w:val="nil"/>
              <w:bottom w:val="single" w:sz="8" w:space="0" w:color="auto"/>
              <w:right w:val="nil"/>
            </w:tcBorders>
            <w:shd w:val="clear" w:color="000000" w:fill="EDFFB7"/>
            <w:noWrap/>
            <w:vAlign w:val="center"/>
          </w:tcPr>
          <w:p w14:paraId="204432BA" w14:textId="77777777" w:rsidR="0021298F" w:rsidRPr="001E34C8" w:rsidRDefault="0021298F" w:rsidP="00760009">
            <w:pPr>
              <w:jc w:val="right"/>
              <w:rPr>
                <w:rFonts w:ascii="Arial" w:eastAsia="Times New Roman" w:hAnsi="Arial" w:cs="Arial"/>
                <w:b/>
                <w:bCs/>
                <w:color w:val="000000"/>
                <w:sz w:val="20"/>
                <w:szCs w:val="20"/>
                <w:lang w:eastAsia="en-GB"/>
              </w:rPr>
            </w:pPr>
          </w:p>
        </w:tc>
        <w:tc>
          <w:tcPr>
            <w:tcW w:w="967" w:type="pct"/>
            <w:tcBorders>
              <w:top w:val="nil"/>
              <w:left w:val="nil"/>
              <w:bottom w:val="single" w:sz="8" w:space="0" w:color="auto"/>
              <w:right w:val="nil"/>
            </w:tcBorders>
            <w:shd w:val="clear" w:color="000000" w:fill="EDFFB7"/>
            <w:noWrap/>
            <w:vAlign w:val="center"/>
          </w:tcPr>
          <w:p w14:paraId="735AC3B6" w14:textId="77777777" w:rsidR="0021298F" w:rsidRPr="001E34C8" w:rsidRDefault="0021298F" w:rsidP="00760009">
            <w:pPr>
              <w:jc w:val="right"/>
              <w:rPr>
                <w:rFonts w:ascii="Arial" w:eastAsia="Times New Roman" w:hAnsi="Arial" w:cs="Arial"/>
                <w:b/>
                <w:bCs/>
                <w:color w:val="000000"/>
                <w:sz w:val="20"/>
                <w:szCs w:val="20"/>
                <w:lang w:eastAsia="en-GB"/>
              </w:rPr>
            </w:pPr>
          </w:p>
        </w:tc>
        <w:tc>
          <w:tcPr>
            <w:tcW w:w="702" w:type="pct"/>
            <w:tcBorders>
              <w:top w:val="nil"/>
              <w:left w:val="nil"/>
              <w:bottom w:val="single" w:sz="8" w:space="0" w:color="auto"/>
              <w:right w:val="nil"/>
            </w:tcBorders>
            <w:shd w:val="clear" w:color="000000" w:fill="EDFFB7"/>
            <w:noWrap/>
            <w:vAlign w:val="center"/>
          </w:tcPr>
          <w:p w14:paraId="7C131B85" w14:textId="77777777" w:rsidR="0021298F" w:rsidRPr="001E34C8" w:rsidRDefault="0021298F" w:rsidP="00760009">
            <w:pPr>
              <w:jc w:val="right"/>
              <w:rPr>
                <w:rFonts w:ascii="Arial" w:eastAsia="Times New Roman" w:hAnsi="Arial" w:cs="Arial"/>
                <w:b/>
                <w:bCs/>
                <w:color w:val="000000"/>
                <w:szCs w:val="20"/>
                <w:lang w:eastAsia="en-GB"/>
              </w:rPr>
            </w:pPr>
            <w:r w:rsidRPr="001E34C8">
              <w:rPr>
                <w:rFonts w:ascii="Arial" w:eastAsia="Times New Roman" w:hAnsi="Arial" w:cs="Arial"/>
                <w:b/>
                <w:bCs/>
                <w:color w:val="000000"/>
                <w:szCs w:val="20"/>
                <w:lang w:eastAsia="en-GB"/>
              </w:rPr>
              <w:t>100</w:t>
            </w:r>
          </w:p>
        </w:tc>
      </w:tr>
      <w:tr w:rsidR="0021298F" w:rsidRPr="00A17F15" w14:paraId="1AA09FD7" w14:textId="77777777" w:rsidTr="00760009">
        <w:trPr>
          <w:trHeight w:val="242"/>
        </w:trPr>
        <w:tc>
          <w:tcPr>
            <w:tcW w:w="950" w:type="pct"/>
            <w:tcBorders>
              <w:top w:val="nil"/>
              <w:left w:val="nil"/>
              <w:bottom w:val="nil"/>
              <w:right w:val="nil"/>
            </w:tcBorders>
            <w:shd w:val="clear" w:color="auto" w:fill="auto"/>
            <w:vAlign w:val="bottom"/>
          </w:tcPr>
          <w:p w14:paraId="01130ED5" w14:textId="77777777" w:rsidR="0021298F" w:rsidRDefault="0021298F" w:rsidP="00760009">
            <w:pPr>
              <w:rPr>
                <w:rFonts w:ascii="Arial" w:eastAsia="Times New Roman" w:hAnsi="Arial" w:cs="Arial"/>
                <w:b/>
                <w:bCs/>
                <w:color w:val="000000"/>
                <w:sz w:val="20"/>
                <w:szCs w:val="20"/>
                <w:lang w:eastAsia="en-GB"/>
              </w:rPr>
            </w:pPr>
          </w:p>
        </w:tc>
        <w:tc>
          <w:tcPr>
            <w:tcW w:w="819" w:type="pct"/>
            <w:tcBorders>
              <w:top w:val="nil"/>
              <w:left w:val="nil"/>
              <w:bottom w:val="nil"/>
              <w:right w:val="nil"/>
            </w:tcBorders>
            <w:shd w:val="clear" w:color="auto" w:fill="auto"/>
            <w:vAlign w:val="bottom"/>
          </w:tcPr>
          <w:p w14:paraId="532CA319" w14:textId="77777777" w:rsidR="0021298F" w:rsidRPr="00A17F15" w:rsidRDefault="0021298F" w:rsidP="00760009">
            <w:pPr>
              <w:jc w:val="right"/>
              <w:rPr>
                <w:rFonts w:ascii="Arial" w:eastAsia="Times New Roman" w:hAnsi="Arial" w:cs="Arial"/>
                <w:b/>
                <w:bCs/>
                <w:color w:val="000000"/>
                <w:sz w:val="20"/>
                <w:szCs w:val="20"/>
                <w:lang w:eastAsia="en-GB"/>
              </w:rPr>
            </w:pPr>
          </w:p>
        </w:tc>
        <w:tc>
          <w:tcPr>
            <w:tcW w:w="838" w:type="pct"/>
            <w:tcBorders>
              <w:top w:val="nil"/>
              <w:left w:val="nil"/>
              <w:bottom w:val="nil"/>
              <w:right w:val="nil"/>
            </w:tcBorders>
            <w:shd w:val="clear" w:color="auto" w:fill="auto"/>
            <w:vAlign w:val="bottom"/>
          </w:tcPr>
          <w:p w14:paraId="7279C5E1" w14:textId="77777777" w:rsidR="0021298F" w:rsidRPr="00A17F15" w:rsidRDefault="0021298F" w:rsidP="00760009">
            <w:pPr>
              <w:jc w:val="right"/>
              <w:rPr>
                <w:rFonts w:ascii="Arial" w:eastAsia="Times New Roman" w:hAnsi="Arial" w:cs="Arial"/>
                <w:b/>
                <w:bCs/>
                <w:color w:val="000000"/>
                <w:sz w:val="20"/>
                <w:szCs w:val="20"/>
                <w:lang w:eastAsia="en-GB"/>
              </w:rPr>
            </w:pPr>
          </w:p>
        </w:tc>
        <w:tc>
          <w:tcPr>
            <w:tcW w:w="724" w:type="pct"/>
            <w:tcBorders>
              <w:top w:val="nil"/>
              <w:left w:val="nil"/>
              <w:bottom w:val="nil"/>
              <w:right w:val="nil"/>
            </w:tcBorders>
            <w:shd w:val="clear" w:color="auto" w:fill="auto"/>
            <w:noWrap/>
            <w:vAlign w:val="bottom"/>
          </w:tcPr>
          <w:p w14:paraId="44A93F33" w14:textId="77777777" w:rsidR="0021298F" w:rsidRPr="00A17F15" w:rsidRDefault="0021298F" w:rsidP="00760009">
            <w:pPr>
              <w:jc w:val="right"/>
              <w:rPr>
                <w:rFonts w:ascii="Arial" w:eastAsia="Times New Roman" w:hAnsi="Arial" w:cs="Arial"/>
                <w:b/>
                <w:bCs/>
                <w:color w:val="000000"/>
                <w:sz w:val="20"/>
                <w:szCs w:val="20"/>
                <w:lang w:eastAsia="en-GB"/>
              </w:rPr>
            </w:pPr>
          </w:p>
        </w:tc>
        <w:tc>
          <w:tcPr>
            <w:tcW w:w="967" w:type="pct"/>
            <w:tcBorders>
              <w:top w:val="nil"/>
              <w:left w:val="nil"/>
              <w:bottom w:val="nil"/>
              <w:right w:val="nil"/>
            </w:tcBorders>
            <w:shd w:val="clear" w:color="auto" w:fill="auto"/>
            <w:vAlign w:val="bottom"/>
          </w:tcPr>
          <w:p w14:paraId="2BEA681D" w14:textId="77777777" w:rsidR="0021298F" w:rsidRPr="00A17F15" w:rsidRDefault="0021298F" w:rsidP="00760009">
            <w:pPr>
              <w:jc w:val="right"/>
              <w:rPr>
                <w:rFonts w:ascii="Arial" w:eastAsia="Times New Roman" w:hAnsi="Arial" w:cs="Arial"/>
                <w:b/>
                <w:bCs/>
                <w:color w:val="000000"/>
                <w:sz w:val="20"/>
                <w:szCs w:val="20"/>
                <w:lang w:eastAsia="en-GB"/>
              </w:rPr>
            </w:pPr>
          </w:p>
        </w:tc>
        <w:tc>
          <w:tcPr>
            <w:tcW w:w="702" w:type="pct"/>
            <w:tcBorders>
              <w:top w:val="nil"/>
              <w:left w:val="nil"/>
              <w:bottom w:val="nil"/>
              <w:right w:val="nil"/>
            </w:tcBorders>
            <w:shd w:val="clear" w:color="auto" w:fill="auto"/>
            <w:vAlign w:val="bottom"/>
          </w:tcPr>
          <w:p w14:paraId="5AA8D92E" w14:textId="77777777" w:rsidR="0021298F" w:rsidRPr="00A17F15" w:rsidRDefault="0021298F" w:rsidP="00760009">
            <w:pPr>
              <w:jc w:val="right"/>
              <w:rPr>
                <w:rFonts w:ascii="Arial" w:eastAsia="Times New Roman" w:hAnsi="Arial" w:cs="Arial"/>
                <w:b/>
                <w:bCs/>
                <w:color w:val="000000"/>
                <w:sz w:val="20"/>
                <w:szCs w:val="20"/>
                <w:lang w:eastAsia="en-GB"/>
              </w:rPr>
            </w:pPr>
          </w:p>
        </w:tc>
      </w:tr>
    </w:tbl>
    <w:p w14:paraId="1F20C4B0" w14:textId="77777777" w:rsidR="0021298F" w:rsidRDefault="0021298F" w:rsidP="0021298F">
      <w:pPr>
        <w:jc w:val="both"/>
        <w:rPr>
          <w:rFonts w:ascii="Arial" w:eastAsia="Times New Roman" w:hAnsi="Arial" w:cs="Arial"/>
          <w:lang w:eastAsia="en-GB"/>
        </w:rPr>
      </w:pPr>
      <w:r w:rsidRPr="00992D4D">
        <w:rPr>
          <w:rFonts w:ascii="Arial" w:eastAsia="Times New Roman" w:hAnsi="Arial" w:cs="Arial"/>
          <w:lang w:eastAsia="en-GB"/>
        </w:rPr>
        <w:t>The fair value of cash security deposits are as disclosed in the table above.</w:t>
      </w:r>
    </w:p>
    <w:p w14:paraId="472655A6" w14:textId="77777777" w:rsidR="0021298F" w:rsidRDefault="0021298F" w:rsidP="0021298F">
      <w:pPr>
        <w:pStyle w:val="Bullets"/>
        <w:numPr>
          <w:ilvl w:val="0"/>
          <w:numId w:val="0"/>
        </w:numPr>
        <w:jc w:val="both"/>
        <w:rPr>
          <w:rFonts w:cs="Arial"/>
          <w:b/>
        </w:rPr>
      </w:pPr>
    </w:p>
    <w:p w14:paraId="24B0A69C" w14:textId="77777777" w:rsidR="0021298F" w:rsidRDefault="0021298F" w:rsidP="0021298F">
      <w:pPr>
        <w:pStyle w:val="Heading2"/>
        <w:keepNext w:val="0"/>
        <w:keepLines w:val="0"/>
        <w:numPr>
          <w:ilvl w:val="0"/>
          <w:numId w:val="43"/>
        </w:numPr>
        <w:tabs>
          <w:tab w:val="left" w:pos="284"/>
          <w:tab w:val="left" w:pos="426"/>
        </w:tabs>
        <w:spacing w:before="0" w:line="240" w:lineRule="auto"/>
        <w:jc w:val="both"/>
        <w:rPr>
          <w:rFonts w:ascii="Arial" w:hAnsi="Arial" w:cs="Arial"/>
          <w:color w:val="auto"/>
          <w:sz w:val="24"/>
          <w:szCs w:val="22"/>
          <w:lang w:eastAsia="en-GB"/>
        </w:rPr>
      </w:pPr>
      <w:r w:rsidRPr="00834BCB">
        <w:rPr>
          <w:rFonts w:ascii="Arial" w:hAnsi="Arial" w:cs="Arial"/>
          <w:color w:val="auto"/>
          <w:sz w:val="24"/>
          <w:szCs w:val="22"/>
          <w:lang w:eastAsia="en-GB"/>
        </w:rPr>
        <w:t xml:space="preserve">Receivables </w:t>
      </w:r>
    </w:p>
    <w:tbl>
      <w:tblPr>
        <w:tblW w:w="9498" w:type="dxa"/>
        <w:tblLook w:val="04A0" w:firstRow="1" w:lastRow="0" w:firstColumn="1" w:lastColumn="0" w:noHBand="0" w:noVBand="1"/>
      </w:tblPr>
      <w:tblGrid>
        <w:gridCol w:w="4736"/>
        <w:gridCol w:w="283"/>
        <w:gridCol w:w="2354"/>
        <w:gridCol w:w="2125"/>
      </w:tblGrid>
      <w:tr w:rsidR="0021298F" w:rsidRPr="0079632A" w14:paraId="240EBEF2" w14:textId="77777777" w:rsidTr="00760009">
        <w:trPr>
          <w:trHeight w:val="300"/>
        </w:trPr>
        <w:tc>
          <w:tcPr>
            <w:tcW w:w="4736" w:type="dxa"/>
            <w:tcBorders>
              <w:top w:val="nil"/>
              <w:left w:val="nil"/>
              <w:bottom w:val="nil"/>
              <w:right w:val="nil"/>
            </w:tcBorders>
            <w:shd w:val="clear" w:color="000000" w:fill="FFFFFF"/>
            <w:noWrap/>
            <w:vAlign w:val="bottom"/>
            <w:hideMark/>
          </w:tcPr>
          <w:p w14:paraId="27F47854" w14:textId="77777777" w:rsidR="0021298F" w:rsidRPr="006F379C" w:rsidRDefault="0021298F" w:rsidP="00760009">
            <w:pPr>
              <w:rPr>
                <w:rFonts w:ascii="Calibri" w:eastAsia="Times New Roman" w:hAnsi="Calibri" w:cs="Calibri"/>
                <w:color w:val="000000"/>
                <w:lang w:eastAsia="en-GB"/>
              </w:rPr>
            </w:pPr>
            <w:r w:rsidRPr="006F379C">
              <w:rPr>
                <w:rFonts w:ascii="Calibri" w:eastAsia="Times New Roman" w:hAnsi="Calibri" w:cs="Calibri"/>
                <w:color w:val="000000"/>
                <w:lang w:eastAsia="en-GB"/>
              </w:rPr>
              <w:t> </w:t>
            </w:r>
          </w:p>
        </w:tc>
        <w:tc>
          <w:tcPr>
            <w:tcW w:w="278" w:type="dxa"/>
            <w:tcBorders>
              <w:top w:val="nil"/>
              <w:left w:val="nil"/>
              <w:bottom w:val="nil"/>
              <w:right w:val="nil"/>
            </w:tcBorders>
            <w:shd w:val="clear" w:color="000000" w:fill="FFFFFF"/>
            <w:noWrap/>
            <w:vAlign w:val="bottom"/>
            <w:hideMark/>
          </w:tcPr>
          <w:p w14:paraId="68B8F732" w14:textId="77777777" w:rsidR="0021298F" w:rsidRPr="0079632A" w:rsidRDefault="0021298F" w:rsidP="00760009">
            <w:pPr>
              <w:rPr>
                <w:rFonts w:ascii="Calibri" w:eastAsia="Times New Roman" w:hAnsi="Calibri" w:cs="Calibri"/>
                <w:color w:val="000000"/>
                <w:lang w:eastAsia="en-GB"/>
              </w:rPr>
            </w:pPr>
            <w:r w:rsidRPr="0079632A">
              <w:rPr>
                <w:rFonts w:ascii="Calibri" w:eastAsia="Times New Roman" w:hAnsi="Calibri" w:cs="Calibri"/>
                <w:color w:val="000000"/>
                <w:lang w:eastAsia="en-GB"/>
              </w:rPr>
              <w:t> </w:t>
            </w:r>
          </w:p>
        </w:tc>
        <w:tc>
          <w:tcPr>
            <w:tcW w:w="2357" w:type="dxa"/>
            <w:tcBorders>
              <w:top w:val="nil"/>
              <w:left w:val="nil"/>
              <w:bottom w:val="nil"/>
              <w:right w:val="nil"/>
            </w:tcBorders>
            <w:shd w:val="clear" w:color="000000" w:fill="FFFFFF"/>
            <w:vAlign w:val="center"/>
            <w:hideMark/>
          </w:tcPr>
          <w:p w14:paraId="1AF01A59" w14:textId="77777777" w:rsidR="0021298F" w:rsidRPr="0079632A" w:rsidRDefault="0021298F" w:rsidP="00760009">
            <w:pPr>
              <w:jc w:val="right"/>
              <w:rPr>
                <w:rFonts w:ascii="Arial" w:eastAsia="Times New Roman" w:hAnsi="Arial" w:cs="Arial"/>
                <w:b/>
                <w:bCs/>
                <w:color w:val="000000"/>
                <w:lang w:eastAsia="en-GB"/>
              </w:rPr>
            </w:pPr>
            <w:r w:rsidRPr="0079632A">
              <w:rPr>
                <w:rFonts w:ascii="Arial" w:eastAsia="Times New Roman" w:hAnsi="Arial" w:cs="Arial"/>
                <w:b/>
                <w:bCs/>
                <w:color w:val="000000"/>
                <w:lang w:eastAsia="en-GB"/>
              </w:rPr>
              <w:t>31 December 2020</w:t>
            </w:r>
          </w:p>
        </w:tc>
        <w:tc>
          <w:tcPr>
            <w:tcW w:w="2127" w:type="dxa"/>
            <w:tcBorders>
              <w:top w:val="nil"/>
              <w:left w:val="nil"/>
              <w:bottom w:val="nil"/>
              <w:right w:val="nil"/>
            </w:tcBorders>
            <w:shd w:val="clear" w:color="000000" w:fill="FFFFFF"/>
            <w:vAlign w:val="center"/>
            <w:hideMark/>
          </w:tcPr>
          <w:p w14:paraId="082F925D" w14:textId="77777777" w:rsidR="0021298F" w:rsidRPr="0079632A" w:rsidRDefault="0021298F" w:rsidP="00760009">
            <w:pPr>
              <w:ind w:left="-109"/>
              <w:jc w:val="right"/>
              <w:rPr>
                <w:rFonts w:ascii="Arial" w:eastAsia="Times New Roman" w:hAnsi="Arial" w:cs="Arial"/>
                <w:b/>
                <w:bCs/>
                <w:color w:val="000000"/>
                <w:lang w:eastAsia="en-GB"/>
              </w:rPr>
            </w:pPr>
            <w:r w:rsidRPr="0079632A">
              <w:rPr>
                <w:rFonts w:ascii="Arial" w:eastAsia="Times New Roman" w:hAnsi="Arial" w:cs="Arial"/>
                <w:b/>
                <w:bCs/>
                <w:color w:val="000000"/>
                <w:lang w:eastAsia="en-GB"/>
              </w:rPr>
              <w:t>31 December 2019</w:t>
            </w:r>
          </w:p>
        </w:tc>
      </w:tr>
      <w:tr w:rsidR="0021298F" w:rsidRPr="0079632A" w14:paraId="0AFF3E08" w14:textId="77777777" w:rsidTr="00760009">
        <w:trPr>
          <w:trHeight w:val="300"/>
        </w:trPr>
        <w:tc>
          <w:tcPr>
            <w:tcW w:w="4736" w:type="dxa"/>
            <w:tcBorders>
              <w:top w:val="nil"/>
              <w:left w:val="nil"/>
              <w:bottom w:val="single" w:sz="4" w:space="0" w:color="auto"/>
              <w:right w:val="nil"/>
            </w:tcBorders>
            <w:shd w:val="clear" w:color="000000" w:fill="FFFFFF"/>
            <w:vAlign w:val="center"/>
            <w:hideMark/>
          </w:tcPr>
          <w:p w14:paraId="64C0167D" w14:textId="77777777" w:rsidR="0021298F" w:rsidRPr="0079632A" w:rsidRDefault="0021298F" w:rsidP="00760009">
            <w:pPr>
              <w:jc w:val="both"/>
              <w:rPr>
                <w:rFonts w:ascii="Arial" w:eastAsia="Times New Roman" w:hAnsi="Arial" w:cs="Arial"/>
                <w:b/>
                <w:bCs/>
                <w:color w:val="000000"/>
                <w:lang w:eastAsia="en-GB"/>
              </w:rPr>
            </w:pPr>
            <w:r w:rsidRPr="0079632A">
              <w:rPr>
                <w:rFonts w:ascii="Arial" w:eastAsia="Times New Roman" w:hAnsi="Arial" w:cs="Arial"/>
                <w:b/>
                <w:bCs/>
                <w:color w:val="000000"/>
                <w:lang w:eastAsia="en-GB"/>
              </w:rPr>
              <w:t>Group</w:t>
            </w:r>
          </w:p>
        </w:tc>
        <w:tc>
          <w:tcPr>
            <w:tcW w:w="278" w:type="dxa"/>
            <w:tcBorders>
              <w:top w:val="nil"/>
              <w:left w:val="nil"/>
              <w:bottom w:val="single" w:sz="4" w:space="0" w:color="auto"/>
              <w:right w:val="nil"/>
            </w:tcBorders>
            <w:shd w:val="clear" w:color="000000" w:fill="FFFFFF"/>
            <w:noWrap/>
            <w:vAlign w:val="bottom"/>
            <w:hideMark/>
          </w:tcPr>
          <w:p w14:paraId="382BABAD" w14:textId="77777777" w:rsidR="0021298F" w:rsidRPr="0079632A" w:rsidRDefault="0021298F" w:rsidP="00760009">
            <w:pPr>
              <w:rPr>
                <w:rFonts w:ascii="Calibri" w:eastAsia="Times New Roman" w:hAnsi="Calibri" w:cs="Calibri"/>
                <w:color w:val="000000"/>
                <w:lang w:eastAsia="en-GB"/>
              </w:rPr>
            </w:pPr>
            <w:r w:rsidRPr="0079632A">
              <w:rPr>
                <w:rFonts w:ascii="Calibri" w:eastAsia="Times New Roman" w:hAnsi="Calibri" w:cs="Calibri"/>
                <w:color w:val="000000"/>
                <w:lang w:eastAsia="en-GB"/>
              </w:rPr>
              <w:t> </w:t>
            </w:r>
          </w:p>
        </w:tc>
        <w:tc>
          <w:tcPr>
            <w:tcW w:w="2357" w:type="dxa"/>
            <w:tcBorders>
              <w:top w:val="nil"/>
              <w:left w:val="nil"/>
              <w:bottom w:val="single" w:sz="4" w:space="0" w:color="auto"/>
              <w:right w:val="nil"/>
            </w:tcBorders>
            <w:shd w:val="clear" w:color="000000" w:fill="FFFFFF"/>
            <w:vAlign w:val="center"/>
            <w:hideMark/>
          </w:tcPr>
          <w:p w14:paraId="7E65E5C2" w14:textId="77777777" w:rsidR="0021298F" w:rsidRPr="0079632A" w:rsidRDefault="0021298F" w:rsidP="00760009">
            <w:pPr>
              <w:jc w:val="right"/>
              <w:rPr>
                <w:rFonts w:ascii="Arial" w:eastAsia="Times New Roman" w:hAnsi="Arial" w:cs="Arial"/>
                <w:b/>
                <w:bCs/>
                <w:color w:val="000000"/>
                <w:lang w:eastAsia="en-GB"/>
              </w:rPr>
            </w:pPr>
            <w:r w:rsidRPr="0079632A">
              <w:rPr>
                <w:rFonts w:ascii="Arial" w:eastAsia="Times New Roman" w:hAnsi="Arial" w:cs="Arial"/>
                <w:b/>
                <w:bCs/>
                <w:color w:val="000000"/>
                <w:lang w:eastAsia="en-GB"/>
              </w:rPr>
              <w:t>€’000</w:t>
            </w:r>
          </w:p>
        </w:tc>
        <w:tc>
          <w:tcPr>
            <w:tcW w:w="2127" w:type="dxa"/>
            <w:tcBorders>
              <w:top w:val="nil"/>
              <w:left w:val="nil"/>
              <w:bottom w:val="single" w:sz="4" w:space="0" w:color="auto"/>
              <w:right w:val="nil"/>
            </w:tcBorders>
            <w:shd w:val="clear" w:color="000000" w:fill="FFFFFF"/>
            <w:vAlign w:val="center"/>
            <w:hideMark/>
          </w:tcPr>
          <w:p w14:paraId="262C427B" w14:textId="77777777" w:rsidR="0021298F" w:rsidRPr="0079632A" w:rsidRDefault="0021298F" w:rsidP="00760009">
            <w:pPr>
              <w:ind w:left="-109"/>
              <w:jc w:val="right"/>
              <w:rPr>
                <w:rFonts w:ascii="Arial" w:eastAsia="Times New Roman" w:hAnsi="Arial" w:cs="Arial"/>
                <w:b/>
                <w:bCs/>
                <w:color w:val="000000"/>
                <w:lang w:eastAsia="en-GB"/>
              </w:rPr>
            </w:pPr>
            <w:r w:rsidRPr="0079632A">
              <w:rPr>
                <w:rFonts w:ascii="Arial" w:eastAsia="Times New Roman" w:hAnsi="Arial" w:cs="Arial"/>
                <w:b/>
                <w:bCs/>
                <w:color w:val="000000"/>
                <w:lang w:eastAsia="en-GB"/>
              </w:rPr>
              <w:t>€’000</w:t>
            </w:r>
          </w:p>
        </w:tc>
      </w:tr>
      <w:tr w:rsidR="0021298F" w:rsidRPr="0079632A" w14:paraId="33E9AE91" w14:textId="77777777" w:rsidTr="00760009">
        <w:trPr>
          <w:trHeight w:val="300"/>
        </w:trPr>
        <w:tc>
          <w:tcPr>
            <w:tcW w:w="4736" w:type="dxa"/>
            <w:tcBorders>
              <w:top w:val="nil"/>
              <w:left w:val="nil"/>
              <w:bottom w:val="nil"/>
              <w:right w:val="nil"/>
            </w:tcBorders>
            <w:shd w:val="clear" w:color="000000" w:fill="FFFFFF"/>
            <w:vAlign w:val="center"/>
            <w:hideMark/>
          </w:tcPr>
          <w:p w14:paraId="7CFB681C" w14:textId="77777777" w:rsidR="0021298F" w:rsidRPr="0079632A" w:rsidRDefault="0021298F" w:rsidP="00760009">
            <w:pPr>
              <w:rPr>
                <w:rFonts w:ascii="Arial" w:eastAsia="Times New Roman" w:hAnsi="Arial" w:cs="Arial"/>
                <w:color w:val="000000"/>
                <w:lang w:eastAsia="en-GB"/>
              </w:rPr>
            </w:pPr>
            <w:r w:rsidRPr="0079632A">
              <w:rPr>
                <w:rFonts w:ascii="Arial" w:eastAsia="Times New Roman" w:hAnsi="Arial" w:cs="Arial"/>
                <w:color w:val="000000"/>
                <w:lang w:eastAsia="en-GB"/>
              </w:rPr>
              <w:t>Accrued income</w:t>
            </w:r>
          </w:p>
        </w:tc>
        <w:tc>
          <w:tcPr>
            <w:tcW w:w="278" w:type="dxa"/>
            <w:tcBorders>
              <w:top w:val="nil"/>
              <w:left w:val="nil"/>
              <w:bottom w:val="nil"/>
              <w:right w:val="nil"/>
            </w:tcBorders>
            <w:shd w:val="clear" w:color="000000" w:fill="EDFFB7"/>
            <w:vAlign w:val="center"/>
            <w:hideMark/>
          </w:tcPr>
          <w:p w14:paraId="53D5E4A5" w14:textId="77777777" w:rsidR="0021298F" w:rsidRPr="0079632A" w:rsidRDefault="0021298F" w:rsidP="00760009">
            <w:pPr>
              <w:jc w:val="right"/>
              <w:rPr>
                <w:rFonts w:ascii="Arial" w:eastAsia="Times New Roman" w:hAnsi="Arial" w:cs="Arial"/>
                <w:b/>
                <w:bCs/>
                <w:color w:val="000000"/>
                <w:lang w:eastAsia="en-GB"/>
              </w:rPr>
            </w:pPr>
            <w:r w:rsidRPr="0079632A">
              <w:rPr>
                <w:rFonts w:ascii="Arial" w:eastAsia="Times New Roman" w:hAnsi="Arial" w:cs="Arial"/>
                <w:b/>
                <w:bCs/>
                <w:color w:val="000000"/>
                <w:lang w:eastAsia="en-GB"/>
              </w:rPr>
              <w:t> </w:t>
            </w:r>
          </w:p>
        </w:tc>
        <w:tc>
          <w:tcPr>
            <w:tcW w:w="2357" w:type="dxa"/>
            <w:tcBorders>
              <w:top w:val="nil"/>
              <w:left w:val="nil"/>
              <w:bottom w:val="nil"/>
              <w:right w:val="nil"/>
            </w:tcBorders>
            <w:shd w:val="clear" w:color="000000" w:fill="EDFFB7"/>
            <w:vAlign w:val="center"/>
            <w:hideMark/>
          </w:tcPr>
          <w:p w14:paraId="4FB16C20" w14:textId="77777777" w:rsidR="0021298F" w:rsidRPr="0079632A" w:rsidRDefault="0021298F" w:rsidP="00760009">
            <w:pPr>
              <w:jc w:val="right"/>
              <w:rPr>
                <w:rFonts w:ascii="Arial" w:eastAsia="Times New Roman" w:hAnsi="Arial" w:cs="Arial"/>
                <w:b/>
                <w:bCs/>
                <w:color w:val="000000"/>
                <w:lang w:eastAsia="en-GB"/>
              </w:rPr>
            </w:pPr>
            <w:r w:rsidRPr="0079632A">
              <w:rPr>
                <w:rFonts w:ascii="Arial" w:eastAsia="Times New Roman" w:hAnsi="Arial" w:cs="Arial"/>
                <w:b/>
                <w:bCs/>
                <w:color w:val="000000"/>
                <w:lang w:eastAsia="en-GB"/>
              </w:rPr>
              <w:t>3,774</w:t>
            </w:r>
          </w:p>
        </w:tc>
        <w:tc>
          <w:tcPr>
            <w:tcW w:w="2127" w:type="dxa"/>
            <w:tcBorders>
              <w:top w:val="nil"/>
              <w:left w:val="nil"/>
              <w:bottom w:val="nil"/>
              <w:right w:val="nil"/>
            </w:tcBorders>
            <w:shd w:val="clear" w:color="000000" w:fill="FFFFFF"/>
            <w:vAlign w:val="center"/>
            <w:hideMark/>
          </w:tcPr>
          <w:p w14:paraId="648DEDD3" w14:textId="77777777" w:rsidR="0021298F" w:rsidRPr="0079632A" w:rsidRDefault="0021298F" w:rsidP="00760009">
            <w:pPr>
              <w:ind w:left="-109"/>
              <w:jc w:val="right"/>
              <w:rPr>
                <w:rFonts w:ascii="Arial" w:eastAsia="Times New Roman" w:hAnsi="Arial" w:cs="Arial"/>
                <w:color w:val="000000"/>
                <w:lang w:eastAsia="en-GB"/>
              </w:rPr>
            </w:pPr>
            <w:r w:rsidRPr="0079632A">
              <w:rPr>
                <w:rFonts w:ascii="Arial" w:eastAsia="Times New Roman" w:hAnsi="Arial" w:cs="Arial"/>
                <w:color w:val="000000"/>
                <w:lang w:eastAsia="en-GB"/>
              </w:rPr>
              <w:t>2,959</w:t>
            </w:r>
          </w:p>
        </w:tc>
      </w:tr>
      <w:tr w:rsidR="0021298F" w:rsidRPr="0079632A" w14:paraId="1011965B" w14:textId="77777777" w:rsidTr="00760009">
        <w:trPr>
          <w:trHeight w:val="300"/>
        </w:trPr>
        <w:tc>
          <w:tcPr>
            <w:tcW w:w="4736" w:type="dxa"/>
            <w:tcBorders>
              <w:top w:val="nil"/>
              <w:left w:val="nil"/>
              <w:bottom w:val="nil"/>
              <w:right w:val="nil"/>
            </w:tcBorders>
            <w:shd w:val="clear" w:color="000000" w:fill="FFFFFF"/>
            <w:vAlign w:val="center"/>
            <w:hideMark/>
          </w:tcPr>
          <w:p w14:paraId="26DAAE45" w14:textId="77777777" w:rsidR="0021298F" w:rsidRPr="0079632A" w:rsidRDefault="0021298F" w:rsidP="00760009">
            <w:pPr>
              <w:rPr>
                <w:rFonts w:ascii="Arial" w:eastAsia="Times New Roman" w:hAnsi="Arial" w:cs="Arial"/>
                <w:color w:val="000000"/>
                <w:lang w:eastAsia="en-GB"/>
              </w:rPr>
            </w:pPr>
            <w:r w:rsidRPr="0079632A">
              <w:rPr>
                <w:rFonts w:ascii="Arial" w:eastAsia="Times New Roman" w:hAnsi="Arial" w:cs="Arial"/>
                <w:color w:val="000000"/>
                <w:lang w:eastAsia="en-GB"/>
              </w:rPr>
              <w:t>Sundry receivables</w:t>
            </w:r>
          </w:p>
        </w:tc>
        <w:tc>
          <w:tcPr>
            <w:tcW w:w="278" w:type="dxa"/>
            <w:tcBorders>
              <w:top w:val="nil"/>
              <w:left w:val="nil"/>
              <w:bottom w:val="nil"/>
              <w:right w:val="nil"/>
            </w:tcBorders>
            <w:shd w:val="clear" w:color="000000" w:fill="EDFFB7"/>
            <w:vAlign w:val="center"/>
            <w:hideMark/>
          </w:tcPr>
          <w:p w14:paraId="2E5C4C62" w14:textId="77777777" w:rsidR="0021298F" w:rsidRPr="0079632A" w:rsidRDefault="0021298F" w:rsidP="00760009">
            <w:pPr>
              <w:jc w:val="right"/>
              <w:rPr>
                <w:rFonts w:ascii="Arial" w:eastAsia="Times New Roman" w:hAnsi="Arial" w:cs="Arial"/>
                <w:b/>
                <w:bCs/>
                <w:color w:val="000000"/>
                <w:lang w:eastAsia="en-GB"/>
              </w:rPr>
            </w:pPr>
            <w:r w:rsidRPr="0079632A">
              <w:rPr>
                <w:rFonts w:ascii="Arial" w:eastAsia="Times New Roman" w:hAnsi="Arial" w:cs="Arial"/>
                <w:b/>
                <w:bCs/>
                <w:color w:val="000000"/>
                <w:lang w:eastAsia="en-GB"/>
              </w:rPr>
              <w:t> </w:t>
            </w:r>
          </w:p>
        </w:tc>
        <w:tc>
          <w:tcPr>
            <w:tcW w:w="2357" w:type="dxa"/>
            <w:tcBorders>
              <w:top w:val="nil"/>
              <w:left w:val="nil"/>
              <w:bottom w:val="nil"/>
              <w:right w:val="nil"/>
            </w:tcBorders>
            <w:shd w:val="clear" w:color="000000" w:fill="EDFFB7"/>
            <w:vAlign w:val="center"/>
            <w:hideMark/>
          </w:tcPr>
          <w:p w14:paraId="25EB11BD" w14:textId="77777777" w:rsidR="0021298F" w:rsidRPr="0079632A" w:rsidRDefault="0021298F" w:rsidP="00760009">
            <w:pPr>
              <w:jc w:val="right"/>
              <w:rPr>
                <w:rFonts w:ascii="Arial" w:eastAsia="Times New Roman" w:hAnsi="Arial" w:cs="Arial"/>
                <w:b/>
                <w:bCs/>
                <w:color w:val="000000"/>
                <w:lang w:eastAsia="en-GB"/>
              </w:rPr>
            </w:pPr>
            <w:r w:rsidRPr="0079632A">
              <w:rPr>
                <w:rFonts w:ascii="Arial" w:eastAsia="Times New Roman" w:hAnsi="Arial" w:cs="Arial"/>
                <w:b/>
                <w:bCs/>
                <w:color w:val="000000"/>
                <w:lang w:eastAsia="en-GB"/>
              </w:rPr>
              <w:t>218</w:t>
            </w:r>
          </w:p>
        </w:tc>
        <w:tc>
          <w:tcPr>
            <w:tcW w:w="2127" w:type="dxa"/>
            <w:tcBorders>
              <w:top w:val="nil"/>
              <w:left w:val="nil"/>
              <w:bottom w:val="nil"/>
              <w:right w:val="nil"/>
            </w:tcBorders>
            <w:shd w:val="clear" w:color="000000" w:fill="FFFFFF"/>
            <w:vAlign w:val="center"/>
            <w:hideMark/>
          </w:tcPr>
          <w:p w14:paraId="461433BC" w14:textId="77777777" w:rsidR="0021298F" w:rsidRPr="0079632A" w:rsidRDefault="0021298F" w:rsidP="00760009">
            <w:pPr>
              <w:ind w:left="-109"/>
              <w:jc w:val="right"/>
              <w:rPr>
                <w:rFonts w:ascii="Arial" w:eastAsia="Times New Roman" w:hAnsi="Arial" w:cs="Arial"/>
                <w:color w:val="000000"/>
                <w:lang w:eastAsia="en-GB"/>
              </w:rPr>
            </w:pPr>
            <w:r w:rsidRPr="0079632A">
              <w:rPr>
                <w:rFonts w:ascii="Arial" w:eastAsia="Times New Roman" w:hAnsi="Arial" w:cs="Arial"/>
                <w:color w:val="000000"/>
                <w:lang w:eastAsia="en-GB"/>
              </w:rPr>
              <w:t>180</w:t>
            </w:r>
          </w:p>
        </w:tc>
      </w:tr>
      <w:tr w:rsidR="0021298F" w:rsidRPr="0079632A" w14:paraId="3B2D77E6" w14:textId="77777777" w:rsidTr="00760009">
        <w:trPr>
          <w:trHeight w:val="300"/>
        </w:trPr>
        <w:tc>
          <w:tcPr>
            <w:tcW w:w="4736" w:type="dxa"/>
            <w:tcBorders>
              <w:top w:val="nil"/>
              <w:left w:val="nil"/>
              <w:right w:val="nil"/>
            </w:tcBorders>
            <w:shd w:val="clear" w:color="000000" w:fill="FFFFFF"/>
            <w:vAlign w:val="center"/>
            <w:hideMark/>
          </w:tcPr>
          <w:p w14:paraId="0DC1D97C" w14:textId="77777777" w:rsidR="0021298F" w:rsidRPr="0079632A" w:rsidRDefault="0021298F" w:rsidP="00760009">
            <w:pPr>
              <w:rPr>
                <w:rFonts w:ascii="Arial" w:eastAsia="Times New Roman" w:hAnsi="Arial" w:cs="Arial"/>
                <w:color w:val="000000"/>
                <w:lang w:eastAsia="en-GB"/>
              </w:rPr>
            </w:pPr>
            <w:r w:rsidRPr="0079632A">
              <w:rPr>
                <w:rFonts w:ascii="Arial" w:eastAsia="Times New Roman" w:hAnsi="Arial" w:cs="Arial"/>
                <w:color w:val="000000"/>
                <w:lang w:eastAsia="en-GB"/>
              </w:rPr>
              <w:t>VAT receivable</w:t>
            </w:r>
          </w:p>
        </w:tc>
        <w:tc>
          <w:tcPr>
            <w:tcW w:w="278" w:type="dxa"/>
            <w:tcBorders>
              <w:top w:val="nil"/>
              <w:left w:val="nil"/>
              <w:bottom w:val="nil"/>
              <w:right w:val="nil"/>
            </w:tcBorders>
            <w:shd w:val="clear" w:color="000000" w:fill="EDFFB7"/>
            <w:vAlign w:val="center"/>
            <w:hideMark/>
          </w:tcPr>
          <w:p w14:paraId="60C114E7" w14:textId="77777777" w:rsidR="0021298F" w:rsidRPr="0079632A" w:rsidRDefault="0021298F" w:rsidP="00760009">
            <w:pPr>
              <w:jc w:val="right"/>
              <w:rPr>
                <w:rFonts w:ascii="Arial" w:eastAsia="Times New Roman" w:hAnsi="Arial" w:cs="Arial"/>
                <w:b/>
                <w:bCs/>
                <w:color w:val="000000"/>
                <w:lang w:eastAsia="en-GB"/>
              </w:rPr>
            </w:pPr>
            <w:r w:rsidRPr="0079632A">
              <w:rPr>
                <w:rFonts w:ascii="Arial" w:eastAsia="Times New Roman" w:hAnsi="Arial" w:cs="Arial"/>
                <w:b/>
                <w:bCs/>
                <w:color w:val="000000"/>
                <w:lang w:eastAsia="en-GB"/>
              </w:rPr>
              <w:t> </w:t>
            </w:r>
          </w:p>
        </w:tc>
        <w:tc>
          <w:tcPr>
            <w:tcW w:w="2357" w:type="dxa"/>
            <w:tcBorders>
              <w:top w:val="nil"/>
              <w:left w:val="nil"/>
              <w:bottom w:val="nil"/>
              <w:right w:val="nil"/>
            </w:tcBorders>
            <w:shd w:val="clear" w:color="000000" w:fill="EDFFB7"/>
            <w:vAlign w:val="center"/>
            <w:hideMark/>
          </w:tcPr>
          <w:p w14:paraId="6A4BDE39" w14:textId="77777777" w:rsidR="0021298F" w:rsidRPr="0079632A" w:rsidRDefault="0021298F" w:rsidP="00760009">
            <w:pPr>
              <w:jc w:val="right"/>
              <w:rPr>
                <w:rFonts w:ascii="Arial" w:eastAsia="Times New Roman" w:hAnsi="Arial" w:cs="Arial"/>
                <w:b/>
                <w:bCs/>
                <w:color w:val="000000"/>
                <w:lang w:eastAsia="en-GB"/>
              </w:rPr>
            </w:pPr>
            <w:r w:rsidRPr="0079632A">
              <w:rPr>
                <w:rFonts w:ascii="Arial" w:eastAsia="Times New Roman" w:hAnsi="Arial" w:cs="Arial"/>
                <w:b/>
                <w:bCs/>
                <w:color w:val="000000"/>
                <w:lang w:eastAsia="en-GB"/>
              </w:rPr>
              <w:t>58</w:t>
            </w:r>
          </w:p>
        </w:tc>
        <w:tc>
          <w:tcPr>
            <w:tcW w:w="2127" w:type="dxa"/>
            <w:tcBorders>
              <w:top w:val="nil"/>
              <w:left w:val="nil"/>
              <w:bottom w:val="nil"/>
              <w:right w:val="nil"/>
            </w:tcBorders>
            <w:shd w:val="clear" w:color="000000" w:fill="FFFFFF"/>
            <w:vAlign w:val="center"/>
            <w:hideMark/>
          </w:tcPr>
          <w:p w14:paraId="7B9917A8" w14:textId="77777777" w:rsidR="0021298F" w:rsidRPr="0079632A" w:rsidRDefault="0021298F" w:rsidP="00760009">
            <w:pPr>
              <w:ind w:left="-109"/>
              <w:jc w:val="right"/>
              <w:rPr>
                <w:rFonts w:ascii="Arial" w:eastAsia="Times New Roman" w:hAnsi="Arial" w:cs="Arial"/>
                <w:color w:val="000000"/>
                <w:lang w:eastAsia="en-GB"/>
              </w:rPr>
            </w:pPr>
            <w:r w:rsidRPr="0079632A">
              <w:rPr>
                <w:rFonts w:ascii="Arial" w:eastAsia="Times New Roman" w:hAnsi="Arial" w:cs="Arial"/>
                <w:color w:val="000000"/>
                <w:lang w:eastAsia="en-GB"/>
              </w:rPr>
              <w:t>127</w:t>
            </w:r>
          </w:p>
        </w:tc>
      </w:tr>
      <w:tr w:rsidR="0021298F" w:rsidRPr="0079632A" w14:paraId="4AE30251" w14:textId="77777777" w:rsidTr="00760009">
        <w:trPr>
          <w:trHeight w:val="300"/>
        </w:trPr>
        <w:tc>
          <w:tcPr>
            <w:tcW w:w="4736" w:type="dxa"/>
            <w:tcBorders>
              <w:top w:val="nil"/>
              <w:left w:val="nil"/>
              <w:bottom w:val="single" w:sz="4" w:space="0" w:color="auto"/>
              <w:right w:val="nil"/>
            </w:tcBorders>
            <w:shd w:val="clear" w:color="000000" w:fill="FFFFFF"/>
            <w:vAlign w:val="center"/>
            <w:hideMark/>
          </w:tcPr>
          <w:p w14:paraId="5A5D93BC" w14:textId="77777777" w:rsidR="0021298F" w:rsidRPr="0079632A" w:rsidRDefault="0021298F" w:rsidP="00760009">
            <w:pPr>
              <w:rPr>
                <w:rFonts w:ascii="Arial" w:eastAsia="Times New Roman" w:hAnsi="Arial" w:cs="Arial"/>
                <w:color w:val="000000"/>
                <w:lang w:eastAsia="en-GB"/>
              </w:rPr>
            </w:pPr>
            <w:r w:rsidRPr="0079632A">
              <w:rPr>
                <w:rFonts w:ascii="Arial" w:eastAsia="Times New Roman" w:hAnsi="Arial" w:cs="Arial"/>
                <w:color w:val="000000"/>
                <w:lang w:eastAsia="en-GB"/>
              </w:rPr>
              <w:t>Prepayments</w:t>
            </w:r>
          </w:p>
        </w:tc>
        <w:tc>
          <w:tcPr>
            <w:tcW w:w="278" w:type="dxa"/>
            <w:tcBorders>
              <w:top w:val="nil"/>
              <w:left w:val="nil"/>
              <w:bottom w:val="single" w:sz="4" w:space="0" w:color="auto"/>
              <w:right w:val="nil"/>
            </w:tcBorders>
            <w:shd w:val="clear" w:color="000000" w:fill="EDFFB7"/>
            <w:vAlign w:val="center"/>
            <w:hideMark/>
          </w:tcPr>
          <w:p w14:paraId="52F983B0" w14:textId="77777777" w:rsidR="0021298F" w:rsidRPr="0079632A" w:rsidRDefault="0021298F" w:rsidP="00760009">
            <w:pPr>
              <w:jc w:val="right"/>
              <w:rPr>
                <w:rFonts w:ascii="Arial" w:eastAsia="Times New Roman" w:hAnsi="Arial" w:cs="Arial"/>
                <w:b/>
                <w:bCs/>
                <w:color w:val="000000"/>
                <w:lang w:eastAsia="en-GB"/>
              </w:rPr>
            </w:pPr>
            <w:r w:rsidRPr="0079632A">
              <w:rPr>
                <w:rFonts w:ascii="Arial" w:eastAsia="Times New Roman" w:hAnsi="Arial" w:cs="Arial"/>
                <w:b/>
                <w:bCs/>
                <w:color w:val="000000"/>
                <w:lang w:eastAsia="en-GB"/>
              </w:rPr>
              <w:t> </w:t>
            </w:r>
          </w:p>
        </w:tc>
        <w:tc>
          <w:tcPr>
            <w:tcW w:w="2357" w:type="dxa"/>
            <w:tcBorders>
              <w:top w:val="nil"/>
              <w:left w:val="nil"/>
              <w:bottom w:val="single" w:sz="4" w:space="0" w:color="auto"/>
              <w:right w:val="nil"/>
            </w:tcBorders>
            <w:shd w:val="clear" w:color="000000" w:fill="EDFFB7"/>
            <w:vAlign w:val="center"/>
            <w:hideMark/>
          </w:tcPr>
          <w:p w14:paraId="493DE276" w14:textId="77777777" w:rsidR="0021298F" w:rsidRPr="0079632A" w:rsidRDefault="0021298F" w:rsidP="00760009">
            <w:pPr>
              <w:jc w:val="right"/>
              <w:rPr>
                <w:rFonts w:ascii="Arial" w:eastAsia="Times New Roman" w:hAnsi="Arial" w:cs="Arial"/>
                <w:b/>
                <w:bCs/>
                <w:color w:val="000000"/>
                <w:lang w:eastAsia="en-GB"/>
              </w:rPr>
            </w:pPr>
            <w:r w:rsidRPr="0079632A">
              <w:rPr>
                <w:rFonts w:ascii="Arial" w:eastAsia="Times New Roman" w:hAnsi="Arial" w:cs="Arial"/>
                <w:b/>
                <w:bCs/>
                <w:color w:val="000000"/>
                <w:lang w:eastAsia="en-GB"/>
              </w:rPr>
              <w:t>45</w:t>
            </w:r>
          </w:p>
        </w:tc>
        <w:tc>
          <w:tcPr>
            <w:tcW w:w="2127" w:type="dxa"/>
            <w:tcBorders>
              <w:top w:val="nil"/>
              <w:left w:val="nil"/>
              <w:bottom w:val="single" w:sz="4" w:space="0" w:color="auto"/>
              <w:right w:val="nil"/>
            </w:tcBorders>
            <w:shd w:val="clear" w:color="000000" w:fill="FFFFFF"/>
            <w:vAlign w:val="center"/>
            <w:hideMark/>
          </w:tcPr>
          <w:p w14:paraId="66259571" w14:textId="77777777" w:rsidR="0021298F" w:rsidRPr="0079632A" w:rsidRDefault="0021298F" w:rsidP="00760009">
            <w:pPr>
              <w:ind w:left="-109"/>
              <w:jc w:val="right"/>
              <w:rPr>
                <w:rFonts w:ascii="Arial" w:eastAsia="Times New Roman" w:hAnsi="Arial" w:cs="Arial"/>
                <w:color w:val="000000"/>
                <w:lang w:eastAsia="en-GB"/>
              </w:rPr>
            </w:pPr>
            <w:r w:rsidRPr="0079632A">
              <w:rPr>
                <w:rFonts w:ascii="Arial" w:eastAsia="Times New Roman" w:hAnsi="Arial" w:cs="Arial"/>
                <w:color w:val="000000"/>
                <w:lang w:eastAsia="en-GB"/>
              </w:rPr>
              <w:t>77</w:t>
            </w:r>
          </w:p>
        </w:tc>
      </w:tr>
      <w:tr w:rsidR="0021298F" w:rsidRPr="0079632A" w14:paraId="67D53CDE" w14:textId="77777777" w:rsidTr="00760009">
        <w:trPr>
          <w:trHeight w:val="462"/>
        </w:trPr>
        <w:tc>
          <w:tcPr>
            <w:tcW w:w="4736" w:type="dxa"/>
            <w:tcBorders>
              <w:top w:val="single" w:sz="4" w:space="0" w:color="auto"/>
              <w:left w:val="nil"/>
              <w:bottom w:val="single" w:sz="8" w:space="0" w:color="auto"/>
              <w:right w:val="nil"/>
            </w:tcBorders>
            <w:shd w:val="clear" w:color="000000" w:fill="FFFFFF"/>
            <w:noWrap/>
            <w:vAlign w:val="bottom"/>
            <w:hideMark/>
          </w:tcPr>
          <w:p w14:paraId="01DCB758" w14:textId="77777777" w:rsidR="0021298F" w:rsidRPr="0079632A" w:rsidRDefault="0021298F" w:rsidP="00760009">
            <w:pPr>
              <w:rPr>
                <w:rFonts w:ascii="Calibri" w:eastAsia="Times New Roman" w:hAnsi="Calibri" w:cs="Calibri"/>
                <w:color w:val="000000"/>
                <w:lang w:eastAsia="en-GB"/>
              </w:rPr>
            </w:pPr>
            <w:r w:rsidRPr="0079632A">
              <w:rPr>
                <w:rFonts w:ascii="Calibri" w:eastAsia="Times New Roman" w:hAnsi="Calibri" w:cs="Calibri"/>
                <w:color w:val="000000"/>
                <w:lang w:eastAsia="en-GB"/>
              </w:rPr>
              <w:t> </w:t>
            </w:r>
          </w:p>
        </w:tc>
        <w:tc>
          <w:tcPr>
            <w:tcW w:w="278" w:type="dxa"/>
            <w:tcBorders>
              <w:top w:val="nil"/>
              <w:left w:val="nil"/>
              <w:bottom w:val="single" w:sz="8" w:space="0" w:color="auto"/>
              <w:right w:val="nil"/>
            </w:tcBorders>
            <w:shd w:val="clear" w:color="000000" w:fill="EDFFB7"/>
            <w:vAlign w:val="center"/>
            <w:hideMark/>
          </w:tcPr>
          <w:p w14:paraId="0B725D40" w14:textId="77777777" w:rsidR="0021298F" w:rsidRPr="0079632A" w:rsidRDefault="0021298F" w:rsidP="00760009">
            <w:pPr>
              <w:jc w:val="right"/>
              <w:rPr>
                <w:rFonts w:ascii="Arial" w:eastAsia="Times New Roman" w:hAnsi="Arial" w:cs="Arial"/>
                <w:b/>
                <w:bCs/>
                <w:color w:val="000000"/>
                <w:lang w:eastAsia="en-GB"/>
              </w:rPr>
            </w:pPr>
            <w:r w:rsidRPr="0079632A">
              <w:rPr>
                <w:rFonts w:ascii="Arial" w:eastAsia="Times New Roman" w:hAnsi="Arial" w:cs="Arial"/>
                <w:b/>
                <w:bCs/>
                <w:color w:val="000000"/>
                <w:lang w:eastAsia="en-GB"/>
              </w:rPr>
              <w:t> </w:t>
            </w:r>
          </w:p>
        </w:tc>
        <w:tc>
          <w:tcPr>
            <w:tcW w:w="2357" w:type="dxa"/>
            <w:tcBorders>
              <w:top w:val="nil"/>
              <w:left w:val="nil"/>
              <w:bottom w:val="single" w:sz="8" w:space="0" w:color="auto"/>
              <w:right w:val="nil"/>
            </w:tcBorders>
            <w:shd w:val="clear" w:color="000000" w:fill="EDFFB7"/>
            <w:vAlign w:val="center"/>
            <w:hideMark/>
          </w:tcPr>
          <w:p w14:paraId="3D700F28" w14:textId="77777777" w:rsidR="0021298F" w:rsidRPr="0079632A" w:rsidRDefault="0021298F" w:rsidP="00760009">
            <w:pPr>
              <w:jc w:val="right"/>
              <w:rPr>
                <w:rFonts w:ascii="Arial" w:eastAsia="Times New Roman" w:hAnsi="Arial" w:cs="Arial"/>
                <w:b/>
                <w:bCs/>
                <w:color w:val="000000"/>
                <w:lang w:eastAsia="en-GB"/>
              </w:rPr>
            </w:pPr>
            <w:r w:rsidRPr="0079632A">
              <w:rPr>
                <w:rFonts w:ascii="Arial" w:eastAsia="Times New Roman" w:hAnsi="Arial" w:cs="Arial"/>
                <w:b/>
                <w:bCs/>
                <w:color w:val="000000"/>
                <w:lang w:eastAsia="en-GB"/>
              </w:rPr>
              <w:t>4,095</w:t>
            </w:r>
          </w:p>
        </w:tc>
        <w:tc>
          <w:tcPr>
            <w:tcW w:w="2127" w:type="dxa"/>
            <w:tcBorders>
              <w:top w:val="nil"/>
              <w:left w:val="nil"/>
              <w:bottom w:val="single" w:sz="8" w:space="0" w:color="auto"/>
              <w:right w:val="nil"/>
            </w:tcBorders>
            <w:shd w:val="clear" w:color="000000" w:fill="FFFFFF"/>
            <w:vAlign w:val="center"/>
            <w:hideMark/>
          </w:tcPr>
          <w:p w14:paraId="0F025721" w14:textId="77777777" w:rsidR="0021298F" w:rsidRPr="0079632A" w:rsidRDefault="0021298F" w:rsidP="00760009">
            <w:pPr>
              <w:ind w:left="-109"/>
              <w:jc w:val="right"/>
              <w:rPr>
                <w:rFonts w:ascii="Arial" w:eastAsia="Times New Roman" w:hAnsi="Arial" w:cs="Arial"/>
                <w:b/>
                <w:bCs/>
                <w:color w:val="000000"/>
                <w:lang w:eastAsia="en-GB"/>
              </w:rPr>
            </w:pPr>
            <w:r w:rsidRPr="0079632A">
              <w:rPr>
                <w:rFonts w:ascii="Arial" w:eastAsia="Times New Roman" w:hAnsi="Arial" w:cs="Arial"/>
                <w:b/>
                <w:bCs/>
                <w:color w:val="000000"/>
                <w:lang w:eastAsia="en-GB"/>
              </w:rPr>
              <w:t>3,343</w:t>
            </w:r>
          </w:p>
        </w:tc>
      </w:tr>
    </w:tbl>
    <w:p w14:paraId="7A8CED1B" w14:textId="77777777" w:rsidR="0021298F" w:rsidRDefault="0021298F" w:rsidP="0021298F">
      <w:pPr>
        <w:rPr>
          <w:lang w:eastAsia="en-GB"/>
        </w:rPr>
      </w:pPr>
    </w:p>
    <w:tbl>
      <w:tblPr>
        <w:tblW w:w="9498" w:type="dxa"/>
        <w:tblLook w:val="04A0" w:firstRow="1" w:lastRow="0" w:firstColumn="1" w:lastColumn="0" w:noHBand="0" w:noVBand="1"/>
      </w:tblPr>
      <w:tblGrid>
        <w:gridCol w:w="4736"/>
        <w:gridCol w:w="283"/>
        <w:gridCol w:w="2214"/>
        <w:gridCol w:w="2265"/>
      </w:tblGrid>
      <w:tr w:rsidR="0021298F" w:rsidRPr="00D648AB" w14:paraId="55424CA8" w14:textId="77777777" w:rsidTr="00760009">
        <w:trPr>
          <w:trHeight w:val="300"/>
        </w:trPr>
        <w:tc>
          <w:tcPr>
            <w:tcW w:w="4736" w:type="dxa"/>
            <w:tcBorders>
              <w:top w:val="nil"/>
              <w:left w:val="nil"/>
              <w:bottom w:val="nil"/>
              <w:right w:val="nil"/>
            </w:tcBorders>
            <w:shd w:val="clear" w:color="000000" w:fill="FFFFFF"/>
            <w:noWrap/>
            <w:vAlign w:val="bottom"/>
            <w:hideMark/>
          </w:tcPr>
          <w:p w14:paraId="0B712A8F" w14:textId="77777777" w:rsidR="0021298F" w:rsidRPr="00D648AB" w:rsidRDefault="0021298F" w:rsidP="00760009">
            <w:pPr>
              <w:rPr>
                <w:rFonts w:ascii="Calibri" w:eastAsia="Times New Roman" w:hAnsi="Calibri" w:cs="Calibri"/>
                <w:color w:val="000000"/>
                <w:lang w:eastAsia="en-GB"/>
              </w:rPr>
            </w:pPr>
            <w:r w:rsidRPr="00D648AB">
              <w:rPr>
                <w:rFonts w:ascii="Calibri" w:eastAsia="Times New Roman" w:hAnsi="Calibri" w:cs="Calibri"/>
                <w:color w:val="000000"/>
                <w:lang w:eastAsia="en-GB"/>
              </w:rPr>
              <w:t> </w:t>
            </w:r>
          </w:p>
        </w:tc>
        <w:tc>
          <w:tcPr>
            <w:tcW w:w="278" w:type="dxa"/>
            <w:tcBorders>
              <w:top w:val="nil"/>
              <w:left w:val="nil"/>
              <w:bottom w:val="nil"/>
              <w:right w:val="nil"/>
            </w:tcBorders>
            <w:shd w:val="clear" w:color="000000" w:fill="FFFFFF"/>
            <w:noWrap/>
            <w:vAlign w:val="bottom"/>
            <w:hideMark/>
          </w:tcPr>
          <w:p w14:paraId="0F7A6C45" w14:textId="77777777" w:rsidR="0021298F" w:rsidRPr="00D648AB" w:rsidRDefault="0021298F" w:rsidP="00760009">
            <w:pPr>
              <w:rPr>
                <w:rFonts w:ascii="Calibri" w:eastAsia="Times New Roman" w:hAnsi="Calibri" w:cs="Calibri"/>
                <w:color w:val="000000"/>
                <w:lang w:eastAsia="en-GB"/>
              </w:rPr>
            </w:pPr>
            <w:r w:rsidRPr="00D648AB">
              <w:rPr>
                <w:rFonts w:ascii="Calibri" w:eastAsia="Times New Roman" w:hAnsi="Calibri" w:cs="Calibri"/>
                <w:color w:val="000000"/>
                <w:lang w:eastAsia="en-GB"/>
              </w:rPr>
              <w:t> </w:t>
            </w:r>
          </w:p>
        </w:tc>
        <w:tc>
          <w:tcPr>
            <w:tcW w:w="2216" w:type="dxa"/>
            <w:tcBorders>
              <w:top w:val="nil"/>
              <w:left w:val="nil"/>
              <w:bottom w:val="nil"/>
              <w:right w:val="nil"/>
            </w:tcBorders>
            <w:shd w:val="clear" w:color="000000" w:fill="FFFFFF"/>
            <w:vAlign w:val="center"/>
            <w:hideMark/>
          </w:tcPr>
          <w:p w14:paraId="66984F02" w14:textId="77777777" w:rsidR="0021298F" w:rsidRPr="00D648AB" w:rsidRDefault="0021298F" w:rsidP="00760009">
            <w:pPr>
              <w:jc w:val="right"/>
              <w:rPr>
                <w:rFonts w:ascii="Arial" w:eastAsia="Times New Roman" w:hAnsi="Arial" w:cs="Arial"/>
                <w:b/>
                <w:bCs/>
                <w:color w:val="000000"/>
                <w:lang w:eastAsia="en-GB"/>
              </w:rPr>
            </w:pPr>
            <w:r w:rsidRPr="00D648AB">
              <w:rPr>
                <w:rFonts w:ascii="Arial" w:eastAsia="Times New Roman" w:hAnsi="Arial" w:cs="Arial"/>
                <w:b/>
                <w:bCs/>
                <w:color w:val="000000"/>
                <w:lang w:eastAsia="en-GB"/>
              </w:rPr>
              <w:t>31 December 2020</w:t>
            </w:r>
          </w:p>
        </w:tc>
        <w:tc>
          <w:tcPr>
            <w:tcW w:w="2268" w:type="dxa"/>
            <w:tcBorders>
              <w:top w:val="nil"/>
              <w:left w:val="nil"/>
              <w:bottom w:val="nil"/>
              <w:right w:val="nil"/>
            </w:tcBorders>
            <w:shd w:val="clear" w:color="000000" w:fill="FFFFFF"/>
            <w:vAlign w:val="center"/>
            <w:hideMark/>
          </w:tcPr>
          <w:p w14:paraId="7C1BE58D" w14:textId="77777777" w:rsidR="0021298F" w:rsidRPr="00D648AB" w:rsidRDefault="0021298F" w:rsidP="00760009">
            <w:pPr>
              <w:jc w:val="right"/>
              <w:rPr>
                <w:rFonts w:ascii="Arial" w:eastAsia="Times New Roman" w:hAnsi="Arial" w:cs="Arial"/>
                <w:b/>
                <w:bCs/>
                <w:color w:val="000000"/>
                <w:lang w:eastAsia="en-GB"/>
              </w:rPr>
            </w:pPr>
            <w:r w:rsidRPr="00D648AB">
              <w:rPr>
                <w:rFonts w:ascii="Arial" w:eastAsia="Times New Roman" w:hAnsi="Arial" w:cs="Arial"/>
                <w:b/>
                <w:bCs/>
                <w:color w:val="000000"/>
                <w:lang w:eastAsia="en-GB"/>
              </w:rPr>
              <w:t>31 December 2019</w:t>
            </w:r>
          </w:p>
        </w:tc>
      </w:tr>
      <w:tr w:rsidR="0021298F" w:rsidRPr="00D648AB" w14:paraId="566CB2A3" w14:textId="77777777" w:rsidTr="00760009">
        <w:trPr>
          <w:trHeight w:val="300"/>
        </w:trPr>
        <w:tc>
          <w:tcPr>
            <w:tcW w:w="4736" w:type="dxa"/>
            <w:tcBorders>
              <w:top w:val="nil"/>
              <w:left w:val="nil"/>
              <w:bottom w:val="single" w:sz="4" w:space="0" w:color="auto"/>
              <w:right w:val="nil"/>
            </w:tcBorders>
            <w:shd w:val="clear" w:color="000000" w:fill="FFFFFF"/>
            <w:vAlign w:val="center"/>
            <w:hideMark/>
          </w:tcPr>
          <w:p w14:paraId="6B839B60" w14:textId="77777777" w:rsidR="0021298F" w:rsidRPr="00D648AB" w:rsidRDefault="0021298F" w:rsidP="00760009">
            <w:pPr>
              <w:jc w:val="both"/>
              <w:rPr>
                <w:rFonts w:ascii="Arial" w:eastAsia="Times New Roman" w:hAnsi="Arial" w:cs="Arial"/>
                <w:b/>
                <w:bCs/>
                <w:color w:val="000000"/>
                <w:lang w:eastAsia="en-GB"/>
              </w:rPr>
            </w:pPr>
            <w:r w:rsidRPr="00D648AB">
              <w:rPr>
                <w:rFonts w:ascii="Arial" w:eastAsia="Times New Roman" w:hAnsi="Arial" w:cs="Arial"/>
                <w:b/>
                <w:bCs/>
                <w:color w:val="000000"/>
                <w:lang w:eastAsia="en-GB"/>
              </w:rPr>
              <w:t>Company</w:t>
            </w:r>
          </w:p>
        </w:tc>
        <w:tc>
          <w:tcPr>
            <w:tcW w:w="278" w:type="dxa"/>
            <w:tcBorders>
              <w:top w:val="nil"/>
              <w:left w:val="nil"/>
              <w:bottom w:val="single" w:sz="4" w:space="0" w:color="auto"/>
              <w:right w:val="nil"/>
            </w:tcBorders>
            <w:shd w:val="clear" w:color="000000" w:fill="FFFFFF"/>
            <w:noWrap/>
            <w:vAlign w:val="bottom"/>
            <w:hideMark/>
          </w:tcPr>
          <w:p w14:paraId="32ECA39E" w14:textId="77777777" w:rsidR="0021298F" w:rsidRPr="00D648AB" w:rsidRDefault="0021298F" w:rsidP="00760009">
            <w:pPr>
              <w:rPr>
                <w:rFonts w:ascii="Calibri" w:eastAsia="Times New Roman" w:hAnsi="Calibri" w:cs="Calibri"/>
                <w:color w:val="000000"/>
                <w:lang w:eastAsia="en-GB"/>
              </w:rPr>
            </w:pPr>
            <w:r w:rsidRPr="00D648AB">
              <w:rPr>
                <w:rFonts w:ascii="Calibri" w:eastAsia="Times New Roman" w:hAnsi="Calibri" w:cs="Calibri"/>
                <w:color w:val="000000"/>
                <w:lang w:eastAsia="en-GB"/>
              </w:rPr>
              <w:t> </w:t>
            </w:r>
          </w:p>
        </w:tc>
        <w:tc>
          <w:tcPr>
            <w:tcW w:w="2216" w:type="dxa"/>
            <w:tcBorders>
              <w:top w:val="nil"/>
              <w:left w:val="nil"/>
              <w:bottom w:val="single" w:sz="4" w:space="0" w:color="auto"/>
              <w:right w:val="nil"/>
            </w:tcBorders>
            <w:shd w:val="clear" w:color="000000" w:fill="FFFFFF"/>
            <w:vAlign w:val="center"/>
            <w:hideMark/>
          </w:tcPr>
          <w:p w14:paraId="3B4DB40C" w14:textId="77777777" w:rsidR="0021298F" w:rsidRPr="00D648AB" w:rsidRDefault="0021298F" w:rsidP="00760009">
            <w:pPr>
              <w:jc w:val="right"/>
              <w:rPr>
                <w:rFonts w:ascii="Arial" w:eastAsia="Times New Roman" w:hAnsi="Arial" w:cs="Arial"/>
                <w:b/>
                <w:bCs/>
                <w:color w:val="000000"/>
                <w:lang w:eastAsia="en-GB"/>
              </w:rPr>
            </w:pPr>
            <w:r w:rsidRPr="00D648AB">
              <w:rPr>
                <w:rFonts w:ascii="Arial" w:eastAsia="Times New Roman" w:hAnsi="Arial" w:cs="Arial"/>
                <w:b/>
                <w:bCs/>
                <w:color w:val="000000"/>
                <w:lang w:eastAsia="en-GB"/>
              </w:rPr>
              <w:t>€’000</w:t>
            </w:r>
          </w:p>
        </w:tc>
        <w:tc>
          <w:tcPr>
            <w:tcW w:w="2268" w:type="dxa"/>
            <w:tcBorders>
              <w:top w:val="nil"/>
              <w:left w:val="nil"/>
              <w:bottom w:val="single" w:sz="4" w:space="0" w:color="auto"/>
              <w:right w:val="nil"/>
            </w:tcBorders>
            <w:shd w:val="clear" w:color="000000" w:fill="FFFFFF"/>
            <w:vAlign w:val="center"/>
            <w:hideMark/>
          </w:tcPr>
          <w:p w14:paraId="2F010D6C" w14:textId="77777777" w:rsidR="0021298F" w:rsidRPr="00D648AB" w:rsidRDefault="0021298F" w:rsidP="00760009">
            <w:pPr>
              <w:jc w:val="right"/>
              <w:rPr>
                <w:rFonts w:ascii="Arial" w:eastAsia="Times New Roman" w:hAnsi="Arial" w:cs="Arial"/>
                <w:b/>
                <w:bCs/>
                <w:color w:val="000000"/>
                <w:lang w:eastAsia="en-GB"/>
              </w:rPr>
            </w:pPr>
            <w:r w:rsidRPr="00D648AB">
              <w:rPr>
                <w:rFonts w:ascii="Arial" w:eastAsia="Times New Roman" w:hAnsi="Arial" w:cs="Arial"/>
                <w:b/>
                <w:bCs/>
                <w:color w:val="000000"/>
                <w:lang w:eastAsia="en-GB"/>
              </w:rPr>
              <w:t>€’000</w:t>
            </w:r>
          </w:p>
        </w:tc>
      </w:tr>
      <w:tr w:rsidR="0021298F" w:rsidRPr="00D648AB" w14:paraId="38377D9C" w14:textId="77777777" w:rsidTr="00760009">
        <w:trPr>
          <w:trHeight w:val="300"/>
        </w:trPr>
        <w:tc>
          <w:tcPr>
            <w:tcW w:w="4736" w:type="dxa"/>
            <w:tcBorders>
              <w:top w:val="nil"/>
              <w:left w:val="nil"/>
              <w:bottom w:val="nil"/>
              <w:right w:val="nil"/>
            </w:tcBorders>
            <w:shd w:val="clear" w:color="000000" w:fill="FFFFFF"/>
            <w:vAlign w:val="center"/>
            <w:hideMark/>
          </w:tcPr>
          <w:p w14:paraId="230DFF38" w14:textId="77777777" w:rsidR="0021298F" w:rsidRPr="00D648AB" w:rsidRDefault="0021298F" w:rsidP="00760009">
            <w:pPr>
              <w:rPr>
                <w:rFonts w:ascii="Arial" w:eastAsia="Times New Roman" w:hAnsi="Arial" w:cs="Arial"/>
                <w:color w:val="000000"/>
                <w:lang w:eastAsia="en-GB"/>
              </w:rPr>
            </w:pPr>
            <w:r w:rsidRPr="00D648AB">
              <w:rPr>
                <w:rFonts w:ascii="Arial" w:eastAsia="Times New Roman" w:hAnsi="Arial" w:cs="Arial"/>
                <w:color w:val="000000"/>
                <w:lang w:eastAsia="en-GB"/>
              </w:rPr>
              <w:t>Due from wind farm SPVs</w:t>
            </w:r>
          </w:p>
        </w:tc>
        <w:tc>
          <w:tcPr>
            <w:tcW w:w="278" w:type="dxa"/>
            <w:tcBorders>
              <w:top w:val="nil"/>
              <w:left w:val="nil"/>
              <w:bottom w:val="nil"/>
              <w:right w:val="nil"/>
            </w:tcBorders>
            <w:shd w:val="clear" w:color="000000" w:fill="EDFFB7"/>
            <w:vAlign w:val="center"/>
            <w:hideMark/>
          </w:tcPr>
          <w:p w14:paraId="6B04BF50" w14:textId="77777777" w:rsidR="0021298F" w:rsidRPr="00D648AB" w:rsidRDefault="0021298F" w:rsidP="00760009">
            <w:pPr>
              <w:jc w:val="right"/>
              <w:rPr>
                <w:rFonts w:ascii="Arial" w:eastAsia="Times New Roman" w:hAnsi="Arial" w:cs="Arial"/>
                <w:b/>
                <w:bCs/>
                <w:color w:val="000000"/>
                <w:lang w:eastAsia="en-GB"/>
              </w:rPr>
            </w:pPr>
            <w:r w:rsidRPr="00D648AB">
              <w:rPr>
                <w:rFonts w:ascii="Arial" w:eastAsia="Times New Roman" w:hAnsi="Arial" w:cs="Arial"/>
                <w:b/>
                <w:bCs/>
                <w:color w:val="000000"/>
                <w:lang w:eastAsia="en-GB"/>
              </w:rPr>
              <w:t> </w:t>
            </w:r>
          </w:p>
        </w:tc>
        <w:tc>
          <w:tcPr>
            <w:tcW w:w="2216" w:type="dxa"/>
            <w:tcBorders>
              <w:top w:val="nil"/>
              <w:left w:val="nil"/>
              <w:bottom w:val="nil"/>
              <w:right w:val="nil"/>
            </w:tcBorders>
            <w:shd w:val="clear" w:color="000000" w:fill="EDFFB7"/>
            <w:vAlign w:val="center"/>
            <w:hideMark/>
          </w:tcPr>
          <w:p w14:paraId="302C5434" w14:textId="77777777" w:rsidR="0021298F" w:rsidRPr="00D648AB" w:rsidRDefault="0021298F" w:rsidP="00760009">
            <w:pPr>
              <w:jc w:val="right"/>
              <w:rPr>
                <w:rFonts w:ascii="Arial" w:eastAsia="Times New Roman" w:hAnsi="Arial" w:cs="Arial"/>
                <w:b/>
                <w:bCs/>
                <w:color w:val="000000"/>
                <w:lang w:eastAsia="en-GB"/>
              </w:rPr>
            </w:pPr>
            <w:r w:rsidRPr="00D648AB">
              <w:rPr>
                <w:rFonts w:ascii="Arial" w:eastAsia="Times New Roman" w:hAnsi="Arial" w:cs="Arial"/>
                <w:b/>
                <w:bCs/>
                <w:color w:val="000000"/>
                <w:lang w:eastAsia="en-GB"/>
              </w:rPr>
              <w:t>3,713</w:t>
            </w:r>
          </w:p>
        </w:tc>
        <w:tc>
          <w:tcPr>
            <w:tcW w:w="2268" w:type="dxa"/>
            <w:tcBorders>
              <w:top w:val="nil"/>
              <w:left w:val="nil"/>
              <w:bottom w:val="nil"/>
              <w:right w:val="nil"/>
            </w:tcBorders>
            <w:shd w:val="clear" w:color="000000" w:fill="FFFFFF"/>
            <w:vAlign w:val="center"/>
            <w:hideMark/>
          </w:tcPr>
          <w:p w14:paraId="2FA71759" w14:textId="77777777" w:rsidR="0021298F" w:rsidRPr="00D648AB" w:rsidRDefault="0021298F" w:rsidP="00760009">
            <w:pPr>
              <w:jc w:val="right"/>
              <w:rPr>
                <w:rFonts w:ascii="Arial" w:eastAsia="Times New Roman" w:hAnsi="Arial" w:cs="Arial"/>
                <w:color w:val="000000"/>
                <w:lang w:eastAsia="en-GB"/>
              </w:rPr>
            </w:pPr>
            <w:r w:rsidRPr="00D648AB">
              <w:rPr>
                <w:rFonts w:ascii="Arial" w:eastAsia="Times New Roman" w:hAnsi="Arial" w:cs="Arial"/>
                <w:color w:val="000000"/>
                <w:lang w:eastAsia="en-GB"/>
              </w:rPr>
              <w:t>2,939</w:t>
            </w:r>
          </w:p>
        </w:tc>
      </w:tr>
      <w:tr w:rsidR="0021298F" w:rsidRPr="00D648AB" w14:paraId="4696CEAC" w14:textId="77777777" w:rsidTr="00760009">
        <w:trPr>
          <w:trHeight w:val="300"/>
        </w:trPr>
        <w:tc>
          <w:tcPr>
            <w:tcW w:w="4736" w:type="dxa"/>
            <w:tcBorders>
              <w:top w:val="nil"/>
              <w:left w:val="nil"/>
              <w:bottom w:val="nil"/>
              <w:right w:val="nil"/>
            </w:tcBorders>
            <w:shd w:val="clear" w:color="000000" w:fill="FFFFFF"/>
            <w:vAlign w:val="center"/>
            <w:hideMark/>
          </w:tcPr>
          <w:p w14:paraId="43DAA010" w14:textId="77777777" w:rsidR="0021298F" w:rsidRPr="00D648AB" w:rsidRDefault="0021298F" w:rsidP="00760009">
            <w:pPr>
              <w:rPr>
                <w:rFonts w:ascii="Arial" w:eastAsia="Times New Roman" w:hAnsi="Arial" w:cs="Arial"/>
                <w:color w:val="000000"/>
                <w:lang w:eastAsia="en-GB"/>
              </w:rPr>
            </w:pPr>
            <w:r w:rsidRPr="00D648AB">
              <w:rPr>
                <w:rFonts w:ascii="Arial" w:eastAsia="Times New Roman" w:hAnsi="Arial" w:cs="Arial"/>
                <w:color w:val="000000"/>
                <w:lang w:eastAsia="en-GB"/>
              </w:rPr>
              <w:t>Prepayments</w:t>
            </w:r>
          </w:p>
        </w:tc>
        <w:tc>
          <w:tcPr>
            <w:tcW w:w="278" w:type="dxa"/>
            <w:tcBorders>
              <w:top w:val="nil"/>
              <w:left w:val="nil"/>
              <w:bottom w:val="nil"/>
              <w:right w:val="nil"/>
            </w:tcBorders>
            <w:shd w:val="clear" w:color="000000" w:fill="EDFFB7"/>
            <w:vAlign w:val="center"/>
            <w:hideMark/>
          </w:tcPr>
          <w:p w14:paraId="353B7036" w14:textId="77777777" w:rsidR="0021298F" w:rsidRPr="00D648AB" w:rsidRDefault="0021298F" w:rsidP="00760009">
            <w:pPr>
              <w:jc w:val="right"/>
              <w:rPr>
                <w:rFonts w:ascii="Arial" w:eastAsia="Times New Roman" w:hAnsi="Arial" w:cs="Arial"/>
                <w:b/>
                <w:bCs/>
                <w:color w:val="000000"/>
                <w:lang w:eastAsia="en-GB"/>
              </w:rPr>
            </w:pPr>
            <w:r w:rsidRPr="00D648AB">
              <w:rPr>
                <w:rFonts w:ascii="Arial" w:eastAsia="Times New Roman" w:hAnsi="Arial" w:cs="Arial"/>
                <w:b/>
                <w:bCs/>
                <w:color w:val="000000"/>
                <w:lang w:eastAsia="en-GB"/>
              </w:rPr>
              <w:t> </w:t>
            </w:r>
          </w:p>
        </w:tc>
        <w:tc>
          <w:tcPr>
            <w:tcW w:w="2216" w:type="dxa"/>
            <w:tcBorders>
              <w:top w:val="nil"/>
              <w:left w:val="nil"/>
              <w:bottom w:val="nil"/>
              <w:right w:val="nil"/>
            </w:tcBorders>
            <w:shd w:val="clear" w:color="000000" w:fill="EDFFB7"/>
            <w:vAlign w:val="center"/>
            <w:hideMark/>
          </w:tcPr>
          <w:p w14:paraId="444C9EC2" w14:textId="77777777" w:rsidR="0021298F" w:rsidRPr="00D648AB" w:rsidRDefault="0021298F" w:rsidP="00760009">
            <w:pPr>
              <w:jc w:val="right"/>
              <w:rPr>
                <w:rFonts w:ascii="Arial" w:eastAsia="Times New Roman" w:hAnsi="Arial" w:cs="Arial"/>
                <w:b/>
                <w:bCs/>
                <w:color w:val="000000"/>
                <w:lang w:eastAsia="en-GB"/>
              </w:rPr>
            </w:pPr>
            <w:r w:rsidRPr="00D648AB">
              <w:rPr>
                <w:rFonts w:ascii="Arial" w:eastAsia="Times New Roman" w:hAnsi="Arial" w:cs="Arial"/>
                <w:b/>
                <w:bCs/>
                <w:color w:val="000000"/>
                <w:lang w:eastAsia="en-GB"/>
              </w:rPr>
              <w:t>34</w:t>
            </w:r>
          </w:p>
        </w:tc>
        <w:tc>
          <w:tcPr>
            <w:tcW w:w="2268" w:type="dxa"/>
            <w:tcBorders>
              <w:top w:val="nil"/>
              <w:left w:val="nil"/>
              <w:bottom w:val="nil"/>
              <w:right w:val="nil"/>
            </w:tcBorders>
            <w:shd w:val="clear" w:color="000000" w:fill="FFFFFF"/>
            <w:vAlign w:val="center"/>
            <w:hideMark/>
          </w:tcPr>
          <w:p w14:paraId="4A735BD5" w14:textId="77777777" w:rsidR="0021298F" w:rsidRPr="00D648AB" w:rsidRDefault="0021298F" w:rsidP="00760009">
            <w:pPr>
              <w:jc w:val="right"/>
              <w:rPr>
                <w:rFonts w:ascii="Arial" w:eastAsia="Times New Roman" w:hAnsi="Arial" w:cs="Arial"/>
                <w:color w:val="000000"/>
                <w:lang w:eastAsia="en-GB"/>
              </w:rPr>
            </w:pPr>
            <w:r w:rsidRPr="00D648AB">
              <w:rPr>
                <w:rFonts w:ascii="Arial" w:eastAsia="Times New Roman" w:hAnsi="Arial" w:cs="Arial"/>
                <w:color w:val="000000"/>
                <w:lang w:eastAsia="en-GB"/>
              </w:rPr>
              <w:t>28</w:t>
            </w:r>
          </w:p>
        </w:tc>
      </w:tr>
      <w:tr w:rsidR="0021298F" w:rsidRPr="00D648AB" w14:paraId="035835C7" w14:textId="77777777" w:rsidTr="00760009">
        <w:trPr>
          <w:trHeight w:val="300"/>
        </w:trPr>
        <w:tc>
          <w:tcPr>
            <w:tcW w:w="4736" w:type="dxa"/>
            <w:tcBorders>
              <w:top w:val="nil"/>
              <w:left w:val="nil"/>
              <w:bottom w:val="nil"/>
              <w:right w:val="nil"/>
            </w:tcBorders>
            <w:shd w:val="clear" w:color="000000" w:fill="FFFFFF"/>
            <w:vAlign w:val="center"/>
            <w:hideMark/>
          </w:tcPr>
          <w:p w14:paraId="22838396" w14:textId="77777777" w:rsidR="0021298F" w:rsidRPr="00D648AB" w:rsidRDefault="0021298F" w:rsidP="00760009">
            <w:pPr>
              <w:rPr>
                <w:rFonts w:ascii="Arial" w:eastAsia="Times New Roman" w:hAnsi="Arial" w:cs="Arial"/>
                <w:color w:val="000000"/>
                <w:lang w:eastAsia="en-GB"/>
              </w:rPr>
            </w:pPr>
            <w:r w:rsidRPr="00D648AB">
              <w:rPr>
                <w:rFonts w:ascii="Arial" w:eastAsia="Times New Roman" w:hAnsi="Arial" w:cs="Arial"/>
                <w:color w:val="000000"/>
                <w:lang w:eastAsia="en-GB"/>
              </w:rPr>
              <w:t>VAT receivable</w:t>
            </w:r>
          </w:p>
        </w:tc>
        <w:tc>
          <w:tcPr>
            <w:tcW w:w="278" w:type="dxa"/>
            <w:tcBorders>
              <w:top w:val="nil"/>
              <w:left w:val="nil"/>
              <w:bottom w:val="nil"/>
              <w:right w:val="nil"/>
            </w:tcBorders>
            <w:shd w:val="clear" w:color="000000" w:fill="EDFFB7"/>
            <w:vAlign w:val="center"/>
            <w:hideMark/>
          </w:tcPr>
          <w:p w14:paraId="2A5BE8EF" w14:textId="77777777" w:rsidR="0021298F" w:rsidRPr="00D648AB" w:rsidRDefault="0021298F" w:rsidP="00760009">
            <w:pPr>
              <w:jc w:val="right"/>
              <w:rPr>
                <w:rFonts w:ascii="Arial" w:eastAsia="Times New Roman" w:hAnsi="Arial" w:cs="Arial"/>
                <w:b/>
                <w:bCs/>
                <w:color w:val="000000"/>
                <w:lang w:eastAsia="en-GB"/>
              </w:rPr>
            </w:pPr>
            <w:r w:rsidRPr="00D648AB">
              <w:rPr>
                <w:rFonts w:ascii="Arial" w:eastAsia="Times New Roman" w:hAnsi="Arial" w:cs="Arial"/>
                <w:b/>
                <w:bCs/>
                <w:color w:val="000000"/>
                <w:lang w:eastAsia="en-GB"/>
              </w:rPr>
              <w:t> </w:t>
            </w:r>
          </w:p>
        </w:tc>
        <w:tc>
          <w:tcPr>
            <w:tcW w:w="2216" w:type="dxa"/>
            <w:tcBorders>
              <w:top w:val="nil"/>
              <w:left w:val="nil"/>
              <w:bottom w:val="nil"/>
              <w:right w:val="nil"/>
            </w:tcBorders>
            <w:shd w:val="clear" w:color="000000" w:fill="EDFFB7"/>
            <w:vAlign w:val="center"/>
            <w:hideMark/>
          </w:tcPr>
          <w:p w14:paraId="2303F1B1" w14:textId="77777777" w:rsidR="0021298F" w:rsidRPr="00D648AB" w:rsidRDefault="0021298F" w:rsidP="00760009">
            <w:pPr>
              <w:jc w:val="right"/>
              <w:rPr>
                <w:rFonts w:ascii="Arial" w:eastAsia="Times New Roman" w:hAnsi="Arial" w:cs="Arial"/>
                <w:b/>
                <w:bCs/>
                <w:color w:val="000000"/>
                <w:lang w:eastAsia="en-GB"/>
              </w:rPr>
            </w:pPr>
            <w:r w:rsidRPr="00D648AB">
              <w:rPr>
                <w:rFonts w:ascii="Arial" w:eastAsia="Times New Roman" w:hAnsi="Arial" w:cs="Arial"/>
                <w:b/>
                <w:bCs/>
                <w:color w:val="000000"/>
                <w:lang w:eastAsia="en-GB"/>
              </w:rPr>
              <w:t>25</w:t>
            </w:r>
          </w:p>
        </w:tc>
        <w:tc>
          <w:tcPr>
            <w:tcW w:w="2268" w:type="dxa"/>
            <w:tcBorders>
              <w:top w:val="nil"/>
              <w:left w:val="nil"/>
              <w:bottom w:val="nil"/>
              <w:right w:val="nil"/>
            </w:tcBorders>
            <w:shd w:val="clear" w:color="000000" w:fill="FFFFFF"/>
            <w:vAlign w:val="center"/>
            <w:hideMark/>
          </w:tcPr>
          <w:p w14:paraId="695BD71C" w14:textId="77777777" w:rsidR="0021298F" w:rsidRPr="00D648AB" w:rsidRDefault="0021298F" w:rsidP="00760009">
            <w:pPr>
              <w:jc w:val="right"/>
              <w:rPr>
                <w:rFonts w:ascii="Arial" w:eastAsia="Times New Roman" w:hAnsi="Arial" w:cs="Arial"/>
                <w:color w:val="000000"/>
                <w:lang w:eastAsia="en-GB"/>
              </w:rPr>
            </w:pPr>
            <w:r w:rsidRPr="00D648AB">
              <w:rPr>
                <w:rFonts w:ascii="Arial" w:eastAsia="Times New Roman" w:hAnsi="Arial" w:cs="Arial"/>
                <w:color w:val="000000"/>
                <w:lang w:eastAsia="en-GB"/>
              </w:rPr>
              <w:t>22</w:t>
            </w:r>
          </w:p>
        </w:tc>
      </w:tr>
      <w:tr w:rsidR="0021298F" w:rsidRPr="00D648AB" w14:paraId="3059C35A" w14:textId="77777777" w:rsidTr="00760009">
        <w:trPr>
          <w:trHeight w:val="300"/>
        </w:trPr>
        <w:tc>
          <w:tcPr>
            <w:tcW w:w="4736" w:type="dxa"/>
            <w:tcBorders>
              <w:top w:val="nil"/>
              <w:left w:val="nil"/>
              <w:bottom w:val="nil"/>
              <w:right w:val="nil"/>
            </w:tcBorders>
            <w:shd w:val="clear" w:color="000000" w:fill="FFFFFF"/>
            <w:vAlign w:val="center"/>
            <w:hideMark/>
          </w:tcPr>
          <w:p w14:paraId="6A13B648" w14:textId="77777777" w:rsidR="0021298F" w:rsidRPr="00D648AB" w:rsidRDefault="0021298F" w:rsidP="00760009">
            <w:pPr>
              <w:rPr>
                <w:rFonts w:ascii="Arial" w:eastAsia="Times New Roman" w:hAnsi="Arial" w:cs="Arial"/>
                <w:color w:val="000000"/>
                <w:lang w:eastAsia="en-GB"/>
              </w:rPr>
            </w:pPr>
            <w:r w:rsidRPr="00D648AB">
              <w:rPr>
                <w:rFonts w:ascii="Arial" w:eastAsia="Times New Roman" w:hAnsi="Arial" w:cs="Arial"/>
                <w:color w:val="000000"/>
                <w:lang w:eastAsia="en-GB"/>
              </w:rPr>
              <w:t>Accrued income</w:t>
            </w:r>
          </w:p>
        </w:tc>
        <w:tc>
          <w:tcPr>
            <w:tcW w:w="278" w:type="dxa"/>
            <w:tcBorders>
              <w:top w:val="nil"/>
              <w:left w:val="nil"/>
              <w:bottom w:val="single" w:sz="4" w:space="0" w:color="auto"/>
              <w:right w:val="nil"/>
            </w:tcBorders>
            <w:shd w:val="clear" w:color="000000" w:fill="EDFFB7"/>
            <w:vAlign w:val="center"/>
            <w:hideMark/>
          </w:tcPr>
          <w:p w14:paraId="1144E1B1" w14:textId="77777777" w:rsidR="0021298F" w:rsidRPr="00D648AB" w:rsidRDefault="0021298F" w:rsidP="00760009">
            <w:pPr>
              <w:jc w:val="right"/>
              <w:rPr>
                <w:rFonts w:ascii="Arial" w:eastAsia="Times New Roman" w:hAnsi="Arial" w:cs="Arial"/>
                <w:b/>
                <w:bCs/>
                <w:color w:val="000000"/>
                <w:lang w:eastAsia="en-GB"/>
              </w:rPr>
            </w:pPr>
            <w:r w:rsidRPr="00D648AB">
              <w:rPr>
                <w:rFonts w:ascii="Arial" w:eastAsia="Times New Roman" w:hAnsi="Arial" w:cs="Arial"/>
                <w:b/>
                <w:bCs/>
                <w:color w:val="000000"/>
                <w:lang w:eastAsia="en-GB"/>
              </w:rPr>
              <w:t> </w:t>
            </w:r>
          </w:p>
        </w:tc>
        <w:tc>
          <w:tcPr>
            <w:tcW w:w="2216" w:type="dxa"/>
            <w:tcBorders>
              <w:top w:val="nil"/>
              <w:left w:val="nil"/>
              <w:bottom w:val="single" w:sz="4" w:space="0" w:color="auto"/>
              <w:right w:val="nil"/>
            </w:tcBorders>
            <w:shd w:val="clear" w:color="000000" w:fill="EDFFB7"/>
            <w:vAlign w:val="center"/>
            <w:hideMark/>
          </w:tcPr>
          <w:p w14:paraId="1A930E9B" w14:textId="77777777" w:rsidR="0021298F" w:rsidRPr="00D648AB" w:rsidRDefault="0021298F" w:rsidP="00760009">
            <w:pPr>
              <w:jc w:val="right"/>
              <w:rPr>
                <w:rFonts w:ascii="Arial" w:eastAsia="Times New Roman" w:hAnsi="Arial" w:cs="Arial"/>
                <w:b/>
                <w:bCs/>
                <w:color w:val="000000"/>
                <w:lang w:eastAsia="en-GB"/>
              </w:rPr>
            </w:pPr>
            <w:r w:rsidRPr="00D648AB">
              <w:rPr>
                <w:rFonts w:ascii="Arial" w:eastAsia="Times New Roman" w:hAnsi="Arial" w:cs="Arial"/>
                <w:b/>
                <w:bCs/>
                <w:color w:val="000000"/>
                <w:lang w:eastAsia="en-GB"/>
              </w:rPr>
              <w:t>-</w:t>
            </w:r>
          </w:p>
        </w:tc>
        <w:tc>
          <w:tcPr>
            <w:tcW w:w="2268" w:type="dxa"/>
            <w:tcBorders>
              <w:top w:val="nil"/>
              <w:left w:val="nil"/>
              <w:bottom w:val="single" w:sz="4" w:space="0" w:color="auto"/>
              <w:right w:val="nil"/>
            </w:tcBorders>
            <w:shd w:val="clear" w:color="000000" w:fill="FFFFFF"/>
            <w:vAlign w:val="center"/>
            <w:hideMark/>
          </w:tcPr>
          <w:p w14:paraId="16A418D8" w14:textId="77777777" w:rsidR="0021298F" w:rsidRPr="00D648AB" w:rsidRDefault="0021298F" w:rsidP="00760009">
            <w:pPr>
              <w:jc w:val="right"/>
              <w:rPr>
                <w:rFonts w:ascii="Arial" w:eastAsia="Times New Roman" w:hAnsi="Arial" w:cs="Arial"/>
                <w:color w:val="000000"/>
                <w:lang w:eastAsia="en-GB"/>
              </w:rPr>
            </w:pPr>
            <w:r w:rsidRPr="00D648AB">
              <w:rPr>
                <w:rFonts w:ascii="Arial" w:eastAsia="Times New Roman" w:hAnsi="Arial" w:cs="Arial"/>
                <w:color w:val="000000"/>
                <w:lang w:eastAsia="en-GB"/>
              </w:rPr>
              <w:t>26</w:t>
            </w:r>
          </w:p>
        </w:tc>
      </w:tr>
      <w:tr w:rsidR="0021298F" w:rsidRPr="00D648AB" w14:paraId="50650C2B" w14:textId="77777777" w:rsidTr="00760009">
        <w:trPr>
          <w:trHeight w:val="360"/>
        </w:trPr>
        <w:tc>
          <w:tcPr>
            <w:tcW w:w="4736" w:type="dxa"/>
            <w:tcBorders>
              <w:top w:val="single" w:sz="4" w:space="0" w:color="auto"/>
              <w:left w:val="nil"/>
              <w:bottom w:val="single" w:sz="8" w:space="0" w:color="auto"/>
              <w:right w:val="nil"/>
            </w:tcBorders>
            <w:shd w:val="clear" w:color="000000" w:fill="FFFFFF"/>
            <w:noWrap/>
            <w:vAlign w:val="bottom"/>
            <w:hideMark/>
          </w:tcPr>
          <w:p w14:paraId="7EA825F7" w14:textId="77777777" w:rsidR="0021298F" w:rsidRPr="00D648AB" w:rsidRDefault="0021298F" w:rsidP="00760009">
            <w:pPr>
              <w:rPr>
                <w:rFonts w:ascii="Calibri" w:eastAsia="Times New Roman" w:hAnsi="Calibri" w:cs="Calibri"/>
                <w:color w:val="000000"/>
                <w:lang w:eastAsia="en-GB"/>
              </w:rPr>
            </w:pPr>
            <w:r w:rsidRPr="00D648AB">
              <w:rPr>
                <w:rFonts w:ascii="Calibri" w:eastAsia="Times New Roman" w:hAnsi="Calibri" w:cs="Calibri"/>
                <w:color w:val="000000"/>
                <w:lang w:eastAsia="en-GB"/>
              </w:rPr>
              <w:t> </w:t>
            </w:r>
          </w:p>
        </w:tc>
        <w:tc>
          <w:tcPr>
            <w:tcW w:w="278" w:type="dxa"/>
            <w:tcBorders>
              <w:top w:val="nil"/>
              <w:left w:val="nil"/>
              <w:bottom w:val="single" w:sz="8" w:space="0" w:color="auto"/>
              <w:right w:val="nil"/>
            </w:tcBorders>
            <w:shd w:val="clear" w:color="000000" w:fill="EDFFB7"/>
            <w:vAlign w:val="center"/>
            <w:hideMark/>
          </w:tcPr>
          <w:p w14:paraId="13C55F82" w14:textId="77777777" w:rsidR="0021298F" w:rsidRPr="00D648AB" w:rsidRDefault="0021298F" w:rsidP="00760009">
            <w:pPr>
              <w:jc w:val="right"/>
              <w:rPr>
                <w:rFonts w:ascii="Arial" w:eastAsia="Times New Roman" w:hAnsi="Arial" w:cs="Arial"/>
                <w:b/>
                <w:bCs/>
                <w:color w:val="000000"/>
                <w:lang w:eastAsia="en-GB"/>
              </w:rPr>
            </w:pPr>
            <w:r w:rsidRPr="00D648AB">
              <w:rPr>
                <w:rFonts w:ascii="Arial" w:eastAsia="Times New Roman" w:hAnsi="Arial" w:cs="Arial"/>
                <w:b/>
                <w:bCs/>
                <w:color w:val="000000"/>
                <w:lang w:eastAsia="en-GB"/>
              </w:rPr>
              <w:t> </w:t>
            </w:r>
          </w:p>
        </w:tc>
        <w:tc>
          <w:tcPr>
            <w:tcW w:w="2216" w:type="dxa"/>
            <w:tcBorders>
              <w:top w:val="nil"/>
              <w:left w:val="nil"/>
              <w:bottom w:val="single" w:sz="8" w:space="0" w:color="auto"/>
              <w:right w:val="nil"/>
            </w:tcBorders>
            <w:shd w:val="clear" w:color="000000" w:fill="EDFFB7"/>
            <w:vAlign w:val="center"/>
            <w:hideMark/>
          </w:tcPr>
          <w:p w14:paraId="15EDAB90" w14:textId="77777777" w:rsidR="0021298F" w:rsidRPr="00D648AB" w:rsidRDefault="0021298F" w:rsidP="00760009">
            <w:pPr>
              <w:jc w:val="right"/>
              <w:rPr>
                <w:rFonts w:ascii="Arial" w:eastAsia="Times New Roman" w:hAnsi="Arial" w:cs="Arial"/>
                <w:b/>
                <w:bCs/>
                <w:color w:val="000000"/>
                <w:lang w:eastAsia="en-GB"/>
              </w:rPr>
            </w:pPr>
            <w:r w:rsidRPr="00D648AB">
              <w:rPr>
                <w:rFonts w:ascii="Arial" w:eastAsia="Times New Roman" w:hAnsi="Arial" w:cs="Arial"/>
                <w:b/>
                <w:bCs/>
                <w:color w:val="000000"/>
                <w:lang w:eastAsia="en-GB"/>
              </w:rPr>
              <w:t>3,772</w:t>
            </w:r>
          </w:p>
        </w:tc>
        <w:tc>
          <w:tcPr>
            <w:tcW w:w="2268" w:type="dxa"/>
            <w:tcBorders>
              <w:top w:val="nil"/>
              <w:left w:val="nil"/>
              <w:bottom w:val="single" w:sz="8" w:space="0" w:color="auto"/>
              <w:right w:val="nil"/>
            </w:tcBorders>
            <w:shd w:val="clear" w:color="000000" w:fill="FFFFFF"/>
            <w:vAlign w:val="center"/>
            <w:hideMark/>
          </w:tcPr>
          <w:p w14:paraId="59DB62AA" w14:textId="77777777" w:rsidR="0021298F" w:rsidRPr="00D648AB" w:rsidRDefault="0021298F" w:rsidP="00760009">
            <w:pPr>
              <w:jc w:val="right"/>
              <w:rPr>
                <w:rFonts w:ascii="Arial" w:eastAsia="Times New Roman" w:hAnsi="Arial" w:cs="Arial"/>
                <w:b/>
                <w:bCs/>
                <w:color w:val="000000"/>
                <w:lang w:eastAsia="en-GB"/>
              </w:rPr>
            </w:pPr>
            <w:r w:rsidRPr="00D648AB">
              <w:rPr>
                <w:rFonts w:ascii="Arial" w:eastAsia="Times New Roman" w:hAnsi="Arial" w:cs="Arial"/>
                <w:b/>
                <w:bCs/>
                <w:color w:val="000000"/>
                <w:lang w:eastAsia="en-GB"/>
              </w:rPr>
              <w:t>3,015</w:t>
            </w:r>
          </w:p>
        </w:tc>
      </w:tr>
    </w:tbl>
    <w:p w14:paraId="4F90A37D" w14:textId="77777777" w:rsidR="0021298F" w:rsidRPr="00AE47CC" w:rsidRDefault="0021298F" w:rsidP="0021298F">
      <w:pPr>
        <w:rPr>
          <w:lang w:eastAsia="en-GB"/>
        </w:rPr>
      </w:pPr>
    </w:p>
    <w:p w14:paraId="7ADCD264" w14:textId="77777777" w:rsidR="0021298F" w:rsidRPr="00245E0A" w:rsidRDefault="0021298F" w:rsidP="0021298F">
      <w:pPr>
        <w:jc w:val="both"/>
        <w:rPr>
          <w:rFonts w:ascii="Arial" w:hAnsi="Arial" w:cs="Arial"/>
          <w:color w:val="000000" w:themeColor="text1"/>
        </w:rPr>
      </w:pPr>
      <w:r w:rsidRPr="00245E0A">
        <w:rPr>
          <w:rFonts w:ascii="Arial" w:hAnsi="Arial" w:cs="Arial"/>
          <w:color w:val="000000" w:themeColor="text1"/>
        </w:rPr>
        <w:t>The</w:t>
      </w:r>
      <w:r>
        <w:rPr>
          <w:rFonts w:ascii="Arial" w:hAnsi="Arial" w:cs="Arial"/>
          <w:color w:val="000000" w:themeColor="text1"/>
        </w:rPr>
        <w:t xml:space="preserve"> Company</w:t>
      </w:r>
      <w:r w:rsidRPr="00245E0A">
        <w:rPr>
          <w:rFonts w:ascii="Arial" w:hAnsi="Arial" w:cs="Arial"/>
          <w:color w:val="000000" w:themeColor="text1"/>
        </w:rPr>
        <w:t xml:space="preserve"> </w:t>
      </w:r>
      <w:r>
        <w:rPr>
          <w:rFonts w:ascii="Arial" w:hAnsi="Arial" w:cs="Arial"/>
          <w:color w:val="000000" w:themeColor="text1"/>
        </w:rPr>
        <w:t>has reviewed the receivable from wind farm SPV’s in accordance with IFRS 9 “</w:t>
      </w:r>
      <w:r w:rsidRPr="00C414B8">
        <w:rPr>
          <w:rFonts w:ascii="Arial" w:hAnsi="Arial" w:cs="Arial"/>
          <w:color w:val="000000" w:themeColor="text1"/>
        </w:rPr>
        <w:t>Financial Instruments</w:t>
      </w:r>
      <w:r>
        <w:rPr>
          <w:rFonts w:ascii="Arial" w:hAnsi="Arial" w:cs="Arial"/>
          <w:color w:val="000000" w:themeColor="text1"/>
        </w:rPr>
        <w:t xml:space="preserve">” and has not accounted for any expected credit losses. At the 28 February 2021, the current balance outstanding is </w:t>
      </w:r>
      <w:r w:rsidRPr="00D91C85">
        <w:rPr>
          <w:rFonts w:ascii="Arial" w:hAnsi="Arial" w:cs="Arial"/>
          <w:color w:val="000000" w:themeColor="text1"/>
        </w:rPr>
        <w:t>€</w:t>
      </w:r>
      <w:r>
        <w:rPr>
          <w:rFonts w:ascii="Arial" w:hAnsi="Arial" w:cs="Arial"/>
          <w:color w:val="000000" w:themeColor="text1"/>
        </w:rPr>
        <w:t>nil</w:t>
      </w:r>
      <w:r w:rsidRPr="0073684C">
        <w:rPr>
          <w:rFonts w:ascii="Arial" w:hAnsi="Arial" w:cs="Arial"/>
          <w:color w:val="000000" w:themeColor="text1"/>
        </w:rPr>
        <w:t>.</w:t>
      </w:r>
    </w:p>
    <w:p w14:paraId="04803A52" w14:textId="77777777" w:rsidR="0021298F" w:rsidRPr="005D733B" w:rsidRDefault="0021298F" w:rsidP="0021298F">
      <w:pPr>
        <w:rPr>
          <w:rFonts w:ascii="Arial" w:hAnsi="Arial" w:cs="Arial"/>
          <w:b/>
        </w:rPr>
      </w:pPr>
    </w:p>
    <w:p w14:paraId="464A1628" w14:textId="77777777" w:rsidR="0021298F" w:rsidRDefault="0021298F" w:rsidP="0021298F">
      <w:pPr>
        <w:pStyle w:val="Heading2"/>
        <w:keepNext w:val="0"/>
        <w:keepLines w:val="0"/>
        <w:numPr>
          <w:ilvl w:val="0"/>
          <w:numId w:val="43"/>
        </w:numPr>
        <w:tabs>
          <w:tab w:val="left" w:pos="426"/>
        </w:tabs>
        <w:spacing w:before="0" w:line="240" w:lineRule="auto"/>
        <w:jc w:val="both"/>
        <w:rPr>
          <w:rFonts w:ascii="Arial" w:hAnsi="Arial" w:cs="Arial"/>
          <w:color w:val="auto"/>
          <w:sz w:val="24"/>
          <w:szCs w:val="22"/>
          <w:lang w:eastAsia="en-GB"/>
        </w:rPr>
      </w:pPr>
      <w:r>
        <w:rPr>
          <w:rFonts w:ascii="Arial" w:hAnsi="Arial" w:cs="Arial"/>
          <w:color w:val="auto"/>
          <w:sz w:val="24"/>
          <w:szCs w:val="22"/>
          <w:lang w:eastAsia="en-GB"/>
        </w:rPr>
        <w:t xml:space="preserve"> </w:t>
      </w:r>
      <w:r w:rsidRPr="00834BCB">
        <w:rPr>
          <w:rFonts w:ascii="Arial" w:hAnsi="Arial" w:cs="Arial"/>
          <w:color w:val="auto"/>
          <w:sz w:val="24"/>
          <w:szCs w:val="22"/>
          <w:lang w:eastAsia="en-GB"/>
        </w:rPr>
        <w:t xml:space="preserve">Payables </w:t>
      </w:r>
    </w:p>
    <w:tbl>
      <w:tblPr>
        <w:tblW w:w="9567" w:type="dxa"/>
        <w:tblLook w:val="04A0" w:firstRow="1" w:lastRow="0" w:firstColumn="1" w:lastColumn="0" w:noHBand="0" w:noVBand="1"/>
      </w:tblPr>
      <w:tblGrid>
        <w:gridCol w:w="4710"/>
        <w:gridCol w:w="271"/>
        <w:gridCol w:w="2392"/>
        <w:gridCol w:w="2194"/>
      </w:tblGrid>
      <w:tr w:rsidR="0021298F" w:rsidRPr="00D648AB" w14:paraId="7C1A1259" w14:textId="77777777" w:rsidTr="00760009">
        <w:trPr>
          <w:trHeight w:val="300"/>
        </w:trPr>
        <w:tc>
          <w:tcPr>
            <w:tcW w:w="4710" w:type="dxa"/>
            <w:tcBorders>
              <w:top w:val="nil"/>
              <w:left w:val="nil"/>
              <w:bottom w:val="nil"/>
              <w:right w:val="nil"/>
            </w:tcBorders>
            <w:shd w:val="clear" w:color="000000" w:fill="FFFFFF"/>
            <w:vAlign w:val="center"/>
            <w:hideMark/>
          </w:tcPr>
          <w:p w14:paraId="2340E97B" w14:textId="77777777" w:rsidR="0021298F" w:rsidRPr="006F379C" w:rsidRDefault="0021298F" w:rsidP="00760009">
            <w:pPr>
              <w:jc w:val="both"/>
              <w:rPr>
                <w:rFonts w:ascii="Arial" w:eastAsia="Times New Roman" w:hAnsi="Arial" w:cs="Arial"/>
                <w:b/>
                <w:bCs/>
                <w:color w:val="000000"/>
                <w:lang w:eastAsia="en-GB"/>
              </w:rPr>
            </w:pPr>
          </w:p>
        </w:tc>
        <w:tc>
          <w:tcPr>
            <w:tcW w:w="266" w:type="dxa"/>
            <w:tcBorders>
              <w:top w:val="nil"/>
              <w:left w:val="nil"/>
              <w:right w:val="nil"/>
            </w:tcBorders>
            <w:shd w:val="clear" w:color="auto" w:fill="auto"/>
            <w:noWrap/>
            <w:vAlign w:val="bottom"/>
            <w:hideMark/>
          </w:tcPr>
          <w:p w14:paraId="0C49CB35" w14:textId="77777777" w:rsidR="0021298F" w:rsidRPr="00D648AB" w:rsidRDefault="0021298F" w:rsidP="00760009">
            <w:pPr>
              <w:jc w:val="both"/>
              <w:rPr>
                <w:rFonts w:ascii="Arial" w:eastAsia="Times New Roman" w:hAnsi="Arial" w:cs="Arial"/>
                <w:b/>
                <w:bCs/>
                <w:color w:val="000000"/>
                <w:lang w:eastAsia="en-GB"/>
              </w:rPr>
            </w:pPr>
          </w:p>
        </w:tc>
        <w:tc>
          <w:tcPr>
            <w:tcW w:w="2395" w:type="dxa"/>
            <w:tcBorders>
              <w:top w:val="nil"/>
              <w:left w:val="nil"/>
              <w:bottom w:val="nil"/>
              <w:right w:val="nil"/>
            </w:tcBorders>
            <w:shd w:val="clear" w:color="000000" w:fill="FFFFFF"/>
            <w:vAlign w:val="center"/>
            <w:hideMark/>
          </w:tcPr>
          <w:p w14:paraId="06057A96" w14:textId="77777777" w:rsidR="0021298F" w:rsidRPr="00D648AB" w:rsidRDefault="0021298F" w:rsidP="00760009">
            <w:pPr>
              <w:jc w:val="right"/>
              <w:rPr>
                <w:rFonts w:ascii="Arial" w:eastAsia="Times New Roman" w:hAnsi="Arial" w:cs="Arial"/>
                <w:b/>
                <w:bCs/>
                <w:color w:val="000000"/>
                <w:lang w:eastAsia="en-GB"/>
              </w:rPr>
            </w:pPr>
            <w:r w:rsidRPr="00D648AB">
              <w:rPr>
                <w:rFonts w:ascii="Arial" w:eastAsia="Times New Roman" w:hAnsi="Arial" w:cs="Arial"/>
                <w:b/>
                <w:bCs/>
                <w:color w:val="000000"/>
                <w:lang w:eastAsia="en-GB"/>
              </w:rPr>
              <w:t>31 December 2020</w:t>
            </w:r>
          </w:p>
        </w:tc>
        <w:tc>
          <w:tcPr>
            <w:tcW w:w="2196" w:type="dxa"/>
            <w:tcBorders>
              <w:top w:val="nil"/>
              <w:left w:val="nil"/>
              <w:bottom w:val="nil"/>
              <w:right w:val="nil"/>
            </w:tcBorders>
            <w:shd w:val="clear" w:color="000000" w:fill="FFFFFF"/>
            <w:vAlign w:val="center"/>
            <w:hideMark/>
          </w:tcPr>
          <w:p w14:paraId="1B3C872A" w14:textId="77777777" w:rsidR="0021298F" w:rsidRPr="00D648AB" w:rsidRDefault="0021298F" w:rsidP="00760009">
            <w:pPr>
              <w:jc w:val="right"/>
              <w:rPr>
                <w:rFonts w:ascii="Arial" w:eastAsia="Times New Roman" w:hAnsi="Arial" w:cs="Arial"/>
                <w:b/>
                <w:bCs/>
                <w:color w:val="000000"/>
                <w:lang w:eastAsia="en-GB"/>
              </w:rPr>
            </w:pPr>
            <w:r w:rsidRPr="00D648AB">
              <w:rPr>
                <w:rFonts w:ascii="Arial" w:eastAsia="Times New Roman" w:hAnsi="Arial" w:cs="Arial"/>
                <w:b/>
                <w:bCs/>
                <w:color w:val="000000"/>
                <w:lang w:eastAsia="en-GB"/>
              </w:rPr>
              <w:t>31 December 2019</w:t>
            </w:r>
          </w:p>
        </w:tc>
      </w:tr>
      <w:tr w:rsidR="0021298F" w:rsidRPr="00D648AB" w14:paraId="43A16692" w14:textId="77777777" w:rsidTr="00760009">
        <w:trPr>
          <w:trHeight w:val="207"/>
        </w:trPr>
        <w:tc>
          <w:tcPr>
            <w:tcW w:w="4710" w:type="dxa"/>
            <w:tcBorders>
              <w:top w:val="nil"/>
              <w:left w:val="nil"/>
              <w:bottom w:val="single" w:sz="4" w:space="0" w:color="auto"/>
              <w:right w:val="nil"/>
            </w:tcBorders>
            <w:shd w:val="clear" w:color="000000" w:fill="FFFFFF"/>
            <w:vAlign w:val="center"/>
            <w:hideMark/>
          </w:tcPr>
          <w:p w14:paraId="0F3ED419" w14:textId="77777777" w:rsidR="0021298F" w:rsidRPr="00D648AB" w:rsidRDefault="0021298F" w:rsidP="00760009">
            <w:pPr>
              <w:jc w:val="both"/>
              <w:rPr>
                <w:rFonts w:ascii="Arial" w:eastAsia="Times New Roman" w:hAnsi="Arial" w:cs="Arial"/>
                <w:b/>
                <w:bCs/>
                <w:color w:val="000000"/>
                <w:lang w:eastAsia="en-GB"/>
              </w:rPr>
            </w:pPr>
            <w:r w:rsidRPr="00D648AB">
              <w:rPr>
                <w:rFonts w:ascii="Arial" w:eastAsia="Times New Roman" w:hAnsi="Arial" w:cs="Arial"/>
                <w:b/>
                <w:bCs/>
                <w:color w:val="000000"/>
                <w:lang w:eastAsia="en-GB"/>
              </w:rPr>
              <w:t>Group</w:t>
            </w:r>
          </w:p>
        </w:tc>
        <w:tc>
          <w:tcPr>
            <w:tcW w:w="266" w:type="dxa"/>
            <w:tcBorders>
              <w:top w:val="nil"/>
              <w:left w:val="nil"/>
              <w:bottom w:val="single" w:sz="4" w:space="0" w:color="auto"/>
              <w:right w:val="nil"/>
            </w:tcBorders>
            <w:shd w:val="clear" w:color="auto" w:fill="auto"/>
            <w:noWrap/>
            <w:vAlign w:val="bottom"/>
            <w:hideMark/>
          </w:tcPr>
          <w:p w14:paraId="785B8EFB" w14:textId="77777777" w:rsidR="0021298F" w:rsidRPr="00D648AB" w:rsidRDefault="0021298F" w:rsidP="00760009">
            <w:pPr>
              <w:jc w:val="both"/>
              <w:rPr>
                <w:rFonts w:ascii="Arial" w:eastAsia="Times New Roman" w:hAnsi="Arial" w:cs="Arial"/>
                <w:b/>
                <w:bCs/>
                <w:color w:val="000000"/>
                <w:lang w:eastAsia="en-GB"/>
              </w:rPr>
            </w:pPr>
          </w:p>
        </w:tc>
        <w:tc>
          <w:tcPr>
            <w:tcW w:w="2395" w:type="dxa"/>
            <w:tcBorders>
              <w:top w:val="nil"/>
              <w:left w:val="nil"/>
              <w:bottom w:val="single" w:sz="4" w:space="0" w:color="auto"/>
              <w:right w:val="nil"/>
            </w:tcBorders>
            <w:shd w:val="clear" w:color="000000" w:fill="FFFFFF"/>
            <w:vAlign w:val="center"/>
            <w:hideMark/>
          </w:tcPr>
          <w:p w14:paraId="6B893375" w14:textId="77777777" w:rsidR="0021298F" w:rsidRPr="00D648AB" w:rsidRDefault="0021298F" w:rsidP="00760009">
            <w:pPr>
              <w:jc w:val="right"/>
              <w:rPr>
                <w:rFonts w:ascii="Arial" w:eastAsia="Times New Roman" w:hAnsi="Arial" w:cs="Arial"/>
                <w:b/>
                <w:bCs/>
                <w:color w:val="000000"/>
                <w:lang w:eastAsia="en-GB"/>
              </w:rPr>
            </w:pPr>
            <w:r w:rsidRPr="00D648AB">
              <w:rPr>
                <w:rFonts w:ascii="Arial" w:eastAsia="Times New Roman" w:hAnsi="Arial" w:cs="Arial"/>
                <w:b/>
                <w:bCs/>
                <w:color w:val="000000"/>
                <w:lang w:eastAsia="en-GB"/>
              </w:rPr>
              <w:t>€’000</w:t>
            </w:r>
          </w:p>
        </w:tc>
        <w:tc>
          <w:tcPr>
            <w:tcW w:w="2196" w:type="dxa"/>
            <w:tcBorders>
              <w:top w:val="nil"/>
              <w:left w:val="nil"/>
              <w:bottom w:val="single" w:sz="4" w:space="0" w:color="auto"/>
              <w:right w:val="nil"/>
            </w:tcBorders>
            <w:shd w:val="clear" w:color="000000" w:fill="FFFFFF"/>
            <w:vAlign w:val="center"/>
            <w:hideMark/>
          </w:tcPr>
          <w:p w14:paraId="09880E83" w14:textId="77777777" w:rsidR="0021298F" w:rsidRPr="00D648AB" w:rsidRDefault="0021298F" w:rsidP="00760009">
            <w:pPr>
              <w:jc w:val="right"/>
              <w:rPr>
                <w:rFonts w:ascii="Arial" w:eastAsia="Times New Roman" w:hAnsi="Arial" w:cs="Arial"/>
                <w:b/>
                <w:bCs/>
                <w:color w:val="000000"/>
                <w:lang w:eastAsia="en-GB"/>
              </w:rPr>
            </w:pPr>
            <w:r w:rsidRPr="00D648AB">
              <w:rPr>
                <w:rFonts w:ascii="Arial" w:eastAsia="Times New Roman" w:hAnsi="Arial" w:cs="Arial"/>
                <w:b/>
                <w:bCs/>
                <w:color w:val="000000"/>
                <w:lang w:eastAsia="en-GB"/>
              </w:rPr>
              <w:t>€’000</w:t>
            </w:r>
          </w:p>
        </w:tc>
      </w:tr>
      <w:tr w:rsidR="0021298F" w:rsidRPr="00D648AB" w14:paraId="2302E15C" w14:textId="77777777" w:rsidTr="00760009">
        <w:trPr>
          <w:trHeight w:val="300"/>
        </w:trPr>
        <w:tc>
          <w:tcPr>
            <w:tcW w:w="4710" w:type="dxa"/>
            <w:tcBorders>
              <w:top w:val="nil"/>
              <w:left w:val="nil"/>
              <w:bottom w:val="nil"/>
              <w:right w:val="nil"/>
            </w:tcBorders>
            <w:shd w:val="clear" w:color="000000" w:fill="FFFFFF"/>
            <w:vAlign w:val="center"/>
            <w:hideMark/>
          </w:tcPr>
          <w:p w14:paraId="21E8C49C" w14:textId="77777777" w:rsidR="0021298F" w:rsidRPr="00D648AB" w:rsidRDefault="0021298F" w:rsidP="00760009">
            <w:pPr>
              <w:jc w:val="both"/>
              <w:rPr>
                <w:rFonts w:ascii="Arial" w:eastAsia="Times New Roman" w:hAnsi="Arial" w:cs="Arial"/>
                <w:color w:val="000000"/>
                <w:lang w:eastAsia="en-GB"/>
              </w:rPr>
            </w:pPr>
            <w:r w:rsidRPr="00D648AB">
              <w:rPr>
                <w:rFonts w:ascii="Arial" w:eastAsia="Times New Roman" w:hAnsi="Arial" w:cs="Arial"/>
                <w:color w:val="000000"/>
                <w:lang w:eastAsia="en-GB"/>
              </w:rPr>
              <w:t xml:space="preserve">Investment management fee payable </w:t>
            </w:r>
          </w:p>
        </w:tc>
        <w:tc>
          <w:tcPr>
            <w:tcW w:w="266" w:type="dxa"/>
            <w:tcBorders>
              <w:top w:val="single" w:sz="4" w:space="0" w:color="auto"/>
              <w:left w:val="nil"/>
              <w:bottom w:val="nil"/>
              <w:right w:val="nil"/>
            </w:tcBorders>
            <w:shd w:val="clear" w:color="auto" w:fill="auto"/>
            <w:noWrap/>
            <w:vAlign w:val="bottom"/>
            <w:hideMark/>
          </w:tcPr>
          <w:p w14:paraId="79CB58C7" w14:textId="77777777" w:rsidR="0021298F" w:rsidRPr="00D648AB" w:rsidRDefault="0021298F" w:rsidP="00760009">
            <w:pPr>
              <w:jc w:val="both"/>
              <w:rPr>
                <w:rFonts w:ascii="Arial" w:eastAsia="Times New Roman" w:hAnsi="Arial" w:cs="Arial"/>
                <w:color w:val="000000"/>
                <w:lang w:eastAsia="en-GB"/>
              </w:rPr>
            </w:pPr>
          </w:p>
        </w:tc>
        <w:tc>
          <w:tcPr>
            <w:tcW w:w="2395" w:type="dxa"/>
            <w:tcBorders>
              <w:top w:val="nil"/>
              <w:left w:val="nil"/>
              <w:bottom w:val="nil"/>
              <w:right w:val="nil"/>
            </w:tcBorders>
            <w:shd w:val="clear" w:color="000000" w:fill="EDFFB7"/>
            <w:vAlign w:val="center"/>
            <w:hideMark/>
          </w:tcPr>
          <w:p w14:paraId="0919CEC5" w14:textId="77777777" w:rsidR="0021298F" w:rsidRPr="00D648AB" w:rsidRDefault="0021298F" w:rsidP="00760009">
            <w:pPr>
              <w:jc w:val="right"/>
              <w:rPr>
                <w:rFonts w:ascii="Arial" w:eastAsia="Times New Roman" w:hAnsi="Arial" w:cs="Arial"/>
                <w:b/>
                <w:bCs/>
                <w:color w:val="000000"/>
                <w:lang w:eastAsia="en-GB"/>
              </w:rPr>
            </w:pPr>
            <w:r w:rsidRPr="00D648AB">
              <w:rPr>
                <w:rFonts w:ascii="Arial" w:eastAsia="Times New Roman" w:hAnsi="Arial" w:cs="Arial"/>
                <w:b/>
                <w:bCs/>
                <w:color w:val="000000"/>
                <w:lang w:eastAsia="en-GB"/>
              </w:rPr>
              <w:t xml:space="preserve">1,685 </w:t>
            </w:r>
          </w:p>
        </w:tc>
        <w:tc>
          <w:tcPr>
            <w:tcW w:w="2196" w:type="dxa"/>
            <w:tcBorders>
              <w:top w:val="nil"/>
              <w:left w:val="nil"/>
              <w:bottom w:val="nil"/>
              <w:right w:val="nil"/>
            </w:tcBorders>
            <w:shd w:val="clear" w:color="000000" w:fill="FFFFFF"/>
            <w:vAlign w:val="center"/>
            <w:hideMark/>
          </w:tcPr>
          <w:p w14:paraId="3E1E1470" w14:textId="77777777" w:rsidR="0021298F" w:rsidRPr="00D648AB" w:rsidRDefault="0021298F" w:rsidP="00760009">
            <w:pPr>
              <w:jc w:val="right"/>
              <w:rPr>
                <w:rFonts w:ascii="Arial" w:eastAsia="Times New Roman" w:hAnsi="Arial" w:cs="Arial"/>
                <w:color w:val="000000"/>
                <w:lang w:eastAsia="en-GB"/>
              </w:rPr>
            </w:pPr>
            <w:r w:rsidRPr="00D648AB">
              <w:rPr>
                <w:rFonts w:ascii="Arial" w:eastAsia="Times New Roman" w:hAnsi="Arial" w:cs="Arial"/>
                <w:color w:val="000000"/>
                <w:lang w:eastAsia="en-GB"/>
              </w:rPr>
              <w:t xml:space="preserve">1,410 </w:t>
            </w:r>
          </w:p>
        </w:tc>
      </w:tr>
      <w:tr w:rsidR="0021298F" w:rsidRPr="00D648AB" w14:paraId="5B887B70" w14:textId="77777777" w:rsidTr="00760009">
        <w:trPr>
          <w:trHeight w:val="300"/>
        </w:trPr>
        <w:tc>
          <w:tcPr>
            <w:tcW w:w="4710" w:type="dxa"/>
            <w:tcBorders>
              <w:top w:val="nil"/>
              <w:left w:val="nil"/>
              <w:bottom w:val="nil"/>
              <w:right w:val="nil"/>
            </w:tcBorders>
            <w:shd w:val="clear" w:color="000000" w:fill="FFFFFF"/>
            <w:vAlign w:val="center"/>
            <w:hideMark/>
          </w:tcPr>
          <w:p w14:paraId="408C43A3" w14:textId="77777777" w:rsidR="0021298F" w:rsidRPr="00D648AB" w:rsidRDefault="0021298F" w:rsidP="00760009">
            <w:pPr>
              <w:rPr>
                <w:rFonts w:ascii="Arial" w:eastAsia="Times New Roman" w:hAnsi="Arial" w:cs="Arial"/>
                <w:color w:val="000000"/>
                <w:lang w:eastAsia="en-GB"/>
              </w:rPr>
            </w:pPr>
            <w:r w:rsidRPr="00D648AB">
              <w:rPr>
                <w:rFonts w:ascii="Arial" w:eastAsia="Times New Roman" w:hAnsi="Arial" w:cs="Arial"/>
                <w:color w:val="000000"/>
                <w:lang w:eastAsia="en-GB"/>
              </w:rPr>
              <w:t>Acquisition costs payable</w:t>
            </w:r>
          </w:p>
        </w:tc>
        <w:tc>
          <w:tcPr>
            <w:tcW w:w="266" w:type="dxa"/>
            <w:tcBorders>
              <w:top w:val="nil"/>
              <w:left w:val="nil"/>
              <w:bottom w:val="nil"/>
              <w:right w:val="nil"/>
            </w:tcBorders>
            <w:shd w:val="clear" w:color="auto" w:fill="auto"/>
            <w:noWrap/>
            <w:vAlign w:val="bottom"/>
            <w:hideMark/>
          </w:tcPr>
          <w:p w14:paraId="600BAD6A" w14:textId="77777777" w:rsidR="0021298F" w:rsidRPr="00D648AB" w:rsidRDefault="0021298F" w:rsidP="00760009">
            <w:pPr>
              <w:rPr>
                <w:rFonts w:ascii="Arial" w:eastAsia="Times New Roman" w:hAnsi="Arial" w:cs="Arial"/>
                <w:color w:val="000000"/>
                <w:lang w:eastAsia="en-GB"/>
              </w:rPr>
            </w:pPr>
          </w:p>
        </w:tc>
        <w:tc>
          <w:tcPr>
            <w:tcW w:w="2395" w:type="dxa"/>
            <w:tcBorders>
              <w:top w:val="nil"/>
              <w:left w:val="nil"/>
              <w:bottom w:val="nil"/>
              <w:right w:val="nil"/>
            </w:tcBorders>
            <w:shd w:val="clear" w:color="000000" w:fill="EDFFB7"/>
            <w:vAlign w:val="center"/>
            <w:hideMark/>
          </w:tcPr>
          <w:p w14:paraId="3B08963F" w14:textId="77777777" w:rsidR="0021298F" w:rsidRPr="00D648AB" w:rsidRDefault="0021298F" w:rsidP="00760009">
            <w:pPr>
              <w:jc w:val="right"/>
              <w:rPr>
                <w:rFonts w:ascii="Arial" w:eastAsia="Times New Roman" w:hAnsi="Arial" w:cs="Arial"/>
                <w:b/>
                <w:bCs/>
                <w:color w:val="000000"/>
                <w:lang w:eastAsia="en-GB"/>
              </w:rPr>
            </w:pPr>
            <w:r w:rsidRPr="00D648AB">
              <w:rPr>
                <w:rFonts w:ascii="Arial" w:eastAsia="Times New Roman" w:hAnsi="Arial" w:cs="Arial"/>
                <w:b/>
                <w:bCs/>
                <w:color w:val="000000"/>
                <w:lang w:eastAsia="en-GB"/>
              </w:rPr>
              <w:t xml:space="preserve">1,389 </w:t>
            </w:r>
          </w:p>
        </w:tc>
        <w:tc>
          <w:tcPr>
            <w:tcW w:w="2196" w:type="dxa"/>
            <w:tcBorders>
              <w:top w:val="nil"/>
              <w:left w:val="nil"/>
              <w:bottom w:val="nil"/>
              <w:right w:val="nil"/>
            </w:tcBorders>
            <w:shd w:val="clear" w:color="000000" w:fill="FFFFFF"/>
            <w:vAlign w:val="center"/>
            <w:hideMark/>
          </w:tcPr>
          <w:p w14:paraId="5378C773" w14:textId="77777777" w:rsidR="0021298F" w:rsidRPr="00D648AB" w:rsidRDefault="0021298F" w:rsidP="00760009">
            <w:pPr>
              <w:jc w:val="right"/>
              <w:rPr>
                <w:rFonts w:ascii="Arial" w:eastAsia="Times New Roman" w:hAnsi="Arial" w:cs="Arial"/>
                <w:color w:val="000000"/>
                <w:lang w:eastAsia="en-GB"/>
              </w:rPr>
            </w:pPr>
            <w:r w:rsidRPr="00D648AB">
              <w:rPr>
                <w:rFonts w:ascii="Arial" w:eastAsia="Times New Roman" w:hAnsi="Arial" w:cs="Arial"/>
                <w:color w:val="000000"/>
                <w:lang w:eastAsia="en-GB"/>
              </w:rPr>
              <w:t xml:space="preserve">1,007 </w:t>
            </w:r>
          </w:p>
        </w:tc>
      </w:tr>
      <w:tr w:rsidR="0021298F" w:rsidRPr="00D648AB" w14:paraId="49F6FFC9" w14:textId="77777777" w:rsidTr="00760009">
        <w:trPr>
          <w:trHeight w:val="300"/>
        </w:trPr>
        <w:tc>
          <w:tcPr>
            <w:tcW w:w="4710" w:type="dxa"/>
            <w:tcBorders>
              <w:top w:val="nil"/>
              <w:left w:val="nil"/>
              <w:bottom w:val="nil"/>
              <w:right w:val="nil"/>
            </w:tcBorders>
            <w:shd w:val="clear" w:color="000000" w:fill="FFFFFF"/>
            <w:vAlign w:val="center"/>
            <w:hideMark/>
          </w:tcPr>
          <w:p w14:paraId="1DF470C6" w14:textId="77777777" w:rsidR="0021298F" w:rsidRPr="00D648AB" w:rsidRDefault="0021298F" w:rsidP="00760009">
            <w:pPr>
              <w:rPr>
                <w:rFonts w:ascii="Arial" w:eastAsia="Times New Roman" w:hAnsi="Arial" w:cs="Arial"/>
                <w:color w:val="000000"/>
                <w:lang w:eastAsia="en-GB"/>
              </w:rPr>
            </w:pPr>
            <w:r w:rsidRPr="00D648AB">
              <w:rPr>
                <w:rFonts w:ascii="Arial" w:eastAsia="Times New Roman" w:hAnsi="Arial" w:cs="Arial"/>
                <w:color w:val="000000"/>
                <w:lang w:eastAsia="en-GB"/>
              </w:rPr>
              <w:t>Other payables</w:t>
            </w:r>
          </w:p>
        </w:tc>
        <w:tc>
          <w:tcPr>
            <w:tcW w:w="266" w:type="dxa"/>
            <w:tcBorders>
              <w:top w:val="nil"/>
              <w:left w:val="nil"/>
              <w:bottom w:val="nil"/>
              <w:right w:val="nil"/>
            </w:tcBorders>
            <w:shd w:val="clear" w:color="auto" w:fill="auto"/>
            <w:noWrap/>
            <w:vAlign w:val="bottom"/>
            <w:hideMark/>
          </w:tcPr>
          <w:p w14:paraId="459723C9" w14:textId="77777777" w:rsidR="0021298F" w:rsidRPr="00D648AB" w:rsidRDefault="0021298F" w:rsidP="00760009">
            <w:pPr>
              <w:rPr>
                <w:rFonts w:ascii="Arial" w:eastAsia="Times New Roman" w:hAnsi="Arial" w:cs="Arial"/>
                <w:color w:val="000000"/>
                <w:lang w:eastAsia="en-GB"/>
              </w:rPr>
            </w:pPr>
          </w:p>
        </w:tc>
        <w:tc>
          <w:tcPr>
            <w:tcW w:w="2395" w:type="dxa"/>
            <w:tcBorders>
              <w:top w:val="nil"/>
              <w:left w:val="nil"/>
              <w:bottom w:val="nil"/>
              <w:right w:val="nil"/>
            </w:tcBorders>
            <w:shd w:val="clear" w:color="000000" w:fill="EDFFB7"/>
            <w:vAlign w:val="center"/>
            <w:hideMark/>
          </w:tcPr>
          <w:p w14:paraId="5244B747" w14:textId="77777777" w:rsidR="0021298F" w:rsidRPr="00D648AB" w:rsidRDefault="0021298F" w:rsidP="00760009">
            <w:pPr>
              <w:jc w:val="right"/>
              <w:rPr>
                <w:rFonts w:ascii="Arial" w:eastAsia="Times New Roman" w:hAnsi="Arial" w:cs="Arial"/>
                <w:b/>
                <w:bCs/>
                <w:color w:val="000000"/>
                <w:lang w:eastAsia="en-GB"/>
              </w:rPr>
            </w:pPr>
            <w:r w:rsidRPr="00D648AB">
              <w:rPr>
                <w:rFonts w:ascii="Arial" w:eastAsia="Times New Roman" w:hAnsi="Arial" w:cs="Arial"/>
                <w:b/>
                <w:bCs/>
                <w:color w:val="000000"/>
                <w:lang w:eastAsia="en-GB"/>
              </w:rPr>
              <w:t xml:space="preserve">1,325 </w:t>
            </w:r>
          </w:p>
        </w:tc>
        <w:tc>
          <w:tcPr>
            <w:tcW w:w="2196" w:type="dxa"/>
            <w:tcBorders>
              <w:top w:val="nil"/>
              <w:left w:val="nil"/>
              <w:bottom w:val="nil"/>
              <w:right w:val="nil"/>
            </w:tcBorders>
            <w:shd w:val="clear" w:color="000000" w:fill="FFFFFF"/>
            <w:vAlign w:val="center"/>
            <w:hideMark/>
          </w:tcPr>
          <w:p w14:paraId="3137EFCB" w14:textId="77777777" w:rsidR="0021298F" w:rsidRPr="00D648AB" w:rsidRDefault="0021298F" w:rsidP="00760009">
            <w:pPr>
              <w:jc w:val="right"/>
              <w:rPr>
                <w:rFonts w:ascii="Arial" w:eastAsia="Times New Roman" w:hAnsi="Arial" w:cs="Arial"/>
                <w:color w:val="000000"/>
                <w:lang w:eastAsia="en-GB"/>
              </w:rPr>
            </w:pPr>
            <w:r w:rsidRPr="00D648AB">
              <w:rPr>
                <w:rFonts w:ascii="Arial" w:eastAsia="Times New Roman" w:hAnsi="Arial" w:cs="Arial"/>
                <w:color w:val="000000"/>
                <w:lang w:eastAsia="en-GB"/>
              </w:rPr>
              <w:t xml:space="preserve">722 </w:t>
            </w:r>
          </w:p>
        </w:tc>
      </w:tr>
      <w:tr w:rsidR="0021298F" w:rsidRPr="00D648AB" w14:paraId="7CE75DD6" w14:textId="77777777" w:rsidTr="00760009">
        <w:trPr>
          <w:trHeight w:val="300"/>
        </w:trPr>
        <w:tc>
          <w:tcPr>
            <w:tcW w:w="4710" w:type="dxa"/>
            <w:tcBorders>
              <w:top w:val="nil"/>
              <w:left w:val="nil"/>
              <w:bottom w:val="nil"/>
              <w:right w:val="nil"/>
            </w:tcBorders>
            <w:shd w:val="clear" w:color="000000" w:fill="FFFFFF"/>
            <w:vAlign w:val="center"/>
            <w:hideMark/>
          </w:tcPr>
          <w:p w14:paraId="23BF8EF9" w14:textId="77777777" w:rsidR="0021298F" w:rsidRPr="00D648AB" w:rsidRDefault="0021298F" w:rsidP="00760009">
            <w:pPr>
              <w:rPr>
                <w:rFonts w:ascii="Arial" w:eastAsia="Times New Roman" w:hAnsi="Arial" w:cs="Arial"/>
                <w:color w:val="000000"/>
                <w:lang w:eastAsia="en-GB"/>
              </w:rPr>
            </w:pPr>
            <w:r w:rsidRPr="00D648AB">
              <w:rPr>
                <w:rFonts w:ascii="Arial" w:eastAsia="Times New Roman" w:hAnsi="Arial" w:cs="Arial"/>
                <w:color w:val="000000"/>
                <w:lang w:eastAsia="en-GB"/>
              </w:rPr>
              <w:t>Loan interest payable</w:t>
            </w:r>
          </w:p>
        </w:tc>
        <w:tc>
          <w:tcPr>
            <w:tcW w:w="266" w:type="dxa"/>
            <w:tcBorders>
              <w:top w:val="nil"/>
              <w:left w:val="nil"/>
              <w:bottom w:val="nil"/>
              <w:right w:val="nil"/>
            </w:tcBorders>
            <w:shd w:val="clear" w:color="auto" w:fill="auto"/>
            <w:noWrap/>
            <w:vAlign w:val="bottom"/>
            <w:hideMark/>
          </w:tcPr>
          <w:p w14:paraId="06DCAED7" w14:textId="77777777" w:rsidR="0021298F" w:rsidRPr="00D648AB" w:rsidRDefault="0021298F" w:rsidP="00760009">
            <w:pPr>
              <w:rPr>
                <w:rFonts w:ascii="Arial" w:eastAsia="Times New Roman" w:hAnsi="Arial" w:cs="Arial"/>
                <w:color w:val="000000"/>
                <w:lang w:eastAsia="en-GB"/>
              </w:rPr>
            </w:pPr>
          </w:p>
        </w:tc>
        <w:tc>
          <w:tcPr>
            <w:tcW w:w="2395" w:type="dxa"/>
            <w:tcBorders>
              <w:top w:val="nil"/>
              <w:left w:val="nil"/>
              <w:bottom w:val="nil"/>
              <w:right w:val="nil"/>
            </w:tcBorders>
            <w:shd w:val="clear" w:color="000000" w:fill="EDFFB7"/>
            <w:vAlign w:val="center"/>
            <w:hideMark/>
          </w:tcPr>
          <w:p w14:paraId="5B2C336A" w14:textId="77777777" w:rsidR="0021298F" w:rsidRPr="00D648AB" w:rsidRDefault="0021298F" w:rsidP="00760009">
            <w:pPr>
              <w:jc w:val="right"/>
              <w:rPr>
                <w:rFonts w:ascii="Arial" w:eastAsia="Times New Roman" w:hAnsi="Arial" w:cs="Arial"/>
                <w:b/>
                <w:bCs/>
                <w:color w:val="000000"/>
                <w:lang w:eastAsia="en-GB"/>
              </w:rPr>
            </w:pPr>
            <w:r w:rsidRPr="00D648AB">
              <w:rPr>
                <w:rFonts w:ascii="Arial" w:eastAsia="Times New Roman" w:hAnsi="Arial" w:cs="Arial"/>
                <w:b/>
                <w:bCs/>
                <w:color w:val="000000"/>
                <w:lang w:eastAsia="en-GB"/>
              </w:rPr>
              <w:t xml:space="preserve">556 </w:t>
            </w:r>
          </w:p>
        </w:tc>
        <w:tc>
          <w:tcPr>
            <w:tcW w:w="2196" w:type="dxa"/>
            <w:tcBorders>
              <w:top w:val="nil"/>
              <w:left w:val="nil"/>
              <w:bottom w:val="nil"/>
              <w:right w:val="nil"/>
            </w:tcBorders>
            <w:shd w:val="clear" w:color="000000" w:fill="FFFFFF"/>
            <w:vAlign w:val="center"/>
            <w:hideMark/>
          </w:tcPr>
          <w:p w14:paraId="49BD4405" w14:textId="77777777" w:rsidR="0021298F" w:rsidRPr="00D648AB" w:rsidRDefault="0021298F" w:rsidP="00760009">
            <w:pPr>
              <w:jc w:val="right"/>
              <w:rPr>
                <w:rFonts w:ascii="Arial" w:eastAsia="Times New Roman" w:hAnsi="Arial" w:cs="Arial"/>
                <w:color w:val="000000"/>
                <w:lang w:eastAsia="en-GB"/>
              </w:rPr>
            </w:pPr>
            <w:r w:rsidRPr="00D648AB">
              <w:rPr>
                <w:rFonts w:ascii="Arial" w:eastAsia="Times New Roman" w:hAnsi="Arial" w:cs="Arial"/>
                <w:color w:val="000000"/>
                <w:lang w:eastAsia="en-GB"/>
              </w:rPr>
              <w:t xml:space="preserve">124 </w:t>
            </w:r>
          </w:p>
        </w:tc>
      </w:tr>
      <w:tr w:rsidR="0021298F" w:rsidRPr="00D648AB" w14:paraId="699D0D79" w14:textId="77777777" w:rsidTr="00760009">
        <w:trPr>
          <w:trHeight w:val="300"/>
        </w:trPr>
        <w:tc>
          <w:tcPr>
            <w:tcW w:w="4710" w:type="dxa"/>
            <w:tcBorders>
              <w:top w:val="nil"/>
              <w:left w:val="nil"/>
              <w:bottom w:val="nil"/>
              <w:right w:val="nil"/>
            </w:tcBorders>
            <w:shd w:val="clear" w:color="000000" w:fill="FFFFFF"/>
            <w:vAlign w:val="center"/>
            <w:hideMark/>
          </w:tcPr>
          <w:p w14:paraId="5307DBC5" w14:textId="77777777" w:rsidR="0021298F" w:rsidRPr="00D648AB" w:rsidRDefault="0021298F" w:rsidP="00760009">
            <w:pPr>
              <w:rPr>
                <w:rFonts w:ascii="Arial" w:eastAsia="Times New Roman" w:hAnsi="Arial" w:cs="Arial"/>
                <w:color w:val="000000"/>
                <w:lang w:eastAsia="en-GB"/>
              </w:rPr>
            </w:pPr>
            <w:r w:rsidRPr="00D648AB">
              <w:rPr>
                <w:rFonts w:ascii="Arial" w:eastAsia="Times New Roman" w:hAnsi="Arial" w:cs="Arial"/>
                <w:color w:val="000000"/>
                <w:lang w:eastAsia="en-GB"/>
              </w:rPr>
              <w:t>Commitment fee payable</w:t>
            </w:r>
          </w:p>
        </w:tc>
        <w:tc>
          <w:tcPr>
            <w:tcW w:w="266" w:type="dxa"/>
            <w:tcBorders>
              <w:top w:val="nil"/>
              <w:left w:val="nil"/>
              <w:bottom w:val="nil"/>
              <w:right w:val="nil"/>
            </w:tcBorders>
            <w:shd w:val="clear" w:color="auto" w:fill="auto"/>
            <w:noWrap/>
            <w:vAlign w:val="bottom"/>
            <w:hideMark/>
          </w:tcPr>
          <w:p w14:paraId="6F86E650" w14:textId="77777777" w:rsidR="0021298F" w:rsidRPr="00D648AB" w:rsidRDefault="0021298F" w:rsidP="00760009">
            <w:pPr>
              <w:rPr>
                <w:rFonts w:ascii="Arial" w:eastAsia="Times New Roman" w:hAnsi="Arial" w:cs="Arial"/>
                <w:color w:val="000000"/>
                <w:lang w:eastAsia="en-GB"/>
              </w:rPr>
            </w:pPr>
          </w:p>
        </w:tc>
        <w:tc>
          <w:tcPr>
            <w:tcW w:w="2395" w:type="dxa"/>
            <w:tcBorders>
              <w:top w:val="nil"/>
              <w:left w:val="nil"/>
              <w:bottom w:val="nil"/>
              <w:right w:val="nil"/>
            </w:tcBorders>
            <w:shd w:val="clear" w:color="000000" w:fill="EDFFB7"/>
            <w:vAlign w:val="center"/>
            <w:hideMark/>
          </w:tcPr>
          <w:p w14:paraId="253E6B6C" w14:textId="77777777" w:rsidR="0021298F" w:rsidRPr="00D648AB" w:rsidRDefault="0021298F" w:rsidP="00760009">
            <w:pPr>
              <w:jc w:val="right"/>
              <w:rPr>
                <w:rFonts w:ascii="Arial" w:eastAsia="Times New Roman" w:hAnsi="Arial" w:cs="Arial"/>
                <w:b/>
                <w:bCs/>
                <w:color w:val="000000"/>
                <w:lang w:eastAsia="en-GB"/>
              </w:rPr>
            </w:pPr>
            <w:r w:rsidRPr="00D648AB">
              <w:rPr>
                <w:rFonts w:ascii="Arial" w:eastAsia="Times New Roman" w:hAnsi="Arial" w:cs="Arial"/>
                <w:b/>
                <w:bCs/>
                <w:color w:val="000000"/>
                <w:lang w:eastAsia="en-GB"/>
              </w:rPr>
              <w:t xml:space="preserve">224 </w:t>
            </w:r>
          </w:p>
        </w:tc>
        <w:tc>
          <w:tcPr>
            <w:tcW w:w="2196" w:type="dxa"/>
            <w:tcBorders>
              <w:top w:val="nil"/>
              <w:left w:val="nil"/>
              <w:bottom w:val="nil"/>
              <w:right w:val="nil"/>
            </w:tcBorders>
            <w:shd w:val="clear" w:color="000000" w:fill="FFFFFF"/>
            <w:vAlign w:val="center"/>
            <w:hideMark/>
          </w:tcPr>
          <w:p w14:paraId="66ABD87C" w14:textId="77777777" w:rsidR="0021298F" w:rsidRPr="00D648AB" w:rsidRDefault="0021298F" w:rsidP="00760009">
            <w:pPr>
              <w:jc w:val="right"/>
              <w:rPr>
                <w:rFonts w:ascii="Arial" w:eastAsia="Times New Roman" w:hAnsi="Arial" w:cs="Arial"/>
                <w:color w:val="000000"/>
                <w:lang w:eastAsia="en-GB"/>
              </w:rPr>
            </w:pPr>
            <w:r w:rsidRPr="00D648AB">
              <w:rPr>
                <w:rFonts w:ascii="Arial" w:eastAsia="Times New Roman" w:hAnsi="Arial" w:cs="Arial"/>
                <w:color w:val="000000"/>
                <w:lang w:eastAsia="en-GB"/>
              </w:rPr>
              <w:t xml:space="preserve">36 </w:t>
            </w:r>
          </w:p>
        </w:tc>
      </w:tr>
      <w:tr w:rsidR="0021298F" w:rsidRPr="00D648AB" w14:paraId="142F01FA" w14:textId="77777777" w:rsidTr="00760009">
        <w:trPr>
          <w:trHeight w:val="300"/>
        </w:trPr>
        <w:tc>
          <w:tcPr>
            <w:tcW w:w="4710" w:type="dxa"/>
            <w:tcBorders>
              <w:top w:val="nil"/>
              <w:left w:val="nil"/>
              <w:bottom w:val="nil"/>
              <w:right w:val="nil"/>
            </w:tcBorders>
            <w:shd w:val="clear" w:color="000000" w:fill="FFFFFF"/>
            <w:vAlign w:val="center"/>
            <w:hideMark/>
          </w:tcPr>
          <w:p w14:paraId="491AC189" w14:textId="77777777" w:rsidR="0021298F" w:rsidRPr="00D648AB" w:rsidRDefault="0021298F" w:rsidP="00760009">
            <w:pPr>
              <w:rPr>
                <w:rFonts w:ascii="Arial" w:eastAsia="Times New Roman" w:hAnsi="Arial" w:cs="Arial"/>
                <w:color w:val="000000"/>
                <w:lang w:eastAsia="en-GB"/>
              </w:rPr>
            </w:pPr>
            <w:r w:rsidRPr="00D648AB">
              <w:rPr>
                <w:rFonts w:ascii="Arial" w:eastAsia="Times New Roman" w:hAnsi="Arial" w:cs="Arial"/>
                <w:color w:val="000000"/>
                <w:lang w:eastAsia="en-GB"/>
              </w:rPr>
              <w:t>Share issue costs payable</w:t>
            </w:r>
          </w:p>
        </w:tc>
        <w:tc>
          <w:tcPr>
            <w:tcW w:w="266" w:type="dxa"/>
            <w:tcBorders>
              <w:top w:val="nil"/>
              <w:left w:val="nil"/>
              <w:bottom w:val="nil"/>
              <w:right w:val="nil"/>
            </w:tcBorders>
            <w:shd w:val="clear" w:color="auto" w:fill="auto"/>
            <w:noWrap/>
            <w:vAlign w:val="bottom"/>
            <w:hideMark/>
          </w:tcPr>
          <w:p w14:paraId="227F71CC" w14:textId="77777777" w:rsidR="0021298F" w:rsidRPr="00D648AB" w:rsidRDefault="0021298F" w:rsidP="00760009">
            <w:pPr>
              <w:rPr>
                <w:rFonts w:ascii="Arial" w:eastAsia="Times New Roman" w:hAnsi="Arial" w:cs="Arial"/>
                <w:color w:val="000000"/>
                <w:lang w:eastAsia="en-GB"/>
              </w:rPr>
            </w:pPr>
          </w:p>
        </w:tc>
        <w:tc>
          <w:tcPr>
            <w:tcW w:w="2395" w:type="dxa"/>
            <w:tcBorders>
              <w:top w:val="nil"/>
              <w:left w:val="nil"/>
              <w:bottom w:val="nil"/>
              <w:right w:val="nil"/>
            </w:tcBorders>
            <w:shd w:val="clear" w:color="000000" w:fill="EDFFB7"/>
            <w:vAlign w:val="center"/>
            <w:hideMark/>
          </w:tcPr>
          <w:p w14:paraId="0E3D6E76" w14:textId="77777777" w:rsidR="0021298F" w:rsidRPr="00D648AB" w:rsidRDefault="0021298F" w:rsidP="00760009">
            <w:pPr>
              <w:jc w:val="right"/>
              <w:rPr>
                <w:rFonts w:ascii="Arial" w:eastAsia="Times New Roman" w:hAnsi="Arial" w:cs="Arial"/>
                <w:b/>
                <w:bCs/>
                <w:color w:val="000000"/>
                <w:lang w:eastAsia="en-GB"/>
              </w:rPr>
            </w:pPr>
            <w:r w:rsidRPr="00D648AB">
              <w:rPr>
                <w:rFonts w:ascii="Arial" w:eastAsia="Times New Roman" w:hAnsi="Arial" w:cs="Arial"/>
                <w:b/>
                <w:bCs/>
                <w:color w:val="000000"/>
                <w:lang w:eastAsia="en-GB"/>
              </w:rPr>
              <w:t xml:space="preserve">57 </w:t>
            </w:r>
          </w:p>
        </w:tc>
        <w:tc>
          <w:tcPr>
            <w:tcW w:w="2196" w:type="dxa"/>
            <w:tcBorders>
              <w:top w:val="nil"/>
              <w:left w:val="nil"/>
              <w:bottom w:val="nil"/>
              <w:right w:val="nil"/>
            </w:tcBorders>
            <w:shd w:val="clear" w:color="000000" w:fill="FFFFFF"/>
            <w:vAlign w:val="center"/>
            <w:hideMark/>
          </w:tcPr>
          <w:p w14:paraId="65C3660E" w14:textId="77777777" w:rsidR="0021298F" w:rsidRPr="00D648AB" w:rsidRDefault="0021298F" w:rsidP="00760009">
            <w:pPr>
              <w:jc w:val="right"/>
              <w:rPr>
                <w:rFonts w:ascii="Arial" w:eastAsia="Times New Roman" w:hAnsi="Arial" w:cs="Arial"/>
                <w:color w:val="000000"/>
                <w:lang w:eastAsia="en-GB"/>
              </w:rPr>
            </w:pPr>
            <w:r w:rsidRPr="00D648AB">
              <w:rPr>
                <w:rFonts w:ascii="Arial" w:eastAsia="Times New Roman" w:hAnsi="Arial" w:cs="Arial"/>
                <w:color w:val="000000"/>
                <w:lang w:eastAsia="en-GB"/>
              </w:rPr>
              <w:t xml:space="preserve">171 </w:t>
            </w:r>
          </w:p>
        </w:tc>
      </w:tr>
      <w:tr w:rsidR="0021298F" w:rsidRPr="00D648AB" w14:paraId="553B851B" w14:textId="77777777" w:rsidTr="00760009">
        <w:trPr>
          <w:trHeight w:val="300"/>
        </w:trPr>
        <w:tc>
          <w:tcPr>
            <w:tcW w:w="4710" w:type="dxa"/>
            <w:tcBorders>
              <w:top w:val="nil"/>
              <w:left w:val="nil"/>
              <w:bottom w:val="nil"/>
              <w:right w:val="nil"/>
            </w:tcBorders>
            <w:shd w:val="clear" w:color="000000" w:fill="FFFFFF"/>
            <w:vAlign w:val="center"/>
            <w:hideMark/>
          </w:tcPr>
          <w:p w14:paraId="6A6B93F5" w14:textId="77777777" w:rsidR="0021298F" w:rsidRPr="00D648AB" w:rsidRDefault="0021298F" w:rsidP="00760009">
            <w:pPr>
              <w:rPr>
                <w:rFonts w:ascii="Arial" w:eastAsia="Times New Roman" w:hAnsi="Arial" w:cs="Arial"/>
                <w:color w:val="000000"/>
                <w:lang w:eastAsia="en-GB"/>
              </w:rPr>
            </w:pPr>
            <w:r w:rsidRPr="00D648AB">
              <w:rPr>
                <w:rFonts w:ascii="Arial" w:eastAsia="Times New Roman" w:hAnsi="Arial" w:cs="Arial"/>
                <w:color w:val="000000"/>
                <w:lang w:eastAsia="en-GB"/>
              </w:rPr>
              <w:t>Other finance costs payable</w:t>
            </w:r>
          </w:p>
        </w:tc>
        <w:tc>
          <w:tcPr>
            <w:tcW w:w="266" w:type="dxa"/>
            <w:tcBorders>
              <w:top w:val="nil"/>
              <w:left w:val="nil"/>
              <w:bottom w:val="single" w:sz="4" w:space="0" w:color="auto"/>
              <w:right w:val="nil"/>
            </w:tcBorders>
            <w:shd w:val="clear" w:color="auto" w:fill="auto"/>
            <w:noWrap/>
            <w:vAlign w:val="bottom"/>
            <w:hideMark/>
          </w:tcPr>
          <w:p w14:paraId="3C180A6D" w14:textId="77777777" w:rsidR="0021298F" w:rsidRPr="00D648AB" w:rsidRDefault="0021298F" w:rsidP="00760009">
            <w:pPr>
              <w:rPr>
                <w:rFonts w:ascii="Calibri" w:eastAsia="Times New Roman" w:hAnsi="Calibri" w:cs="Calibri"/>
                <w:color w:val="000000"/>
                <w:lang w:eastAsia="en-GB"/>
              </w:rPr>
            </w:pPr>
            <w:r w:rsidRPr="00D648AB">
              <w:rPr>
                <w:rFonts w:ascii="Calibri" w:eastAsia="Times New Roman" w:hAnsi="Calibri" w:cs="Calibri"/>
                <w:color w:val="000000"/>
                <w:lang w:eastAsia="en-GB"/>
              </w:rPr>
              <w:t> </w:t>
            </w:r>
          </w:p>
        </w:tc>
        <w:tc>
          <w:tcPr>
            <w:tcW w:w="2395" w:type="dxa"/>
            <w:tcBorders>
              <w:top w:val="nil"/>
              <w:left w:val="nil"/>
              <w:bottom w:val="nil"/>
              <w:right w:val="nil"/>
            </w:tcBorders>
            <w:shd w:val="clear" w:color="000000" w:fill="EDFFB7"/>
            <w:vAlign w:val="center"/>
            <w:hideMark/>
          </w:tcPr>
          <w:p w14:paraId="0154CB12" w14:textId="77777777" w:rsidR="0021298F" w:rsidRPr="00D648AB" w:rsidRDefault="0021298F" w:rsidP="00760009">
            <w:pPr>
              <w:jc w:val="right"/>
              <w:rPr>
                <w:rFonts w:ascii="Arial" w:eastAsia="Times New Roman" w:hAnsi="Arial" w:cs="Arial"/>
                <w:b/>
                <w:bCs/>
                <w:color w:val="000000"/>
                <w:lang w:eastAsia="en-GB"/>
              </w:rPr>
            </w:pPr>
            <w:r w:rsidRPr="00D648AB">
              <w:rPr>
                <w:rFonts w:ascii="Arial" w:eastAsia="Times New Roman" w:hAnsi="Arial" w:cs="Arial"/>
                <w:b/>
                <w:bCs/>
                <w:color w:val="000000"/>
                <w:lang w:eastAsia="en-GB"/>
              </w:rPr>
              <w:t xml:space="preserve">7 </w:t>
            </w:r>
          </w:p>
        </w:tc>
        <w:tc>
          <w:tcPr>
            <w:tcW w:w="2196" w:type="dxa"/>
            <w:tcBorders>
              <w:top w:val="nil"/>
              <w:left w:val="nil"/>
              <w:bottom w:val="nil"/>
              <w:right w:val="nil"/>
            </w:tcBorders>
            <w:shd w:val="clear" w:color="000000" w:fill="FFFFFF"/>
            <w:vAlign w:val="center"/>
            <w:hideMark/>
          </w:tcPr>
          <w:p w14:paraId="2CFF325B" w14:textId="77777777" w:rsidR="0021298F" w:rsidRPr="00D648AB" w:rsidRDefault="0021298F" w:rsidP="00760009">
            <w:pPr>
              <w:jc w:val="right"/>
              <w:rPr>
                <w:rFonts w:ascii="Arial" w:eastAsia="Times New Roman" w:hAnsi="Arial" w:cs="Arial"/>
                <w:color w:val="000000"/>
                <w:lang w:eastAsia="en-GB"/>
              </w:rPr>
            </w:pPr>
            <w:r w:rsidRPr="00D648AB">
              <w:rPr>
                <w:rFonts w:ascii="Arial" w:eastAsia="Times New Roman" w:hAnsi="Arial" w:cs="Arial"/>
                <w:color w:val="000000"/>
                <w:lang w:eastAsia="en-GB"/>
              </w:rPr>
              <w:t xml:space="preserve">-   </w:t>
            </w:r>
          </w:p>
        </w:tc>
      </w:tr>
      <w:tr w:rsidR="0021298F" w:rsidRPr="00D648AB" w14:paraId="1969CC60" w14:textId="77777777" w:rsidTr="00760009">
        <w:trPr>
          <w:trHeight w:val="387"/>
        </w:trPr>
        <w:tc>
          <w:tcPr>
            <w:tcW w:w="4710" w:type="dxa"/>
            <w:tcBorders>
              <w:top w:val="single" w:sz="4" w:space="0" w:color="auto"/>
              <w:left w:val="nil"/>
              <w:bottom w:val="single" w:sz="8" w:space="0" w:color="auto"/>
              <w:right w:val="nil"/>
            </w:tcBorders>
            <w:shd w:val="clear" w:color="000000" w:fill="FFFFFF"/>
            <w:noWrap/>
            <w:vAlign w:val="bottom"/>
            <w:hideMark/>
          </w:tcPr>
          <w:p w14:paraId="676E3D0D" w14:textId="77777777" w:rsidR="0021298F" w:rsidRPr="00D648AB" w:rsidRDefault="0021298F" w:rsidP="00760009">
            <w:pPr>
              <w:rPr>
                <w:rFonts w:ascii="Calibri" w:eastAsia="Times New Roman" w:hAnsi="Calibri" w:cs="Calibri"/>
                <w:color w:val="000000"/>
                <w:lang w:eastAsia="en-GB"/>
              </w:rPr>
            </w:pPr>
            <w:r w:rsidRPr="00D648AB">
              <w:rPr>
                <w:rFonts w:ascii="Calibri" w:eastAsia="Times New Roman" w:hAnsi="Calibri" w:cs="Calibri"/>
                <w:color w:val="000000"/>
                <w:lang w:eastAsia="en-GB"/>
              </w:rPr>
              <w:t> </w:t>
            </w:r>
          </w:p>
        </w:tc>
        <w:tc>
          <w:tcPr>
            <w:tcW w:w="266" w:type="dxa"/>
            <w:tcBorders>
              <w:top w:val="single" w:sz="4" w:space="0" w:color="auto"/>
              <w:left w:val="nil"/>
              <w:bottom w:val="single" w:sz="8" w:space="0" w:color="auto"/>
              <w:right w:val="nil"/>
            </w:tcBorders>
            <w:shd w:val="clear" w:color="auto" w:fill="auto"/>
            <w:noWrap/>
            <w:vAlign w:val="bottom"/>
            <w:hideMark/>
          </w:tcPr>
          <w:p w14:paraId="0B2914F6" w14:textId="77777777" w:rsidR="0021298F" w:rsidRPr="00D648AB" w:rsidRDefault="0021298F" w:rsidP="00760009">
            <w:pPr>
              <w:rPr>
                <w:rFonts w:ascii="Calibri" w:eastAsia="Times New Roman" w:hAnsi="Calibri" w:cs="Calibri"/>
                <w:color w:val="000000"/>
                <w:lang w:eastAsia="en-GB"/>
              </w:rPr>
            </w:pPr>
            <w:r w:rsidRPr="00D648AB">
              <w:rPr>
                <w:rFonts w:ascii="Calibri" w:eastAsia="Times New Roman" w:hAnsi="Calibri" w:cs="Calibri"/>
                <w:color w:val="000000"/>
                <w:lang w:eastAsia="en-GB"/>
              </w:rPr>
              <w:t> </w:t>
            </w:r>
          </w:p>
        </w:tc>
        <w:tc>
          <w:tcPr>
            <w:tcW w:w="2395" w:type="dxa"/>
            <w:tcBorders>
              <w:top w:val="single" w:sz="4" w:space="0" w:color="auto"/>
              <w:left w:val="nil"/>
              <w:bottom w:val="single" w:sz="8" w:space="0" w:color="auto"/>
              <w:right w:val="nil"/>
            </w:tcBorders>
            <w:shd w:val="clear" w:color="000000" w:fill="EDFFB7"/>
            <w:vAlign w:val="center"/>
            <w:hideMark/>
          </w:tcPr>
          <w:p w14:paraId="4215D0CC" w14:textId="77777777" w:rsidR="0021298F" w:rsidRPr="00D648AB" w:rsidRDefault="0021298F" w:rsidP="00760009">
            <w:pPr>
              <w:jc w:val="right"/>
              <w:rPr>
                <w:rFonts w:ascii="Arial" w:eastAsia="Times New Roman" w:hAnsi="Arial" w:cs="Arial"/>
                <w:b/>
                <w:bCs/>
                <w:color w:val="000000"/>
                <w:lang w:eastAsia="en-GB"/>
              </w:rPr>
            </w:pPr>
            <w:r w:rsidRPr="00D648AB">
              <w:rPr>
                <w:rFonts w:ascii="Arial" w:eastAsia="Times New Roman" w:hAnsi="Arial" w:cs="Arial"/>
                <w:b/>
                <w:bCs/>
                <w:color w:val="000000"/>
                <w:lang w:eastAsia="en-GB"/>
              </w:rPr>
              <w:t xml:space="preserve">5,343 </w:t>
            </w:r>
          </w:p>
        </w:tc>
        <w:tc>
          <w:tcPr>
            <w:tcW w:w="2196" w:type="dxa"/>
            <w:tcBorders>
              <w:top w:val="single" w:sz="4" w:space="0" w:color="auto"/>
              <w:left w:val="nil"/>
              <w:bottom w:val="single" w:sz="8" w:space="0" w:color="auto"/>
              <w:right w:val="nil"/>
            </w:tcBorders>
            <w:shd w:val="clear" w:color="000000" w:fill="FFFFFF"/>
            <w:vAlign w:val="center"/>
            <w:hideMark/>
          </w:tcPr>
          <w:p w14:paraId="59F7FB1F" w14:textId="77777777" w:rsidR="0021298F" w:rsidRPr="00D648AB" w:rsidRDefault="0021298F" w:rsidP="00760009">
            <w:pPr>
              <w:jc w:val="right"/>
              <w:rPr>
                <w:rFonts w:ascii="Arial" w:eastAsia="Times New Roman" w:hAnsi="Arial" w:cs="Arial"/>
                <w:b/>
                <w:bCs/>
                <w:color w:val="000000"/>
                <w:lang w:eastAsia="en-GB"/>
              </w:rPr>
            </w:pPr>
            <w:r w:rsidRPr="00D648AB">
              <w:rPr>
                <w:rFonts w:ascii="Arial" w:eastAsia="Times New Roman" w:hAnsi="Arial" w:cs="Arial"/>
                <w:b/>
                <w:bCs/>
                <w:color w:val="000000"/>
                <w:lang w:eastAsia="en-GB"/>
              </w:rPr>
              <w:t xml:space="preserve">3,470 </w:t>
            </w:r>
          </w:p>
        </w:tc>
      </w:tr>
    </w:tbl>
    <w:p w14:paraId="0AD238E0" w14:textId="77777777" w:rsidR="0021298F" w:rsidRPr="009B56C3" w:rsidRDefault="0021298F" w:rsidP="0021298F">
      <w:pPr>
        <w:rPr>
          <w:sz w:val="10"/>
          <w:szCs w:val="10"/>
          <w:lang w:eastAsia="en-GB"/>
        </w:rPr>
      </w:pPr>
    </w:p>
    <w:tbl>
      <w:tblPr>
        <w:tblW w:w="9561" w:type="dxa"/>
        <w:tblLook w:val="04A0" w:firstRow="1" w:lastRow="0" w:firstColumn="1" w:lastColumn="0" w:noHBand="0" w:noVBand="1"/>
      </w:tblPr>
      <w:tblGrid>
        <w:gridCol w:w="4710"/>
        <w:gridCol w:w="283"/>
        <w:gridCol w:w="2380"/>
        <w:gridCol w:w="2188"/>
      </w:tblGrid>
      <w:tr w:rsidR="0021298F" w:rsidRPr="00A90CEE" w14:paraId="6CDB672F" w14:textId="77777777" w:rsidTr="00760009">
        <w:trPr>
          <w:trHeight w:val="300"/>
        </w:trPr>
        <w:tc>
          <w:tcPr>
            <w:tcW w:w="4710" w:type="dxa"/>
            <w:tcBorders>
              <w:top w:val="nil"/>
              <w:left w:val="nil"/>
              <w:bottom w:val="nil"/>
              <w:right w:val="nil"/>
            </w:tcBorders>
            <w:shd w:val="clear" w:color="000000" w:fill="FFFFFF"/>
            <w:vAlign w:val="center"/>
            <w:hideMark/>
          </w:tcPr>
          <w:p w14:paraId="3DDC8D1E" w14:textId="77777777" w:rsidR="0021298F" w:rsidRPr="00A90CEE" w:rsidRDefault="0021298F" w:rsidP="00760009">
            <w:pPr>
              <w:jc w:val="both"/>
              <w:rPr>
                <w:rFonts w:ascii="Arial" w:eastAsia="Times New Roman" w:hAnsi="Arial" w:cs="Arial"/>
                <w:b/>
                <w:bCs/>
                <w:color w:val="000000"/>
                <w:lang w:eastAsia="en-GB"/>
              </w:rPr>
            </w:pPr>
            <w:r w:rsidRPr="00A90CEE">
              <w:rPr>
                <w:rFonts w:ascii="Arial" w:eastAsia="Times New Roman" w:hAnsi="Arial" w:cs="Arial"/>
                <w:b/>
                <w:bCs/>
                <w:color w:val="000000"/>
                <w:lang w:eastAsia="en-GB"/>
              </w:rPr>
              <w:t> </w:t>
            </w:r>
          </w:p>
        </w:tc>
        <w:tc>
          <w:tcPr>
            <w:tcW w:w="278" w:type="dxa"/>
            <w:tcBorders>
              <w:top w:val="nil"/>
              <w:left w:val="nil"/>
              <w:bottom w:val="nil"/>
              <w:right w:val="nil"/>
            </w:tcBorders>
            <w:shd w:val="clear" w:color="auto" w:fill="auto"/>
            <w:noWrap/>
            <w:vAlign w:val="bottom"/>
            <w:hideMark/>
          </w:tcPr>
          <w:p w14:paraId="511E8406" w14:textId="77777777" w:rsidR="0021298F" w:rsidRPr="00A90CEE" w:rsidRDefault="0021298F" w:rsidP="00760009">
            <w:pPr>
              <w:jc w:val="both"/>
              <w:rPr>
                <w:rFonts w:ascii="Arial" w:eastAsia="Times New Roman" w:hAnsi="Arial" w:cs="Arial"/>
                <w:b/>
                <w:bCs/>
                <w:color w:val="000000"/>
                <w:lang w:eastAsia="en-GB"/>
              </w:rPr>
            </w:pPr>
          </w:p>
        </w:tc>
        <w:tc>
          <w:tcPr>
            <w:tcW w:w="2383" w:type="dxa"/>
            <w:tcBorders>
              <w:top w:val="nil"/>
              <w:left w:val="nil"/>
              <w:bottom w:val="nil"/>
              <w:right w:val="nil"/>
            </w:tcBorders>
            <w:shd w:val="clear" w:color="000000" w:fill="FFFFFF"/>
            <w:vAlign w:val="center"/>
            <w:hideMark/>
          </w:tcPr>
          <w:p w14:paraId="1ABBC900" w14:textId="77777777" w:rsidR="0021298F" w:rsidRPr="00A90CEE" w:rsidRDefault="0021298F" w:rsidP="00760009">
            <w:pPr>
              <w:jc w:val="right"/>
              <w:rPr>
                <w:rFonts w:ascii="Arial" w:eastAsia="Times New Roman" w:hAnsi="Arial" w:cs="Arial"/>
                <w:b/>
                <w:bCs/>
                <w:color w:val="000000"/>
                <w:lang w:eastAsia="en-GB"/>
              </w:rPr>
            </w:pPr>
            <w:r w:rsidRPr="00A90CEE">
              <w:rPr>
                <w:rFonts w:ascii="Arial" w:eastAsia="Times New Roman" w:hAnsi="Arial" w:cs="Arial"/>
                <w:b/>
                <w:bCs/>
                <w:color w:val="000000"/>
                <w:lang w:eastAsia="en-GB"/>
              </w:rPr>
              <w:t>31 December 2020</w:t>
            </w:r>
          </w:p>
        </w:tc>
        <w:tc>
          <w:tcPr>
            <w:tcW w:w="2190" w:type="dxa"/>
            <w:tcBorders>
              <w:top w:val="nil"/>
              <w:left w:val="nil"/>
              <w:bottom w:val="nil"/>
              <w:right w:val="nil"/>
            </w:tcBorders>
            <w:shd w:val="clear" w:color="000000" w:fill="FFFFFF"/>
            <w:vAlign w:val="center"/>
            <w:hideMark/>
          </w:tcPr>
          <w:p w14:paraId="311AD147" w14:textId="77777777" w:rsidR="0021298F" w:rsidRPr="00A90CEE" w:rsidRDefault="0021298F" w:rsidP="00760009">
            <w:pPr>
              <w:jc w:val="right"/>
              <w:rPr>
                <w:rFonts w:ascii="Arial" w:eastAsia="Times New Roman" w:hAnsi="Arial" w:cs="Arial"/>
                <w:b/>
                <w:bCs/>
                <w:color w:val="000000"/>
                <w:lang w:eastAsia="en-GB"/>
              </w:rPr>
            </w:pPr>
            <w:r w:rsidRPr="00A90CEE">
              <w:rPr>
                <w:rFonts w:ascii="Arial" w:eastAsia="Times New Roman" w:hAnsi="Arial" w:cs="Arial"/>
                <w:b/>
                <w:bCs/>
                <w:color w:val="000000"/>
                <w:lang w:eastAsia="en-GB"/>
              </w:rPr>
              <w:t>31 December 2019</w:t>
            </w:r>
          </w:p>
        </w:tc>
      </w:tr>
      <w:tr w:rsidR="0021298F" w:rsidRPr="00A90CEE" w14:paraId="60889F49" w14:textId="77777777" w:rsidTr="00760009">
        <w:trPr>
          <w:trHeight w:val="300"/>
        </w:trPr>
        <w:tc>
          <w:tcPr>
            <w:tcW w:w="4710" w:type="dxa"/>
            <w:tcBorders>
              <w:top w:val="nil"/>
              <w:left w:val="nil"/>
              <w:bottom w:val="single" w:sz="4" w:space="0" w:color="auto"/>
              <w:right w:val="nil"/>
            </w:tcBorders>
            <w:shd w:val="clear" w:color="000000" w:fill="FFFFFF"/>
            <w:vAlign w:val="center"/>
            <w:hideMark/>
          </w:tcPr>
          <w:p w14:paraId="38126079" w14:textId="77777777" w:rsidR="0021298F" w:rsidRPr="00A90CEE" w:rsidRDefault="0021298F" w:rsidP="00760009">
            <w:pPr>
              <w:jc w:val="both"/>
              <w:rPr>
                <w:rFonts w:ascii="Arial" w:eastAsia="Times New Roman" w:hAnsi="Arial" w:cs="Arial"/>
                <w:b/>
                <w:bCs/>
                <w:color w:val="000000"/>
                <w:lang w:eastAsia="en-GB"/>
              </w:rPr>
            </w:pPr>
            <w:r w:rsidRPr="00A90CEE">
              <w:rPr>
                <w:rFonts w:ascii="Arial" w:eastAsia="Times New Roman" w:hAnsi="Arial" w:cs="Arial"/>
                <w:b/>
                <w:bCs/>
                <w:color w:val="000000"/>
                <w:lang w:eastAsia="en-GB"/>
              </w:rPr>
              <w:t>Company</w:t>
            </w:r>
          </w:p>
        </w:tc>
        <w:tc>
          <w:tcPr>
            <w:tcW w:w="278" w:type="dxa"/>
            <w:tcBorders>
              <w:top w:val="nil"/>
              <w:left w:val="nil"/>
              <w:bottom w:val="single" w:sz="4" w:space="0" w:color="auto"/>
              <w:right w:val="nil"/>
            </w:tcBorders>
            <w:shd w:val="clear" w:color="000000" w:fill="FFFFFF"/>
            <w:vAlign w:val="center"/>
            <w:hideMark/>
          </w:tcPr>
          <w:p w14:paraId="340BD91A" w14:textId="77777777" w:rsidR="0021298F" w:rsidRPr="00A90CEE" w:rsidRDefault="0021298F" w:rsidP="00760009">
            <w:pPr>
              <w:jc w:val="right"/>
              <w:rPr>
                <w:rFonts w:ascii="Arial" w:eastAsia="Times New Roman" w:hAnsi="Arial" w:cs="Arial"/>
                <w:b/>
                <w:bCs/>
                <w:color w:val="000000"/>
                <w:lang w:eastAsia="en-GB"/>
              </w:rPr>
            </w:pPr>
            <w:r w:rsidRPr="00A90CEE">
              <w:rPr>
                <w:rFonts w:ascii="Arial" w:eastAsia="Times New Roman" w:hAnsi="Arial" w:cs="Arial"/>
                <w:b/>
                <w:bCs/>
                <w:color w:val="000000"/>
                <w:lang w:eastAsia="en-GB"/>
              </w:rPr>
              <w:t> </w:t>
            </w:r>
          </w:p>
        </w:tc>
        <w:tc>
          <w:tcPr>
            <w:tcW w:w="2383" w:type="dxa"/>
            <w:tcBorders>
              <w:top w:val="nil"/>
              <w:left w:val="nil"/>
              <w:bottom w:val="single" w:sz="4" w:space="0" w:color="auto"/>
              <w:right w:val="nil"/>
            </w:tcBorders>
            <w:shd w:val="clear" w:color="000000" w:fill="FFFFFF"/>
            <w:vAlign w:val="center"/>
            <w:hideMark/>
          </w:tcPr>
          <w:p w14:paraId="45947770" w14:textId="77777777" w:rsidR="0021298F" w:rsidRPr="00A90CEE" w:rsidRDefault="0021298F" w:rsidP="00760009">
            <w:pPr>
              <w:jc w:val="right"/>
              <w:rPr>
                <w:rFonts w:ascii="Arial" w:eastAsia="Times New Roman" w:hAnsi="Arial" w:cs="Arial"/>
                <w:b/>
                <w:bCs/>
                <w:color w:val="000000"/>
                <w:lang w:eastAsia="en-GB"/>
              </w:rPr>
            </w:pPr>
            <w:r w:rsidRPr="00A90CEE">
              <w:rPr>
                <w:rFonts w:ascii="Arial" w:eastAsia="Times New Roman" w:hAnsi="Arial" w:cs="Arial"/>
                <w:b/>
                <w:bCs/>
                <w:color w:val="000000"/>
                <w:lang w:eastAsia="en-GB"/>
              </w:rPr>
              <w:t>€’000</w:t>
            </w:r>
          </w:p>
        </w:tc>
        <w:tc>
          <w:tcPr>
            <w:tcW w:w="2190" w:type="dxa"/>
            <w:tcBorders>
              <w:top w:val="nil"/>
              <w:left w:val="nil"/>
              <w:bottom w:val="single" w:sz="4" w:space="0" w:color="auto"/>
              <w:right w:val="nil"/>
            </w:tcBorders>
            <w:shd w:val="clear" w:color="000000" w:fill="FFFFFF"/>
            <w:vAlign w:val="center"/>
            <w:hideMark/>
          </w:tcPr>
          <w:p w14:paraId="6BB6D7FB" w14:textId="77777777" w:rsidR="0021298F" w:rsidRPr="00A90CEE" w:rsidRDefault="0021298F" w:rsidP="00760009">
            <w:pPr>
              <w:jc w:val="right"/>
              <w:rPr>
                <w:rFonts w:ascii="Arial" w:eastAsia="Times New Roman" w:hAnsi="Arial" w:cs="Arial"/>
                <w:b/>
                <w:bCs/>
                <w:color w:val="000000"/>
                <w:lang w:eastAsia="en-GB"/>
              </w:rPr>
            </w:pPr>
            <w:r w:rsidRPr="00A90CEE">
              <w:rPr>
                <w:rFonts w:ascii="Arial" w:eastAsia="Times New Roman" w:hAnsi="Arial" w:cs="Arial"/>
                <w:b/>
                <w:bCs/>
                <w:color w:val="000000"/>
                <w:lang w:eastAsia="en-GB"/>
              </w:rPr>
              <w:t>€’000</w:t>
            </w:r>
          </w:p>
        </w:tc>
      </w:tr>
      <w:tr w:rsidR="0021298F" w:rsidRPr="00A90CEE" w14:paraId="385CA2C8" w14:textId="77777777" w:rsidTr="00760009">
        <w:trPr>
          <w:trHeight w:val="300"/>
        </w:trPr>
        <w:tc>
          <w:tcPr>
            <w:tcW w:w="4710" w:type="dxa"/>
            <w:tcBorders>
              <w:top w:val="nil"/>
              <w:left w:val="nil"/>
              <w:bottom w:val="nil"/>
              <w:right w:val="nil"/>
            </w:tcBorders>
            <w:shd w:val="clear" w:color="000000" w:fill="FFFFFF"/>
            <w:vAlign w:val="center"/>
            <w:hideMark/>
          </w:tcPr>
          <w:p w14:paraId="74538AF5" w14:textId="77777777" w:rsidR="0021298F" w:rsidRPr="00A90CEE" w:rsidRDefault="0021298F" w:rsidP="00760009">
            <w:pPr>
              <w:jc w:val="both"/>
              <w:rPr>
                <w:rFonts w:ascii="Arial" w:eastAsia="Times New Roman" w:hAnsi="Arial" w:cs="Arial"/>
                <w:color w:val="000000"/>
                <w:lang w:eastAsia="en-GB"/>
              </w:rPr>
            </w:pPr>
            <w:r w:rsidRPr="00A90CEE">
              <w:rPr>
                <w:rFonts w:ascii="Arial" w:eastAsia="Times New Roman" w:hAnsi="Arial" w:cs="Arial"/>
                <w:color w:val="000000"/>
                <w:lang w:eastAsia="en-GB"/>
              </w:rPr>
              <w:t xml:space="preserve">Investment management fee payable </w:t>
            </w:r>
          </w:p>
        </w:tc>
        <w:tc>
          <w:tcPr>
            <w:tcW w:w="278" w:type="dxa"/>
            <w:tcBorders>
              <w:top w:val="nil"/>
              <w:left w:val="nil"/>
              <w:bottom w:val="nil"/>
              <w:right w:val="nil"/>
            </w:tcBorders>
            <w:shd w:val="clear" w:color="000000" w:fill="EDFFB7"/>
            <w:vAlign w:val="center"/>
            <w:hideMark/>
          </w:tcPr>
          <w:p w14:paraId="4406D83B" w14:textId="77777777" w:rsidR="0021298F" w:rsidRPr="00A90CEE" w:rsidRDefault="0021298F" w:rsidP="00760009">
            <w:pPr>
              <w:jc w:val="right"/>
              <w:rPr>
                <w:rFonts w:ascii="Arial" w:eastAsia="Times New Roman" w:hAnsi="Arial" w:cs="Arial"/>
                <w:b/>
                <w:bCs/>
                <w:color w:val="000000"/>
                <w:lang w:eastAsia="en-GB"/>
              </w:rPr>
            </w:pPr>
            <w:r w:rsidRPr="00A90CEE">
              <w:rPr>
                <w:rFonts w:ascii="Arial" w:eastAsia="Times New Roman" w:hAnsi="Arial" w:cs="Arial"/>
                <w:b/>
                <w:bCs/>
                <w:color w:val="000000"/>
                <w:lang w:eastAsia="en-GB"/>
              </w:rPr>
              <w:t> </w:t>
            </w:r>
          </w:p>
        </w:tc>
        <w:tc>
          <w:tcPr>
            <w:tcW w:w="2383" w:type="dxa"/>
            <w:tcBorders>
              <w:top w:val="nil"/>
              <w:left w:val="nil"/>
              <w:bottom w:val="nil"/>
              <w:right w:val="nil"/>
            </w:tcBorders>
            <w:shd w:val="clear" w:color="000000" w:fill="EDFFB7"/>
            <w:vAlign w:val="center"/>
            <w:hideMark/>
          </w:tcPr>
          <w:p w14:paraId="55A239C1" w14:textId="77777777" w:rsidR="0021298F" w:rsidRPr="00A90CEE" w:rsidRDefault="0021298F" w:rsidP="00760009">
            <w:pPr>
              <w:jc w:val="right"/>
              <w:rPr>
                <w:rFonts w:ascii="Arial" w:eastAsia="Times New Roman" w:hAnsi="Arial" w:cs="Arial"/>
                <w:b/>
                <w:bCs/>
                <w:color w:val="000000"/>
                <w:lang w:eastAsia="en-GB"/>
              </w:rPr>
            </w:pPr>
            <w:r w:rsidRPr="00A90CEE">
              <w:rPr>
                <w:rFonts w:ascii="Arial" w:eastAsia="Times New Roman" w:hAnsi="Arial" w:cs="Arial"/>
                <w:b/>
                <w:bCs/>
                <w:color w:val="000000"/>
                <w:lang w:eastAsia="en-GB"/>
              </w:rPr>
              <w:t xml:space="preserve">1,685 </w:t>
            </w:r>
          </w:p>
        </w:tc>
        <w:tc>
          <w:tcPr>
            <w:tcW w:w="2190" w:type="dxa"/>
            <w:tcBorders>
              <w:top w:val="nil"/>
              <w:left w:val="nil"/>
              <w:bottom w:val="nil"/>
              <w:right w:val="nil"/>
            </w:tcBorders>
            <w:shd w:val="clear" w:color="000000" w:fill="FFFFFF"/>
            <w:vAlign w:val="center"/>
            <w:hideMark/>
          </w:tcPr>
          <w:p w14:paraId="4B8E97A6" w14:textId="77777777" w:rsidR="0021298F" w:rsidRPr="00A90CEE" w:rsidRDefault="0021298F" w:rsidP="00760009">
            <w:pPr>
              <w:jc w:val="right"/>
              <w:rPr>
                <w:rFonts w:ascii="Arial" w:eastAsia="Times New Roman" w:hAnsi="Arial" w:cs="Arial"/>
                <w:color w:val="000000"/>
                <w:lang w:eastAsia="en-GB"/>
              </w:rPr>
            </w:pPr>
            <w:r w:rsidRPr="00A90CEE">
              <w:rPr>
                <w:rFonts w:ascii="Arial" w:eastAsia="Times New Roman" w:hAnsi="Arial" w:cs="Arial"/>
                <w:color w:val="000000"/>
                <w:lang w:eastAsia="en-GB"/>
              </w:rPr>
              <w:t>1,4</w:t>
            </w:r>
            <w:r>
              <w:rPr>
                <w:rFonts w:ascii="Arial" w:eastAsia="Times New Roman" w:hAnsi="Arial" w:cs="Arial"/>
                <w:color w:val="000000"/>
                <w:lang w:eastAsia="en-GB"/>
              </w:rPr>
              <w:t>10</w:t>
            </w:r>
            <w:r w:rsidRPr="00A90CEE">
              <w:rPr>
                <w:rFonts w:ascii="Arial" w:eastAsia="Times New Roman" w:hAnsi="Arial" w:cs="Arial"/>
                <w:color w:val="000000"/>
                <w:lang w:eastAsia="en-GB"/>
              </w:rPr>
              <w:t xml:space="preserve"> </w:t>
            </w:r>
          </w:p>
        </w:tc>
      </w:tr>
      <w:tr w:rsidR="0021298F" w:rsidRPr="00A90CEE" w14:paraId="4572C53B" w14:textId="77777777" w:rsidTr="00760009">
        <w:trPr>
          <w:trHeight w:val="300"/>
        </w:trPr>
        <w:tc>
          <w:tcPr>
            <w:tcW w:w="4710" w:type="dxa"/>
            <w:tcBorders>
              <w:top w:val="nil"/>
              <w:left w:val="nil"/>
              <w:bottom w:val="nil"/>
              <w:right w:val="nil"/>
            </w:tcBorders>
            <w:shd w:val="clear" w:color="000000" w:fill="FFFFFF"/>
            <w:vAlign w:val="center"/>
            <w:hideMark/>
          </w:tcPr>
          <w:p w14:paraId="54DDA693" w14:textId="77777777" w:rsidR="0021298F" w:rsidRPr="00A90CEE" w:rsidRDefault="0021298F" w:rsidP="00760009">
            <w:pPr>
              <w:jc w:val="both"/>
              <w:rPr>
                <w:rFonts w:ascii="Arial" w:eastAsia="Times New Roman" w:hAnsi="Arial" w:cs="Arial"/>
                <w:color w:val="000000"/>
                <w:lang w:eastAsia="en-GB"/>
              </w:rPr>
            </w:pPr>
            <w:r w:rsidRPr="00A90CEE">
              <w:rPr>
                <w:rFonts w:ascii="Arial" w:eastAsia="Times New Roman" w:hAnsi="Arial" w:cs="Arial"/>
                <w:color w:val="000000"/>
                <w:lang w:eastAsia="en-GB"/>
              </w:rPr>
              <w:t>Other payables</w:t>
            </w:r>
          </w:p>
        </w:tc>
        <w:tc>
          <w:tcPr>
            <w:tcW w:w="278" w:type="dxa"/>
            <w:tcBorders>
              <w:top w:val="nil"/>
              <w:left w:val="nil"/>
              <w:bottom w:val="nil"/>
              <w:right w:val="nil"/>
            </w:tcBorders>
            <w:shd w:val="clear" w:color="000000" w:fill="EDFFB7"/>
            <w:vAlign w:val="center"/>
            <w:hideMark/>
          </w:tcPr>
          <w:p w14:paraId="564C4006" w14:textId="77777777" w:rsidR="0021298F" w:rsidRPr="00A90CEE" w:rsidRDefault="0021298F" w:rsidP="00760009">
            <w:pPr>
              <w:jc w:val="right"/>
              <w:rPr>
                <w:rFonts w:ascii="Arial" w:eastAsia="Times New Roman" w:hAnsi="Arial" w:cs="Arial"/>
                <w:b/>
                <w:bCs/>
                <w:color w:val="000000"/>
                <w:lang w:eastAsia="en-GB"/>
              </w:rPr>
            </w:pPr>
            <w:r w:rsidRPr="00A90CEE">
              <w:rPr>
                <w:rFonts w:ascii="Arial" w:eastAsia="Times New Roman" w:hAnsi="Arial" w:cs="Arial"/>
                <w:b/>
                <w:bCs/>
                <w:color w:val="000000"/>
                <w:lang w:eastAsia="en-GB"/>
              </w:rPr>
              <w:t> </w:t>
            </w:r>
          </w:p>
        </w:tc>
        <w:tc>
          <w:tcPr>
            <w:tcW w:w="2383" w:type="dxa"/>
            <w:tcBorders>
              <w:top w:val="nil"/>
              <w:left w:val="nil"/>
              <w:bottom w:val="nil"/>
              <w:right w:val="nil"/>
            </w:tcBorders>
            <w:shd w:val="clear" w:color="000000" w:fill="EDFFB7"/>
            <w:vAlign w:val="center"/>
            <w:hideMark/>
          </w:tcPr>
          <w:p w14:paraId="4641123A" w14:textId="77777777" w:rsidR="0021298F" w:rsidRPr="00A90CEE" w:rsidRDefault="0021298F" w:rsidP="00760009">
            <w:pPr>
              <w:jc w:val="right"/>
              <w:rPr>
                <w:rFonts w:ascii="Arial" w:eastAsia="Times New Roman" w:hAnsi="Arial" w:cs="Arial"/>
                <w:b/>
                <w:bCs/>
                <w:color w:val="000000"/>
                <w:lang w:eastAsia="en-GB"/>
              </w:rPr>
            </w:pPr>
            <w:r w:rsidRPr="00A90CEE">
              <w:rPr>
                <w:rFonts w:ascii="Arial" w:eastAsia="Times New Roman" w:hAnsi="Arial" w:cs="Arial"/>
                <w:b/>
                <w:bCs/>
                <w:color w:val="000000"/>
                <w:lang w:eastAsia="en-GB"/>
              </w:rPr>
              <w:t xml:space="preserve">569 </w:t>
            </w:r>
          </w:p>
        </w:tc>
        <w:tc>
          <w:tcPr>
            <w:tcW w:w="2190" w:type="dxa"/>
            <w:tcBorders>
              <w:top w:val="nil"/>
              <w:left w:val="nil"/>
              <w:bottom w:val="nil"/>
              <w:right w:val="nil"/>
            </w:tcBorders>
            <w:shd w:val="clear" w:color="000000" w:fill="FFFFFF"/>
            <w:vAlign w:val="center"/>
            <w:hideMark/>
          </w:tcPr>
          <w:p w14:paraId="49651210" w14:textId="77777777" w:rsidR="0021298F" w:rsidRPr="00A90CEE" w:rsidRDefault="0021298F" w:rsidP="00760009">
            <w:pPr>
              <w:jc w:val="right"/>
              <w:rPr>
                <w:rFonts w:ascii="Arial" w:eastAsia="Times New Roman" w:hAnsi="Arial" w:cs="Arial"/>
                <w:color w:val="000000"/>
                <w:lang w:eastAsia="en-GB"/>
              </w:rPr>
            </w:pPr>
            <w:r w:rsidRPr="00A90CEE">
              <w:rPr>
                <w:rFonts w:ascii="Arial" w:eastAsia="Times New Roman" w:hAnsi="Arial" w:cs="Arial"/>
                <w:color w:val="000000"/>
                <w:lang w:eastAsia="en-GB"/>
              </w:rPr>
              <w:t>4</w:t>
            </w:r>
            <w:r>
              <w:rPr>
                <w:rFonts w:ascii="Arial" w:eastAsia="Times New Roman" w:hAnsi="Arial" w:cs="Arial"/>
                <w:color w:val="000000"/>
                <w:lang w:eastAsia="en-GB"/>
              </w:rPr>
              <w:t>19</w:t>
            </w:r>
            <w:r w:rsidRPr="00A90CEE">
              <w:rPr>
                <w:rFonts w:ascii="Arial" w:eastAsia="Times New Roman" w:hAnsi="Arial" w:cs="Arial"/>
                <w:color w:val="000000"/>
                <w:lang w:eastAsia="en-GB"/>
              </w:rPr>
              <w:t xml:space="preserve"> </w:t>
            </w:r>
          </w:p>
        </w:tc>
      </w:tr>
      <w:tr w:rsidR="0021298F" w:rsidRPr="00A90CEE" w14:paraId="3BA7DD21" w14:textId="77777777" w:rsidTr="00760009">
        <w:trPr>
          <w:trHeight w:val="300"/>
        </w:trPr>
        <w:tc>
          <w:tcPr>
            <w:tcW w:w="4710" w:type="dxa"/>
            <w:tcBorders>
              <w:top w:val="nil"/>
              <w:left w:val="nil"/>
              <w:bottom w:val="nil"/>
              <w:right w:val="nil"/>
            </w:tcBorders>
            <w:shd w:val="clear" w:color="000000" w:fill="FFFFFF"/>
            <w:vAlign w:val="center"/>
            <w:hideMark/>
          </w:tcPr>
          <w:p w14:paraId="5F0544F8" w14:textId="77777777" w:rsidR="0021298F" w:rsidRPr="00A90CEE" w:rsidRDefault="0021298F" w:rsidP="00760009">
            <w:pPr>
              <w:jc w:val="both"/>
              <w:rPr>
                <w:rFonts w:ascii="Arial" w:eastAsia="Times New Roman" w:hAnsi="Arial" w:cs="Arial"/>
                <w:color w:val="000000"/>
                <w:lang w:eastAsia="en-GB"/>
              </w:rPr>
            </w:pPr>
            <w:r w:rsidRPr="00A90CEE">
              <w:rPr>
                <w:rFonts w:ascii="Arial" w:eastAsia="Times New Roman" w:hAnsi="Arial" w:cs="Arial"/>
                <w:color w:val="000000"/>
                <w:lang w:eastAsia="en-GB"/>
              </w:rPr>
              <w:t>Share issue costs payable</w:t>
            </w:r>
          </w:p>
        </w:tc>
        <w:tc>
          <w:tcPr>
            <w:tcW w:w="278" w:type="dxa"/>
            <w:tcBorders>
              <w:top w:val="nil"/>
              <w:left w:val="nil"/>
              <w:bottom w:val="nil"/>
              <w:right w:val="nil"/>
            </w:tcBorders>
            <w:shd w:val="clear" w:color="000000" w:fill="EDFFB7"/>
            <w:vAlign w:val="center"/>
            <w:hideMark/>
          </w:tcPr>
          <w:p w14:paraId="6833C472" w14:textId="77777777" w:rsidR="0021298F" w:rsidRPr="00A90CEE" w:rsidRDefault="0021298F" w:rsidP="00760009">
            <w:pPr>
              <w:jc w:val="right"/>
              <w:rPr>
                <w:rFonts w:ascii="Arial" w:eastAsia="Times New Roman" w:hAnsi="Arial" w:cs="Arial"/>
                <w:b/>
                <w:bCs/>
                <w:color w:val="000000"/>
                <w:lang w:eastAsia="en-GB"/>
              </w:rPr>
            </w:pPr>
            <w:r w:rsidRPr="00A90CEE">
              <w:rPr>
                <w:rFonts w:ascii="Arial" w:eastAsia="Times New Roman" w:hAnsi="Arial" w:cs="Arial"/>
                <w:b/>
                <w:bCs/>
                <w:color w:val="000000"/>
                <w:lang w:eastAsia="en-GB"/>
              </w:rPr>
              <w:t> </w:t>
            </w:r>
          </w:p>
        </w:tc>
        <w:tc>
          <w:tcPr>
            <w:tcW w:w="2383" w:type="dxa"/>
            <w:tcBorders>
              <w:top w:val="nil"/>
              <w:left w:val="nil"/>
              <w:bottom w:val="nil"/>
              <w:right w:val="nil"/>
            </w:tcBorders>
            <w:shd w:val="clear" w:color="000000" w:fill="EDFFB7"/>
            <w:vAlign w:val="center"/>
            <w:hideMark/>
          </w:tcPr>
          <w:p w14:paraId="250427E7" w14:textId="77777777" w:rsidR="0021298F" w:rsidRPr="00A90CEE" w:rsidRDefault="0021298F" w:rsidP="00760009">
            <w:pPr>
              <w:jc w:val="right"/>
              <w:rPr>
                <w:rFonts w:ascii="Arial" w:eastAsia="Times New Roman" w:hAnsi="Arial" w:cs="Arial"/>
                <w:b/>
                <w:bCs/>
                <w:color w:val="000000"/>
                <w:lang w:eastAsia="en-GB"/>
              </w:rPr>
            </w:pPr>
            <w:r w:rsidRPr="00A90CEE">
              <w:rPr>
                <w:rFonts w:ascii="Arial" w:eastAsia="Times New Roman" w:hAnsi="Arial" w:cs="Arial"/>
                <w:b/>
                <w:bCs/>
                <w:color w:val="000000"/>
                <w:lang w:eastAsia="en-GB"/>
              </w:rPr>
              <w:t xml:space="preserve">157 </w:t>
            </w:r>
          </w:p>
        </w:tc>
        <w:tc>
          <w:tcPr>
            <w:tcW w:w="2190" w:type="dxa"/>
            <w:tcBorders>
              <w:top w:val="nil"/>
              <w:left w:val="nil"/>
              <w:bottom w:val="nil"/>
              <w:right w:val="nil"/>
            </w:tcBorders>
            <w:shd w:val="clear" w:color="000000" w:fill="FFFFFF"/>
            <w:vAlign w:val="center"/>
            <w:hideMark/>
          </w:tcPr>
          <w:p w14:paraId="2B7B7E45" w14:textId="77777777" w:rsidR="0021298F" w:rsidRPr="00A90CEE" w:rsidRDefault="0021298F" w:rsidP="00760009">
            <w:pPr>
              <w:jc w:val="right"/>
              <w:rPr>
                <w:rFonts w:ascii="Arial" w:eastAsia="Times New Roman" w:hAnsi="Arial" w:cs="Arial"/>
                <w:color w:val="000000"/>
                <w:lang w:eastAsia="en-GB"/>
              </w:rPr>
            </w:pPr>
            <w:r w:rsidRPr="00A90CEE">
              <w:rPr>
                <w:rFonts w:ascii="Arial" w:eastAsia="Times New Roman" w:hAnsi="Arial" w:cs="Arial"/>
                <w:color w:val="000000"/>
                <w:lang w:eastAsia="en-GB"/>
              </w:rPr>
              <w:t xml:space="preserve">171 </w:t>
            </w:r>
          </w:p>
        </w:tc>
      </w:tr>
      <w:tr w:rsidR="0021298F" w:rsidRPr="00A90CEE" w14:paraId="617401F8" w14:textId="77777777" w:rsidTr="00760009">
        <w:trPr>
          <w:trHeight w:val="315"/>
        </w:trPr>
        <w:tc>
          <w:tcPr>
            <w:tcW w:w="4710" w:type="dxa"/>
            <w:tcBorders>
              <w:top w:val="single" w:sz="4" w:space="0" w:color="auto"/>
              <w:left w:val="nil"/>
              <w:bottom w:val="single" w:sz="8" w:space="0" w:color="auto"/>
              <w:right w:val="nil"/>
            </w:tcBorders>
            <w:shd w:val="clear" w:color="000000" w:fill="FFFFFF"/>
            <w:noWrap/>
            <w:vAlign w:val="bottom"/>
            <w:hideMark/>
          </w:tcPr>
          <w:p w14:paraId="31DB2071" w14:textId="77777777" w:rsidR="0021298F" w:rsidRPr="00A90CEE" w:rsidRDefault="0021298F" w:rsidP="00760009">
            <w:pPr>
              <w:rPr>
                <w:rFonts w:ascii="Calibri" w:eastAsia="Times New Roman" w:hAnsi="Calibri" w:cs="Calibri"/>
                <w:color w:val="000000"/>
                <w:lang w:eastAsia="en-GB"/>
              </w:rPr>
            </w:pPr>
            <w:r w:rsidRPr="00A90CEE">
              <w:rPr>
                <w:rFonts w:ascii="Calibri" w:eastAsia="Times New Roman" w:hAnsi="Calibri" w:cs="Calibri"/>
                <w:color w:val="000000"/>
                <w:lang w:eastAsia="en-GB"/>
              </w:rPr>
              <w:t> </w:t>
            </w:r>
          </w:p>
        </w:tc>
        <w:tc>
          <w:tcPr>
            <w:tcW w:w="278" w:type="dxa"/>
            <w:tcBorders>
              <w:top w:val="single" w:sz="4" w:space="0" w:color="auto"/>
              <w:left w:val="nil"/>
              <w:bottom w:val="single" w:sz="8" w:space="0" w:color="auto"/>
              <w:right w:val="nil"/>
            </w:tcBorders>
            <w:shd w:val="clear" w:color="000000" w:fill="EDFFB7"/>
            <w:vAlign w:val="center"/>
            <w:hideMark/>
          </w:tcPr>
          <w:p w14:paraId="3E7866A4" w14:textId="77777777" w:rsidR="0021298F" w:rsidRPr="00A90CEE" w:rsidRDefault="0021298F" w:rsidP="00760009">
            <w:pPr>
              <w:jc w:val="right"/>
              <w:rPr>
                <w:rFonts w:ascii="Arial" w:eastAsia="Times New Roman" w:hAnsi="Arial" w:cs="Arial"/>
                <w:b/>
                <w:bCs/>
                <w:color w:val="000000"/>
                <w:lang w:eastAsia="en-GB"/>
              </w:rPr>
            </w:pPr>
            <w:r w:rsidRPr="00A90CEE">
              <w:rPr>
                <w:rFonts w:ascii="Arial" w:eastAsia="Times New Roman" w:hAnsi="Arial" w:cs="Arial"/>
                <w:b/>
                <w:bCs/>
                <w:color w:val="000000"/>
                <w:lang w:eastAsia="en-GB"/>
              </w:rPr>
              <w:t> </w:t>
            </w:r>
          </w:p>
        </w:tc>
        <w:tc>
          <w:tcPr>
            <w:tcW w:w="2383" w:type="dxa"/>
            <w:tcBorders>
              <w:top w:val="single" w:sz="4" w:space="0" w:color="auto"/>
              <w:left w:val="nil"/>
              <w:bottom w:val="single" w:sz="8" w:space="0" w:color="auto"/>
              <w:right w:val="nil"/>
            </w:tcBorders>
            <w:shd w:val="clear" w:color="000000" w:fill="EDFFB7"/>
            <w:vAlign w:val="center"/>
            <w:hideMark/>
          </w:tcPr>
          <w:p w14:paraId="2C068862" w14:textId="77777777" w:rsidR="0021298F" w:rsidRPr="00A90CEE" w:rsidRDefault="0021298F" w:rsidP="00760009">
            <w:pPr>
              <w:jc w:val="right"/>
              <w:rPr>
                <w:rFonts w:ascii="Arial" w:eastAsia="Times New Roman" w:hAnsi="Arial" w:cs="Arial"/>
                <w:b/>
                <w:bCs/>
                <w:color w:val="000000"/>
                <w:lang w:eastAsia="en-GB"/>
              </w:rPr>
            </w:pPr>
            <w:r w:rsidRPr="00A90CEE">
              <w:rPr>
                <w:rFonts w:ascii="Arial" w:eastAsia="Times New Roman" w:hAnsi="Arial" w:cs="Arial"/>
                <w:b/>
                <w:bCs/>
                <w:color w:val="000000"/>
                <w:lang w:eastAsia="en-GB"/>
              </w:rPr>
              <w:t xml:space="preserve">2,411 </w:t>
            </w:r>
          </w:p>
        </w:tc>
        <w:tc>
          <w:tcPr>
            <w:tcW w:w="2190" w:type="dxa"/>
            <w:tcBorders>
              <w:top w:val="single" w:sz="4" w:space="0" w:color="auto"/>
              <w:left w:val="nil"/>
              <w:bottom w:val="single" w:sz="8" w:space="0" w:color="auto"/>
              <w:right w:val="nil"/>
            </w:tcBorders>
            <w:shd w:val="clear" w:color="000000" w:fill="FFFFFF"/>
            <w:vAlign w:val="center"/>
            <w:hideMark/>
          </w:tcPr>
          <w:p w14:paraId="11AAD32C" w14:textId="77777777" w:rsidR="0021298F" w:rsidRPr="00A90CEE" w:rsidRDefault="0021298F" w:rsidP="00760009">
            <w:pPr>
              <w:jc w:val="right"/>
              <w:rPr>
                <w:rFonts w:ascii="Arial" w:eastAsia="Times New Roman" w:hAnsi="Arial" w:cs="Arial"/>
                <w:b/>
                <w:bCs/>
                <w:color w:val="000000"/>
                <w:lang w:eastAsia="en-GB"/>
              </w:rPr>
            </w:pPr>
            <w:r w:rsidRPr="00A90CEE">
              <w:rPr>
                <w:rFonts w:ascii="Arial" w:eastAsia="Times New Roman" w:hAnsi="Arial" w:cs="Arial"/>
                <w:b/>
                <w:bCs/>
                <w:color w:val="000000"/>
                <w:lang w:eastAsia="en-GB"/>
              </w:rPr>
              <w:t xml:space="preserve">2,000 </w:t>
            </w:r>
          </w:p>
        </w:tc>
      </w:tr>
    </w:tbl>
    <w:p w14:paraId="3A7C6FC5" w14:textId="77777777" w:rsidR="0021298F" w:rsidRPr="009B56C3" w:rsidRDefault="0021298F" w:rsidP="0021298F">
      <w:pPr>
        <w:rPr>
          <w:rFonts w:ascii="Arial" w:hAnsi="Arial" w:cs="Arial"/>
          <w:sz w:val="10"/>
          <w:szCs w:val="10"/>
          <w:lang w:eastAsia="en-GB"/>
        </w:rPr>
      </w:pPr>
    </w:p>
    <w:p w14:paraId="52D8A8E4" w14:textId="77777777" w:rsidR="0021298F" w:rsidRDefault="0021298F" w:rsidP="0021298F">
      <w:pPr>
        <w:pStyle w:val="Heading2"/>
        <w:keepNext w:val="0"/>
        <w:keepLines w:val="0"/>
        <w:numPr>
          <w:ilvl w:val="0"/>
          <w:numId w:val="43"/>
        </w:numPr>
        <w:tabs>
          <w:tab w:val="left" w:pos="426"/>
        </w:tabs>
        <w:spacing w:before="0" w:line="240" w:lineRule="auto"/>
        <w:jc w:val="both"/>
        <w:rPr>
          <w:rFonts w:ascii="Arial" w:hAnsi="Arial" w:cs="Arial"/>
          <w:color w:val="auto"/>
          <w:sz w:val="24"/>
          <w:szCs w:val="22"/>
          <w:lang w:eastAsia="en-GB"/>
        </w:rPr>
      </w:pPr>
      <w:r w:rsidRPr="000E377E">
        <w:rPr>
          <w:rFonts w:ascii="Arial" w:hAnsi="Arial" w:cs="Arial"/>
          <w:color w:val="auto"/>
          <w:sz w:val="24"/>
          <w:szCs w:val="22"/>
          <w:lang w:eastAsia="en-GB"/>
        </w:rPr>
        <w:t xml:space="preserve">Loans </w:t>
      </w:r>
      <w:r>
        <w:rPr>
          <w:rFonts w:ascii="Arial" w:hAnsi="Arial" w:cs="Arial"/>
          <w:color w:val="auto"/>
          <w:sz w:val="24"/>
          <w:szCs w:val="22"/>
          <w:lang w:eastAsia="en-GB"/>
        </w:rPr>
        <w:t>a</w:t>
      </w:r>
      <w:r w:rsidRPr="000E377E">
        <w:rPr>
          <w:rFonts w:ascii="Arial" w:hAnsi="Arial" w:cs="Arial"/>
          <w:color w:val="auto"/>
          <w:sz w:val="24"/>
          <w:szCs w:val="22"/>
          <w:lang w:eastAsia="en-GB"/>
        </w:rPr>
        <w:t xml:space="preserve">nd </w:t>
      </w:r>
      <w:r>
        <w:rPr>
          <w:rFonts w:ascii="Arial" w:hAnsi="Arial" w:cs="Arial"/>
          <w:color w:val="auto"/>
          <w:sz w:val="24"/>
          <w:szCs w:val="22"/>
          <w:lang w:eastAsia="en-GB"/>
        </w:rPr>
        <w:t>b</w:t>
      </w:r>
      <w:r w:rsidRPr="000E377E">
        <w:rPr>
          <w:rFonts w:ascii="Arial" w:hAnsi="Arial" w:cs="Arial"/>
          <w:color w:val="auto"/>
          <w:sz w:val="24"/>
          <w:szCs w:val="22"/>
          <w:lang w:eastAsia="en-GB"/>
        </w:rPr>
        <w:t>orrowings</w:t>
      </w:r>
      <w:r>
        <w:rPr>
          <w:rFonts w:ascii="Arial" w:hAnsi="Arial" w:cs="Arial"/>
          <w:color w:val="auto"/>
          <w:sz w:val="24"/>
          <w:szCs w:val="22"/>
          <w:lang w:eastAsia="en-GB"/>
        </w:rPr>
        <w:t xml:space="preserve"> </w:t>
      </w:r>
    </w:p>
    <w:p w14:paraId="5CD401E0" w14:textId="77777777" w:rsidR="0021298F" w:rsidRPr="009B56C3" w:rsidRDefault="0021298F" w:rsidP="0021298F">
      <w:pPr>
        <w:rPr>
          <w:sz w:val="10"/>
          <w:szCs w:val="10"/>
          <w:lang w:eastAsia="en-GB"/>
        </w:rPr>
      </w:pPr>
    </w:p>
    <w:p w14:paraId="4C58E06A" w14:textId="77777777" w:rsidR="0021298F" w:rsidRDefault="0021298F" w:rsidP="0021298F">
      <w:pPr>
        <w:rPr>
          <w:rFonts w:ascii="Arial" w:hAnsi="Arial" w:cs="Arial"/>
        </w:rPr>
      </w:pPr>
      <w:r w:rsidRPr="00D627BB">
        <w:rPr>
          <w:rFonts w:ascii="Arial" w:hAnsi="Arial" w:cs="Arial"/>
        </w:rPr>
        <w:t xml:space="preserve">The Company </w:t>
      </w:r>
      <w:r w:rsidRPr="001E34C8">
        <w:rPr>
          <w:rFonts w:ascii="Arial" w:hAnsi="Arial" w:cs="Arial"/>
        </w:rPr>
        <w:t>did not hold any</w:t>
      </w:r>
      <w:r w:rsidRPr="00D627BB">
        <w:rPr>
          <w:rFonts w:ascii="Arial" w:hAnsi="Arial" w:cs="Arial"/>
        </w:rPr>
        <w:t xml:space="preserve"> loans </w:t>
      </w:r>
      <w:r w:rsidRPr="00DF1614">
        <w:rPr>
          <w:rFonts w:ascii="Arial" w:hAnsi="Arial" w:cs="Arial"/>
        </w:rPr>
        <w:t xml:space="preserve">or borrowings at </w:t>
      </w:r>
      <w:r>
        <w:rPr>
          <w:rFonts w:ascii="Arial" w:hAnsi="Arial" w:cs="Arial"/>
        </w:rPr>
        <w:t>31 December 2020 (2019: €nil)</w:t>
      </w:r>
      <w:r w:rsidRPr="00DF1614">
        <w:rPr>
          <w:rFonts w:ascii="Arial" w:hAnsi="Arial" w:cs="Arial"/>
        </w:rPr>
        <w:t>.</w:t>
      </w:r>
      <w:r w:rsidDel="00C823BC">
        <w:rPr>
          <w:rFonts w:ascii="Arial" w:hAnsi="Arial" w:cs="Arial"/>
        </w:rPr>
        <w:t xml:space="preserve"> </w:t>
      </w:r>
    </w:p>
    <w:tbl>
      <w:tblPr>
        <w:tblW w:w="10214" w:type="dxa"/>
        <w:tblLook w:val="04A0" w:firstRow="1" w:lastRow="0" w:firstColumn="1" w:lastColumn="0" w:noHBand="0" w:noVBand="1"/>
      </w:tblPr>
      <w:tblGrid>
        <w:gridCol w:w="4710"/>
        <w:gridCol w:w="271"/>
        <w:gridCol w:w="2392"/>
        <w:gridCol w:w="2268"/>
        <w:gridCol w:w="573"/>
      </w:tblGrid>
      <w:tr w:rsidR="0021298F" w:rsidRPr="00D71042" w14:paraId="23FE1EDB" w14:textId="77777777" w:rsidTr="00760009">
        <w:trPr>
          <w:gridAfter w:val="1"/>
          <w:wAfter w:w="575" w:type="dxa"/>
          <w:trHeight w:val="289"/>
        </w:trPr>
        <w:tc>
          <w:tcPr>
            <w:tcW w:w="4710" w:type="dxa"/>
            <w:tcBorders>
              <w:top w:val="nil"/>
              <w:left w:val="nil"/>
              <w:bottom w:val="nil"/>
              <w:right w:val="nil"/>
            </w:tcBorders>
            <w:shd w:val="clear" w:color="000000" w:fill="FFFFFF"/>
            <w:vAlign w:val="center"/>
            <w:hideMark/>
          </w:tcPr>
          <w:p w14:paraId="08A62DE2" w14:textId="77777777" w:rsidR="0021298F" w:rsidRPr="006F379C" w:rsidRDefault="0021298F" w:rsidP="00760009">
            <w:pPr>
              <w:pStyle w:val="ListParagraph"/>
              <w:jc w:val="both"/>
              <w:rPr>
                <w:rFonts w:ascii="Arial" w:eastAsia="Times New Roman" w:hAnsi="Arial" w:cs="Arial"/>
                <w:color w:val="000000"/>
                <w:lang w:eastAsia="en-GB"/>
              </w:rPr>
            </w:pPr>
            <w:r w:rsidRPr="006F379C">
              <w:rPr>
                <w:rFonts w:ascii="Arial" w:eastAsia="Times New Roman" w:hAnsi="Arial" w:cs="Arial"/>
                <w:color w:val="000000"/>
                <w:lang w:eastAsia="en-GB"/>
              </w:rPr>
              <w:t> </w:t>
            </w:r>
          </w:p>
        </w:tc>
        <w:tc>
          <w:tcPr>
            <w:tcW w:w="266" w:type="dxa"/>
            <w:tcBorders>
              <w:top w:val="nil"/>
              <w:left w:val="nil"/>
              <w:bottom w:val="nil"/>
              <w:right w:val="nil"/>
            </w:tcBorders>
            <w:shd w:val="clear" w:color="000000" w:fill="FFFFFF"/>
            <w:noWrap/>
            <w:vAlign w:val="bottom"/>
            <w:hideMark/>
          </w:tcPr>
          <w:p w14:paraId="6A3AF5BD" w14:textId="77777777" w:rsidR="0021298F" w:rsidRPr="00D71042" w:rsidRDefault="0021298F" w:rsidP="00760009">
            <w:pPr>
              <w:rPr>
                <w:rFonts w:ascii="Calibri" w:eastAsia="Times New Roman" w:hAnsi="Calibri" w:cs="Calibri"/>
                <w:color w:val="000000"/>
                <w:lang w:eastAsia="en-GB"/>
              </w:rPr>
            </w:pPr>
            <w:r w:rsidRPr="00D71042">
              <w:rPr>
                <w:rFonts w:ascii="Calibri" w:eastAsia="Times New Roman" w:hAnsi="Calibri" w:cs="Calibri"/>
                <w:color w:val="000000"/>
                <w:lang w:eastAsia="en-GB"/>
              </w:rPr>
              <w:t> </w:t>
            </w:r>
          </w:p>
        </w:tc>
        <w:tc>
          <w:tcPr>
            <w:tcW w:w="2395" w:type="dxa"/>
            <w:tcBorders>
              <w:top w:val="nil"/>
              <w:left w:val="nil"/>
              <w:bottom w:val="nil"/>
              <w:right w:val="nil"/>
            </w:tcBorders>
            <w:shd w:val="clear" w:color="000000" w:fill="FFFFFF"/>
            <w:vAlign w:val="center"/>
            <w:hideMark/>
          </w:tcPr>
          <w:p w14:paraId="72F24E2A" w14:textId="77777777" w:rsidR="0021298F" w:rsidRPr="00D71042" w:rsidRDefault="0021298F" w:rsidP="00760009">
            <w:pPr>
              <w:jc w:val="right"/>
              <w:rPr>
                <w:rFonts w:ascii="Arial" w:eastAsia="Times New Roman" w:hAnsi="Arial" w:cs="Arial"/>
                <w:b/>
                <w:bCs/>
                <w:color w:val="000000"/>
                <w:lang w:eastAsia="en-GB"/>
              </w:rPr>
            </w:pPr>
            <w:r w:rsidRPr="00D71042">
              <w:rPr>
                <w:rFonts w:ascii="Arial" w:eastAsia="Times New Roman" w:hAnsi="Arial" w:cs="Arial"/>
                <w:b/>
                <w:bCs/>
                <w:color w:val="000000"/>
                <w:lang w:eastAsia="en-GB"/>
              </w:rPr>
              <w:t>31 December 2020</w:t>
            </w:r>
          </w:p>
        </w:tc>
        <w:tc>
          <w:tcPr>
            <w:tcW w:w="2268" w:type="dxa"/>
            <w:tcBorders>
              <w:top w:val="nil"/>
              <w:left w:val="nil"/>
              <w:bottom w:val="nil"/>
              <w:right w:val="nil"/>
            </w:tcBorders>
            <w:shd w:val="clear" w:color="000000" w:fill="FFFFFF"/>
            <w:vAlign w:val="center"/>
            <w:hideMark/>
          </w:tcPr>
          <w:p w14:paraId="54ADA0C9" w14:textId="77777777" w:rsidR="0021298F" w:rsidRPr="00D71042" w:rsidRDefault="0021298F" w:rsidP="00760009">
            <w:pPr>
              <w:jc w:val="right"/>
              <w:rPr>
                <w:rFonts w:ascii="Arial" w:eastAsia="Times New Roman" w:hAnsi="Arial" w:cs="Arial"/>
                <w:b/>
                <w:bCs/>
                <w:color w:val="000000"/>
                <w:lang w:eastAsia="en-GB"/>
              </w:rPr>
            </w:pPr>
            <w:r w:rsidRPr="00D71042">
              <w:rPr>
                <w:rFonts w:ascii="Arial" w:eastAsia="Times New Roman" w:hAnsi="Arial" w:cs="Arial"/>
                <w:b/>
                <w:bCs/>
                <w:color w:val="000000"/>
                <w:lang w:eastAsia="en-GB"/>
              </w:rPr>
              <w:t>31 December 2019</w:t>
            </w:r>
          </w:p>
        </w:tc>
      </w:tr>
      <w:tr w:rsidR="0021298F" w:rsidRPr="00D71042" w14:paraId="2B577132" w14:textId="77777777" w:rsidTr="00760009">
        <w:trPr>
          <w:gridAfter w:val="1"/>
          <w:wAfter w:w="575" w:type="dxa"/>
          <w:trHeight w:val="300"/>
        </w:trPr>
        <w:tc>
          <w:tcPr>
            <w:tcW w:w="4710" w:type="dxa"/>
            <w:tcBorders>
              <w:top w:val="nil"/>
              <w:left w:val="nil"/>
              <w:bottom w:val="single" w:sz="4" w:space="0" w:color="auto"/>
              <w:right w:val="nil"/>
            </w:tcBorders>
            <w:shd w:val="clear" w:color="000000" w:fill="FFFFFF"/>
            <w:vAlign w:val="center"/>
            <w:hideMark/>
          </w:tcPr>
          <w:p w14:paraId="66F2773F" w14:textId="77777777" w:rsidR="0021298F" w:rsidRPr="00D71042" w:rsidRDefault="0021298F" w:rsidP="00760009">
            <w:pPr>
              <w:rPr>
                <w:rFonts w:ascii="Arial" w:eastAsia="Times New Roman" w:hAnsi="Arial" w:cs="Arial"/>
                <w:color w:val="000000"/>
                <w:lang w:eastAsia="en-GB"/>
              </w:rPr>
            </w:pPr>
            <w:r w:rsidRPr="00D71042">
              <w:rPr>
                <w:rFonts w:ascii="Arial" w:eastAsia="Times New Roman" w:hAnsi="Arial" w:cs="Arial"/>
                <w:color w:val="000000"/>
                <w:lang w:eastAsia="en-GB"/>
              </w:rPr>
              <w:t> </w:t>
            </w:r>
            <w:r w:rsidRPr="00D71042">
              <w:rPr>
                <w:rFonts w:ascii="Arial" w:eastAsia="Times New Roman" w:hAnsi="Arial" w:cs="Arial"/>
                <w:b/>
                <w:bCs/>
                <w:color w:val="000000"/>
                <w:lang w:eastAsia="en-GB"/>
              </w:rPr>
              <w:t>Group</w:t>
            </w:r>
            <w:r w:rsidRPr="00D71042">
              <w:rPr>
                <w:rFonts w:ascii="Calibri" w:eastAsia="Times New Roman" w:hAnsi="Calibri" w:cs="Calibri"/>
                <w:color w:val="000000"/>
                <w:lang w:eastAsia="en-GB"/>
              </w:rPr>
              <w:t xml:space="preserve"> </w:t>
            </w:r>
            <w:r w:rsidRPr="00D71042">
              <w:rPr>
                <w:rFonts w:ascii="Arial" w:eastAsia="Times New Roman" w:hAnsi="Arial" w:cs="Arial"/>
                <w:b/>
                <w:bCs/>
                <w:color w:val="000000"/>
                <w:lang w:eastAsia="en-GB"/>
              </w:rPr>
              <w:t>at 31 December 2020</w:t>
            </w:r>
          </w:p>
        </w:tc>
        <w:tc>
          <w:tcPr>
            <w:tcW w:w="266" w:type="dxa"/>
            <w:tcBorders>
              <w:top w:val="nil"/>
              <w:left w:val="nil"/>
              <w:bottom w:val="single" w:sz="4" w:space="0" w:color="auto"/>
              <w:right w:val="nil"/>
            </w:tcBorders>
            <w:shd w:val="clear" w:color="000000" w:fill="FFFFFF"/>
            <w:noWrap/>
            <w:vAlign w:val="bottom"/>
            <w:hideMark/>
          </w:tcPr>
          <w:p w14:paraId="7ED594DC" w14:textId="77777777" w:rsidR="0021298F" w:rsidRPr="00D71042" w:rsidRDefault="0021298F" w:rsidP="00760009">
            <w:pPr>
              <w:rPr>
                <w:rFonts w:ascii="Calibri" w:eastAsia="Times New Roman" w:hAnsi="Calibri" w:cs="Calibri"/>
                <w:color w:val="000000"/>
                <w:lang w:eastAsia="en-GB"/>
              </w:rPr>
            </w:pPr>
            <w:r w:rsidRPr="00D71042">
              <w:rPr>
                <w:rFonts w:ascii="Calibri" w:eastAsia="Times New Roman" w:hAnsi="Calibri" w:cs="Calibri"/>
                <w:color w:val="000000"/>
                <w:lang w:eastAsia="en-GB"/>
              </w:rPr>
              <w:t> </w:t>
            </w:r>
          </w:p>
        </w:tc>
        <w:tc>
          <w:tcPr>
            <w:tcW w:w="2395" w:type="dxa"/>
            <w:tcBorders>
              <w:top w:val="nil"/>
              <w:left w:val="nil"/>
              <w:bottom w:val="single" w:sz="4" w:space="0" w:color="auto"/>
              <w:right w:val="nil"/>
            </w:tcBorders>
            <w:shd w:val="clear" w:color="000000" w:fill="FFFFFF"/>
            <w:vAlign w:val="center"/>
            <w:hideMark/>
          </w:tcPr>
          <w:p w14:paraId="62BCA81E" w14:textId="77777777" w:rsidR="0021298F" w:rsidRPr="00D71042" w:rsidRDefault="0021298F" w:rsidP="00760009">
            <w:pPr>
              <w:jc w:val="right"/>
              <w:rPr>
                <w:rFonts w:ascii="Arial" w:eastAsia="Times New Roman" w:hAnsi="Arial" w:cs="Arial"/>
                <w:b/>
                <w:bCs/>
                <w:color w:val="000000"/>
                <w:lang w:eastAsia="en-GB"/>
              </w:rPr>
            </w:pPr>
            <w:r w:rsidRPr="00D71042">
              <w:rPr>
                <w:rFonts w:ascii="Arial" w:eastAsia="Times New Roman" w:hAnsi="Arial" w:cs="Arial"/>
                <w:b/>
                <w:bCs/>
                <w:color w:val="000000"/>
                <w:lang w:eastAsia="en-GB"/>
              </w:rPr>
              <w:t>€’000</w:t>
            </w:r>
          </w:p>
        </w:tc>
        <w:tc>
          <w:tcPr>
            <w:tcW w:w="2268" w:type="dxa"/>
            <w:tcBorders>
              <w:top w:val="nil"/>
              <w:left w:val="nil"/>
              <w:bottom w:val="single" w:sz="4" w:space="0" w:color="auto"/>
              <w:right w:val="nil"/>
            </w:tcBorders>
            <w:shd w:val="clear" w:color="000000" w:fill="FFFFFF"/>
            <w:noWrap/>
            <w:vAlign w:val="center"/>
            <w:hideMark/>
          </w:tcPr>
          <w:p w14:paraId="7A8A6BD3" w14:textId="77777777" w:rsidR="0021298F" w:rsidRPr="00D71042" w:rsidRDefault="0021298F" w:rsidP="00760009">
            <w:pPr>
              <w:jc w:val="right"/>
              <w:rPr>
                <w:rFonts w:ascii="Arial" w:eastAsia="Times New Roman" w:hAnsi="Arial" w:cs="Arial"/>
                <w:b/>
                <w:bCs/>
                <w:color w:val="000000"/>
                <w:lang w:eastAsia="en-GB"/>
              </w:rPr>
            </w:pPr>
            <w:r w:rsidRPr="00D71042">
              <w:rPr>
                <w:rFonts w:ascii="Arial" w:eastAsia="Times New Roman" w:hAnsi="Arial" w:cs="Arial"/>
                <w:b/>
                <w:bCs/>
                <w:color w:val="000000"/>
                <w:lang w:eastAsia="en-GB"/>
              </w:rPr>
              <w:t>€’000</w:t>
            </w:r>
          </w:p>
        </w:tc>
      </w:tr>
      <w:tr w:rsidR="0021298F" w:rsidRPr="00D71042" w14:paraId="2561D04D" w14:textId="77777777" w:rsidTr="00760009">
        <w:trPr>
          <w:gridAfter w:val="1"/>
          <w:wAfter w:w="575" w:type="dxa"/>
          <w:trHeight w:val="300"/>
        </w:trPr>
        <w:tc>
          <w:tcPr>
            <w:tcW w:w="4710" w:type="dxa"/>
            <w:tcBorders>
              <w:top w:val="nil"/>
              <w:left w:val="nil"/>
              <w:bottom w:val="nil"/>
              <w:right w:val="nil"/>
            </w:tcBorders>
            <w:shd w:val="clear" w:color="000000" w:fill="FFFFFF"/>
            <w:vAlign w:val="center"/>
            <w:hideMark/>
          </w:tcPr>
          <w:p w14:paraId="549E423C" w14:textId="77777777" w:rsidR="0021298F" w:rsidRPr="00D71042" w:rsidRDefault="0021298F" w:rsidP="00760009">
            <w:pPr>
              <w:jc w:val="both"/>
              <w:rPr>
                <w:rFonts w:ascii="Arial" w:eastAsia="Times New Roman" w:hAnsi="Arial" w:cs="Arial"/>
                <w:color w:val="000000"/>
                <w:lang w:eastAsia="en-GB"/>
              </w:rPr>
            </w:pPr>
            <w:r w:rsidRPr="00D71042">
              <w:rPr>
                <w:rFonts w:ascii="Arial" w:eastAsia="Times New Roman" w:hAnsi="Arial" w:cs="Arial"/>
                <w:color w:val="000000"/>
                <w:lang w:eastAsia="en-GB"/>
              </w:rPr>
              <w:t>Opening balance</w:t>
            </w:r>
          </w:p>
        </w:tc>
        <w:tc>
          <w:tcPr>
            <w:tcW w:w="266" w:type="dxa"/>
            <w:tcBorders>
              <w:top w:val="nil"/>
              <w:left w:val="nil"/>
              <w:bottom w:val="nil"/>
              <w:right w:val="nil"/>
            </w:tcBorders>
            <w:shd w:val="clear" w:color="auto" w:fill="auto"/>
            <w:noWrap/>
            <w:vAlign w:val="bottom"/>
            <w:hideMark/>
          </w:tcPr>
          <w:p w14:paraId="565FE50B" w14:textId="77777777" w:rsidR="0021298F" w:rsidRPr="00D71042" w:rsidRDefault="0021298F" w:rsidP="00760009">
            <w:pPr>
              <w:jc w:val="both"/>
              <w:rPr>
                <w:rFonts w:ascii="Arial" w:eastAsia="Times New Roman" w:hAnsi="Arial" w:cs="Arial"/>
                <w:color w:val="000000"/>
                <w:lang w:eastAsia="en-GB"/>
              </w:rPr>
            </w:pPr>
          </w:p>
        </w:tc>
        <w:tc>
          <w:tcPr>
            <w:tcW w:w="2395" w:type="dxa"/>
            <w:tcBorders>
              <w:top w:val="nil"/>
              <w:left w:val="nil"/>
              <w:bottom w:val="nil"/>
              <w:right w:val="nil"/>
            </w:tcBorders>
            <w:shd w:val="clear" w:color="000000" w:fill="EDFFB7"/>
            <w:vAlign w:val="center"/>
            <w:hideMark/>
          </w:tcPr>
          <w:p w14:paraId="37E2AA64" w14:textId="77777777" w:rsidR="0021298F" w:rsidRPr="00D71042" w:rsidRDefault="0021298F" w:rsidP="00760009">
            <w:pPr>
              <w:jc w:val="right"/>
              <w:rPr>
                <w:rFonts w:ascii="Arial" w:eastAsia="Times New Roman" w:hAnsi="Arial" w:cs="Arial"/>
                <w:b/>
                <w:bCs/>
                <w:color w:val="000000"/>
                <w:lang w:eastAsia="en-GB"/>
              </w:rPr>
            </w:pPr>
            <w:r w:rsidRPr="00D71042">
              <w:rPr>
                <w:rFonts w:ascii="Arial" w:eastAsia="Times New Roman" w:hAnsi="Arial" w:cs="Arial"/>
                <w:b/>
                <w:bCs/>
                <w:color w:val="000000"/>
                <w:lang w:eastAsia="en-GB"/>
              </w:rPr>
              <w:t xml:space="preserve">206,000 </w:t>
            </w:r>
          </w:p>
        </w:tc>
        <w:tc>
          <w:tcPr>
            <w:tcW w:w="2268" w:type="dxa"/>
            <w:tcBorders>
              <w:top w:val="nil"/>
              <w:left w:val="nil"/>
              <w:bottom w:val="nil"/>
              <w:right w:val="nil"/>
            </w:tcBorders>
            <w:shd w:val="clear" w:color="000000" w:fill="FFFFFF"/>
            <w:vAlign w:val="center"/>
            <w:hideMark/>
          </w:tcPr>
          <w:p w14:paraId="0DAF9E8A" w14:textId="77777777" w:rsidR="0021298F" w:rsidRPr="00D71042" w:rsidRDefault="0021298F" w:rsidP="00760009">
            <w:pPr>
              <w:jc w:val="right"/>
              <w:rPr>
                <w:rFonts w:ascii="Arial" w:eastAsia="Times New Roman" w:hAnsi="Arial" w:cs="Arial"/>
                <w:b/>
                <w:bCs/>
                <w:color w:val="000000"/>
                <w:lang w:eastAsia="en-GB"/>
              </w:rPr>
            </w:pPr>
            <w:r w:rsidRPr="00D71042">
              <w:rPr>
                <w:rFonts w:ascii="Arial" w:eastAsia="Times New Roman" w:hAnsi="Arial" w:cs="Arial"/>
                <w:b/>
                <w:bCs/>
                <w:color w:val="000000"/>
                <w:lang w:eastAsia="en-GB"/>
              </w:rPr>
              <w:t xml:space="preserve">362,031 </w:t>
            </w:r>
          </w:p>
        </w:tc>
      </w:tr>
      <w:tr w:rsidR="0021298F" w:rsidRPr="00D71042" w14:paraId="5DD6A192" w14:textId="77777777" w:rsidTr="00760009">
        <w:trPr>
          <w:gridAfter w:val="1"/>
          <w:wAfter w:w="575" w:type="dxa"/>
          <w:trHeight w:val="300"/>
        </w:trPr>
        <w:tc>
          <w:tcPr>
            <w:tcW w:w="4710" w:type="dxa"/>
            <w:tcBorders>
              <w:top w:val="nil"/>
              <w:left w:val="nil"/>
              <w:bottom w:val="nil"/>
              <w:right w:val="nil"/>
            </w:tcBorders>
            <w:shd w:val="clear" w:color="000000" w:fill="FFFFFF"/>
            <w:vAlign w:val="center"/>
            <w:hideMark/>
          </w:tcPr>
          <w:p w14:paraId="3480EE58" w14:textId="77777777" w:rsidR="0021298F" w:rsidRPr="00D71042" w:rsidRDefault="0021298F" w:rsidP="00760009">
            <w:pPr>
              <w:jc w:val="both"/>
              <w:rPr>
                <w:rFonts w:ascii="Arial" w:eastAsia="Times New Roman" w:hAnsi="Arial" w:cs="Arial"/>
                <w:color w:val="000000"/>
                <w:lang w:eastAsia="en-GB"/>
              </w:rPr>
            </w:pPr>
            <w:r w:rsidRPr="00D71042">
              <w:rPr>
                <w:rFonts w:ascii="Arial" w:eastAsia="Times New Roman" w:hAnsi="Arial" w:cs="Arial"/>
                <w:color w:val="000000"/>
                <w:lang w:eastAsia="en-GB"/>
              </w:rPr>
              <w:t> </w:t>
            </w:r>
          </w:p>
        </w:tc>
        <w:tc>
          <w:tcPr>
            <w:tcW w:w="266" w:type="dxa"/>
            <w:tcBorders>
              <w:top w:val="nil"/>
              <w:left w:val="nil"/>
              <w:bottom w:val="nil"/>
              <w:right w:val="nil"/>
            </w:tcBorders>
            <w:shd w:val="clear" w:color="auto" w:fill="auto"/>
            <w:noWrap/>
            <w:vAlign w:val="bottom"/>
            <w:hideMark/>
          </w:tcPr>
          <w:p w14:paraId="51446DAD" w14:textId="77777777" w:rsidR="0021298F" w:rsidRPr="00D71042" w:rsidRDefault="0021298F" w:rsidP="00760009">
            <w:pPr>
              <w:jc w:val="both"/>
              <w:rPr>
                <w:rFonts w:ascii="Arial" w:eastAsia="Times New Roman" w:hAnsi="Arial" w:cs="Arial"/>
                <w:color w:val="000000"/>
                <w:lang w:eastAsia="en-GB"/>
              </w:rPr>
            </w:pPr>
          </w:p>
        </w:tc>
        <w:tc>
          <w:tcPr>
            <w:tcW w:w="2395" w:type="dxa"/>
            <w:tcBorders>
              <w:top w:val="nil"/>
              <w:left w:val="nil"/>
              <w:bottom w:val="nil"/>
              <w:right w:val="nil"/>
            </w:tcBorders>
            <w:shd w:val="clear" w:color="000000" w:fill="EDFFB7"/>
            <w:vAlign w:val="center"/>
            <w:hideMark/>
          </w:tcPr>
          <w:p w14:paraId="4930592B" w14:textId="77777777" w:rsidR="0021298F" w:rsidRPr="00D71042" w:rsidRDefault="0021298F" w:rsidP="00760009">
            <w:pPr>
              <w:jc w:val="right"/>
              <w:rPr>
                <w:rFonts w:ascii="Arial" w:eastAsia="Times New Roman" w:hAnsi="Arial" w:cs="Arial"/>
                <w:b/>
                <w:bCs/>
                <w:color w:val="000000"/>
                <w:lang w:eastAsia="en-GB"/>
              </w:rPr>
            </w:pPr>
            <w:r w:rsidRPr="00D71042">
              <w:rPr>
                <w:rFonts w:ascii="Arial" w:eastAsia="Times New Roman" w:hAnsi="Arial" w:cs="Arial"/>
                <w:b/>
                <w:bCs/>
                <w:color w:val="000000"/>
                <w:lang w:eastAsia="en-GB"/>
              </w:rPr>
              <w:t> </w:t>
            </w:r>
          </w:p>
        </w:tc>
        <w:tc>
          <w:tcPr>
            <w:tcW w:w="2268" w:type="dxa"/>
            <w:tcBorders>
              <w:top w:val="nil"/>
              <w:left w:val="nil"/>
              <w:bottom w:val="nil"/>
              <w:right w:val="nil"/>
            </w:tcBorders>
            <w:shd w:val="clear" w:color="000000" w:fill="FFFFFF"/>
            <w:vAlign w:val="center"/>
            <w:hideMark/>
          </w:tcPr>
          <w:p w14:paraId="5ED99FDC" w14:textId="77777777" w:rsidR="0021298F" w:rsidRPr="00D71042" w:rsidRDefault="0021298F" w:rsidP="00760009">
            <w:pPr>
              <w:jc w:val="right"/>
              <w:rPr>
                <w:rFonts w:ascii="Arial" w:eastAsia="Times New Roman" w:hAnsi="Arial" w:cs="Arial"/>
                <w:b/>
                <w:bCs/>
                <w:color w:val="000000"/>
                <w:lang w:eastAsia="en-GB"/>
              </w:rPr>
            </w:pPr>
            <w:r w:rsidRPr="00D71042">
              <w:rPr>
                <w:rFonts w:ascii="Arial" w:eastAsia="Times New Roman" w:hAnsi="Arial" w:cs="Arial"/>
                <w:b/>
                <w:bCs/>
                <w:color w:val="000000"/>
                <w:lang w:eastAsia="en-GB"/>
              </w:rPr>
              <w:t> </w:t>
            </w:r>
          </w:p>
        </w:tc>
      </w:tr>
      <w:tr w:rsidR="0021298F" w:rsidRPr="00D71042" w14:paraId="4E1B9288" w14:textId="77777777" w:rsidTr="00760009">
        <w:trPr>
          <w:gridAfter w:val="1"/>
          <w:wAfter w:w="575" w:type="dxa"/>
          <w:trHeight w:val="300"/>
        </w:trPr>
        <w:tc>
          <w:tcPr>
            <w:tcW w:w="4710" w:type="dxa"/>
            <w:tcBorders>
              <w:top w:val="nil"/>
              <w:left w:val="nil"/>
              <w:bottom w:val="nil"/>
              <w:right w:val="nil"/>
            </w:tcBorders>
            <w:shd w:val="clear" w:color="000000" w:fill="FFFFFF"/>
            <w:vAlign w:val="center"/>
            <w:hideMark/>
          </w:tcPr>
          <w:p w14:paraId="0E015866" w14:textId="77777777" w:rsidR="0021298F" w:rsidRPr="00D71042" w:rsidRDefault="0021298F" w:rsidP="00760009">
            <w:pPr>
              <w:jc w:val="both"/>
              <w:rPr>
                <w:rFonts w:ascii="Arial" w:eastAsia="Times New Roman" w:hAnsi="Arial" w:cs="Arial"/>
                <w:color w:val="000000"/>
                <w:lang w:eastAsia="en-GB"/>
              </w:rPr>
            </w:pPr>
            <w:r w:rsidRPr="00D71042">
              <w:rPr>
                <w:rFonts w:ascii="Arial" w:eastAsia="Times New Roman" w:hAnsi="Arial" w:cs="Arial"/>
                <w:color w:val="000000"/>
                <w:lang w:eastAsia="en-GB"/>
              </w:rPr>
              <w:t>Revolving Credit Facility</w:t>
            </w:r>
          </w:p>
        </w:tc>
        <w:tc>
          <w:tcPr>
            <w:tcW w:w="266" w:type="dxa"/>
            <w:tcBorders>
              <w:top w:val="nil"/>
              <w:left w:val="nil"/>
              <w:bottom w:val="nil"/>
              <w:right w:val="nil"/>
            </w:tcBorders>
            <w:shd w:val="clear" w:color="auto" w:fill="auto"/>
            <w:noWrap/>
            <w:vAlign w:val="bottom"/>
            <w:hideMark/>
          </w:tcPr>
          <w:p w14:paraId="64A90C48" w14:textId="77777777" w:rsidR="0021298F" w:rsidRPr="00D71042" w:rsidRDefault="0021298F" w:rsidP="00760009">
            <w:pPr>
              <w:jc w:val="both"/>
              <w:rPr>
                <w:rFonts w:ascii="Arial" w:eastAsia="Times New Roman" w:hAnsi="Arial" w:cs="Arial"/>
                <w:color w:val="000000"/>
                <w:lang w:eastAsia="en-GB"/>
              </w:rPr>
            </w:pPr>
          </w:p>
        </w:tc>
        <w:tc>
          <w:tcPr>
            <w:tcW w:w="2395" w:type="dxa"/>
            <w:tcBorders>
              <w:top w:val="nil"/>
              <w:left w:val="nil"/>
              <w:bottom w:val="nil"/>
              <w:right w:val="nil"/>
            </w:tcBorders>
            <w:shd w:val="clear" w:color="000000" w:fill="EDFFB7"/>
            <w:vAlign w:val="center"/>
            <w:hideMark/>
          </w:tcPr>
          <w:p w14:paraId="44490E15" w14:textId="77777777" w:rsidR="0021298F" w:rsidRPr="00D71042" w:rsidRDefault="0021298F" w:rsidP="00760009">
            <w:pPr>
              <w:jc w:val="right"/>
              <w:rPr>
                <w:rFonts w:ascii="Arial" w:eastAsia="Times New Roman" w:hAnsi="Arial" w:cs="Arial"/>
                <w:color w:val="000000"/>
                <w:lang w:eastAsia="en-GB"/>
              </w:rPr>
            </w:pPr>
            <w:r w:rsidRPr="00D71042">
              <w:rPr>
                <w:rFonts w:ascii="Arial" w:eastAsia="Times New Roman" w:hAnsi="Arial" w:cs="Arial"/>
                <w:color w:val="000000"/>
                <w:lang w:eastAsia="en-GB"/>
              </w:rPr>
              <w:t> </w:t>
            </w:r>
          </w:p>
        </w:tc>
        <w:tc>
          <w:tcPr>
            <w:tcW w:w="2268" w:type="dxa"/>
            <w:tcBorders>
              <w:top w:val="nil"/>
              <w:left w:val="nil"/>
              <w:bottom w:val="nil"/>
              <w:right w:val="nil"/>
            </w:tcBorders>
            <w:shd w:val="clear" w:color="000000" w:fill="FFFFFF"/>
            <w:vAlign w:val="center"/>
            <w:hideMark/>
          </w:tcPr>
          <w:p w14:paraId="41AE12FF" w14:textId="77777777" w:rsidR="0021298F" w:rsidRPr="00D71042" w:rsidRDefault="0021298F" w:rsidP="00760009">
            <w:pPr>
              <w:jc w:val="right"/>
              <w:rPr>
                <w:rFonts w:ascii="Arial" w:eastAsia="Times New Roman" w:hAnsi="Arial" w:cs="Arial"/>
                <w:color w:val="000000"/>
                <w:lang w:eastAsia="en-GB"/>
              </w:rPr>
            </w:pPr>
            <w:r w:rsidRPr="00D71042">
              <w:rPr>
                <w:rFonts w:ascii="Arial" w:eastAsia="Times New Roman" w:hAnsi="Arial" w:cs="Arial"/>
                <w:color w:val="000000"/>
                <w:lang w:eastAsia="en-GB"/>
              </w:rPr>
              <w:t> </w:t>
            </w:r>
          </w:p>
        </w:tc>
      </w:tr>
      <w:tr w:rsidR="0021298F" w:rsidRPr="00D71042" w14:paraId="70EFDBDD" w14:textId="77777777" w:rsidTr="00760009">
        <w:trPr>
          <w:gridAfter w:val="1"/>
          <w:wAfter w:w="575" w:type="dxa"/>
          <w:trHeight w:val="300"/>
        </w:trPr>
        <w:tc>
          <w:tcPr>
            <w:tcW w:w="4710" w:type="dxa"/>
            <w:tcBorders>
              <w:top w:val="nil"/>
              <w:left w:val="nil"/>
              <w:bottom w:val="nil"/>
              <w:right w:val="nil"/>
            </w:tcBorders>
            <w:shd w:val="clear" w:color="000000" w:fill="FFFFFF"/>
            <w:vAlign w:val="center"/>
            <w:hideMark/>
          </w:tcPr>
          <w:p w14:paraId="12D159B4" w14:textId="77777777" w:rsidR="0021298F" w:rsidRPr="00D71042" w:rsidRDefault="0021298F" w:rsidP="00760009">
            <w:pPr>
              <w:jc w:val="both"/>
              <w:rPr>
                <w:rFonts w:ascii="Arial" w:eastAsia="Times New Roman" w:hAnsi="Arial" w:cs="Arial"/>
                <w:color w:val="000000"/>
                <w:lang w:eastAsia="en-GB"/>
              </w:rPr>
            </w:pPr>
            <w:r w:rsidRPr="00D71042">
              <w:rPr>
                <w:rFonts w:ascii="Arial" w:eastAsia="Times New Roman" w:hAnsi="Arial" w:cs="Arial"/>
                <w:color w:val="000000"/>
                <w:lang w:eastAsia="en-GB"/>
              </w:rPr>
              <w:t xml:space="preserve">   Drawdowns</w:t>
            </w:r>
          </w:p>
        </w:tc>
        <w:tc>
          <w:tcPr>
            <w:tcW w:w="266" w:type="dxa"/>
            <w:tcBorders>
              <w:top w:val="nil"/>
              <w:left w:val="nil"/>
              <w:bottom w:val="nil"/>
              <w:right w:val="nil"/>
            </w:tcBorders>
            <w:shd w:val="clear" w:color="auto" w:fill="auto"/>
            <w:noWrap/>
            <w:vAlign w:val="bottom"/>
            <w:hideMark/>
          </w:tcPr>
          <w:p w14:paraId="046B1042" w14:textId="77777777" w:rsidR="0021298F" w:rsidRPr="00D71042" w:rsidRDefault="0021298F" w:rsidP="00760009">
            <w:pPr>
              <w:jc w:val="both"/>
              <w:rPr>
                <w:rFonts w:ascii="Arial" w:eastAsia="Times New Roman" w:hAnsi="Arial" w:cs="Arial"/>
                <w:color w:val="000000"/>
                <w:lang w:eastAsia="en-GB"/>
              </w:rPr>
            </w:pPr>
          </w:p>
        </w:tc>
        <w:tc>
          <w:tcPr>
            <w:tcW w:w="2395" w:type="dxa"/>
            <w:tcBorders>
              <w:top w:val="nil"/>
              <w:left w:val="nil"/>
              <w:bottom w:val="nil"/>
              <w:right w:val="nil"/>
            </w:tcBorders>
            <w:shd w:val="clear" w:color="000000" w:fill="EDFFB7"/>
            <w:vAlign w:val="center"/>
            <w:hideMark/>
          </w:tcPr>
          <w:p w14:paraId="1A5B5A7E" w14:textId="77777777" w:rsidR="0021298F" w:rsidRPr="00D71042" w:rsidRDefault="0021298F" w:rsidP="00760009">
            <w:pPr>
              <w:jc w:val="right"/>
              <w:rPr>
                <w:rFonts w:ascii="Arial" w:eastAsia="Times New Roman" w:hAnsi="Arial" w:cs="Arial"/>
                <w:color w:val="000000"/>
                <w:lang w:eastAsia="en-GB"/>
              </w:rPr>
            </w:pPr>
            <w:r w:rsidRPr="00D71042">
              <w:rPr>
                <w:rFonts w:ascii="Arial" w:eastAsia="Times New Roman" w:hAnsi="Arial" w:cs="Arial"/>
                <w:color w:val="000000"/>
                <w:lang w:eastAsia="en-GB"/>
              </w:rPr>
              <w:t xml:space="preserve">362,074 </w:t>
            </w:r>
          </w:p>
        </w:tc>
        <w:tc>
          <w:tcPr>
            <w:tcW w:w="2268" w:type="dxa"/>
            <w:tcBorders>
              <w:top w:val="nil"/>
              <w:left w:val="nil"/>
              <w:bottom w:val="nil"/>
              <w:right w:val="nil"/>
            </w:tcBorders>
            <w:shd w:val="clear" w:color="000000" w:fill="FFFFFF"/>
            <w:vAlign w:val="center"/>
            <w:hideMark/>
          </w:tcPr>
          <w:p w14:paraId="3DAB5530" w14:textId="77777777" w:rsidR="0021298F" w:rsidRPr="00D71042" w:rsidRDefault="0021298F" w:rsidP="00760009">
            <w:pPr>
              <w:jc w:val="right"/>
              <w:rPr>
                <w:rFonts w:ascii="Arial" w:eastAsia="Times New Roman" w:hAnsi="Arial" w:cs="Arial"/>
                <w:color w:val="000000"/>
                <w:lang w:eastAsia="en-GB"/>
              </w:rPr>
            </w:pPr>
            <w:r w:rsidRPr="00D71042">
              <w:rPr>
                <w:rFonts w:ascii="Arial" w:eastAsia="Times New Roman" w:hAnsi="Arial" w:cs="Arial"/>
                <w:color w:val="000000"/>
                <w:lang w:eastAsia="en-GB"/>
              </w:rPr>
              <w:t xml:space="preserve">80,900 </w:t>
            </w:r>
          </w:p>
        </w:tc>
      </w:tr>
      <w:tr w:rsidR="0021298F" w:rsidRPr="00D71042" w14:paraId="5016AA2B" w14:textId="77777777" w:rsidTr="00760009">
        <w:trPr>
          <w:gridAfter w:val="1"/>
          <w:wAfter w:w="575" w:type="dxa"/>
          <w:trHeight w:val="300"/>
        </w:trPr>
        <w:tc>
          <w:tcPr>
            <w:tcW w:w="4710" w:type="dxa"/>
            <w:tcBorders>
              <w:top w:val="nil"/>
              <w:left w:val="nil"/>
              <w:bottom w:val="nil"/>
              <w:right w:val="nil"/>
            </w:tcBorders>
            <w:shd w:val="clear" w:color="000000" w:fill="FFFFFF"/>
            <w:vAlign w:val="center"/>
            <w:hideMark/>
          </w:tcPr>
          <w:p w14:paraId="3CD2ADCA" w14:textId="77777777" w:rsidR="0021298F" w:rsidRPr="00D71042" w:rsidRDefault="0021298F" w:rsidP="00760009">
            <w:pPr>
              <w:jc w:val="both"/>
              <w:rPr>
                <w:rFonts w:ascii="Arial" w:eastAsia="Times New Roman" w:hAnsi="Arial" w:cs="Arial"/>
                <w:color w:val="000000"/>
                <w:lang w:eastAsia="en-GB"/>
              </w:rPr>
            </w:pPr>
            <w:r w:rsidRPr="00D71042">
              <w:rPr>
                <w:rFonts w:ascii="Arial" w:eastAsia="Times New Roman" w:hAnsi="Arial" w:cs="Arial"/>
                <w:color w:val="000000"/>
                <w:lang w:eastAsia="en-GB"/>
              </w:rPr>
              <w:t xml:space="preserve">   Repayments</w:t>
            </w:r>
          </w:p>
        </w:tc>
        <w:tc>
          <w:tcPr>
            <w:tcW w:w="266" w:type="dxa"/>
            <w:tcBorders>
              <w:top w:val="nil"/>
              <w:left w:val="nil"/>
              <w:bottom w:val="nil"/>
              <w:right w:val="nil"/>
            </w:tcBorders>
            <w:shd w:val="clear" w:color="auto" w:fill="auto"/>
            <w:noWrap/>
            <w:vAlign w:val="bottom"/>
            <w:hideMark/>
          </w:tcPr>
          <w:p w14:paraId="7961E5A3" w14:textId="77777777" w:rsidR="0021298F" w:rsidRPr="00D71042" w:rsidRDefault="0021298F" w:rsidP="00760009">
            <w:pPr>
              <w:jc w:val="both"/>
              <w:rPr>
                <w:rFonts w:ascii="Arial" w:eastAsia="Times New Roman" w:hAnsi="Arial" w:cs="Arial"/>
                <w:color w:val="000000"/>
                <w:lang w:eastAsia="en-GB"/>
              </w:rPr>
            </w:pPr>
          </w:p>
        </w:tc>
        <w:tc>
          <w:tcPr>
            <w:tcW w:w="2395" w:type="dxa"/>
            <w:tcBorders>
              <w:top w:val="nil"/>
              <w:left w:val="nil"/>
              <w:bottom w:val="nil"/>
              <w:right w:val="nil"/>
            </w:tcBorders>
            <w:shd w:val="clear" w:color="000000" w:fill="EDFFB7"/>
            <w:vAlign w:val="center"/>
            <w:hideMark/>
          </w:tcPr>
          <w:p w14:paraId="3BB39474" w14:textId="77777777" w:rsidR="0021298F" w:rsidRPr="00D71042" w:rsidRDefault="0021298F" w:rsidP="00760009">
            <w:pPr>
              <w:jc w:val="right"/>
              <w:rPr>
                <w:rFonts w:ascii="Arial" w:eastAsia="Times New Roman" w:hAnsi="Arial" w:cs="Arial"/>
                <w:color w:val="000000"/>
                <w:lang w:eastAsia="en-GB"/>
              </w:rPr>
            </w:pPr>
            <w:r w:rsidRPr="00D71042">
              <w:rPr>
                <w:rFonts w:ascii="Arial" w:eastAsia="Times New Roman" w:hAnsi="Arial" w:cs="Arial"/>
                <w:color w:val="000000"/>
                <w:lang w:eastAsia="en-GB"/>
              </w:rPr>
              <w:t xml:space="preserve"> (553,074)</w:t>
            </w:r>
          </w:p>
        </w:tc>
        <w:tc>
          <w:tcPr>
            <w:tcW w:w="2268" w:type="dxa"/>
            <w:tcBorders>
              <w:top w:val="nil"/>
              <w:left w:val="nil"/>
              <w:bottom w:val="nil"/>
              <w:right w:val="nil"/>
            </w:tcBorders>
            <w:shd w:val="clear" w:color="000000" w:fill="FFFFFF"/>
            <w:vAlign w:val="center"/>
            <w:hideMark/>
          </w:tcPr>
          <w:p w14:paraId="7352F1E4" w14:textId="77777777" w:rsidR="0021298F" w:rsidRPr="00D71042" w:rsidRDefault="0021298F" w:rsidP="00760009">
            <w:pPr>
              <w:jc w:val="right"/>
              <w:rPr>
                <w:rFonts w:ascii="Arial" w:eastAsia="Times New Roman" w:hAnsi="Arial" w:cs="Arial"/>
                <w:color w:val="000000"/>
                <w:lang w:eastAsia="en-GB"/>
              </w:rPr>
            </w:pPr>
            <w:r w:rsidRPr="00D71042">
              <w:rPr>
                <w:rFonts w:ascii="Arial" w:eastAsia="Times New Roman" w:hAnsi="Arial" w:cs="Arial"/>
                <w:color w:val="000000"/>
                <w:lang w:eastAsia="en-GB"/>
              </w:rPr>
              <w:t xml:space="preserve"> (236,931)</w:t>
            </w:r>
          </w:p>
        </w:tc>
      </w:tr>
      <w:tr w:rsidR="0021298F" w:rsidRPr="00D71042" w14:paraId="0A558976" w14:textId="77777777" w:rsidTr="00760009">
        <w:trPr>
          <w:gridAfter w:val="1"/>
          <w:wAfter w:w="575" w:type="dxa"/>
          <w:trHeight w:val="300"/>
        </w:trPr>
        <w:tc>
          <w:tcPr>
            <w:tcW w:w="4710" w:type="dxa"/>
            <w:tcBorders>
              <w:top w:val="nil"/>
              <w:left w:val="nil"/>
              <w:bottom w:val="nil"/>
              <w:right w:val="nil"/>
            </w:tcBorders>
            <w:shd w:val="clear" w:color="000000" w:fill="FFFFFF"/>
            <w:vAlign w:val="center"/>
            <w:hideMark/>
          </w:tcPr>
          <w:p w14:paraId="108B14A8" w14:textId="77777777" w:rsidR="0021298F" w:rsidRPr="00D71042" w:rsidRDefault="0021298F" w:rsidP="00760009">
            <w:pPr>
              <w:ind w:firstLineChars="100" w:firstLine="240"/>
              <w:rPr>
                <w:rFonts w:ascii="Arial" w:eastAsia="Times New Roman" w:hAnsi="Arial" w:cs="Arial"/>
                <w:color w:val="000000"/>
                <w:lang w:eastAsia="en-GB"/>
              </w:rPr>
            </w:pPr>
            <w:r w:rsidRPr="00D71042">
              <w:rPr>
                <w:rFonts w:ascii="Arial" w:eastAsia="Times New Roman" w:hAnsi="Arial" w:cs="Arial"/>
                <w:color w:val="000000"/>
                <w:lang w:eastAsia="en-GB"/>
              </w:rPr>
              <w:t xml:space="preserve"> Finance costs capitalised during the </w:t>
            </w:r>
            <w:r>
              <w:rPr>
                <w:rFonts w:ascii="Arial" w:eastAsia="Times New Roman" w:hAnsi="Arial" w:cs="Arial"/>
                <w:color w:val="000000"/>
                <w:lang w:eastAsia="en-GB"/>
              </w:rPr>
              <w:t>year</w:t>
            </w:r>
          </w:p>
        </w:tc>
        <w:tc>
          <w:tcPr>
            <w:tcW w:w="266" w:type="dxa"/>
            <w:tcBorders>
              <w:top w:val="nil"/>
              <w:left w:val="nil"/>
              <w:bottom w:val="nil"/>
              <w:right w:val="nil"/>
            </w:tcBorders>
            <w:shd w:val="clear" w:color="auto" w:fill="auto"/>
            <w:noWrap/>
            <w:vAlign w:val="bottom"/>
            <w:hideMark/>
          </w:tcPr>
          <w:p w14:paraId="42A42D20" w14:textId="77777777" w:rsidR="0021298F" w:rsidRPr="00D71042" w:rsidRDefault="0021298F" w:rsidP="00760009">
            <w:pPr>
              <w:ind w:firstLineChars="100" w:firstLine="240"/>
              <w:rPr>
                <w:rFonts w:ascii="Arial" w:eastAsia="Times New Roman" w:hAnsi="Arial" w:cs="Arial"/>
                <w:color w:val="000000"/>
                <w:lang w:eastAsia="en-GB"/>
              </w:rPr>
            </w:pPr>
          </w:p>
        </w:tc>
        <w:tc>
          <w:tcPr>
            <w:tcW w:w="2395" w:type="dxa"/>
            <w:tcBorders>
              <w:top w:val="nil"/>
              <w:left w:val="nil"/>
              <w:bottom w:val="nil"/>
              <w:right w:val="nil"/>
            </w:tcBorders>
            <w:shd w:val="clear" w:color="000000" w:fill="EDFFB7"/>
            <w:vAlign w:val="center"/>
            <w:hideMark/>
          </w:tcPr>
          <w:p w14:paraId="2F63F207" w14:textId="77777777" w:rsidR="0021298F" w:rsidRPr="00D71042" w:rsidRDefault="0021298F" w:rsidP="00760009">
            <w:pPr>
              <w:jc w:val="right"/>
              <w:rPr>
                <w:rFonts w:ascii="Arial" w:eastAsia="Times New Roman" w:hAnsi="Arial" w:cs="Arial"/>
                <w:color w:val="000000"/>
                <w:lang w:eastAsia="en-GB"/>
              </w:rPr>
            </w:pPr>
            <w:r w:rsidRPr="00D71042">
              <w:rPr>
                <w:rFonts w:ascii="Arial" w:eastAsia="Times New Roman" w:hAnsi="Arial" w:cs="Arial"/>
                <w:color w:val="000000"/>
                <w:lang w:eastAsia="en-GB"/>
              </w:rPr>
              <w:t xml:space="preserve"> (2,897)</w:t>
            </w:r>
          </w:p>
        </w:tc>
        <w:tc>
          <w:tcPr>
            <w:tcW w:w="2268" w:type="dxa"/>
            <w:tcBorders>
              <w:top w:val="nil"/>
              <w:left w:val="nil"/>
              <w:bottom w:val="nil"/>
              <w:right w:val="nil"/>
            </w:tcBorders>
            <w:shd w:val="clear" w:color="000000" w:fill="FFFFFF"/>
            <w:vAlign w:val="center"/>
            <w:hideMark/>
          </w:tcPr>
          <w:p w14:paraId="2848C25F" w14:textId="77777777" w:rsidR="0021298F" w:rsidRPr="00D71042" w:rsidRDefault="0021298F" w:rsidP="00760009">
            <w:pPr>
              <w:jc w:val="right"/>
              <w:rPr>
                <w:rFonts w:ascii="Arial" w:eastAsia="Times New Roman" w:hAnsi="Arial" w:cs="Arial"/>
                <w:color w:val="000000"/>
                <w:lang w:eastAsia="en-GB"/>
              </w:rPr>
            </w:pPr>
            <w:r w:rsidRPr="00D71042">
              <w:rPr>
                <w:rFonts w:ascii="Arial" w:eastAsia="Times New Roman" w:hAnsi="Arial" w:cs="Arial"/>
                <w:color w:val="000000"/>
                <w:lang w:eastAsia="en-GB"/>
              </w:rPr>
              <w:t xml:space="preserve">-   </w:t>
            </w:r>
          </w:p>
        </w:tc>
      </w:tr>
      <w:tr w:rsidR="0021298F" w:rsidRPr="00D71042" w14:paraId="3700A4EF" w14:textId="77777777" w:rsidTr="00760009">
        <w:trPr>
          <w:gridAfter w:val="1"/>
          <w:wAfter w:w="575" w:type="dxa"/>
          <w:trHeight w:val="300"/>
        </w:trPr>
        <w:tc>
          <w:tcPr>
            <w:tcW w:w="4710" w:type="dxa"/>
            <w:tcBorders>
              <w:top w:val="nil"/>
              <w:left w:val="nil"/>
              <w:bottom w:val="nil"/>
              <w:right w:val="nil"/>
            </w:tcBorders>
            <w:shd w:val="clear" w:color="000000" w:fill="FFFFFF"/>
            <w:vAlign w:val="center"/>
            <w:hideMark/>
          </w:tcPr>
          <w:p w14:paraId="0E872A45" w14:textId="77777777" w:rsidR="0021298F" w:rsidRPr="00D71042" w:rsidRDefault="0021298F" w:rsidP="00760009">
            <w:pPr>
              <w:ind w:firstLineChars="100" w:firstLine="240"/>
              <w:rPr>
                <w:rFonts w:ascii="Arial" w:eastAsia="Times New Roman" w:hAnsi="Arial" w:cs="Arial"/>
                <w:color w:val="000000"/>
                <w:lang w:eastAsia="en-GB"/>
              </w:rPr>
            </w:pPr>
            <w:r w:rsidRPr="00D71042">
              <w:rPr>
                <w:rFonts w:ascii="Arial" w:eastAsia="Times New Roman" w:hAnsi="Arial" w:cs="Arial"/>
                <w:color w:val="000000"/>
                <w:lang w:eastAsia="en-GB"/>
              </w:rPr>
              <w:t xml:space="preserve"> Amortisation</w:t>
            </w:r>
          </w:p>
        </w:tc>
        <w:tc>
          <w:tcPr>
            <w:tcW w:w="266" w:type="dxa"/>
            <w:tcBorders>
              <w:top w:val="nil"/>
              <w:left w:val="nil"/>
              <w:bottom w:val="nil"/>
              <w:right w:val="nil"/>
            </w:tcBorders>
            <w:shd w:val="clear" w:color="auto" w:fill="auto"/>
            <w:noWrap/>
            <w:vAlign w:val="bottom"/>
            <w:hideMark/>
          </w:tcPr>
          <w:p w14:paraId="726D4798" w14:textId="77777777" w:rsidR="0021298F" w:rsidRPr="00D71042" w:rsidRDefault="0021298F" w:rsidP="00760009">
            <w:pPr>
              <w:ind w:firstLineChars="100" w:firstLine="240"/>
              <w:rPr>
                <w:rFonts w:ascii="Arial" w:eastAsia="Times New Roman" w:hAnsi="Arial" w:cs="Arial"/>
                <w:color w:val="000000"/>
                <w:lang w:eastAsia="en-GB"/>
              </w:rPr>
            </w:pPr>
          </w:p>
        </w:tc>
        <w:tc>
          <w:tcPr>
            <w:tcW w:w="2395" w:type="dxa"/>
            <w:tcBorders>
              <w:top w:val="nil"/>
              <w:left w:val="nil"/>
              <w:bottom w:val="nil"/>
              <w:right w:val="nil"/>
            </w:tcBorders>
            <w:shd w:val="clear" w:color="000000" w:fill="EDFFB7"/>
            <w:vAlign w:val="center"/>
            <w:hideMark/>
          </w:tcPr>
          <w:p w14:paraId="65608AB4" w14:textId="77777777" w:rsidR="0021298F" w:rsidRPr="00D71042" w:rsidRDefault="0021298F" w:rsidP="00760009">
            <w:pPr>
              <w:jc w:val="right"/>
              <w:rPr>
                <w:rFonts w:ascii="Arial" w:eastAsia="Times New Roman" w:hAnsi="Arial" w:cs="Arial"/>
                <w:color w:val="000000"/>
                <w:lang w:eastAsia="en-GB"/>
              </w:rPr>
            </w:pPr>
            <w:r w:rsidRPr="00D71042">
              <w:rPr>
                <w:rFonts w:ascii="Arial" w:eastAsia="Times New Roman" w:hAnsi="Arial" w:cs="Arial"/>
                <w:color w:val="000000"/>
                <w:lang w:eastAsia="en-GB"/>
              </w:rPr>
              <w:t xml:space="preserve">725 </w:t>
            </w:r>
          </w:p>
        </w:tc>
        <w:tc>
          <w:tcPr>
            <w:tcW w:w="2268" w:type="dxa"/>
            <w:tcBorders>
              <w:top w:val="nil"/>
              <w:left w:val="nil"/>
              <w:bottom w:val="nil"/>
              <w:right w:val="nil"/>
            </w:tcBorders>
            <w:shd w:val="clear" w:color="000000" w:fill="FFFFFF"/>
            <w:vAlign w:val="center"/>
            <w:hideMark/>
          </w:tcPr>
          <w:p w14:paraId="43B5F83A" w14:textId="77777777" w:rsidR="0021298F" w:rsidRPr="00D71042" w:rsidRDefault="0021298F" w:rsidP="00760009">
            <w:pPr>
              <w:jc w:val="right"/>
              <w:rPr>
                <w:rFonts w:ascii="Arial" w:eastAsia="Times New Roman" w:hAnsi="Arial" w:cs="Arial"/>
                <w:color w:val="000000"/>
                <w:lang w:eastAsia="en-GB"/>
              </w:rPr>
            </w:pPr>
            <w:r w:rsidRPr="00D71042">
              <w:rPr>
                <w:rFonts w:ascii="Arial" w:eastAsia="Times New Roman" w:hAnsi="Arial" w:cs="Arial"/>
                <w:color w:val="000000"/>
                <w:lang w:eastAsia="en-GB"/>
              </w:rPr>
              <w:t xml:space="preserve">-   </w:t>
            </w:r>
          </w:p>
        </w:tc>
      </w:tr>
      <w:tr w:rsidR="0021298F" w:rsidRPr="00D71042" w14:paraId="46BCF156" w14:textId="77777777" w:rsidTr="00760009">
        <w:trPr>
          <w:gridAfter w:val="1"/>
          <w:wAfter w:w="575" w:type="dxa"/>
          <w:trHeight w:val="300"/>
        </w:trPr>
        <w:tc>
          <w:tcPr>
            <w:tcW w:w="4710" w:type="dxa"/>
            <w:tcBorders>
              <w:top w:val="nil"/>
              <w:left w:val="nil"/>
              <w:bottom w:val="nil"/>
              <w:right w:val="nil"/>
            </w:tcBorders>
            <w:shd w:val="clear" w:color="auto" w:fill="auto"/>
            <w:noWrap/>
            <w:vAlign w:val="bottom"/>
            <w:hideMark/>
          </w:tcPr>
          <w:p w14:paraId="2EC432D3" w14:textId="77777777" w:rsidR="0021298F" w:rsidRPr="00D71042" w:rsidRDefault="0021298F" w:rsidP="00760009">
            <w:pPr>
              <w:jc w:val="right"/>
              <w:rPr>
                <w:rFonts w:ascii="Arial" w:eastAsia="Times New Roman" w:hAnsi="Arial" w:cs="Arial"/>
                <w:color w:val="000000"/>
                <w:lang w:eastAsia="en-GB"/>
              </w:rPr>
            </w:pPr>
          </w:p>
        </w:tc>
        <w:tc>
          <w:tcPr>
            <w:tcW w:w="266" w:type="dxa"/>
            <w:tcBorders>
              <w:top w:val="nil"/>
              <w:left w:val="nil"/>
              <w:bottom w:val="nil"/>
              <w:right w:val="nil"/>
            </w:tcBorders>
            <w:shd w:val="clear" w:color="auto" w:fill="auto"/>
            <w:noWrap/>
            <w:vAlign w:val="bottom"/>
            <w:hideMark/>
          </w:tcPr>
          <w:p w14:paraId="37DEA5DD" w14:textId="77777777" w:rsidR="0021298F" w:rsidRPr="00D71042" w:rsidRDefault="0021298F" w:rsidP="00760009">
            <w:pPr>
              <w:rPr>
                <w:rFonts w:ascii="Times New Roman" w:eastAsia="Times New Roman" w:hAnsi="Times New Roman" w:cs="Times New Roman"/>
                <w:sz w:val="20"/>
                <w:szCs w:val="20"/>
                <w:lang w:eastAsia="en-GB"/>
              </w:rPr>
            </w:pPr>
          </w:p>
        </w:tc>
        <w:tc>
          <w:tcPr>
            <w:tcW w:w="2395" w:type="dxa"/>
            <w:tcBorders>
              <w:top w:val="nil"/>
              <w:left w:val="nil"/>
              <w:bottom w:val="nil"/>
              <w:right w:val="nil"/>
            </w:tcBorders>
            <w:shd w:val="clear" w:color="000000" w:fill="EDFFB7"/>
            <w:vAlign w:val="center"/>
            <w:hideMark/>
          </w:tcPr>
          <w:p w14:paraId="738DE79F" w14:textId="77777777" w:rsidR="0021298F" w:rsidRPr="00D71042" w:rsidRDefault="0021298F" w:rsidP="00760009">
            <w:pPr>
              <w:jc w:val="right"/>
              <w:rPr>
                <w:rFonts w:ascii="Arial" w:eastAsia="Times New Roman" w:hAnsi="Arial" w:cs="Arial"/>
                <w:color w:val="000000"/>
                <w:lang w:eastAsia="en-GB"/>
              </w:rPr>
            </w:pPr>
            <w:r w:rsidRPr="00D71042">
              <w:rPr>
                <w:rFonts w:ascii="Arial" w:eastAsia="Times New Roman" w:hAnsi="Arial" w:cs="Arial"/>
                <w:color w:val="000000"/>
                <w:lang w:eastAsia="en-GB"/>
              </w:rPr>
              <w:t> </w:t>
            </w:r>
          </w:p>
        </w:tc>
        <w:tc>
          <w:tcPr>
            <w:tcW w:w="2268" w:type="dxa"/>
            <w:tcBorders>
              <w:top w:val="nil"/>
              <w:left w:val="nil"/>
              <w:bottom w:val="nil"/>
              <w:right w:val="nil"/>
            </w:tcBorders>
            <w:shd w:val="clear" w:color="000000" w:fill="FFFFFF"/>
            <w:vAlign w:val="center"/>
            <w:hideMark/>
          </w:tcPr>
          <w:p w14:paraId="25FBC4E3" w14:textId="77777777" w:rsidR="0021298F" w:rsidRPr="00D71042" w:rsidRDefault="0021298F" w:rsidP="00760009">
            <w:pPr>
              <w:jc w:val="right"/>
              <w:rPr>
                <w:rFonts w:ascii="Arial" w:eastAsia="Times New Roman" w:hAnsi="Arial" w:cs="Arial"/>
                <w:color w:val="000000"/>
                <w:lang w:eastAsia="en-GB"/>
              </w:rPr>
            </w:pPr>
            <w:r w:rsidRPr="00D71042">
              <w:rPr>
                <w:rFonts w:ascii="Arial" w:eastAsia="Times New Roman" w:hAnsi="Arial" w:cs="Arial"/>
                <w:color w:val="000000"/>
                <w:lang w:eastAsia="en-GB"/>
              </w:rPr>
              <w:t> </w:t>
            </w:r>
          </w:p>
        </w:tc>
      </w:tr>
      <w:tr w:rsidR="0021298F" w:rsidRPr="00D71042" w14:paraId="03183063" w14:textId="77777777" w:rsidTr="00760009">
        <w:trPr>
          <w:gridAfter w:val="1"/>
          <w:wAfter w:w="575" w:type="dxa"/>
          <w:trHeight w:val="300"/>
        </w:trPr>
        <w:tc>
          <w:tcPr>
            <w:tcW w:w="4710" w:type="dxa"/>
            <w:tcBorders>
              <w:top w:val="nil"/>
              <w:left w:val="nil"/>
              <w:bottom w:val="nil"/>
              <w:right w:val="nil"/>
            </w:tcBorders>
            <w:shd w:val="clear" w:color="000000" w:fill="FFFFFF"/>
            <w:vAlign w:val="center"/>
            <w:hideMark/>
          </w:tcPr>
          <w:p w14:paraId="598344E9" w14:textId="77777777" w:rsidR="0021298F" w:rsidRPr="00D71042" w:rsidRDefault="0021298F" w:rsidP="00760009">
            <w:pPr>
              <w:jc w:val="both"/>
              <w:rPr>
                <w:rFonts w:ascii="Arial" w:eastAsia="Times New Roman" w:hAnsi="Arial" w:cs="Arial"/>
                <w:color w:val="000000"/>
                <w:lang w:eastAsia="en-GB"/>
              </w:rPr>
            </w:pPr>
            <w:r w:rsidRPr="00D71042">
              <w:rPr>
                <w:rFonts w:ascii="Arial" w:eastAsia="Times New Roman" w:hAnsi="Arial" w:cs="Arial"/>
                <w:color w:val="000000"/>
                <w:lang w:eastAsia="en-GB"/>
              </w:rPr>
              <w:t>Term debt facilities</w:t>
            </w:r>
          </w:p>
        </w:tc>
        <w:tc>
          <w:tcPr>
            <w:tcW w:w="266" w:type="dxa"/>
            <w:tcBorders>
              <w:top w:val="nil"/>
              <w:left w:val="nil"/>
              <w:bottom w:val="nil"/>
              <w:right w:val="nil"/>
            </w:tcBorders>
            <w:shd w:val="clear" w:color="auto" w:fill="auto"/>
            <w:noWrap/>
            <w:vAlign w:val="bottom"/>
            <w:hideMark/>
          </w:tcPr>
          <w:p w14:paraId="1BF7823A" w14:textId="77777777" w:rsidR="0021298F" w:rsidRPr="00D71042" w:rsidRDefault="0021298F" w:rsidP="00760009">
            <w:pPr>
              <w:jc w:val="both"/>
              <w:rPr>
                <w:rFonts w:ascii="Arial" w:eastAsia="Times New Roman" w:hAnsi="Arial" w:cs="Arial"/>
                <w:color w:val="000000"/>
                <w:lang w:eastAsia="en-GB"/>
              </w:rPr>
            </w:pPr>
          </w:p>
        </w:tc>
        <w:tc>
          <w:tcPr>
            <w:tcW w:w="2395" w:type="dxa"/>
            <w:tcBorders>
              <w:top w:val="nil"/>
              <w:left w:val="nil"/>
              <w:bottom w:val="nil"/>
              <w:right w:val="nil"/>
            </w:tcBorders>
            <w:shd w:val="clear" w:color="000000" w:fill="EDFFB7"/>
            <w:vAlign w:val="center"/>
            <w:hideMark/>
          </w:tcPr>
          <w:p w14:paraId="014BADE9" w14:textId="77777777" w:rsidR="0021298F" w:rsidRPr="00D71042" w:rsidRDefault="0021298F" w:rsidP="00760009">
            <w:pPr>
              <w:jc w:val="right"/>
              <w:rPr>
                <w:rFonts w:ascii="Arial" w:eastAsia="Times New Roman" w:hAnsi="Arial" w:cs="Arial"/>
                <w:color w:val="000000"/>
                <w:lang w:eastAsia="en-GB"/>
              </w:rPr>
            </w:pPr>
            <w:r w:rsidRPr="00D71042">
              <w:rPr>
                <w:rFonts w:ascii="Arial" w:eastAsia="Times New Roman" w:hAnsi="Arial" w:cs="Arial"/>
                <w:color w:val="000000"/>
                <w:lang w:eastAsia="en-GB"/>
              </w:rPr>
              <w:t> </w:t>
            </w:r>
          </w:p>
        </w:tc>
        <w:tc>
          <w:tcPr>
            <w:tcW w:w="2268" w:type="dxa"/>
            <w:tcBorders>
              <w:top w:val="nil"/>
              <w:left w:val="nil"/>
              <w:bottom w:val="nil"/>
              <w:right w:val="nil"/>
            </w:tcBorders>
            <w:shd w:val="clear" w:color="000000" w:fill="FFFFFF"/>
            <w:vAlign w:val="center"/>
            <w:hideMark/>
          </w:tcPr>
          <w:p w14:paraId="4F5B7805" w14:textId="77777777" w:rsidR="0021298F" w:rsidRPr="00D71042" w:rsidRDefault="0021298F" w:rsidP="00760009">
            <w:pPr>
              <w:jc w:val="right"/>
              <w:rPr>
                <w:rFonts w:ascii="Arial" w:eastAsia="Times New Roman" w:hAnsi="Arial" w:cs="Arial"/>
                <w:color w:val="000000"/>
                <w:lang w:eastAsia="en-GB"/>
              </w:rPr>
            </w:pPr>
            <w:r w:rsidRPr="00D71042">
              <w:rPr>
                <w:rFonts w:ascii="Arial" w:eastAsia="Times New Roman" w:hAnsi="Arial" w:cs="Arial"/>
                <w:color w:val="000000"/>
                <w:lang w:eastAsia="en-GB"/>
              </w:rPr>
              <w:t> </w:t>
            </w:r>
          </w:p>
        </w:tc>
      </w:tr>
      <w:tr w:rsidR="0021298F" w:rsidRPr="00D71042" w14:paraId="4D309004" w14:textId="77777777" w:rsidTr="00760009">
        <w:trPr>
          <w:gridAfter w:val="1"/>
          <w:wAfter w:w="575" w:type="dxa"/>
          <w:trHeight w:val="300"/>
        </w:trPr>
        <w:tc>
          <w:tcPr>
            <w:tcW w:w="4710" w:type="dxa"/>
            <w:tcBorders>
              <w:top w:val="nil"/>
              <w:left w:val="nil"/>
              <w:bottom w:val="nil"/>
              <w:right w:val="nil"/>
            </w:tcBorders>
            <w:shd w:val="clear" w:color="000000" w:fill="FFFFFF"/>
            <w:vAlign w:val="center"/>
            <w:hideMark/>
          </w:tcPr>
          <w:p w14:paraId="5204F95D" w14:textId="77777777" w:rsidR="0021298F" w:rsidRPr="00D71042" w:rsidRDefault="0021298F" w:rsidP="00760009">
            <w:pPr>
              <w:ind w:firstLineChars="100" w:firstLine="240"/>
              <w:rPr>
                <w:rFonts w:ascii="Arial" w:eastAsia="Times New Roman" w:hAnsi="Arial" w:cs="Arial"/>
                <w:color w:val="000000"/>
                <w:lang w:eastAsia="en-GB"/>
              </w:rPr>
            </w:pPr>
            <w:r w:rsidRPr="00D71042">
              <w:rPr>
                <w:rFonts w:ascii="Arial" w:eastAsia="Times New Roman" w:hAnsi="Arial" w:cs="Arial"/>
                <w:color w:val="000000"/>
                <w:lang w:eastAsia="en-GB"/>
              </w:rPr>
              <w:t xml:space="preserve"> Drawdowns </w:t>
            </w:r>
          </w:p>
        </w:tc>
        <w:tc>
          <w:tcPr>
            <w:tcW w:w="266" w:type="dxa"/>
            <w:tcBorders>
              <w:top w:val="nil"/>
              <w:left w:val="nil"/>
              <w:bottom w:val="nil"/>
              <w:right w:val="nil"/>
            </w:tcBorders>
            <w:shd w:val="clear" w:color="auto" w:fill="auto"/>
            <w:noWrap/>
            <w:vAlign w:val="bottom"/>
            <w:hideMark/>
          </w:tcPr>
          <w:p w14:paraId="23DF55DB" w14:textId="77777777" w:rsidR="0021298F" w:rsidRPr="00D71042" w:rsidRDefault="0021298F" w:rsidP="00760009">
            <w:pPr>
              <w:ind w:firstLineChars="100" w:firstLine="240"/>
              <w:rPr>
                <w:rFonts w:ascii="Arial" w:eastAsia="Times New Roman" w:hAnsi="Arial" w:cs="Arial"/>
                <w:color w:val="000000"/>
                <w:lang w:eastAsia="en-GB"/>
              </w:rPr>
            </w:pPr>
          </w:p>
        </w:tc>
        <w:tc>
          <w:tcPr>
            <w:tcW w:w="2395" w:type="dxa"/>
            <w:tcBorders>
              <w:top w:val="nil"/>
              <w:left w:val="nil"/>
              <w:bottom w:val="nil"/>
              <w:right w:val="nil"/>
            </w:tcBorders>
            <w:shd w:val="clear" w:color="000000" w:fill="EDFFB7"/>
            <w:vAlign w:val="center"/>
            <w:hideMark/>
          </w:tcPr>
          <w:p w14:paraId="49ED80B5" w14:textId="77777777" w:rsidR="0021298F" w:rsidRPr="00D71042" w:rsidRDefault="0021298F" w:rsidP="00760009">
            <w:pPr>
              <w:jc w:val="right"/>
              <w:rPr>
                <w:rFonts w:ascii="Arial" w:eastAsia="Times New Roman" w:hAnsi="Arial" w:cs="Arial"/>
                <w:color w:val="000000"/>
                <w:lang w:eastAsia="en-GB"/>
              </w:rPr>
            </w:pPr>
            <w:r w:rsidRPr="00D71042">
              <w:rPr>
                <w:rFonts w:ascii="Arial" w:eastAsia="Times New Roman" w:hAnsi="Arial" w:cs="Arial"/>
                <w:color w:val="000000"/>
                <w:lang w:eastAsia="en-GB"/>
              </w:rPr>
              <w:t xml:space="preserve">200,000 </w:t>
            </w:r>
          </w:p>
        </w:tc>
        <w:tc>
          <w:tcPr>
            <w:tcW w:w="2268" w:type="dxa"/>
            <w:tcBorders>
              <w:top w:val="nil"/>
              <w:left w:val="nil"/>
              <w:bottom w:val="nil"/>
              <w:right w:val="nil"/>
            </w:tcBorders>
            <w:shd w:val="clear" w:color="000000" w:fill="FFFFFF"/>
            <w:vAlign w:val="center"/>
            <w:hideMark/>
          </w:tcPr>
          <w:p w14:paraId="376F8AE7" w14:textId="77777777" w:rsidR="0021298F" w:rsidRPr="00D71042" w:rsidRDefault="0021298F" w:rsidP="00760009">
            <w:pPr>
              <w:jc w:val="right"/>
              <w:rPr>
                <w:rFonts w:ascii="Arial" w:eastAsia="Times New Roman" w:hAnsi="Arial" w:cs="Arial"/>
                <w:color w:val="000000"/>
                <w:lang w:eastAsia="en-GB"/>
              </w:rPr>
            </w:pPr>
            <w:r w:rsidRPr="00D71042">
              <w:rPr>
                <w:rFonts w:ascii="Arial" w:eastAsia="Times New Roman" w:hAnsi="Arial" w:cs="Arial"/>
                <w:color w:val="000000"/>
                <w:lang w:eastAsia="en-GB"/>
              </w:rPr>
              <w:t xml:space="preserve">-   </w:t>
            </w:r>
          </w:p>
        </w:tc>
      </w:tr>
      <w:tr w:rsidR="0021298F" w:rsidRPr="00D71042" w14:paraId="0432CBD9" w14:textId="77777777" w:rsidTr="00760009">
        <w:trPr>
          <w:gridAfter w:val="1"/>
          <w:wAfter w:w="575" w:type="dxa"/>
          <w:trHeight w:val="300"/>
        </w:trPr>
        <w:tc>
          <w:tcPr>
            <w:tcW w:w="4710" w:type="dxa"/>
            <w:tcBorders>
              <w:top w:val="nil"/>
              <w:left w:val="nil"/>
              <w:bottom w:val="nil"/>
              <w:right w:val="nil"/>
            </w:tcBorders>
            <w:shd w:val="clear" w:color="000000" w:fill="FFFFFF"/>
            <w:vAlign w:val="center"/>
            <w:hideMark/>
          </w:tcPr>
          <w:p w14:paraId="5B11C9F6" w14:textId="77777777" w:rsidR="0021298F" w:rsidRPr="00D71042" w:rsidRDefault="0021298F" w:rsidP="00760009">
            <w:pPr>
              <w:ind w:firstLineChars="100" w:firstLine="240"/>
              <w:rPr>
                <w:rFonts w:ascii="Arial" w:eastAsia="Times New Roman" w:hAnsi="Arial" w:cs="Arial"/>
                <w:color w:val="000000"/>
                <w:lang w:eastAsia="en-GB"/>
              </w:rPr>
            </w:pPr>
            <w:r w:rsidRPr="00D71042">
              <w:rPr>
                <w:rFonts w:ascii="Arial" w:eastAsia="Times New Roman" w:hAnsi="Arial" w:cs="Arial"/>
                <w:color w:val="000000"/>
                <w:lang w:eastAsia="en-GB"/>
              </w:rPr>
              <w:t xml:space="preserve"> Finance costs capitalised during the </w:t>
            </w:r>
            <w:r>
              <w:rPr>
                <w:rFonts w:ascii="Arial" w:eastAsia="Times New Roman" w:hAnsi="Arial" w:cs="Arial"/>
                <w:color w:val="000000"/>
                <w:lang w:eastAsia="en-GB"/>
              </w:rPr>
              <w:t>year</w:t>
            </w:r>
          </w:p>
        </w:tc>
        <w:tc>
          <w:tcPr>
            <w:tcW w:w="266" w:type="dxa"/>
            <w:tcBorders>
              <w:top w:val="nil"/>
              <w:left w:val="nil"/>
              <w:bottom w:val="nil"/>
              <w:right w:val="nil"/>
            </w:tcBorders>
            <w:shd w:val="clear" w:color="auto" w:fill="auto"/>
            <w:noWrap/>
            <w:vAlign w:val="bottom"/>
            <w:hideMark/>
          </w:tcPr>
          <w:p w14:paraId="547DBA68" w14:textId="77777777" w:rsidR="0021298F" w:rsidRPr="00D71042" w:rsidRDefault="0021298F" w:rsidP="00760009">
            <w:pPr>
              <w:ind w:firstLineChars="100" w:firstLine="240"/>
              <w:rPr>
                <w:rFonts w:ascii="Arial" w:eastAsia="Times New Roman" w:hAnsi="Arial" w:cs="Arial"/>
                <w:color w:val="000000"/>
                <w:lang w:eastAsia="en-GB"/>
              </w:rPr>
            </w:pPr>
          </w:p>
        </w:tc>
        <w:tc>
          <w:tcPr>
            <w:tcW w:w="2395" w:type="dxa"/>
            <w:tcBorders>
              <w:top w:val="nil"/>
              <w:left w:val="nil"/>
              <w:bottom w:val="nil"/>
              <w:right w:val="nil"/>
            </w:tcBorders>
            <w:shd w:val="clear" w:color="000000" w:fill="EDFFB7"/>
            <w:vAlign w:val="center"/>
            <w:hideMark/>
          </w:tcPr>
          <w:p w14:paraId="76651207" w14:textId="77777777" w:rsidR="0021298F" w:rsidRPr="00D71042" w:rsidRDefault="0021298F" w:rsidP="00760009">
            <w:pPr>
              <w:jc w:val="right"/>
              <w:rPr>
                <w:rFonts w:ascii="Arial" w:eastAsia="Times New Roman" w:hAnsi="Arial" w:cs="Arial"/>
                <w:color w:val="000000"/>
                <w:lang w:eastAsia="en-GB"/>
              </w:rPr>
            </w:pPr>
            <w:r w:rsidRPr="00D71042">
              <w:rPr>
                <w:rFonts w:ascii="Arial" w:eastAsia="Times New Roman" w:hAnsi="Arial" w:cs="Arial"/>
                <w:color w:val="000000"/>
                <w:lang w:eastAsia="en-GB"/>
              </w:rPr>
              <w:t xml:space="preserve"> (2,120)</w:t>
            </w:r>
          </w:p>
        </w:tc>
        <w:tc>
          <w:tcPr>
            <w:tcW w:w="2268" w:type="dxa"/>
            <w:tcBorders>
              <w:top w:val="nil"/>
              <w:left w:val="nil"/>
              <w:bottom w:val="nil"/>
              <w:right w:val="nil"/>
            </w:tcBorders>
            <w:shd w:val="clear" w:color="000000" w:fill="FFFFFF"/>
            <w:vAlign w:val="center"/>
            <w:hideMark/>
          </w:tcPr>
          <w:p w14:paraId="1E71861D" w14:textId="77777777" w:rsidR="0021298F" w:rsidRPr="00D71042" w:rsidRDefault="0021298F" w:rsidP="00760009">
            <w:pPr>
              <w:jc w:val="right"/>
              <w:rPr>
                <w:rFonts w:ascii="Arial" w:eastAsia="Times New Roman" w:hAnsi="Arial" w:cs="Arial"/>
                <w:color w:val="000000"/>
                <w:lang w:eastAsia="en-GB"/>
              </w:rPr>
            </w:pPr>
            <w:r w:rsidRPr="00D71042">
              <w:rPr>
                <w:rFonts w:ascii="Arial" w:eastAsia="Times New Roman" w:hAnsi="Arial" w:cs="Arial"/>
                <w:color w:val="000000"/>
                <w:lang w:eastAsia="en-GB"/>
              </w:rPr>
              <w:t xml:space="preserve">-   </w:t>
            </w:r>
          </w:p>
        </w:tc>
      </w:tr>
      <w:tr w:rsidR="0021298F" w:rsidRPr="00D71042" w14:paraId="010E5143" w14:textId="77777777" w:rsidTr="00760009">
        <w:trPr>
          <w:gridAfter w:val="1"/>
          <w:wAfter w:w="575" w:type="dxa"/>
          <w:trHeight w:val="300"/>
        </w:trPr>
        <w:tc>
          <w:tcPr>
            <w:tcW w:w="4710" w:type="dxa"/>
            <w:tcBorders>
              <w:top w:val="nil"/>
              <w:left w:val="nil"/>
              <w:bottom w:val="nil"/>
              <w:right w:val="nil"/>
            </w:tcBorders>
            <w:shd w:val="clear" w:color="000000" w:fill="FFFFFF"/>
            <w:vAlign w:val="center"/>
            <w:hideMark/>
          </w:tcPr>
          <w:p w14:paraId="2BC2F7FC" w14:textId="77777777" w:rsidR="0021298F" w:rsidRPr="00D71042" w:rsidRDefault="0021298F" w:rsidP="00760009">
            <w:pPr>
              <w:ind w:firstLineChars="100" w:firstLine="240"/>
              <w:rPr>
                <w:rFonts w:ascii="Arial" w:eastAsia="Times New Roman" w:hAnsi="Arial" w:cs="Arial"/>
                <w:color w:val="000000"/>
                <w:lang w:eastAsia="en-GB"/>
              </w:rPr>
            </w:pPr>
            <w:r w:rsidRPr="00D71042">
              <w:rPr>
                <w:rFonts w:ascii="Arial" w:eastAsia="Times New Roman" w:hAnsi="Arial" w:cs="Arial"/>
                <w:color w:val="000000"/>
                <w:lang w:eastAsia="en-GB"/>
              </w:rPr>
              <w:t xml:space="preserve"> Amortisation</w:t>
            </w:r>
          </w:p>
        </w:tc>
        <w:tc>
          <w:tcPr>
            <w:tcW w:w="266" w:type="dxa"/>
            <w:tcBorders>
              <w:top w:val="nil"/>
              <w:left w:val="nil"/>
              <w:bottom w:val="nil"/>
              <w:right w:val="nil"/>
            </w:tcBorders>
            <w:shd w:val="clear" w:color="auto" w:fill="auto"/>
            <w:noWrap/>
            <w:vAlign w:val="bottom"/>
            <w:hideMark/>
          </w:tcPr>
          <w:p w14:paraId="71B04234" w14:textId="77777777" w:rsidR="0021298F" w:rsidRPr="00D71042" w:rsidRDefault="0021298F" w:rsidP="00760009">
            <w:pPr>
              <w:ind w:firstLineChars="100" w:firstLine="240"/>
              <w:rPr>
                <w:rFonts w:ascii="Arial" w:eastAsia="Times New Roman" w:hAnsi="Arial" w:cs="Arial"/>
                <w:color w:val="000000"/>
                <w:lang w:eastAsia="en-GB"/>
              </w:rPr>
            </w:pPr>
          </w:p>
        </w:tc>
        <w:tc>
          <w:tcPr>
            <w:tcW w:w="2395" w:type="dxa"/>
            <w:tcBorders>
              <w:top w:val="nil"/>
              <w:left w:val="nil"/>
              <w:bottom w:val="nil"/>
              <w:right w:val="nil"/>
            </w:tcBorders>
            <w:shd w:val="clear" w:color="000000" w:fill="EDFFB7"/>
            <w:vAlign w:val="center"/>
            <w:hideMark/>
          </w:tcPr>
          <w:p w14:paraId="11E8C5EC" w14:textId="77777777" w:rsidR="0021298F" w:rsidRPr="00D71042" w:rsidRDefault="0021298F" w:rsidP="00760009">
            <w:pPr>
              <w:jc w:val="right"/>
              <w:rPr>
                <w:rFonts w:ascii="Arial" w:eastAsia="Times New Roman" w:hAnsi="Arial" w:cs="Arial"/>
                <w:color w:val="000000"/>
                <w:lang w:eastAsia="en-GB"/>
              </w:rPr>
            </w:pPr>
            <w:r w:rsidRPr="00D71042">
              <w:rPr>
                <w:rFonts w:ascii="Arial" w:eastAsia="Times New Roman" w:hAnsi="Arial" w:cs="Arial"/>
                <w:color w:val="000000"/>
                <w:lang w:eastAsia="en-GB"/>
              </w:rPr>
              <w:t xml:space="preserve">100 </w:t>
            </w:r>
          </w:p>
        </w:tc>
        <w:tc>
          <w:tcPr>
            <w:tcW w:w="2268" w:type="dxa"/>
            <w:tcBorders>
              <w:top w:val="nil"/>
              <w:left w:val="nil"/>
              <w:bottom w:val="nil"/>
              <w:right w:val="nil"/>
            </w:tcBorders>
            <w:shd w:val="clear" w:color="000000" w:fill="FFFFFF"/>
            <w:vAlign w:val="center"/>
            <w:hideMark/>
          </w:tcPr>
          <w:p w14:paraId="29FD9A1F" w14:textId="77777777" w:rsidR="0021298F" w:rsidRPr="00D71042" w:rsidRDefault="0021298F" w:rsidP="00760009">
            <w:pPr>
              <w:jc w:val="right"/>
              <w:rPr>
                <w:rFonts w:ascii="Arial" w:eastAsia="Times New Roman" w:hAnsi="Arial" w:cs="Arial"/>
                <w:color w:val="000000"/>
                <w:lang w:eastAsia="en-GB"/>
              </w:rPr>
            </w:pPr>
            <w:r w:rsidRPr="00D71042">
              <w:rPr>
                <w:rFonts w:ascii="Arial" w:eastAsia="Times New Roman" w:hAnsi="Arial" w:cs="Arial"/>
                <w:color w:val="000000"/>
                <w:lang w:eastAsia="en-GB"/>
              </w:rPr>
              <w:t xml:space="preserve">-   </w:t>
            </w:r>
          </w:p>
        </w:tc>
      </w:tr>
      <w:tr w:rsidR="0021298F" w:rsidRPr="00D71042" w14:paraId="59E92D0E" w14:textId="77777777" w:rsidTr="00760009">
        <w:trPr>
          <w:gridAfter w:val="1"/>
          <w:wAfter w:w="575" w:type="dxa"/>
          <w:trHeight w:val="420"/>
        </w:trPr>
        <w:tc>
          <w:tcPr>
            <w:tcW w:w="4710" w:type="dxa"/>
            <w:tcBorders>
              <w:top w:val="single" w:sz="4" w:space="0" w:color="auto"/>
              <w:left w:val="nil"/>
              <w:bottom w:val="single" w:sz="8" w:space="0" w:color="auto"/>
              <w:right w:val="nil"/>
            </w:tcBorders>
            <w:shd w:val="clear" w:color="000000" w:fill="FFFFFF"/>
            <w:vAlign w:val="center"/>
            <w:hideMark/>
          </w:tcPr>
          <w:p w14:paraId="1D501B15" w14:textId="77777777" w:rsidR="0021298F" w:rsidRPr="00D71042" w:rsidRDefault="0021298F" w:rsidP="00760009">
            <w:pPr>
              <w:jc w:val="both"/>
              <w:rPr>
                <w:rFonts w:ascii="Arial" w:eastAsia="Times New Roman" w:hAnsi="Arial" w:cs="Arial"/>
                <w:b/>
                <w:bCs/>
                <w:color w:val="000000"/>
                <w:lang w:eastAsia="en-GB"/>
              </w:rPr>
            </w:pPr>
            <w:r w:rsidRPr="00D71042">
              <w:rPr>
                <w:rFonts w:ascii="Arial" w:eastAsia="Times New Roman" w:hAnsi="Arial" w:cs="Arial"/>
                <w:b/>
                <w:bCs/>
                <w:color w:val="000000"/>
                <w:lang w:eastAsia="en-GB"/>
              </w:rPr>
              <w:t>Closing balance</w:t>
            </w:r>
          </w:p>
        </w:tc>
        <w:tc>
          <w:tcPr>
            <w:tcW w:w="266" w:type="dxa"/>
            <w:tcBorders>
              <w:top w:val="single" w:sz="4" w:space="0" w:color="auto"/>
              <w:left w:val="nil"/>
              <w:bottom w:val="single" w:sz="8" w:space="0" w:color="auto"/>
              <w:right w:val="nil"/>
            </w:tcBorders>
            <w:shd w:val="clear" w:color="auto" w:fill="auto"/>
            <w:noWrap/>
            <w:vAlign w:val="bottom"/>
            <w:hideMark/>
          </w:tcPr>
          <w:p w14:paraId="252BC0C2" w14:textId="77777777" w:rsidR="0021298F" w:rsidRPr="00D71042" w:rsidRDefault="0021298F" w:rsidP="00760009">
            <w:pPr>
              <w:rPr>
                <w:rFonts w:ascii="Calibri" w:eastAsia="Times New Roman" w:hAnsi="Calibri" w:cs="Calibri"/>
                <w:color w:val="000000"/>
                <w:lang w:eastAsia="en-GB"/>
              </w:rPr>
            </w:pPr>
            <w:r w:rsidRPr="00D71042">
              <w:rPr>
                <w:rFonts w:ascii="Calibri" w:eastAsia="Times New Roman" w:hAnsi="Calibri" w:cs="Calibri"/>
                <w:color w:val="000000"/>
                <w:lang w:eastAsia="en-GB"/>
              </w:rPr>
              <w:t> </w:t>
            </w:r>
          </w:p>
        </w:tc>
        <w:tc>
          <w:tcPr>
            <w:tcW w:w="2395" w:type="dxa"/>
            <w:tcBorders>
              <w:top w:val="single" w:sz="4" w:space="0" w:color="auto"/>
              <w:left w:val="nil"/>
              <w:bottom w:val="single" w:sz="8" w:space="0" w:color="auto"/>
              <w:right w:val="nil"/>
            </w:tcBorders>
            <w:shd w:val="clear" w:color="000000" w:fill="EDFFB7"/>
            <w:vAlign w:val="center"/>
            <w:hideMark/>
          </w:tcPr>
          <w:p w14:paraId="1A8EA670" w14:textId="77777777" w:rsidR="0021298F" w:rsidRPr="00D71042" w:rsidRDefault="0021298F" w:rsidP="00760009">
            <w:pPr>
              <w:jc w:val="right"/>
              <w:rPr>
                <w:rFonts w:ascii="Arial" w:eastAsia="Times New Roman" w:hAnsi="Arial" w:cs="Arial"/>
                <w:b/>
                <w:bCs/>
                <w:color w:val="000000"/>
                <w:lang w:eastAsia="en-GB"/>
              </w:rPr>
            </w:pPr>
            <w:r w:rsidRPr="00D71042">
              <w:rPr>
                <w:rFonts w:ascii="Arial" w:eastAsia="Times New Roman" w:hAnsi="Arial" w:cs="Arial"/>
                <w:b/>
                <w:bCs/>
                <w:color w:val="000000"/>
                <w:lang w:eastAsia="en-GB"/>
              </w:rPr>
              <w:t xml:space="preserve">210,808 </w:t>
            </w:r>
          </w:p>
        </w:tc>
        <w:tc>
          <w:tcPr>
            <w:tcW w:w="2268" w:type="dxa"/>
            <w:tcBorders>
              <w:top w:val="single" w:sz="4" w:space="0" w:color="auto"/>
              <w:left w:val="nil"/>
              <w:bottom w:val="single" w:sz="8" w:space="0" w:color="auto"/>
              <w:right w:val="nil"/>
            </w:tcBorders>
            <w:shd w:val="clear" w:color="000000" w:fill="FFFFFF"/>
            <w:vAlign w:val="center"/>
            <w:hideMark/>
          </w:tcPr>
          <w:p w14:paraId="6D93CB3F" w14:textId="77777777" w:rsidR="0021298F" w:rsidRPr="00D71042" w:rsidRDefault="0021298F" w:rsidP="00760009">
            <w:pPr>
              <w:jc w:val="right"/>
              <w:rPr>
                <w:rFonts w:ascii="Arial" w:eastAsia="Times New Roman" w:hAnsi="Arial" w:cs="Arial"/>
                <w:b/>
                <w:bCs/>
                <w:color w:val="000000"/>
                <w:lang w:eastAsia="en-GB"/>
              </w:rPr>
            </w:pPr>
            <w:r w:rsidRPr="00D71042">
              <w:rPr>
                <w:rFonts w:ascii="Arial" w:eastAsia="Times New Roman" w:hAnsi="Arial" w:cs="Arial"/>
                <w:b/>
                <w:bCs/>
                <w:color w:val="000000"/>
                <w:lang w:eastAsia="en-GB"/>
              </w:rPr>
              <w:t xml:space="preserve">206,000 </w:t>
            </w:r>
          </w:p>
        </w:tc>
      </w:tr>
      <w:tr w:rsidR="0021298F" w:rsidRPr="00D71042" w14:paraId="75F6EB82" w14:textId="77777777" w:rsidTr="00760009">
        <w:trPr>
          <w:trHeight w:val="180"/>
        </w:trPr>
        <w:tc>
          <w:tcPr>
            <w:tcW w:w="4710" w:type="dxa"/>
            <w:tcBorders>
              <w:top w:val="nil"/>
              <w:left w:val="nil"/>
              <w:bottom w:val="nil"/>
              <w:right w:val="nil"/>
            </w:tcBorders>
            <w:shd w:val="clear" w:color="000000" w:fill="FFFFFF"/>
            <w:noWrap/>
            <w:vAlign w:val="bottom"/>
          </w:tcPr>
          <w:p w14:paraId="61724960" w14:textId="77777777" w:rsidR="0021298F" w:rsidRPr="00D71042" w:rsidRDefault="0021298F" w:rsidP="00760009">
            <w:pPr>
              <w:rPr>
                <w:rFonts w:ascii="Calibri" w:eastAsia="Times New Roman" w:hAnsi="Calibri" w:cs="Calibri"/>
                <w:color w:val="000000"/>
                <w:lang w:eastAsia="en-GB"/>
              </w:rPr>
            </w:pPr>
          </w:p>
        </w:tc>
        <w:tc>
          <w:tcPr>
            <w:tcW w:w="266" w:type="dxa"/>
            <w:tcBorders>
              <w:top w:val="nil"/>
              <w:left w:val="nil"/>
              <w:bottom w:val="nil"/>
              <w:right w:val="nil"/>
            </w:tcBorders>
            <w:shd w:val="clear" w:color="auto" w:fill="auto"/>
            <w:noWrap/>
            <w:vAlign w:val="bottom"/>
          </w:tcPr>
          <w:p w14:paraId="7875D92A" w14:textId="77777777" w:rsidR="0021298F" w:rsidRPr="00D71042" w:rsidRDefault="0021298F" w:rsidP="00760009">
            <w:pPr>
              <w:rPr>
                <w:rFonts w:ascii="Calibri" w:eastAsia="Times New Roman" w:hAnsi="Calibri" w:cs="Calibri"/>
                <w:color w:val="000000"/>
                <w:lang w:eastAsia="en-GB"/>
              </w:rPr>
            </w:pPr>
          </w:p>
        </w:tc>
        <w:tc>
          <w:tcPr>
            <w:tcW w:w="2395" w:type="dxa"/>
            <w:tcBorders>
              <w:top w:val="nil"/>
              <w:left w:val="nil"/>
              <w:bottom w:val="nil"/>
              <w:right w:val="nil"/>
            </w:tcBorders>
            <w:shd w:val="clear" w:color="000000" w:fill="EDFFB7"/>
            <w:vAlign w:val="center"/>
          </w:tcPr>
          <w:p w14:paraId="5C1912AC" w14:textId="77777777" w:rsidR="0021298F" w:rsidRPr="00D71042" w:rsidRDefault="0021298F" w:rsidP="00760009">
            <w:pPr>
              <w:jc w:val="right"/>
              <w:rPr>
                <w:rFonts w:ascii="Arial" w:eastAsia="Times New Roman" w:hAnsi="Arial" w:cs="Arial"/>
                <w:color w:val="000000"/>
                <w:lang w:eastAsia="en-GB"/>
              </w:rPr>
            </w:pPr>
          </w:p>
        </w:tc>
        <w:tc>
          <w:tcPr>
            <w:tcW w:w="2843" w:type="dxa"/>
            <w:gridSpan w:val="2"/>
            <w:tcBorders>
              <w:top w:val="nil"/>
              <w:left w:val="nil"/>
              <w:bottom w:val="nil"/>
              <w:right w:val="nil"/>
            </w:tcBorders>
            <w:shd w:val="clear" w:color="000000" w:fill="FFFFFF"/>
            <w:vAlign w:val="center"/>
          </w:tcPr>
          <w:p w14:paraId="48EE3869" w14:textId="77777777" w:rsidR="0021298F" w:rsidRPr="00D71042" w:rsidRDefault="0021298F" w:rsidP="00760009">
            <w:pPr>
              <w:jc w:val="right"/>
              <w:rPr>
                <w:rFonts w:ascii="Arial" w:eastAsia="Times New Roman" w:hAnsi="Arial" w:cs="Arial"/>
                <w:color w:val="000000"/>
                <w:lang w:eastAsia="en-GB"/>
              </w:rPr>
            </w:pPr>
          </w:p>
        </w:tc>
      </w:tr>
      <w:tr w:rsidR="0021298F" w:rsidRPr="00D71042" w14:paraId="55210797" w14:textId="77777777" w:rsidTr="00760009">
        <w:trPr>
          <w:gridAfter w:val="1"/>
          <w:wAfter w:w="575" w:type="dxa"/>
          <w:trHeight w:val="300"/>
        </w:trPr>
        <w:tc>
          <w:tcPr>
            <w:tcW w:w="4710" w:type="dxa"/>
            <w:tcBorders>
              <w:top w:val="nil"/>
              <w:left w:val="nil"/>
              <w:bottom w:val="nil"/>
              <w:right w:val="nil"/>
            </w:tcBorders>
            <w:shd w:val="clear" w:color="000000" w:fill="FFFFFF"/>
            <w:vAlign w:val="center"/>
            <w:hideMark/>
          </w:tcPr>
          <w:p w14:paraId="1CB5D27D" w14:textId="77777777" w:rsidR="0021298F" w:rsidRPr="00D71042" w:rsidRDefault="0021298F" w:rsidP="00760009">
            <w:pPr>
              <w:jc w:val="both"/>
              <w:rPr>
                <w:rFonts w:ascii="Arial" w:eastAsia="Times New Roman" w:hAnsi="Arial" w:cs="Arial"/>
                <w:b/>
                <w:bCs/>
                <w:color w:val="000000"/>
                <w:lang w:eastAsia="en-GB"/>
              </w:rPr>
            </w:pPr>
            <w:r w:rsidRPr="00D71042">
              <w:rPr>
                <w:rFonts w:ascii="Arial" w:eastAsia="Times New Roman" w:hAnsi="Arial" w:cs="Arial"/>
                <w:b/>
                <w:bCs/>
                <w:color w:val="000000"/>
                <w:lang w:eastAsia="en-GB"/>
              </w:rPr>
              <w:t>Reconciled as:</w:t>
            </w:r>
          </w:p>
        </w:tc>
        <w:tc>
          <w:tcPr>
            <w:tcW w:w="266" w:type="dxa"/>
            <w:tcBorders>
              <w:top w:val="nil"/>
              <w:left w:val="nil"/>
              <w:bottom w:val="nil"/>
              <w:right w:val="nil"/>
            </w:tcBorders>
            <w:shd w:val="clear" w:color="auto" w:fill="auto"/>
            <w:noWrap/>
            <w:vAlign w:val="bottom"/>
            <w:hideMark/>
          </w:tcPr>
          <w:p w14:paraId="0658CD6C" w14:textId="77777777" w:rsidR="0021298F" w:rsidRPr="00D71042" w:rsidRDefault="0021298F" w:rsidP="00760009">
            <w:pPr>
              <w:jc w:val="both"/>
              <w:rPr>
                <w:rFonts w:ascii="Arial" w:eastAsia="Times New Roman" w:hAnsi="Arial" w:cs="Arial"/>
                <w:b/>
                <w:bCs/>
                <w:color w:val="000000"/>
                <w:lang w:eastAsia="en-GB"/>
              </w:rPr>
            </w:pPr>
          </w:p>
        </w:tc>
        <w:tc>
          <w:tcPr>
            <w:tcW w:w="2395" w:type="dxa"/>
            <w:tcBorders>
              <w:top w:val="nil"/>
              <w:left w:val="nil"/>
              <w:bottom w:val="nil"/>
              <w:right w:val="nil"/>
            </w:tcBorders>
            <w:shd w:val="clear" w:color="000000" w:fill="EDFFB7"/>
            <w:vAlign w:val="center"/>
            <w:hideMark/>
          </w:tcPr>
          <w:p w14:paraId="17CD4AB4" w14:textId="77777777" w:rsidR="0021298F" w:rsidRPr="00D71042" w:rsidRDefault="0021298F" w:rsidP="00760009">
            <w:pPr>
              <w:jc w:val="right"/>
              <w:rPr>
                <w:rFonts w:ascii="Arial" w:eastAsia="Times New Roman" w:hAnsi="Arial" w:cs="Arial"/>
                <w:color w:val="000000"/>
                <w:lang w:eastAsia="en-GB"/>
              </w:rPr>
            </w:pPr>
            <w:r w:rsidRPr="00D71042">
              <w:rPr>
                <w:rFonts w:ascii="Arial" w:eastAsia="Times New Roman" w:hAnsi="Arial" w:cs="Arial"/>
                <w:color w:val="000000"/>
                <w:lang w:eastAsia="en-GB"/>
              </w:rPr>
              <w:t> </w:t>
            </w:r>
          </w:p>
        </w:tc>
        <w:tc>
          <w:tcPr>
            <w:tcW w:w="2268" w:type="dxa"/>
            <w:tcBorders>
              <w:top w:val="nil"/>
              <w:left w:val="nil"/>
              <w:bottom w:val="nil"/>
              <w:right w:val="nil"/>
            </w:tcBorders>
            <w:shd w:val="clear" w:color="000000" w:fill="FFFFFF"/>
            <w:vAlign w:val="center"/>
            <w:hideMark/>
          </w:tcPr>
          <w:p w14:paraId="39B7A426" w14:textId="77777777" w:rsidR="0021298F" w:rsidRPr="00D71042" w:rsidRDefault="0021298F" w:rsidP="00760009">
            <w:pPr>
              <w:jc w:val="right"/>
              <w:rPr>
                <w:rFonts w:ascii="Arial" w:eastAsia="Times New Roman" w:hAnsi="Arial" w:cs="Arial"/>
                <w:color w:val="000000"/>
                <w:lang w:eastAsia="en-GB"/>
              </w:rPr>
            </w:pPr>
            <w:r w:rsidRPr="00D71042">
              <w:rPr>
                <w:rFonts w:ascii="Arial" w:eastAsia="Times New Roman" w:hAnsi="Arial" w:cs="Arial"/>
                <w:color w:val="000000"/>
                <w:lang w:eastAsia="en-GB"/>
              </w:rPr>
              <w:t> </w:t>
            </w:r>
          </w:p>
        </w:tc>
      </w:tr>
      <w:tr w:rsidR="0021298F" w:rsidRPr="00D71042" w14:paraId="1F2F87CB" w14:textId="77777777" w:rsidTr="00760009">
        <w:trPr>
          <w:gridAfter w:val="1"/>
          <w:wAfter w:w="575" w:type="dxa"/>
          <w:trHeight w:val="169"/>
        </w:trPr>
        <w:tc>
          <w:tcPr>
            <w:tcW w:w="4710" w:type="dxa"/>
            <w:tcBorders>
              <w:top w:val="nil"/>
              <w:left w:val="nil"/>
              <w:bottom w:val="single" w:sz="4" w:space="0" w:color="auto"/>
              <w:right w:val="nil"/>
            </w:tcBorders>
            <w:shd w:val="clear" w:color="000000" w:fill="FFFFFF"/>
            <w:vAlign w:val="center"/>
            <w:hideMark/>
          </w:tcPr>
          <w:p w14:paraId="6F2D1820" w14:textId="77777777" w:rsidR="0021298F" w:rsidRPr="00D71042" w:rsidRDefault="0021298F" w:rsidP="00760009">
            <w:pPr>
              <w:jc w:val="both"/>
              <w:rPr>
                <w:rFonts w:ascii="Arial" w:eastAsia="Times New Roman" w:hAnsi="Arial" w:cs="Arial"/>
                <w:b/>
                <w:bCs/>
                <w:color w:val="000000"/>
                <w:lang w:eastAsia="en-GB"/>
              </w:rPr>
            </w:pPr>
            <w:r w:rsidRPr="00D71042">
              <w:rPr>
                <w:rFonts w:ascii="Arial" w:eastAsia="Times New Roman" w:hAnsi="Arial" w:cs="Arial"/>
                <w:b/>
                <w:bCs/>
                <w:color w:val="000000"/>
                <w:lang w:eastAsia="en-GB"/>
              </w:rPr>
              <w:t> </w:t>
            </w:r>
          </w:p>
        </w:tc>
        <w:tc>
          <w:tcPr>
            <w:tcW w:w="266" w:type="dxa"/>
            <w:tcBorders>
              <w:top w:val="nil"/>
              <w:left w:val="nil"/>
              <w:bottom w:val="single" w:sz="4" w:space="0" w:color="auto"/>
              <w:right w:val="nil"/>
            </w:tcBorders>
            <w:shd w:val="clear" w:color="auto" w:fill="auto"/>
            <w:noWrap/>
            <w:vAlign w:val="bottom"/>
            <w:hideMark/>
          </w:tcPr>
          <w:p w14:paraId="30036F86" w14:textId="77777777" w:rsidR="0021298F" w:rsidRPr="00D71042" w:rsidRDefault="0021298F" w:rsidP="00760009">
            <w:pPr>
              <w:rPr>
                <w:rFonts w:ascii="Calibri" w:eastAsia="Times New Roman" w:hAnsi="Calibri" w:cs="Calibri"/>
                <w:color w:val="000000"/>
                <w:lang w:eastAsia="en-GB"/>
              </w:rPr>
            </w:pPr>
            <w:r w:rsidRPr="00D71042">
              <w:rPr>
                <w:rFonts w:ascii="Calibri" w:eastAsia="Times New Roman" w:hAnsi="Calibri" w:cs="Calibri"/>
                <w:color w:val="000000"/>
                <w:lang w:eastAsia="en-GB"/>
              </w:rPr>
              <w:t> </w:t>
            </w:r>
          </w:p>
        </w:tc>
        <w:tc>
          <w:tcPr>
            <w:tcW w:w="2395" w:type="dxa"/>
            <w:tcBorders>
              <w:top w:val="nil"/>
              <w:left w:val="nil"/>
              <w:bottom w:val="single" w:sz="4" w:space="0" w:color="auto"/>
              <w:right w:val="nil"/>
            </w:tcBorders>
            <w:shd w:val="clear" w:color="000000" w:fill="EDFFB7"/>
            <w:vAlign w:val="center"/>
            <w:hideMark/>
          </w:tcPr>
          <w:p w14:paraId="0EDA30BD" w14:textId="77777777" w:rsidR="0021298F" w:rsidRPr="00D71042" w:rsidRDefault="0021298F" w:rsidP="00760009">
            <w:pPr>
              <w:jc w:val="right"/>
              <w:rPr>
                <w:rFonts w:ascii="Arial" w:eastAsia="Times New Roman" w:hAnsi="Arial" w:cs="Arial"/>
                <w:color w:val="000000"/>
                <w:lang w:eastAsia="en-GB"/>
              </w:rPr>
            </w:pPr>
            <w:r w:rsidRPr="00D71042">
              <w:rPr>
                <w:rFonts w:ascii="Arial" w:eastAsia="Times New Roman" w:hAnsi="Arial" w:cs="Arial"/>
                <w:color w:val="000000"/>
                <w:lang w:eastAsia="en-GB"/>
              </w:rPr>
              <w:t> </w:t>
            </w:r>
          </w:p>
        </w:tc>
        <w:tc>
          <w:tcPr>
            <w:tcW w:w="2268" w:type="dxa"/>
            <w:tcBorders>
              <w:top w:val="nil"/>
              <w:left w:val="nil"/>
              <w:bottom w:val="single" w:sz="4" w:space="0" w:color="auto"/>
              <w:right w:val="nil"/>
            </w:tcBorders>
            <w:shd w:val="clear" w:color="000000" w:fill="FFFFFF"/>
            <w:vAlign w:val="center"/>
            <w:hideMark/>
          </w:tcPr>
          <w:p w14:paraId="638C79F5" w14:textId="77777777" w:rsidR="0021298F" w:rsidRPr="00D71042" w:rsidRDefault="0021298F" w:rsidP="00760009">
            <w:pPr>
              <w:jc w:val="right"/>
              <w:rPr>
                <w:rFonts w:ascii="Arial" w:eastAsia="Times New Roman" w:hAnsi="Arial" w:cs="Arial"/>
                <w:color w:val="000000"/>
                <w:lang w:eastAsia="en-GB"/>
              </w:rPr>
            </w:pPr>
            <w:r w:rsidRPr="00D71042">
              <w:rPr>
                <w:rFonts w:ascii="Arial" w:eastAsia="Times New Roman" w:hAnsi="Arial" w:cs="Arial"/>
                <w:color w:val="000000"/>
                <w:lang w:eastAsia="en-GB"/>
              </w:rPr>
              <w:t> </w:t>
            </w:r>
          </w:p>
        </w:tc>
      </w:tr>
      <w:tr w:rsidR="0021298F" w:rsidRPr="00D71042" w14:paraId="3C1EB36F" w14:textId="77777777" w:rsidTr="00760009">
        <w:trPr>
          <w:gridAfter w:val="1"/>
          <w:wAfter w:w="575" w:type="dxa"/>
          <w:trHeight w:val="315"/>
        </w:trPr>
        <w:tc>
          <w:tcPr>
            <w:tcW w:w="4710" w:type="dxa"/>
            <w:tcBorders>
              <w:top w:val="nil"/>
              <w:left w:val="nil"/>
              <w:bottom w:val="single" w:sz="8" w:space="0" w:color="auto"/>
              <w:right w:val="nil"/>
            </w:tcBorders>
            <w:shd w:val="clear" w:color="000000" w:fill="FFFFFF"/>
            <w:vAlign w:val="center"/>
            <w:hideMark/>
          </w:tcPr>
          <w:p w14:paraId="7D793DC6" w14:textId="77777777" w:rsidR="0021298F" w:rsidRPr="00D71042" w:rsidRDefault="0021298F" w:rsidP="00760009">
            <w:pPr>
              <w:jc w:val="both"/>
              <w:rPr>
                <w:rFonts w:ascii="Arial" w:eastAsia="Times New Roman" w:hAnsi="Arial" w:cs="Arial"/>
                <w:b/>
                <w:bCs/>
                <w:color w:val="000000"/>
                <w:lang w:eastAsia="en-GB"/>
              </w:rPr>
            </w:pPr>
            <w:r w:rsidRPr="00D71042">
              <w:rPr>
                <w:rFonts w:ascii="Arial" w:eastAsia="Times New Roman" w:hAnsi="Arial" w:cs="Arial"/>
                <w:b/>
                <w:bCs/>
                <w:color w:val="000000"/>
                <w:lang w:eastAsia="en-GB"/>
              </w:rPr>
              <w:t>Current liabilities</w:t>
            </w:r>
          </w:p>
        </w:tc>
        <w:tc>
          <w:tcPr>
            <w:tcW w:w="266" w:type="dxa"/>
            <w:tcBorders>
              <w:top w:val="nil"/>
              <w:left w:val="nil"/>
              <w:bottom w:val="single" w:sz="8" w:space="0" w:color="auto"/>
              <w:right w:val="nil"/>
            </w:tcBorders>
            <w:shd w:val="clear" w:color="auto" w:fill="auto"/>
            <w:noWrap/>
            <w:vAlign w:val="bottom"/>
            <w:hideMark/>
          </w:tcPr>
          <w:p w14:paraId="2F43DCA0" w14:textId="77777777" w:rsidR="0021298F" w:rsidRPr="00D71042" w:rsidRDefault="0021298F" w:rsidP="00760009">
            <w:pPr>
              <w:rPr>
                <w:rFonts w:ascii="Calibri" w:eastAsia="Times New Roman" w:hAnsi="Calibri" w:cs="Calibri"/>
                <w:color w:val="000000"/>
                <w:lang w:eastAsia="en-GB"/>
              </w:rPr>
            </w:pPr>
            <w:r w:rsidRPr="00D71042">
              <w:rPr>
                <w:rFonts w:ascii="Calibri" w:eastAsia="Times New Roman" w:hAnsi="Calibri" w:cs="Calibri"/>
                <w:color w:val="000000"/>
                <w:lang w:eastAsia="en-GB"/>
              </w:rPr>
              <w:t> </w:t>
            </w:r>
          </w:p>
        </w:tc>
        <w:tc>
          <w:tcPr>
            <w:tcW w:w="2395" w:type="dxa"/>
            <w:tcBorders>
              <w:top w:val="nil"/>
              <w:left w:val="nil"/>
              <w:bottom w:val="single" w:sz="8" w:space="0" w:color="auto"/>
              <w:right w:val="nil"/>
            </w:tcBorders>
            <w:shd w:val="clear" w:color="000000" w:fill="EDFFB7"/>
            <w:vAlign w:val="center"/>
            <w:hideMark/>
          </w:tcPr>
          <w:p w14:paraId="5973BE2A" w14:textId="77777777" w:rsidR="0021298F" w:rsidRPr="00D71042" w:rsidRDefault="0021298F" w:rsidP="00760009">
            <w:pPr>
              <w:jc w:val="right"/>
              <w:rPr>
                <w:rFonts w:ascii="Arial" w:eastAsia="Times New Roman" w:hAnsi="Arial" w:cs="Arial"/>
                <w:color w:val="000000"/>
                <w:lang w:eastAsia="en-GB"/>
              </w:rPr>
            </w:pPr>
            <w:r w:rsidRPr="00D71042">
              <w:rPr>
                <w:rFonts w:ascii="Arial" w:eastAsia="Times New Roman" w:hAnsi="Arial" w:cs="Arial"/>
                <w:color w:val="000000"/>
                <w:lang w:eastAsia="en-GB"/>
              </w:rPr>
              <w:t xml:space="preserve">-   </w:t>
            </w:r>
          </w:p>
        </w:tc>
        <w:tc>
          <w:tcPr>
            <w:tcW w:w="2268" w:type="dxa"/>
            <w:tcBorders>
              <w:top w:val="nil"/>
              <w:left w:val="nil"/>
              <w:bottom w:val="single" w:sz="8" w:space="0" w:color="auto"/>
              <w:right w:val="nil"/>
            </w:tcBorders>
            <w:shd w:val="clear" w:color="000000" w:fill="FFFFFF"/>
            <w:vAlign w:val="center"/>
            <w:hideMark/>
          </w:tcPr>
          <w:p w14:paraId="48533B82" w14:textId="77777777" w:rsidR="0021298F" w:rsidRPr="00D71042" w:rsidRDefault="0021298F" w:rsidP="00760009">
            <w:pPr>
              <w:jc w:val="right"/>
              <w:rPr>
                <w:rFonts w:ascii="Arial" w:eastAsia="Times New Roman" w:hAnsi="Arial" w:cs="Arial"/>
                <w:color w:val="000000"/>
                <w:lang w:eastAsia="en-GB"/>
              </w:rPr>
            </w:pPr>
            <w:r w:rsidRPr="00D71042">
              <w:rPr>
                <w:rFonts w:ascii="Arial" w:eastAsia="Times New Roman" w:hAnsi="Arial" w:cs="Arial"/>
                <w:color w:val="000000"/>
                <w:lang w:eastAsia="en-GB"/>
              </w:rPr>
              <w:t xml:space="preserve">206,000 </w:t>
            </w:r>
          </w:p>
        </w:tc>
      </w:tr>
      <w:tr w:rsidR="0021298F" w:rsidRPr="00D71042" w14:paraId="6B6BBBB9" w14:textId="77777777" w:rsidTr="00760009">
        <w:trPr>
          <w:gridAfter w:val="1"/>
          <w:wAfter w:w="575" w:type="dxa"/>
          <w:trHeight w:val="300"/>
        </w:trPr>
        <w:tc>
          <w:tcPr>
            <w:tcW w:w="4710" w:type="dxa"/>
            <w:tcBorders>
              <w:top w:val="nil"/>
              <w:left w:val="nil"/>
              <w:bottom w:val="single" w:sz="4" w:space="0" w:color="auto"/>
              <w:right w:val="nil"/>
            </w:tcBorders>
            <w:shd w:val="clear" w:color="000000" w:fill="FFFFFF"/>
            <w:vAlign w:val="center"/>
            <w:hideMark/>
          </w:tcPr>
          <w:p w14:paraId="00D66E90" w14:textId="77777777" w:rsidR="0021298F" w:rsidRPr="00D71042" w:rsidRDefault="0021298F" w:rsidP="00760009">
            <w:pPr>
              <w:jc w:val="both"/>
              <w:rPr>
                <w:rFonts w:ascii="Arial" w:eastAsia="Times New Roman" w:hAnsi="Arial" w:cs="Arial"/>
                <w:b/>
                <w:bCs/>
                <w:color w:val="000000"/>
                <w:lang w:eastAsia="en-GB"/>
              </w:rPr>
            </w:pPr>
          </w:p>
        </w:tc>
        <w:tc>
          <w:tcPr>
            <w:tcW w:w="266" w:type="dxa"/>
            <w:tcBorders>
              <w:top w:val="nil"/>
              <w:left w:val="nil"/>
              <w:bottom w:val="single" w:sz="4" w:space="0" w:color="auto"/>
              <w:right w:val="nil"/>
            </w:tcBorders>
            <w:shd w:val="clear" w:color="auto" w:fill="auto"/>
            <w:noWrap/>
            <w:vAlign w:val="bottom"/>
            <w:hideMark/>
          </w:tcPr>
          <w:p w14:paraId="3D5C377F" w14:textId="77777777" w:rsidR="0021298F" w:rsidRPr="00D71042" w:rsidRDefault="0021298F" w:rsidP="00760009">
            <w:pPr>
              <w:rPr>
                <w:rFonts w:ascii="Calibri" w:eastAsia="Times New Roman" w:hAnsi="Calibri" w:cs="Calibri"/>
                <w:color w:val="000000"/>
                <w:lang w:eastAsia="en-GB"/>
              </w:rPr>
            </w:pPr>
            <w:r w:rsidRPr="00D71042">
              <w:rPr>
                <w:rFonts w:ascii="Calibri" w:eastAsia="Times New Roman" w:hAnsi="Calibri" w:cs="Calibri"/>
                <w:color w:val="000000"/>
                <w:lang w:eastAsia="en-GB"/>
              </w:rPr>
              <w:t> </w:t>
            </w:r>
          </w:p>
        </w:tc>
        <w:tc>
          <w:tcPr>
            <w:tcW w:w="2395" w:type="dxa"/>
            <w:tcBorders>
              <w:top w:val="nil"/>
              <w:left w:val="nil"/>
              <w:bottom w:val="single" w:sz="4" w:space="0" w:color="auto"/>
              <w:right w:val="nil"/>
            </w:tcBorders>
            <w:shd w:val="clear" w:color="000000" w:fill="EDFFB7"/>
            <w:vAlign w:val="center"/>
            <w:hideMark/>
          </w:tcPr>
          <w:p w14:paraId="15C9CAEC" w14:textId="77777777" w:rsidR="0021298F" w:rsidRPr="00D71042" w:rsidRDefault="0021298F" w:rsidP="00760009">
            <w:pPr>
              <w:jc w:val="right"/>
              <w:rPr>
                <w:rFonts w:ascii="Arial" w:eastAsia="Times New Roman" w:hAnsi="Arial" w:cs="Arial"/>
                <w:color w:val="000000"/>
                <w:lang w:eastAsia="en-GB"/>
              </w:rPr>
            </w:pPr>
            <w:r w:rsidRPr="00D71042">
              <w:rPr>
                <w:rFonts w:ascii="Arial" w:eastAsia="Times New Roman" w:hAnsi="Arial" w:cs="Arial"/>
                <w:color w:val="000000"/>
                <w:lang w:eastAsia="en-GB"/>
              </w:rPr>
              <w:t> </w:t>
            </w:r>
          </w:p>
        </w:tc>
        <w:tc>
          <w:tcPr>
            <w:tcW w:w="2268" w:type="dxa"/>
            <w:tcBorders>
              <w:top w:val="nil"/>
              <w:left w:val="nil"/>
              <w:bottom w:val="single" w:sz="4" w:space="0" w:color="auto"/>
              <w:right w:val="nil"/>
            </w:tcBorders>
            <w:shd w:val="clear" w:color="000000" w:fill="FFFFFF"/>
            <w:vAlign w:val="center"/>
            <w:hideMark/>
          </w:tcPr>
          <w:p w14:paraId="797A7F1F" w14:textId="77777777" w:rsidR="0021298F" w:rsidRPr="00D71042" w:rsidRDefault="0021298F" w:rsidP="00760009">
            <w:pPr>
              <w:jc w:val="right"/>
              <w:rPr>
                <w:rFonts w:ascii="Arial" w:eastAsia="Times New Roman" w:hAnsi="Arial" w:cs="Arial"/>
                <w:color w:val="000000"/>
                <w:lang w:eastAsia="en-GB"/>
              </w:rPr>
            </w:pPr>
            <w:r w:rsidRPr="00D71042">
              <w:rPr>
                <w:rFonts w:ascii="Arial" w:eastAsia="Times New Roman" w:hAnsi="Arial" w:cs="Arial"/>
                <w:color w:val="000000"/>
                <w:lang w:eastAsia="en-GB"/>
              </w:rPr>
              <w:t> </w:t>
            </w:r>
          </w:p>
        </w:tc>
      </w:tr>
      <w:tr w:rsidR="0021298F" w:rsidRPr="00D71042" w14:paraId="6542A8A6" w14:textId="77777777" w:rsidTr="00760009">
        <w:trPr>
          <w:gridAfter w:val="1"/>
          <w:wAfter w:w="575" w:type="dxa"/>
          <w:trHeight w:val="315"/>
        </w:trPr>
        <w:tc>
          <w:tcPr>
            <w:tcW w:w="4710" w:type="dxa"/>
            <w:tcBorders>
              <w:top w:val="nil"/>
              <w:left w:val="nil"/>
              <w:bottom w:val="single" w:sz="8" w:space="0" w:color="auto"/>
              <w:right w:val="nil"/>
            </w:tcBorders>
            <w:shd w:val="clear" w:color="000000" w:fill="FFFFFF"/>
            <w:vAlign w:val="center"/>
            <w:hideMark/>
          </w:tcPr>
          <w:p w14:paraId="1F0DA4F7" w14:textId="77777777" w:rsidR="0021298F" w:rsidRPr="00D71042" w:rsidRDefault="0021298F" w:rsidP="00760009">
            <w:pPr>
              <w:jc w:val="both"/>
              <w:rPr>
                <w:rFonts w:ascii="Arial" w:eastAsia="Times New Roman" w:hAnsi="Arial" w:cs="Arial"/>
                <w:b/>
                <w:bCs/>
                <w:color w:val="000000"/>
                <w:lang w:eastAsia="en-GB"/>
              </w:rPr>
            </w:pPr>
            <w:r w:rsidRPr="00D71042">
              <w:rPr>
                <w:rFonts w:ascii="Arial" w:eastAsia="Times New Roman" w:hAnsi="Arial" w:cs="Arial"/>
                <w:b/>
                <w:bCs/>
                <w:color w:val="000000"/>
                <w:lang w:eastAsia="en-GB"/>
              </w:rPr>
              <w:t>Non-current liabilities</w:t>
            </w:r>
          </w:p>
        </w:tc>
        <w:tc>
          <w:tcPr>
            <w:tcW w:w="266" w:type="dxa"/>
            <w:tcBorders>
              <w:top w:val="nil"/>
              <w:left w:val="nil"/>
              <w:bottom w:val="single" w:sz="8" w:space="0" w:color="auto"/>
              <w:right w:val="nil"/>
            </w:tcBorders>
            <w:shd w:val="clear" w:color="auto" w:fill="auto"/>
            <w:noWrap/>
            <w:vAlign w:val="bottom"/>
            <w:hideMark/>
          </w:tcPr>
          <w:p w14:paraId="697E5BD7" w14:textId="77777777" w:rsidR="0021298F" w:rsidRPr="00D71042" w:rsidRDefault="0021298F" w:rsidP="00760009">
            <w:pPr>
              <w:rPr>
                <w:rFonts w:ascii="Calibri" w:eastAsia="Times New Roman" w:hAnsi="Calibri" w:cs="Calibri"/>
                <w:color w:val="000000"/>
                <w:lang w:eastAsia="en-GB"/>
              </w:rPr>
            </w:pPr>
            <w:r w:rsidRPr="00D71042">
              <w:rPr>
                <w:rFonts w:ascii="Calibri" w:eastAsia="Times New Roman" w:hAnsi="Calibri" w:cs="Calibri"/>
                <w:color w:val="000000"/>
                <w:lang w:eastAsia="en-GB"/>
              </w:rPr>
              <w:t> </w:t>
            </w:r>
          </w:p>
        </w:tc>
        <w:tc>
          <w:tcPr>
            <w:tcW w:w="2395" w:type="dxa"/>
            <w:tcBorders>
              <w:top w:val="nil"/>
              <w:left w:val="nil"/>
              <w:bottom w:val="single" w:sz="8" w:space="0" w:color="auto"/>
              <w:right w:val="nil"/>
            </w:tcBorders>
            <w:shd w:val="clear" w:color="000000" w:fill="EDFFB7"/>
            <w:vAlign w:val="center"/>
            <w:hideMark/>
          </w:tcPr>
          <w:p w14:paraId="2F962537" w14:textId="77777777" w:rsidR="0021298F" w:rsidRPr="00D71042" w:rsidRDefault="0021298F" w:rsidP="00760009">
            <w:pPr>
              <w:jc w:val="right"/>
              <w:rPr>
                <w:rFonts w:ascii="Arial" w:eastAsia="Times New Roman" w:hAnsi="Arial" w:cs="Arial"/>
                <w:color w:val="000000"/>
                <w:lang w:eastAsia="en-GB"/>
              </w:rPr>
            </w:pPr>
            <w:r w:rsidRPr="00D71042">
              <w:rPr>
                <w:rFonts w:ascii="Arial" w:eastAsia="Times New Roman" w:hAnsi="Arial" w:cs="Arial"/>
                <w:color w:val="000000"/>
                <w:lang w:eastAsia="en-GB"/>
              </w:rPr>
              <w:t xml:space="preserve">210,808 </w:t>
            </w:r>
          </w:p>
        </w:tc>
        <w:tc>
          <w:tcPr>
            <w:tcW w:w="2268" w:type="dxa"/>
            <w:tcBorders>
              <w:top w:val="nil"/>
              <w:left w:val="nil"/>
              <w:bottom w:val="single" w:sz="8" w:space="0" w:color="auto"/>
              <w:right w:val="nil"/>
            </w:tcBorders>
            <w:shd w:val="clear" w:color="000000" w:fill="FFFFFF"/>
            <w:vAlign w:val="center"/>
            <w:hideMark/>
          </w:tcPr>
          <w:p w14:paraId="2E1E8E37" w14:textId="77777777" w:rsidR="0021298F" w:rsidRPr="00D71042" w:rsidRDefault="0021298F" w:rsidP="00760009">
            <w:pPr>
              <w:jc w:val="right"/>
              <w:rPr>
                <w:rFonts w:ascii="Arial" w:eastAsia="Times New Roman" w:hAnsi="Arial" w:cs="Arial"/>
                <w:color w:val="000000"/>
                <w:lang w:eastAsia="en-GB"/>
              </w:rPr>
            </w:pPr>
            <w:r w:rsidRPr="00D71042">
              <w:rPr>
                <w:rFonts w:ascii="Arial" w:eastAsia="Times New Roman" w:hAnsi="Arial" w:cs="Arial"/>
                <w:color w:val="000000"/>
                <w:lang w:eastAsia="en-GB"/>
              </w:rPr>
              <w:t xml:space="preserve"> - </w:t>
            </w:r>
          </w:p>
        </w:tc>
      </w:tr>
    </w:tbl>
    <w:p w14:paraId="494CCBE2" w14:textId="77777777" w:rsidR="0021298F" w:rsidRDefault="0021298F" w:rsidP="0021298F">
      <w:pPr>
        <w:pStyle w:val="Heading2"/>
        <w:keepNext w:val="0"/>
        <w:keepLines w:val="0"/>
        <w:tabs>
          <w:tab w:val="left" w:pos="426"/>
        </w:tabs>
        <w:spacing w:before="0" w:line="240" w:lineRule="auto"/>
        <w:ind w:left="66"/>
        <w:jc w:val="both"/>
        <w:rPr>
          <w:rFonts w:ascii="Arial" w:hAnsi="Arial" w:cs="Arial"/>
          <w:color w:val="auto"/>
          <w:sz w:val="24"/>
          <w:szCs w:val="22"/>
          <w:lang w:eastAsia="en-GB"/>
        </w:rPr>
      </w:pPr>
    </w:p>
    <w:tbl>
      <w:tblPr>
        <w:tblW w:w="9060" w:type="dxa"/>
        <w:tblLook w:val="04A0" w:firstRow="1" w:lastRow="0" w:firstColumn="1" w:lastColumn="0" w:noHBand="0" w:noVBand="1"/>
      </w:tblPr>
      <w:tblGrid>
        <w:gridCol w:w="4711"/>
        <w:gridCol w:w="283"/>
        <w:gridCol w:w="2033"/>
        <w:gridCol w:w="2033"/>
      </w:tblGrid>
      <w:tr w:rsidR="0021298F" w:rsidRPr="00A90CEE" w14:paraId="3612D719" w14:textId="77777777" w:rsidTr="00760009">
        <w:trPr>
          <w:trHeight w:val="300"/>
        </w:trPr>
        <w:tc>
          <w:tcPr>
            <w:tcW w:w="4710" w:type="dxa"/>
            <w:tcBorders>
              <w:top w:val="nil"/>
              <w:left w:val="nil"/>
              <w:bottom w:val="nil"/>
              <w:right w:val="nil"/>
            </w:tcBorders>
            <w:shd w:val="clear" w:color="000000" w:fill="FFFFFF"/>
            <w:vAlign w:val="center"/>
            <w:hideMark/>
          </w:tcPr>
          <w:p w14:paraId="2236864E" w14:textId="77777777" w:rsidR="0021298F" w:rsidRPr="00A90CEE" w:rsidRDefault="0021298F" w:rsidP="00760009">
            <w:pPr>
              <w:jc w:val="both"/>
              <w:rPr>
                <w:rFonts w:ascii="Arial" w:eastAsia="Times New Roman" w:hAnsi="Arial" w:cs="Arial"/>
                <w:b/>
                <w:bCs/>
                <w:color w:val="000000"/>
                <w:lang w:eastAsia="en-GB"/>
              </w:rPr>
            </w:pPr>
            <w:r w:rsidRPr="00A90CEE">
              <w:rPr>
                <w:rFonts w:ascii="Arial" w:eastAsia="Times New Roman" w:hAnsi="Arial" w:cs="Arial"/>
                <w:b/>
                <w:bCs/>
                <w:color w:val="000000"/>
                <w:lang w:eastAsia="en-GB"/>
              </w:rPr>
              <w:t> </w:t>
            </w:r>
          </w:p>
        </w:tc>
        <w:tc>
          <w:tcPr>
            <w:tcW w:w="278" w:type="dxa"/>
            <w:tcBorders>
              <w:top w:val="nil"/>
              <w:left w:val="nil"/>
              <w:bottom w:val="nil"/>
              <w:right w:val="nil"/>
            </w:tcBorders>
            <w:shd w:val="clear" w:color="auto" w:fill="auto"/>
            <w:noWrap/>
            <w:vAlign w:val="bottom"/>
            <w:hideMark/>
          </w:tcPr>
          <w:p w14:paraId="20CB12B7" w14:textId="77777777" w:rsidR="0021298F" w:rsidRPr="00A90CEE" w:rsidRDefault="0021298F" w:rsidP="00760009">
            <w:pPr>
              <w:jc w:val="both"/>
              <w:rPr>
                <w:rFonts w:ascii="Arial" w:eastAsia="Times New Roman" w:hAnsi="Arial" w:cs="Arial"/>
                <w:b/>
                <w:bCs/>
                <w:color w:val="000000"/>
                <w:lang w:eastAsia="en-GB"/>
              </w:rPr>
            </w:pPr>
          </w:p>
        </w:tc>
        <w:tc>
          <w:tcPr>
            <w:tcW w:w="2036" w:type="dxa"/>
            <w:tcBorders>
              <w:top w:val="nil"/>
              <w:left w:val="nil"/>
              <w:bottom w:val="nil"/>
              <w:right w:val="nil"/>
            </w:tcBorders>
            <w:shd w:val="clear" w:color="000000" w:fill="FFFFFF"/>
            <w:vAlign w:val="center"/>
            <w:hideMark/>
          </w:tcPr>
          <w:p w14:paraId="2999A8AF" w14:textId="77777777" w:rsidR="0021298F" w:rsidRPr="00A90CEE" w:rsidRDefault="0021298F" w:rsidP="00760009">
            <w:pPr>
              <w:jc w:val="right"/>
              <w:rPr>
                <w:rFonts w:ascii="Arial" w:eastAsia="Times New Roman" w:hAnsi="Arial" w:cs="Arial"/>
                <w:b/>
                <w:bCs/>
                <w:color w:val="000000"/>
                <w:lang w:eastAsia="en-GB"/>
              </w:rPr>
            </w:pPr>
            <w:r>
              <w:rPr>
                <w:rFonts w:ascii="Arial" w:eastAsia="Times New Roman" w:hAnsi="Arial" w:cs="Arial"/>
                <w:b/>
                <w:bCs/>
                <w:color w:val="000000"/>
                <w:lang w:eastAsia="en-GB"/>
              </w:rPr>
              <w:t xml:space="preserve">For the year ended </w:t>
            </w:r>
            <w:r w:rsidRPr="00A90CEE">
              <w:rPr>
                <w:rFonts w:ascii="Arial" w:eastAsia="Times New Roman" w:hAnsi="Arial" w:cs="Arial"/>
                <w:b/>
                <w:bCs/>
                <w:color w:val="000000"/>
                <w:lang w:eastAsia="en-GB"/>
              </w:rPr>
              <w:t>31 December 2020</w:t>
            </w:r>
          </w:p>
        </w:tc>
        <w:tc>
          <w:tcPr>
            <w:tcW w:w="2036" w:type="dxa"/>
            <w:tcBorders>
              <w:top w:val="nil"/>
              <w:left w:val="nil"/>
              <w:bottom w:val="nil"/>
              <w:right w:val="nil"/>
            </w:tcBorders>
            <w:shd w:val="clear" w:color="000000" w:fill="FFFFFF"/>
            <w:vAlign w:val="center"/>
            <w:hideMark/>
          </w:tcPr>
          <w:p w14:paraId="06E90FE1" w14:textId="77777777" w:rsidR="0021298F" w:rsidRPr="00A90CEE" w:rsidRDefault="0021298F" w:rsidP="00760009">
            <w:pPr>
              <w:jc w:val="right"/>
              <w:rPr>
                <w:rFonts w:ascii="Arial" w:eastAsia="Times New Roman" w:hAnsi="Arial" w:cs="Arial"/>
                <w:b/>
                <w:bCs/>
                <w:color w:val="000000"/>
                <w:lang w:eastAsia="en-GB"/>
              </w:rPr>
            </w:pPr>
            <w:r>
              <w:rPr>
                <w:rFonts w:ascii="Arial" w:eastAsia="Times New Roman" w:hAnsi="Arial" w:cs="Arial"/>
                <w:b/>
                <w:bCs/>
                <w:color w:val="000000"/>
                <w:lang w:eastAsia="en-GB"/>
              </w:rPr>
              <w:t xml:space="preserve">For the year ended </w:t>
            </w:r>
            <w:r w:rsidRPr="00A90CEE">
              <w:rPr>
                <w:rFonts w:ascii="Arial" w:eastAsia="Times New Roman" w:hAnsi="Arial" w:cs="Arial"/>
                <w:b/>
                <w:bCs/>
                <w:color w:val="000000"/>
                <w:lang w:eastAsia="en-GB"/>
              </w:rPr>
              <w:t>31 December 2019</w:t>
            </w:r>
          </w:p>
        </w:tc>
      </w:tr>
      <w:tr w:rsidR="0021298F" w:rsidRPr="00A90CEE" w14:paraId="6A733DCF" w14:textId="77777777" w:rsidTr="00760009">
        <w:trPr>
          <w:trHeight w:val="300"/>
        </w:trPr>
        <w:tc>
          <w:tcPr>
            <w:tcW w:w="4710" w:type="dxa"/>
            <w:tcBorders>
              <w:top w:val="nil"/>
              <w:left w:val="nil"/>
              <w:bottom w:val="single" w:sz="4" w:space="0" w:color="auto"/>
              <w:right w:val="nil"/>
            </w:tcBorders>
            <w:shd w:val="clear" w:color="000000" w:fill="FFFFFF"/>
            <w:vAlign w:val="center"/>
            <w:hideMark/>
          </w:tcPr>
          <w:p w14:paraId="0BD2A1F1" w14:textId="77777777" w:rsidR="0021298F" w:rsidRPr="00A90CEE" w:rsidRDefault="0021298F" w:rsidP="00760009">
            <w:pPr>
              <w:jc w:val="both"/>
              <w:rPr>
                <w:rFonts w:ascii="Arial" w:eastAsia="Times New Roman" w:hAnsi="Arial" w:cs="Arial"/>
                <w:b/>
                <w:bCs/>
                <w:color w:val="000000"/>
                <w:lang w:eastAsia="en-GB"/>
              </w:rPr>
            </w:pPr>
          </w:p>
        </w:tc>
        <w:tc>
          <w:tcPr>
            <w:tcW w:w="278" w:type="dxa"/>
            <w:tcBorders>
              <w:top w:val="nil"/>
              <w:left w:val="nil"/>
              <w:bottom w:val="single" w:sz="4" w:space="0" w:color="auto"/>
              <w:right w:val="nil"/>
            </w:tcBorders>
            <w:shd w:val="clear" w:color="000000" w:fill="FFFFFF"/>
            <w:vAlign w:val="center"/>
            <w:hideMark/>
          </w:tcPr>
          <w:p w14:paraId="2A9B5572" w14:textId="77777777" w:rsidR="0021298F" w:rsidRPr="00A90CEE" w:rsidRDefault="0021298F" w:rsidP="00760009">
            <w:pPr>
              <w:jc w:val="right"/>
              <w:rPr>
                <w:rFonts w:ascii="Arial" w:eastAsia="Times New Roman" w:hAnsi="Arial" w:cs="Arial"/>
                <w:b/>
                <w:bCs/>
                <w:color w:val="000000"/>
                <w:lang w:eastAsia="en-GB"/>
              </w:rPr>
            </w:pPr>
            <w:r w:rsidRPr="00A90CEE">
              <w:rPr>
                <w:rFonts w:ascii="Arial" w:eastAsia="Times New Roman" w:hAnsi="Arial" w:cs="Arial"/>
                <w:b/>
                <w:bCs/>
                <w:color w:val="000000"/>
                <w:lang w:eastAsia="en-GB"/>
              </w:rPr>
              <w:t> </w:t>
            </w:r>
          </w:p>
        </w:tc>
        <w:tc>
          <w:tcPr>
            <w:tcW w:w="2036" w:type="dxa"/>
            <w:tcBorders>
              <w:top w:val="nil"/>
              <w:left w:val="nil"/>
              <w:bottom w:val="single" w:sz="4" w:space="0" w:color="auto"/>
              <w:right w:val="nil"/>
            </w:tcBorders>
            <w:shd w:val="clear" w:color="000000" w:fill="FFFFFF"/>
            <w:vAlign w:val="center"/>
            <w:hideMark/>
          </w:tcPr>
          <w:p w14:paraId="2429C76A" w14:textId="77777777" w:rsidR="0021298F" w:rsidRPr="00A90CEE" w:rsidRDefault="0021298F" w:rsidP="00760009">
            <w:pPr>
              <w:jc w:val="right"/>
              <w:rPr>
                <w:rFonts w:ascii="Arial" w:eastAsia="Times New Roman" w:hAnsi="Arial" w:cs="Arial"/>
                <w:b/>
                <w:bCs/>
                <w:color w:val="000000"/>
                <w:lang w:eastAsia="en-GB"/>
              </w:rPr>
            </w:pPr>
            <w:r w:rsidRPr="00A90CEE">
              <w:rPr>
                <w:rFonts w:ascii="Arial" w:eastAsia="Times New Roman" w:hAnsi="Arial" w:cs="Arial"/>
                <w:b/>
                <w:bCs/>
                <w:color w:val="000000"/>
                <w:lang w:eastAsia="en-GB"/>
              </w:rPr>
              <w:t>€’000</w:t>
            </w:r>
          </w:p>
        </w:tc>
        <w:tc>
          <w:tcPr>
            <w:tcW w:w="2036" w:type="dxa"/>
            <w:tcBorders>
              <w:top w:val="nil"/>
              <w:left w:val="nil"/>
              <w:bottom w:val="single" w:sz="4" w:space="0" w:color="auto"/>
              <w:right w:val="nil"/>
            </w:tcBorders>
            <w:shd w:val="clear" w:color="000000" w:fill="FFFFFF"/>
            <w:vAlign w:val="center"/>
            <w:hideMark/>
          </w:tcPr>
          <w:p w14:paraId="71D3EE8B" w14:textId="77777777" w:rsidR="0021298F" w:rsidRPr="00A90CEE" w:rsidRDefault="0021298F" w:rsidP="00760009">
            <w:pPr>
              <w:jc w:val="right"/>
              <w:rPr>
                <w:rFonts w:ascii="Arial" w:eastAsia="Times New Roman" w:hAnsi="Arial" w:cs="Arial"/>
                <w:b/>
                <w:bCs/>
                <w:color w:val="000000"/>
                <w:lang w:eastAsia="en-GB"/>
              </w:rPr>
            </w:pPr>
            <w:r w:rsidRPr="00A90CEE">
              <w:rPr>
                <w:rFonts w:ascii="Arial" w:eastAsia="Times New Roman" w:hAnsi="Arial" w:cs="Arial"/>
                <w:b/>
                <w:bCs/>
                <w:color w:val="000000"/>
                <w:lang w:eastAsia="en-GB"/>
              </w:rPr>
              <w:t>€’000</w:t>
            </w:r>
          </w:p>
        </w:tc>
      </w:tr>
      <w:tr w:rsidR="0021298F" w:rsidRPr="00A90CEE" w14:paraId="2F89742F" w14:textId="77777777" w:rsidTr="00760009">
        <w:trPr>
          <w:trHeight w:val="300"/>
        </w:trPr>
        <w:tc>
          <w:tcPr>
            <w:tcW w:w="4710" w:type="dxa"/>
            <w:tcBorders>
              <w:top w:val="nil"/>
              <w:left w:val="nil"/>
              <w:bottom w:val="nil"/>
              <w:right w:val="nil"/>
            </w:tcBorders>
            <w:shd w:val="clear" w:color="000000" w:fill="FFFFFF"/>
            <w:vAlign w:val="center"/>
            <w:hideMark/>
          </w:tcPr>
          <w:p w14:paraId="62171D04" w14:textId="77777777" w:rsidR="0021298F" w:rsidRPr="00A90CEE" w:rsidRDefault="0021298F" w:rsidP="00760009">
            <w:pPr>
              <w:jc w:val="both"/>
              <w:rPr>
                <w:rFonts w:ascii="Arial" w:eastAsia="Times New Roman" w:hAnsi="Arial" w:cs="Arial"/>
                <w:color w:val="000000"/>
                <w:lang w:eastAsia="en-GB"/>
              </w:rPr>
            </w:pPr>
            <w:r>
              <w:rPr>
                <w:rFonts w:ascii="Arial" w:eastAsia="Times New Roman" w:hAnsi="Arial" w:cs="Arial"/>
                <w:color w:val="000000"/>
                <w:lang w:eastAsia="en-GB"/>
              </w:rPr>
              <w:t>Loan interest</w:t>
            </w:r>
            <w:r w:rsidRPr="00A90CEE">
              <w:rPr>
                <w:rFonts w:ascii="Arial" w:eastAsia="Times New Roman" w:hAnsi="Arial" w:cs="Arial"/>
                <w:color w:val="000000"/>
                <w:lang w:eastAsia="en-GB"/>
              </w:rPr>
              <w:t xml:space="preserve"> </w:t>
            </w:r>
          </w:p>
        </w:tc>
        <w:tc>
          <w:tcPr>
            <w:tcW w:w="278" w:type="dxa"/>
            <w:tcBorders>
              <w:top w:val="nil"/>
              <w:left w:val="nil"/>
              <w:bottom w:val="nil"/>
              <w:right w:val="nil"/>
            </w:tcBorders>
            <w:shd w:val="clear" w:color="000000" w:fill="EDFFB7"/>
            <w:vAlign w:val="center"/>
            <w:hideMark/>
          </w:tcPr>
          <w:p w14:paraId="2BC11518" w14:textId="77777777" w:rsidR="0021298F" w:rsidRPr="00A90CEE" w:rsidRDefault="0021298F" w:rsidP="00760009">
            <w:pPr>
              <w:jc w:val="right"/>
              <w:rPr>
                <w:rFonts w:ascii="Arial" w:eastAsia="Times New Roman" w:hAnsi="Arial" w:cs="Arial"/>
                <w:b/>
                <w:bCs/>
                <w:color w:val="000000"/>
                <w:lang w:eastAsia="en-GB"/>
              </w:rPr>
            </w:pPr>
            <w:r w:rsidRPr="00A90CEE">
              <w:rPr>
                <w:rFonts w:ascii="Arial" w:eastAsia="Times New Roman" w:hAnsi="Arial" w:cs="Arial"/>
                <w:b/>
                <w:bCs/>
                <w:color w:val="000000"/>
                <w:lang w:eastAsia="en-GB"/>
              </w:rPr>
              <w:t> </w:t>
            </w:r>
          </w:p>
        </w:tc>
        <w:tc>
          <w:tcPr>
            <w:tcW w:w="2036" w:type="dxa"/>
            <w:tcBorders>
              <w:top w:val="nil"/>
              <w:left w:val="nil"/>
              <w:bottom w:val="nil"/>
              <w:right w:val="nil"/>
            </w:tcBorders>
            <w:shd w:val="clear" w:color="000000" w:fill="EDFFB7"/>
            <w:vAlign w:val="center"/>
            <w:hideMark/>
          </w:tcPr>
          <w:p w14:paraId="2953101D" w14:textId="77777777" w:rsidR="0021298F" w:rsidRPr="00A90CEE" w:rsidRDefault="0021298F" w:rsidP="00760009">
            <w:pPr>
              <w:jc w:val="right"/>
              <w:rPr>
                <w:rFonts w:ascii="Arial" w:eastAsia="Times New Roman" w:hAnsi="Arial" w:cs="Arial"/>
                <w:b/>
                <w:bCs/>
                <w:color w:val="000000"/>
                <w:lang w:eastAsia="en-GB"/>
              </w:rPr>
            </w:pPr>
            <w:r>
              <w:rPr>
                <w:rFonts w:ascii="Arial" w:eastAsia="Times New Roman" w:hAnsi="Arial" w:cs="Arial"/>
                <w:b/>
                <w:bCs/>
                <w:color w:val="000000"/>
                <w:lang w:eastAsia="en-GB"/>
              </w:rPr>
              <w:t>2,900</w:t>
            </w:r>
          </w:p>
        </w:tc>
        <w:tc>
          <w:tcPr>
            <w:tcW w:w="2036" w:type="dxa"/>
            <w:tcBorders>
              <w:top w:val="nil"/>
              <w:left w:val="nil"/>
              <w:bottom w:val="nil"/>
              <w:right w:val="nil"/>
            </w:tcBorders>
            <w:shd w:val="clear" w:color="000000" w:fill="FFFFFF"/>
            <w:vAlign w:val="center"/>
            <w:hideMark/>
          </w:tcPr>
          <w:p w14:paraId="729DEC91" w14:textId="77777777" w:rsidR="0021298F" w:rsidRPr="00A90CEE" w:rsidRDefault="0021298F" w:rsidP="00760009">
            <w:pPr>
              <w:jc w:val="right"/>
              <w:rPr>
                <w:rFonts w:ascii="Arial" w:eastAsia="Times New Roman" w:hAnsi="Arial" w:cs="Arial"/>
                <w:color w:val="000000"/>
                <w:lang w:eastAsia="en-GB"/>
              </w:rPr>
            </w:pPr>
            <w:r>
              <w:rPr>
                <w:rFonts w:ascii="Arial" w:eastAsia="Times New Roman" w:hAnsi="Arial" w:cs="Arial"/>
                <w:color w:val="000000"/>
                <w:lang w:eastAsia="en-GB"/>
              </w:rPr>
              <w:t>5,266</w:t>
            </w:r>
          </w:p>
        </w:tc>
      </w:tr>
      <w:tr w:rsidR="0021298F" w:rsidRPr="00A90CEE" w14:paraId="1919AE0C" w14:textId="77777777" w:rsidTr="00760009">
        <w:trPr>
          <w:trHeight w:val="300"/>
        </w:trPr>
        <w:tc>
          <w:tcPr>
            <w:tcW w:w="4710" w:type="dxa"/>
            <w:tcBorders>
              <w:top w:val="nil"/>
              <w:left w:val="nil"/>
              <w:bottom w:val="nil"/>
              <w:right w:val="nil"/>
            </w:tcBorders>
            <w:shd w:val="clear" w:color="000000" w:fill="FFFFFF"/>
            <w:vAlign w:val="center"/>
            <w:hideMark/>
          </w:tcPr>
          <w:p w14:paraId="473AEC24" w14:textId="77777777" w:rsidR="0021298F" w:rsidRPr="00A90CEE" w:rsidRDefault="0021298F" w:rsidP="00760009">
            <w:pPr>
              <w:jc w:val="both"/>
              <w:rPr>
                <w:rFonts w:ascii="Arial" w:eastAsia="Times New Roman" w:hAnsi="Arial" w:cs="Arial"/>
                <w:color w:val="000000"/>
                <w:lang w:eastAsia="en-GB"/>
              </w:rPr>
            </w:pPr>
            <w:r>
              <w:rPr>
                <w:rFonts w:ascii="Arial" w:eastAsia="Times New Roman" w:hAnsi="Arial" w:cs="Arial"/>
                <w:color w:val="000000"/>
                <w:lang w:eastAsia="en-GB"/>
              </w:rPr>
              <w:t>Professional fees</w:t>
            </w:r>
          </w:p>
        </w:tc>
        <w:tc>
          <w:tcPr>
            <w:tcW w:w="278" w:type="dxa"/>
            <w:tcBorders>
              <w:top w:val="nil"/>
              <w:left w:val="nil"/>
              <w:bottom w:val="nil"/>
              <w:right w:val="nil"/>
            </w:tcBorders>
            <w:shd w:val="clear" w:color="000000" w:fill="EDFFB7"/>
            <w:vAlign w:val="center"/>
            <w:hideMark/>
          </w:tcPr>
          <w:p w14:paraId="3A81FC57" w14:textId="77777777" w:rsidR="0021298F" w:rsidRPr="00A90CEE" w:rsidRDefault="0021298F" w:rsidP="00760009">
            <w:pPr>
              <w:jc w:val="right"/>
              <w:rPr>
                <w:rFonts w:ascii="Arial" w:eastAsia="Times New Roman" w:hAnsi="Arial" w:cs="Arial"/>
                <w:b/>
                <w:bCs/>
                <w:color w:val="000000"/>
                <w:lang w:eastAsia="en-GB"/>
              </w:rPr>
            </w:pPr>
            <w:r w:rsidRPr="00A90CEE">
              <w:rPr>
                <w:rFonts w:ascii="Arial" w:eastAsia="Times New Roman" w:hAnsi="Arial" w:cs="Arial"/>
                <w:b/>
                <w:bCs/>
                <w:color w:val="000000"/>
                <w:lang w:eastAsia="en-GB"/>
              </w:rPr>
              <w:t> </w:t>
            </w:r>
          </w:p>
        </w:tc>
        <w:tc>
          <w:tcPr>
            <w:tcW w:w="2036" w:type="dxa"/>
            <w:tcBorders>
              <w:top w:val="nil"/>
              <w:left w:val="nil"/>
              <w:bottom w:val="nil"/>
              <w:right w:val="nil"/>
            </w:tcBorders>
            <w:shd w:val="clear" w:color="000000" w:fill="EDFFB7"/>
            <w:vAlign w:val="center"/>
            <w:hideMark/>
          </w:tcPr>
          <w:p w14:paraId="27BA7896" w14:textId="77777777" w:rsidR="0021298F" w:rsidRPr="00A90CEE" w:rsidRDefault="0021298F" w:rsidP="00760009">
            <w:pPr>
              <w:jc w:val="right"/>
              <w:rPr>
                <w:rFonts w:ascii="Arial" w:eastAsia="Times New Roman" w:hAnsi="Arial" w:cs="Arial"/>
                <w:b/>
                <w:bCs/>
                <w:color w:val="000000"/>
                <w:lang w:eastAsia="en-GB"/>
              </w:rPr>
            </w:pPr>
            <w:r>
              <w:rPr>
                <w:rFonts w:ascii="Arial" w:eastAsia="Times New Roman" w:hAnsi="Arial" w:cs="Arial"/>
                <w:b/>
                <w:bCs/>
                <w:color w:val="000000"/>
                <w:lang w:eastAsia="en-GB"/>
              </w:rPr>
              <w:t>1,139</w:t>
            </w:r>
          </w:p>
        </w:tc>
        <w:tc>
          <w:tcPr>
            <w:tcW w:w="2036" w:type="dxa"/>
            <w:tcBorders>
              <w:top w:val="nil"/>
              <w:left w:val="nil"/>
              <w:bottom w:val="nil"/>
              <w:right w:val="nil"/>
            </w:tcBorders>
            <w:shd w:val="clear" w:color="000000" w:fill="FFFFFF"/>
            <w:vAlign w:val="center"/>
            <w:hideMark/>
          </w:tcPr>
          <w:p w14:paraId="37B0EA4F" w14:textId="77777777" w:rsidR="0021298F" w:rsidRPr="00A90CEE" w:rsidRDefault="0021298F" w:rsidP="00760009">
            <w:pPr>
              <w:jc w:val="right"/>
              <w:rPr>
                <w:rFonts w:ascii="Arial" w:eastAsia="Times New Roman" w:hAnsi="Arial" w:cs="Arial"/>
                <w:color w:val="000000"/>
                <w:lang w:eastAsia="en-GB"/>
              </w:rPr>
            </w:pPr>
            <w:r>
              <w:rPr>
                <w:rFonts w:ascii="Arial" w:eastAsia="Times New Roman" w:hAnsi="Arial" w:cs="Arial"/>
                <w:color w:val="000000"/>
                <w:lang w:eastAsia="en-GB"/>
              </w:rPr>
              <w:t>36</w:t>
            </w:r>
          </w:p>
        </w:tc>
      </w:tr>
      <w:tr w:rsidR="0021298F" w:rsidRPr="00A90CEE" w14:paraId="6517E860" w14:textId="77777777" w:rsidTr="00760009">
        <w:trPr>
          <w:trHeight w:val="300"/>
        </w:trPr>
        <w:tc>
          <w:tcPr>
            <w:tcW w:w="4710" w:type="dxa"/>
            <w:tcBorders>
              <w:top w:val="nil"/>
              <w:left w:val="nil"/>
              <w:bottom w:val="nil"/>
              <w:right w:val="nil"/>
            </w:tcBorders>
            <w:shd w:val="clear" w:color="000000" w:fill="FFFFFF"/>
            <w:vAlign w:val="center"/>
          </w:tcPr>
          <w:p w14:paraId="0936B191" w14:textId="77777777" w:rsidR="0021298F" w:rsidRPr="00A90CEE" w:rsidRDefault="0021298F" w:rsidP="00760009">
            <w:pPr>
              <w:jc w:val="both"/>
              <w:rPr>
                <w:rFonts w:ascii="Arial" w:eastAsia="Times New Roman" w:hAnsi="Arial" w:cs="Arial"/>
                <w:color w:val="000000"/>
                <w:lang w:eastAsia="en-GB"/>
              </w:rPr>
            </w:pPr>
            <w:r>
              <w:rPr>
                <w:rFonts w:ascii="Arial" w:eastAsia="Times New Roman" w:hAnsi="Arial" w:cs="Arial"/>
                <w:color w:val="000000"/>
                <w:lang w:eastAsia="en-GB"/>
              </w:rPr>
              <w:t>Amortised facility arrangement fees</w:t>
            </w:r>
          </w:p>
        </w:tc>
        <w:tc>
          <w:tcPr>
            <w:tcW w:w="278" w:type="dxa"/>
            <w:tcBorders>
              <w:top w:val="nil"/>
              <w:left w:val="nil"/>
              <w:bottom w:val="nil"/>
              <w:right w:val="nil"/>
            </w:tcBorders>
            <w:shd w:val="clear" w:color="000000" w:fill="EDFFB7"/>
            <w:vAlign w:val="center"/>
          </w:tcPr>
          <w:p w14:paraId="1246CBCA" w14:textId="77777777" w:rsidR="0021298F" w:rsidRPr="00A90CEE" w:rsidRDefault="0021298F" w:rsidP="00760009">
            <w:pPr>
              <w:jc w:val="right"/>
              <w:rPr>
                <w:rFonts w:ascii="Arial" w:eastAsia="Times New Roman" w:hAnsi="Arial" w:cs="Arial"/>
                <w:b/>
                <w:bCs/>
                <w:color w:val="000000"/>
                <w:lang w:eastAsia="en-GB"/>
              </w:rPr>
            </w:pPr>
          </w:p>
        </w:tc>
        <w:tc>
          <w:tcPr>
            <w:tcW w:w="2036" w:type="dxa"/>
            <w:tcBorders>
              <w:top w:val="nil"/>
              <w:left w:val="nil"/>
              <w:bottom w:val="nil"/>
              <w:right w:val="nil"/>
            </w:tcBorders>
            <w:shd w:val="clear" w:color="000000" w:fill="EDFFB7"/>
            <w:vAlign w:val="center"/>
          </w:tcPr>
          <w:p w14:paraId="4104BC21" w14:textId="77777777" w:rsidR="0021298F" w:rsidRPr="00A90CEE" w:rsidRDefault="0021298F" w:rsidP="00760009">
            <w:pPr>
              <w:jc w:val="right"/>
              <w:rPr>
                <w:rFonts w:ascii="Arial" w:eastAsia="Times New Roman" w:hAnsi="Arial" w:cs="Arial"/>
                <w:b/>
                <w:bCs/>
                <w:color w:val="000000"/>
                <w:lang w:eastAsia="en-GB"/>
              </w:rPr>
            </w:pPr>
            <w:r>
              <w:rPr>
                <w:rFonts w:ascii="Arial" w:eastAsia="Times New Roman" w:hAnsi="Arial" w:cs="Arial"/>
                <w:b/>
                <w:bCs/>
                <w:color w:val="000000"/>
                <w:lang w:eastAsia="en-GB"/>
              </w:rPr>
              <w:t>825</w:t>
            </w:r>
          </w:p>
        </w:tc>
        <w:tc>
          <w:tcPr>
            <w:tcW w:w="2036" w:type="dxa"/>
            <w:tcBorders>
              <w:top w:val="nil"/>
              <w:left w:val="nil"/>
              <w:bottom w:val="nil"/>
              <w:right w:val="nil"/>
            </w:tcBorders>
            <w:shd w:val="clear" w:color="000000" w:fill="FFFFFF"/>
            <w:vAlign w:val="center"/>
          </w:tcPr>
          <w:p w14:paraId="6DB21D38" w14:textId="77777777" w:rsidR="0021298F" w:rsidRPr="00A90CEE" w:rsidRDefault="0021298F" w:rsidP="00760009">
            <w:pPr>
              <w:jc w:val="right"/>
              <w:rPr>
                <w:rFonts w:ascii="Arial" w:eastAsia="Times New Roman" w:hAnsi="Arial" w:cs="Arial"/>
                <w:color w:val="000000"/>
                <w:lang w:eastAsia="en-GB"/>
              </w:rPr>
            </w:pPr>
            <w:r>
              <w:rPr>
                <w:rFonts w:ascii="Arial" w:eastAsia="Times New Roman" w:hAnsi="Arial" w:cs="Arial"/>
                <w:color w:val="000000"/>
                <w:lang w:eastAsia="en-GB"/>
              </w:rPr>
              <w:t>139</w:t>
            </w:r>
          </w:p>
        </w:tc>
      </w:tr>
      <w:tr w:rsidR="0021298F" w:rsidRPr="00A90CEE" w14:paraId="11CF55D0" w14:textId="77777777" w:rsidTr="00760009">
        <w:trPr>
          <w:trHeight w:val="300"/>
        </w:trPr>
        <w:tc>
          <w:tcPr>
            <w:tcW w:w="4710" w:type="dxa"/>
            <w:tcBorders>
              <w:top w:val="nil"/>
              <w:left w:val="nil"/>
              <w:bottom w:val="nil"/>
              <w:right w:val="nil"/>
            </w:tcBorders>
            <w:shd w:val="clear" w:color="000000" w:fill="FFFFFF"/>
            <w:vAlign w:val="center"/>
          </w:tcPr>
          <w:p w14:paraId="613A8E9A" w14:textId="77777777" w:rsidR="0021298F" w:rsidRPr="00A90CEE" w:rsidRDefault="0021298F" w:rsidP="00760009">
            <w:pPr>
              <w:jc w:val="both"/>
              <w:rPr>
                <w:rFonts w:ascii="Arial" w:eastAsia="Times New Roman" w:hAnsi="Arial" w:cs="Arial"/>
                <w:color w:val="000000"/>
                <w:lang w:eastAsia="en-GB"/>
              </w:rPr>
            </w:pPr>
            <w:r>
              <w:rPr>
                <w:rFonts w:ascii="Arial" w:eastAsia="Times New Roman" w:hAnsi="Arial" w:cs="Arial"/>
                <w:color w:val="000000"/>
                <w:lang w:eastAsia="en-GB"/>
              </w:rPr>
              <w:t>Commitment fees</w:t>
            </w:r>
          </w:p>
        </w:tc>
        <w:tc>
          <w:tcPr>
            <w:tcW w:w="278" w:type="dxa"/>
            <w:tcBorders>
              <w:top w:val="nil"/>
              <w:left w:val="nil"/>
              <w:bottom w:val="nil"/>
              <w:right w:val="nil"/>
            </w:tcBorders>
            <w:shd w:val="clear" w:color="000000" w:fill="EDFFB7"/>
            <w:vAlign w:val="center"/>
          </w:tcPr>
          <w:p w14:paraId="1E7DA115" w14:textId="77777777" w:rsidR="0021298F" w:rsidRPr="00A90CEE" w:rsidRDefault="0021298F" w:rsidP="00760009">
            <w:pPr>
              <w:jc w:val="right"/>
              <w:rPr>
                <w:rFonts w:ascii="Arial" w:eastAsia="Times New Roman" w:hAnsi="Arial" w:cs="Arial"/>
                <w:b/>
                <w:bCs/>
                <w:color w:val="000000"/>
                <w:lang w:eastAsia="en-GB"/>
              </w:rPr>
            </w:pPr>
          </w:p>
        </w:tc>
        <w:tc>
          <w:tcPr>
            <w:tcW w:w="2036" w:type="dxa"/>
            <w:tcBorders>
              <w:top w:val="nil"/>
              <w:left w:val="nil"/>
              <w:bottom w:val="nil"/>
              <w:right w:val="nil"/>
            </w:tcBorders>
            <w:shd w:val="clear" w:color="000000" w:fill="EDFFB7"/>
            <w:vAlign w:val="center"/>
          </w:tcPr>
          <w:p w14:paraId="54997520" w14:textId="77777777" w:rsidR="0021298F" w:rsidRPr="00A90CEE" w:rsidRDefault="0021298F" w:rsidP="00760009">
            <w:pPr>
              <w:jc w:val="right"/>
              <w:rPr>
                <w:rFonts w:ascii="Arial" w:eastAsia="Times New Roman" w:hAnsi="Arial" w:cs="Arial"/>
                <w:b/>
                <w:bCs/>
                <w:color w:val="000000"/>
                <w:lang w:eastAsia="en-GB"/>
              </w:rPr>
            </w:pPr>
            <w:r>
              <w:rPr>
                <w:rFonts w:ascii="Arial" w:eastAsia="Times New Roman" w:hAnsi="Arial" w:cs="Arial"/>
                <w:b/>
                <w:bCs/>
                <w:color w:val="000000"/>
                <w:lang w:eastAsia="en-GB"/>
              </w:rPr>
              <w:t>531</w:t>
            </w:r>
          </w:p>
        </w:tc>
        <w:tc>
          <w:tcPr>
            <w:tcW w:w="2036" w:type="dxa"/>
            <w:tcBorders>
              <w:top w:val="nil"/>
              <w:left w:val="nil"/>
              <w:bottom w:val="nil"/>
              <w:right w:val="nil"/>
            </w:tcBorders>
            <w:shd w:val="clear" w:color="000000" w:fill="FFFFFF"/>
            <w:vAlign w:val="center"/>
          </w:tcPr>
          <w:p w14:paraId="1E2F25F1" w14:textId="77777777" w:rsidR="0021298F" w:rsidRPr="00A90CEE" w:rsidRDefault="0021298F" w:rsidP="00760009">
            <w:pPr>
              <w:jc w:val="right"/>
              <w:rPr>
                <w:rFonts w:ascii="Arial" w:eastAsia="Times New Roman" w:hAnsi="Arial" w:cs="Arial"/>
                <w:color w:val="000000"/>
                <w:lang w:eastAsia="en-GB"/>
              </w:rPr>
            </w:pPr>
            <w:r>
              <w:rPr>
                <w:rFonts w:ascii="Arial" w:eastAsia="Times New Roman" w:hAnsi="Arial" w:cs="Arial"/>
                <w:color w:val="000000"/>
                <w:lang w:eastAsia="en-GB"/>
              </w:rPr>
              <w:t>584</w:t>
            </w:r>
          </w:p>
        </w:tc>
      </w:tr>
      <w:tr w:rsidR="0021298F" w:rsidRPr="00A90CEE" w14:paraId="5FF038C9" w14:textId="77777777" w:rsidTr="00760009">
        <w:trPr>
          <w:trHeight w:val="300"/>
        </w:trPr>
        <w:tc>
          <w:tcPr>
            <w:tcW w:w="4710" w:type="dxa"/>
            <w:tcBorders>
              <w:top w:val="nil"/>
              <w:left w:val="nil"/>
              <w:bottom w:val="nil"/>
              <w:right w:val="nil"/>
            </w:tcBorders>
            <w:shd w:val="clear" w:color="000000" w:fill="FFFFFF"/>
            <w:vAlign w:val="center"/>
            <w:hideMark/>
          </w:tcPr>
          <w:p w14:paraId="5A1BB612" w14:textId="77777777" w:rsidR="0021298F" w:rsidRPr="00A90CEE" w:rsidRDefault="0021298F" w:rsidP="00760009">
            <w:pPr>
              <w:jc w:val="both"/>
              <w:rPr>
                <w:rFonts w:ascii="Arial" w:eastAsia="Times New Roman" w:hAnsi="Arial" w:cs="Arial"/>
                <w:color w:val="000000"/>
                <w:lang w:eastAsia="en-GB"/>
              </w:rPr>
            </w:pPr>
            <w:r>
              <w:rPr>
                <w:rFonts w:ascii="Arial" w:eastAsia="Times New Roman" w:hAnsi="Arial" w:cs="Arial"/>
                <w:color w:val="000000"/>
                <w:lang w:eastAsia="en-GB"/>
              </w:rPr>
              <w:t>Other facility fees</w:t>
            </w:r>
          </w:p>
        </w:tc>
        <w:tc>
          <w:tcPr>
            <w:tcW w:w="278" w:type="dxa"/>
            <w:tcBorders>
              <w:top w:val="nil"/>
              <w:left w:val="nil"/>
              <w:bottom w:val="nil"/>
              <w:right w:val="nil"/>
            </w:tcBorders>
            <w:shd w:val="clear" w:color="000000" w:fill="EDFFB7"/>
            <w:vAlign w:val="center"/>
            <w:hideMark/>
          </w:tcPr>
          <w:p w14:paraId="7424C281" w14:textId="77777777" w:rsidR="0021298F" w:rsidRPr="00A90CEE" w:rsidRDefault="0021298F" w:rsidP="00760009">
            <w:pPr>
              <w:jc w:val="right"/>
              <w:rPr>
                <w:rFonts w:ascii="Arial" w:eastAsia="Times New Roman" w:hAnsi="Arial" w:cs="Arial"/>
                <w:b/>
                <w:bCs/>
                <w:color w:val="000000"/>
                <w:lang w:eastAsia="en-GB"/>
              </w:rPr>
            </w:pPr>
            <w:r w:rsidRPr="00A90CEE">
              <w:rPr>
                <w:rFonts w:ascii="Arial" w:eastAsia="Times New Roman" w:hAnsi="Arial" w:cs="Arial"/>
                <w:b/>
                <w:bCs/>
                <w:color w:val="000000"/>
                <w:lang w:eastAsia="en-GB"/>
              </w:rPr>
              <w:t> </w:t>
            </w:r>
          </w:p>
        </w:tc>
        <w:tc>
          <w:tcPr>
            <w:tcW w:w="2036" w:type="dxa"/>
            <w:tcBorders>
              <w:top w:val="nil"/>
              <w:left w:val="nil"/>
              <w:bottom w:val="nil"/>
              <w:right w:val="nil"/>
            </w:tcBorders>
            <w:shd w:val="clear" w:color="000000" w:fill="EDFFB7"/>
            <w:vAlign w:val="center"/>
            <w:hideMark/>
          </w:tcPr>
          <w:p w14:paraId="4146B344" w14:textId="77777777" w:rsidR="0021298F" w:rsidRPr="00A90CEE" w:rsidRDefault="0021298F" w:rsidP="00760009">
            <w:pPr>
              <w:jc w:val="right"/>
              <w:rPr>
                <w:rFonts w:ascii="Arial" w:eastAsia="Times New Roman" w:hAnsi="Arial" w:cs="Arial"/>
                <w:b/>
                <w:bCs/>
                <w:color w:val="000000"/>
                <w:lang w:eastAsia="en-GB"/>
              </w:rPr>
            </w:pPr>
            <w:r>
              <w:rPr>
                <w:rFonts w:ascii="Arial" w:eastAsia="Times New Roman" w:hAnsi="Arial" w:cs="Arial"/>
                <w:b/>
                <w:bCs/>
                <w:color w:val="000000"/>
                <w:lang w:eastAsia="en-GB"/>
              </w:rPr>
              <w:t>48</w:t>
            </w:r>
          </w:p>
        </w:tc>
        <w:tc>
          <w:tcPr>
            <w:tcW w:w="2036" w:type="dxa"/>
            <w:tcBorders>
              <w:top w:val="nil"/>
              <w:left w:val="nil"/>
              <w:bottom w:val="nil"/>
              <w:right w:val="nil"/>
            </w:tcBorders>
            <w:shd w:val="clear" w:color="000000" w:fill="FFFFFF"/>
            <w:vAlign w:val="center"/>
            <w:hideMark/>
          </w:tcPr>
          <w:p w14:paraId="505820D4" w14:textId="77777777" w:rsidR="0021298F" w:rsidRPr="00A90CEE" w:rsidRDefault="0021298F" w:rsidP="00760009">
            <w:pPr>
              <w:jc w:val="right"/>
              <w:rPr>
                <w:rFonts w:ascii="Arial" w:eastAsia="Times New Roman" w:hAnsi="Arial" w:cs="Arial"/>
                <w:color w:val="000000"/>
                <w:lang w:eastAsia="en-GB"/>
              </w:rPr>
            </w:pPr>
            <w:r>
              <w:rPr>
                <w:rFonts w:ascii="Arial" w:eastAsia="Times New Roman" w:hAnsi="Arial" w:cs="Arial"/>
                <w:color w:val="000000"/>
                <w:lang w:eastAsia="en-GB"/>
              </w:rPr>
              <w:t>-</w:t>
            </w:r>
          </w:p>
        </w:tc>
      </w:tr>
      <w:tr w:rsidR="0021298F" w:rsidRPr="00A90CEE" w14:paraId="086DCE7C" w14:textId="77777777" w:rsidTr="00760009">
        <w:trPr>
          <w:trHeight w:val="315"/>
        </w:trPr>
        <w:tc>
          <w:tcPr>
            <w:tcW w:w="4710" w:type="dxa"/>
            <w:tcBorders>
              <w:top w:val="single" w:sz="4" w:space="0" w:color="auto"/>
              <w:left w:val="nil"/>
              <w:bottom w:val="single" w:sz="8" w:space="0" w:color="auto"/>
              <w:right w:val="nil"/>
            </w:tcBorders>
            <w:shd w:val="clear" w:color="000000" w:fill="FFFFFF"/>
            <w:noWrap/>
            <w:vAlign w:val="bottom"/>
            <w:hideMark/>
          </w:tcPr>
          <w:p w14:paraId="1DBF53B5" w14:textId="77777777" w:rsidR="0021298F" w:rsidRPr="00A90CEE" w:rsidRDefault="0021298F" w:rsidP="00760009">
            <w:pPr>
              <w:rPr>
                <w:rFonts w:ascii="Calibri" w:eastAsia="Times New Roman" w:hAnsi="Calibri" w:cs="Calibri"/>
                <w:color w:val="000000"/>
                <w:lang w:eastAsia="en-GB"/>
              </w:rPr>
            </w:pPr>
            <w:r w:rsidRPr="00A90CEE">
              <w:rPr>
                <w:rFonts w:ascii="Calibri" w:eastAsia="Times New Roman" w:hAnsi="Calibri" w:cs="Calibri"/>
                <w:color w:val="000000"/>
                <w:lang w:eastAsia="en-GB"/>
              </w:rPr>
              <w:t> </w:t>
            </w:r>
          </w:p>
        </w:tc>
        <w:tc>
          <w:tcPr>
            <w:tcW w:w="278" w:type="dxa"/>
            <w:tcBorders>
              <w:top w:val="single" w:sz="4" w:space="0" w:color="auto"/>
              <w:left w:val="nil"/>
              <w:bottom w:val="single" w:sz="8" w:space="0" w:color="auto"/>
              <w:right w:val="nil"/>
            </w:tcBorders>
            <w:shd w:val="clear" w:color="000000" w:fill="EDFFB7"/>
            <w:vAlign w:val="center"/>
            <w:hideMark/>
          </w:tcPr>
          <w:p w14:paraId="4FFB14AE" w14:textId="77777777" w:rsidR="0021298F" w:rsidRPr="00A90CEE" w:rsidRDefault="0021298F" w:rsidP="00760009">
            <w:pPr>
              <w:jc w:val="right"/>
              <w:rPr>
                <w:rFonts w:ascii="Arial" w:eastAsia="Times New Roman" w:hAnsi="Arial" w:cs="Arial"/>
                <w:b/>
                <w:bCs/>
                <w:color w:val="000000"/>
                <w:lang w:eastAsia="en-GB"/>
              </w:rPr>
            </w:pPr>
            <w:r w:rsidRPr="00A90CEE">
              <w:rPr>
                <w:rFonts w:ascii="Arial" w:eastAsia="Times New Roman" w:hAnsi="Arial" w:cs="Arial"/>
                <w:b/>
                <w:bCs/>
                <w:color w:val="000000"/>
                <w:lang w:eastAsia="en-GB"/>
              </w:rPr>
              <w:t> </w:t>
            </w:r>
          </w:p>
        </w:tc>
        <w:tc>
          <w:tcPr>
            <w:tcW w:w="2036" w:type="dxa"/>
            <w:tcBorders>
              <w:top w:val="single" w:sz="4" w:space="0" w:color="auto"/>
              <w:left w:val="nil"/>
              <w:bottom w:val="single" w:sz="8" w:space="0" w:color="auto"/>
              <w:right w:val="nil"/>
            </w:tcBorders>
            <w:shd w:val="clear" w:color="000000" w:fill="EDFFB7"/>
            <w:vAlign w:val="center"/>
            <w:hideMark/>
          </w:tcPr>
          <w:p w14:paraId="6E552D73" w14:textId="77777777" w:rsidR="0021298F" w:rsidRPr="00A90CEE" w:rsidRDefault="0021298F" w:rsidP="00760009">
            <w:pPr>
              <w:jc w:val="right"/>
              <w:rPr>
                <w:rFonts w:ascii="Arial" w:eastAsia="Times New Roman" w:hAnsi="Arial" w:cs="Arial"/>
                <w:b/>
                <w:bCs/>
                <w:color w:val="000000"/>
                <w:lang w:eastAsia="en-GB"/>
              </w:rPr>
            </w:pPr>
            <w:r>
              <w:rPr>
                <w:rFonts w:ascii="Arial" w:eastAsia="Times New Roman" w:hAnsi="Arial" w:cs="Arial"/>
                <w:b/>
                <w:bCs/>
                <w:color w:val="000000"/>
                <w:lang w:eastAsia="en-GB"/>
              </w:rPr>
              <w:t>5,443</w:t>
            </w:r>
            <w:r w:rsidRPr="00A90CEE">
              <w:rPr>
                <w:rFonts w:ascii="Arial" w:eastAsia="Times New Roman" w:hAnsi="Arial" w:cs="Arial"/>
                <w:b/>
                <w:bCs/>
                <w:color w:val="000000"/>
                <w:lang w:eastAsia="en-GB"/>
              </w:rPr>
              <w:t xml:space="preserve"> </w:t>
            </w:r>
          </w:p>
        </w:tc>
        <w:tc>
          <w:tcPr>
            <w:tcW w:w="2036" w:type="dxa"/>
            <w:tcBorders>
              <w:top w:val="single" w:sz="4" w:space="0" w:color="auto"/>
              <w:left w:val="nil"/>
              <w:bottom w:val="single" w:sz="8" w:space="0" w:color="auto"/>
              <w:right w:val="nil"/>
            </w:tcBorders>
            <w:shd w:val="clear" w:color="000000" w:fill="FFFFFF"/>
            <w:vAlign w:val="center"/>
            <w:hideMark/>
          </w:tcPr>
          <w:p w14:paraId="54BD979A" w14:textId="77777777" w:rsidR="0021298F" w:rsidRPr="00A90CEE" w:rsidRDefault="0021298F" w:rsidP="00760009">
            <w:pPr>
              <w:jc w:val="right"/>
              <w:rPr>
                <w:rFonts w:ascii="Arial" w:eastAsia="Times New Roman" w:hAnsi="Arial" w:cs="Arial"/>
                <w:b/>
                <w:bCs/>
                <w:color w:val="000000"/>
                <w:lang w:eastAsia="en-GB"/>
              </w:rPr>
            </w:pPr>
            <w:r>
              <w:rPr>
                <w:rFonts w:ascii="Arial" w:eastAsia="Times New Roman" w:hAnsi="Arial" w:cs="Arial"/>
                <w:b/>
                <w:bCs/>
                <w:color w:val="000000"/>
                <w:lang w:eastAsia="en-GB"/>
              </w:rPr>
              <w:t>6,025</w:t>
            </w:r>
          </w:p>
        </w:tc>
      </w:tr>
    </w:tbl>
    <w:p w14:paraId="77970EDC" w14:textId="77777777" w:rsidR="0021298F" w:rsidRDefault="0021298F" w:rsidP="0021298F">
      <w:pPr>
        <w:jc w:val="both"/>
        <w:rPr>
          <w:rFonts w:ascii="Arial" w:hAnsi="Arial" w:cs="Arial"/>
          <w:color w:val="000000" w:themeColor="text1"/>
        </w:rPr>
      </w:pPr>
    </w:p>
    <w:p w14:paraId="79220761" w14:textId="77777777" w:rsidR="0021298F" w:rsidRDefault="0021298F" w:rsidP="0021298F">
      <w:pPr>
        <w:jc w:val="both"/>
        <w:rPr>
          <w:rFonts w:ascii="Arial" w:hAnsi="Arial" w:cs="Arial"/>
          <w:color w:val="000000" w:themeColor="text1"/>
        </w:rPr>
      </w:pPr>
      <w:r w:rsidRPr="00071569">
        <w:rPr>
          <w:rFonts w:ascii="Arial" w:hAnsi="Arial" w:cs="Arial"/>
          <w:color w:val="000000" w:themeColor="text1"/>
        </w:rPr>
        <w:t xml:space="preserve">In relation to </w:t>
      </w:r>
      <w:r>
        <w:rPr>
          <w:rFonts w:ascii="Arial" w:hAnsi="Arial" w:cs="Arial"/>
          <w:color w:val="000000" w:themeColor="text1"/>
        </w:rPr>
        <w:t xml:space="preserve">non-current </w:t>
      </w:r>
      <w:r w:rsidRPr="00071569">
        <w:rPr>
          <w:rFonts w:ascii="Arial" w:hAnsi="Arial" w:cs="Arial"/>
          <w:color w:val="000000" w:themeColor="text1"/>
        </w:rPr>
        <w:t xml:space="preserve">loans and borrowings, the Directors are of the view that the current market interest rate is not significantly different to the respective instrument’s contractual interest rates therefore the fair value of the loans and borrowings at the end of the reporting periods is not significantly different from their carrying amounts.  </w:t>
      </w:r>
    </w:p>
    <w:p w14:paraId="2981FF03" w14:textId="77777777" w:rsidR="0021298F" w:rsidRDefault="0021298F" w:rsidP="0021298F">
      <w:pPr>
        <w:jc w:val="both"/>
        <w:rPr>
          <w:rFonts w:ascii="Arial" w:hAnsi="Arial" w:cs="Arial"/>
          <w:color w:val="000000" w:themeColor="text1"/>
        </w:rPr>
      </w:pPr>
    </w:p>
    <w:p w14:paraId="7B20E9C8" w14:textId="77777777" w:rsidR="0021298F" w:rsidRPr="00382C2F" w:rsidRDefault="0021298F" w:rsidP="0021298F">
      <w:pPr>
        <w:jc w:val="both"/>
        <w:rPr>
          <w:rFonts w:ascii="Arial" w:hAnsi="Arial" w:cs="Arial"/>
          <w:color w:val="000000" w:themeColor="text1"/>
        </w:rPr>
      </w:pPr>
      <w:r>
        <w:rPr>
          <w:rFonts w:ascii="Arial" w:hAnsi="Arial" w:cs="Arial"/>
          <w:color w:val="000000" w:themeColor="text1"/>
        </w:rPr>
        <w:t xml:space="preserve">On 2 April 2020, the Group placed a new €300 million revolving credit facility with CIBC, RBC and Santander with a refreshed 3-year tenor and a margin of 1.3 per cent per annum plus EURIBOR. </w:t>
      </w:r>
      <w:r w:rsidRPr="00382C2F">
        <w:rPr>
          <w:rFonts w:ascii="Arial" w:hAnsi="Arial" w:cs="Arial"/>
          <w:color w:val="000000" w:themeColor="text1"/>
        </w:rPr>
        <w:t>The Group is obliged to pay a quarterly commitment fee of 0.</w:t>
      </w:r>
      <w:r>
        <w:rPr>
          <w:rFonts w:ascii="Arial" w:hAnsi="Arial" w:cs="Arial"/>
          <w:color w:val="000000" w:themeColor="text1"/>
        </w:rPr>
        <w:t>46</w:t>
      </w:r>
      <w:r w:rsidRPr="00382C2F">
        <w:rPr>
          <w:rFonts w:ascii="Arial" w:hAnsi="Arial" w:cs="Arial"/>
          <w:color w:val="000000" w:themeColor="text1"/>
        </w:rPr>
        <w:t xml:space="preserve"> per cent per annum of the undrawn commitment available under the facility. Lenders’ security consists of comprehensive debentures incorporating a fixed and floating charge over the Group including a charge over the Group’s bank accounts and shares in the underlying investments.</w:t>
      </w:r>
    </w:p>
    <w:p w14:paraId="38B599BD" w14:textId="77777777" w:rsidR="0021298F" w:rsidRPr="000E160D" w:rsidRDefault="0021298F" w:rsidP="0021298F">
      <w:pPr>
        <w:jc w:val="both"/>
        <w:rPr>
          <w:rFonts w:ascii="Arial" w:hAnsi="Arial" w:cs="Arial"/>
          <w:highlight w:val="cyan"/>
        </w:rPr>
      </w:pPr>
    </w:p>
    <w:p w14:paraId="29D7B9B5" w14:textId="77777777" w:rsidR="0021298F" w:rsidRDefault="0021298F" w:rsidP="0021298F">
      <w:pPr>
        <w:jc w:val="both"/>
        <w:rPr>
          <w:rFonts w:ascii="Arial" w:hAnsi="Arial" w:cs="Arial"/>
          <w:color w:val="000000" w:themeColor="text1"/>
        </w:rPr>
      </w:pPr>
      <w:r w:rsidRPr="00D95F13">
        <w:rPr>
          <w:rFonts w:ascii="Arial" w:hAnsi="Arial" w:cs="Arial"/>
        </w:rPr>
        <w:t xml:space="preserve">As at </w:t>
      </w:r>
      <w:r>
        <w:rPr>
          <w:rFonts w:ascii="Arial" w:hAnsi="Arial" w:cs="Arial"/>
        </w:rPr>
        <w:t>31 December 2020</w:t>
      </w:r>
      <w:r w:rsidRPr="00D95F13">
        <w:rPr>
          <w:rFonts w:ascii="Arial" w:hAnsi="Arial" w:cs="Arial"/>
        </w:rPr>
        <w:t xml:space="preserve">, the principal balance </w:t>
      </w:r>
      <w:r>
        <w:rPr>
          <w:rFonts w:ascii="Arial" w:hAnsi="Arial" w:cs="Arial"/>
        </w:rPr>
        <w:t xml:space="preserve">of the facility </w:t>
      </w:r>
      <w:r w:rsidRPr="005D1B82">
        <w:rPr>
          <w:rFonts w:ascii="Arial" w:hAnsi="Arial" w:cs="Arial"/>
        </w:rPr>
        <w:t>was €</w:t>
      </w:r>
      <w:r w:rsidRPr="00B73F05">
        <w:rPr>
          <w:rFonts w:ascii="Arial" w:hAnsi="Arial" w:cs="Arial"/>
        </w:rPr>
        <w:t>15,000,000</w:t>
      </w:r>
      <w:r>
        <w:rPr>
          <w:rFonts w:ascii="Arial" w:hAnsi="Arial" w:cs="Arial"/>
        </w:rPr>
        <w:t xml:space="preserve"> gross of capitalised facility arrangement fees</w:t>
      </w:r>
      <w:r w:rsidRPr="00D95F13">
        <w:rPr>
          <w:rFonts w:ascii="Arial" w:hAnsi="Arial" w:cs="Arial"/>
        </w:rPr>
        <w:t xml:space="preserve"> (201</w:t>
      </w:r>
      <w:r>
        <w:rPr>
          <w:rFonts w:ascii="Arial" w:hAnsi="Arial" w:cs="Arial"/>
        </w:rPr>
        <w:t>9</w:t>
      </w:r>
      <w:r w:rsidRPr="00D95F13">
        <w:rPr>
          <w:rFonts w:ascii="Arial" w:hAnsi="Arial" w:cs="Arial"/>
        </w:rPr>
        <w:t>: €</w:t>
      </w:r>
      <w:r w:rsidRPr="005D1B82">
        <w:rPr>
          <w:rFonts w:ascii="Arial" w:hAnsi="Arial" w:cs="Arial"/>
        </w:rPr>
        <w:t>206,000,000</w:t>
      </w:r>
      <w:r w:rsidRPr="00D95F13">
        <w:rPr>
          <w:rFonts w:ascii="Arial" w:hAnsi="Arial" w:cs="Arial"/>
        </w:rPr>
        <w:t xml:space="preserve">), accrued interest was </w:t>
      </w:r>
      <w:r w:rsidRPr="00B73F05">
        <w:rPr>
          <w:rFonts w:ascii="Arial" w:hAnsi="Arial" w:cs="Arial"/>
        </w:rPr>
        <w:t>€</w:t>
      </w:r>
      <w:r>
        <w:rPr>
          <w:rFonts w:ascii="Arial" w:hAnsi="Arial" w:cs="Arial"/>
        </w:rPr>
        <w:t>5,284</w:t>
      </w:r>
      <w:r w:rsidRPr="00D95F13">
        <w:rPr>
          <w:rFonts w:ascii="Arial" w:hAnsi="Arial" w:cs="Arial"/>
        </w:rPr>
        <w:t xml:space="preserve"> (201</w:t>
      </w:r>
      <w:r>
        <w:rPr>
          <w:rFonts w:ascii="Arial" w:hAnsi="Arial" w:cs="Arial"/>
        </w:rPr>
        <w:t>9</w:t>
      </w:r>
      <w:r w:rsidRPr="00D95F13">
        <w:rPr>
          <w:rFonts w:ascii="Arial" w:hAnsi="Arial" w:cs="Arial"/>
        </w:rPr>
        <w:t>: €</w:t>
      </w:r>
      <w:r>
        <w:rPr>
          <w:rFonts w:ascii="Arial" w:hAnsi="Arial" w:cs="Arial"/>
        </w:rPr>
        <w:t>123,600</w:t>
      </w:r>
      <w:r w:rsidRPr="00D95F13">
        <w:rPr>
          <w:rFonts w:ascii="Arial" w:hAnsi="Arial" w:cs="Arial"/>
        </w:rPr>
        <w:t xml:space="preserve">) and the outstanding commitment </w:t>
      </w:r>
      <w:r w:rsidRPr="00BE0279">
        <w:rPr>
          <w:rFonts w:ascii="Arial" w:hAnsi="Arial" w:cs="Arial"/>
        </w:rPr>
        <w:t xml:space="preserve">fee was </w:t>
      </w:r>
      <w:r w:rsidRPr="00B73F05">
        <w:rPr>
          <w:rFonts w:ascii="Arial" w:hAnsi="Arial" w:cs="Arial"/>
        </w:rPr>
        <w:t>€</w:t>
      </w:r>
      <w:r>
        <w:rPr>
          <w:rFonts w:ascii="Arial" w:hAnsi="Arial" w:cs="Arial"/>
        </w:rPr>
        <w:t>223,662</w:t>
      </w:r>
      <w:r w:rsidRPr="00D95F13">
        <w:rPr>
          <w:rFonts w:ascii="Arial" w:hAnsi="Arial" w:cs="Arial"/>
        </w:rPr>
        <w:t xml:space="preserve"> (201</w:t>
      </w:r>
      <w:r>
        <w:rPr>
          <w:rFonts w:ascii="Arial" w:hAnsi="Arial" w:cs="Arial"/>
        </w:rPr>
        <w:t>9</w:t>
      </w:r>
      <w:r w:rsidRPr="00D95F13">
        <w:rPr>
          <w:rFonts w:ascii="Arial" w:hAnsi="Arial" w:cs="Arial"/>
        </w:rPr>
        <w:t>: €</w:t>
      </w:r>
      <w:r>
        <w:rPr>
          <w:rFonts w:ascii="Arial" w:hAnsi="Arial" w:cs="Arial"/>
        </w:rPr>
        <w:t>36</w:t>
      </w:r>
      <w:r w:rsidRPr="00D95F13">
        <w:rPr>
          <w:rFonts w:ascii="Arial" w:hAnsi="Arial" w:cs="Arial"/>
        </w:rPr>
        <w:t>,</w:t>
      </w:r>
      <w:r>
        <w:rPr>
          <w:rFonts w:ascii="Arial" w:hAnsi="Arial" w:cs="Arial"/>
        </w:rPr>
        <w:t>540</w:t>
      </w:r>
      <w:r w:rsidRPr="00D95F13">
        <w:rPr>
          <w:rFonts w:ascii="Arial" w:hAnsi="Arial" w:cs="Arial"/>
        </w:rPr>
        <w:t>).</w:t>
      </w:r>
      <w:r w:rsidRPr="00D95F13">
        <w:rPr>
          <w:rFonts w:ascii="Arial" w:hAnsi="Arial" w:cs="Arial"/>
          <w:color w:val="000000" w:themeColor="text1"/>
        </w:rPr>
        <w:t xml:space="preserve"> </w:t>
      </w:r>
    </w:p>
    <w:p w14:paraId="53FC2A9F" w14:textId="77777777" w:rsidR="0021298F" w:rsidRDefault="0021298F" w:rsidP="0021298F">
      <w:pPr>
        <w:jc w:val="both"/>
        <w:rPr>
          <w:rFonts w:ascii="Arial" w:hAnsi="Arial" w:cs="Arial"/>
          <w:color w:val="000000" w:themeColor="text1"/>
        </w:rPr>
      </w:pPr>
    </w:p>
    <w:p w14:paraId="0BFBF5C0" w14:textId="77777777" w:rsidR="0021298F" w:rsidRDefault="0021298F" w:rsidP="0021298F">
      <w:pPr>
        <w:jc w:val="both"/>
        <w:rPr>
          <w:rFonts w:ascii="Arial" w:hAnsi="Arial" w:cs="Arial"/>
          <w:color w:val="000000" w:themeColor="text1"/>
        </w:rPr>
      </w:pPr>
      <w:r>
        <w:rPr>
          <w:rFonts w:ascii="Arial" w:hAnsi="Arial" w:cs="Arial"/>
          <w:color w:val="000000" w:themeColor="text1"/>
        </w:rPr>
        <w:t xml:space="preserve">On 7 October 2020, the Group entered into new 5-year term debt arrangements with CBA, NAB and Natwest with associated interest rate swaps. Details of the Group’s term debt facilities and associated interest rate swaps are set out in the below table: </w:t>
      </w:r>
    </w:p>
    <w:tbl>
      <w:tblPr>
        <w:tblW w:w="5011" w:type="pct"/>
        <w:tblLook w:val="04A0" w:firstRow="1" w:lastRow="0" w:firstColumn="1" w:lastColumn="0" w:noHBand="0" w:noVBand="1"/>
      </w:tblPr>
      <w:tblGrid>
        <w:gridCol w:w="1190"/>
        <w:gridCol w:w="1871"/>
        <w:gridCol w:w="1148"/>
        <w:gridCol w:w="1706"/>
        <w:gridCol w:w="1217"/>
        <w:gridCol w:w="1914"/>
      </w:tblGrid>
      <w:tr w:rsidR="0021298F" w:rsidRPr="00775779" w14:paraId="534A4181" w14:textId="77777777" w:rsidTr="00760009">
        <w:trPr>
          <w:trHeight w:val="600"/>
        </w:trPr>
        <w:tc>
          <w:tcPr>
            <w:tcW w:w="593" w:type="pct"/>
            <w:tcBorders>
              <w:top w:val="nil"/>
              <w:left w:val="nil"/>
              <w:bottom w:val="nil"/>
              <w:right w:val="nil"/>
            </w:tcBorders>
            <w:shd w:val="clear" w:color="auto" w:fill="auto"/>
            <w:noWrap/>
            <w:vAlign w:val="bottom"/>
            <w:hideMark/>
          </w:tcPr>
          <w:p w14:paraId="5C0F6E03" w14:textId="77777777" w:rsidR="0021298F" w:rsidRPr="00775779" w:rsidRDefault="0021298F" w:rsidP="00760009">
            <w:pPr>
              <w:rPr>
                <w:rFonts w:ascii="Arial" w:eastAsia="Times New Roman" w:hAnsi="Arial" w:cs="Arial"/>
                <w:b/>
                <w:bCs/>
                <w:color w:val="000000"/>
                <w:lang w:eastAsia="zh-CN"/>
              </w:rPr>
            </w:pPr>
            <w:r w:rsidRPr="00775779">
              <w:rPr>
                <w:rFonts w:ascii="Arial" w:eastAsia="Times New Roman" w:hAnsi="Arial" w:cs="Arial"/>
                <w:b/>
                <w:bCs/>
                <w:color w:val="000000"/>
                <w:lang w:eastAsia="zh-CN"/>
              </w:rPr>
              <w:t>Provider</w:t>
            </w:r>
          </w:p>
        </w:tc>
        <w:tc>
          <w:tcPr>
            <w:tcW w:w="926" w:type="pct"/>
            <w:tcBorders>
              <w:top w:val="nil"/>
              <w:left w:val="nil"/>
              <w:bottom w:val="nil"/>
              <w:right w:val="nil"/>
            </w:tcBorders>
            <w:shd w:val="clear" w:color="auto" w:fill="auto"/>
            <w:noWrap/>
            <w:vAlign w:val="bottom"/>
            <w:hideMark/>
          </w:tcPr>
          <w:p w14:paraId="56FC49D2" w14:textId="77777777" w:rsidR="0021298F" w:rsidRPr="00775779" w:rsidRDefault="0021298F" w:rsidP="00760009">
            <w:pPr>
              <w:jc w:val="right"/>
              <w:rPr>
                <w:rFonts w:ascii="Arial" w:eastAsia="Times New Roman" w:hAnsi="Arial" w:cs="Arial"/>
                <w:b/>
                <w:bCs/>
                <w:color w:val="000000"/>
                <w:lang w:eastAsia="zh-CN"/>
              </w:rPr>
            </w:pPr>
            <w:r w:rsidRPr="00775779">
              <w:rPr>
                <w:rFonts w:ascii="Arial" w:eastAsia="Times New Roman" w:hAnsi="Arial" w:cs="Arial"/>
                <w:b/>
                <w:bCs/>
                <w:color w:val="000000"/>
                <w:lang w:eastAsia="zh-CN"/>
              </w:rPr>
              <w:t>Maturity date</w:t>
            </w:r>
          </w:p>
        </w:tc>
        <w:tc>
          <w:tcPr>
            <w:tcW w:w="678" w:type="pct"/>
            <w:tcBorders>
              <w:top w:val="nil"/>
              <w:left w:val="nil"/>
              <w:bottom w:val="nil"/>
              <w:right w:val="nil"/>
            </w:tcBorders>
            <w:shd w:val="clear" w:color="auto" w:fill="auto"/>
            <w:noWrap/>
            <w:vAlign w:val="bottom"/>
            <w:hideMark/>
          </w:tcPr>
          <w:p w14:paraId="27A8EA3D" w14:textId="77777777" w:rsidR="0021298F" w:rsidRDefault="0021298F" w:rsidP="00760009">
            <w:pPr>
              <w:jc w:val="right"/>
              <w:rPr>
                <w:rFonts w:ascii="Arial" w:eastAsia="Times New Roman" w:hAnsi="Arial" w:cs="Arial"/>
                <w:b/>
                <w:bCs/>
                <w:color w:val="000000"/>
                <w:lang w:eastAsia="zh-CN"/>
              </w:rPr>
            </w:pPr>
            <w:r w:rsidRPr="00775779">
              <w:rPr>
                <w:rFonts w:ascii="Arial" w:eastAsia="Times New Roman" w:hAnsi="Arial" w:cs="Arial"/>
                <w:b/>
                <w:bCs/>
                <w:color w:val="000000"/>
                <w:lang w:eastAsia="zh-CN"/>
              </w:rPr>
              <w:t xml:space="preserve">Loan </w:t>
            </w:r>
          </w:p>
          <w:p w14:paraId="162EDDAF" w14:textId="77777777" w:rsidR="0021298F" w:rsidRPr="00775779" w:rsidRDefault="0021298F" w:rsidP="00760009">
            <w:pPr>
              <w:jc w:val="right"/>
              <w:rPr>
                <w:rFonts w:ascii="Arial" w:eastAsia="Times New Roman" w:hAnsi="Arial" w:cs="Arial"/>
                <w:b/>
                <w:bCs/>
                <w:color w:val="000000"/>
                <w:lang w:eastAsia="zh-CN"/>
              </w:rPr>
            </w:pPr>
            <w:r w:rsidRPr="00775779">
              <w:rPr>
                <w:rFonts w:ascii="Arial" w:eastAsia="Times New Roman" w:hAnsi="Arial" w:cs="Arial"/>
                <w:b/>
                <w:bCs/>
                <w:color w:val="000000"/>
                <w:lang w:eastAsia="zh-CN"/>
              </w:rPr>
              <w:t>margin</w:t>
            </w:r>
          </w:p>
        </w:tc>
        <w:tc>
          <w:tcPr>
            <w:tcW w:w="986" w:type="pct"/>
            <w:tcBorders>
              <w:top w:val="nil"/>
              <w:left w:val="nil"/>
              <w:bottom w:val="nil"/>
              <w:right w:val="nil"/>
            </w:tcBorders>
            <w:shd w:val="clear" w:color="auto" w:fill="auto"/>
            <w:noWrap/>
            <w:vAlign w:val="bottom"/>
            <w:hideMark/>
          </w:tcPr>
          <w:p w14:paraId="1EFB4CE8" w14:textId="77777777" w:rsidR="0021298F" w:rsidRDefault="0021298F" w:rsidP="00760009">
            <w:pPr>
              <w:jc w:val="right"/>
              <w:rPr>
                <w:rFonts w:ascii="Arial" w:eastAsia="Times New Roman" w:hAnsi="Arial" w:cs="Arial"/>
                <w:b/>
                <w:bCs/>
                <w:color w:val="000000"/>
                <w:lang w:eastAsia="zh-CN"/>
              </w:rPr>
            </w:pPr>
            <w:r w:rsidRPr="00775779">
              <w:rPr>
                <w:rFonts w:ascii="Arial" w:eastAsia="Times New Roman" w:hAnsi="Arial" w:cs="Arial"/>
                <w:b/>
                <w:bCs/>
                <w:color w:val="000000"/>
                <w:lang w:eastAsia="zh-CN"/>
              </w:rPr>
              <w:t>Swap fixed</w:t>
            </w:r>
          </w:p>
          <w:p w14:paraId="29C21AF4" w14:textId="77777777" w:rsidR="0021298F" w:rsidRPr="00775779" w:rsidRDefault="0021298F" w:rsidP="00760009">
            <w:pPr>
              <w:jc w:val="right"/>
              <w:rPr>
                <w:rFonts w:ascii="Arial" w:eastAsia="Times New Roman" w:hAnsi="Arial" w:cs="Arial"/>
                <w:b/>
                <w:bCs/>
                <w:color w:val="000000"/>
                <w:lang w:eastAsia="zh-CN"/>
              </w:rPr>
            </w:pPr>
            <w:r w:rsidRPr="00775779">
              <w:rPr>
                <w:rFonts w:ascii="Arial" w:eastAsia="Times New Roman" w:hAnsi="Arial" w:cs="Arial"/>
                <w:b/>
                <w:bCs/>
                <w:color w:val="000000"/>
                <w:lang w:eastAsia="zh-CN"/>
              </w:rPr>
              <w:t xml:space="preserve"> rate</w:t>
            </w:r>
          </w:p>
        </w:tc>
        <w:tc>
          <w:tcPr>
            <w:tcW w:w="713" w:type="pct"/>
            <w:tcBorders>
              <w:top w:val="nil"/>
              <w:left w:val="nil"/>
              <w:bottom w:val="nil"/>
              <w:right w:val="nil"/>
            </w:tcBorders>
            <w:shd w:val="clear" w:color="auto" w:fill="auto"/>
            <w:noWrap/>
            <w:vAlign w:val="bottom"/>
            <w:hideMark/>
          </w:tcPr>
          <w:p w14:paraId="1690BEBC" w14:textId="77777777" w:rsidR="0021298F" w:rsidRDefault="0021298F" w:rsidP="00760009">
            <w:pPr>
              <w:jc w:val="right"/>
              <w:rPr>
                <w:rFonts w:ascii="Arial" w:eastAsia="Times New Roman" w:hAnsi="Arial" w:cs="Arial"/>
                <w:b/>
                <w:bCs/>
                <w:color w:val="000000"/>
                <w:lang w:eastAsia="zh-CN"/>
              </w:rPr>
            </w:pPr>
            <w:r w:rsidRPr="00775779">
              <w:rPr>
                <w:rFonts w:ascii="Arial" w:eastAsia="Times New Roman" w:hAnsi="Arial" w:cs="Arial"/>
                <w:b/>
                <w:bCs/>
                <w:color w:val="000000"/>
                <w:lang w:eastAsia="zh-CN"/>
              </w:rPr>
              <w:t xml:space="preserve">Loan </w:t>
            </w:r>
          </w:p>
          <w:p w14:paraId="49F1FFB3" w14:textId="77777777" w:rsidR="0021298F" w:rsidRPr="00775779" w:rsidRDefault="0021298F" w:rsidP="00760009">
            <w:pPr>
              <w:jc w:val="right"/>
              <w:rPr>
                <w:rFonts w:ascii="Arial" w:eastAsia="Times New Roman" w:hAnsi="Arial" w:cs="Arial"/>
                <w:b/>
                <w:bCs/>
                <w:color w:val="000000"/>
                <w:lang w:eastAsia="zh-CN"/>
              </w:rPr>
            </w:pPr>
            <w:r w:rsidRPr="00775779">
              <w:rPr>
                <w:rFonts w:ascii="Arial" w:eastAsia="Times New Roman" w:hAnsi="Arial" w:cs="Arial"/>
                <w:b/>
                <w:bCs/>
                <w:color w:val="000000"/>
                <w:lang w:eastAsia="zh-CN"/>
              </w:rPr>
              <w:t>principal</w:t>
            </w:r>
          </w:p>
        </w:tc>
        <w:tc>
          <w:tcPr>
            <w:tcW w:w="1105" w:type="pct"/>
            <w:tcBorders>
              <w:top w:val="nil"/>
              <w:left w:val="nil"/>
              <w:bottom w:val="nil"/>
              <w:right w:val="nil"/>
            </w:tcBorders>
            <w:shd w:val="clear" w:color="auto" w:fill="auto"/>
            <w:vAlign w:val="bottom"/>
            <w:hideMark/>
          </w:tcPr>
          <w:p w14:paraId="63EB41DA" w14:textId="77777777" w:rsidR="0021298F" w:rsidRPr="00775779" w:rsidRDefault="0021298F" w:rsidP="00760009">
            <w:pPr>
              <w:jc w:val="right"/>
              <w:rPr>
                <w:rFonts w:ascii="Arial" w:eastAsia="Times New Roman" w:hAnsi="Arial" w:cs="Arial"/>
                <w:b/>
                <w:bCs/>
                <w:color w:val="000000"/>
                <w:lang w:eastAsia="zh-CN"/>
              </w:rPr>
            </w:pPr>
            <w:r w:rsidRPr="00775779">
              <w:rPr>
                <w:rFonts w:ascii="Arial" w:eastAsia="Times New Roman" w:hAnsi="Arial" w:cs="Arial"/>
                <w:b/>
                <w:bCs/>
                <w:color w:val="000000"/>
                <w:lang w:eastAsia="zh-CN"/>
              </w:rPr>
              <w:t>Accrued interest at 31 December 20</w:t>
            </w:r>
            <w:r>
              <w:rPr>
                <w:rFonts w:ascii="Arial" w:eastAsia="Times New Roman" w:hAnsi="Arial" w:cs="Arial"/>
                <w:b/>
                <w:bCs/>
                <w:color w:val="000000"/>
                <w:lang w:eastAsia="zh-CN"/>
              </w:rPr>
              <w:t>20</w:t>
            </w:r>
          </w:p>
        </w:tc>
      </w:tr>
      <w:tr w:rsidR="0021298F" w:rsidRPr="00775779" w14:paraId="2AC33297" w14:textId="77777777" w:rsidTr="00760009">
        <w:trPr>
          <w:trHeight w:val="300"/>
        </w:trPr>
        <w:tc>
          <w:tcPr>
            <w:tcW w:w="593" w:type="pct"/>
            <w:tcBorders>
              <w:top w:val="nil"/>
              <w:left w:val="nil"/>
              <w:bottom w:val="single" w:sz="4" w:space="0" w:color="auto"/>
              <w:right w:val="nil"/>
            </w:tcBorders>
            <w:shd w:val="clear" w:color="auto" w:fill="auto"/>
            <w:noWrap/>
            <w:vAlign w:val="bottom"/>
            <w:hideMark/>
          </w:tcPr>
          <w:p w14:paraId="62BFCE9F" w14:textId="77777777" w:rsidR="0021298F" w:rsidRPr="00775779" w:rsidRDefault="0021298F" w:rsidP="00760009">
            <w:pPr>
              <w:rPr>
                <w:rFonts w:ascii="Arial" w:eastAsia="Times New Roman" w:hAnsi="Arial" w:cs="Arial"/>
                <w:b/>
                <w:bCs/>
                <w:color w:val="000000"/>
                <w:lang w:eastAsia="zh-CN"/>
              </w:rPr>
            </w:pPr>
            <w:r w:rsidRPr="00775779">
              <w:rPr>
                <w:rFonts w:ascii="Arial" w:eastAsia="Times New Roman" w:hAnsi="Arial" w:cs="Arial"/>
                <w:b/>
                <w:bCs/>
                <w:color w:val="000000"/>
                <w:lang w:eastAsia="zh-CN"/>
              </w:rPr>
              <w:t> </w:t>
            </w:r>
          </w:p>
        </w:tc>
        <w:tc>
          <w:tcPr>
            <w:tcW w:w="926" w:type="pct"/>
            <w:tcBorders>
              <w:top w:val="nil"/>
              <w:left w:val="nil"/>
              <w:bottom w:val="single" w:sz="4" w:space="0" w:color="auto"/>
              <w:right w:val="nil"/>
            </w:tcBorders>
            <w:shd w:val="clear" w:color="auto" w:fill="auto"/>
            <w:noWrap/>
            <w:vAlign w:val="bottom"/>
            <w:hideMark/>
          </w:tcPr>
          <w:p w14:paraId="7366A504" w14:textId="77777777" w:rsidR="0021298F" w:rsidRPr="00775779" w:rsidRDefault="0021298F" w:rsidP="00760009">
            <w:pPr>
              <w:jc w:val="right"/>
              <w:rPr>
                <w:rFonts w:ascii="Arial" w:eastAsia="Times New Roman" w:hAnsi="Arial" w:cs="Arial"/>
                <w:color w:val="000000"/>
                <w:lang w:eastAsia="zh-CN"/>
              </w:rPr>
            </w:pPr>
            <w:r w:rsidRPr="00775779">
              <w:rPr>
                <w:rFonts w:ascii="Arial" w:eastAsia="Times New Roman" w:hAnsi="Arial" w:cs="Arial"/>
                <w:color w:val="000000"/>
                <w:lang w:eastAsia="zh-CN"/>
              </w:rPr>
              <w:t> </w:t>
            </w:r>
          </w:p>
        </w:tc>
        <w:tc>
          <w:tcPr>
            <w:tcW w:w="678" w:type="pct"/>
            <w:tcBorders>
              <w:top w:val="nil"/>
              <w:left w:val="nil"/>
              <w:bottom w:val="single" w:sz="4" w:space="0" w:color="auto"/>
              <w:right w:val="nil"/>
            </w:tcBorders>
            <w:shd w:val="clear" w:color="auto" w:fill="auto"/>
            <w:noWrap/>
            <w:vAlign w:val="bottom"/>
            <w:hideMark/>
          </w:tcPr>
          <w:p w14:paraId="43D582F0" w14:textId="77777777" w:rsidR="0021298F" w:rsidRPr="00775779" w:rsidRDefault="0021298F" w:rsidP="00760009">
            <w:pPr>
              <w:jc w:val="right"/>
              <w:rPr>
                <w:rFonts w:ascii="Arial" w:eastAsia="Times New Roman" w:hAnsi="Arial" w:cs="Arial"/>
                <w:b/>
                <w:bCs/>
                <w:color w:val="000000"/>
                <w:lang w:eastAsia="zh-CN"/>
              </w:rPr>
            </w:pPr>
            <w:r w:rsidRPr="00775779">
              <w:rPr>
                <w:rFonts w:ascii="Arial" w:eastAsia="Times New Roman" w:hAnsi="Arial" w:cs="Arial"/>
                <w:b/>
                <w:bCs/>
                <w:color w:val="000000"/>
                <w:lang w:eastAsia="zh-CN"/>
              </w:rPr>
              <w:t>%</w:t>
            </w:r>
          </w:p>
        </w:tc>
        <w:tc>
          <w:tcPr>
            <w:tcW w:w="986" w:type="pct"/>
            <w:tcBorders>
              <w:top w:val="nil"/>
              <w:left w:val="nil"/>
              <w:bottom w:val="single" w:sz="4" w:space="0" w:color="auto"/>
              <w:right w:val="nil"/>
            </w:tcBorders>
            <w:shd w:val="clear" w:color="auto" w:fill="auto"/>
            <w:noWrap/>
            <w:vAlign w:val="bottom"/>
            <w:hideMark/>
          </w:tcPr>
          <w:p w14:paraId="710D0E05" w14:textId="77777777" w:rsidR="0021298F" w:rsidRPr="00775779" w:rsidRDefault="0021298F" w:rsidP="00760009">
            <w:pPr>
              <w:jc w:val="right"/>
              <w:rPr>
                <w:rFonts w:ascii="Arial" w:eastAsia="Times New Roman" w:hAnsi="Arial" w:cs="Arial"/>
                <w:b/>
                <w:bCs/>
                <w:color w:val="000000"/>
                <w:lang w:eastAsia="zh-CN"/>
              </w:rPr>
            </w:pPr>
            <w:r w:rsidRPr="00775779">
              <w:rPr>
                <w:rFonts w:ascii="Arial" w:eastAsia="Times New Roman" w:hAnsi="Arial" w:cs="Arial"/>
                <w:b/>
                <w:bCs/>
                <w:color w:val="000000"/>
                <w:lang w:eastAsia="zh-CN"/>
              </w:rPr>
              <w:t>%</w:t>
            </w:r>
          </w:p>
        </w:tc>
        <w:tc>
          <w:tcPr>
            <w:tcW w:w="713" w:type="pct"/>
            <w:tcBorders>
              <w:top w:val="nil"/>
              <w:left w:val="nil"/>
              <w:bottom w:val="single" w:sz="4" w:space="0" w:color="auto"/>
              <w:right w:val="nil"/>
            </w:tcBorders>
            <w:shd w:val="clear" w:color="auto" w:fill="auto"/>
            <w:noWrap/>
            <w:vAlign w:val="center"/>
            <w:hideMark/>
          </w:tcPr>
          <w:p w14:paraId="1CDFD80B" w14:textId="77777777" w:rsidR="0021298F" w:rsidRPr="00775779" w:rsidRDefault="0021298F" w:rsidP="00760009">
            <w:pPr>
              <w:jc w:val="right"/>
              <w:rPr>
                <w:rFonts w:ascii="Arial" w:eastAsia="Times New Roman" w:hAnsi="Arial" w:cs="Arial"/>
                <w:b/>
                <w:bCs/>
                <w:lang w:eastAsia="zh-CN"/>
              </w:rPr>
            </w:pPr>
            <w:r>
              <w:rPr>
                <w:rFonts w:ascii="Arial" w:eastAsia="Times New Roman" w:hAnsi="Arial" w:cs="Arial"/>
                <w:b/>
                <w:bCs/>
                <w:lang w:eastAsia="zh-CN"/>
              </w:rPr>
              <w:t>€</w:t>
            </w:r>
            <w:r w:rsidRPr="00775779">
              <w:rPr>
                <w:rFonts w:ascii="Arial" w:eastAsia="Times New Roman" w:hAnsi="Arial" w:cs="Arial"/>
                <w:b/>
                <w:bCs/>
                <w:lang w:eastAsia="zh-CN"/>
              </w:rPr>
              <w:t>'000</w:t>
            </w:r>
          </w:p>
        </w:tc>
        <w:tc>
          <w:tcPr>
            <w:tcW w:w="1105" w:type="pct"/>
            <w:tcBorders>
              <w:top w:val="nil"/>
              <w:left w:val="nil"/>
              <w:bottom w:val="single" w:sz="4" w:space="0" w:color="auto"/>
              <w:right w:val="nil"/>
            </w:tcBorders>
            <w:shd w:val="clear" w:color="auto" w:fill="auto"/>
            <w:noWrap/>
            <w:vAlign w:val="center"/>
            <w:hideMark/>
          </w:tcPr>
          <w:p w14:paraId="526FEC25" w14:textId="77777777" w:rsidR="0021298F" w:rsidRPr="00775779" w:rsidRDefault="0021298F" w:rsidP="00760009">
            <w:pPr>
              <w:jc w:val="right"/>
              <w:rPr>
                <w:rFonts w:ascii="Arial" w:eastAsia="Times New Roman" w:hAnsi="Arial" w:cs="Arial"/>
                <w:b/>
                <w:bCs/>
                <w:lang w:eastAsia="zh-CN"/>
              </w:rPr>
            </w:pPr>
            <w:r>
              <w:rPr>
                <w:rFonts w:ascii="Arial" w:eastAsia="Times New Roman" w:hAnsi="Arial" w:cs="Arial"/>
                <w:b/>
                <w:bCs/>
                <w:lang w:eastAsia="zh-CN"/>
              </w:rPr>
              <w:t>€</w:t>
            </w:r>
            <w:r w:rsidRPr="00775779">
              <w:rPr>
                <w:rFonts w:ascii="Arial" w:eastAsia="Times New Roman" w:hAnsi="Arial" w:cs="Arial"/>
                <w:b/>
                <w:bCs/>
                <w:lang w:eastAsia="zh-CN"/>
              </w:rPr>
              <w:t>'000</w:t>
            </w:r>
          </w:p>
        </w:tc>
      </w:tr>
      <w:tr w:rsidR="0021298F" w:rsidRPr="00775779" w14:paraId="7A5C298C" w14:textId="77777777" w:rsidTr="00760009">
        <w:trPr>
          <w:trHeight w:val="300"/>
        </w:trPr>
        <w:tc>
          <w:tcPr>
            <w:tcW w:w="593" w:type="pct"/>
            <w:tcBorders>
              <w:top w:val="nil"/>
              <w:left w:val="nil"/>
              <w:bottom w:val="nil"/>
              <w:right w:val="nil"/>
            </w:tcBorders>
            <w:shd w:val="clear" w:color="000000" w:fill="EDFFB7"/>
            <w:noWrap/>
            <w:vAlign w:val="bottom"/>
            <w:hideMark/>
          </w:tcPr>
          <w:p w14:paraId="1D789AF5" w14:textId="77777777" w:rsidR="0021298F" w:rsidRPr="00775779" w:rsidRDefault="0021298F" w:rsidP="00760009">
            <w:pPr>
              <w:rPr>
                <w:rFonts w:ascii="Arial" w:eastAsia="Times New Roman" w:hAnsi="Arial" w:cs="Arial"/>
                <w:b/>
                <w:bCs/>
                <w:color w:val="000000"/>
                <w:lang w:eastAsia="zh-CN"/>
              </w:rPr>
            </w:pPr>
            <w:r w:rsidRPr="00775779">
              <w:rPr>
                <w:rFonts w:ascii="Arial" w:eastAsia="Times New Roman" w:hAnsi="Arial" w:cs="Arial"/>
                <w:b/>
                <w:bCs/>
                <w:color w:val="000000"/>
                <w:lang w:eastAsia="zh-CN"/>
              </w:rPr>
              <w:t> </w:t>
            </w:r>
          </w:p>
        </w:tc>
        <w:tc>
          <w:tcPr>
            <w:tcW w:w="926" w:type="pct"/>
            <w:tcBorders>
              <w:top w:val="nil"/>
              <w:left w:val="nil"/>
              <w:bottom w:val="nil"/>
              <w:right w:val="nil"/>
            </w:tcBorders>
            <w:shd w:val="clear" w:color="000000" w:fill="EDFFB7"/>
            <w:noWrap/>
            <w:vAlign w:val="bottom"/>
            <w:hideMark/>
          </w:tcPr>
          <w:p w14:paraId="36DD6326" w14:textId="77777777" w:rsidR="0021298F" w:rsidRPr="00775779" w:rsidRDefault="0021298F" w:rsidP="00760009">
            <w:pPr>
              <w:rPr>
                <w:rFonts w:ascii="Arial" w:eastAsia="Times New Roman" w:hAnsi="Arial" w:cs="Arial"/>
                <w:color w:val="000000"/>
                <w:lang w:eastAsia="zh-CN"/>
              </w:rPr>
            </w:pPr>
            <w:r w:rsidRPr="00775779">
              <w:rPr>
                <w:rFonts w:ascii="Arial" w:eastAsia="Times New Roman" w:hAnsi="Arial" w:cs="Arial"/>
                <w:color w:val="000000"/>
                <w:lang w:eastAsia="zh-CN"/>
              </w:rPr>
              <w:t> </w:t>
            </w:r>
          </w:p>
        </w:tc>
        <w:tc>
          <w:tcPr>
            <w:tcW w:w="678" w:type="pct"/>
            <w:tcBorders>
              <w:top w:val="nil"/>
              <w:left w:val="nil"/>
              <w:bottom w:val="nil"/>
              <w:right w:val="nil"/>
            </w:tcBorders>
            <w:shd w:val="clear" w:color="000000" w:fill="EDFFB7"/>
            <w:noWrap/>
            <w:vAlign w:val="bottom"/>
            <w:hideMark/>
          </w:tcPr>
          <w:p w14:paraId="663180D8" w14:textId="77777777" w:rsidR="0021298F" w:rsidRPr="00775779" w:rsidRDefault="0021298F" w:rsidP="00760009">
            <w:pPr>
              <w:rPr>
                <w:rFonts w:ascii="Arial" w:eastAsia="Times New Roman" w:hAnsi="Arial" w:cs="Arial"/>
                <w:color w:val="000000"/>
                <w:lang w:eastAsia="zh-CN"/>
              </w:rPr>
            </w:pPr>
            <w:r w:rsidRPr="00775779">
              <w:rPr>
                <w:rFonts w:ascii="Arial" w:eastAsia="Times New Roman" w:hAnsi="Arial" w:cs="Arial"/>
                <w:color w:val="000000"/>
                <w:lang w:eastAsia="zh-CN"/>
              </w:rPr>
              <w:t> </w:t>
            </w:r>
          </w:p>
        </w:tc>
        <w:tc>
          <w:tcPr>
            <w:tcW w:w="986" w:type="pct"/>
            <w:tcBorders>
              <w:top w:val="nil"/>
              <w:left w:val="nil"/>
              <w:bottom w:val="nil"/>
              <w:right w:val="nil"/>
            </w:tcBorders>
            <w:shd w:val="clear" w:color="000000" w:fill="EDFFB7"/>
            <w:noWrap/>
            <w:vAlign w:val="bottom"/>
            <w:hideMark/>
          </w:tcPr>
          <w:p w14:paraId="1428C8B8" w14:textId="77777777" w:rsidR="0021298F" w:rsidRPr="00775779" w:rsidRDefault="0021298F" w:rsidP="00760009">
            <w:pPr>
              <w:rPr>
                <w:rFonts w:ascii="Arial" w:eastAsia="Times New Roman" w:hAnsi="Arial" w:cs="Arial"/>
                <w:color w:val="000000"/>
                <w:lang w:eastAsia="zh-CN"/>
              </w:rPr>
            </w:pPr>
            <w:r w:rsidRPr="00775779">
              <w:rPr>
                <w:rFonts w:ascii="Arial" w:eastAsia="Times New Roman" w:hAnsi="Arial" w:cs="Arial"/>
                <w:color w:val="000000"/>
                <w:lang w:eastAsia="zh-CN"/>
              </w:rPr>
              <w:t> </w:t>
            </w:r>
          </w:p>
        </w:tc>
        <w:tc>
          <w:tcPr>
            <w:tcW w:w="713" w:type="pct"/>
            <w:tcBorders>
              <w:top w:val="nil"/>
              <w:left w:val="nil"/>
              <w:bottom w:val="nil"/>
              <w:right w:val="nil"/>
            </w:tcBorders>
            <w:shd w:val="clear" w:color="000000" w:fill="EDFFB7"/>
            <w:noWrap/>
            <w:vAlign w:val="bottom"/>
            <w:hideMark/>
          </w:tcPr>
          <w:p w14:paraId="7BA9040C" w14:textId="77777777" w:rsidR="0021298F" w:rsidRPr="00775779" w:rsidRDefault="0021298F" w:rsidP="00760009">
            <w:pPr>
              <w:rPr>
                <w:rFonts w:ascii="Arial" w:eastAsia="Times New Roman" w:hAnsi="Arial" w:cs="Arial"/>
                <w:color w:val="000000"/>
                <w:lang w:eastAsia="zh-CN"/>
              </w:rPr>
            </w:pPr>
            <w:r w:rsidRPr="00775779">
              <w:rPr>
                <w:rFonts w:ascii="Arial" w:eastAsia="Times New Roman" w:hAnsi="Arial" w:cs="Arial"/>
                <w:color w:val="000000"/>
                <w:lang w:eastAsia="zh-CN"/>
              </w:rPr>
              <w:t> </w:t>
            </w:r>
          </w:p>
        </w:tc>
        <w:tc>
          <w:tcPr>
            <w:tcW w:w="1105" w:type="pct"/>
            <w:tcBorders>
              <w:top w:val="nil"/>
              <w:left w:val="nil"/>
              <w:bottom w:val="nil"/>
              <w:right w:val="nil"/>
            </w:tcBorders>
            <w:shd w:val="clear" w:color="000000" w:fill="EDFFB7"/>
            <w:noWrap/>
            <w:vAlign w:val="bottom"/>
            <w:hideMark/>
          </w:tcPr>
          <w:p w14:paraId="1E0D2BF5" w14:textId="77777777" w:rsidR="0021298F" w:rsidRPr="00775779" w:rsidRDefault="0021298F" w:rsidP="00760009">
            <w:pPr>
              <w:rPr>
                <w:rFonts w:ascii="Arial" w:eastAsia="Times New Roman" w:hAnsi="Arial" w:cs="Arial"/>
                <w:color w:val="000000"/>
                <w:lang w:eastAsia="zh-CN"/>
              </w:rPr>
            </w:pPr>
            <w:r w:rsidRPr="00775779">
              <w:rPr>
                <w:rFonts w:ascii="Arial" w:eastAsia="Times New Roman" w:hAnsi="Arial" w:cs="Arial"/>
                <w:color w:val="000000"/>
                <w:lang w:eastAsia="zh-CN"/>
              </w:rPr>
              <w:t> </w:t>
            </w:r>
          </w:p>
        </w:tc>
      </w:tr>
      <w:tr w:rsidR="0021298F" w:rsidRPr="00775779" w14:paraId="49EB8A79" w14:textId="77777777" w:rsidTr="00760009">
        <w:trPr>
          <w:trHeight w:val="285"/>
        </w:trPr>
        <w:tc>
          <w:tcPr>
            <w:tcW w:w="593" w:type="pct"/>
            <w:tcBorders>
              <w:top w:val="nil"/>
              <w:left w:val="nil"/>
              <w:bottom w:val="nil"/>
              <w:right w:val="nil"/>
            </w:tcBorders>
            <w:shd w:val="clear" w:color="000000" w:fill="EDFFB7"/>
            <w:noWrap/>
            <w:vAlign w:val="bottom"/>
            <w:hideMark/>
          </w:tcPr>
          <w:p w14:paraId="3CB2CE01" w14:textId="77777777" w:rsidR="0021298F" w:rsidRPr="00775779" w:rsidRDefault="0021298F" w:rsidP="00760009">
            <w:pPr>
              <w:rPr>
                <w:rFonts w:ascii="Arial" w:eastAsia="Times New Roman" w:hAnsi="Arial" w:cs="Arial"/>
                <w:color w:val="000000"/>
                <w:lang w:eastAsia="zh-CN"/>
              </w:rPr>
            </w:pPr>
            <w:r w:rsidRPr="00775779">
              <w:rPr>
                <w:rFonts w:ascii="Arial" w:eastAsia="Times New Roman" w:hAnsi="Arial" w:cs="Arial"/>
                <w:color w:val="000000"/>
                <w:lang w:eastAsia="zh-CN"/>
              </w:rPr>
              <w:t>CBA</w:t>
            </w:r>
          </w:p>
        </w:tc>
        <w:tc>
          <w:tcPr>
            <w:tcW w:w="926" w:type="pct"/>
            <w:tcBorders>
              <w:top w:val="nil"/>
              <w:left w:val="nil"/>
              <w:bottom w:val="nil"/>
              <w:right w:val="nil"/>
            </w:tcBorders>
            <w:shd w:val="clear" w:color="000000" w:fill="EDFFB7"/>
            <w:noWrap/>
            <w:vAlign w:val="bottom"/>
            <w:hideMark/>
          </w:tcPr>
          <w:p w14:paraId="3295D6CE" w14:textId="77777777" w:rsidR="0021298F" w:rsidRPr="00775779" w:rsidRDefault="0021298F" w:rsidP="00760009">
            <w:pPr>
              <w:jc w:val="right"/>
              <w:rPr>
                <w:rFonts w:ascii="Arial" w:eastAsia="Times New Roman" w:hAnsi="Arial" w:cs="Arial"/>
                <w:color w:val="000000"/>
                <w:lang w:eastAsia="zh-CN"/>
              </w:rPr>
            </w:pPr>
            <w:r>
              <w:rPr>
                <w:rFonts w:ascii="Arial" w:eastAsia="Times New Roman" w:hAnsi="Arial" w:cs="Arial"/>
                <w:color w:val="000000"/>
                <w:lang w:eastAsia="zh-CN"/>
              </w:rPr>
              <w:t>7 October 2</w:t>
            </w:r>
            <w:r w:rsidRPr="00775779">
              <w:rPr>
                <w:rFonts w:ascii="Arial" w:eastAsia="Times New Roman" w:hAnsi="Arial" w:cs="Arial"/>
                <w:color w:val="000000"/>
                <w:lang w:eastAsia="zh-CN"/>
              </w:rPr>
              <w:t>02</w:t>
            </w:r>
            <w:r>
              <w:rPr>
                <w:rFonts w:ascii="Arial" w:eastAsia="Times New Roman" w:hAnsi="Arial" w:cs="Arial"/>
                <w:color w:val="000000"/>
                <w:lang w:eastAsia="zh-CN"/>
              </w:rPr>
              <w:t>5</w:t>
            </w:r>
          </w:p>
        </w:tc>
        <w:tc>
          <w:tcPr>
            <w:tcW w:w="678" w:type="pct"/>
            <w:tcBorders>
              <w:top w:val="nil"/>
              <w:left w:val="nil"/>
              <w:bottom w:val="nil"/>
              <w:right w:val="nil"/>
            </w:tcBorders>
            <w:shd w:val="clear" w:color="000000" w:fill="EDFFB7"/>
            <w:noWrap/>
            <w:vAlign w:val="bottom"/>
            <w:hideMark/>
          </w:tcPr>
          <w:p w14:paraId="395E5987" w14:textId="77777777" w:rsidR="0021298F" w:rsidRPr="00775779" w:rsidRDefault="0021298F" w:rsidP="00760009">
            <w:pPr>
              <w:jc w:val="right"/>
              <w:rPr>
                <w:rFonts w:ascii="Arial" w:eastAsia="Times New Roman" w:hAnsi="Arial" w:cs="Arial"/>
                <w:color w:val="000000"/>
                <w:lang w:eastAsia="zh-CN"/>
              </w:rPr>
            </w:pPr>
            <w:r w:rsidRPr="00775779">
              <w:rPr>
                <w:rFonts w:ascii="Arial" w:eastAsia="Times New Roman" w:hAnsi="Arial" w:cs="Arial"/>
                <w:color w:val="000000"/>
                <w:lang w:eastAsia="zh-CN"/>
              </w:rPr>
              <w:t>1.</w:t>
            </w:r>
            <w:r>
              <w:rPr>
                <w:rFonts w:ascii="Arial" w:eastAsia="Times New Roman" w:hAnsi="Arial" w:cs="Arial"/>
                <w:color w:val="000000"/>
                <w:lang w:eastAsia="zh-CN"/>
              </w:rPr>
              <w:t>55</w:t>
            </w:r>
          </w:p>
        </w:tc>
        <w:tc>
          <w:tcPr>
            <w:tcW w:w="986" w:type="pct"/>
            <w:tcBorders>
              <w:top w:val="nil"/>
              <w:left w:val="nil"/>
              <w:bottom w:val="nil"/>
              <w:right w:val="nil"/>
            </w:tcBorders>
            <w:shd w:val="clear" w:color="000000" w:fill="EDFFB7"/>
            <w:noWrap/>
            <w:vAlign w:val="bottom"/>
            <w:hideMark/>
          </w:tcPr>
          <w:p w14:paraId="739D6ED3" w14:textId="77777777" w:rsidR="0021298F" w:rsidRPr="00775779" w:rsidRDefault="0021298F" w:rsidP="00760009">
            <w:pPr>
              <w:jc w:val="right"/>
              <w:rPr>
                <w:rFonts w:ascii="Arial" w:eastAsia="Times New Roman" w:hAnsi="Arial" w:cs="Arial"/>
                <w:color w:val="000000"/>
                <w:lang w:eastAsia="zh-CN"/>
              </w:rPr>
            </w:pPr>
            <w:r>
              <w:rPr>
                <w:rFonts w:ascii="Arial" w:eastAsia="Times New Roman" w:hAnsi="Arial" w:cs="Arial"/>
                <w:color w:val="000000"/>
                <w:lang w:eastAsia="zh-CN"/>
              </w:rPr>
              <w:t>(0.399)</w:t>
            </w:r>
          </w:p>
        </w:tc>
        <w:tc>
          <w:tcPr>
            <w:tcW w:w="713" w:type="pct"/>
            <w:tcBorders>
              <w:top w:val="nil"/>
              <w:left w:val="nil"/>
              <w:bottom w:val="nil"/>
              <w:right w:val="nil"/>
            </w:tcBorders>
            <w:shd w:val="clear" w:color="000000" w:fill="EDFFB7"/>
            <w:noWrap/>
            <w:vAlign w:val="center"/>
            <w:hideMark/>
          </w:tcPr>
          <w:p w14:paraId="79B18C3C" w14:textId="77777777" w:rsidR="0021298F" w:rsidRPr="00775779" w:rsidRDefault="0021298F" w:rsidP="00760009">
            <w:pPr>
              <w:jc w:val="right"/>
              <w:rPr>
                <w:rFonts w:ascii="Arial" w:eastAsia="Times New Roman" w:hAnsi="Arial" w:cs="Arial"/>
                <w:lang w:eastAsia="zh-CN"/>
              </w:rPr>
            </w:pPr>
            <w:r w:rsidRPr="00775779">
              <w:rPr>
                <w:rFonts w:ascii="Arial" w:eastAsia="Times New Roman" w:hAnsi="Arial" w:cs="Arial"/>
                <w:lang w:eastAsia="zh-CN"/>
              </w:rPr>
              <w:t>75,000</w:t>
            </w:r>
          </w:p>
        </w:tc>
        <w:tc>
          <w:tcPr>
            <w:tcW w:w="1105" w:type="pct"/>
            <w:tcBorders>
              <w:top w:val="nil"/>
              <w:left w:val="nil"/>
              <w:bottom w:val="nil"/>
              <w:right w:val="nil"/>
            </w:tcBorders>
            <w:shd w:val="clear" w:color="000000" w:fill="EDFFB7"/>
            <w:noWrap/>
            <w:vAlign w:val="center"/>
          </w:tcPr>
          <w:p w14:paraId="2B5DD61B" w14:textId="77777777" w:rsidR="0021298F" w:rsidRPr="00A1736B" w:rsidRDefault="0021298F" w:rsidP="00760009">
            <w:pPr>
              <w:jc w:val="right"/>
              <w:rPr>
                <w:rFonts w:ascii="Arial" w:eastAsia="Times New Roman" w:hAnsi="Arial" w:cs="Arial"/>
                <w:lang w:eastAsia="zh-CN"/>
              </w:rPr>
            </w:pPr>
            <w:r w:rsidRPr="00A1736B">
              <w:rPr>
                <w:rFonts w:ascii="Arial" w:eastAsia="Times New Roman" w:hAnsi="Arial" w:cs="Arial"/>
                <w:lang w:eastAsia="zh-CN"/>
              </w:rPr>
              <w:t>206</w:t>
            </w:r>
          </w:p>
        </w:tc>
      </w:tr>
      <w:tr w:rsidR="0021298F" w:rsidRPr="00775779" w14:paraId="101F056F" w14:textId="77777777" w:rsidTr="00760009">
        <w:trPr>
          <w:trHeight w:val="285"/>
        </w:trPr>
        <w:tc>
          <w:tcPr>
            <w:tcW w:w="593" w:type="pct"/>
            <w:tcBorders>
              <w:top w:val="nil"/>
              <w:left w:val="nil"/>
              <w:bottom w:val="nil"/>
              <w:right w:val="nil"/>
            </w:tcBorders>
            <w:shd w:val="clear" w:color="000000" w:fill="EDFFB7"/>
            <w:noWrap/>
            <w:vAlign w:val="bottom"/>
            <w:hideMark/>
          </w:tcPr>
          <w:p w14:paraId="6C2C146D" w14:textId="77777777" w:rsidR="0021298F" w:rsidRPr="00775779" w:rsidRDefault="0021298F" w:rsidP="00760009">
            <w:pPr>
              <w:rPr>
                <w:rFonts w:ascii="Arial" w:eastAsia="Times New Roman" w:hAnsi="Arial" w:cs="Arial"/>
                <w:color w:val="000000"/>
                <w:lang w:eastAsia="zh-CN"/>
              </w:rPr>
            </w:pPr>
            <w:r>
              <w:rPr>
                <w:rFonts w:ascii="Arial" w:eastAsia="Times New Roman" w:hAnsi="Arial" w:cs="Arial"/>
                <w:color w:val="000000"/>
                <w:lang w:eastAsia="zh-CN"/>
              </w:rPr>
              <w:t>NAB</w:t>
            </w:r>
          </w:p>
        </w:tc>
        <w:tc>
          <w:tcPr>
            <w:tcW w:w="926" w:type="pct"/>
            <w:tcBorders>
              <w:top w:val="nil"/>
              <w:left w:val="nil"/>
              <w:bottom w:val="nil"/>
              <w:right w:val="nil"/>
            </w:tcBorders>
            <w:shd w:val="clear" w:color="000000" w:fill="EDFFB7"/>
            <w:noWrap/>
            <w:vAlign w:val="bottom"/>
          </w:tcPr>
          <w:p w14:paraId="72189CF2" w14:textId="77777777" w:rsidR="0021298F" w:rsidRPr="00775779" w:rsidRDefault="0021298F" w:rsidP="00760009">
            <w:pPr>
              <w:jc w:val="right"/>
              <w:rPr>
                <w:rFonts w:ascii="Arial" w:eastAsia="Times New Roman" w:hAnsi="Arial" w:cs="Arial"/>
                <w:color w:val="000000"/>
                <w:lang w:eastAsia="zh-CN"/>
              </w:rPr>
            </w:pPr>
            <w:r>
              <w:rPr>
                <w:rFonts w:ascii="Arial" w:eastAsia="Times New Roman" w:hAnsi="Arial" w:cs="Arial"/>
                <w:color w:val="000000"/>
                <w:lang w:eastAsia="zh-CN"/>
              </w:rPr>
              <w:t>7 October 2025</w:t>
            </w:r>
          </w:p>
        </w:tc>
        <w:tc>
          <w:tcPr>
            <w:tcW w:w="678" w:type="pct"/>
            <w:tcBorders>
              <w:top w:val="nil"/>
              <w:left w:val="nil"/>
              <w:bottom w:val="nil"/>
              <w:right w:val="nil"/>
            </w:tcBorders>
            <w:shd w:val="clear" w:color="000000" w:fill="EDFFB7"/>
            <w:noWrap/>
            <w:vAlign w:val="bottom"/>
            <w:hideMark/>
          </w:tcPr>
          <w:p w14:paraId="3549D9CA" w14:textId="77777777" w:rsidR="0021298F" w:rsidRPr="00775779" w:rsidRDefault="0021298F" w:rsidP="00760009">
            <w:pPr>
              <w:jc w:val="right"/>
              <w:rPr>
                <w:rFonts w:ascii="Arial" w:eastAsia="Times New Roman" w:hAnsi="Arial" w:cs="Arial"/>
                <w:color w:val="000000"/>
                <w:lang w:eastAsia="zh-CN"/>
              </w:rPr>
            </w:pPr>
            <w:r w:rsidRPr="00775779">
              <w:rPr>
                <w:rFonts w:ascii="Arial" w:eastAsia="Times New Roman" w:hAnsi="Arial" w:cs="Arial"/>
                <w:color w:val="000000"/>
                <w:lang w:eastAsia="zh-CN"/>
              </w:rPr>
              <w:t>1.</w:t>
            </w:r>
            <w:r>
              <w:rPr>
                <w:rFonts w:ascii="Arial" w:eastAsia="Times New Roman" w:hAnsi="Arial" w:cs="Arial"/>
                <w:color w:val="000000"/>
                <w:lang w:eastAsia="zh-CN"/>
              </w:rPr>
              <w:t>55</w:t>
            </w:r>
          </w:p>
        </w:tc>
        <w:tc>
          <w:tcPr>
            <w:tcW w:w="986" w:type="pct"/>
            <w:tcBorders>
              <w:top w:val="nil"/>
              <w:left w:val="nil"/>
              <w:bottom w:val="nil"/>
              <w:right w:val="nil"/>
            </w:tcBorders>
            <w:shd w:val="clear" w:color="000000" w:fill="EDFFB7"/>
            <w:noWrap/>
            <w:vAlign w:val="bottom"/>
          </w:tcPr>
          <w:p w14:paraId="6D34E72F" w14:textId="77777777" w:rsidR="0021298F" w:rsidRPr="00775779" w:rsidRDefault="0021298F" w:rsidP="00760009">
            <w:pPr>
              <w:jc w:val="right"/>
              <w:rPr>
                <w:rFonts w:ascii="Arial" w:eastAsia="Times New Roman" w:hAnsi="Arial" w:cs="Arial"/>
                <w:color w:val="000000"/>
                <w:lang w:eastAsia="zh-CN"/>
              </w:rPr>
            </w:pPr>
            <w:r>
              <w:rPr>
                <w:rFonts w:ascii="Arial" w:eastAsia="Times New Roman" w:hAnsi="Arial" w:cs="Arial"/>
                <w:color w:val="000000"/>
                <w:lang w:eastAsia="zh-CN"/>
              </w:rPr>
              <w:t>(0.399)</w:t>
            </w:r>
          </w:p>
        </w:tc>
        <w:tc>
          <w:tcPr>
            <w:tcW w:w="713" w:type="pct"/>
            <w:tcBorders>
              <w:top w:val="nil"/>
              <w:left w:val="nil"/>
              <w:bottom w:val="nil"/>
              <w:right w:val="nil"/>
            </w:tcBorders>
            <w:shd w:val="clear" w:color="000000" w:fill="EDFFB7"/>
            <w:noWrap/>
            <w:vAlign w:val="center"/>
            <w:hideMark/>
          </w:tcPr>
          <w:p w14:paraId="2195D6E2" w14:textId="77777777" w:rsidR="0021298F" w:rsidRPr="00775779" w:rsidRDefault="0021298F" w:rsidP="00760009">
            <w:pPr>
              <w:jc w:val="right"/>
              <w:rPr>
                <w:rFonts w:ascii="Arial" w:eastAsia="Times New Roman" w:hAnsi="Arial" w:cs="Arial"/>
                <w:lang w:eastAsia="zh-CN"/>
              </w:rPr>
            </w:pPr>
            <w:r>
              <w:rPr>
                <w:rFonts w:ascii="Arial" w:eastAsia="Times New Roman" w:hAnsi="Arial" w:cs="Arial"/>
                <w:lang w:eastAsia="zh-CN"/>
              </w:rPr>
              <w:t>7</w:t>
            </w:r>
            <w:r w:rsidRPr="00775779">
              <w:rPr>
                <w:rFonts w:ascii="Arial" w:eastAsia="Times New Roman" w:hAnsi="Arial" w:cs="Arial"/>
                <w:lang w:eastAsia="zh-CN"/>
              </w:rPr>
              <w:t>5,000</w:t>
            </w:r>
          </w:p>
        </w:tc>
        <w:tc>
          <w:tcPr>
            <w:tcW w:w="1105" w:type="pct"/>
            <w:tcBorders>
              <w:top w:val="nil"/>
              <w:left w:val="nil"/>
              <w:bottom w:val="nil"/>
              <w:right w:val="nil"/>
            </w:tcBorders>
            <w:shd w:val="clear" w:color="000000" w:fill="EDFFB7"/>
            <w:noWrap/>
            <w:vAlign w:val="center"/>
          </w:tcPr>
          <w:p w14:paraId="0C6169A8" w14:textId="77777777" w:rsidR="0021298F" w:rsidRPr="00A1736B" w:rsidRDefault="0021298F" w:rsidP="00760009">
            <w:pPr>
              <w:jc w:val="right"/>
              <w:rPr>
                <w:rFonts w:ascii="Arial" w:eastAsia="Times New Roman" w:hAnsi="Arial" w:cs="Arial"/>
                <w:lang w:eastAsia="zh-CN"/>
              </w:rPr>
            </w:pPr>
            <w:r w:rsidRPr="00A1736B">
              <w:rPr>
                <w:rFonts w:ascii="Arial" w:eastAsia="Times New Roman" w:hAnsi="Arial" w:cs="Arial"/>
                <w:lang w:eastAsia="zh-CN"/>
              </w:rPr>
              <w:t>206</w:t>
            </w:r>
          </w:p>
        </w:tc>
      </w:tr>
      <w:tr w:rsidR="0021298F" w:rsidRPr="00775779" w14:paraId="0A918A73" w14:textId="77777777" w:rsidTr="00760009">
        <w:trPr>
          <w:trHeight w:val="285"/>
        </w:trPr>
        <w:tc>
          <w:tcPr>
            <w:tcW w:w="593" w:type="pct"/>
            <w:tcBorders>
              <w:top w:val="nil"/>
              <w:left w:val="nil"/>
              <w:bottom w:val="nil"/>
              <w:right w:val="nil"/>
            </w:tcBorders>
            <w:shd w:val="clear" w:color="000000" w:fill="EDFFB7"/>
            <w:noWrap/>
            <w:vAlign w:val="bottom"/>
            <w:hideMark/>
          </w:tcPr>
          <w:p w14:paraId="11203E08" w14:textId="77777777" w:rsidR="0021298F" w:rsidRPr="00775779" w:rsidRDefault="0021298F" w:rsidP="00760009">
            <w:pPr>
              <w:rPr>
                <w:rFonts w:ascii="Arial" w:eastAsia="Times New Roman" w:hAnsi="Arial" w:cs="Arial"/>
                <w:color w:val="000000"/>
                <w:lang w:eastAsia="zh-CN"/>
              </w:rPr>
            </w:pPr>
            <w:r>
              <w:rPr>
                <w:rFonts w:ascii="Arial" w:eastAsia="Times New Roman" w:hAnsi="Arial" w:cs="Arial"/>
                <w:color w:val="000000"/>
                <w:lang w:eastAsia="zh-CN"/>
              </w:rPr>
              <w:t>Natwest</w:t>
            </w:r>
          </w:p>
        </w:tc>
        <w:tc>
          <w:tcPr>
            <w:tcW w:w="926" w:type="pct"/>
            <w:tcBorders>
              <w:top w:val="nil"/>
              <w:left w:val="nil"/>
              <w:bottom w:val="nil"/>
              <w:right w:val="nil"/>
            </w:tcBorders>
            <w:shd w:val="clear" w:color="000000" w:fill="EDFFB7"/>
            <w:noWrap/>
            <w:vAlign w:val="bottom"/>
            <w:hideMark/>
          </w:tcPr>
          <w:p w14:paraId="1CF8700E" w14:textId="77777777" w:rsidR="0021298F" w:rsidRPr="00775779" w:rsidRDefault="0021298F" w:rsidP="00760009">
            <w:pPr>
              <w:jc w:val="right"/>
              <w:rPr>
                <w:rFonts w:ascii="Arial" w:eastAsia="Times New Roman" w:hAnsi="Arial" w:cs="Arial"/>
                <w:color w:val="000000"/>
                <w:lang w:eastAsia="zh-CN"/>
              </w:rPr>
            </w:pPr>
            <w:r>
              <w:rPr>
                <w:rFonts w:ascii="Arial" w:eastAsia="Times New Roman" w:hAnsi="Arial" w:cs="Arial"/>
                <w:color w:val="000000"/>
                <w:lang w:eastAsia="zh-CN"/>
              </w:rPr>
              <w:t>7 October 2025</w:t>
            </w:r>
          </w:p>
        </w:tc>
        <w:tc>
          <w:tcPr>
            <w:tcW w:w="678" w:type="pct"/>
            <w:tcBorders>
              <w:top w:val="nil"/>
              <w:left w:val="nil"/>
              <w:bottom w:val="nil"/>
              <w:right w:val="nil"/>
            </w:tcBorders>
            <w:shd w:val="clear" w:color="000000" w:fill="EDFFB7"/>
            <w:noWrap/>
            <w:vAlign w:val="bottom"/>
            <w:hideMark/>
          </w:tcPr>
          <w:p w14:paraId="01EF96F1" w14:textId="77777777" w:rsidR="0021298F" w:rsidRPr="00775779" w:rsidRDefault="0021298F" w:rsidP="00760009">
            <w:pPr>
              <w:jc w:val="right"/>
              <w:rPr>
                <w:rFonts w:ascii="Arial" w:eastAsia="Times New Roman" w:hAnsi="Arial" w:cs="Arial"/>
                <w:color w:val="000000"/>
                <w:lang w:eastAsia="zh-CN"/>
              </w:rPr>
            </w:pPr>
            <w:r w:rsidRPr="00775779">
              <w:rPr>
                <w:rFonts w:ascii="Arial" w:eastAsia="Times New Roman" w:hAnsi="Arial" w:cs="Arial"/>
                <w:color w:val="000000"/>
                <w:lang w:eastAsia="zh-CN"/>
              </w:rPr>
              <w:t>1.</w:t>
            </w:r>
            <w:r>
              <w:rPr>
                <w:rFonts w:ascii="Arial" w:eastAsia="Times New Roman" w:hAnsi="Arial" w:cs="Arial"/>
                <w:color w:val="000000"/>
                <w:lang w:eastAsia="zh-CN"/>
              </w:rPr>
              <w:t>55</w:t>
            </w:r>
          </w:p>
        </w:tc>
        <w:tc>
          <w:tcPr>
            <w:tcW w:w="986" w:type="pct"/>
            <w:tcBorders>
              <w:top w:val="nil"/>
              <w:left w:val="nil"/>
              <w:bottom w:val="nil"/>
              <w:right w:val="nil"/>
            </w:tcBorders>
            <w:shd w:val="clear" w:color="000000" w:fill="EDFFB7"/>
            <w:noWrap/>
            <w:vAlign w:val="bottom"/>
          </w:tcPr>
          <w:p w14:paraId="5F7E4476" w14:textId="77777777" w:rsidR="0021298F" w:rsidRPr="00775779" w:rsidRDefault="0021298F" w:rsidP="00760009">
            <w:pPr>
              <w:jc w:val="right"/>
              <w:rPr>
                <w:rFonts w:ascii="Arial" w:eastAsia="Times New Roman" w:hAnsi="Arial" w:cs="Arial"/>
                <w:color w:val="000000"/>
                <w:lang w:eastAsia="zh-CN"/>
              </w:rPr>
            </w:pPr>
            <w:r>
              <w:rPr>
                <w:rFonts w:ascii="Arial" w:eastAsia="Times New Roman" w:hAnsi="Arial" w:cs="Arial"/>
                <w:color w:val="000000"/>
                <w:lang w:eastAsia="zh-CN"/>
              </w:rPr>
              <w:t>(0.396)</w:t>
            </w:r>
          </w:p>
        </w:tc>
        <w:tc>
          <w:tcPr>
            <w:tcW w:w="713" w:type="pct"/>
            <w:tcBorders>
              <w:top w:val="nil"/>
              <w:left w:val="nil"/>
              <w:bottom w:val="nil"/>
              <w:right w:val="nil"/>
            </w:tcBorders>
            <w:shd w:val="clear" w:color="000000" w:fill="EDFFB7"/>
            <w:noWrap/>
            <w:vAlign w:val="center"/>
            <w:hideMark/>
          </w:tcPr>
          <w:p w14:paraId="0A154375" w14:textId="77777777" w:rsidR="0021298F" w:rsidRPr="00775779" w:rsidRDefault="0021298F" w:rsidP="00760009">
            <w:pPr>
              <w:jc w:val="right"/>
              <w:rPr>
                <w:rFonts w:ascii="Arial" w:eastAsia="Times New Roman" w:hAnsi="Arial" w:cs="Arial"/>
                <w:lang w:eastAsia="zh-CN"/>
              </w:rPr>
            </w:pPr>
            <w:r>
              <w:rPr>
                <w:rFonts w:ascii="Arial" w:eastAsia="Times New Roman" w:hAnsi="Arial" w:cs="Arial"/>
                <w:lang w:eastAsia="zh-CN"/>
              </w:rPr>
              <w:t>50</w:t>
            </w:r>
            <w:r w:rsidRPr="00775779">
              <w:rPr>
                <w:rFonts w:ascii="Arial" w:eastAsia="Times New Roman" w:hAnsi="Arial" w:cs="Arial"/>
                <w:lang w:eastAsia="zh-CN"/>
              </w:rPr>
              <w:t>,000</w:t>
            </w:r>
          </w:p>
        </w:tc>
        <w:tc>
          <w:tcPr>
            <w:tcW w:w="1105" w:type="pct"/>
            <w:tcBorders>
              <w:top w:val="nil"/>
              <w:left w:val="nil"/>
              <w:bottom w:val="nil"/>
              <w:right w:val="nil"/>
            </w:tcBorders>
            <w:shd w:val="clear" w:color="000000" w:fill="EDFFB7"/>
            <w:noWrap/>
            <w:vAlign w:val="center"/>
          </w:tcPr>
          <w:p w14:paraId="6CC988C9" w14:textId="77777777" w:rsidR="0021298F" w:rsidRPr="00A1736B" w:rsidRDefault="0021298F" w:rsidP="00760009">
            <w:pPr>
              <w:jc w:val="right"/>
              <w:rPr>
                <w:rFonts w:ascii="Arial" w:eastAsia="Times New Roman" w:hAnsi="Arial" w:cs="Arial"/>
                <w:lang w:eastAsia="zh-CN"/>
              </w:rPr>
            </w:pPr>
            <w:r w:rsidRPr="00A1736B">
              <w:rPr>
                <w:rFonts w:ascii="Arial" w:eastAsia="Times New Roman" w:hAnsi="Arial" w:cs="Arial"/>
                <w:lang w:eastAsia="zh-CN"/>
              </w:rPr>
              <w:t>138</w:t>
            </w:r>
          </w:p>
        </w:tc>
      </w:tr>
      <w:tr w:rsidR="0021298F" w:rsidRPr="00775779" w14:paraId="6FE66815" w14:textId="77777777" w:rsidTr="00760009">
        <w:trPr>
          <w:trHeight w:val="315"/>
        </w:trPr>
        <w:tc>
          <w:tcPr>
            <w:tcW w:w="593" w:type="pct"/>
            <w:tcBorders>
              <w:top w:val="single" w:sz="4" w:space="0" w:color="auto"/>
              <w:left w:val="nil"/>
              <w:bottom w:val="single" w:sz="8" w:space="0" w:color="auto"/>
              <w:right w:val="nil"/>
            </w:tcBorders>
            <w:shd w:val="clear" w:color="000000" w:fill="EDFFB7"/>
            <w:noWrap/>
            <w:vAlign w:val="center"/>
            <w:hideMark/>
          </w:tcPr>
          <w:p w14:paraId="0C7901F9" w14:textId="77777777" w:rsidR="0021298F" w:rsidRPr="00775779" w:rsidRDefault="0021298F" w:rsidP="00760009">
            <w:pPr>
              <w:jc w:val="right"/>
              <w:rPr>
                <w:rFonts w:ascii="Arial" w:eastAsia="Times New Roman" w:hAnsi="Arial" w:cs="Arial"/>
                <w:b/>
                <w:bCs/>
                <w:lang w:eastAsia="zh-CN"/>
              </w:rPr>
            </w:pPr>
            <w:r w:rsidRPr="00775779">
              <w:rPr>
                <w:rFonts w:ascii="Arial" w:eastAsia="Times New Roman" w:hAnsi="Arial" w:cs="Arial"/>
                <w:b/>
                <w:bCs/>
                <w:lang w:eastAsia="zh-CN"/>
              </w:rPr>
              <w:lastRenderedPageBreak/>
              <w:t> </w:t>
            </w:r>
          </w:p>
        </w:tc>
        <w:tc>
          <w:tcPr>
            <w:tcW w:w="926" w:type="pct"/>
            <w:tcBorders>
              <w:top w:val="single" w:sz="4" w:space="0" w:color="auto"/>
              <w:left w:val="nil"/>
              <w:bottom w:val="single" w:sz="8" w:space="0" w:color="auto"/>
              <w:right w:val="nil"/>
            </w:tcBorders>
            <w:shd w:val="clear" w:color="000000" w:fill="EDFFB7"/>
            <w:noWrap/>
            <w:vAlign w:val="center"/>
            <w:hideMark/>
          </w:tcPr>
          <w:p w14:paraId="194D56AC" w14:textId="77777777" w:rsidR="0021298F" w:rsidRPr="00775779" w:rsidRDefault="0021298F" w:rsidP="00760009">
            <w:pPr>
              <w:jc w:val="right"/>
              <w:rPr>
                <w:rFonts w:ascii="Arial" w:eastAsia="Times New Roman" w:hAnsi="Arial" w:cs="Arial"/>
                <w:b/>
                <w:bCs/>
                <w:lang w:eastAsia="zh-CN"/>
              </w:rPr>
            </w:pPr>
            <w:r w:rsidRPr="00775779">
              <w:rPr>
                <w:rFonts w:ascii="Arial" w:eastAsia="Times New Roman" w:hAnsi="Arial" w:cs="Arial"/>
                <w:b/>
                <w:bCs/>
                <w:lang w:eastAsia="zh-CN"/>
              </w:rPr>
              <w:t> </w:t>
            </w:r>
          </w:p>
        </w:tc>
        <w:tc>
          <w:tcPr>
            <w:tcW w:w="678" w:type="pct"/>
            <w:tcBorders>
              <w:top w:val="single" w:sz="4" w:space="0" w:color="auto"/>
              <w:left w:val="nil"/>
              <w:bottom w:val="single" w:sz="8" w:space="0" w:color="auto"/>
              <w:right w:val="nil"/>
            </w:tcBorders>
            <w:shd w:val="clear" w:color="000000" w:fill="EDFFB7"/>
            <w:noWrap/>
            <w:vAlign w:val="center"/>
            <w:hideMark/>
          </w:tcPr>
          <w:p w14:paraId="4702B437" w14:textId="77777777" w:rsidR="0021298F" w:rsidRPr="00775779" w:rsidRDefault="0021298F" w:rsidP="00760009">
            <w:pPr>
              <w:jc w:val="right"/>
              <w:rPr>
                <w:rFonts w:ascii="Arial" w:eastAsia="Times New Roman" w:hAnsi="Arial" w:cs="Arial"/>
                <w:b/>
                <w:bCs/>
                <w:lang w:eastAsia="zh-CN"/>
              </w:rPr>
            </w:pPr>
            <w:r w:rsidRPr="00775779">
              <w:rPr>
                <w:rFonts w:ascii="Arial" w:eastAsia="Times New Roman" w:hAnsi="Arial" w:cs="Arial"/>
                <w:b/>
                <w:bCs/>
                <w:lang w:eastAsia="zh-CN"/>
              </w:rPr>
              <w:t> </w:t>
            </w:r>
          </w:p>
        </w:tc>
        <w:tc>
          <w:tcPr>
            <w:tcW w:w="986" w:type="pct"/>
            <w:tcBorders>
              <w:top w:val="single" w:sz="4" w:space="0" w:color="auto"/>
              <w:left w:val="nil"/>
              <w:bottom w:val="single" w:sz="8" w:space="0" w:color="auto"/>
              <w:right w:val="nil"/>
            </w:tcBorders>
            <w:shd w:val="clear" w:color="000000" w:fill="EDFFB7"/>
            <w:noWrap/>
            <w:vAlign w:val="center"/>
            <w:hideMark/>
          </w:tcPr>
          <w:p w14:paraId="4DC87081" w14:textId="77777777" w:rsidR="0021298F" w:rsidRPr="00775779" w:rsidRDefault="0021298F" w:rsidP="00760009">
            <w:pPr>
              <w:jc w:val="right"/>
              <w:rPr>
                <w:rFonts w:ascii="Arial" w:eastAsia="Times New Roman" w:hAnsi="Arial" w:cs="Arial"/>
                <w:b/>
                <w:bCs/>
                <w:lang w:eastAsia="zh-CN"/>
              </w:rPr>
            </w:pPr>
            <w:r w:rsidRPr="00775779">
              <w:rPr>
                <w:rFonts w:ascii="Arial" w:eastAsia="Times New Roman" w:hAnsi="Arial" w:cs="Arial"/>
                <w:b/>
                <w:bCs/>
                <w:lang w:eastAsia="zh-CN"/>
              </w:rPr>
              <w:t> </w:t>
            </w:r>
          </w:p>
        </w:tc>
        <w:tc>
          <w:tcPr>
            <w:tcW w:w="713" w:type="pct"/>
            <w:tcBorders>
              <w:top w:val="single" w:sz="4" w:space="0" w:color="auto"/>
              <w:left w:val="nil"/>
              <w:bottom w:val="single" w:sz="8" w:space="0" w:color="auto"/>
              <w:right w:val="nil"/>
            </w:tcBorders>
            <w:shd w:val="clear" w:color="000000" w:fill="EDFFB7"/>
            <w:noWrap/>
            <w:vAlign w:val="center"/>
            <w:hideMark/>
          </w:tcPr>
          <w:p w14:paraId="1D90EC7E" w14:textId="77777777" w:rsidR="0021298F" w:rsidRPr="00775779" w:rsidRDefault="0021298F" w:rsidP="00760009">
            <w:pPr>
              <w:jc w:val="right"/>
              <w:rPr>
                <w:rFonts w:ascii="Arial" w:eastAsia="Times New Roman" w:hAnsi="Arial" w:cs="Arial"/>
                <w:b/>
                <w:bCs/>
                <w:lang w:eastAsia="zh-CN"/>
              </w:rPr>
            </w:pPr>
            <w:r>
              <w:rPr>
                <w:rFonts w:ascii="Arial" w:eastAsia="Times New Roman" w:hAnsi="Arial" w:cs="Arial"/>
                <w:b/>
                <w:bCs/>
                <w:lang w:eastAsia="zh-CN"/>
              </w:rPr>
              <w:t>200</w:t>
            </w:r>
            <w:r w:rsidRPr="00775779">
              <w:rPr>
                <w:rFonts w:ascii="Arial" w:eastAsia="Times New Roman" w:hAnsi="Arial" w:cs="Arial"/>
                <w:b/>
                <w:bCs/>
                <w:lang w:eastAsia="zh-CN"/>
              </w:rPr>
              <w:t>,000</w:t>
            </w:r>
          </w:p>
        </w:tc>
        <w:tc>
          <w:tcPr>
            <w:tcW w:w="1105" w:type="pct"/>
            <w:tcBorders>
              <w:top w:val="single" w:sz="4" w:space="0" w:color="auto"/>
              <w:left w:val="nil"/>
              <w:bottom w:val="single" w:sz="8" w:space="0" w:color="auto"/>
              <w:right w:val="nil"/>
            </w:tcBorders>
            <w:shd w:val="clear" w:color="000000" w:fill="EDFFB7"/>
            <w:noWrap/>
            <w:vAlign w:val="center"/>
            <w:hideMark/>
          </w:tcPr>
          <w:p w14:paraId="5BCD5944" w14:textId="77777777" w:rsidR="0021298F" w:rsidRPr="001E34C8" w:rsidRDefault="0021298F" w:rsidP="00760009">
            <w:pPr>
              <w:jc w:val="right"/>
              <w:rPr>
                <w:rFonts w:ascii="Arial" w:eastAsia="Times New Roman" w:hAnsi="Arial" w:cs="Arial"/>
                <w:b/>
                <w:bCs/>
                <w:lang w:eastAsia="zh-CN"/>
              </w:rPr>
            </w:pPr>
            <w:r>
              <w:rPr>
                <w:rFonts w:ascii="Arial" w:eastAsia="Times New Roman" w:hAnsi="Arial" w:cs="Arial"/>
                <w:b/>
                <w:bCs/>
                <w:lang w:eastAsia="zh-CN"/>
              </w:rPr>
              <w:t>550</w:t>
            </w:r>
          </w:p>
        </w:tc>
      </w:tr>
    </w:tbl>
    <w:p w14:paraId="7533DA6C" w14:textId="77777777" w:rsidR="0021298F" w:rsidRDefault="0021298F" w:rsidP="0021298F">
      <w:pPr>
        <w:jc w:val="both"/>
        <w:rPr>
          <w:rFonts w:ascii="Arial" w:hAnsi="Arial" w:cs="Arial"/>
        </w:rPr>
      </w:pPr>
    </w:p>
    <w:p w14:paraId="614F578B" w14:textId="77777777" w:rsidR="0021298F" w:rsidRDefault="0021298F" w:rsidP="0021298F">
      <w:pPr>
        <w:jc w:val="both"/>
        <w:rPr>
          <w:rFonts w:ascii="Arial" w:hAnsi="Arial" w:cs="Arial"/>
        </w:rPr>
      </w:pPr>
      <w:r>
        <w:rPr>
          <w:rFonts w:ascii="Arial" w:hAnsi="Arial" w:cs="Arial"/>
        </w:rPr>
        <w:t>These loans contain swaps that are contractually linked. Accordingly they have been treated as single fixed rate loan agreements, which effectively set interest payable at fixed rates.</w:t>
      </w:r>
    </w:p>
    <w:p w14:paraId="3BDE6882" w14:textId="77777777" w:rsidR="0021298F" w:rsidRDefault="0021298F" w:rsidP="0021298F">
      <w:pPr>
        <w:jc w:val="both"/>
        <w:rPr>
          <w:rFonts w:ascii="Arial" w:hAnsi="Arial" w:cs="Arial"/>
        </w:rPr>
      </w:pPr>
    </w:p>
    <w:p w14:paraId="5E5C041D" w14:textId="77777777" w:rsidR="0021298F" w:rsidRDefault="0021298F" w:rsidP="0021298F">
      <w:pPr>
        <w:jc w:val="both"/>
        <w:rPr>
          <w:rFonts w:ascii="Arial" w:hAnsi="Arial" w:cs="Arial"/>
        </w:rPr>
      </w:pPr>
      <w:r>
        <w:rPr>
          <w:rFonts w:ascii="Arial" w:hAnsi="Arial" w:cs="Arial"/>
        </w:rPr>
        <w:t xml:space="preserve">All borrowing ranks pari passu with a debenture over the assets of Holdco, Holdco 1 and Holdco 2 and a floating charge over Holdco, Holdco 1 and Holdco 2’s bank accounts. </w:t>
      </w:r>
    </w:p>
    <w:p w14:paraId="0B16B1EB" w14:textId="77777777" w:rsidR="0021298F" w:rsidRPr="00634ED4" w:rsidRDefault="0021298F" w:rsidP="0021298F">
      <w:pPr>
        <w:jc w:val="both"/>
        <w:rPr>
          <w:rFonts w:ascii="Arial" w:hAnsi="Arial" w:cs="Arial"/>
        </w:rPr>
      </w:pPr>
    </w:p>
    <w:p w14:paraId="00B42EA3" w14:textId="77777777" w:rsidR="0021298F" w:rsidRPr="000E377E" w:rsidRDefault="0021298F" w:rsidP="0021298F">
      <w:pPr>
        <w:pStyle w:val="Heading2"/>
        <w:keepNext w:val="0"/>
        <w:keepLines w:val="0"/>
        <w:numPr>
          <w:ilvl w:val="0"/>
          <w:numId w:val="43"/>
        </w:numPr>
        <w:spacing w:before="0" w:line="240" w:lineRule="auto"/>
        <w:jc w:val="both"/>
        <w:rPr>
          <w:rFonts w:ascii="Arial" w:hAnsi="Arial" w:cs="Arial"/>
          <w:color w:val="auto"/>
          <w:sz w:val="24"/>
          <w:szCs w:val="22"/>
          <w:lang w:eastAsia="en-GB"/>
        </w:rPr>
      </w:pPr>
      <w:r w:rsidRPr="000E377E">
        <w:rPr>
          <w:rFonts w:ascii="Arial" w:hAnsi="Arial" w:cs="Arial"/>
          <w:color w:val="auto"/>
          <w:sz w:val="24"/>
          <w:szCs w:val="22"/>
          <w:lang w:eastAsia="en-GB"/>
        </w:rPr>
        <w:t>Contingencies</w:t>
      </w:r>
      <w:r>
        <w:rPr>
          <w:rFonts w:ascii="Arial" w:hAnsi="Arial" w:cs="Arial"/>
          <w:color w:val="auto"/>
          <w:sz w:val="24"/>
          <w:szCs w:val="22"/>
          <w:lang w:eastAsia="en-GB"/>
        </w:rPr>
        <w:t xml:space="preserve"> &amp; Commitments</w:t>
      </w:r>
    </w:p>
    <w:p w14:paraId="1B6DC16A" w14:textId="77777777" w:rsidR="0021298F" w:rsidRDefault="0021298F" w:rsidP="0021298F">
      <w:pPr>
        <w:jc w:val="both"/>
        <w:rPr>
          <w:rFonts w:ascii="Arial" w:hAnsi="Arial" w:cs="Arial"/>
        </w:rPr>
      </w:pPr>
    </w:p>
    <w:p w14:paraId="5CA1BAB3" w14:textId="77777777" w:rsidR="0021298F" w:rsidRDefault="0021298F" w:rsidP="0021298F">
      <w:pPr>
        <w:jc w:val="both"/>
        <w:rPr>
          <w:rFonts w:ascii="Arial" w:hAnsi="Arial" w:cs="Arial"/>
          <w:iCs/>
        </w:rPr>
      </w:pPr>
      <w:r w:rsidRPr="00382C2F">
        <w:rPr>
          <w:rFonts w:ascii="Arial" w:hAnsi="Arial" w:cs="Arial"/>
          <w:iCs/>
        </w:rPr>
        <w:t>At the time of acquisition, wind farms which had less than 12 months’ operational data may have a wind energy true-up applied, whereby the purchase price for these wind farms may be adjusted so that it is based on a 2 year operational record, once operational data has become available.</w:t>
      </w:r>
    </w:p>
    <w:p w14:paraId="43845D66" w14:textId="77777777" w:rsidR="0021298F" w:rsidRDefault="0021298F" w:rsidP="0021298F">
      <w:pPr>
        <w:jc w:val="both"/>
        <w:rPr>
          <w:rFonts w:ascii="Arial" w:hAnsi="Arial" w:cs="Arial"/>
          <w:iCs/>
        </w:rPr>
      </w:pPr>
    </w:p>
    <w:p w14:paraId="47FFF7A8" w14:textId="77777777" w:rsidR="0021298F" w:rsidRDefault="0021298F" w:rsidP="0021298F">
      <w:pPr>
        <w:jc w:val="both"/>
        <w:rPr>
          <w:rFonts w:ascii="Arial" w:hAnsi="Arial" w:cs="Arial"/>
          <w:iCs/>
        </w:rPr>
      </w:pPr>
      <w:r w:rsidRPr="00B73F05">
        <w:rPr>
          <w:rFonts w:ascii="Arial" w:hAnsi="Arial" w:cs="Arial"/>
          <w:iCs/>
        </w:rPr>
        <w:t xml:space="preserve">In </w:t>
      </w:r>
      <w:r>
        <w:rPr>
          <w:rFonts w:ascii="Arial" w:hAnsi="Arial" w:cs="Arial"/>
          <w:iCs/>
        </w:rPr>
        <w:t xml:space="preserve">November </w:t>
      </w:r>
      <w:r w:rsidRPr="00B73F05">
        <w:rPr>
          <w:rFonts w:ascii="Arial" w:hAnsi="Arial" w:cs="Arial"/>
          <w:iCs/>
        </w:rPr>
        <w:t>2019, the Group acquired Killala wind farm for an initial consideration of €37.2 million for the 5 operating turbines on the site. An additional turbine has recently been constructed</w:t>
      </w:r>
      <w:r>
        <w:rPr>
          <w:rFonts w:ascii="Arial" w:hAnsi="Arial" w:cs="Arial"/>
          <w:iCs/>
        </w:rPr>
        <w:t xml:space="preserve"> </w:t>
      </w:r>
      <w:r w:rsidRPr="00B73F05">
        <w:rPr>
          <w:rFonts w:ascii="Arial" w:hAnsi="Arial" w:cs="Arial"/>
          <w:iCs/>
        </w:rPr>
        <w:t>and the Group paid further consideration of €6.7 million in January 202</w:t>
      </w:r>
      <w:r>
        <w:rPr>
          <w:rFonts w:ascii="Arial" w:hAnsi="Arial" w:cs="Arial"/>
          <w:iCs/>
        </w:rPr>
        <w:t>1</w:t>
      </w:r>
      <w:r w:rsidRPr="00B73F05">
        <w:rPr>
          <w:rFonts w:ascii="Arial" w:hAnsi="Arial" w:cs="Arial"/>
          <w:iCs/>
        </w:rPr>
        <w:t xml:space="preserve"> to the existing developer </w:t>
      </w:r>
      <w:r>
        <w:rPr>
          <w:rFonts w:ascii="Arial" w:hAnsi="Arial" w:cs="Arial"/>
          <w:iCs/>
        </w:rPr>
        <w:t>after</w:t>
      </w:r>
      <w:r w:rsidRPr="00B73F05">
        <w:rPr>
          <w:rFonts w:ascii="Arial" w:hAnsi="Arial" w:cs="Arial"/>
          <w:iCs/>
        </w:rPr>
        <w:t xml:space="preserve"> the final turbine bec</w:t>
      </w:r>
      <w:r>
        <w:rPr>
          <w:rFonts w:ascii="Arial" w:hAnsi="Arial" w:cs="Arial"/>
          <w:iCs/>
        </w:rPr>
        <w:t>ame</w:t>
      </w:r>
      <w:r w:rsidRPr="00B73F05">
        <w:rPr>
          <w:rFonts w:ascii="Arial" w:hAnsi="Arial" w:cs="Arial"/>
          <w:iCs/>
        </w:rPr>
        <w:t xml:space="preserve"> operational</w:t>
      </w:r>
      <w:r>
        <w:rPr>
          <w:rFonts w:ascii="Arial" w:hAnsi="Arial" w:cs="Arial"/>
          <w:iCs/>
        </w:rPr>
        <w:t>.</w:t>
      </w:r>
    </w:p>
    <w:p w14:paraId="41CCCD8F" w14:textId="77777777" w:rsidR="0021298F" w:rsidRDefault="0021298F" w:rsidP="0021298F">
      <w:pPr>
        <w:jc w:val="both"/>
        <w:rPr>
          <w:rFonts w:ascii="Arial" w:hAnsi="Arial" w:cs="Arial"/>
          <w:iCs/>
        </w:rPr>
      </w:pPr>
      <w:r w:rsidRPr="00AE47CC">
        <w:rPr>
          <w:rFonts w:ascii="Arial" w:hAnsi="Arial" w:cs="Arial"/>
          <w:iCs/>
        </w:rPr>
        <w:t xml:space="preserve">The following wind energy true-ups remain outstanding and the maximum adjustments are as follows: </w:t>
      </w:r>
      <w:r>
        <w:rPr>
          <w:rFonts w:ascii="Arial" w:hAnsi="Arial" w:cs="Arial"/>
          <w:iCs/>
        </w:rPr>
        <w:t xml:space="preserve">Letteragh: €2,500,000 and, </w:t>
      </w:r>
      <w:r w:rsidRPr="00AE47CC">
        <w:rPr>
          <w:rFonts w:ascii="Arial" w:hAnsi="Arial" w:cs="Arial"/>
          <w:iCs/>
        </w:rPr>
        <w:t>Killala: €2,000,000.</w:t>
      </w:r>
    </w:p>
    <w:p w14:paraId="68F6C582" w14:textId="77777777" w:rsidR="0021298F" w:rsidRDefault="0021298F" w:rsidP="0021298F">
      <w:pPr>
        <w:jc w:val="both"/>
        <w:rPr>
          <w:rFonts w:ascii="Arial" w:hAnsi="Arial" w:cs="Arial"/>
          <w:iCs/>
        </w:rPr>
      </w:pPr>
      <w:r>
        <w:rPr>
          <w:rFonts w:ascii="Arial" w:hAnsi="Arial" w:cs="Arial"/>
          <w:iCs/>
        </w:rPr>
        <w:t>During the year, the wind energy true up for Knocknalour was also agreed which resulted in no net payment.</w:t>
      </w:r>
    </w:p>
    <w:p w14:paraId="5E03EEE8" w14:textId="77777777" w:rsidR="0021298F" w:rsidRDefault="0021298F" w:rsidP="0021298F">
      <w:pPr>
        <w:jc w:val="both"/>
        <w:rPr>
          <w:rFonts w:ascii="Arial" w:hAnsi="Arial" w:cs="Arial"/>
          <w:b/>
          <w:sz w:val="26"/>
          <w:szCs w:val="26"/>
        </w:rPr>
      </w:pPr>
      <w:r>
        <w:rPr>
          <w:rFonts w:ascii="Arial" w:hAnsi="Arial" w:cs="Arial"/>
          <w:iCs/>
        </w:rPr>
        <w:t>In December 2020, the Group entered into  an agreement to acquire the Cloghan and Taghart wind farms for a headline consideration of €123 million. The investment is scheduled to complete in late 2022 once the wind farms are fully operational.</w:t>
      </w:r>
    </w:p>
    <w:p w14:paraId="57F11C96" w14:textId="77777777" w:rsidR="0021298F" w:rsidRDefault="0021298F" w:rsidP="0021298F">
      <w:pPr>
        <w:pStyle w:val="Heading2"/>
        <w:keepNext w:val="0"/>
        <w:keepLines w:val="0"/>
        <w:spacing w:before="0" w:line="240" w:lineRule="auto"/>
        <w:jc w:val="both"/>
        <w:rPr>
          <w:rFonts w:ascii="Arial" w:hAnsi="Arial" w:cs="Arial"/>
          <w:color w:val="auto"/>
          <w:sz w:val="24"/>
          <w:szCs w:val="22"/>
          <w:lang w:eastAsia="en-GB"/>
        </w:rPr>
      </w:pPr>
      <w:r>
        <w:rPr>
          <w:rFonts w:ascii="Arial" w:hAnsi="Arial" w:cs="Arial"/>
          <w:color w:val="auto"/>
          <w:sz w:val="24"/>
          <w:szCs w:val="22"/>
          <w:lang w:eastAsia="en-GB"/>
        </w:rPr>
        <w:t xml:space="preserve">15. </w:t>
      </w:r>
      <w:r w:rsidRPr="000E377E">
        <w:rPr>
          <w:rFonts w:ascii="Arial" w:hAnsi="Arial" w:cs="Arial"/>
          <w:color w:val="auto"/>
          <w:sz w:val="24"/>
          <w:szCs w:val="22"/>
          <w:lang w:eastAsia="en-GB"/>
        </w:rPr>
        <w:t xml:space="preserve">Share </w:t>
      </w:r>
      <w:r>
        <w:rPr>
          <w:rFonts w:ascii="Arial" w:hAnsi="Arial" w:cs="Arial"/>
          <w:color w:val="auto"/>
          <w:sz w:val="24"/>
          <w:szCs w:val="22"/>
          <w:lang w:eastAsia="en-GB"/>
        </w:rPr>
        <w:t>c</w:t>
      </w:r>
      <w:r w:rsidRPr="000E377E">
        <w:rPr>
          <w:rFonts w:ascii="Arial" w:hAnsi="Arial" w:cs="Arial"/>
          <w:color w:val="auto"/>
          <w:sz w:val="24"/>
          <w:szCs w:val="22"/>
          <w:lang w:eastAsia="en-GB"/>
        </w:rPr>
        <w:t xml:space="preserve">apital – </w:t>
      </w:r>
      <w:r>
        <w:rPr>
          <w:rFonts w:ascii="Arial" w:hAnsi="Arial" w:cs="Arial"/>
          <w:color w:val="auto"/>
          <w:sz w:val="24"/>
          <w:szCs w:val="22"/>
          <w:lang w:eastAsia="en-GB"/>
        </w:rPr>
        <w:t>o</w:t>
      </w:r>
      <w:r w:rsidRPr="000E377E">
        <w:rPr>
          <w:rFonts w:ascii="Arial" w:hAnsi="Arial" w:cs="Arial"/>
          <w:color w:val="auto"/>
          <w:sz w:val="24"/>
          <w:szCs w:val="22"/>
          <w:lang w:eastAsia="en-GB"/>
        </w:rPr>
        <w:t xml:space="preserve">rdinary </w:t>
      </w:r>
      <w:r>
        <w:rPr>
          <w:rFonts w:ascii="Arial" w:hAnsi="Arial" w:cs="Arial"/>
          <w:color w:val="auto"/>
          <w:sz w:val="24"/>
          <w:szCs w:val="22"/>
          <w:lang w:eastAsia="en-GB"/>
        </w:rPr>
        <w:t>s</w:t>
      </w:r>
      <w:r w:rsidRPr="000E377E">
        <w:rPr>
          <w:rFonts w:ascii="Arial" w:hAnsi="Arial" w:cs="Arial"/>
          <w:color w:val="auto"/>
          <w:sz w:val="24"/>
          <w:szCs w:val="22"/>
          <w:lang w:eastAsia="en-GB"/>
        </w:rPr>
        <w:t xml:space="preserve">hares </w:t>
      </w:r>
    </w:p>
    <w:p w14:paraId="57E28C52" w14:textId="77777777" w:rsidR="0021298F" w:rsidRDefault="0021298F" w:rsidP="0021298F">
      <w:pPr>
        <w:jc w:val="both"/>
        <w:rPr>
          <w:rFonts w:ascii="Arial" w:hAnsi="Arial" w:cs="Arial"/>
        </w:rPr>
      </w:pPr>
    </w:p>
    <w:p w14:paraId="292DF9DC" w14:textId="77777777" w:rsidR="0021298F" w:rsidRDefault="0021298F" w:rsidP="0021298F">
      <w:pPr>
        <w:jc w:val="both"/>
        <w:rPr>
          <w:rFonts w:ascii="Arial" w:hAnsi="Arial" w:cs="Arial"/>
        </w:rPr>
      </w:pPr>
      <w:r w:rsidRPr="00192BF7">
        <w:rPr>
          <w:rFonts w:ascii="Arial" w:hAnsi="Arial" w:cs="Arial"/>
        </w:rPr>
        <w:t xml:space="preserve">At </w:t>
      </w:r>
      <w:r>
        <w:rPr>
          <w:rFonts w:ascii="Arial" w:hAnsi="Arial" w:cs="Arial"/>
        </w:rPr>
        <w:t>31 December 2020</w:t>
      </w:r>
      <w:r w:rsidRPr="00192BF7">
        <w:rPr>
          <w:rFonts w:ascii="Arial" w:hAnsi="Arial" w:cs="Arial"/>
        </w:rPr>
        <w:t xml:space="preserve">, the Company had authorised share capital of </w:t>
      </w:r>
      <w:r>
        <w:rPr>
          <w:rFonts w:ascii="Arial" w:hAnsi="Arial" w:cs="Arial"/>
        </w:rPr>
        <w:t>2</w:t>
      </w:r>
      <w:r w:rsidRPr="00192BF7">
        <w:rPr>
          <w:rFonts w:ascii="Arial" w:hAnsi="Arial" w:cs="Arial"/>
        </w:rPr>
        <w:t>,000,000,000 ordinary shares of €0.01 each.</w:t>
      </w:r>
    </w:p>
    <w:tbl>
      <w:tblPr>
        <w:tblW w:w="9314" w:type="dxa"/>
        <w:tblLook w:val="04A0" w:firstRow="1" w:lastRow="0" w:firstColumn="1" w:lastColumn="0" w:noHBand="0" w:noVBand="1"/>
      </w:tblPr>
      <w:tblGrid>
        <w:gridCol w:w="1985"/>
        <w:gridCol w:w="2040"/>
        <w:gridCol w:w="1329"/>
        <w:gridCol w:w="1320"/>
        <w:gridCol w:w="1320"/>
        <w:gridCol w:w="1320"/>
      </w:tblGrid>
      <w:tr w:rsidR="0021298F" w:rsidRPr="00D71042" w14:paraId="7261D188" w14:textId="77777777" w:rsidTr="00760009">
        <w:trPr>
          <w:trHeight w:val="780"/>
        </w:trPr>
        <w:tc>
          <w:tcPr>
            <w:tcW w:w="1985" w:type="dxa"/>
            <w:tcBorders>
              <w:top w:val="nil"/>
              <w:left w:val="nil"/>
              <w:bottom w:val="nil"/>
              <w:right w:val="nil"/>
            </w:tcBorders>
            <w:shd w:val="clear" w:color="000000" w:fill="FFFFFF"/>
            <w:vAlign w:val="bottom"/>
            <w:hideMark/>
          </w:tcPr>
          <w:p w14:paraId="63D73F1E" w14:textId="77777777" w:rsidR="0021298F" w:rsidRPr="00D71042" w:rsidRDefault="0021298F" w:rsidP="00760009">
            <w:pPr>
              <w:rPr>
                <w:rFonts w:ascii="Arial" w:eastAsia="Times New Roman" w:hAnsi="Arial" w:cs="Arial"/>
                <w:b/>
                <w:bCs/>
                <w:color w:val="000000"/>
                <w:sz w:val="20"/>
                <w:szCs w:val="20"/>
                <w:lang w:eastAsia="en-GB"/>
              </w:rPr>
            </w:pPr>
            <w:r w:rsidRPr="00D71042">
              <w:rPr>
                <w:rFonts w:ascii="Arial" w:eastAsia="Times New Roman" w:hAnsi="Arial" w:cs="Arial"/>
                <w:b/>
                <w:bCs/>
                <w:color w:val="000000"/>
                <w:sz w:val="20"/>
                <w:szCs w:val="20"/>
                <w:lang w:eastAsia="en-GB"/>
              </w:rPr>
              <w:t>Date</w:t>
            </w:r>
          </w:p>
        </w:tc>
        <w:tc>
          <w:tcPr>
            <w:tcW w:w="2040" w:type="dxa"/>
            <w:tcBorders>
              <w:top w:val="nil"/>
              <w:left w:val="nil"/>
              <w:bottom w:val="nil"/>
              <w:right w:val="nil"/>
            </w:tcBorders>
            <w:shd w:val="clear" w:color="000000" w:fill="FFFFFF"/>
            <w:vAlign w:val="bottom"/>
            <w:hideMark/>
          </w:tcPr>
          <w:p w14:paraId="539D45B4" w14:textId="77777777" w:rsidR="0021298F" w:rsidRPr="00D71042" w:rsidRDefault="0021298F" w:rsidP="00760009">
            <w:pPr>
              <w:rPr>
                <w:rFonts w:ascii="Arial" w:eastAsia="Times New Roman" w:hAnsi="Arial" w:cs="Arial"/>
                <w:b/>
                <w:bCs/>
                <w:color w:val="000000"/>
                <w:sz w:val="20"/>
                <w:szCs w:val="20"/>
                <w:lang w:eastAsia="en-GB"/>
              </w:rPr>
            </w:pPr>
            <w:r w:rsidRPr="00D71042">
              <w:rPr>
                <w:rFonts w:ascii="Arial" w:eastAsia="Times New Roman" w:hAnsi="Arial" w:cs="Arial"/>
                <w:b/>
                <w:bCs/>
                <w:color w:val="000000"/>
                <w:sz w:val="20"/>
                <w:szCs w:val="20"/>
                <w:lang w:eastAsia="en-GB"/>
              </w:rPr>
              <w:t>Issued and fully paid</w:t>
            </w:r>
          </w:p>
        </w:tc>
        <w:tc>
          <w:tcPr>
            <w:tcW w:w="1329" w:type="dxa"/>
            <w:tcBorders>
              <w:top w:val="nil"/>
              <w:left w:val="nil"/>
              <w:bottom w:val="nil"/>
              <w:right w:val="nil"/>
            </w:tcBorders>
            <w:shd w:val="clear" w:color="000000" w:fill="FFFFFF"/>
            <w:vAlign w:val="bottom"/>
            <w:hideMark/>
          </w:tcPr>
          <w:p w14:paraId="5387E221" w14:textId="77777777" w:rsidR="0021298F" w:rsidRPr="00D71042" w:rsidRDefault="0021298F" w:rsidP="00760009">
            <w:pPr>
              <w:jc w:val="right"/>
              <w:rPr>
                <w:rFonts w:ascii="Arial" w:eastAsia="Times New Roman" w:hAnsi="Arial" w:cs="Arial"/>
                <w:b/>
                <w:bCs/>
                <w:color w:val="000000"/>
                <w:sz w:val="20"/>
                <w:szCs w:val="20"/>
                <w:lang w:eastAsia="en-GB"/>
              </w:rPr>
            </w:pPr>
            <w:r w:rsidRPr="00D71042">
              <w:rPr>
                <w:rFonts w:ascii="Arial" w:eastAsia="Times New Roman" w:hAnsi="Arial" w:cs="Arial"/>
                <w:b/>
                <w:bCs/>
                <w:color w:val="000000"/>
                <w:sz w:val="20"/>
                <w:szCs w:val="20"/>
                <w:lang w:eastAsia="en-GB"/>
              </w:rPr>
              <w:t>Number of shares issued</w:t>
            </w:r>
          </w:p>
        </w:tc>
        <w:tc>
          <w:tcPr>
            <w:tcW w:w="1320" w:type="dxa"/>
            <w:tcBorders>
              <w:top w:val="nil"/>
              <w:left w:val="nil"/>
              <w:bottom w:val="nil"/>
              <w:right w:val="nil"/>
            </w:tcBorders>
            <w:shd w:val="clear" w:color="000000" w:fill="FFFFFF"/>
            <w:vAlign w:val="bottom"/>
            <w:hideMark/>
          </w:tcPr>
          <w:p w14:paraId="1EFB00BB" w14:textId="77777777" w:rsidR="0021298F" w:rsidRPr="00D71042" w:rsidRDefault="0021298F" w:rsidP="00760009">
            <w:pPr>
              <w:jc w:val="right"/>
              <w:rPr>
                <w:rFonts w:ascii="Arial" w:eastAsia="Times New Roman" w:hAnsi="Arial" w:cs="Arial"/>
                <w:b/>
                <w:bCs/>
                <w:color w:val="000000"/>
                <w:sz w:val="20"/>
                <w:szCs w:val="20"/>
                <w:lang w:eastAsia="en-GB"/>
              </w:rPr>
            </w:pPr>
            <w:r w:rsidRPr="00D71042">
              <w:rPr>
                <w:rFonts w:ascii="Arial" w:eastAsia="Times New Roman" w:hAnsi="Arial" w:cs="Arial"/>
                <w:b/>
                <w:bCs/>
                <w:color w:val="000000"/>
                <w:sz w:val="20"/>
                <w:szCs w:val="20"/>
                <w:lang w:eastAsia="en-GB"/>
              </w:rPr>
              <w:t>Share capital</w:t>
            </w:r>
          </w:p>
        </w:tc>
        <w:tc>
          <w:tcPr>
            <w:tcW w:w="1320" w:type="dxa"/>
            <w:tcBorders>
              <w:top w:val="nil"/>
              <w:left w:val="nil"/>
              <w:bottom w:val="nil"/>
              <w:right w:val="nil"/>
            </w:tcBorders>
            <w:shd w:val="clear" w:color="000000" w:fill="FFFFFF"/>
            <w:vAlign w:val="bottom"/>
            <w:hideMark/>
          </w:tcPr>
          <w:p w14:paraId="1E57B943" w14:textId="77777777" w:rsidR="0021298F" w:rsidRPr="00D71042" w:rsidRDefault="0021298F" w:rsidP="00760009">
            <w:pPr>
              <w:jc w:val="right"/>
              <w:rPr>
                <w:rFonts w:ascii="Arial" w:eastAsia="Times New Roman" w:hAnsi="Arial" w:cs="Arial"/>
                <w:b/>
                <w:bCs/>
                <w:color w:val="000000"/>
                <w:sz w:val="20"/>
                <w:szCs w:val="20"/>
                <w:lang w:eastAsia="en-GB"/>
              </w:rPr>
            </w:pPr>
            <w:r w:rsidRPr="00D71042">
              <w:rPr>
                <w:rFonts w:ascii="Arial" w:eastAsia="Times New Roman" w:hAnsi="Arial" w:cs="Arial"/>
                <w:b/>
                <w:bCs/>
                <w:color w:val="000000"/>
                <w:sz w:val="20"/>
                <w:szCs w:val="20"/>
                <w:lang w:eastAsia="en-GB"/>
              </w:rPr>
              <w:t>Share premium</w:t>
            </w:r>
          </w:p>
        </w:tc>
        <w:tc>
          <w:tcPr>
            <w:tcW w:w="1320" w:type="dxa"/>
            <w:tcBorders>
              <w:top w:val="nil"/>
              <w:left w:val="nil"/>
              <w:bottom w:val="nil"/>
              <w:right w:val="nil"/>
            </w:tcBorders>
            <w:shd w:val="clear" w:color="000000" w:fill="FFFFFF"/>
            <w:vAlign w:val="bottom"/>
            <w:hideMark/>
          </w:tcPr>
          <w:p w14:paraId="266B0314" w14:textId="77777777" w:rsidR="0021298F" w:rsidRPr="00D71042" w:rsidRDefault="0021298F" w:rsidP="00760009">
            <w:pPr>
              <w:jc w:val="right"/>
              <w:rPr>
                <w:rFonts w:ascii="Arial" w:eastAsia="Times New Roman" w:hAnsi="Arial" w:cs="Arial"/>
                <w:b/>
                <w:bCs/>
                <w:color w:val="000000"/>
                <w:sz w:val="20"/>
                <w:szCs w:val="20"/>
                <w:lang w:eastAsia="en-GB"/>
              </w:rPr>
            </w:pPr>
            <w:r w:rsidRPr="00D71042">
              <w:rPr>
                <w:rFonts w:ascii="Arial" w:eastAsia="Times New Roman" w:hAnsi="Arial" w:cs="Arial"/>
                <w:b/>
                <w:bCs/>
                <w:color w:val="000000"/>
                <w:sz w:val="20"/>
                <w:szCs w:val="20"/>
                <w:lang w:eastAsia="en-GB"/>
              </w:rPr>
              <w:t>Total</w:t>
            </w:r>
          </w:p>
        </w:tc>
      </w:tr>
      <w:tr w:rsidR="0021298F" w:rsidRPr="00D71042" w14:paraId="33A88BB3" w14:textId="77777777" w:rsidTr="00760009">
        <w:trPr>
          <w:trHeight w:val="300"/>
        </w:trPr>
        <w:tc>
          <w:tcPr>
            <w:tcW w:w="1985" w:type="dxa"/>
            <w:tcBorders>
              <w:top w:val="nil"/>
              <w:left w:val="nil"/>
              <w:bottom w:val="single" w:sz="4" w:space="0" w:color="auto"/>
              <w:right w:val="nil"/>
            </w:tcBorders>
            <w:shd w:val="clear" w:color="000000" w:fill="FFFFFF"/>
            <w:vAlign w:val="center"/>
            <w:hideMark/>
          </w:tcPr>
          <w:p w14:paraId="2DB0423F" w14:textId="77777777" w:rsidR="0021298F" w:rsidRPr="00D71042" w:rsidRDefault="0021298F" w:rsidP="00760009">
            <w:pPr>
              <w:jc w:val="center"/>
              <w:rPr>
                <w:rFonts w:ascii="Arial" w:eastAsia="Times New Roman" w:hAnsi="Arial" w:cs="Arial"/>
                <w:color w:val="000000"/>
                <w:sz w:val="20"/>
                <w:szCs w:val="20"/>
                <w:lang w:eastAsia="en-GB"/>
              </w:rPr>
            </w:pPr>
            <w:r w:rsidRPr="00D71042">
              <w:rPr>
                <w:rFonts w:ascii="Arial" w:eastAsia="Times New Roman" w:hAnsi="Arial" w:cs="Arial"/>
                <w:color w:val="000000"/>
                <w:sz w:val="20"/>
                <w:szCs w:val="20"/>
                <w:lang w:eastAsia="en-GB"/>
              </w:rPr>
              <w:t> </w:t>
            </w:r>
          </w:p>
        </w:tc>
        <w:tc>
          <w:tcPr>
            <w:tcW w:w="2040" w:type="dxa"/>
            <w:tcBorders>
              <w:top w:val="nil"/>
              <w:left w:val="nil"/>
              <w:bottom w:val="single" w:sz="4" w:space="0" w:color="auto"/>
              <w:right w:val="nil"/>
            </w:tcBorders>
            <w:shd w:val="clear" w:color="000000" w:fill="FFFFFF"/>
            <w:noWrap/>
            <w:vAlign w:val="center"/>
            <w:hideMark/>
          </w:tcPr>
          <w:p w14:paraId="5DEA3DD5" w14:textId="77777777" w:rsidR="0021298F" w:rsidRPr="00D71042" w:rsidRDefault="0021298F" w:rsidP="00760009">
            <w:pPr>
              <w:jc w:val="right"/>
              <w:rPr>
                <w:rFonts w:ascii="Arial" w:eastAsia="Times New Roman" w:hAnsi="Arial" w:cs="Arial"/>
                <w:b/>
                <w:bCs/>
                <w:color w:val="000000"/>
                <w:sz w:val="20"/>
                <w:szCs w:val="20"/>
                <w:lang w:eastAsia="en-GB"/>
              </w:rPr>
            </w:pPr>
            <w:r w:rsidRPr="00D71042">
              <w:rPr>
                <w:rFonts w:ascii="Arial" w:eastAsia="Times New Roman" w:hAnsi="Arial" w:cs="Arial"/>
                <w:b/>
                <w:bCs/>
                <w:color w:val="000000"/>
                <w:sz w:val="20"/>
                <w:szCs w:val="20"/>
                <w:lang w:eastAsia="en-GB"/>
              </w:rPr>
              <w:t> </w:t>
            </w:r>
          </w:p>
        </w:tc>
        <w:tc>
          <w:tcPr>
            <w:tcW w:w="1329" w:type="dxa"/>
            <w:tcBorders>
              <w:top w:val="nil"/>
              <w:left w:val="nil"/>
              <w:bottom w:val="single" w:sz="4" w:space="0" w:color="auto"/>
              <w:right w:val="nil"/>
            </w:tcBorders>
            <w:shd w:val="clear" w:color="000000" w:fill="FFFFFF"/>
            <w:noWrap/>
            <w:vAlign w:val="center"/>
            <w:hideMark/>
          </w:tcPr>
          <w:p w14:paraId="7E52F123" w14:textId="77777777" w:rsidR="0021298F" w:rsidRPr="00D71042" w:rsidRDefault="0021298F" w:rsidP="00760009">
            <w:pPr>
              <w:jc w:val="right"/>
              <w:rPr>
                <w:rFonts w:ascii="Arial" w:eastAsia="Times New Roman" w:hAnsi="Arial" w:cs="Arial"/>
                <w:b/>
                <w:bCs/>
                <w:color w:val="000000"/>
                <w:sz w:val="20"/>
                <w:szCs w:val="20"/>
                <w:lang w:eastAsia="en-GB"/>
              </w:rPr>
            </w:pPr>
            <w:r w:rsidRPr="00D71042">
              <w:rPr>
                <w:rFonts w:ascii="Arial" w:eastAsia="Times New Roman" w:hAnsi="Arial" w:cs="Arial"/>
                <w:b/>
                <w:bCs/>
                <w:color w:val="000000"/>
                <w:sz w:val="20"/>
                <w:szCs w:val="20"/>
                <w:lang w:eastAsia="en-GB"/>
              </w:rPr>
              <w:t> </w:t>
            </w:r>
          </w:p>
        </w:tc>
        <w:tc>
          <w:tcPr>
            <w:tcW w:w="1320" w:type="dxa"/>
            <w:tcBorders>
              <w:top w:val="nil"/>
              <w:left w:val="nil"/>
              <w:bottom w:val="single" w:sz="4" w:space="0" w:color="auto"/>
              <w:right w:val="nil"/>
            </w:tcBorders>
            <w:shd w:val="clear" w:color="000000" w:fill="FFFFFF"/>
            <w:noWrap/>
            <w:vAlign w:val="center"/>
            <w:hideMark/>
          </w:tcPr>
          <w:p w14:paraId="4EF9C6F9" w14:textId="77777777" w:rsidR="0021298F" w:rsidRPr="00D71042" w:rsidRDefault="0021298F" w:rsidP="00760009">
            <w:pPr>
              <w:jc w:val="right"/>
              <w:rPr>
                <w:rFonts w:ascii="Arial" w:eastAsia="Times New Roman" w:hAnsi="Arial" w:cs="Arial"/>
                <w:b/>
                <w:bCs/>
                <w:color w:val="000000"/>
                <w:sz w:val="20"/>
                <w:szCs w:val="20"/>
                <w:lang w:eastAsia="en-GB"/>
              </w:rPr>
            </w:pPr>
            <w:r w:rsidRPr="00D71042">
              <w:rPr>
                <w:rFonts w:ascii="Arial" w:eastAsia="Times New Roman" w:hAnsi="Arial" w:cs="Arial"/>
                <w:b/>
                <w:bCs/>
                <w:color w:val="000000"/>
                <w:sz w:val="20"/>
                <w:szCs w:val="20"/>
                <w:lang w:eastAsia="en-GB"/>
              </w:rPr>
              <w:t>€’000</w:t>
            </w:r>
          </w:p>
        </w:tc>
        <w:tc>
          <w:tcPr>
            <w:tcW w:w="1320" w:type="dxa"/>
            <w:tcBorders>
              <w:top w:val="nil"/>
              <w:left w:val="nil"/>
              <w:bottom w:val="single" w:sz="4" w:space="0" w:color="auto"/>
              <w:right w:val="nil"/>
            </w:tcBorders>
            <w:shd w:val="clear" w:color="000000" w:fill="FFFFFF"/>
            <w:noWrap/>
            <w:vAlign w:val="center"/>
            <w:hideMark/>
          </w:tcPr>
          <w:p w14:paraId="5F5310A7" w14:textId="77777777" w:rsidR="0021298F" w:rsidRPr="00D71042" w:rsidRDefault="0021298F" w:rsidP="00760009">
            <w:pPr>
              <w:jc w:val="right"/>
              <w:rPr>
                <w:rFonts w:ascii="Arial" w:eastAsia="Times New Roman" w:hAnsi="Arial" w:cs="Arial"/>
                <w:b/>
                <w:bCs/>
                <w:color w:val="000000"/>
                <w:sz w:val="20"/>
                <w:szCs w:val="20"/>
                <w:lang w:eastAsia="en-GB"/>
              </w:rPr>
            </w:pPr>
            <w:r w:rsidRPr="00D71042">
              <w:rPr>
                <w:rFonts w:ascii="Arial" w:eastAsia="Times New Roman" w:hAnsi="Arial" w:cs="Arial"/>
                <w:b/>
                <w:bCs/>
                <w:color w:val="000000"/>
                <w:sz w:val="20"/>
                <w:szCs w:val="20"/>
                <w:lang w:eastAsia="en-GB"/>
              </w:rPr>
              <w:t>€’000</w:t>
            </w:r>
          </w:p>
        </w:tc>
        <w:tc>
          <w:tcPr>
            <w:tcW w:w="1320" w:type="dxa"/>
            <w:tcBorders>
              <w:top w:val="nil"/>
              <w:left w:val="nil"/>
              <w:bottom w:val="single" w:sz="4" w:space="0" w:color="auto"/>
              <w:right w:val="nil"/>
            </w:tcBorders>
            <w:shd w:val="clear" w:color="000000" w:fill="FFFFFF"/>
            <w:noWrap/>
            <w:vAlign w:val="center"/>
            <w:hideMark/>
          </w:tcPr>
          <w:p w14:paraId="10B2BA7A" w14:textId="77777777" w:rsidR="0021298F" w:rsidRPr="00D71042" w:rsidRDefault="0021298F" w:rsidP="00760009">
            <w:pPr>
              <w:jc w:val="right"/>
              <w:rPr>
                <w:rFonts w:ascii="Arial" w:eastAsia="Times New Roman" w:hAnsi="Arial" w:cs="Arial"/>
                <w:b/>
                <w:bCs/>
                <w:color w:val="000000"/>
                <w:sz w:val="20"/>
                <w:szCs w:val="20"/>
                <w:lang w:eastAsia="en-GB"/>
              </w:rPr>
            </w:pPr>
            <w:r w:rsidRPr="00D71042">
              <w:rPr>
                <w:rFonts w:ascii="Arial" w:eastAsia="Times New Roman" w:hAnsi="Arial" w:cs="Arial"/>
                <w:b/>
                <w:bCs/>
                <w:color w:val="000000"/>
                <w:sz w:val="20"/>
                <w:szCs w:val="20"/>
                <w:lang w:eastAsia="en-GB"/>
              </w:rPr>
              <w:t>€’000</w:t>
            </w:r>
          </w:p>
        </w:tc>
      </w:tr>
      <w:tr w:rsidR="0021298F" w:rsidRPr="00D71042" w14:paraId="76CED94A" w14:textId="77777777" w:rsidTr="00760009">
        <w:trPr>
          <w:trHeight w:val="300"/>
        </w:trPr>
        <w:tc>
          <w:tcPr>
            <w:tcW w:w="1985" w:type="dxa"/>
            <w:tcBorders>
              <w:top w:val="nil"/>
              <w:left w:val="nil"/>
              <w:bottom w:val="nil"/>
              <w:right w:val="nil"/>
            </w:tcBorders>
            <w:shd w:val="clear" w:color="000000" w:fill="FFFFFF"/>
            <w:vAlign w:val="center"/>
            <w:hideMark/>
          </w:tcPr>
          <w:p w14:paraId="64042067" w14:textId="77777777" w:rsidR="0021298F" w:rsidRPr="00D71042" w:rsidRDefault="0021298F" w:rsidP="00760009">
            <w:pPr>
              <w:jc w:val="both"/>
              <w:rPr>
                <w:rFonts w:ascii="Arial" w:eastAsia="Times New Roman" w:hAnsi="Arial" w:cs="Arial"/>
                <w:color w:val="000000"/>
                <w:sz w:val="20"/>
                <w:szCs w:val="20"/>
                <w:lang w:eastAsia="en-GB"/>
              </w:rPr>
            </w:pPr>
            <w:r w:rsidRPr="00D71042">
              <w:rPr>
                <w:rFonts w:ascii="Arial" w:eastAsia="Times New Roman" w:hAnsi="Arial" w:cs="Arial"/>
                <w:color w:val="000000"/>
                <w:sz w:val="20"/>
                <w:szCs w:val="20"/>
                <w:lang w:eastAsia="en-GB"/>
              </w:rPr>
              <w:t>1 January 2020</w:t>
            </w:r>
          </w:p>
        </w:tc>
        <w:tc>
          <w:tcPr>
            <w:tcW w:w="2040" w:type="dxa"/>
            <w:tcBorders>
              <w:top w:val="nil"/>
              <w:left w:val="nil"/>
              <w:bottom w:val="nil"/>
              <w:right w:val="nil"/>
            </w:tcBorders>
            <w:shd w:val="clear" w:color="000000" w:fill="FFFFFF"/>
            <w:vAlign w:val="center"/>
            <w:hideMark/>
          </w:tcPr>
          <w:p w14:paraId="0D5BE91C" w14:textId="77777777" w:rsidR="0021298F" w:rsidRPr="00D71042" w:rsidRDefault="0021298F" w:rsidP="00760009">
            <w:pPr>
              <w:jc w:val="both"/>
              <w:rPr>
                <w:rFonts w:ascii="Arial" w:eastAsia="Times New Roman" w:hAnsi="Arial" w:cs="Arial"/>
                <w:color w:val="000000"/>
                <w:sz w:val="20"/>
                <w:szCs w:val="20"/>
                <w:lang w:eastAsia="en-GB"/>
              </w:rPr>
            </w:pPr>
            <w:r w:rsidRPr="00D71042">
              <w:rPr>
                <w:rFonts w:ascii="Arial" w:eastAsia="Times New Roman" w:hAnsi="Arial" w:cs="Arial"/>
                <w:color w:val="000000"/>
                <w:sz w:val="20"/>
                <w:szCs w:val="20"/>
                <w:lang w:eastAsia="en-GB"/>
              </w:rPr>
              <w:t>Opening balance</w:t>
            </w:r>
          </w:p>
        </w:tc>
        <w:tc>
          <w:tcPr>
            <w:tcW w:w="1329" w:type="dxa"/>
            <w:tcBorders>
              <w:top w:val="nil"/>
              <w:left w:val="nil"/>
              <w:bottom w:val="nil"/>
              <w:right w:val="nil"/>
            </w:tcBorders>
            <w:shd w:val="clear" w:color="000000" w:fill="EDFFB7"/>
            <w:noWrap/>
            <w:vAlign w:val="center"/>
            <w:hideMark/>
          </w:tcPr>
          <w:p w14:paraId="1A0A9AE9" w14:textId="77777777" w:rsidR="0021298F" w:rsidRPr="00D71042" w:rsidRDefault="0021298F" w:rsidP="00760009">
            <w:pPr>
              <w:jc w:val="right"/>
              <w:rPr>
                <w:rFonts w:ascii="Arial" w:eastAsia="Times New Roman" w:hAnsi="Arial" w:cs="Arial"/>
                <w:color w:val="000000"/>
                <w:sz w:val="20"/>
                <w:szCs w:val="20"/>
                <w:lang w:eastAsia="en-GB"/>
              </w:rPr>
            </w:pPr>
            <w:r w:rsidRPr="00D71042">
              <w:rPr>
                <w:rFonts w:ascii="Arial" w:eastAsia="Times New Roman" w:hAnsi="Arial" w:cs="Arial"/>
                <w:color w:val="000000"/>
                <w:sz w:val="20"/>
                <w:szCs w:val="20"/>
                <w:lang w:eastAsia="en-GB"/>
              </w:rPr>
              <w:t xml:space="preserve">630,619,469 </w:t>
            </w:r>
          </w:p>
        </w:tc>
        <w:tc>
          <w:tcPr>
            <w:tcW w:w="1320" w:type="dxa"/>
            <w:tcBorders>
              <w:top w:val="nil"/>
              <w:left w:val="nil"/>
              <w:bottom w:val="nil"/>
              <w:right w:val="nil"/>
            </w:tcBorders>
            <w:shd w:val="clear" w:color="000000" w:fill="EDFFB7"/>
            <w:noWrap/>
            <w:vAlign w:val="center"/>
            <w:hideMark/>
          </w:tcPr>
          <w:p w14:paraId="23E597EA" w14:textId="77777777" w:rsidR="0021298F" w:rsidRPr="00D71042" w:rsidRDefault="0021298F" w:rsidP="00760009">
            <w:pPr>
              <w:jc w:val="right"/>
              <w:rPr>
                <w:rFonts w:ascii="Arial" w:eastAsia="Times New Roman" w:hAnsi="Arial" w:cs="Arial"/>
                <w:color w:val="000000"/>
                <w:sz w:val="20"/>
                <w:szCs w:val="20"/>
                <w:lang w:eastAsia="en-GB"/>
              </w:rPr>
            </w:pPr>
            <w:r w:rsidRPr="00D71042">
              <w:rPr>
                <w:rFonts w:ascii="Arial" w:eastAsia="Times New Roman" w:hAnsi="Arial" w:cs="Arial"/>
                <w:color w:val="000000"/>
                <w:sz w:val="20"/>
                <w:szCs w:val="20"/>
                <w:lang w:eastAsia="en-GB"/>
              </w:rPr>
              <w:t xml:space="preserve">6,306 </w:t>
            </w:r>
          </w:p>
        </w:tc>
        <w:tc>
          <w:tcPr>
            <w:tcW w:w="1320" w:type="dxa"/>
            <w:tcBorders>
              <w:top w:val="nil"/>
              <w:left w:val="nil"/>
              <w:bottom w:val="nil"/>
              <w:right w:val="nil"/>
            </w:tcBorders>
            <w:shd w:val="clear" w:color="000000" w:fill="EDFFB7"/>
            <w:noWrap/>
            <w:vAlign w:val="center"/>
            <w:hideMark/>
          </w:tcPr>
          <w:p w14:paraId="3A01B97C" w14:textId="77777777" w:rsidR="0021298F" w:rsidRPr="00D71042" w:rsidRDefault="0021298F" w:rsidP="00760009">
            <w:pPr>
              <w:jc w:val="right"/>
              <w:rPr>
                <w:rFonts w:ascii="Arial" w:eastAsia="Times New Roman" w:hAnsi="Arial" w:cs="Arial"/>
                <w:color w:val="000000"/>
                <w:sz w:val="20"/>
                <w:szCs w:val="20"/>
                <w:lang w:eastAsia="en-GB"/>
              </w:rPr>
            </w:pPr>
            <w:r w:rsidRPr="00D71042">
              <w:rPr>
                <w:rFonts w:ascii="Arial" w:eastAsia="Times New Roman" w:hAnsi="Arial" w:cs="Arial"/>
                <w:color w:val="000000"/>
                <w:sz w:val="20"/>
                <w:szCs w:val="20"/>
                <w:lang w:eastAsia="en-GB"/>
              </w:rPr>
              <w:t xml:space="preserve">385,669 </w:t>
            </w:r>
          </w:p>
        </w:tc>
        <w:tc>
          <w:tcPr>
            <w:tcW w:w="1320" w:type="dxa"/>
            <w:tcBorders>
              <w:top w:val="nil"/>
              <w:left w:val="nil"/>
              <w:bottom w:val="nil"/>
              <w:right w:val="nil"/>
            </w:tcBorders>
            <w:shd w:val="clear" w:color="000000" w:fill="EDFFB7"/>
            <w:noWrap/>
            <w:vAlign w:val="center"/>
            <w:hideMark/>
          </w:tcPr>
          <w:p w14:paraId="6F359CD7" w14:textId="77777777" w:rsidR="0021298F" w:rsidRPr="00D71042" w:rsidRDefault="0021298F" w:rsidP="00760009">
            <w:pPr>
              <w:jc w:val="right"/>
              <w:rPr>
                <w:rFonts w:ascii="Arial" w:eastAsia="Times New Roman" w:hAnsi="Arial" w:cs="Arial"/>
                <w:b/>
                <w:bCs/>
                <w:color w:val="000000"/>
                <w:sz w:val="20"/>
                <w:szCs w:val="20"/>
                <w:lang w:eastAsia="en-GB"/>
              </w:rPr>
            </w:pPr>
            <w:r w:rsidRPr="00D71042">
              <w:rPr>
                <w:rFonts w:ascii="Arial" w:eastAsia="Times New Roman" w:hAnsi="Arial" w:cs="Arial"/>
                <w:b/>
                <w:bCs/>
                <w:color w:val="000000"/>
                <w:sz w:val="20"/>
                <w:szCs w:val="20"/>
                <w:lang w:eastAsia="en-GB"/>
              </w:rPr>
              <w:t xml:space="preserve">391,975 </w:t>
            </w:r>
          </w:p>
        </w:tc>
      </w:tr>
      <w:tr w:rsidR="0021298F" w:rsidRPr="00D71042" w14:paraId="783067AA" w14:textId="77777777" w:rsidTr="00760009">
        <w:trPr>
          <w:trHeight w:val="510"/>
        </w:trPr>
        <w:tc>
          <w:tcPr>
            <w:tcW w:w="1985" w:type="dxa"/>
            <w:tcBorders>
              <w:top w:val="nil"/>
              <w:left w:val="nil"/>
              <w:bottom w:val="nil"/>
              <w:right w:val="nil"/>
            </w:tcBorders>
            <w:shd w:val="clear" w:color="000000" w:fill="FFFFFF"/>
            <w:vAlign w:val="center"/>
            <w:hideMark/>
          </w:tcPr>
          <w:p w14:paraId="7872EF61" w14:textId="77777777" w:rsidR="0021298F" w:rsidRPr="00D71042" w:rsidRDefault="0021298F" w:rsidP="00760009">
            <w:pPr>
              <w:rPr>
                <w:rFonts w:ascii="Arial" w:eastAsia="Times New Roman" w:hAnsi="Arial" w:cs="Arial"/>
                <w:color w:val="000000"/>
                <w:sz w:val="20"/>
                <w:szCs w:val="20"/>
                <w:lang w:eastAsia="en-GB"/>
              </w:rPr>
            </w:pPr>
            <w:r w:rsidRPr="00D71042">
              <w:rPr>
                <w:rFonts w:ascii="Arial" w:eastAsia="Times New Roman" w:hAnsi="Arial" w:cs="Arial"/>
                <w:color w:val="000000"/>
                <w:sz w:val="20"/>
                <w:szCs w:val="20"/>
                <w:lang w:eastAsia="en-GB"/>
              </w:rPr>
              <w:t>10 December 2020</w:t>
            </w:r>
          </w:p>
        </w:tc>
        <w:tc>
          <w:tcPr>
            <w:tcW w:w="2040" w:type="dxa"/>
            <w:tcBorders>
              <w:top w:val="nil"/>
              <w:left w:val="nil"/>
              <w:bottom w:val="nil"/>
              <w:right w:val="nil"/>
            </w:tcBorders>
            <w:shd w:val="clear" w:color="000000" w:fill="FFFFFF"/>
            <w:vAlign w:val="center"/>
            <w:hideMark/>
          </w:tcPr>
          <w:p w14:paraId="6C56540C" w14:textId="77777777" w:rsidR="0021298F" w:rsidRPr="00D71042" w:rsidRDefault="0021298F" w:rsidP="00760009">
            <w:pPr>
              <w:rPr>
                <w:rFonts w:ascii="Arial" w:eastAsia="Times New Roman" w:hAnsi="Arial" w:cs="Arial"/>
                <w:color w:val="000000"/>
                <w:sz w:val="20"/>
                <w:szCs w:val="20"/>
                <w:lang w:eastAsia="en-GB"/>
              </w:rPr>
            </w:pPr>
            <w:r w:rsidRPr="00D71042">
              <w:rPr>
                <w:rFonts w:ascii="Arial" w:eastAsia="Times New Roman" w:hAnsi="Arial" w:cs="Arial"/>
                <w:color w:val="000000"/>
                <w:sz w:val="20"/>
                <w:szCs w:val="20"/>
                <w:lang w:eastAsia="en-GB"/>
              </w:rPr>
              <w:t>Issued and paid</w:t>
            </w:r>
          </w:p>
        </w:tc>
        <w:tc>
          <w:tcPr>
            <w:tcW w:w="1329" w:type="dxa"/>
            <w:tcBorders>
              <w:top w:val="nil"/>
              <w:left w:val="nil"/>
              <w:bottom w:val="nil"/>
              <w:right w:val="nil"/>
            </w:tcBorders>
            <w:shd w:val="clear" w:color="000000" w:fill="EDFFB7"/>
            <w:noWrap/>
            <w:vAlign w:val="center"/>
            <w:hideMark/>
          </w:tcPr>
          <w:p w14:paraId="46E33B48" w14:textId="77777777" w:rsidR="0021298F" w:rsidRPr="00D71042" w:rsidRDefault="0021298F" w:rsidP="00760009">
            <w:pPr>
              <w:jc w:val="right"/>
              <w:rPr>
                <w:rFonts w:ascii="Arial" w:eastAsia="Times New Roman" w:hAnsi="Arial" w:cs="Arial"/>
                <w:color w:val="000000"/>
                <w:sz w:val="20"/>
                <w:szCs w:val="20"/>
                <w:lang w:eastAsia="en-GB"/>
              </w:rPr>
            </w:pPr>
            <w:r w:rsidRPr="00D71042">
              <w:rPr>
                <w:rFonts w:ascii="Arial" w:eastAsia="Times New Roman" w:hAnsi="Arial" w:cs="Arial"/>
                <w:color w:val="000000"/>
                <w:sz w:val="20"/>
                <w:szCs w:val="20"/>
                <w:lang w:eastAsia="en-GB"/>
              </w:rPr>
              <w:t xml:space="preserve">110,619,469 </w:t>
            </w:r>
          </w:p>
        </w:tc>
        <w:tc>
          <w:tcPr>
            <w:tcW w:w="1320" w:type="dxa"/>
            <w:tcBorders>
              <w:top w:val="nil"/>
              <w:left w:val="nil"/>
              <w:bottom w:val="nil"/>
              <w:right w:val="nil"/>
            </w:tcBorders>
            <w:shd w:val="clear" w:color="000000" w:fill="EDFFB7"/>
            <w:noWrap/>
            <w:vAlign w:val="center"/>
            <w:hideMark/>
          </w:tcPr>
          <w:p w14:paraId="16661ACA" w14:textId="77777777" w:rsidR="0021298F" w:rsidRPr="00D71042" w:rsidRDefault="0021298F" w:rsidP="00760009">
            <w:pPr>
              <w:jc w:val="right"/>
              <w:rPr>
                <w:rFonts w:ascii="Arial" w:eastAsia="Times New Roman" w:hAnsi="Arial" w:cs="Arial"/>
                <w:color w:val="000000"/>
                <w:sz w:val="20"/>
                <w:szCs w:val="20"/>
                <w:lang w:eastAsia="en-GB"/>
              </w:rPr>
            </w:pPr>
            <w:r w:rsidRPr="00D71042">
              <w:rPr>
                <w:rFonts w:ascii="Arial" w:eastAsia="Times New Roman" w:hAnsi="Arial" w:cs="Arial"/>
                <w:color w:val="000000"/>
                <w:sz w:val="20"/>
                <w:szCs w:val="20"/>
                <w:lang w:eastAsia="en-GB"/>
              </w:rPr>
              <w:t xml:space="preserve">1,106 </w:t>
            </w:r>
          </w:p>
        </w:tc>
        <w:tc>
          <w:tcPr>
            <w:tcW w:w="1320" w:type="dxa"/>
            <w:tcBorders>
              <w:top w:val="nil"/>
              <w:left w:val="nil"/>
              <w:bottom w:val="nil"/>
              <w:right w:val="nil"/>
            </w:tcBorders>
            <w:shd w:val="clear" w:color="000000" w:fill="EDFFB7"/>
            <w:noWrap/>
            <w:vAlign w:val="center"/>
            <w:hideMark/>
          </w:tcPr>
          <w:p w14:paraId="661E84DB" w14:textId="77777777" w:rsidR="0021298F" w:rsidRPr="00D71042" w:rsidRDefault="0021298F" w:rsidP="00760009">
            <w:pPr>
              <w:jc w:val="right"/>
              <w:rPr>
                <w:rFonts w:ascii="Arial" w:eastAsia="Times New Roman" w:hAnsi="Arial" w:cs="Arial"/>
                <w:color w:val="000000"/>
                <w:sz w:val="20"/>
                <w:szCs w:val="20"/>
                <w:lang w:eastAsia="en-GB"/>
              </w:rPr>
            </w:pPr>
            <w:r w:rsidRPr="00D71042">
              <w:rPr>
                <w:rFonts w:ascii="Arial" w:eastAsia="Times New Roman" w:hAnsi="Arial" w:cs="Arial"/>
                <w:color w:val="000000"/>
                <w:sz w:val="20"/>
                <w:szCs w:val="20"/>
                <w:lang w:eastAsia="en-GB"/>
              </w:rPr>
              <w:t xml:space="preserve">123,894 </w:t>
            </w:r>
          </w:p>
        </w:tc>
        <w:tc>
          <w:tcPr>
            <w:tcW w:w="1320" w:type="dxa"/>
            <w:tcBorders>
              <w:top w:val="nil"/>
              <w:left w:val="nil"/>
              <w:bottom w:val="nil"/>
              <w:right w:val="nil"/>
            </w:tcBorders>
            <w:shd w:val="clear" w:color="000000" w:fill="EDFFB7"/>
            <w:noWrap/>
            <w:vAlign w:val="center"/>
            <w:hideMark/>
          </w:tcPr>
          <w:p w14:paraId="3BDBBEB8" w14:textId="77777777" w:rsidR="0021298F" w:rsidRPr="00D71042" w:rsidRDefault="0021298F" w:rsidP="00760009">
            <w:pPr>
              <w:jc w:val="right"/>
              <w:rPr>
                <w:rFonts w:ascii="Arial" w:eastAsia="Times New Roman" w:hAnsi="Arial" w:cs="Arial"/>
                <w:b/>
                <w:bCs/>
                <w:color w:val="000000"/>
                <w:sz w:val="20"/>
                <w:szCs w:val="20"/>
                <w:lang w:eastAsia="en-GB"/>
              </w:rPr>
            </w:pPr>
            <w:r w:rsidRPr="00D71042">
              <w:rPr>
                <w:rFonts w:ascii="Arial" w:eastAsia="Times New Roman" w:hAnsi="Arial" w:cs="Arial"/>
                <w:b/>
                <w:bCs/>
                <w:color w:val="000000"/>
                <w:sz w:val="20"/>
                <w:szCs w:val="20"/>
                <w:lang w:eastAsia="en-GB"/>
              </w:rPr>
              <w:t xml:space="preserve">125,000 </w:t>
            </w:r>
          </w:p>
        </w:tc>
      </w:tr>
      <w:tr w:rsidR="0021298F" w:rsidRPr="00D71042" w14:paraId="3CD74549" w14:textId="77777777" w:rsidTr="00760009">
        <w:trPr>
          <w:trHeight w:val="255"/>
        </w:trPr>
        <w:tc>
          <w:tcPr>
            <w:tcW w:w="1985" w:type="dxa"/>
            <w:tcBorders>
              <w:top w:val="nil"/>
              <w:left w:val="nil"/>
              <w:bottom w:val="nil"/>
              <w:right w:val="nil"/>
            </w:tcBorders>
            <w:shd w:val="clear" w:color="000000" w:fill="FFFFFF"/>
            <w:vAlign w:val="center"/>
            <w:hideMark/>
          </w:tcPr>
          <w:p w14:paraId="7405E841" w14:textId="77777777" w:rsidR="0021298F" w:rsidRPr="00D71042" w:rsidRDefault="0021298F" w:rsidP="00760009">
            <w:pPr>
              <w:jc w:val="both"/>
              <w:rPr>
                <w:rFonts w:ascii="Arial" w:eastAsia="Times New Roman" w:hAnsi="Arial" w:cs="Arial"/>
                <w:color w:val="000000"/>
                <w:sz w:val="20"/>
                <w:szCs w:val="20"/>
                <w:lang w:eastAsia="en-GB"/>
              </w:rPr>
            </w:pPr>
            <w:r w:rsidRPr="00D71042">
              <w:rPr>
                <w:rFonts w:ascii="Arial" w:eastAsia="Times New Roman" w:hAnsi="Arial" w:cs="Arial"/>
                <w:color w:val="000000"/>
                <w:sz w:val="20"/>
                <w:szCs w:val="20"/>
                <w:lang w:eastAsia="en-GB"/>
              </w:rPr>
              <w:t>10 December 2020</w:t>
            </w:r>
          </w:p>
        </w:tc>
        <w:tc>
          <w:tcPr>
            <w:tcW w:w="2040" w:type="dxa"/>
            <w:tcBorders>
              <w:top w:val="nil"/>
              <w:left w:val="nil"/>
              <w:bottom w:val="nil"/>
              <w:right w:val="nil"/>
            </w:tcBorders>
            <w:shd w:val="clear" w:color="000000" w:fill="FFFFFF"/>
            <w:vAlign w:val="center"/>
            <w:hideMark/>
          </w:tcPr>
          <w:p w14:paraId="21ABFD6D" w14:textId="77777777" w:rsidR="0021298F" w:rsidRPr="00D71042" w:rsidRDefault="0021298F" w:rsidP="00760009">
            <w:pPr>
              <w:rPr>
                <w:rFonts w:ascii="Arial" w:eastAsia="Times New Roman" w:hAnsi="Arial" w:cs="Arial"/>
                <w:color w:val="000000"/>
                <w:sz w:val="20"/>
                <w:szCs w:val="20"/>
                <w:lang w:eastAsia="en-GB"/>
              </w:rPr>
            </w:pPr>
            <w:r w:rsidRPr="00D71042">
              <w:rPr>
                <w:rFonts w:ascii="Arial" w:eastAsia="Times New Roman" w:hAnsi="Arial" w:cs="Arial"/>
                <w:color w:val="000000"/>
                <w:sz w:val="20"/>
                <w:szCs w:val="20"/>
                <w:lang w:eastAsia="en-GB"/>
              </w:rPr>
              <w:t>Less share issue costs</w:t>
            </w:r>
          </w:p>
        </w:tc>
        <w:tc>
          <w:tcPr>
            <w:tcW w:w="1329" w:type="dxa"/>
            <w:tcBorders>
              <w:top w:val="nil"/>
              <w:left w:val="nil"/>
              <w:bottom w:val="nil"/>
              <w:right w:val="nil"/>
            </w:tcBorders>
            <w:shd w:val="clear" w:color="000000" w:fill="EDFFB7"/>
            <w:noWrap/>
            <w:vAlign w:val="center"/>
            <w:hideMark/>
          </w:tcPr>
          <w:p w14:paraId="5E260328" w14:textId="77777777" w:rsidR="0021298F" w:rsidRPr="00D71042" w:rsidRDefault="0021298F" w:rsidP="00760009">
            <w:pPr>
              <w:jc w:val="right"/>
              <w:rPr>
                <w:rFonts w:ascii="Arial" w:eastAsia="Times New Roman" w:hAnsi="Arial" w:cs="Arial"/>
                <w:color w:val="000000"/>
                <w:sz w:val="20"/>
                <w:szCs w:val="20"/>
                <w:lang w:eastAsia="en-GB"/>
              </w:rPr>
            </w:pPr>
            <w:r w:rsidRPr="00D71042">
              <w:rPr>
                <w:rFonts w:ascii="Arial" w:eastAsia="Times New Roman" w:hAnsi="Arial" w:cs="Arial"/>
                <w:color w:val="000000"/>
                <w:sz w:val="20"/>
                <w:szCs w:val="20"/>
                <w:lang w:eastAsia="en-GB"/>
              </w:rPr>
              <w:t xml:space="preserve">-   </w:t>
            </w:r>
          </w:p>
        </w:tc>
        <w:tc>
          <w:tcPr>
            <w:tcW w:w="1320" w:type="dxa"/>
            <w:tcBorders>
              <w:top w:val="nil"/>
              <w:left w:val="nil"/>
              <w:bottom w:val="nil"/>
              <w:right w:val="nil"/>
            </w:tcBorders>
            <w:shd w:val="clear" w:color="000000" w:fill="EDFFB7"/>
            <w:noWrap/>
            <w:vAlign w:val="center"/>
            <w:hideMark/>
          </w:tcPr>
          <w:p w14:paraId="7353F716" w14:textId="77777777" w:rsidR="0021298F" w:rsidRPr="00D71042" w:rsidRDefault="0021298F" w:rsidP="00760009">
            <w:pPr>
              <w:jc w:val="right"/>
              <w:rPr>
                <w:rFonts w:ascii="Arial" w:eastAsia="Times New Roman" w:hAnsi="Arial" w:cs="Arial"/>
                <w:color w:val="000000"/>
                <w:sz w:val="20"/>
                <w:szCs w:val="20"/>
                <w:lang w:eastAsia="en-GB"/>
              </w:rPr>
            </w:pPr>
            <w:r w:rsidRPr="00D71042">
              <w:rPr>
                <w:rFonts w:ascii="Arial" w:eastAsia="Times New Roman" w:hAnsi="Arial" w:cs="Arial"/>
                <w:color w:val="000000"/>
                <w:sz w:val="20"/>
                <w:szCs w:val="20"/>
                <w:lang w:eastAsia="en-GB"/>
              </w:rPr>
              <w:t xml:space="preserve">-   </w:t>
            </w:r>
          </w:p>
        </w:tc>
        <w:tc>
          <w:tcPr>
            <w:tcW w:w="1320" w:type="dxa"/>
            <w:tcBorders>
              <w:top w:val="nil"/>
              <w:left w:val="nil"/>
              <w:bottom w:val="nil"/>
              <w:right w:val="nil"/>
            </w:tcBorders>
            <w:shd w:val="clear" w:color="000000" w:fill="EDFFB7"/>
            <w:noWrap/>
            <w:vAlign w:val="center"/>
            <w:hideMark/>
          </w:tcPr>
          <w:p w14:paraId="773AF3DC" w14:textId="77777777" w:rsidR="0021298F" w:rsidRPr="00D71042" w:rsidRDefault="0021298F" w:rsidP="00760009">
            <w:pPr>
              <w:jc w:val="right"/>
              <w:rPr>
                <w:rFonts w:ascii="Arial" w:eastAsia="Times New Roman" w:hAnsi="Arial" w:cs="Arial"/>
                <w:color w:val="000000"/>
                <w:sz w:val="20"/>
                <w:szCs w:val="20"/>
                <w:lang w:eastAsia="en-GB"/>
              </w:rPr>
            </w:pPr>
            <w:r w:rsidRPr="00D71042">
              <w:rPr>
                <w:rFonts w:ascii="Arial" w:eastAsia="Times New Roman" w:hAnsi="Arial" w:cs="Arial"/>
                <w:color w:val="000000"/>
                <w:sz w:val="20"/>
                <w:szCs w:val="20"/>
                <w:lang w:eastAsia="en-GB"/>
              </w:rPr>
              <w:t xml:space="preserve"> (2,087)</w:t>
            </w:r>
          </w:p>
        </w:tc>
        <w:tc>
          <w:tcPr>
            <w:tcW w:w="1320" w:type="dxa"/>
            <w:tcBorders>
              <w:top w:val="nil"/>
              <w:left w:val="nil"/>
              <w:bottom w:val="nil"/>
              <w:right w:val="nil"/>
            </w:tcBorders>
            <w:shd w:val="clear" w:color="000000" w:fill="EDFFB7"/>
            <w:noWrap/>
            <w:vAlign w:val="center"/>
            <w:hideMark/>
          </w:tcPr>
          <w:p w14:paraId="2BAA3C47" w14:textId="77777777" w:rsidR="0021298F" w:rsidRPr="00D71042" w:rsidRDefault="0021298F" w:rsidP="00760009">
            <w:pPr>
              <w:jc w:val="right"/>
              <w:rPr>
                <w:rFonts w:ascii="Arial" w:eastAsia="Times New Roman" w:hAnsi="Arial" w:cs="Arial"/>
                <w:b/>
                <w:bCs/>
                <w:color w:val="000000"/>
                <w:sz w:val="20"/>
                <w:szCs w:val="20"/>
                <w:lang w:eastAsia="en-GB"/>
              </w:rPr>
            </w:pPr>
            <w:r w:rsidRPr="00D71042">
              <w:rPr>
                <w:rFonts w:ascii="Arial" w:eastAsia="Times New Roman" w:hAnsi="Arial" w:cs="Arial"/>
                <w:b/>
                <w:bCs/>
                <w:color w:val="000000"/>
                <w:sz w:val="20"/>
                <w:szCs w:val="20"/>
                <w:lang w:eastAsia="en-GB"/>
              </w:rPr>
              <w:t xml:space="preserve"> (2,087)</w:t>
            </w:r>
          </w:p>
        </w:tc>
      </w:tr>
      <w:tr w:rsidR="0021298F" w:rsidRPr="00D71042" w14:paraId="08C50829" w14:textId="77777777" w:rsidTr="00760009">
        <w:trPr>
          <w:trHeight w:val="150"/>
        </w:trPr>
        <w:tc>
          <w:tcPr>
            <w:tcW w:w="1985" w:type="dxa"/>
            <w:tcBorders>
              <w:top w:val="nil"/>
              <w:left w:val="nil"/>
              <w:bottom w:val="single" w:sz="4" w:space="0" w:color="auto"/>
              <w:right w:val="nil"/>
            </w:tcBorders>
            <w:shd w:val="clear" w:color="000000" w:fill="FFFFFF"/>
            <w:vAlign w:val="center"/>
            <w:hideMark/>
          </w:tcPr>
          <w:p w14:paraId="2989E507" w14:textId="77777777" w:rsidR="0021298F" w:rsidRPr="00D71042" w:rsidRDefault="0021298F" w:rsidP="00760009">
            <w:pPr>
              <w:jc w:val="both"/>
              <w:rPr>
                <w:rFonts w:ascii="Arial" w:eastAsia="Times New Roman" w:hAnsi="Arial" w:cs="Arial"/>
                <w:color w:val="000000"/>
                <w:sz w:val="20"/>
                <w:szCs w:val="20"/>
                <w:lang w:eastAsia="en-GB"/>
              </w:rPr>
            </w:pPr>
            <w:r w:rsidRPr="00D71042">
              <w:rPr>
                <w:rFonts w:ascii="Arial" w:eastAsia="Times New Roman" w:hAnsi="Arial" w:cs="Arial"/>
                <w:color w:val="000000"/>
                <w:sz w:val="20"/>
                <w:szCs w:val="20"/>
                <w:lang w:eastAsia="en-GB"/>
              </w:rPr>
              <w:t> </w:t>
            </w:r>
          </w:p>
        </w:tc>
        <w:tc>
          <w:tcPr>
            <w:tcW w:w="2040" w:type="dxa"/>
            <w:tcBorders>
              <w:top w:val="nil"/>
              <w:left w:val="nil"/>
              <w:bottom w:val="single" w:sz="4" w:space="0" w:color="auto"/>
              <w:right w:val="nil"/>
            </w:tcBorders>
            <w:shd w:val="clear" w:color="000000" w:fill="FFFFFF"/>
            <w:noWrap/>
            <w:vAlign w:val="center"/>
            <w:hideMark/>
          </w:tcPr>
          <w:p w14:paraId="2A23F96A" w14:textId="77777777" w:rsidR="0021298F" w:rsidRPr="00D71042" w:rsidRDefault="0021298F" w:rsidP="00760009">
            <w:pPr>
              <w:jc w:val="right"/>
              <w:rPr>
                <w:rFonts w:ascii="Arial" w:eastAsia="Times New Roman" w:hAnsi="Arial" w:cs="Arial"/>
                <w:color w:val="000000"/>
                <w:sz w:val="20"/>
                <w:szCs w:val="20"/>
                <w:lang w:eastAsia="en-GB"/>
              </w:rPr>
            </w:pPr>
            <w:r w:rsidRPr="00D71042">
              <w:rPr>
                <w:rFonts w:ascii="Arial" w:eastAsia="Times New Roman" w:hAnsi="Arial" w:cs="Arial"/>
                <w:color w:val="000000"/>
                <w:sz w:val="20"/>
                <w:szCs w:val="20"/>
                <w:lang w:eastAsia="en-GB"/>
              </w:rPr>
              <w:t> </w:t>
            </w:r>
          </w:p>
        </w:tc>
        <w:tc>
          <w:tcPr>
            <w:tcW w:w="1329" w:type="dxa"/>
            <w:tcBorders>
              <w:top w:val="nil"/>
              <w:left w:val="nil"/>
              <w:bottom w:val="single" w:sz="4" w:space="0" w:color="auto"/>
              <w:right w:val="nil"/>
            </w:tcBorders>
            <w:shd w:val="clear" w:color="000000" w:fill="EDFFB7"/>
            <w:noWrap/>
            <w:vAlign w:val="center"/>
            <w:hideMark/>
          </w:tcPr>
          <w:p w14:paraId="41241001" w14:textId="77777777" w:rsidR="0021298F" w:rsidRPr="00D71042" w:rsidRDefault="0021298F" w:rsidP="00760009">
            <w:pPr>
              <w:jc w:val="right"/>
              <w:rPr>
                <w:rFonts w:ascii="Arial" w:eastAsia="Times New Roman" w:hAnsi="Arial" w:cs="Arial"/>
                <w:color w:val="000000"/>
                <w:sz w:val="20"/>
                <w:szCs w:val="20"/>
                <w:lang w:eastAsia="en-GB"/>
              </w:rPr>
            </w:pPr>
            <w:r w:rsidRPr="00D71042">
              <w:rPr>
                <w:rFonts w:ascii="Arial" w:eastAsia="Times New Roman" w:hAnsi="Arial" w:cs="Arial"/>
                <w:color w:val="000000"/>
                <w:sz w:val="20"/>
                <w:szCs w:val="20"/>
                <w:lang w:eastAsia="en-GB"/>
              </w:rPr>
              <w:t> </w:t>
            </w:r>
          </w:p>
        </w:tc>
        <w:tc>
          <w:tcPr>
            <w:tcW w:w="1320" w:type="dxa"/>
            <w:tcBorders>
              <w:top w:val="nil"/>
              <w:left w:val="nil"/>
              <w:bottom w:val="single" w:sz="4" w:space="0" w:color="auto"/>
              <w:right w:val="nil"/>
            </w:tcBorders>
            <w:shd w:val="clear" w:color="000000" w:fill="EDFFB7"/>
            <w:noWrap/>
            <w:vAlign w:val="center"/>
            <w:hideMark/>
          </w:tcPr>
          <w:p w14:paraId="1F86CE8E" w14:textId="77777777" w:rsidR="0021298F" w:rsidRPr="00D71042" w:rsidRDefault="0021298F" w:rsidP="00760009">
            <w:pPr>
              <w:jc w:val="right"/>
              <w:rPr>
                <w:rFonts w:ascii="Arial" w:eastAsia="Times New Roman" w:hAnsi="Arial" w:cs="Arial"/>
                <w:color w:val="000000"/>
                <w:sz w:val="20"/>
                <w:szCs w:val="20"/>
                <w:lang w:eastAsia="en-GB"/>
              </w:rPr>
            </w:pPr>
            <w:r w:rsidRPr="00D71042">
              <w:rPr>
                <w:rFonts w:ascii="Arial" w:eastAsia="Times New Roman" w:hAnsi="Arial" w:cs="Arial"/>
                <w:color w:val="000000"/>
                <w:sz w:val="20"/>
                <w:szCs w:val="20"/>
                <w:lang w:eastAsia="en-GB"/>
              </w:rPr>
              <w:t> </w:t>
            </w:r>
          </w:p>
        </w:tc>
        <w:tc>
          <w:tcPr>
            <w:tcW w:w="1320" w:type="dxa"/>
            <w:tcBorders>
              <w:top w:val="nil"/>
              <w:left w:val="nil"/>
              <w:bottom w:val="single" w:sz="4" w:space="0" w:color="auto"/>
              <w:right w:val="nil"/>
            </w:tcBorders>
            <w:shd w:val="clear" w:color="000000" w:fill="EDFFB7"/>
            <w:noWrap/>
            <w:vAlign w:val="center"/>
            <w:hideMark/>
          </w:tcPr>
          <w:p w14:paraId="11AEEF69" w14:textId="77777777" w:rsidR="0021298F" w:rsidRPr="00D71042" w:rsidRDefault="0021298F" w:rsidP="00760009">
            <w:pPr>
              <w:jc w:val="right"/>
              <w:rPr>
                <w:rFonts w:ascii="Arial" w:eastAsia="Times New Roman" w:hAnsi="Arial" w:cs="Arial"/>
                <w:color w:val="000000"/>
                <w:sz w:val="20"/>
                <w:szCs w:val="20"/>
                <w:lang w:eastAsia="en-GB"/>
              </w:rPr>
            </w:pPr>
            <w:r w:rsidRPr="00D71042">
              <w:rPr>
                <w:rFonts w:ascii="Arial" w:eastAsia="Times New Roman" w:hAnsi="Arial" w:cs="Arial"/>
                <w:color w:val="000000"/>
                <w:sz w:val="20"/>
                <w:szCs w:val="20"/>
                <w:lang w:eastAsia="en-GB"/>
              </w:rPr>
              <w:t> </w:t>
            </w:r>
          </w:p>
        </w:tc>
        <w:tc>
          <w:tcPr>
            <w:tcW w:w="1320" w:type="dxa"/>
            <w:tcBorders>
              <w:top w:val="nil"/>
              <w:left w:val="nil"/>
              <w:bottom w:val="single" w:sz="4" w:space="0" w:color="auto"/>
              <w:right w:val="nil"/>
            </w:tcBorders>
            <w:shd w:val="clear" w:color="000000" w:fill="EDFFB7"/>
            <w:noWrap/>
            <w:vAlign w:val="center"/>
            <w:hideMark/>
          </w:tcPr>
          <w:p w14:paraId="7F23501B" w14:textId="77777777" w:rsidR="0021298F" w:rsidRPr="00D71042" w:rsidRDefault="0021298F" w:rsidP="00760009">
            <w:pPr>
              <w:jc w:val="right"/>
              <w:rPr>
                <w:rFonts w:ascii="Arial" w:eastAsia="Times New Roman" w:hAnsi="Arial" w:cs="Arial"/>
                <w:b/>
                <w:bCs/>
                <w:color w:val="000000"/>
                <w:sz w:val="20"/>
                <w:szCs w:val="20"/>
                <w:lang w:eastAsia="en-GB"/>
              </w:rPr>
            </w:pPr>
            <w:r w:rsidRPr="00D71042">
              <w:rPr>
                <w:rFonts w:ascii="Arial" w:eastAsia="Times New Roman" w:hAnsi="Arial" w:cs="Arial"/>
                <w:b/>
                <w:bCs/>
                <w:color w:val="000000"/>
                <w:sz w:val="20"/>
                <w:szCs w:val="20"/>
                <w:lang w:eastAsia="en-GB"/>
              </w:rPr>
              <w:t> </w:t>
            </w:r>
          </w:p>
        </w:tc>
      </w:tr>
      <w:tr w:rsidR="0021298F" w:rsidRPr="00D71042" w14:paraId="47B5D16C" w14:textId="77777777" w:rsidTr="00760009">
        <w:trPr>
          <w:trHeight w:val="390"/>
        </w:trPr>
        <w:tc>
          <w:tcPr>
            <w:tcW w:w="4024" w:type="dxa"/>
            <w:gridSpan w:val="2"/>
            <w:tcBorders>
              <w:top w:val="single" w:sz="4" w:space="0" w:color="auto"/>
              <w:left w:val="nil"/>
              <w:bottom w:val="single" w:sz="8" w:space="0" w:color="auto"/>
              <w:right w:val="nil"/>
            </w:tcBorders>
            <w:shd w:val="clear" w:color="000000" w:fill="FFFFFF"/>
            <w:noWrap/>
            <w:vAlign w:val="center"/>
            <w:hideMark/>
          </w:tcPr>
          <w:p w14:paraId="09D6B330" w14:textId="77777777" w:rsidR="0021298F" w:rsidRPr="00D71042" w:rsidRDefault="0021298F" w:rsidP="00760009">
            <w:pPr>
              <w:rPr>
                <w:rFonts w:ascii="Arial" w:eastAsia="Times New Roman" w:hAnsi="Arial" w:cs="Arial"/>
                <w:b/>
                <w:bCs/>
                <w:color w:val="000000"/>
                <w:sz w:val="20"/>
                <w:szCs w:val="20"/>
                <w:lang w:eastAsia="en-GB"/>
              </w:rPr>
            </w:pPr>
            <w:r w:rsidRPr="00D71042">
              <w:rPr>
                <w:rFonts w:ascii="Arial" w:eastAsia="Times New Roman" w:hAnsi="Arial" w:cs="Arial"/>
                <w:b/>
                <w:bCs/>
                <w:color w:val="000000"/>
                <w:sz w:val="20"/>
                <w:szCs w:val="20"/>
                <w:lang w:eastAsia="en-GB"/>
              </w:rPr>
              <w:t>31 December 2020</w:t>
            </w:r>
          </w:p>
        </w:tc>
        <w:tc>
          <w:tcPr>
            <w:tcW w:w="1329" w:type="dxa"/>
            <w:tcBorders>
              <w:top w:val="nil"/>
              <w:left w:val="nil"/>
              <w:bottom w:val="single" w:sz="8" w:space="0" w:color="auto"/>
              <w:right w:val="nil"/>
            </w:tcBorders>
            <w:shd w:val="clear" w:color="000000" w:fill="EDFFB7"/>
            <w:noWrap/>
            <w:vAlign w:val="center"/>
            <w:hideMark/>
          </w:tcPr>
          <w:p w14:paraId="0CA4E4F3" w14:textId="77777777" w:rsidR="0021298F" w:rsidRPr="00D71042" w:rsidRDefault="0021298F" w:rsidP="00760009">
            <w:pPr>
              <w:jc w:val="right"/>
              <w:rPr>
                <w:rFonts w:ascii="Arial" w:eastAsia="Times New Roman" w:hAnsi="Arial" w:cs="Arial"/>
                <w:b/>
                <w:bCs/>
                <w:color w:val="000000"/>
                <w:sz w:val="20"/>
                <w:szCs w:val="20"/>
                <w:lang w:eastAsia="en-GB"/>
              </w:rPr>
            </w:pPr>
            <w:r w:rsidRPr="00D71042">
              <w:rPr>
                <w:rFonts w:ascii="Arial" w:eastAsia="Times New Roman" w:hAnsi="Arial" w:cs="Arial"/>
                <w:b/>
                <w:bCs/>
                <w:color w:val="000000"/>
                <w:sz w:val="20"/>
                <w:szCs w:val="20"/>
                <w:lang w:eastAsia="en-GB"/>
              </w:rPr>
              <w:t xml:space="preserve">741,238,938 </w:t>
            </w:r>
          </w:p>
        </w:tc>
        <w:tc>
          <w:tcPr>
            <w:tcW w:w="1320" w:type="dxa"/>
            <w:tcBorders>
              <w:top w:val="nil"/>
              <w:left w:val="nil"/>
              <w:bottom w:val="single" w:sz="8" w:space="0" w:color="auto"/>
              <w:right w:val="nil"/>
            </w:tcBorders>
            <w:shd w:val="clear" w:color="000000" w:fill="EDFFB7"/>
            <w:noWrap/>
            <w:vAlign w:val="center"/>
            <w:hideMark/>
          </w:tcPr>
          <w:p w14:paraId="2CEFEDB5" w14:textId="77777777" w:rsidR="0021298F" w:rsidRPr="00D71042" w:rsidRDefault="0021298F" w:rsidP="00760009">
            <w:pPr>
              <w:jc w:val="right"/>
              <w:rPr>
                <w:rFonts w:ascii="Arial" w:eastAsia="Times New Roman" w:hAnsi="Arial" w:cs="Arial"/>
                <w:b/>
                <w:bCs/>
                <w:color w:val="000000"/>
                <w:sz w:val="20"/>
                <w:szCs w:val="20"/>
                <w:lang w:eastAsia="en-GB"/>
              </w:rPr>
            </w:pPr>
            <w:r w:rsidRPr="00D71042">
              <w:rPr>
                <w:rFonts w:ascii="Arial" w:eastAsia="Times New Roman" w:hAnsi="Arial" w:cs="Arial"/>
                <w:b/>
                <w:bCs/>
                <w:color w:val="000000"/>
                <w:sz w:val="20"/>
                <w:szCs w:val="20"/>
                <w:lang w:eastAsia="en-GB"/>
              </w:rPr>
              <w:t xml:space="preserve">7,412 </w:t>
            </w:r>
          </w:p>
        </w:tc>
        <w:tc>
          <w:tcPr>
            <w:tcW w:w="1320" w:type="dxa"/>
            <w:tcBorders>
              <w:top w:val="nil"/>
              <w:left w:val="nil"/>
              <w:bottom w:val="single" w:sz="8" w:space="0" w:color="auto"/>
              <w:right w:val="nil"/>
            </w:tcBorders>
            <w:shd w:val="clear" w:color="000000" w:fill="EDFFB7"/>
            <w:noWrap/>
            <w:vAlign w:val="center"/>
            <w:hideMark/>
          </w:tcPr>
          <w:p w14:paraId="0B7F11C6" w14:textId="77777777" w:rsidR="0021298F" w:rsidRPr="00D71042" w:rsidRDefault="0021298F" w:rsidP="00760009">
            <w:pPr>
              <w:jc w:val="right"/>
              <w:rPr>
                <w:rFonts w:ascii="Arial" w:eastAsia="Times New Roman" w:hAnsi="Arial" w:cs="Arial"/>
                <w:b/>
                <w:bCs/>
                <w:color w:val="000000"/>
                <w:sz w:val="20"/>
                <w:szCs w:val="20"/>
                <w:lang w:eastAsia="en-GB"/>
              </w:rPr>
            </w:pPr>
            <w:r w:rsidRPr="00D71042">
              <w:rPr>
                <w:rFonts w:ascii="Arial" w:eastAsia="Times New Roman" w:hAnsi="Arial" w:cs="Arial"/>
                <w:b/>
                <w:bCs/>
                <w:color w:val="000000"/>
                <w:sz w:val="20"/>
                <w:szCs w:val="20"/>
                <w:lang w:eastAsia="en-GB"/>
              </w:rPr>
              <w:t xml:space="preserve">507,476 </w:t>
            </w:r>
          </w:p>
        </w:tc>
        <w:tc>
          <w:tcPr>
            <w:tcW w:w="1320" w:type="dxa"/>
            <w:tcBorders>
              <w:top w:val="nil"/>
              <w:left w:val="nil"/>
              <w:bottom w:val="single" w:sz="8" w:space="0" w:color="auto"/>
              <w:right w:val="nil"/>
            </w:tcBorders>
            <w:shd w:val="clear" w:color="000000" w:fill="EDFFB7"/>
            <w:noWrap/>
            <w:vAlign w:val="center"/>
            <w:hideMark/>
          </w:tcPr>
          <w:p w14:paraId="24D98451" w14:textId="77777777" w:rsidR="0021298F" w:rsidRPr="00D71042" w:rsidRDefault="0021298F" w:rsidP="00760009">
            <w:pPr>
              <w:jc w:val="right"/>
              <w:rPr>
                <w:rFonts w:ascii="Arial" w:eastAsia="Times New Roman" w:hAnsi="Arial" w:cs="Arial"/>
                <w:b/>
                <w:bCs/>
                <w:color w:val="000000"/>
                <w:sz w:val="20"/>
                <w:szCs w:val="20"/>
                <w:lang w:eastAsia="en-GB"/>
              </w:rPr>
            </w:pPr>
            <w:r w:rsidRPr="00D71042">
              <w:rPr>
                <w:rFonts w:ascii="Arial" w:eastAsia="Times New Roman" w:hAnsi="Arial" w:cs="Arial"/>
                <w:b/>
                <w:bCs/>
                <w:color w:val="000000"/>
                <w:sz w:val="20"/>
                <w:szCs w:val="20"/>
                <w:lang w:eastAsia="en-GB"/>
              </w:rPr>
              <w:t xml:space="preserve">514,888 </w:t>
            </w:r>
          </w:p>
        </w:tc>
      </w:tr>
    </w:tbl>
    <w:p w14:paraId="252FE657" w14:textId="77777777" w:rsidR="0021298F" w:rsidRDefault="0021298F" w:rsidP="0021298F">
      <w:pPr>
        <w:pStyle w:val="Heading2"/>
        <w:keepNext w:val="0"/>
        <w:keepLines w:val="0"/>
        <w:spacing w:before="0" w:line="240" w:lineRule="auto"/>
        <w:jc w:val="both"/>
        <w:rPr>
          <w:rFonts w:ascii="Arial" w:hAnsi="Arial" w:cs="Arial"/>
          <w:color w:val="auto"/>
          <w:sz w:val="24"/>
          <w:szCs w:val="22"/>
          <w:lang w:eastAsia="en-GB"/>
        </w:rPr>
      </w:pPr>
    </w:p>
    <w:tbl>
      <w:tblPr>
        <w:tblW w:w="9541" w:type="dxa"/>
        <w:tblLook w:val="04A0" w:firstRow="1" w:lastRow="0" w:firstColumn="1" w:lastColumn="0" w:noHBand="0" w:noVBand="1"/>
      </w:tblPr>
      <w:tblGrid>
        <w:gridCol w:w="1985"/>
        <w:gridCol w:w="2268"/>
        <w:gridCol w:w="1329"/>
        <w:gridCol w:w="1319"/>
        <w:gridCol w:w="1320"/>
        <w:gridCol w:w="1320"/>
      </w:tblGrid>
      <w:tr w:rsidR="0021298F" w:rsidRPr="00D71042" w14:paraId="3C11C043" w14:textId="77777777" w:rsidTr="00760009">
        <w:trPr>
          <w:trHeight w:val="780"/>
        </w:trPr>
        <w:tc>
          <w:tcPr>
            <w:tcW w:w="1985" w:type="dxa"/>
            <w:tcBorders>
              <w:top w:val="nil"/>
              <w:left w:val="nil"/>
              <w:bottom w:val="nil"/>
              <w:right w:val="nil"/>
            </w:tcBorders>
            <w:shd w:val="clear" w:color="000000" w:fill="FFFFFF"/>
            <w:vAlign w:val="bottom"/>
            <w:hideMark/>
          </w:tcPr>
          <w:p w14:paraId="39A463BC" w14:textId="77777777" w:rsidR="0021298F" w:rsidRPr="00D71042" w:rsidRDefault="0021298F" w:rsidP="00760009">
            <w:pPr>
              <w:rPr>
                <w:rFonts w:ascii="Arial" w:eastAsia="Times New Roman" w:hAnsi="Arial" w:cs="Arial"/>
                <w:b/>
                <w:bCs/>
                <w:color w:val="000000"/>
                <w:sz w:val="20"/>
                <w:szCs w:val="20"/>
                <w:lang w:eastAsia="en-GB"/>
              </w:rPr>
            </w:pPr>
            <w:r w:rsidRPr="00D71042">
              <w:rPr>
                <w:rFonts w:ascii="Arial" w:eastAsia="Times New Roman" w:hAnsi="Arial" w:cs="Arial"/>
                <w:b/>
                <w:bCs/>
                <w:color w:val="000000"/>
                <w:sz w:val="20"/>
                <w:szCs w:val="20"/>
                <w:lang w:eastAsia="en-GB"/>
              </w:rPr>
              <w:t>Date</w:t>
            </w:r>
          </w:p>
        </w:tc>
        <w:tc>
          <w:tcPr>
            <w:tcW w:w="2268" w:type="dxa"/>
            <w:tcBorders>
              <w:top w:val="nil"/>
              <w:left w:val="nil"/>
              <w:bottom w:val="nil"/>
              <w:right w:val="nil"/>
            </w:tcBorders>
            <w:shd w:val="clear" w:color="000000" w:fill="FFFFFF"/>
            <w:vAlign w:val="bottom"/>
            <w:hideMark/>
          </w:tcPr>
          <w:p w14:paraId="7292EBC0" w14:textId="77777777" w:rsidR="0021298F" w:rsidRPr="00D71042" w:rsidRDefault="0021298F" w:rsidP="00760009">
            <w:pPr>
              <w:rPr>
                <w:rFonts w:ascii="Arial" w:eastAsia="Times New Roman" w:hAnsi="Arial" w:cs="Arial"/>
                <w:b/>
                <w:bCs/>
                <w:color w:val="000000"/>
                <w:sz w:val="20"/>
                <w:szCs w:val="20"/>
                <w:lang w:eastAsia="en-GB"/>
              </w:rPr>
            </w:pPr>
            <w:r w:rsidRPr="00D71042">
              <w:rPr>
                <w:rFonts w:ascii="Arial" w:eastAsia="Times New Roman" w:hAnsi="Arial" w:cs="Arial"/>
                <w:b/>
                <w:bCs/>
                <w:color w:val="000000"/>
                <w:sz w:val="20"/>
                <w:szCs w:val="20"/>
                <w:lang w:eastAsia="en-GB"/>
              </w:rPr>
              <w:t>Issued and fully paid</w:t>
            </w:r>
          </w:p>
        </w:tc>
        <w:tc>
          <w:tcPr>
            <w:tcW w:w="1329" w:type="dxa"/>
            <w:tcBorders>
              <w:top w:val="nil"/>
              <w:left w:val="nil"/>
              <w:bottom w:val="nil"/>
              <w:right w:val="nil"/>
            </w:tcBorders>
            <w:shd w:val="clear" w:color="000000" w:fill="FFFFFF"/>
            <w:vAlign w:val="bottom"/>
            <w:hideMark/>
          </w:tcPr>
          <w:p w14:paraId="096B1765" w14:textId="77777777" w:rsidR="0021298F" w:rsidRPr="00D71042" w:rsidRDefault="0021298F" w:rsidP="00760009">
            <w:pPr>
              <w:jc w:val="right"/>
              <w:rPr>
                <w:rFonts w:ascii="Arial" w:eastAsia="Times New Roman" w:hAnsi="Arial" w:cs="Arial"/>
                <w:b/>
                <w:bCs/>
                <w:color w:val="000000"/>
                <w:sz w:val="20"/>
                <w:szCs w:val="20"/>
                <w:lang w:eastAsia="en-GB"/>
              </w:rPr>
            </w:pPr>
            <w:r w:rsidRPr="00D71042">
              <w:rPr>
                <w:rFonts w:ascii="Arial" w:eastAsia="Times New Roman" w:hAnsi="Arial" w:cs="Arial"/>
                <w:b/>
                <w:bCs/>
                <w:color w:val="000000"/>
                <w:sz w:val="20"/>
                <w:szCs w:val="20"/>
                <w:lang w:eastAsia="en-GB"/>
              </w:rPr>
              <w:t>Number of shares issued</w:t>
            </w:r>
          </w:p>
        </w:tc>
        <w:tc>
          <w:tcPr>
            <w:tcW w:w="1319" w:type="dxa"/>
            <w:tcBorders>
              <w:top w:val="nil"/>
              <w:left w:val="nil"/>
              <w:bottom w:val="nil"/>
              <w:right w:val="nil"/>
            </w:tcBorders>
            <w:shd w:val="clear" w:color="000000" w:fill="FFFFFF"/>
            <w:vAlign w:val="bottom"/>
            <w:hideMark/>
          </w:tcPr>
          <w:p w14:paraId="6C6D2DDE" w14:textId="77777777" w:rsidR="0021298F" w:rsidRPr="00D71042" w:rsidRDefault="0021298F" w:rsidP="00760009">
            <w:pPr>
              <w:jc w:val="right"/>
              <w:rPr>
                <w:rFonts w:ascii="Arial" w:eastAsia="Times New Roman" w:hAnsi="Arial" w:cs="Arial"/>
                <w:b/>
                <w:bCs/>
                <w:color w:val="000000"/>
                <w:sz w:val="20"/>
                <w:szCs w:val="20"/>
                <w:lang w:eastAsia="en-GB"/>
              </w:rPr>
            </w:pPr>
            <w:r w:rsidRPr="00D71042">
              <w:rPr>
                <w:rFonts w:ascii="Arial" w:eastAsia="Times New Roman" w:hAnsi="Arial" w:cs="Arial"/>
                <w:b/>
                <w:bCs/>
                <w:color w:val="000000"/>
                <w:sz w:val="20"/>
                <w:szCs w:val="20"/>
                <w:lang w:eastAsia="en-GB"/>
              </w:rPr>
              <w:t>Share capital</w:t>
            </w:r>
          </w:p>
        </w:tc>
        <w:tc>
          <w:tcPr>
            <w:tcW w:w="1320" w:type="dxa"/>
            <w:tcBorders>
              <w:top w:val="nil"/>
              <w:left w:val="nil"/>
              <w:bottom w:val="nil"/>
              <w:right w:val="nil"/>
            </w:tcBorders>
            <w:shd w:val="clear" w:color="000000" w:fill="FFFFFF"/>
            <w:vAlign w:val="bottom"/>
            <w:hideMark/>
          </w:tcPr>
          <w:p w14:paraId="338595FC" w14:textId="77777777" w:rsidR="0021298F" w:rsidRPr="00D71042" w:rsidRDefault="0021298F" w:rsidP="00760009">
            <w:pPr>
              <w:jc w:val="right"/>
              <w:rPr>
                <w:rFonts w:ascii="Arial" w:eastAsia="Times New Roman" w:hAnsi="Arial" w:cs="Arial"/>
                <w:b/>
                <w:bCs/>
                <w:color w:val="000000"/>
                <w:sz w:val="20"/>
                <w:szCs w:val="20"/>
                <w:lang w:eastAsia="en-GB"/>
              </w:rPr>
            </w:pPr>
            <w:r w:rsidRPr="00D71042">
              <w:rPr>
                <w:rFonts w:ascii="Arial" w:eastAsia="Times New Roman" w:hAnsi="Arial" w:cs="Arial"/>
                <w:b/>
                <w:bCs/>
                <w:color w:val="000000"/>
                <w:sz w:val="20"/>
                <w:szCs w:val="20"/>
                <w:lang w:eastAsia="en-GB"/>
              </w:rPr>
              <w:t>Share premium</w:t>
            </w:r>
          </w:p>
        </w:tc>
        <w:tc>
          <w:tcPr>
            <w:tcW w:w="1320" w:type="dxa"/>
            <w:tcBorders>
              <w:top w:val="nil"/>
              <w:left w:val="nil"/>
              <w:bottom w:val="nil"/>
              <w:right w:val="nil"/>
            </w:tcBorders>
            <w:shd w:val="clear" w:color="000000" w:fill="FFFFFF"/>
            <w:vAlign w:val="bottom"/>
            <w:hideMark/>
          </w:tcPr>
          <w:p w14:paraId="26D7B399" w14:textId="77777777" w:rsidR="0021298F" w:rsidRPr="00D71042" w:rsidRDefault="0021298F" w:rsidP="00760009">
            <w:pPr>
              <w:jc w:val="right"/>
              <w:rPr>
                <w:rFonts w:ascii="Arial" w:eastAsia="Times New Roman" w:hAnsi="Arial" w:cs="Arial"/>
                <w:b/>
                <w:bCs/>
                <w:color w:val="000000"/>
                <w:sz w:val="20"/>
                <w:szCs w:val="20"/>
                <w:lang w:eastAsia="en-GB"/>
              </w:rPr>
            </w:pPr>
            <w:r w:rsidRPr="00D71042">
              <w:rPr>
                <w:rFonts w:ascii="Arial" w:eastAsia="Times New Roman" w:hAnsi="Arial" w:cs="Arial"/>
                <w:b/>
                <w:bCs/>
                <w:color w:val="000000"/>
                <w:sz w:val="20"/>
                <w:szCs w:val="20"/>
                <w:lang w:eastAsia="en-GB"/>
              </w:rPr>
              <w:t>Total</w:t>
            </w:r>
          </w:p>
        </w:tc>
      </w:tr>
      <w:tr w:rsidR="0021298F" w:rsidRPr="00D71042" w14:paraId="5D86C5CC" w14:textId="77777777" w:rsidTr="00760009">
        <w:trPr>
          <w:trHeight w:val="300"/>
        </w:trPr>
        <w:tc>
          <w:tcPr>
            <w:tcW w:w="1985" w:type="dxa"/>
            <w:tcBorders>
              <w:top w:val="nil"/>
              <w:left w:val="nil"/>
              <w:bottom w:val="single" w:sz="4" w:space="0" w:color="auto"/>
              <w:right w:val="nil"/>
            </w:tcBorders>
            <w:shd w:val="clear" w:color="000000" w:fill="FFFFFF"/>
            <w:vAlign w:val="center"/>
            <w:hideMark/>
          </w:tcPr>
          <w:p w14:paraId="10098F5A" w14:textId="77777777" w:rsidR="0021298F" w:rsidRPr="00D71042" w:rsidRDefault="0021298F" w:rsidP="00760009">
            <w:pPr>
              <w:jc w:val="center"/>
              <w:rPr>
                <w:rFonts w:ascii="Arial" w:eastAsia="Times New Roman" w:hAnsi="Arial" w:cs="Arial"/>
                <w:color w:val="000000"/>
                <w:sz w:val="20"/>
                <w:szCs w:val="20"/>
                <w:lang w:eastAsia="en-GB"/>
              </w:rPr>
            </w:pPr>
            <w:r w:rsidRPr="00D71042">
              <w:rPr>
                <w:rFonts w:ascii="Arial" w:eastAsia="Times New Roman" w:hAnsi="Arial" w:cs="Arial"/>
                <w:color w:val="000000"/>
                <w:sz w:val="20"/>
                <w:szCs w:val="20"/>
                <w:lang w:eastAsia="en-GB"/>
              </w:rPr>
              <w:t> </w:t>
            </w:r>
          </w:p>
        </w:tc>
        <w:tc>
          <w:tcPr>
            <w:tcW w:w="2268" w:type="dxa"/>
            <w:tcBorders>
              <w:top w:val="nil"/>
              <w:left w:val="nil"/>
              <w:bottom w:val="single" w:sz="4" w:space="0" w:color="auto"/>
              <w:right w:val="nil"/>
            </w:tcBorders>
            <w:shd w:val="clear" w:color="000000" w:fill="FFFFFF"/>
            <w:noWrap/>
            <w:vAlign w:val="center"/>
            <w:hideMark/>
          </w:tcPr>
          <w:p w14:paraId="59CD2E56" w14:textId="77777777" w:rsidR="0021298F" w:rsidRPr="00D71042" w:rsidRDefault="0021298F" w:rsidP="00760009">
            <w:pPr>
              <w:jc w:val="right"/>
              <w:rPr>
                <w:rFonts w:ascii="Arial" w:eastAsia="Times New Roman" w:hAnsi="Arial" w:cs="Arial"/>
                <w:b/>
                <w:bCs/>
                <w:color w:val="000000"/>
                <w:sz w:val="20"/>
                <w:szCs w:val="20"/>
                <w:lang w:eastAsia="en-GB"/>
              </w:rPr>
            </w:pPr>
            <w:r w:rsidRPr="00D71042">
              <w:rPr>
                <w:rFonts w:ascii="Arial" w:eastAsia="Times New Roman" w:hAnsi="Arial" w:cs="Arial"/>
                <w:b/>
                <w:bCs/>
                <w:color w:val="000000"/>
                <w:sz w:val="20"/>
                <w:szCs w:val="20"/>
                <w:lang w:eastAsia="en-GB"/>
              </w:rPr>
              <w:t> </w:t>
            </w:r>
          </w:p>
        </w:tc>
        <w:tc>
          <w:tcPr>
            <w:tcW w:w="1329" w:type="dxa"/>
            <w:tcBorders>
              <w:top w:val="nil"/>
              <w:left w:val="nil"/>
              <w:bottom w:val="single" w:sz="4" w:space="0" w:color="auto"/>
              <w:right w:val="nil"/>
            </w:tcBorders>
            <w:shd w:val="clear" w:color="000000" w:fill="FFFFFF"/>
            <w:noWrap/>
            <w:vAlign w:val="center"/>
            <w:hideMark/>
          </w:tcPr>
          <w:p w14:paraId="2F776D63" w14:textId="77777777" w:rsidR="0021298F" w:rsidRPr="00D71042" w:rsidRDefault="0021298F" w:rsidP="00760009">
            <w:pPr>
              <w:jc w:val="right"/>
              <w:rPr>
                <w:rFonts w:ascii="Arial" w:eastAsia="Times New Roman" w:hAnsi="Arial" w:cs="Arial"/>
                <w:b/>
                <w:bCs/>
                <w:color w:val="000000"/>
                <w:sz w:val="20"/>
                <w:szCs w:val="20"/>
                <w:lang w:eastAsia="en-GB"/>
              </w:rPr>
            </w:pPr>
            <w:r w:rsidRPr="00D71042">
              <w:rPr>
                <w:rFonts w:ascii="Arial" w:eastAsia="Times New Roman" w:hAnsi="Arial" w:cs="Arial"/>
                <w:b/>
                <w:bCs/>
                <w:color w:val="000000"/>
                <w:sz w:val="20"/>
                <w:szCs w:val="20"/>
                <w:lang w:eastAsia="en-GB"/>
              </w:rPr>
              <w:t> </w:t>
            </w:r>
          </w:p>
        </w:tc>
        <w:tc>
          <w:tcPr>
            <w:tcW w:w="1319" w:type="dxa"/>
            <w:tcBorders>
              <w:top w:val="nil"/>
              <w:left w:val="nil"/>
              <w:bottom w:val="single" w:sz="4" w:space="0" w:color="auto"/>
              <w:right w:val="nil"/>
            </w:tcBorders>
            <w:shd w:val="clear" w:color="000000" w:fill="FFFFFF"/>
            <w:noWrap/>
            <w:vAlign w:val="center"/>
            <w:hideMark/>
          </w:tcPr>
          <w:p w14:paraId="13AC4822" w14:textId="77777777" w:rsidR="0021298F" w:rsidRPr="00D71042" w:rsidRDefault="0021298F" w:rsidP="00760009">
            <w:pPr>
              <w:jc w:val="right"/>
              <w:rPr>
                <w:rFonts w:ascii="Arial" w:eastAsia="Times New Roman" w:hAnsi="Arial" w:cs="Arial"/>
                <w:b/>
                <w:bCs/>
                <w:color w:val="000000"/>
                <w:sz w:val="20"/>
                <w:szCs w:val="20"/>
                <w:lang w:eastAsia="en-GB"/>
              </w:rPr>
            </w:pPr>
            <w:r w:rsidRPr="00D71042">
              <w:rPr>
                <w:rFonts w:ascii="Arial" w:eastAsia="Times New Roman" w:hAnsi="Arial" w:cs="Arial"/>
                <w:b/>
                <w:bCs/>
                <w:color w:val="000000"/>
                <w:sz w:val="20"/>
                <w:szCs w:val="20"/>
                <w:lang w:eastAsia="en-GB"/>
              </w:rPr>
              <w:t>€’000</w:t>
            </w:r>
          </w:p>
        </w:tc>
        <w:tc>
          <w:tcPr>
            <w:tcW w:w="1320" w:type="dxa"/>
            <w:tcBorders>
              <w:top w:val="nil"/>
              <w:left w:val="nil"/>
              <w:bottom w:val="single" w:sz="4" w:space="0" w:color="auto"/>
              <w:right w:val="nil"/>
            </w:tcBorders>
            <w:shd w:val="clear" w:color="000000" w:fill="FFFFFF"/>
            <w:noWrap/>
            <w:vAlign w:val="center"/>
            <w:hideMark/>
          </w:tcPr>
          <w:p w14:paraId="5357F9AC" w14:textId="77777777" w:rsidR="0021298F" w:rsidRPr="00D71042" w:rsidRDefault="0021298F" w:rsidP="00760009">
            <w:pPr>
              <w:jc w:val="right"/>
              <w:rPr>
                <w:rFonts w:ascii="Arial" w:eastAsia="Times New Roman" w:hAnsi="Arial" w:cs="Arial"/>
                <w:b/>
                <w:bCs/>
                <w:color w:val="000000"/>
                <w:sz w:val="20"/>
                <w:szCs w:val="20"/>
                <w:lang w:eastAsia="en-GB"/>
              </w:rPr>
            </w:pPr>
            <w:r w:rsidRPr="00D71042">
              <w:rPr>
                <w:rFonts w:ascii="Arial" w:eastAsia="Times New Roman" w:hAnsi="Arial" w:cs="Arial"/>
                <w:b/>
                <w:bCs/>
                <w:color w:val="000000"/>
                <w:sz w:val="20"/>
                <w:szCs w:val="20"/>
                <w:lang w:eastAsia="en-GB"/>
              </w:rPr>
              <w:t>€’000</w:t>
            </w:r>
          </w:p>
        </w:tc>
        <w:tc>
          <w:tcPr>
            <w:tcW w:w="1320" w:type="dxa"/>
            <w:tcBorders>
              <w:top w:val="nil"/>
              <w:left w:val="nil"/>
              <w:bottom w:val="single" w:sz="4" w:space="0" w:color="auto"/>
              <w:right w:val="nil"/>
            </w:tcBorders>
            <w:shd w:val="clear" w:color="000000" w:fill="FFFFFF"/>
            <w:noWrap/>
            <w:vAlign w:val="center"/>
            <w:hideMark/>
          </w:tcPr>
          <w:p w14:paraId="71121399" w14:textId="77777777" w:rsidR="0021298F" w:rsidRPr="00D71042" w:rsidRDefault="0021298F" w:rsidP="00760009">
            <w:pPr>
              <w:jc w:val="right"/>
              <w:rPr>
                <w:rFonts w:ascii="Arial" w:eastAsia="Times New Roman" w:hAnsi="Arial" w:cs="Arial"/>
                <w:b/>
                <w:bCs/>
                <w:color w:val="000000"/>
                <w:sz w:val="20"/>
                <w:szCs w:val="20"/>
                <w:lang w:eastAsia="en-GB"/>
              </w:rPr>
            </w:pPr>
            <w:r w:rsidRPr="00D71042">
              <w:rPr>
                <w:rFonts w:ascii="Arial" w:eastAsia="Times New Roman" w:hAnsi="Arial" w:cs="Arial"/>
                <w:b/>
                <w:bCs/>
                <w:color w:val="000000"/>
                <w:sz w:val="20"/>
                <w:szCs w:val="20"/>
                <w:lang w:eastAsia="en-GB"/>
              </w:rPr>
              <w:t>€’000</w:t>
            </w:r>
          </w:p>
        </w:tc>
      </w:tr>
      <w:tr w:rsidR="0021298F" w:rsidRPr="00D71042" w14:paraId="0DFF506E" w14:textId="77777777" w:rsidTr="00760009">
        <w:trPr>
          <w:trHeight w:hRule="exact" w:val="227"/>
        </w:trPr>
        <w:tc>
          <w:tcPr>
            <w:tcW w:w="1985" w:type="dxa"/>
            <w:tcBorders>
              <w:top w:val="nil"/>
              <w:left w:val="nil"/>
              <w:bottom w:val="nil"/>
              <w:right w:val="nil"/>
            </w:tcBorders>
            <w:shd w:val="clear" w:color="000000" w:fill="FFFFFF"/>
            <w:vAlign w:val="center"/>
            <w:hideMark/>
          </w:tcPr>
          <w:p w14:paraId="165F0EA2" w14:textId="77777777" w:rsidR="0021298F" w:rsidRPr="00D71042" w:rsidRDefault="0021298F" w:rsidP="00760009">
            <w:pPr>
              <w:jc w:val="both"/>
              <w:rPr>
                <w:rFonts w:ascii="Arial" w:eastAsia="Times New Roman" w:hAnsi="Arial" w:cs="Arial"/>
                <w:color w:val="000000"/>
                <w:sz w:val="20"/>
                <w:szCs w:val="20"/>
                <w:lang w:eastAsia="en-GB"/>
              </w:rPr>
            </w:pPr>
            <w:r w:rsidRPr="00D71042">
              <w:rPr>
                <w:rFonts w:ascii="Arial" w:eastAsia="Times New Roman" w:hAnsi="Arial" w:cs="Arial"/>
                <w:color w:val="000000"/>
                <w:sz w:val="20"/>
                <w:szCs w:val="20"/>
                <w:lang w:eastAsia="en-GB"/>
              </w:rPr>
              <w:t>1 January 2019</w:t>
            </w:r>
          </w:p>
        </w:tc>
        <w:tc>
          <w:tcPr>
            <w:tcW w:w="2268" w:type="dxa"/>
            <w:tcBorders>
              <w:top w:val="nil"/>
              <w:left w:val="nil"/>
              <w:bottom w:val="nil"/>
              <w:right w:val="nil"/>
            </w:tcBorders>
            <w:shd w:val="clear" w:color="000000" w:fill="FFFFFF"/>
            <w:vAlign w:val="center"/>
            <w:hideMark/>
          </w:tcPr>
          <w:p w14:paraId="57C1296D" w14:textId="77777777" w:rsidR="0021298F" w:rsidRPr="00D71042" w:rsidRDefault="0021298F" w:rsidP="00760009">
            <w:pPr>
              <w:jc w:val="both"/>
              <w:rPr>
                <w:rFonts w:ascii="Arial" w:eastAsia="Times New Roman" w:hAnsi="Arial" w:cs="Arial"/>
                <w:color w:val="000000"/>
                <w:sz w:val="20"/>
                <w:szCs w:val="20"/>
                <w:lang w:eastAsia="en-GB"/>
              </w:rPr>
            </w:pPr>
            <w:r w:rsidRPr="00D71042">
              <w:rPr>
                <w:rFonts w:ascii="Arial" w:eastAsia="Times New Roman" w:hAnsi="Arial" w:cs="Arial"/>
                <w:color w:val="000000"/>
                <w:sz w:val="20"/>
                <w:szCs w:val="20"/>
                <w:lang w:eastAsia="en-GB"/>
              </w:rPr>
              <w:t> Opening balance</w:t>
            </w:r>
          </w:p>
        </w:tc>
        <w:tc>
          <w:tcPr>
            <w:tcW w:w="1329" w:type="dxa"/>
            <w:tcBorders>
              <w:top w:val="nil"/>
              <w:left w:val="nil"/>
              <w:bottom w:val="nil"/>
              <w:right w:val="nil"/>
            </w:tcBorders>
            <w:shd w:val="clear" w:color="000000" w:fill="FFFFFF"/>
            <w:noWrap/>
            <w:vAlign w:val="center"/>
            <w:hideMark/>
          </w:tcPr>
          <w:p w14:paraId="285F2CDD" w14:textId="77777777" w:rsidR="0021298F" w:rsidRPr="00D71042" w:rsidRDefault="0021298F" w:rsidP="00760009">
            <w:pPr>
              <w:jc w:val="right"/>
              <w:rPr>
                <w:rFonts w:ascii="Arial" w:eastAsia="Times New Roman" w:hAnsi="Arial" w:cs="Arial"/>
                <w:color w:val="000000"/>
                <w:sz w:val="20"/>
                <w:szCs w:val="20"/>
                <w:lang w:eastAsia="en-GB"/>
              </w:rPr>
            </w:pPr>
            <w:r w:rsidRPr="00D71042">
              <w:rPr>
                <w:rFonts w:ascii="Arial" w:eastAsia="Times New Roman" w:hAnsi="Arial" w:cs="Arial"/>
                <w:color w:val="000000"/>
                <w:sz w:val="20"/>
                <w:szCs w:val="20"/>
                <w:lang w:eastAsia="en-GB"/>
              </w:rPr>
              <w:t xml:space="preserve">380,000,000 </w:t>
            </w:r>
          </w:p>
        </w:tc>
        <w:tc>
          <w:tcPr>
            <w:tcW w:w="1319" w:type="dxa"/>
            <w:tcBorders>
              <w:top w:val="nil"/>
              <w:left w:val="nil"/>
              <w:bottom w:val="nil"/>
              <w:right w:val="nil"/>
            </w:tcBorders>
            <w:shd w:val="clear" w:color="000000" w:fill="FFFFFF"/>
            <w:noWrap/>
            <w:vAlign w:val="center"/>
            <w:hideMark/>
          </w:tcPr>
          <w:p w14:paraId="6648F432" w14:textId="77777777" w:rsidR="0021298F" w:rsidRPr="00D71042" w:rsidRDefault="0021298F" w:rsidP="00760009">
            <w:pPr>
              <w:jc w:val="right"/>
              <w:rPr>
                <w:rFonts w:ascii="Arial" w:eastAsia="Times New Roman" w:hAnsi="Arial" w:cs="Arial"/>
                <w:color w:val="000000"/>
                <w:sz w:val="20"/>
                <w:szCs w:val="20"/>
                <w:lang w:eastAsia="en-GB"/>
              </w:rPr>
            </w:pPr>
            <w:r w:rsidRPr="00D71042">
              <w:rPr>
                <w:rFonts w:ascii="Arial" w:eastAsia="Times New Roman" w:hAnsi="Arial" w:cs="Arial"/>
                <w:color w:val="000000"/>
                <w:sz w:val="20"/>
                <w:szCs w:val="20"/>
                <w:lang w:eastAsia="en-GB"/>
              </w:rPr>
              <w:t xml:space="preserve">3,800 </w:t>
            </w:r>
          </w:p>
        </w:tc>
        <w:tc>
          <w:tcPr>
            <w:tcW w:w="1320" w:type="dxa"/>
            <w:tcBorders>
              <w:top w:val="nil"/>
              <w:left w:val="nil"/>
              <w:bottom w:val="nil"/>
              <w:right w:val="nil"/>
            </w:tcBorders>
            <w:shd w:val="clear" w:color="000000" w:fill="FFFFFF"/>
            <w:noWrap/>
            <w:vAlign w:val="center"/>
            <w:hideMark/>
          </w:tcPr>
          <w:p w14:paraId="17CD212C" w14:textId="77777777" w:rsidR="0021298F" w:rsidRPr="00D71042" w:rsidRDefault="0021298F" w:rsidP="00760009">
            <w:pPr>
              <w:jc w:val="right"/>
              <w:rPr>
                <w:rFonts w:ascii="Arial" w:eastAsia="Times New Roman" w:hAnsi="Arial" w:cs="Arial"/>
                <w:color w:val="000000"/>
                <w:sz w:val="20"/>
                <w:szCs w:val="20"/>
                <w:lang w:eastAsia="en-GB"/>
              </w:rPr>
            </w:pPr>
            <w:r w:rsidRPr="00D71042">
              <w:rPr>
                <w:rFonts w:ascii="Arial" w:eastAsia="Times New Roman" w:hAnsi="Arial" w:cs="Arial"/>
                <w:color w:val="000000"/>
                <w:sz w:val="20"/>
                <w:szCs w:val="20"/>
                <w:lang w:eastAsia="en-GB"/>
              </w:rPr>
              <w:t xml:space="preserve">120,009 </w:t>
            </w:r>
          </w:p>
        </w:tc>
        <w:tc>
          <w:tcPr>
            <w:tcW w:w="1320" w:type="dxa"/>
            <w:tcBorders>
              <w:top w:val="nil"/>
              <w:left w:val="nil"/>
              <w:bottom w:val="nil"/>
              <w:right w:val="nil"/>
            </w:tcBorders>
            <w:shd w:val="clear" w:color="000000" w:fill="FFFFFF"/>
            <w:noWrap/>
            <w:vAlign w:val="center"/>
            <w:hideMark/>
          </w:tcPr>
          <w:p w14:paraId="337E43E4" w14:textId="77777777" w:rsidR="0021298F" w:rsidRPr="00D71042" w:rsidRDefault="0021298F" w:rsidP="00760009">
            <w:pPr>
              <w:jc w:val="right"/>
              <w:rPr>
                <w:rFonts w:ascii="Arial" w:eastAsia="Times New Roman" w:hAnsi="Arial" w:cs="Arial"/>
                <w:b/>
                <w:bCs/>
                <w:color w:val="000000"/>
                <w:sz w:val="20"/>
                <w:szCs w:val="20"/>
                <w:lang w:eastAsia="en-GB"/>
              </w:rPr>
            </w:pPr>
            <w:r w:rsidRPr="00D71042">
              <w:rPr>
                <w:rFonts w:ascii="Arial" w:eastAsia="Times New Roman" w:hAnsi="Arial" w:cs="Arial"/>
                <w:b/>
                <w:bCs/>
                <w:color w:val="000000"/>
                <w:sz w:val="20"/>
                <w:szCs w:val="20"/>
                <w:lang w:eastAsia="en-GB"/>
              </w:rPr>
              <w:t xml:space="preserve">123,809 </w:t>
            </w:r>
          </w:p>
        </w:tc>
      </w:tr>
      <w:tr w:rsidR="0021298F" w:rsidRPr="00D71042" w14:paraId="1115C560" w14:textId="77777777" w:rsidTr="00760009">
        <w:trPr>
          <w:trHeight w:hRule="exact" w:val="227"/>
        </w:trPr>
        <w:tc>
          <w:tcPr>
            <w:tcW w:w="1985" w:type="dxa"/>
            <w:tcBorders>
              <w:top w:val="nil"/>
              <w:left w:val="nil"/>
              <w:bottom w:val="nil"/>
              <w:right w:val="nil"/>
            </w:tcBorders>
            <w:shd w:val="clear" w:color="000000" w:fill="FFFFFF"/>
            <w:vAlign w:val="center"/>
            <w:hideMark/>
          </w:tcPr>
          <w:p w14:paraId="16BD5432" w14:textId="77777777" w:rsidR="0021298F" w:rsidRPr="00D71042" w:rsidRDefault="0021298F" w:rsidP="00760009">
            <w:pPr>
              <w:jc w:val="both"/>
              <w:rPr>
                <w:rFonts w:ascii="Arial" w:eastAsia="Times New Roman" w:hAnsi="Arial" w:cs="Arial"/>
                <w:color w:val="000000"/>
                <w:sz w:val="20"/>
                <w:szCs w:val="20"/>
                <w:lang w:eastAsia="en-GB"/>
              </w:rPr>
            </w:pPr>
            <w:r w:rsidRPr="00D71042">
              <w:rPr>
                <w:rFonts w:ascii="Arial" w:eastAsia="Times New Roman" w:hAnsi="Arial" w:cs="Arial"/>
                <w:color w:val="000000"/>
                <w:sz w:val="20"/>
                <w:szCs w:val="20"/>
                <w:lang w:eastAsia="en-GB"/>
              </w:rPr>
              <w:t> </w:t>
            </w:r>
          </w:p>
        </w:tc>
        <w:tc>
          <w:tcPr>
            <w:tcW w:w="2268" w:type="dxa"/>
            <w:tcBorders>
              <w:top w:val="nil"/>
              <w:left w:val="nil"/>
              <w:bottom w:val="nil"/>
              <w:right w:val="nil"/>
            </w:tcBorders>
            <w:shd w:val="clear" w:color="000000" w:fill="FFFFFF"/>
            <w:noWrap/>
            <w:vAlign w:val="center"/>
            <w:hideMark/>
          </w:tcPr>
          <w:p w14:paraId="7853B988" w14:textId="77777777" w:rsidR="0021298F" w:rsidRPr="00D71042" w:rsidRDefault="0021298F" w:rsidP="00760009">
            <w:pPr>
              <w:jc w:val="right"/>
              <w:rPr>
                <w:rFonts w:ascii="Arial" w:eastAsia="Times New Roman" w:hAnsi="Arial" w:cs="Arial"/>
                <w:color w:val="000000"/>
                <w:sz w:val="20"/>
                <w:szCs w:val="20"/>
                <w:lang w:eastAsia="en-GB"/>
              </w:rPr>
            </w:pPr>
            <w:r w:rsidRPr="00D71042">
              <w:rPr>
                <w:rFonts w:ascii="Arial" w:eastAsia="Times New Roman" w:hAnsi="Arial" w:cs="Arial"/>
                <w:color w:val="000000"/>
                <w:sz w:val="20"/>
                <w:szCs w:val="20"/>
                <w:lang w:eastAsia="en-GB"/>
              </w:rPr>
              <w:t> </w:t>
            </w:r>
          </w:p>
        </w:tc>
        <w:tc>
          <w:tcPr>
            <w:tcW w:w="1329" w:type="dxa"/>
            <w:tcBorders>
              <w:top w:val="nil"/>
              <w:left w:val="nil"/>
              <w:bottom w:val="nil"/>
              <w:right w:val="nil"/>
            </w:tcBorders>
            <w:shd w:val="clear" w:color="000000" w:fill="FFFFFF"/>
            <w:noWrap/>
            <w:vAlign w:val="center"/>
            <w:hideMark/>
          </w:tcPr>
          <w:p w14:paraId="3F019F87" w14:textId="77777777" w:rsidR="0021298F" w:rsidRPr="00D71042" w:rsidRDefault="0021298F" w:rsidP="00760009">
            <w:pPr>
              <w:jc w:val="right"/>
              <w:rPr>
                <w:rFonts w:ascii="Arial" w:eastAsia="Times New Roman" w:hAnsi="Arial" w:cs="Arial"/>
                <w:color w:val="000000"/>
                <w:sz w:val="20"/>
                <w:szCs w:val="20"/>
                <w:lang w:eastAsia="en-GB"/>
              </w:rPr>
            </w:pPr>
            <w:r w:rsidRPr="00D71042">
              <w:rPr>
                <w:rFonts w:ascii="Arial" w:eastAsia="Times New Roman" w:hAnsi="Arial" w:cs="Arial"/>
                <w:color w:val="000000"/>
                <w:sz w:val="20"/>
                <w:szCs w:val="20"/>
                <w:lang w:eastAsia="en-GB"/>
              </w:rPr>
              <w:t> </w:t>
            </w:r>
          </w:p>
        </w:tc>
        <w:tc>
          <w:tcPr>
            <w:tcW w:w="1319" w:type="dxa"/>
            <w:tcBorders>
              <w:top w:val="nil"/>
              <w:left w:val="nil"/>
              <w:bottom w:val="nil"/>
              <w:right w:val="nil"/>
            </w:tcBorders>
            <w:shd w:val="clear" w:color="000000" w:fill="FFFFFF"/>
            <w:noWrap/>
            <w:vAlign w:val="center"/>
            <w:hideMark/>
          </w:tcPr>
          <w:p w14:paraId="3C51C11B" w14:textId="77777777" w:rsidR="0021298F" w:rsidRPr="00D71042" w:rsidRDefault="0021298F" w:rsidP="00760009">
            <w:pPr>
              <w:jc w:val="right"/>
              <w:rPr>
                <w:rFonts w:ascii="Arial" w:eastAsia="Times New Roman" w:hAnsi="Arial" w:cs="Arial"/>
                <w:color w:val="000000"/>
                <w:sz w:val="20"/>
                <w:szCs w:val="20"/>
                <w:lang w:eastAsia="en-GB"/>
              </w:rPr>
            </w:pPr>
            <w:r w:rsidRPr="00D71042">
              <w:rPr>
                <w:rFonts w:ascii="Arial" w:eastAsia="Times New Roman" w:hAnsi="Arial" w:cs="Arial"/>
                <w:color w:val="000000"/>
                <w:sz w:val="20"/>
                <w:szCs w:val="20"/>
                <w:lang w:eastAsia="en-GB"/>
              </w:rPr>
              <w:t> </w:t>
            </w:r>
          </w:p>
        </w:tc>
        <w:tc>
          <w:tcPr>
            <w:tcW w:w="1320" w:type="dxa"/>
            <w:tcBorders>
              <w:top w:val="nil"/>
              <w:left w:val="nil"/>
              <w:bottom w:val="nil"/>
              <w:right w:val="nil"/>
            </w:tcBorders>
            <w:shd w:val="clear" w:color="000000" w:fill="FFFFFF"/>
            <w:noWrap/>
            <w:vAlign w:val="center"/>
            <w:hideMark/>
          </w:tcPr>
          <w:p w14:paraId="2769F217" w14:textId="77777777" w:rsidR="0021298F" w:rsidRPr="00D71042" w:rsidRDefault="0021298F" w:rsidP="00760009">
            <w:pPr>
              <w:jc w:val="right"/>
              <w:rPr>
                <w:rFonts w:ascii="Arial" w:eastAsia="Times New Roman" w:hAnsi="Arial" w:cs="Arial"/>
                <w:color w:val="000000"/>
                <w:sz w:val="20"/>
                <w:szCs w:val="20"/>
                <w:lang w:eastAsia="en-GB"/>
              </w:rPr>
            </w:pPr>
            <w:r w:rsidRPr="00D71042">
              <w:rPr>
                <w:rFonts w:ascii="Arial" w:eastAsia="Times New Roman" w:hAnsi="Arial" w:cs="Arial"/>
                <w:color w:val="000000"/>
                <w:sz w:val="20"/>
                <w:szCs w:val="20"/>
                <w:lang w:eastAsia="en-GB"/>
              </w:rPr>
              <w:t> </w:t>
            </w:r>
          </w:p>
        </w:tc>
        <w:tc>
          <w:tcPr>
            <w:tcW w:w="1320" w:type="dxa"/>
            <w:tcBorders>
              <w:top w:val="nil"/>
              <w:left w:val="nil"/>
              <w:bottom w:val="nil"/>
              <w:right w:val="nil"/>
            </w:tcBorders>
            <w:shd w:val="clear" w:color="000000" w:fill="FFFFFF"/>
            <w:noWrap/>
            <w:vAlign w:val="center"/>
            <w:hideMark/>
          </w:tcPr>
          <w:p w14:paraId="2679288F" w14:textId="77777777" w:rsidR="0021298F" w:rsidRPr="00D71042" w:rsidRDefault="0021298F" w:rsidP="00760009">
            <w:pPr>
              <w:jc w:val="right"/>
              <w:rPr>
                <w:rFonts w:ascii="Arial" w:eastAsia="Times New Roman" w:hAnsi="Arial" w:cs="Arial"/>
                <w:b/>
                <w:bCs/>
                <w:color w:val="000000"/>
                <w:sz w:val="20"/>
                <w:szCs w:val="20"/>
                <w:lang w:eastAsia="en-GB"/>
              </w:rPr>
            </w:pPr>
            <w:r w:rsidRPr="00D71042">
              <w:rPr>
                <w:rFonts w:ascii="Arial" w:eastAsia="Times New Roman" w:hAnsi="Arial" w:cs="Arial"/>
                <w:b/>
                <w:bCs/>
                <w:color w:val="000000"/>
                <w:sz w:val="20"/>
                <w:szCs w:val="20"/>
                <w:lang w:eastAsia="en-GB"/>
              </w:rPr>
              <w:t> </w:t>
            </w:r>
          </w:p>
        </w:tc>
      </w:tr>
      <w:tr w:rsidR="0021298F" w:rsidRPr="00D71042" w14:paraId="7CA2FADD" w14:textId="77777777" w:rsidTr="00760009">
        <w:trPr>
          <w:trHeight w:hRule="exact" w:val="227"/>
        </w:trPr>
        <w:tc>
          <w:tcPr>
            <w:tcW w:w="1985" w:type="dxa"/>
            <w:tcBorders>
              <w:top w:val="nil"/>
              <w:left w:val="nil"/>
              <w:bottom w:val="nil"/>
              <w:right w:val="nil"/>
            </w:tcBorders>
            <w:shd w:val="clear" w:color="000000" w:fill="FFFFFF"/>
            <w:vAlign w:val="center"/>
            <w:hideMark/>
          </w:tcPr>
          <w:p w14:paraId="0B41BC09" w14:textId="77777777" w:rsidR="0021298F" w:rsidRPr="00D71042" w:rsidRDefault="0021298F" w:rsidP="00760009">
            <w:pPr>
              <w:rPr>
                <w:rFonts w:ascii="Arial" w:eastAsia="Times New Roman" w:hAnsi="Arial" w:cs="Arial"/>
                <w:color w:val="000000"/>
                <w:sz w:val="20"/>
                <w:szCs w:val="20"/>
                <w:lang w:eastAsia="en-GB"/>
              </w:rPr>
            </w:pPr>
            <w:r w:rsidRPr="00D71042">
              <w:rPr>
                <w:rFonts w:ascii="Arial" w:eastAsia="Times New Roman" w:hAnsi="Arial" w:cs="Arial"/>
                <w:color w:val="000000"/>
                <w:sz w:val="20"/>
                <w:szCs w:val="20"/>
                <w:lang w:eastAsia="en-GB"/>
              </w:rPr>
              <w:t>22 March 2019</w:t>
            </w:r>
          </w:p>
        </w:tc>
        <w:tc>
          <w:tcPr>
            <w:tcW w:w="2268" w:type="dxa"/>
            <w:tcBorders>
              <w:top w:val="nil"/>
              <w:left w:val="nil"/>
              <w:bottom w:val="nil"/>
              <w:right w:val="nil"/>
            </w:tcBorders>
            <w:shd w:val="clear" w:color="000000" w:fill="FFFFFF"/>
            <w:vAlign w:val="center"/>
            <w:hideMark/>
          </w:tcPr>
          <w:p w14:paraId="73D755AC" w14:textId="77777777" w:rsidR="0021298F" w:rsidRPr="00D71042" w:rsidRDefault="0021298F" w:rsidP="00760009">
            <w:pPr>
              <w:rPr>
                <w:rFonts w:ascii="Arial" w:eastAsia="Times New Roman" w:hAnsi="Arial" w:cs="Arial"/>
                <w:color w:val="000000"/>
                <w:sz w:val="20"/>
                <w:szCs w:val="20"/>
                <w:lang w:eastAsia="en-GB"/>
              </w:rPr>
            </w:pPr>
            <w:r w:rsidRPr="00D71042">
              <w:rPr>
                <w:rFonts w:ascii="Arial" w:eastAsia="Times New Roman" w:hAnsi="Arial" w:cs="Arial"/>
                <w:color w:val="000000"/>
                <w:sz w:val="20"/>
                <w:szCs w:val="20"/>
                <w:lang w:eastAsia="en-GB"/>
              </w:rPr>
              <w:t>Issued and paid</w:t>
            </w:r>
          </w:p>
        </w:tc>
        <w:tc>
          <w:tcPr>
            <w:tcW w:w="1329" w:type="dxa"/>
            <w:tcBorders>
              <w:top w:val="nil"/>
              <w:left w:val="nil"/>
              <w:bottom w:val="nil"/>
              <w:right w:val="nil"/>
            </w:tcBorders>
            <w:shd w:val="clear" w:color="000000" w:fill="FFFFFF"/>
            <w:noWrap/>
            <w:vAlign w:val="center"/>
            <w:hideMark/>
          </w:tcPr>
          <w:p w14:paraId="26FE8E5D" w14:textId="77777777" w:rsidR="0021298F" w:rsidRPr="00D71042" w:rsidRDefault="0021298F" w:rsidP="00760009">
            <w:pPr>
              <w:jc w:val="right"/>
              <w:rPr>
                <w:rFonts w:ascii="Arial" w:eastAsia="Times New Roman" w:hAnsi="Arial" w:cs="Arial"/>
                <w:color w:val="000000"/>
                <w:sz w:val="20"/>
                <w:szCs w:val="20"/>
                <w:lang w:eastAsia="en-GB"/>
              </w:rPr>
            </w:pPr>
            <w:r w:rsidRPr="00D71042">
              <w:rPr>
                <w:rFonts w:ascii="Arial" w:eastAsia="Times New Roman" w:hAnsi="Arial" w:cs="Arial"/>
                <w:color w:val="000000"/>
                <w:sz w:val="20"/>
                <w:szCs w:val="20"/>
                <w:lang w:eastAsia="en-GB"/>
              </w:rPr>
              <w:t xml:space="preserve">140,000,000 </w:t>
            </w:r>
          </w:p>
        </w:tc>
        <w:tc>
          <w:tcPr>
            <w:tcW w:w="1319" w:type="dxa"/>
            <w:tcBorders>
              <w:top w:val="nil"/>
              <w:left w:val="nil"/>
              <w:bottom w:val="nil"/>
              <w:right w:val="nil"/>
            </w:tcBorders>
            <w:shd w:val="clear" w:color="000000" w:fill="FFFFFF"/>
            <w:noWrap/>
            <w:vAlign w:val="center"/>
            <w:hideMark/>
          </w:tcPr>
          <w:p w14:paraId="0EA84866" w14:textId="77777777" w:rsidR="0021298F" w:rsidRPr="00D71042" w:rsidRDefault="0021298F" w:rsidP="00760009">
            <w:pPr>
              <w:jc w:val="right"/>
              <w:rPr>
                <w:rFonts w:ascii="Arial" w:eastAsia="Times New Roman" w:hAnsi="Arial" w:cs="Arial"/>
                <w:color w:val="000000"/>
                <w:sz w:val="20"/>
                <w:szCs w:val="20"/>
                <w:lang w:eastAsia="en-GB"/>
              </w:rPr>
            </w:pPr>
            <w:r w:rsidRPr="00D71042">
              <w:rPr>
                <w:rFonts w:ascii="Arial" w:eastAsia="Times New Roman" w:hAnsi="Arial" w:cs="Arial"/>
                <w:color w:val="000000"/>
                <w:sz w:val="20"/>
                <w:szCs w:val="20"/>
                <w:lang w:eastAsia="en-GB"/>
              </w:rPr>
              <w:t xml:space="preserve">1,400 </w:t>
            </w:r>
          </w:p>
        </w:tc>
        <w:tc>
          <w:tcPr>
            <w:tcW w:w="1320" w:type="dxa"/>
            <w:tcBorders>
              <w:top w:val="nil"/>
              <w:left w:val="nil"/>
              <w:bottom w:val="nil"/>
              <w:right w:val="nil"/>
            </w:tcBorders>
            <w:shd w:val="clear" w:color="000000" w:fill="FFFFFF"/>
            <w:noWrap/>
            <w:vAlign w:val="center"/>
            <w:hideMark/>
          </w:tcPr>
          <w:p w14:paraId="68EE36E3" w14:textId="77777777" w:rsidR="0021298F" w:rsidRPr="00D71042" w:rsidRDefault="0021298F" w:rsidP="00760009">
            <w:pPr>
              <w:jc w:val="right"/>
              <w:rPr>
                <w:rFonts w:ascii="Arial" w:eastAsia="Times New Roman" w:hAnsi="Arial" w:cs="Arial"/>
                <w:color w:val="000000"/>
                <w:sz w:val="20"/>
                <w:szCs w:val="20"/>
                <w:lang w:eastAsia="en-GB"/>
              </w:rPr>
            </w:pPr>
            <w:r w:rsidRPr="00D71042">
              <w:rPr>
                <w:rFonts w:ascii="Arial" w:eastAsia="Times New Roman" w:hAnsi="Arial" w:cs="Arial"/>
                <w:color w:val="000000"/>
                <w:sz w:val="20"/>
                <w:szCs w:val="20"/>
                <w:lang w:eastAsia="en-GB"/>
              </w:rPr>
              <w:t xml:space="preserve">146,300 </w:t>
            </w:r>
          </w:p>
        </w:tc>
        <w:tc>
          <w:tcPr>
            <w:tcW w:w="1320" w:type="dxa"/>
            <w:tcBorders>
              <w:top w:val="nil"/>
              <w:left w:val="nil"/>
              <w:bottom w:val="nil"/>
              <w:right w:val="nil"/>
            </w:tcBorders>
            <w:shd w:val="clear" w:color="000000" w:fill="FFFFFF"/>
            <w:noWrap/>
            <w:vAlign w:val="center"/>
            <w:hideMark/>
          </w:tcPr>
          <w:p w14:paraId="15BC8765" w14:textId="77777777" w:rsidR="0021298F" w:rsidRPr="00D71042" w:rsidRDefault="0021298F" w:rsidP="00760009">
            <w:pPr>
              <w:jc w:val="right"/>
              <w:rPr>
                <w:rFonts w:ascii="Arial" w:eastAsia="Times New Roman" w:hAnsi="Arial" w:cs="Arial"/>
                <w:b/>
                <w:bCs/>
                <w:color w:val="000000"/>
                <w:sz w:val="20"/>
                <w:szCs w:val="20"/>
                <w:lang w:eastAsia="en-GB"/>
              </w:rPr>
            </w:pPr>
            <w:r w:rsidRPr="00D71042">
              <w:rPr>
                <w:rFonts w:ascii="Arial" w:eastAsia="Times New Roman" w:hAnsi="Arial" w:cs="Arial"/>
                <w:b/>
                <w:bCs/>
                <w:color w:val="000000"/>
                <w:sz w:val="20"/>
                <w:szCs w:val="20"/>
                <w:lang w:eastAsia="en-GB"/>
              </w:rPr>
              <w:t xml:space="preserve">147,700 </w:t>
            </w:r>
          </w:p>
        </w:tc>
      </w:tr>
      <w:tr w:rsidR="0021298F" w:rsidRPr="00D71042" w14:paraId="29B59E35" w14:textId="77777777" w:rsidTr="00760009">
        <w:trPr>
          <w:trHeight w:hRule="exact" w:val="227"/>
        </w:trPr>
        <w:tc>
          <w:tcPr>
            <w:tcW w:w="1985" w:type="dxa"/>
            <w:tcBorders>
              <w:top w:val="nil"/>
              <w:left w:val="nil"/>
              <w:bottom w:val="nil"/>
              <w:right w:val="nil"/>
            </w:tcBorders>
            <w:shd w:val="clear" w:color="000000" w:fill="FFFFFF"/>
            <w:vAlign w:val="center"/>
            <w:hideMark/>
          </w:tcPr>
          <w:p w14:paraId="137EF3F0" w14:textId="77777777" w:rsidR="0021298F" w:rsidRPr="00D71042" w:rsidRDefault="0021298F" w:rsidP="00760009">
            <w:pPr>
              <w:jc w:val="both"/>
              <w:rPr>
                <w:rFonts w:ascii="Arial" w:eastAsia="Times New Roman" w:hAnsi="Arial" w:cs="Arial"/>
                <w:color w:val="000000"/>
                <w:sz w:val="20"/>
                <w:szCs w:val="20"/>
                <w:lang w:eastAsia="en-GB"/>
              </w:rPr>
            </w:pPr>
            <w:r w:rsidRPr="00D71042">
              <w:rPr>
                <w:rFonts w:ascii="Arial" w:eastAsia="Times New Roman" w:hAnsi="Arial" w:cs="Arial"/>
                <w:color w:val="000000"/>
                <w:sz w:val="20"/>
                <w:szCs w:val="20"/>
                <w:lang w:eastAsia="en-GB"/>
              </w:rPr>
              <w:lastRenderedPageBreak/>
              <w:t> </w:t>
            </w:r>
          </w:p>
        </w:tc>
        <w:tc>
          <w:tcPr>
            <w:tcW w:w="2268" w:type="dxa"/>
            <w:tcBorders>
              <w:top w:val="nil"/>
              <w:left w:val="nil"/>
              <w:bottom w:val="nil"/>
              <w:right w:val="nil"/>
            </w:tcBorders>
            <w:shd w:val="clear" w:color="000000" w:fill="FFFFFF"/>
            <w:noWrap/>
            <w:vAlign w:val="center"/>
            <w:hideMark/>
          </w:tcPr>
          <w:p w14:paraId="0860F736" w14:textId="77777777" w:rsidR="0021298F" w:rsidRPr="00D71042" w:rsidRDefault="0021298F" w:rsidP="00760009">
            <w:pPr>
              <w:jc w:val="right"/>
              <w:rPr>
                <w:rFonts w:ascii="Arial" w:eastAsia="Times New Roman" w:hAnsi="Arial" w:cs="Arial"/>
                <w:color w:val="000000"/>
                <w:sz w:val="20"/>
                <w:szCs w:val="20"/>
                <w:lang w:eastAsia="en-GB"/>
              </w:rPr>
            </w:pPr>
            <w:r w:rsidRPr="00D71042">
              <w:rPr>
                <w:rFonts w:ascii="Arial" w:eastAsia="Times New Roman" w:hAnsi="Arial" w:cs="Arial"/>
                <w:color w:val="000000"/>
                <w:sz w:val="20"/>
                <w:szCs w:val="20"/>
                <w:lang w:eastAsia="en-GB"/>
              </w:rPr>
              <w:t> </w:t>
            </w:r>
          </w:p>
        </w:tc>
        <w:tc>
          <w:tcPr>
            <w:tcW w:w="1329" w:type="dxa"/>
            <w:tcBorders>
              <w:top w:val="nil"/>
              <w:left w:val="nil"/>
              <w:bottom w:val="nil"/>
              <w:right w:val="nil"/>
            </w:tcBorders>
            <w:shd w:val="clear" w:color="000000" w:fill="FFFFFF"/>
            <w:noWrap/>
            <w:vAlign w:val="center"/>
            <w:hideMark/>
          </w:tcPr>
          <w:p w14:paraId="0AF88EDD" w14:textId="77777777" w:rsidR="0021298F" w:rsidRPr="00D71042" w:rsidRDefault="0021298F" w:rsidP="00760009">
            <w:pPr>
              <w:jc w:val="right"/>
              <w:rPr>
                <w:rFonts w:ascii="Arial" w:eastAsia="Times New Roman" w:hAnsi="Arial" w:cs="Arial"/>
                <w:color w:val="000000"/>
                <w:sz w:val="20"/>
                <w:szCs w:val="20"/>
                <w:lang w:eastAsia="en-GB"/>
              </w:rPr>
            </w:pPr>
            <w:r w:rsidRPr="00D71042">
              <w:rPr>
                <w:rFonts w:ascii="Arial" w:eastAsia="Times New Roman" w:hAnsi="Arial" w:cs="Arial"/>
                <w:color w:val="000000"/>
                <w:sz w:val="20"/>
                <w:szCs w:val="20"/>
                <w:lang w:eastAsia="en-GB"/>
              </w:rPr>
              <w:t> </w:t>
            </w:r>
          </w:p>
        </w:tc>
        <w:tc>
          <w:tcPr>
            <w:tcW w:w="1319" w:type="dxa"/>
            <w:tcBorders>
              <w:top w:val="nil"/>
              <w:left w:val="nil"/>
              <w:bottom w:val="nil"/>
              <w:right w:val="nil"/>
            </w:tcBorders>
            <w:shd w:val="clear" w:color="000000" w:fill="FFFFFF"/>
            <w:noWrap/>
            <w:vAlign w:val="center"/>
            <w:hideMark/>
          </w:tcPr>
          <w:p w14:paraId="7C8D6942" w14:textId="77777777" w:rsidR="0021298F" w:rsidRPr="00D71042" w:rsidRDefault="0021298F" w:rsidP="00760009">
            <w:pPr>
              <w:jc w:val="right"/>
              <w:rPr>
                <w:rFonts w:ascii="Arial" w:eastAsia="Times New Roman" w:hAnsi="Arial" w:cs="Arial"/>
                <w:color w:val="000000"/>
                <w:sz w:val="20"/>
                <w:szCs w:val="20"/>
                <w:lang w:eastAsia="en-GB"/>
              </w:rPr>
            </w:pPr>
            <w:r w:rsidRPr="00D71042">
              <w:rPr>
                <w:rFonts w:ascii="Arial" w:eastAsia="Times New Roman" w:hAnsi="Arial" w:cs="Arial"/>
                <w:color w:val="000000"/>
                <w:sz w:val="20"/>
                <w:szCs w:val="20"/>
                <w:lang w:eastAsia="en-GB"/>
              </w:rPr>
              <w:t> </w:t>
            </w:r>
          </w:p>
        </w:tc>
        <w:tc>
          <w:tcPr>
            <w:tcW w:w="1320" w:type="dxa"/>
            <w:tcBorders>
              <w:top w:val="nil"/>
              <w:left w:val="nil"/>
              <w:bottom w:val="nil"/>
              <w:right w:val="nil"/>
            </w:tcBorders>
            <w:shd w:val="clear" w:color="000000" w:fill="FFFFFF"/>
            <w:noWrap/>
            <w:vAlign w:val="center"/>
            <w:hideMark/>
          </w:tcPr>
          <w:p w14:paraId="580BF2ED" w14:textId="77777777" w:rsidR="0021298F" w:rsidRPr="00D71042" w:rsidRDefault="0021298F" w:rsidP="00760009">
            <w:pPr>
              <w:jc w:val="right"/>
              <w:rPr>
                <w:rFonts w:ascii="Arial" w:eastAsia="Times New Roman" w:hAnsi="Arial" w:cs="Arial"/>
                <w:color w:val="000000"/>
                <w:sz w:val="20"/>
                <w:szCs w:val="20"/>
                <w:lang w:eastAsia="en-GB"/>
              </w:rPr>
            </w:pPr>
            <w:r w:rsidRPr="00D71042">
              <w:rPr>
                <w:rFonts w:ascii="Arial" w:eastAsia="Times New Roman" w:hAnsi="Arial" w:cs="Arial"/>
                <w:color w:val="000000"/>
                <w:sz w:val="20"/>
                <w:szCs w:val="20"/>
                <w:lang w:eastAsia="en-GB"/>
              </w:rPr>
              <w:t> </w:t>
            </w:r>
          </w:p>
        </w:tc>
        <w:tc>
          <w:tcPr>
            <w:tcW w:w="1320" w:type="dxa"/>
            <w:tcBorders>
              <w:top w:val="nil"/>
              <w:left w:val="nil"/>
              <w:bottom w:val="nil"/>
              <w:right w:val="nil"/>
            </w:tcBorders>
            <w:shd w:val="clear" w:color="000000" w:fill="FFFFFF"/>
            <w:noWrap/>
            <w:vAlign w:val="center"/>
            <w:hideMark/>
          </w:tcPr>
          <w:p w14:paraId="5D7341F1" w14:textId="77777777" w:rsidR="0021298F" w:rsidRPr="00D71042" w:rsidRDefault="0021298F" w:rsidP="00760009">
            <w:pPr>
              <w:jc w:val="right"/>
              <w:rPr>
                <w:rFonts w:ascii="Arial" w:eastAsia="Times New Roman" w:hAnsi="Arial" w:cs="Arial"/>
                <w:b/>
                <w:bCs/>
                <w:color w:val="000000"/>
                <w:sz w:val="20"/>
                <w:szCs w:val="20"/>
                <w:lang w:eastAsia="en-GB"/>
              </w:rPr>
            </w:pPr>
            <w:r w:rsidRPr="00D71042">
              <w:rPr>
                <w:rFonts w:ascii="Arial" w:eastAsia="Times New Roman" w:hAnsi="Arial" w:cs="Arial"/>
                <w:b/>
                <w:bCs/>
                <w:color w:val="000000"/>
                <w:sz w:val="20"/>
                <w:szCs w:val="20"/>
                <w:lang w:eastAsia="en-GB"/>
              </w:rPr>
              <w:t> </w:t>
            </w:r>
          </w:p>
        </w:tc>
      </w:tr>
      <w:tr w:rsidR="0021298F" w:rsidRPr="00D71042" w14:paraId="6DA5B288" w14:textId="77777777" w:rsidTr="00760009">
        <w:trPr>
          <w:trHeight w:hRule="exact" w:val="227"/>
        </w:trPr>
        <w:tc>
          <w:tcPr>
            <w:tcW w:w="1985" w:type="dxa"/>
            <w:tcBorders>
              <w:top w:val="nil"/>
              <w:left w:val="nil"/>
              <w:bottom w:val="nil"/>
              <w:right w:val="nil"/>
            </w:tcBorders>
            <w:shd w:val="clear" w:color="000000" w:fill="FFFFFF"/>
            <w:vAlign w:val="center"/>
            <w:hideMark/>
          </w:tcPr>
          <w:p w14:paraId="3783210F" w14:textId="77777777" w:rsidR="0021298F" w:rsidRPr="00D71042" w:rsidRDefault="0021298F" w:rsidP="00760009">
            <w:pPr>
              <w:jc w:val="both"/>
              <w:rPr>
                <w:rFonts w:ascii="Arial" w:eastAsia="Times New Roman" w:hAnsi="Arial" w:cs="Arial"/>
                <w:color w:val="000000"/>
                <w:sz w:val="20"/>
                <w:szCs w:val="20"/>
                <w:lang w:eastAsia="en-GB"/>
              </w:rPr>
            </w:pPr>
            <w:r w:rsidRPr="00D71042">
              <w:rPr>
                <w:rFonts w:ascii="Arial" w:eastAsia="Times New Roman" w:hAnsi="Arial" w:cs="Arial"/>
                <w:color w:val="000000"/>
                <w:sz w:val="20"/>
                <w:szCs w:val="20"/>
                <w:lang w:eastAsia="en-GB"/>
              </w:rPr>
              <w:t>22 March 2019</w:t>
            </w:r>
          </w:p>
        </w:tc>
        <w:tc>
          <w:tcPr>
            <w:tcW w:w="2268" w:type="dxa"/>
            <w:tcBorders>
              <w:top w:val="nil"/>
              <w:left w:val="nil"/>
              <w:bottom w:val="nil"/>
              <w:right w:val="nil"/>
            </w:tcBorders>
            <w:shd w:val="clear" w:color="000000" w:fill="FFFFFF"/>
            <w:vAlign w:val="center"/>
            <w:hideMark/>
          </w:tcPr>
          <w:p w14:paraId="3C981311" w14:textId="77777777" w:rsidR="0021298F" w:rsidRPr="00D71042" w:rsidRDefault="0021298F" w:rsidP="00760009">
            <w:pPr>
              <w:rPr>
                <w:rFonts w:ascii="Arial" w:eastAsia="Times New Roman" w:hAnsi="Arial" w:cs="Arial"/>
                <w:color w:val="000000"/>
                <w:sz w:val="20"/>
                <w:szCs w:val="20"/>
                <w:lang w:eastAsia="en-GB"/>
              </w:rPr>
            </w:pPr>
            <w:r w:rsidRPr="00D71042">
              <w:rPr>
                <w:rFonts w:ascii="Arial" w:eastAsia="Times New Roman" w:hAnsi="Arial" w:cs="Arial"/>
                <w:color w:val="000000"/>
                <w:sz w:val="20"/>
                <w:szCs w:val="20"/>
                <w:lang w:eastAsia="en-GB"/>
              </w:rPr>
              <w:t>Less share issue costs</w:t>
            </w:r>
          </w:p>
        </w:tc>
        <w:tc>
          <w:tcPr>
            <w:tcW w:w="1329" w:type="dxa"/>
            <w:tcBorders>
              <w:top w:val="nil"/>
              <w:left w:val="nil"/>
              <w:bottom w:val="nil"/>
              <w:right w:val="nil"/>
            </w:tcBorders>
            <w:shd w:val="clear" w:color="000000" w:fill="FFFFFF"/>
            <w:noWrap/>
            <w:vAlign w:val="center"/>
            <w:hideMark/>
          </w:tcPr>
          <w:p w14:paraId="31204C1E" w14:textId="77777777" w:rsidR="0021298F" w:rsidRPr="00D71042" w:rsidRDefault="0021298F" w:rsidP="00760009">
            <w:pPr>
              <w:jc w:val="right"/>
              <w:rPr>
                <w:rFonts w:ascii="Arial" w:eastAsia="Times New Roman" w:hAnsi="Arial" w:cs="Arial"/>
                <w:color w:val="000000"/>
                <w:sz w:val="20"/>
                <w:szCs w:val="20"/>
                <w:lang w:eastAsia="en-GB"/>
              </w:rPr>
            </w:pPr>
            <w:r w:rsidRPr="00D71042">
              <w:rPr>
                <w:rFonts w:ascii="Arial" w:eastAsia="Times New Roman" w:hAnsi="Arial" w:cs="Arial"/>
                <w:color w:val="000000"/>
                <w:sz w:val="20"/>
                <w:szCs w:val="20"/>
                <w:lang w:eastAsia="en-GB"/>
              </w:rPr>
              <w:t xml:space="preserve"> - </w:t>
            </w:r>
          </w:p>
        </w:tc>
        <w:tc>
          <w:tcPr>
            <w:tcW w:w="1319" w:type="dxa"/>
            <w:tcBorders>
              <w:top w:val="nil"/>
              <w:left w:val="nil"/>
              <w:bottom w:val="nil"/>
              <w:right w:val="nil"/>
            </w:tcBorders>
            <w:shd w:val="clear" w:color="000000" w:fill="FFFFFF"/>
            <w:noWrap/>
            <w:vAlign w:val="center"/>
            <w:hideMark/>
          </w:tcPr>
          <w:p w14:paraId="3F14E5AD" w14:textId="77777777" w:rsidR="0021298F" w:rsidRPr="00D71042" w:rsidRDefault="0021298F" w:rsidP="00760009">
            <w:pPr>
              <w:jc w:val="right"/>
              <w:rPr>
                <w:rFonts w:ascii="Arial" w:eastAsia="Times New Roman" w:hAnsi="Arial" w:cs="Arial"/>
                <w:color w:val="000000"/>
                <w:sz w:val="20"/>
                <w:szCs w:val="20"/>
                <w:lang w:eastAsia="en-GB"/>
              </w:rPr>
            </w:pPr>
            <w:r w:rsidRPr="00D71042">
              <w:rPr>
                <w:rFonts w:ascii="Arial" w:eastAsia="Times New Roman" w:hAnsi="Arial" w:cs="Arial"/>
                <w:color w:val="000000"/>
                <w:sz w:val="20"/>
                <w:szCs w:val="20"/>
                <w:lang w:eastAsia="en-GB"/>
              </w:rPr>
              <w:t xml:space="preserve"> - </w:t>
            </w:r>
          </w:p>
        </w:tc>
        <w:tc>
          <w:tcPr>
            <w:tcW w:w="1320" w:type="dxa"/>
            <w:tcBorders>
              <w:top w:val="nil"/>
              <w:left w:val="nil"/>
              <w:bottom w:val="nil"/>
              <w:right w:val="nil"/>
            </w:tcBorders>
            <w:shd w:val="clear" w:color="000000" w:fill="FFFFFF"/>
            <w:noWrap/>
            <w:vAlign w:val="center"/>
            <w:hideMark/>
          </w:tcPr>
          <w:p w14:paraId="1FBC0254" w14:textId="77777777" w:rsidR="0021298F" w:rsidRPr="00D71042" w:rsidRDefault="0021298F" w:rsidP="00760009">
            <w:pPr>
              <w:jc w:val="right"/>
              <w:rPr>
                <w:rFonts w:ascii="Arial" w:eastAsia="Times New Roman" w:hAnsi="Arial" w:cs="Arial"/>
                <w:color w:val="000000"/>
                <w:sz w:val="20"/>
                <w:szCs w:val="20"/>
                <w:lang w:eastAsia="en-GB"/>
              </w:rPr>
            </w:pPr>
            <w:r w:rsidRPr="00D71042">
              <w:rPr>
                <w:rFonts w:ascii="Arial" w:eastAsia="Times New Roman" w:hAnsi="Arial" w:cs="Arial"/>
                <w:color w:val="000000"/>
                <w:sz w:val="20"/>
                <w:szCs w:val="20"/>
                <w:lang w:eastAsia="en-GB"/>
              </w:rPr>
              <w:t xml:space="preserve"> (2,431)</w:t>
            </w:r>
          </w:p>
        </w:tc>
        <w:tc>
          <w:tcPr>
            <w:tcW w:w="1320" w:type="dxa"/>
            <w:tcBorders>
              <w:top w:val="nil"/>
              <w:left w:val="nil"/>
              <w:bottom w:val="nil"/>
              <w:right w:val="nil"/>
            </w:tcBorders>
            <w:shd w:val="clear" w:color="000000" w:fill="FFFFFF"/>
            <w:noWrap/>
            <w:vAlign w:val="center"/>
            <w:hideMark/>
          </w:tcPr>
          <w:p w14:paraId="0AB21A40" w14:textId="77777777" w:rsidR="0021298F" w:rsidRPr="00D71042" w:rsidRDefault="0021298F" w:rsidP="00760009">
            <w:pPr>
              <w:jc w:val="right"/>
              <w:rPr>
                <w:rFonts w:ascii="Arial" w:eastAsia="Times New Roman" w:hAnsi="Arial" w:cs="Arial"/>
                <w:b/>
                <w:bCs/>
                <w:color w:val="000000"/>
                <w:sz w:val="20"/>
                <w:szCs w:val="20"/>
                <w:lang w:eastAsia="en-GB"/>
              </w:rPr>
            </w:pPr>
            <w:r w:rsidRPr="00D71042">
              <w:rPr>
                <w:rFonts w:ascii="Arial" w:eastAsia="Times New Roman" w:hAnsi="Arial" w:cs="Arial"/>
                <w:b/>
                <w:bCs/>
                <w:color w:val="000000"/>
                <w:sz w:val="20"/>
                <w:szCs w:val="20"/>
                <w:lang w:eastAsia="en-GB"/>
              </w:rPr>
              <w:t xml:space="preserve"> (2,431)</w:t>
            </w:r>
          </w:p>
        </w:tc>
      </w:tr>
      <w:tr w:rsidR="0021298F" w:rsidRPr="00D71042" w14:paraId="438520D3" w14:textId="77777777" w:rsidTr="00760009">
        <w:trPr>
          <w:trHeight w:hRule="exact" w:val="227"/>
        </w:trPr>
        <w:tc>
          <w:tcPr>
            <w:tcW w:w="1985" w:type="dxa"/>
            <w:tcBorders>
              <w:top w:val="nil"/>
              <w:left w:val="nil"/>
              <w:bottom w:val="nil"/>
              <w:right w:val="nil"/>
            </w:tcBorders>
            <w:shd w:val="clear" w:color="000000" w:fill="FFFFFF"/>
            <w:vAlign w:val="center"/>
            <w:hideMark/>
          </w:tcPr>
          <w:p w14:paraId="08BF0ED6" w14:textId="77777777" w:rsidR="0021298F" w:rsidRPr="00D71042" w:rsidRDefault="0021298F" w:rsidP="00760009">
            <w:pPr>
              <w:jc w:val="both"/>
              <w:rPr>
                <w:rFonts w:ascii="Arial" w:eastAsia="Times New Roman" w:hAnsi="Arial" w:cs="Arial"/>
                <w:color w:val="000000"/>
                <w:sz w:val="20"/>
                <w:szCs w:val="20"/>
                <w:lang w:eastAsia="en-GB"/>
              </w:rPr>
            </w:pPr>
            <w:r w:rsidRPr="00D71042">
              <w:rPr>
                <w:rFonts w:ascii="Arial" w:eastAsia="Times New Roman" w:hAnsi="Arial" w:cs="Arial"/>
                <w:color w:val="000000"/>
                <w:sz w:val="20"/>
                <w:szCs w:val="20"/>
                <w:lang w:eastAsia="en-GB"/>
              </w:rPr>
              <w:t> </w:t>
            </w:r>
          </w:p>
        </w:tc>
        <w:tc>
          <w:tcPr>
            <w:tcW w:w="2268" w:type="dxa"/>
            <w:tcBorders>
              <w:top w:val="nil"/>
              <w:left w:val="nil"/>
              <w:bottom w:val="nil"/>
              <w:right w:val="nil"/>
            </w:tcBorders>
            <w:shd w:val="clear" w:color="000000" w:fill="FFFFFF"/>
            <w:vAlign w:val="center"/>
            <w:hideMark/>
          </w:tcPr>
          <w:p w14:paraId="24A8CBEF" w14:textId="77777777" w:rsidR="0021298F" w:rsidRPr="00D71042" w:rsidRDefault="0021298F" w:rsidP="00760009">
            <w:pPr>
              <w:rPr>
                <w:rFonts w:ascii="Arial" w:eastAsia="Times New Roman" w:hAnsi="Arial" w:cs="Arial"/>
                <w:color w:val="000000"/>
                <w:sz w:val="20"/>
                <w:szCs w:val="20"/>
                <w:lang w:eastAsia="en-GB"/>
              </w:rPr>
            </w:pPr>
            <w:r w:rsidRPr="00D71042">
              <w:rPr>
                <w:rFonts w:ascii="Arial" w:eastAsia="Times New Roman" w:hAnsi="Arial" w:cs="Arial"/>
                <w:color w:val="000000"/>
                <w:sz w:val="20"/>
                <w:szCs w:val="20"/>
                <w:lang w:eastAsia="en-GB"/>
              </w:rPr>
              <w:t> </w:t>
            </w:r>
          </w:p>
        </w:tc>
        <w:tc>
          <w:tcPr>
            <w:tcW w:w="1329" w:type="dxa"/>
            <w:tcBorders>
              <w:top w:val="nil"/>
              <w:left w:val="nil"/>
              <w:bottom w:val="nil"/>
              <w:right w:val="nil"/>
            </w:tcBorders>
            <w:shd w:val="clear" w:color="000000" w:fill="FFFFFF"/>
            <w:noWrap/>
            <w:vAlign w:val="center"/>
            <w:hideMark/>
          </w:tcPr>
          <w:p w14:paraId="7AA45F65" w14:textId="77777777" w:rsidR="0021298F" w:rsidRPr="00D71042" w:rsidRDefault="0021298F" w:rsidP="00760009">
            <w:pPr>
              <w:jc w:val="right"/>
              <w:rPr>
                <w:rFonts w:ascii="Arial" w:eastAsia="Times New Roman" w:hAnsi="Arial" w:cs="Arial"/>
                <w:color w:val="000000"/>
                <w:sz w:val="20"/>
                <w:szCs w:val="20"/>
                <w:lang w:eastAsia="en-GB"/>
              </w:rPr>
            </w:pPr>
            <w:r w:rsidRPr="00D71042">
              <w:rPr>
                <w:rFonts w:ascii="Arial" w:eastAsia="Times New Roman" w:hAnsi="Arial" w:cs="Arial"/>
                <w:color w:val="000000"/>
                <w:sz w:val="20"/>
                <w:szCs w:val="20"/>
                <w:lang w:eastAsia="en-GB"/>
              </w:rPr>
              <w:t> </w:t>
            </w:r>
          </w:p>
        </w:tc>
        <w:tc>
          <w:tcPr>
            <w:tcW w:w="1319" w:type="dxa"/>
            <w:tcBorders>
              <w:top w:val="nil"/>
              <w:left w:val="nil"/>
              <w:bottom w:val="nil"/>
              <w:right w:val="nil"/>
            </w:tcBorders>
            <w:shd w:val="clear" w:color="000000" w:fill="FFFFFF"/>
            <w:noWrap/>
            <w:vAlign w:val="center"/>
            <w:hideMark/>
          </w:tcPr>
          <w:p w14:paraId="0EECA227" w14:textId="77777777" w:rsidR="0021298F" w:rsidRPr="00D71042" w:rsidRDefault="0021298F" w:rsidP="00760009">
            <w:pPr>
              <w:jc w:val="right"/>
              <w:rPr>
                <w:rFonts w:ascii="Arial" w:eastAsia="Times New Roman" w:hAnsi="Arial" w:cs="Arial"/>
                <w:color w:val="000000"/>
                <w:sz w:val="20"/>
                <w:szCs w:val="20"/>
                <w:lang w:eastAsia="en-GB"/>
              </w:rPr>
            </w:pPr>
            <w:r w:rsidRPr="00D71042">
              <w:rPr>
                <w:rFonts w:ascii="Arial" w:eastAsia="Times New Roman" w:hAnsi="Arial" w:cs="Arial"/>
                <w:color w:val="000000"/>
                <w:sz w:val="20"/>
                <w:szCs w:val="20"/>
                <w:lang w:eastAsia="en-GB"/>
              </w:rPr>
              <w:t> </w:t>
            </w:r>
          </w:p>
        </w:tc>
        <w:tc>
          <w:tcPr>
            <w:tcW w:w="1320" w:type="dxa"/>
            <w:tcBorders>
              <w:top w:val="nil"/>
              <w:left w:val="nil"/>
              <w:bottom w:val="nil"/>
              <w:right w:val="nil"/>
            </w:tcBorders>
            <w:shd w:val="clear" w:color="000000" w:fill="FFFFFF"/>
            <w:noWrap/>
            <w:vAlign w:val="center"/>
            <w:hideMark/>
          </w:tcPr>
          <w:p w14:paraId="27155A68" w14:textId="77777777" w:rsidR="0021298F" w:rsidRPr="00D71042" w:rsidRDefault="0021298F" w:rsidP="00760009">
            <w:pPr>
              <w:jc w:val="right"/>
              <w:rPr>
                <w:rFonts w:ascii="Arial" w:eastAsia="Times New Roman" w:hAnsi="Arial" w:cs="Arial"/>
                <w:color w:val="000000"/>
                <w:sz w:val="20"/>
                <w:szCs w:val="20"/>
                <w:lang w:eastAsia="en-GB"/>
              </w:rPr>
            </w:pPr>
            <w:r w:rsidRPr="00D71042">
              <w:rPr>
                <w:rFonts w:ascii="Arial" w:eastAsia="Times New Roman" w:hAnsi="Arial" w:cs="Arial"/>
                <w:color w:val="000000"/>
                <w:sz w:val="20"/>
                <w:szCs w:val="20"/>
                <w:lang w:eastAsia="en-GB"/>
              </w:rPr>
              <w:t> </w:t>
            </w:r>
          </w:p>
        </w:tc>
        <w:tc>
          <w:tcPr>
            <w:tcW w:w="1320" w:type="dxa"/>
            <w:tcBorders>
              <w:top w:val="nil"/>
              <w:left w:val="nil"/>
              <w:bottom w:val="nil"/>
              <w:right w:val="nil"/>
            </w:tcBorders>
            <w:shd w:val="clear" w:color="000000" w:fill="FFFFFF"/>
            <w:noWrap/>
            <w:vAlign w:val="center"/>
            <w:hideMark/>
          </w:tcPr>
          <w:p w14:paraId="793A1002" w14:textId="77777777" w:rsidR="0021298F" w:rsidRPr="00D71042" w:rsidRDefault="0021298F" w:rsidP="00760009">
            <w:pPr>
              <w:jc w:val="right"/>
              <w:rPr>
                <w:rFonts w:ascii="Arial" w:eastAsia="Times New Roman" w:hAnsi="Arial" w:cs="Arial"/>
                <w:b/>
                <w:bCs/>
                <w:color w:val="000000"/>
                <w:sz w:val="20"/>
                <w:szCs w:val="20"/>
                <w:lang w:eastAsia="en-GB"/>
              </w:rPr>
            </w:pPr>
            <w:r w:rsidRPr="00D71042">
              <w:rPr>
                <w:rFonts w:ascii="Arial" w:eastAsia="Times New Roman" w:hAnsi="Arial" w:cs="Arial"/>
                <w:b/>
                <w:bCs/>
                <w:color w:val="000000"/>
                <w:sz w:val="20"/>
                <w:szCs w:val="20"/>
                <w:lang w:eastAsia="en-GB"/>
              </w:rPr>
              <w:t> </w:t>
            </w:r>
          </w:p>
        </w:tc>
      </w:tr>
      <w:tr w:rsidR="0021298F" w:rsidRPr="00D71042" w14:paraId="470CDF3C" w14:textId="77777777" w:rsidTr="00760009">
        <w:trPr>
          <w:trHeight w:hRule="exact" w:val="227"/>
        </w:trPr>
        <w:tc>
          <w:tcPr>
            <w:tcW w:w="1985" w:type="dxa"/>
            <w:tcBorders>
              <w:top w:val="nil"/>
              <w:left w:val="nil"/>
              <w:bottom w:val="nil"/>
              <w:right w:val="nil"/>
            </w:tcBorders>
            <w:shd w:val="clear" w:color="000000" w:fill="FFFFFF"/>
            <w:vAlign w:val="center"/>
            <w:hideMark/>
          </w:tcPr>
          <w:p w14:paraId="6549217B" w14:textId="77777777" w:rsidR="0021298F" w:rsidRPr="00D71042" w:rsidRDefault="0021298F" w:rsidP="00760009">
            <w:pPr>
              <w:jc w:val="both"/>
              <w:rPr>
                <w:rFonts w:ascii="Arial" w:eastAsia="Times New Roman" w:hAnsi="Arial" w:cs="Arial"/>
                <w:color w:val="000000"/>
                <w:sz w:val="20"/>
                <w:szCs w:val="20"/>
                <w:lang w:eastAsia="en-GB"/>
              </w:rPr>
            </w:pPr>
            <w:r w:rsidRPr="00D71042">
              <w:rPr>
                <w:rFonts w:ascii="Arial" w:eastAsia="Times New Roman" w:hAnsi="Arial" w:cs="Arial"/>
                <w:color w:val="000000"/>
                <w:sz w:val="20"/>
                <w:szCs w:val="20"/>
                <w:lang w:eastAsia="en-GB"/>
              </w:rPr>
              <w:t>17 December 2019</w:t>
            </w:r>
          </w:p>
        </w:tc>
        <w:tc>
          <w:tcPr>
            <w:tcW w:w="2268" w:type="dxa"/>
            <w:tcBorders>
              <w:top w:val="nil"/>
              <w:left w:val="nil"/>
              <w:bottom w:val="nil"/>
              <w:right w:val="nil"/>
            </w:tcBorders>
            <w:shd w:val="clear" w:color="000000" w:fill="FFFFFF"/>
            <w:vAlign w:val="center"/>
            <w:hideMark/>
          </w:tcPr>
          <w:p w14:paraId="41965BED" w14:textId="77777777" w:rsidR="0021298F" w:rsidRPr="00D71042" w:rsidRDefault="0021298F" w:rsidP="00760009">
            <w:pPr>
              <w:rPr>
                <w:rFonts w:ascii="Arial" w:eastAsia="Times New Roman" w:hAnsi="Arial" w:cs="Arial"/>
                <w:color w:val="000000"/>
                <w:sz w:val="20"/>
                <w:szCs w:val="20"/>
                <w:lang w:eastAsia="en-GB"/>
              </w:rPr>
            </w:pPr>
            <w:r w:rsidRPr="00D71042">
              <w:rPr>
                <w:rFonts w:ascii="Arial" w:eastAsia="Times New Roman" w:hAnsi="Arial" w:cs="Arial"/>
                <w:color w:val="000000"/>
                <w:sz w:val="20"/>
                <w:szCs w:val="20"/>
                <w:lang w:eastAsia="en-GB"/>
              </w:rPr>
              <w:t>Issued and paid</w:t>
            </w:r>
          </w:p>
        </w:tc>
        <w:tc>
          <w:tcPr>
            <w:tcW w:w="1329" w:type="dxa"/>
            <w:tcBorders>
              <w:top w:val="nil"/>
              <w:left w:val="nil"/>
              <w:bottom w:val="nil"/>
              <w:right w:val="nil"/>
            </w:tcBorders>
            <w:shd w:val="clear" w:color="000000" w:fill="FFFFFF"/>
            <w:noWrap/>
            <w:vAlign w:val="center"/>
            <w:hideMark/>
          </w:tcPr>
          <w:p w14:paraId="405170AF" w14:textId="77777777" w:rsidR="0021298F" w:rsidRPr="00D71042" w:rsidRDefault="0021298F" w:rsidP="00760009">
            <w:pPr>
              <w:jc w:val="right"/>
              <w:rPr>
                <w:rFonts w:ascii="Arial" w:eastAsia="Times New Roman" w:hAnsi="Arial" w:cs="Arial"/>
                <w:color w:val="000000"/>
                <w:sz w:val="20"/>
                <w:szCs w:val="20"/>
                <w:lang w:eastAsia="en-GB"/>
              </w:rPr>
            </w:pPr>
            <w:r w:rsidRPr="00D71042">
              <w:rPr>
                <w:rFonts w:ascii="Arial" w:eastAsia="Times New Roman" w:hAnsi="Arial" w:cs="Arial"/>
                <w:color w:val="000000"/>
                <w:sz w:val="20"/>
                <w:szCs w:val="20"/>
                <w:lang w:eastAsia="en-GB"/>
              </w:rPr>
              <w:t xml:space="preserve">110,619,469 </w:t>
            </w:r>
          </w:p>
        </w:tc>
        <w:tc>
          <w:tcPr>
            <w:tcW w:w="1319" w:type="dxa"/>
            <w:tcBorders>
              <w:top w:val="nil"/>
              <w:left w:val="nil"/>
              <w:bottom w:val="nil"/>
              <w:right w:val="nil"/>
            </w:tcBorders>
            <w:shd w:val="clear" w:color="000000" w:fill="FFFFFF"/>
            <w:noWrap/>
            <w:vAlign w:val="center"/>
            <w:hideMark/>
          </w:tcPr>
          <w:p w14:paraId="0F5CBE65" w14:textId="77777777" w:rsidR="0021298F" w:rsidRPr="00D71042" w:rsidRDefault="0021298F" w:rsidP="00760009">
            <w:pPr>
              <w:jc w:val="right"/>
              <w:rPr>
                <w:rFonts w:ascii="Arial" w:eastAsia="Times New Roman" w:hAnsi="Arial" w:cs="Arial"/>
                <w:color w:val="000000"/>
                <w:sz w:val="20"/>
                <w:szCs w:val="20"/>
                <w:lang w:eastAsia="en-GB"/>
              </w:rPr>
            </w:pPr>
            <w:r w:rsidRPr="00D71042">
              <w:rPr>
                <w:rFonts w:ascii="Arial" w:eastAsia="Times New Roman" w:hAnsi="Arial" w:cs="Arial"/>
                <w:color w:val="000000"/>
                <w:sz w:val="20"/>
                <w:szCs w:val="20"/>
                <w:lang w:eastAsia="en-GB"/>
              </w:rPr>
              <w:t xml:space="preserve">1,106 </w:t>
            </w:r>
          </w:p>
        </w:tc>
        <w:tc>
          <w:tcPr>
            <w:tcW w:w="1320" w:type="dxa"/>
            <w:tcBorders>
              <w:top w:val="nil"/>
              <w:left w:val="nil"/>
              <w:bottom w:val="nil"/>
              <w:right w:val="nil"/>
            </w:tcBorders>
            <w:shd w:val="clear" w:color="000000" w:fill="FFFFFF"/>
            <w:noWrap/>
            <w:vAlign w:val="center"/>
            <w:hideMark/>
          </w:tcPr>
          <w:p w14:paraId="7400F3D7" w14:textId="77777777" w:rsidR="0021298F" w:rsidRPr="00D71042" w:rsidRDefault="0021298F" w:rsidP="00760009">
            <w:pPr>
              <w:jc w:val="right"/>
              <w:rPr>
                <w:rFonts w:ascii="Arial" w:eastAsia="Times New Roman" w:hAnsi="Arial" w:cs="Arial"/>
                <w:color w:val="000000"/>
                <w:sz w:val="20"/>
                <w:szCs w:val="20"/>
                <w:lang w:eastAsia="en-GB"/>
              </w:rPr>
            </w:pPr>
            <w:r w:rsidRPr="00D71042">
              <w:rPr>
                <w:rFonts w:ascii="Arial" w:eastAsia="Times New Roman" w:hAnsi="Arial" w:cs="Arial"/>
                <w:color w:val="000000"/>
                <w:sz w:val="20"/>
                <w:szCs w:val="20"/>
                <w:lang w:eastAsia="en-GB"/>
              </w:rPr>
              <w:t xml:space="preserve">123,894 </w:t>
            </w:r>
          </w:p>
        </w:tc>
        <w:tc>
          <w:tcPr>
            <w:tcW w:w="1320" w:type="dxa"/>
            <w:tcBorders>
              <w:top w:val="nil"/>
              <w:left w:val="nil"/>
              <w:bottom w:val="nil"/>
              <w:right w:val="nil"/>
            </w:tcBorders>
            <w:shd w:val="clear" w:color="000000" w:fill="FFFFFF"/>
            <w:noWrap/>
            <w:vAlign w:val="center"/>
            <w:hideMark/>
          </w:tcPr>
          <w:p w14:paraId="6397866D" w14:textId="77777777" w:rsidR="0021298F" w:rsidRPr="00D71042" w:rsidRDefault="0021298F" w:rsidP="00760009">
            <w:pPr>
              <w:jc w:val="right"/>
              <w:rPr>
                <w:rFonts w:ascii="Arial" w:eastAsia="Times New Roman" w:hAnsi="Arial" w:cs="Arial"/>
                <w:b/>
                <w:bCs/>
                <w:color w:val="000000"/>
                <w:sz w:val="20"/>
                <w:szCs w:val="20"/>
                <w:lang w:eastAsia="en-GB"/>
              </w:rPr>
            </w:pPr>
            <w:r w:rsidRPr="00D71042">
              <w:rPr>
                <w:rFonts w:ascii="Arial" w:eastAsia="Times New Roman" w:hAnsi="Arial" w:cs="Arial"/>
                <w:b/>
                <w:bCs/>
                <w:color w:val="000000"/>
                <w:sz w:val="20"/>
                <w:szCs w:val="20"/>
                <w:lang w:eastAsia="en-GB"/>
              </w:rPr>
              <w:t xml:space="preserve">125,000 </w:t>
            </w:r>
          </w:p>
        </w:tc>
      </w:tr>
      <w:tr w:rsidR="0021298F" w:rsidRPr="00D71042" w14:paraId="57CC1DBF" w14:textId="77777777" w:rsidTr="00760009">
        <w:trPr>
          <w:trHeight w:hRule="exact" w:val="227"/>
        </w:trPr>
        <w:tc>
          <w:tcPr>
            <w:tcW w:w="1985" w:type="dxa"/>
            <w:tcBorders>
              <w:top w:val="nil"/>
              <w:left w:val="nil"/>
              <w:bottom w:val="nil"/>
              <w:right w:val="nil"/>
            </w:tcBorders>
            <w:shd w:val="clear" w:color="000000" w:fill="FFFFFF"/>
            <w:vAlign w:val="center"/>
            <w:hideMark/>
          </w:tcPr>
          <w:p w14:paraId="53DCE041" w14:textId="77777777" w:rsidR="0021298F" w:rsidRPr="00D71042" w:rsidRDefault="0021298F" w:rsidP="00760009">
            <w:pPr>
              <w:jc w:val="both"/>
              <w:rPr>
                <w:rFonts w:ascii="Arial" w:eastAsia="Times New Roman" w:hAnsi="Arial" w:cs="Arial"/>
                <w:color w:val="000000"/>
                <w:sz w:val="20"/>
                <w:szCs w:val="20"/>
                <w:lang w:eastAsia="en-GB"/>
              </w:rPr>
            </w:pPr>
            <w:r w:rsidRPr="00D71042">
              <w:rPr>
                <w:rFonts w:ascii="Arial" w:eastAsia="Times New Roman" w:hAnsi="Arial" w:cs="Arial"/>
                <w:color w:val="000000"/>
                <w:sz w:val="20"/>
                <w:szCs w:val="20"/>
                <w:lang w:eastAsia="en-GB"/>
              </w:rPr>
              <w:t> </w:t>
            </w:r>
          </w:p>
        </w:tc>
        <w:tc>
          <w:tcPr>
            <w:tcW w:w="2268" w:type="dxa"/>
            <w:tcBorders>
              <w:top w:val="nil"/>
              <w:left w:val="nil"/>
              <w:bottom w:val="nil"/>
              <w:right w:val="nil"/>
            </w:tcBorders>
            <w:shd w:val="clear" w:color="000000" w:fill="FFFFFF"/>
            <w:vAlign w:val="center"/>
            <w:hideMark/>
          </w:tcPr>
          <w:p w14:paraId="5B940730" w14:textId="77777777" w:rsidR="0021298F" w:rsidRPr="00D71042" w:rsidRDefault="0021298F" w:rsidP="00760009">
            <w:pPr>
              <w:rPr>
                <w:rFonts w:ascii="Arial" w:eastAsia="Times New Roman" w:hAnsi="Arial" w:cs="Arial"/>
                <w:color w:val="000000"/>
                <w:sz w:val="20"/>
                <w:szCs w:val="20"/>
                <w:lang w:eastAsia="en-GB"/>
              </w:rPr>
            </w:pPr>
            <w:r w:rsidRPr="00D71042">
              <w:rPr>
                <w:rFonts w:ascii="Arial" w:eastAsia="Times New Roman" w:hAnsi="Arial" w:cs="Arial"/>
                <w:color w:val="000000"/>
                <w:sz w:val="20"/>
                <w:szCs w:val="20"/>
                <w:lang w:eastAsia="en-GB"/>
              </w:rPr>
              <w:t> </w:t>
            </w:r>
          </w:p>
        </w:tc>
        <w:tc>
          <w:tcPr>
            <w:tcW w:w="1329" w:type="dxa"/>
            <w:tcBorders>
              <w:top w:val="nil"/>
              <w:left w:val="nil"/>
              <w:bottom w:val="nil"/>
              <w:right w:val="nil"/>
            </w:tcBorders>
            <w:shd w:val="clear" w:color="000000" w:fill="FFFFFF"/>
            <w:noWrap/>
            <w:vAlign w:val="center"/>
            <w:hideMark/>
          </w:tcPr>
          <w:p w14:paraId="58E493A7" w14:textId="77777777" w:rsidR="0021298F" w:rsidRPr="00D71042" w:rsidRDefault="0021298F" w:rsidP="00760009">
            <w:pPr>
              <w:jc w:val="right"/>
              <w:rPr>
                <w:rFonts w:ascii="Arial" w:eastAsia="Times New Roman" w:hAnsi="Arial" w:cs="Arial"/>
                <w:color w:val="000000"/>
                <w:sz w:val="20"/>
                <w:szCs w:val="20"/>
                <w:lang w:eastAsia="en-GB"/>
              </w:rPr>
            </w:pPr>
            <w:r w:rsidRPr="00D71042">
              <w:rPr>
                <w:rFonts w:ascii="Arial" w:eastAsia="Times New Roman" w:hAnsi="Arial" w:cs="Arial"/>
                <w:color w:val="000000"/>
                <w:sz w:val="20"/>
                <w:szCs w:val="20"/>
                <w:lang w:eastAsia="en-GB"/>
              </w:rPr>
              <w:t> </w:t>
            </w:r>
          </w:p>
        </w:tc>
        <w:tc>
          <w:tcPr>
            <w:tcW w:w="1319" w:type="dxa"/>
            <w:tcBorders>
              <w:top w:val="nil"/>
              <w:left w:val="nil"/>
              <w:bottom w:val="nil"/>
              <w:right w:val="nil"/>
            </w:tcBorders>
            <w:shd w:val="clear" w:color="000000" w:fill="FFFFFF"/>
            <w:noWrap/>
            <w:vAlign w:val="center"/>
            <w:hideMark/>
          </w:tcPr>
          <w:p w14:paraId="540157FE" w14:textId="77777777" w:rsidR="0021298F" w:rsidRPr="00D71042" w:rsidRDefault="0021298F" w:rsidP="00760009">
            <w:pPr>
              <w:jc w:val="right"/>
              <w:rPr>
                <w:rFonts w:ascii="Arial" w:eastAsia="Times New Roman" w:hAnsi="Arial" w:cs="Arial"/>
                <w:color w:val="000000"/>
                <w:sz w:val="20"/>
                <w:szCs w:val="20"/>
                <w:lang w:eastAsia="en-GB"/>
              </w:rPr>
            </w:pPr>
            <w:r w:rsidRPr="00D71042">
              <w:rPr>
                <w:rFonts w:ascii="Arial" w:eastAsia="Times New Roman" w:hAnsi="Arial" w:cs="Arial"/>
                <w:color w:val="000000"/>
                <w:sz w:val="20"/>
                <w:szCs w:val="20"/>
                <w:lang w:eastAsia="en-GB"/>
              </w:rPr>
              <w:t> </w:t>
            </w:r>
          </w:p>
        </w:tc>
        <w:tc>
          <w:tcPr>
            <w:tcW w:w="1320" w:type="dxa"/>
            <w:tcBorders>
              <w:top w:val="nil"/>
              <w:left w:val="nil"/>
              <w:bottom w:val="nil"/>
              <w:right w:val="nil"/>
            </w:tcBorders>
            <w:shd w:val="clear" w:color="000000" w:fill="FFFFFF"/>
            <w:noWrap/>
            <w:vAlign w:val="center"/>
            <w:hideMark/>
          </w:tcPr>
          <w:p w14:paraId="52997B72" w14:textId="77777777" w:rsidR="0021298F" w:rsidRPr="00D71042" w:rsidRDefault="0021298F" w:rsidP="00760009">
            <w:pPr>
              <w:jc w:val="right"/>
              <w:rPr>
                <w:rFonts w:ascii="Arial" w:eastAsia="Times New Roman" w:hAnsi="Arial" w:cs="Arial"/>
                <w:color w:val="000000"/>
                <w:sz w:val="20"/>
                <w:szCs w:val="20"/>
                <w:lang w:eastAsia="en-GB"/>
              </w:rPr>
            </w:pPr>
            <w:r w:rsidRPr="00D71042">
              <w:rPr>
                <w:rFonts w:ascii="Arial" w:eastAsia="Times New Roman" w:hAnsi="Arial" w:cs="Arial"/>
                <w:color w:val="000000"/>
                <w:sz w:val="20"/>
                <w:szCs w:val="20"/>
                <w:lang w:eastAsia="en-GB"/>
              </w:rPr>
              <w:t> </w:t>
            </w:r>
          </w:p>
        </w:tc>
        <w:tc>
          <w:tcPr>
            <w:tcW w:w="1320" w:type="dxa"/>
            <w:tcBorders>
              <w:top w:val="nil"/>
              <w:left w:val="nil"/>
              <w:bottom w:val="nil"/>
              <w:right w:val="nil"/>
            </w:tcBorders>
            <w:shd w:val="clear" w:color="000000" w:fill="FFFFFF"/>
            <w:noWrap/>
            <w:vAlign w:val="center"/>
            <w:hideMark/>
          </w:tcPr>
          <w:p w14:paraId="6521ABE3" w14:textId="77777777" w:rsidR="0021298F" w:rsidRPr="00D71042" w:rsidRDefault="0021298F" w:rsidP="00760009">
            <w:pPr>
              <w:jc w:val="right"/>
              <w:rPr>
                <w:rFonts w:ascii="Arial" w:eastAsia="Times New Roman" w:hAnsi="Arial" w:cs="Arial"/>
                <w:b/>
                <w:bCs/>
                <w:color w:val="000000"/>
                <w:sz w:val="20"/>
                <w:szCs w:val="20"/>
                <w:lang w:eastAsia="en-GB"/>
              </w:rPr>
            </w:pPr>
            <w:r w:rsidRPr="00D71042">
              <w:rPr>
                <w:rFonts w:ascii="Arial" w:eastAsia="Times New Roman" w:hAnsi="Arial" w:cs="Arial"/>
                <w:b/>
                <w:bCs/>
                <w:color w:val="000000"/>
                <w:sz w:val="20"/>
                <w:szCs w:val="20"/>
                <w:lang w:eastAsia="en-GB"/>
              </w:rPr>
              <w:t> </w:t>
            </w:r>
          </w:p>
        </w:tc>
      </w:tr>
      <w:tr w:rsidR="0021298F" w:rsidRPr="00D71042" w14:paraId="1B5A8283" w14:textId="77777777" w:rsidTr="00760009">
        <w:trPr>
          <w:trHeight w:hRule="exact" w:val="227"/>
        </w:trPr>
        <w:tc>
          <w:tcPr>
            <w:tcW w:w="1985" w:type="dxa"/>
            <w:tcBorders>
              <w:top w:val="nil"/>
              <w:left w:val="nil"/>
              <w:bottom w:val="nil"/>
              <w:right w:val="nil"/>
            </w:tcBorders>
            <w:shd w:val="clear" w:color="000000" w:fill="FFFFFF"/>
            <w:vAlign w:val="center"/>
            <w:hideMark/>
          </w:tcPr>
          <w:p w14:paraId="4C9E1302" w14:textId="77777777" w:rsidR="0021298F" w:rsidRPr="00D71042" w:rsidRDefault="0021298F" w:rsidP="00760009">
            <w:pPr>
              <w:jc w:val="both"/>
              <w:rPr>
                <w:rFonts w:ascii="Arial" w:eastAsia="Times New Roman" w:hAnsi="Arial" w:cs="Arial"/>
                <w:color w:val="000000"/>
                <w:sz w:val="20"/>
                <w:szCs w:val="20"/>
                <w:lang w:eastAsia="en-GB"/>
              </w:rPr>
            </w:pPr>
            <w:r w:rsidRPr="00D71042">
              <w:rPr>
                <w:rFonts w:ascii="Arial" w:eastAsia="Times New Roman" w:hAnsi="Arial" w:cs="Arial"/>
                <w:color w:val="000000"/>
                <w:sz w:val="20"/>
                <w:szCs w:val="20"/>
                <w:lang w:eastAsia="en-GB"/>
              </w:rPr>
              <w:t>17 December 2019</w:t>
            </w:r>
          </w:p>
        </w:tc>
        <w:tc>
          <w:tcPr>
            <w:tcW w:w="2268" w:type="dxa"/>
            <w:tcBorders>
              <w:top w:val="nil"/>
              <w:left w:val="nil"/>
              <w:bottom w:val="nil"/>
              <w:right w:val="nil"/>
            </w:tcBorders>
            <w:shd w:val="clear" w:color="000000" w:fill="FFFFFF"/>
            <w:vAlign w:val="center"/>
            <w:hideMark/>
          </w:tcPr>
          <w:p w14:paraId="674C1FC5" w14:textId="77777777" w:rsidR="0021298F" w:rsidRPr="00D71042" w:rsidRDefault="0021298F" w:rsidP="00760009">
            <w:pPr>
              <w:rPr>
                <w:rFonts w:ascii="Arial" w:eastAsia="Times New Roman" w:hAnsi="Arial" w:cs="Arial"/>
                <w:color w:val="000000"/>
                <w:sz w:val="20"/>
                <w:szCs w:val="20"/>
                <w:lang w:eastAsia="en-GB"/>
              </w:rPr>
            </w:pPr>
            <w:r w:rsidRPr="00D71042">
              <w:rPr>
                <w:rFonts w:ascii="Arial" w:eastAsia="Times New Roman" w:hAnsi="Arial" w:cs="Arial"/>
                <w:color w:val="000000"/>
                <w:sz w:val="20"/>
                <w:szCs w:val="20"/>
                <w:lang w:eastAsia="en-GB"/>
              </w:rPr>
              <w:t>Less share issue costs</w:t>
            </w:r>
          </w:p>
        </w:tc>
        <w:tc>
          <w:tcPr>
            <w:tcW w:w="1329" w:type="dxa"/>
            <w:tcBorders>
              <w:top w:val="nil"/>
              <w:left w:val="nil"/>
              <w:bottom w:val="nil"/>
              <w:right w:val="nil"/>
            </w:tcBorders>
            <w:shd w:val="clear" w:color="000000" w:fill="FFFFFF"/>
            <w:noWrap/>
            <w:vAlign w:val="center"/>
            <w:hideMark/>
          </w:tcPr>
          <w:p w14:paraId="6E6BC5EB" w14:textId="77777777" w:rsidR="0021298F" w:rsidRPr="00D71042" w:rsidRDefault="0021298F" w:rsidP="00760009">
            <w:pPr>
              <w:jc w:val="right"/>
              <w:rPr>
                <w:rFonts w:ascii="Arial" w:eastAsia="Times New Roman" w:hAnsi="Arial" w:cs="Arial"/>
                <w:color w:val="000000"/>
                <w:sz w:val="20"/>
                <w:szCs w:val="20"/>
                <w:lang w:eastAsia="en-GB"/>
              </w:rPr>
            </w:pPr>
            <w:r w:rsidRPr="00D71042">
              <w:rPr>
                <w:rFonts w:ascii="Arial" w:eastAsia="Times New Roman" w:hAnsi="Arial" w:cs="Arial"/>
                <w:color w:val="000000"/>
                <w:sz w:val="20"/>
                <w:szCs w:val="20"/>
                <w:lang w:eastAsia="en-GB"/>
              </w:rPr>
              <w:t xml:space="preserve"> - </w:t>
            </w:r>
          </w:p>
        </w:tc>
        <w:tc>
          <w:tcPr>
            <w:tcW w:w="1319" w:type="dxa"/>
            <w:tcBorders>
              <w:top w:val="nil"/>
              <w:left w:val="nil"/>
              <w:bottom w:val="nil"/>
              <w:right w:val="nil"/>
            </w:tcBorders>
            <w:shd w:val="clear" w:color="000000" w:fill="FFFFFF"/>
            <w:noWrap/>
            <w:vAlign w:val="center"/>
            <w:hideMark/>
          </w:tcPr>
          <w:p w14:paraId="3794C427" w14:textId="77777777" w:rsidR="0021298F" w:rsidRPr="00D71042" w:rsidRDefault="0021298F" w:rsidP="00760009">
            <w:pPr>
              <w:jc w:val="right"/>
              <w:rPr>
                <w:rFonts w:ascii="Arial" w:eastAsia="Times New Roman" w:hAnsi="Arial" w:cs="Arial"/>
                <w:color w:val="000000"/>
                <w:sz w:val="20"/>
                <w:szCs w:val="20"/>
                <w:lang w:eastAsia="en-GB"/>
              </w:rPr>
            </w:pPr>
            <w:r w:rsidRPr="00D71042">
              <w:rPr>
                <w:rFonts w:ascii="Arial" w:eastAsia="Times New Roman" w:hAnsi="Arial" w:cs="Arial"/>
                <w:color w:val="000000"/>
                <w:sz w:val="20"/>
                <w:szCs w:val="20"/>
                <w:lang w:eastAsia="en-GB"/>
              </w:rPr>
              <w:t xml:space="preserve"> - </w:t>
            </w:r>
          </w:p>
        </w:tc>
        <w:tc>
          <w:tcPr>
            <w:tcW w:w="1320" w:type="dxa"/>
            <w:tcBorders>
              <w:top w:val="nil"/>
              <w:left w:val="nil"/>
              <w:bottom w:val="nil"/>
              <w:right w:val="nil"/>
            </w:tcBorders>
            <w:shd w:val="clear" w:color="000000" w:fill="FFFFFF"/>
            <w:noWrap/>
            <w:vAlign w:val="center"/>
            <w:hideMark/>
          </w:tcPr>
          <w:p w14:paraId="6135E8B4" w14:textId="77777777" w:rsidR="0021298F" w:rsidRPr="00D71042" w:rsidRDefault="0021298F" w:rsidP="00760009">
            <w:pPr>
              <w:jc w:val="right"/>
              <w:rPr>
                <w:rFonts w:ascii="Arial" w:eastAsia="Times New Roman" w:hAnsi="Arial" w:cs="Arial"/>
                <w:color w:val="000000"/>
                <w:sz w:val="20"/>
                <w:szCs w:val="20"/>
                <w:lang w:eastAsia="en-GB"/>
              </w:rPr>
            </w:pPr>
            <w:r w:rsidRPr="00D71042">
              <w:rPr>
                <w:rFonts w:ascii="Arial" w:eastAsia="Times New Roman" w:hAnsi="Arial" w:cs="Arial"/>
                <w:color w:val="000000"/>
                <w:sz w:val="20"/>
                <w:szCs w:val="20"/>
                <w:lang w:eastAsia="en-GB"/>
              </w:rPr>
              <w:t xml:space="preserve"> (2,103)</w:t>
            </w:r>
          </w:p>
        </w:tc>
        <w:tc>
          <w:tcPr>
            <w:tcW w:w="1320" w:type="dxa"/>
            <w:tcBorders>
              <w:top w:val="nil"/>
              <w:left w:val="nil"/>
              <w:bottom w:val="nil"/>
              <w:right w:val="nil"/>
            </w:tcBorders>
            <w:shd w:val="clear" w:color="000000" w:fill="FFFFFF"/>
            <w:noWrap/>
            <w:vAlign w:val="center"/>
            <w:hideMark/>
          </w:tcPr>
          <w:p w14:paraId="6C2D27BE" w14:textId="77777777" w:rsidR="0021298F" w:rsidRPr="00D71042" w:rsidRDefault="0021298F" w:rsidP="00760009">
            <w:pPr>
              <w:jc w:val="right"/>
              <w:rPr>
                <w:rFonts w:ascii="Arial" w:eastAsia="Times New Roman" w:hAnsi="Arial" w:cs="Arial"/>
                <w:b/>
                <w:bCs/>
                <w:color w:val="000000"/>
                <w:sz w:val="20"/>
                <w:szCs w:val="20"/>
                <w:lang w:eastAsia="en-GB"/>
              </w:rPr>
            </w:pPr>
            <w:r w:rsidRPr="00D71042">
              <w:rPr>
                <w:rFonts w:ascii="Arial" w:eastAsia="Times New Roman" w:hAnsi="Arial" w:cs="Arial"/>
                <w:b/>
                <w:bCs/>
                <w:color w:val="000000"/>
                <w:sz w:val="20"/>
                <w:szCs w:val="20"/>
                <w:lang w:eastAsia="en-GB"/>
              </w:rPr>
              <w:t xml:space="preserve"> (2,103)</w:t>
            </w:r>
          </w:p>
        </w:tc>
      </w:tr>
      <w:tr w:rsidR="0021298F" w:rsidRPr="00D71042" w14:paraId="019454ED" w14:textId="77777777" w:rsidTr="00760009">
        <w:trPr>
          <w:trHeight w:hRule="exact" w:val="227"/>
        </w:trPr>
        <w:tc>
          <w:tcPr>
            <w:tcW w:w="1985" w:type="dxa"/>
            <w:tcBorders>
              <w:top w:val="nil"/>
              <w:left w:val="nil"/>
              <w:bottom w:val="nil"/>
              <w:right w:val="nil"/>
            </w:tcBorders>
            <w:shd w:val="clear" w:color="000000" w:fill="FFFFFF"/>
            <w:vAlign w:val="center"/>
            <w:hideMark/>
          </w:tcPr>
          <w:p w14:paraId="7A4D9103" w14:textId="77777777" w:rsidR="0021298F" w:rsidRPr="00D71042" w:rsidRDefault="0021298F" w:rsidP="00760009">
            <w:pPr>
              <w:jc w:val="both"/>
              <w:rPr>
                <w:rFonts w:ascii="Arial" w:eastAsia="Times New Roman" w:hAnsi="Arial" w:cs="Arial"/>
                <w:color w:val="000000"/>
                <w:sz w:val="20"/>
                <w:szCs w:val="20"/>
                <w:lang w:eastAsia="en-GB"/>
              </w:rPr>
            </w:pPr>
            <w:r w:rsidRPr="00D71042">
              <w:rPr>
                <w:rFonts w:ascii="Arial" w:eastAsia="Times New Roman" w:hAnsi="Arial" w:cs="Arial"/>
                <w:color w:val="000000"/>
                <w:sz w:val="20"/>
                <w:szCs w:val="20"/>
                <w:lang w:eastAsia="en-GB"/>
              </w:rPr>
              <w:t> </w:t>
            </w:r>
          </w:p>
        </w:tc>
        <w:tc>
          <w:tcPr>
            <w:tcW w:w="2268" w:type="dxa"/>
            <w:tcBorders>
              <w:top w:val="nil"/>
              <w:left w:val="nil"/>
              <w:bottom w:val="nil"/>
              <w:right w:val="nil"/>
            </w:tcBorders>
            <w:shd w:val="clear" w:color="000000" w:fill="FFFFFF"/>
            <w:vAlign w:val="center"/>
            <w:hideMark/>
          </w:tcPr>
          <w:p w14:paraId="0CC10D7D" w14:textId="77777777" w:rsidR="0021298F" w:rsidRPr="00D71042" w:rsidRDefault="0021298F" w:rsidP="00760009">
            <w:pPr>
              <w:rPr>
                <w:rFonts w:ascii="Arial" w:eastAsia="Times New Roman" w:hAnsi="Arial" w:cs="Arial"/>
                <w:color w:val="000000"/>
                <w:sz w:val="20"/>
                <w:szCs w:val="20"/>
                <w:lang w:eastAsia="en-GB"/>
              </w:rPr>
            </w:pPr>
            <w:r w:rsidRPr="00D71042">
              <w:rPr>
                <w:rFonts w:ascii="Arial" w:eastAsia="Times New Roman" w:hAnsi="Arial" w:cs="Arial"/>
                <w:color w:val="000000"/>
                <w:sz w:val="20"/>
                <w:szCs w:val="20"/>
                <w:lang w:eastAsia="en-GB"/>
              </w:rPr>
              <w:t> </w:t>
            </w:r>
          </w:p>
        </w:tc>
        <w:tc>
          <w:tcPr>
            <w:tcW w:w="1329" w:type="dxa"/>
            <w:tcBorders>
              <w:top w:val="nil"/>
              <w:left w:val="nil"/>
              <w:bottom w:val="nil"/>
              <w:right w:val="nil"/>
            </w:tcBorders>
            <w:shd w:val="clear" w:color="000000" w:fill="FFFFFF"/>
            <w:noWrap/>
            <w:vAlign w:val="center"/>
            <w:hideMark/>
          </w:tcPr>
          <w:p w14:paraId="652F2F60" w14:textId="77777777" w:rsidR="0021298F" w:rsidRPr="00D71042" w:rsidRDefault="0021298F" w:rsidP="00760009">
            <w:pPr>
              <w:jc w:val="right"/>
              <w:rPr>
                <w:rFonts w:ascii="Arial" w:eastAsia="Times New Roman" w:hAnsi="Arial" w:cs="Arial"/>
                <w:color w:val="000000"/>
                <w:sz w:val="20"/>
                <w:szCs w:val="20"/>
                <w:lang w:eastAsia="en-GB"/>
              </w:rPr>
            </w:pPr>
            <w:r w:rsidRPr="00D71042">
              <w:rPr>
                <w:rFonts w:ascii="Arial" w:eastAsia="Times New Roman" w:hAnsi="Arial" w:cs="Arial"/>
                <w:color w:val="000000"/>
                <w:sz w:val="20"/>
                <w:szCs w:val="20"/>
                <w:lang w:eastAsia="en-GB"/>
              </w:rPr>
              <w:t> </w:t>
            </w:r>
          </w:p>
        </w:tc>
        <w:tc>
          <w:tcPr>
            <w:tcW w:w="1319" w:type="dxa"/>
            <w:tcBorders>
              <w:top w:val="nil"/>
              <w:left w:val="nil"/>
              <w:bottom w:val="nil"/>
              <w:right w:val="nil"/>
            </w:tcBorders>
            <w:shd w:val="clear" w:color="000000" w:fill="FFFFFF"/>
            <w:noWrap/>
            <w:vAlign w:val="center"/>
            <w:hideMark/>
          </w:tcPr>
          <w:p w14:paraId="5E397434" w14:textId="77777777" w:rsidR="0021298F" w:rsidRPr="00D71042" w:rsidRDefault="0021298F" w:rsidP="00760009">
            <w:pPr>
              <w:jc w:val="right"/>
              <w:rPr>
                <w:rFonts w:ascii="Arial" w:eastAsia="Times New Roman" w:hAnsi="Arial" w:cs="Arial"/>
                <w:color w:val="000000"/>
                <w:sz w:val="20"/>
                <w:szCs w:val="20"/>
                <w:lang w:eastAsia="en-GB"/>
              </w:rPr>
            </w:pPr>
            <w:r w:rsidRPr="00D71042">
              <w:rPr>
                <w:rFonts w:ascii="Arial" w:eastAsia="Times New Roman" w:hAnsi="Arial" w:cs="Arial"/>
                <w:color w:val="000000"/>
                <w:sz w:val="20"/>
                <w:szCs w:val="20"/>
                <w:lang w:eastAsia="en-GB"/>
              </w:rPr>
              <w:t> </w:t>
            </w:r>
          </w:p>
        </w:tc>
        <w:tc>
          <w:tcPr>
            <w:tcW w:w="1320" w:type="dxa"/>
            <w:tcBorders>
              <w:top w:val="nil"/>
              <w:left w:val="nil"/>
              <w:bottom w:val="nil"/>
              <w:right w:val="nil"/>
            </w:tcBorders>
            <w:shd w:val="clear" w:color="000000" w:fill="FFFFFF"/>
            <w:noWrap/>
            <w:vAlign w:val="center"/>
            <w:hideMark/>
          </w:tcPr>
          <w:p w14:paraId="5D2BD22B" w14:textId="77777777" w:rsidR="0021298F" w:rsidRPr="00D71042" w:rsidRDefault="0021298F" w:rsidP="00760009">
            <w:pPr>
              <w:jc w:val="right"/>
              <w:rPr>
                <w:rFonts w:ascii="Arial" w:eastAsia="Times New Roman" w:hAnsi="Arial" w:cs="Arial"/>
                <w:color w:val="000000"/>
                <w:sz w:val="20"/>
                <w:szCs w:val="20"/>
                <w:lang w:eastAsia="en-GB"/>
              </w:rPr>
            </w:pPr>
            <w:r w:rsidRPr="00D71042">
              <w:rPr>
                <w:rFonts w:ascii="Arial" w:eastAsia="Times New Roman" w:hAnsi="Arial" w:cs="Arial"/>
                <w:color w:val="000000"/>
                <w:sz w:val="20"/>
                <w:szCs w:val="20"/>
                <w:lang w:eastAsia="en-GB"/>
              </w:rPr>
              <w:t> </w:t>
            </w:r>
          </w:p>
        </w:tc>
        <w:tc>
          <w:tcPr>
            <w:tcW w:w="1320" w:type="dxa"/>
            <w:tcBorders>
              <w:top w:val="nil"/>
              <w:left w:val="nil"/>
              <w:bottom w:val="nil"/>
              <w:right w:val="nil"/>
            </w:tcBorders>
            <w:shd w:val="clear" w:color="000000" w:fill="FFFFFF"/>
            <w:noWrap/>
            <w:vAlign w:val="center"/>
            <w:hideMark/>
          </w:tcPr>
          <w:p w14:paraId="752AAF4F" w14:textId="77777777" w:rsidR="0021298F" w:rsidRPr="00D71042" w:rsidRDefault="0021298F" w:rsidP="00760009">
            <w:pPr>
              <w:jc w:val="right"/>
              <w:rPr>
                <w:rFonts w:ascii="Arial" w:eastAsia="Times New Roman" w:hAnsi="Arial" w:cs="Arial"/>
                <w:b/>
                <w:bCs/>
                <w:color w:val="000000"/>
                <w:sz w:val="20"/>
                <w:szCs w:val="20"/>
                <w:lang w:eastAsia="en-GB"/>
              </w:rPr>
            </w:pPr>
            <w:r w:rsidRPr="00D71042">
              <w:rPr>
                <w:rFonts w:ascii="Arial" w:eastAsia="Times New Roman" w:hAnsi="Arial" w:cs="Arial"/>
                <w:b/>
                <w:bCs/>
                <w:color w:val="000000"/>
                <w:sz w:val="20"/>
                <w:szCs w:val="20"/>
                <w:lang w:eastAsia="en-GB"/>
              </w:rPr>
              <w:t> </w:t>
            </w:r>
          </w:p>
        </w:tc>
      </w:tr>
      <w:tr w:rsidR="0021298F" w:rsidRPr="00D71042" w14:paraId="5E88B23C" w14:textId="77777777" w:rsidTr="00760009">
        <w:trPr>
          <w:trHeight w:val="315"/>
        </w:trPr>
        <w:tc>
          <w:tcPr>
            <w:tcW w:w="1985" w:type="dxa"/>
            <w:tcBorders>
              <w:top w:val="single" w:sz="4" w:space="0" w:color="auto"/>
              <w:left w:val="nil"/>
              <w:bottom w:val="single" w:sz="8" w:space="0" w:color="auto"/>
              <w:right w:val="nil"/>
            </w:tcBorders>
            <w:shd w:val="clear" w:color="000000" w:fill="FFFFFF"/>
            <w:noWrap/>
            <w:vAlign w:val="center"/>
            <w:hideMark/>
          </w:tcPr>
          <w:p w14:paraId="328AB8E1" w14:textId="77777777" w:rsidR="0021298F" w:rsidRPr="00D71042" w:rsidRDefault="0021298F" w:rsidP="00760009">
            <w:pPr>
              <w:jc w:val="center"/>
              <w:rPr>
                <w:rFonts w:ascii="Arial" w:eastAsia="Times New Roman" w:hAnsi="Arial" w:cs="Arial"/>
                <w:b/>
                <w:bCs/>
                <w:color w:val="000000"/>
                <w:sz w:val="20"/>
                <w:szCs w:val="20"/>
                <w:lang w:eastAsia="en-GB"/>
              </w:rPr>
            </w:pPr>
            <w:r w:rsidRPr="00D71042">
              <w:rPr>
                <w:rFonts w:ascii="Arial" w:eastAsia="Times New Roman" w:hAnsi="Arial" w:cs="Arial"/>
                <w:b/>
                <w:bCs/>
                <w:color w:val="000000"/>
                <w:sz w:val="20"/>
                <w:szCs w:val="20"/>
                <w:lang w:eastAsia="en-GB"/>
              </w:rPr>
              <w:t>31 December 2019</w:t>
            </w:r>
          </w:p>
        </w:tc>
        <w:tc>
          <w:tcPr>
            <w:tcW w:w="2268" w:type="dxa"/>
            <w:tcBorders>
              <w:top w:val="single" w:sz="4" w:space="0" w:color="auto"/>
              <w:left w:val="nil"/>
              <w:bottom w:val="single" w:sz="8" w:space="0" w:color="auto"/>
              <w:right w:val="nil"/>
            </w:tcBorders>
            <w:shd w:val="clear" w:color="000000" w:fill="FFFFFF"/>
            <w:noWrap/>
            <w:vAlign w:val="center"/>
            <w:hideMark/>
          </w:tcPr>
          <w:p w14:paraId="0EE34CBC" w14:textId="77777777" w:rsidR="0021298F" w:rsidRPr="00D71042" w:rsidRDefault="0021298F" w:rsidP="00760009">
            <w:pPr>
              <w:jc w:val="right"/>
              <w:rPr>
                <w:rFonts w:ascii="Arial" w:eastAsia="Times New Roman" w:hAnsi="Arial" w:cs="Arial"/>
                <w:b/>
                <w:bCs/>
                <w:color w:val="000000"/>
                <w:sz w:val="20"/>
                <w:szCs w:val="20"/>
                <w:lang w:eastAsia="en-GB"/>
              </w:rPr>
            </w:pPr>
            <w:r w:rsidRPr="00D71042">
              <w:rPr>
                <w:rFonts w:ascii="Arial" w:eastAsia="Times New Roman" w:hAnsi="Arial" w:cs="Arial"/>
                <w:b/>
                <w:bCs/>
                <w:color w:val="000000"/>
                <w:sz w:val="20"/>
                <w:szCs w:val="20"/>
                <w:lang w:eastAsia="en-GB"/>
              </w:rPr>
              <w:t> </w:t>
            </w:r>
          </w:p>
        </w:tc>
        <w:tc>
          <w:tcPr>
            <w:tcW w:w="1329" w:type="dxa"/>
            <w:tcBorders>
              <w:top w:val="single" w:sz="4" w:space="0" w:color="auto"/>
              <w:left w:val="nil"/>
              <w:bottom w:val="single" w:sz="8" w:space="0" w:color="auto"/>
              <w:right w:val="nil"/>
            </w:tcBorders>
            <w:shd w:val="clear" w:color="000000" w:fill="FFFFFF"/>
            <w:noWrap/>
            <w:vAlign w:val="center"/>
            <w:hideMark/>
          </w:tcPr>
          <w:p w14:paraId="410381BB" w14:textId="77777777" w:rsidR="0021298F" w:rsidRPr="00D71042" w:rsidRDefault="0021298F" w:rsidP="00760009">
            <w:pPr>
              <w:jc w:val="right"/>
              <w:rPr>
                <w:rFonts w:ascii="Arial" w:eastAsia="Times New Roman" w:hAnsi="Arial" w:cs="Arial"/>
                <w:b/>
                <w:bCs/>
                <w:color w:val="000000"/>
                <w:sz w:val="20"/>
                <w:szCs w:val="20"/>
                <w:lang w:eastAsia="en-GB"/>
              </w:rPr>
            </w:pPr>
            <w:r w:rsidRPr="00D71042">
              <w:rPr>
                <w:rFonts w:ascii="Arial" w:eastAsia="Times New Roman" w:hAnsi="Arial" w:cs="Arial"/>
                <w:b/>
                <w:bCs/>
                <w:color w:val="000000"/>
                <w:sz w:val="20"/>
                <w:szCs w:val="20"/>
                <w:lang w:eastAsia="en-GB"/>
              </w:rPr>
              <w:t xml:space="preserve">630,619,469 </w:t>
            </w:r>
          </w:p>
        </w:tc>
        <w:tc>
          <w:tcPr>
            <w:tcW w:w="1319" w:type="dxa"/>
            <w:tcBorders>
              <w:top w:val="single" w:sz="4" w:space="0" w:color="auto"/>
              <w:left w:val="nil"/>
              <w:bottom w:val="single" w:sz="8" w:space="0" w:color="auto"/>
              <w:right w:val="nil"/>
            </w:tcBorders>
            <w:shd w:val="clear" w:color="000000" w:fill="FFFFFF"/>
            <w:noWrap/>
            <w:vAlign w:val="center"/>
            <w:hideMark/>
          </w:tcPr>
          <w:p w14:paraId="3E94B252" w14:textId="77777777" w:rsidR="0021298F" w:rsidRPr="00D71042" w:rsidRDefault="0021298F" w:rsidP="00760009">
            <w:pPr>
              <w:jc w:val="right"/>
              <w:rPr>
                <w:rFonts w:ascii="Arial" w:eastAsia="Times New Roman" w:hAnsi="Arial" w:cs="Arial"/>
                <w:b/>
                <w:bCs/>
                <w:color w:val="000000"/>
                <w:sz w:val="20"/>
                <w:szCs w:val="20"/>
                <w:lang w:eastAsia="en-GB"/>
              </w:rPr>
            </w:pPr>
            <w:r w:rsidRPr="00D71042">
              <w:rPr>
                <w:rFonts w:ascii="Arial" w:eastAsia="Times New Roman" w:hAnsi="Arial" w:cs="Arial"/>
                <w:b/>
                <w:bCs/>
                <w:color w:val="000000"/>
                <w:sz w:val="20"/>
                <w:szCs w:val="20"/>
                <w:lang w:eastAsia="en-GB"/>
              </w:rPr>
              <w:t xml:space="preserve">6,306 </w:t>
            </w:r>
          </w:p>
        </w:tc>
        <w:tc>
          <w:tcPr>
            <w:tcW w:w="1320" w:type="dxa"/>
            <w:tcBorders>
              <w:top w:val="single" w:sz="4" w:space="0" w:color="auto"/>
              <w:left w:val="nil"/>
              <w:bottom w:val="single" w:sz="8" w:space="0" w:color="auto"/>
              <w:right w:val="nil"/>
            </w:tcBorders>
            <w:shd w:val="clear" w:color="000000" w:fill="FFFFFF"/>
            <w:noWrap/>
            <w:vAlign w:val="center"/>
            <w:hideMark/>
          </w:tcPr>
          <w:p w14:paraId="6989CB9A" w14:textId="77777777" w:rsidR="0021298F" w:rsidRPr="00D71042" w:rsidRDefault="0021298F" w:rsidP="00760009">
            <w:pPr>
              <w:jc w:val="right"/>
              <w:rPr>
                <w:rFonts w:ascii="Arial" w:eastAsia="Times New Roman" w:hAnsi="Arial" w:cs="Arial"/>
                <w:b/>
                <w:bCs/>
                <w:color w:val="000000"/>
                <w:sz w:val="20"/>
                <w:szCs w:val="20"/>
                <w:lang w:eastAsia="en-GB"/>
              </w:rPr>
            </w:pPr>
            <w:r w:rsidRPr="00D71042">
              <w:rPr>
                <w:rFonts w:ascii="Arial" w:eastAsia="Times New Roman" w:hAnsi="Arial" w:cs="Arial"/>
                <w:b/>
                <w:bCs/>
                <w:color w:val="000000"/>
                <w:sz w:val="20"/>
                <w:szCs w:val="20"/>
                <w:lang w:eastAsia="en-GB"/>
              </w:rPr>
              <w:t xml:space="preserve">385,669 </w:t>
            </w:r>
          </w:p>
        </w:tc>
        <w:tc>
          <w:tcPr>
            <w:tcW w:w="1320" w:type="dxa"/>
            <w:tcBorders>
              <w:top w:val="single" w:sz="4" w:space="0" w:color="auto"/>
              <w:left w:val="nil"/>
              <w:bottom w:val="single" w:sz="8" w:space="0" w:color="auto"/>
              <w:right w:val="nil"/>
            </w:tcBorders>
            <w:shd w:val="clear" w:color="000000" w:fill="FFFFFF"/>
            <w:noWrap/>
            <w:vAlign w:val="center"/>
            <w:hideMark/>
          </w:tcPr>
          <w:p w14:paraId="6654CEA6" w14:textId="77777777" w:rsidR="0021298F" w:rsidRPr="00D71042" w:rsidRDefault="0021298F" w:rsidP="00760009">
            <w:pPr>
              <w:jc w:val="right"/>
              <w:rPr>
                <w:rFonts w:ascii="Arial" w:eastAsia="Times New Roman" w:hAnsi="Arial" w:cs="Arial"/>
                <w:b/>
                <w:bCs/>
                <w:color w:val="000000"/>
                <w:sz w:val="20"/>
                <w:szCs w:val="20"/>
                <w:lang w:eastAsia="en-GB"/>
              </w:rPr>
            </w:pPr>
            <w:r w:rsidRPr="00D71042">
              <w:rPr>
                <w:rFonts w:ascii="Arial" w:eastAsia="Times New Roman" w:hAnsi="Arial" w:cs="Arial"/>
                <w:b/>
                <w:bCs/>
                <w:color w:val="000000"/>
                <w:sz w:val="20"/>
                <w:szCs w:val="20"/>
                <w:lang w:eastAsia="en-GB"/>
              </w:rPr>
              <w:t xml:space="preserve">391,975 </w:t>
            </w:r>
          </w:p>
        </w:tc>
      </w:tr>
    </w:tbl>
    <w:p w14:paraId="3D2A9245" w14:textId="77777777" w:rsidR="0021298F" w:rsidRDefault="0021298F" w:rsidP="0021298F">
      <w:pPr>
        <w:jc w:val="both"/>
        <w:rPr>
          <w:rFonts w:ascii="Arial" w:hAnsi="Arial" w:cs="Arial"/>
        </w:rPr>
      </w:pPr>
    </w:p>
    <w:p w14:paraId="253A3F2E" w14:textId="77777777" w:rsidR="0021298F" w:rsidRDefault="0021298F" w:rsidP="0021298F">
      <w:pPr>
        <w:ind w:right="261"/>
        <w:jc w:val="both"/>
        <w:rPr>
          <w:rFonts w:ascii="Arial" w:hAnsi="Arial" w:cs="Arial"/>
          <w:b/>
          <w:sz w:val="26"/>
          <w:szCs w:val="26"/>
        </w:rPr>
      </w:pPr>
      <w:r w:rsidRPr="000535C5">
        <w:rPr>
          <w:rFonts w:ascii="Arial" w:hAnsi="Arial" w:cs="Arial"/>
        </w:rPr>
        <w:t xml:space="preserve">Shareholders are entitled to all dividends paid by the Company and, on a winding up, provided the Company has satisfied all of its liabilities, the Shareholders are entitled to all of the </w:t>
      </w:r>
      <w:r>
        <w:rPr>
          <w:rFonts w:ascii="Arial" w:hAnsi="Arial" w:cs="Arial"/>
        </w:rPr>
        <w:t>residual</w:t>
      </w:r>
      <w:r w:rsidRPr="000535C5">
        <w:rPr>
          <w:rFonts w:ascii="Arial" w:hAnsi="Arial" w:cs="Arial"/>
        </w:rPr>
        <w:t xml:space="preserve"> assets of the Company.</w:t>
      </w:r>
    </w:p>
    <w:p w14:paraId="46968095" w14:textId="77777777" w:rsidR="0021298F" w:rsidRDefault="0021298F" w:rsidP="0021298F">
      <w:pPr>
        <w:jc w:val="both"/>
        <w:rPr>
          <w:rFonts w:ascii="Arial" w:hAnsi="Arial" w:cs="Arial"/>
        </w:rPr>
      </w:pPr>
    </w:p>
    <w:p w14:paraId="16CFA8CD" w14:textId="77777777" w:rsidR="0021298F" w:rsidRDefault="0021298F" w:rsidP="0021298F">
      <w:pPr>
        <w:pStyle w:val="Heading2"/>
        <w:keepNext w:val="0"/>
        <w:keepLines w:val="0"/>
        <w:numPr>
          <w:ilvl w:val="0"/>
          <w:numId w:val="42"/>
        </w:numPr>
        <w:spacing w:before="0" w:line="240" w:lineRule="auto"/>
        <w:ind w:left="426" w:hanging="426"/>
        <w:jc w:val="both"/>
        <w:rPr>
          <w:rFonts w:ascii="Arial" w:hAnsi="Arial" w:cs="Arial"/>
          <w:color w:val="auto"/>
          <w:sz w:val="24"/>
          <w:szCs w:val="22"/>
          <w:lang w:eastAsia="en-GB"/>
        </w:rPr>
      </w:pPr>
      <w:r w:rsidRPr="00D229E9">
        <w:rPr>
          <w:rFonts w:ascii="Arial" w:hAnsi="Arial" w:cs="Arial"/>
          <w:color w:val="auto"/>
          <w:sz w:val="24"/>
          <w:szCs w:val="22"/>
          <w:lang w:eastAsia="en-GB"/>
        </w:rPr>
        <w:t xml:space="preserve">Net </w:t>
      </w:r>
      <w:r>
        <w:rPr>
          <w:rFonts w:ascii="Arial" w:hAnsi="Arial" w:cs="Arial"/>
          <w:color w:val="auto"/>
          <w:sz w:val="24"/>
          <w:szCs w:val="22"/>
          <w:lang w:eastAsia="en-GB"/>
        </w:rPr>
        <w:t>a</w:t>
      </w:r>
      <w:r w:rsidRPr="00D229E9">
        <w:rPr>
          <w:rFonts w:ascii="Arial" w:hAnsi="Arial" w:cs="Arial"/>
          <w:color w:val="auto"/>
          <w:sz w:val="24"/>
          <w:szCs w:val="22"/>
          <w:lang w:eastAsia="en-GB"/>
        </w:rPr>
        <w:t xml:space="preserve">ssets </w:t>
      </w:r>
      <w:r>
        <w:rPr>
          <w:rFonts w:ascii="Arial" w:hAnsi="Arial" w:cs="Arial"/>
          <w:color w:val="auto"/>
          <w:sz w:val="24"/>
          <w:szCs w:val="22"/>
          <w:lang w:eastAsia="en-GB"/>
        </w:rPr>
        <w:t>p</w:t>
      </w:r>
      <w:r w:rsidRPr="00D229E9">
        <w:rPr>
          <w:rFonts w:ascii="Arial" w:hAnsi="Arial" w:cs="Arial"/>
          <w:color w:val="auto"/>
          <w:sz w:val="24"/>
          <w:szCs w:val="22"/>
          <w:lang w:eastAsia="en-GB"/>
        </w:rPr>
        <w:t xml:space="preserve">er </w:t>
      </w:r>
      <w:r>
        <w:rPr>
          <w:rFonts w:ascii="Arial" w:hAnsi="Arial" w:cs="Arial"/>
          <w:color w:val="auto"/>
          <w:sz w:val="24"/>
          <w:szCs w:val="22"/>
          <w:lang w:eastAsia="en-GB"/>
        </w:rPr>
        <w:t>s</w:t>
      </w:r>
      <w:r w:rsidRPr="00D229E9">
        <w:rPr>
          <w:rFonts w:ascii="Arial" w:hAnsi="Arial" w:cs="Arial"/>
          <w:color w:val="auto"/>
          <w:sz w:val="24"/>
          <w:szCs w:val="22"/>
          <w:lang w:eastAsia="en-GB"/>
        </w:rPr>
        <w:t>ha</w:t>
      </w:r>
      <w:r>
        <w:rPr>
          <w:rFonts w:ascii="Arial" w:hAnsi="Arial" w:cs="Arial"/>
          <w:color w:val="auto"/>
          <w:sz w:val="24"/>
          <w:szCs w:val="22"/>
          <w:lang w:eastAsia="en-GB"/>
        </w:rPr>
        <w:t>re</w:t>
      </w:r>
      <w:r w:rsidRPr="00D229E9">
        <w:rPr>
          <w:rFonts w:ascii="Arial" w:hAnsi="Arial" w:cs="Arial"/>
          <w:color w:val="auto"/>
          <w:sz w:val="24"/>
          <w:szCs w:val="22"/>
          <w:lang w:eastAsia="en-GB"/>
        </w:rPr>
        <w:t xml:space="preserve"> </w:t>
      </w:r>
    </w:p>
    <w:p w14:paraId="378B7DB1" w14:textId="77777777" w:rsidR="0021298F" w:rsidRDefault="0021298F" w:rsidP="0021298F">
      <w:pPr>
        <w:rPr>
          <w:lang w:eastAsia="en-GB"/>
        </w:rPr>
      </w:pPr>
    </w:p>
    <w:tbl>
      <w:tblPr>
        <w:tblW w:w="9324" w:type="dxa"/>
        <w:tblLook w:val="04A0" w:firstRow="1" w:lastRow="0" w:firstColumn="1" w:lastColumn="0" w:noHBand="0" w:noVBand="1"/>
      </w:tblPr>
      <w:tblGrid>
        <w:gridCol w:w="4627"/>
        <w:gridCol w:w="271"/>
        <w:gridCol w:w="2191"/>
        <w:gridCol w:w="2235"/>
      </w:tblGrid>
      <w:tr w:rsidR="0021298F" w:rsidRPr="00941CDF" w14:paraId="66FB24B2" w14:textId="77777777" w:rsidTr="00760009">
        <w:trPr>
          <w:trHeight w:val="300"/>
        </w:trPr>
        <w:tc>
          <w:tcPr>
            <w:tcW w:w="4630" w:type="dxa"/>
            <w:tcBorders>
              <w:top w:val="nil"/>
              <w:left w:val="nil"/>
              <w:bottom w:val="single" w:sz="4" w:space="0" w:color="auto"/>
              <w:right w:val="nil"/>
            </w:tcBorders>
            <w:shd w:val="clear" w:color="000000" w:fill="FFFFFF"/>
            <w:vAlign w:val="center"/>
            <w:hideMark/>
          </w:tcPr>
          <w:p w14:paraId="7D61B222" w14:textId="77777777" w:rsidR="0021298F" w:rsidRPr="00941CDF" w:rsidRDefault="0021298F" w:rsidP="00760009">
            <w:pPr>
              <w:jc w:val="both"/>
              <w:rPr>
                <w:rFonts w:ascii="Arial" w:eastAsia="Times New Roman" w:hAnsi="Arial" w:cs="Arial"/>
                <w:b/>
                <w:bCs/>
                <w:color w:val="000000"/>
                <w:lang w:eastAsia="en-GB"/>
              </w:rPr>
            </w:pPr>
            <w:r w:rsidRPr="00941CDF">
              <w:rPr>
                <w:rFonts w:ascii="Arial" w:eastAsia="Times New Roman" w:hAnsi="Arial" w:cs="Arial"/>
                <w:b/>
                <w:bCs/>
                <w:color w:val="000000"/>
                <w:lang w:eastAsia="en-GB"/>
              </w:rPr>
              <w:t>Group and Company</w:t>
            </w:r>
          </w:p>
        </w:tc>
        <w:tc>
          <w:tcPr>
            <w:tcW w:w="266" w:type="dxa"/>
            <w:tcBorders>
              <w:top w:val="nil"/>
              <w:left w:val="nil"/>
              <w:bottom w:val="single" w:sz="4" w:space="0" w:color="auto"/>
              <w:right w:val="nil"/>
            </w:tcBorders>
            <w:shd w:val="clear" w:color="auto" w:fill="auto"/>
            <w:noWrap/>
            <w:vAlign w:val="bottom"/>
            <w:hideMark/>
          </w:tcPr>
          <w:p w14:paraId="27FBC374" w14:textId="77777777" w:rsidR="0021298F" w:rsidRPr="00941CDF" w:rsidRDefault="0021298F" w:rsidP="00760009">
            <w:pPr>
              <w:rPr>
                <w:rFonts w:ascii="Calibri" w:eastAsia="Times New Roman" w:hAnsi="Calibri" w:cs="Calibri"/>
                <w:color w:val="000000"/>
                <w:lang w:eastAsia="en-GB"/>
              </w:rPr>
            </w:pPr>
            <w:r w:rsidRPr="00941CDF">
              <w:rPr>
                <w:rFonts w:ascii="Calibri" w:eastAsia="Times New Roman" w:hAnsi="Calibri" w:cs="Calibri"/>
                <w:color w:val="000000"/>
                <w:lang w:eastAsia="en-GB"/>
              </w:rPr>
              <w:t> </w:t>
            </w:r>
          </w:p>
        </w:tc>
        <w:tc>
          <w:tcPr>
            <w:tcW w:w="2192" w:type="dxa"/>
            <w:tcBorders>
              <w:top w:val="nil"/>
              <w:left w:val="nil"/>
              <w:bottom w:val="single" w:sz="4" w:space="0" w:color="auto"/>
              <w:right w:val="nil"/>
            </w:tcBorders>
            <w:shd w:val="clear" w:color="000000" w:fill="FFFFFF"/>
            <w:vAlign w:val="center"/>
            <w:hideMark/>
          </w:tcPr>
          <w:p w14:paraId="008611C9" w14:textId="77777777" w:rsidR="0021298F" w:rsidRPr="00941CDF" w:rsidRDefault="0021298F" w:rsidP="00760009">
            <w:pPr>
              <w:jc w:val="right"/>
              <w:rPr>
                <w:rFonts w:ascii="Arial" w:eastAsia="Times New Roman" w:hAnsi="Arial" w:cs="Arial"/>
                <w:b/>
                <w:bCs/>
                <w:color w:val="000000"/>
                <w:lang w:eastAsia="en-GB"/>
              </w:rPr>
            </w:pPr>
            <w:r w:rsidRPr="00941CDF">
              <w:rPr>
                <w:rFonts w:ascii="Arial" w:eastAsia="Times New Roman" w:hAnsi="Arial" w:cs="Arial"/>
                <w:b/>
                <w:bCs/>
                <w:color w:val="000000"/>
                <w:lang w:eastAsia="en-GB"/>
              </w:rPr>
              <w:t>31 December 2020</w:t>
            </w:r>
          </w:p>
        </w:tc>
        <w:tc>
          <w:tcPr>
            <w:tcW w:w="2236" w:type="dxa"/>
            <w:tcBorders>
              <w:top w:val="nil"/>
              <w:left w:val="nil"/>
              <w:bottom w:val="single" w:sz="4" w:space="0" w:color="auto"/>
              <w:right w:val="nil"/>
            </w:tcBorders>
            <w:shd w:val="clear" w:color="000000" w:fill="FFFFFF"/>
            <w:vAlign w:val="center"/>
            <w:hideMark/>
          </w:tcPr>
          <w:p w14:paraId="3264FAED" w14:textId="77777777" w:rsidR="0021298F" w:rsidRPr="00941CDF" w:rsidRDefault="0021298F" w:rsidP="00760009">
            <w:pPr>
              <w:jc w:val="right"/>
              <w:rPr>
                <w:rFonts w:ascii="Arial" w:eastAsia="Times New Roman" w:hAnsi="Arial" w:cs="Arial"/>
                <w:b/>
                <w:bCs/>
                <w:color w:val="000000"/>
                <w:lang w:eastAsia="en-GB"/>
              </w:rPr>
            </w:pPr>
            <w:r w:rsidRPr="00941CDF">
              <w:rPr>
                <w:rFonts w:ascii="Arial" w:eastAsia="Times New Roman" w:hAnsi="Arial" w:cs="Arial"/>
                <w:b/>
                <w:bCs/>
                <w:color w:val="000000"/>
                <w:lang w:eastAsia="en-GB"/>
              </w:rPr>
              <w:t>31 December 2019</w:t>
            </w:r>
          </w:p>
        </w:tc>
      </w:tr>
      <w:tr w:rsidR="0021298F" w:rsidRPr="00941CDF" w14:paraId="7C1E3D22" w14:textId="77777777" w:rsidTr="00760009">
        <w:trPr>
          <w:trHeight w:val="300"/>
        </w:trPr>
        <w:tc>
          <w:tcPr>
            <w:tcW w:w="4630" w:type="dxa"/>
            <w:tcBorders>
              <w:top w:val="nil"/>
              <w:left w:val="nil"/>
              <w:bottom w:val="nil"/>
              <w:right w:val="nil"/>
            </w:tcBorders>
            <w:shd w:val="clear" w:color="000000" w:fill="FFFFFF"/>
            <w:vAlign w:val="center"/>
            <w:hideMark/>
          </w:tcPr>
          <w:p w14:paraId="4BBBBAC2" w14:textId="77777777" w:rsidR="0021298F" w:rsidRPr="00941CDF" w:rsidRDefault="0021298F" w:rsidP="00760009">
            <w:pPr>
              <w:rPr>
                <w:rFonts w:ascii="Arial" w:eastAsia="Times New Roman" w:hAnsi="Arial" w:cs="Arial"/>
                <w:color w:val="000000"/>
                <w:lang w:eastAsia="en-GB"/>
              </w:rPr>
            </w:pPr>
            <w:r w:rsidRPr="00941CDF">
              <w:rPr>
                <w:rFonts w:ascii="Arial" w:eastAsia="Times New Roman" w:hAnsi="Arial" w:cs="Arial"/>
                <w:color w:val="000000"/>
                <w:lang w:eastAsia="en-GB"/>
              </w:rPr>
              <w:t>Net assets - €’000</w:t>
            </w:r>
          </w:p>
        </w:tc>
        <w:tc>
          <w:tcPr>
            <w:tcW w:w="266" w:type="dxa"/>
            <w:tcBorders>
              <w:top w:val="nil"/>
              <w:left w:val="nil"/>
              <w:bottom w:val="nil"/>
              <w:right w:val="nil"/>
            </w:tcBorders>
            <w:shd w:val="clear" w:color="auto" w:fill="auto"/>
            <w:noWrap/>
            <w:vAlign w:val="bottom"/>
            <w:hideMark/>
          </w:tcPr>
          <w:p w14:paraId="7BF890D2" w14:textId="77777777" w:rsidR="0021298F" w:rsidRPr="00941CDF" w:rsidRDefault="0021298F" w:rsidP="00760009">
            <w:pPr>
              <w:rPr>
                <w:rFonts w:ascii="Arial" w:eastAsia="Times New Roman" w:hAnsi="Arial" w:cs="Arial"/>
                <w:color w:val="000000"/>
                <w:lang w:eastAsia="en-GB"/>
              </w:rPr>
            </w:pPr>
          </w:p>
        </w:tc>
        <w:tc>
          <w:tcPr>
            <w:tcW w:w="2192" w:type="dxa"/>
            <w:tcBorders>
              <w:top w:val="nil"/>
              <w:left w:val="nil"/>
              <w:bottom w:val="nil"/>
              <w:right w:val="nil"/>
            </w:tcBorders>
            <w:shd w:val="clear" w:color="000000" w:fill="EDFFB7"/>
            <w:vAlign w:val="center"/>
            <w:hideMark/>
          </w:tcPr>
          <w:p w14:paraId="09D8BB28" w14:textId="77777777" w:rsidR="0021298F" w:rsidRPr="00941CDF" w:rsidRDefault="0021298F" w:rsidP="00760009">
            <w:pPr>
              <w:jc w:val="right"/>
              <w:rPr>
                <w:rFonts w:ascii="Arial" w:eastAsia="Times New Roman" w:hAnsi="Arial" w:cs="Arial"/>
                <w:color w:val="000000"/>
                <w:lang w:eastAsia="en-GB"/>
              </w:rPr>
            </w:pPr>
            <w:r w:rsidRPr="00941CDF">
              <w:rPr>
                <w:rFonts w:ascii="Arial" w:eastAsia="Times New Roman" w:hAnsi="Arial" w:cs="Arial"/>
                <w:color w:val="000000"/>
                <w:lang w:eastAsia="en-GB"/>
              </w:rPr>
              <w:t>748,813</w:t>
            </w:r>
          </w:p>
        </w:tc>
        <w:tc>
          <w:tcPr>
            <w:tcW w:w="2236" w:type="dxa"/>
            <w:tcBorders>
              <w:top w:val="nil"/>
              <w:left w:val="nil"/>
              <w:bottom w:val="nil"/>
              <w:right w:val="nil"/>
            </w:tcBorders>
            <w:shd w:val="clear" w:color="000000" w:fill="FFFFFF"/>
            <w:vAlign w:val="center"/>
            <w:hideMark/>
          </w:tcPr>
          <w:p w14:paraId="5A90B28A" w14:textId="77777777" w:rsidR="0021298F" w:rsidRPr="00941CDF" w:rsidRDefault="0021298F" w:rsidP="00760009">
            <w:pPr>
              <w:jc w:val="right"/>
              <w:rPr>
                <w:rFonts w:ascii="Arial" w:eastAsia="Times New Roman" w:hAnsi="Arial" w:cs="Arial"/>
                <w:color w:val="000000"/>
                <w:lang w:eastAsia="en-GB"/>
              </w:rPr>
            </w:pPr>
            <w:r w:rsidRPr="00941CDF">
              <w:rPr>
                <w:rFonts w:ascii="Arial" w:eastAsia="Times New Roman" w:hAnsi="Arial" w:cs="Arial"/>
                <w:color w:val="000000"/>
                <w:lang w:eastAsia="en-GB"/>
              </w:rPr>
              <w:t>650,000</w:t>
            </w:r>
          </w:p>
        </w:tc>
      </w:tr>
      <w:tr w:rsidR="0021298F" w:rsidRPr="00941CDF" w14:paraId="491255C9" w14:textId="77777777" w:rsidTr="00760009">
        <w:trPr>
          <w:trHeight w:val="300"/>
        </w:trPr>
        <w:tc>
          <w:tcPr>
            <w:tcW w:w="4630" w:type="dxa"/>
            <w:tcBorders>
              <w:top w:val="nil"/>
              <w:left w:val="nil"/>
              <w:bottom w:val="single" w:sz="4" w:space="0" w:color="auto"/>
              <w:right w:val="nil"/>
            </w:tcBorders>
            <w:shd w:val="clear" w:color="000000" w:fill="FFFFFF"/>
            <w:vAlign w:val="center"/>
            <w:hideMark/>
          </w:tcPr>
          <w:p w14:paraId="2F1C3BDC" w14:textId="77777777" w:rsidR="0021298F" w:rsidRPr="00941CDF" w:rsidRDefault="0021298F" w:rsidP="00760009">
            <w:pPr>
              <w:rPr>
                <w:rFonts w:ascii="Arial" w:eastAsia="Times New Roman" w:hAnsi="Arial" w:cs="Arial"/>
                <w:color w:val="000000"/>
                <w:lang w:eastAsia="en-GB"/>
              </w:rPr>
            </w:pPr>
            <w:r w:rsidRPr="00941CDF">
              <w:rPr>
                <w:rFonts w:ascii="Arial" w:eastAsia="Times New Roman" w:hAnsi="Arial" w:cs="Arial"/>
                <w:color w:val="000000"/>
                <w:lang w:eastAsia="en-GB"/>
              </w:rPr>
              <w:t>Number of ordinary shares issued</w:t>
            </w:r>
          </w:p>
        </w:tc>
        <w:tc>
          <w:tcPr>
            <w:tcW w:w="266" w:type="dxa"/>
            <w:tcBorders>
              <w:top w:val="nil"/>
              <w:left w:val="nil"/>
              <w:bottom w:val="single" w:sz="4" w:space="0" w:color="auto"/>
              <w:right w:val="nil"/>
            </w:tcBorders>
            <w:shd w:val="clear" w:color="auto" w:fill="auto"/>
            <w:noWrap/>
            <w:vAlign w:val="bottom"/>
            <w:hideMark/>
          </w:tcPr>
          <w:p w14:paraId="69314029" w14:textId="77777777" w:rsidR="0021298F" w:rsidRPr="00941CDF" w:rsidRDefault="0021298F" w:rsidP="00760009">
            <w:pPr>
              <w:rPr>
                <w:rFonts w:ascii="Calibri" w:eastAsia="Times New Roman" w:hAnsi="Calibri" w:cs="Calibri"/>
                <w:color w:val="000000"/>
                <w:lang w:eastAsia="en-GB"/>
              </w:rPr>
            </w:pPr>
            <w:r w:rsidRPr="00941CDF">
              <w:rPr>
                <w:rFonts w:ascii="Calibri" w:eastAsia="Times New Roman" w:hAnsi="Calibri" w:cs="Calibri"/>
                <w:color w:val="000000"/>
                <w:lang w:eastAsia="en-GB"/>
              </w:rPr>
              <w:t> </w:t>
            </w:r>
          </w:p>
        </w:tc>
        <w:tc>
          <w:tcPr>
            <w:tcW w:w="2192" w:type="dxa"/>
            <w:tcBorders>
              <w:top w:val="nil"/>
              <w:left w:val="nil"/>
              <w:bottom w:val="single" w:sz="4" w:space="0" w:color="auto"/>
              <w:right w:val="nil"/>
            </w:tcBorders>
            <w:shd w:val="clear" w:color="000000" w:fill="EDFFB7"/>
            <w:vAlign w:val="center"/>
            <w:hideMark/>
          </w:tcPr>
          <w:p w14:paraId="21774B8C" w14:textId="77777777" w:rsidR="0021298F" w:rsidRPr="00941CDF" w:rsidRDefault="0021298F" w:rsidP="00760009">
            <w:pPr>
              <w:jc w:val="right"/>
              <w:rPr>
                <w:rFonts w:ascii="Arial" w:eastAsia="Times New Roman" w:hAnsi="Arial" w:cs="Arial"/>
                <w:color w:val="000000"/>
                <w:lang w:eastAsia="en-GB"/>
              </w:rPr>
            </w:pPr>
            <w:r w:rsidRPr="00941CDF">
              <w:rPr>
                <w:rFonts w:ascii="Arial" w:eastAsia="Times New Roman" w:hAnsi="Arial" w:cs="Arial"/>
                <w:color w:val="000000"/>
                <w:lang w:eastAsia="en-GB"/>
              </w:rPr>
              <w:t>741,238,938</w:t>
            </w:r>
          </w:p>
        </w:tc>
        <w:tc>
          <w:tcPr>
            <w:tcW w:w="2236" w:type="dxa"/>
            <w:tcBorders>
              <w:top w:val="nil"/>
              <w:left w:val="nil"/>
              <w:bottom w:val="single" w:sz="4" w:space="0" w:color="auto"/>
              <w:right w:val="nil"/>
            </w:tcBorders>
            <w:shd w:val="clear" w:color="000000" w:fill="FFFFFF"/>
            <w:vAlign w:val="center"/>
            <w:hideMark/>
          </w:tcPr>
          <w:p w14:paraId="789A0DDA" w14:textId="77777777" w:rsidR="0021298F" w:rsidRPr="00941CDF" w:rsidRDefault="0021298F" w:rsidP="00760009">
            <w:pPr>
              <w:jc w:val="right"/>
              <w:rPr>
                <w:rFonts w:ascii="Arial" w:eastAsia="Times New Roman" w:hAnsi="Arial" w:cs="Arial"/>
                <w:color w:val="000000"/>
                <w:lang w:eastAsia="en-GB"/>
              </w:rPr>
            </w:pPr>
            <w:r w:rsidRPr="00941CDF">
              <w:rPr>
                <w:rFonts w:ascii="Arial" w:eastAsia="Times New Roman" w:hAnsi="Arial" w:cs="Arial"/>
                <w:color w:val="000000"/>
                <w:lang w:eastAsia="en-GB"/>
              </w:rPr>
              <w:t>630,619,469</w:t>
            </w:r>
          </w:p>
        </w:tc>
      </w:tr>
      <w:tr w:rsidR="0021298F" w:rsidRPr="00941CDF" w14:paraId="028CD8AF" w14:textId="77777777" w:rsidTr="00760009">
        <w:trPr>
          <w:trHeight w:val="390"/>
        </w:trPr>
        <w:tc>
          <w:tcPr>
            <w:tcW w:w="4630" w:type="dxa"/>
            <w:tcBorders>
              <w:top w:val="nil"/>
              <w:left w:val="nil"/>
              <w:bottom w:val="single" w:sz="8" w:space="0" w:color="auto"/>
              <w:right w:val="nil"/>
            </w:tcBorders>
            <w:shd w:val="clear" w:color="000000" w:fill="FFFFFF"/>
            <w:vAlign w:val="center"/>
            <w:hideMark/>
          </w:tcPr>
          <w:p w14:paraId="5F71E7F2" w14:textId="77777777" w:rsidR="0021298F" w:rsidRPr="00941CDF" w:rsidRDefault="0021298F" w:rsidP="00760009">
            <w:pPr>
              <w:rPr>
                <w:rFonts w:ascii="Arial" w:eastAsia="Times New Roman" w:hAnsi="Arial" w:cs="Arial"/>
                <w:b/>
                <w:bCs/>
                <w:color w:val="000000"/>
                <w:lang w:eastAsia="en-GB"/>
              </w:rPr>
            </w:pPr>
            <w:r w:rsidRPr="00941CDF">
              <w:rPr>
                <w:rFonts w:ascii="Arial" w:eastAsia="Times New Roman" w:hAnsi="Arial" w:cs="Arial"/>
                <w:b/>
                <w:bCs/>
                <w:color w:val="000000"/>
                <w:lang w:eastAsia="en-GB"/>
              </w:rPr>
              <w:t>Total net assets – cent</w:t>
            </w:r>
          </w:p>
        </w:tc>
        <w:tc>
          <w:tcPr>
            <w:tcW w:w="266" w:type="dxa"/>
            <w:tcBorders>
              <w:top w:val="nil"/>
              <w:left w:val="nil"/>
              <w:bottom w:val="single" w:sz="8" w:space="0" w:color="auto"/>
              <w:right w:val="nil"/>
            </w:tcBorders>
            <w:shd w:val="clear" w:color="auto" w:fill="auto"/>
            <w:noWrap/>
            <w:vAlign w:val="bottom"/>
            <w:hideMark/>
          </w:tcPr>
          <w:p w14:paraId="2FDC0648" w14:textId="77777777" w:rsidR="0021298F" w:rsidRPr="00941CDF" w:rsidRDefault="0021298F" w:rsidP="00760009">
            <w:pPr>
              <w:rPr>
                <w:rFonts w:ascii="Calibri" w:eastAsia="Times New Roman" w:hAnsi="Calibri" w:cs="Calibri"/>
                <w:color w:val="000000"/>
                <w:lang w:eastAsia="en-GB"/>
              </w:rPr>
            </w:pPr>
            <w:r w:rsidRPr="00941CDF">
              <w:rPr>
                <w:rFonts w:ascii="Calibri" w:eastAsia="Times New Roman" w:hAnsi="Calibri" w:cs="Calibri"/>
                <w:color w:val="000000"/>
                <w:lang w:eastAsia="en-GB"/>
              </w:rPr>
              <w:t> </w:t>
            </w:r>
          </w:p>
        </w:tc>
        <w:tc>
          <w:tcPr>
            <w:tcW w:w="2192" w:type="dxa"/>
            <w:tcBorders>
              <w:top w:val="nil"/>
              <w:left w:val="nil"/>
              <w:bottom w:val="single" w:sz="8" w:space="0" w:color="auto"/>
              <w:right w:val="nil"/>
            </w:tcBorders>
            <w:shd w:val="clear" w:color="000000" w:fill="EDFFB7"/>
            <w:vAlign w:val="center"/>
            <w:hideMark/>
          </w:tcPr>
          <w:p w14:paraId="26E9CA0E" w14:textId="77777777" w:rsidR="0021298F" w:rsidRPr="00941CDF" w:rsidRDefault="0021298F" w:rsidP="00760009">
            <w:pPr>
              <w:jc w:val="right"/>
              <w:rPr>
                <w:rFonts w:ascii="Arial" w:eastAsia="Times New Roman" w:hAnsi="Arial" w:cs="Arial"/>
                <w:b/>
                <w:bCs/>
                <w:color w:val="000000"/>
                <w:lang w:eastAsia="en-GB"/>
              </w:rPr>
            </w:pPr>
            <w:r w:rsidRPr="00941CDF">
              <w:rPr>
                <w:rFonts w:ascii="Arial" w:eastAsia="Times New Roman" w:hAnsi="Arial" w:cs="Arial"/>
                <w:b/>
                <w:bCs/>
                <w:color w:val="000000"/>
                <w:lang w:eastAsia="en-GB"/>
              </w:rPr>
              <w:t>101.0</w:t>
            </w:r>
          </w:p>
        </w:tc>
        <w:tc>
          <w:tcPr>
            <w:tcW w:w="2236" w:type="dxa"/>
            <w:tcBorders>
              <w:top w:val="nil"/>
              <w:left w:val="nil"/>
              <w:bottom w:val="single" w:sz="8" w:space="0" w:color="auto"/>
              <w:right w:val="nil"/>
            </w:tcBorders>
            <w:shd w:val="clear" w:color="000000" w:fill="FFFFFF"/>
            <w:vAlign w:val="center"/>
            <w:hideMark/>
          </w:tcPr>
          <w:p w14:paraId="71F94304" w14:textId="77777777" w:rsidR="0021298F" w:rsidRPr="00941CDF" w:rsidRDefault="0021298F" w:rsidP="00760009">
            <w:pPr>
              <w:jc w:val="right"/>
              <w:rPr>
                <w:rFonts w:ascii="Arial" w:eastAsia="Times New Roman" w:hAnsi="Arial" w:cs="Arial"/>
                <w:b/>
                <w:bCs/>
                <w:color w:val="000000"/>
                <w:lang w:eastAsia="en-GB"/>
              </w:rPr>
            </w:pPr>
            <w:r w:rsidRPr="00941CDF">
              <w:rPr>
                <w:rFonts w:ascii="Arial" w:eastAsia="Times New Roman" w:hAnsi="Arial" w:cs="Arial"/>
                <w:b/>
                <w:bCs/>
                <w:color w:val="000000"/>
                <w:lang w:eastAsia="en-GB"/>
              </w:rPr>
              <w:t>103.1</w:t>
            </w:r>
          </w:p>
        </w:tc>
      </w:tr>
    </w:tbl>
    <w:p w14:paraId="70615829" w14:textId="77777777" w:rsidR="0021298F" w:rsidRPr="005D733B" w:rsidRDefault="0021298F" w:rsidP="0021298F">
      <w:pPr>
        <w:spacing w:after="100"/>
        <w:rPr>
          <w:lang w:eastAsia="en-GB"/>
        </w:rPr>
      </w:pPr>
    </w:p>
    <w:p w14:paraId="61800BA4" w14:textId="77777777" w:rsidR="0021298F" w:rsidRDefault="0021298F" w:rsidP="0021298F">
      <w:pPr>
        <w:pStyle w:val="Heading2"/>
        <w:keepNext w:val="0"/>
        <w:keepLines w:val="0"/>
        <w:numPr>
          <w:ilvl w:val="0"/>
          <w:numId w:val="45"/>
        </w:numPr>
        <w:spacing w:before="0" w:line="240" w:lineRule="auto"/>
        <w:ind w:left="426" w:right="261"/>
        <w:jc w:val="both"/>
        <w:rPr>
          <w:rFonts w:ascii="Arial" w:hAnsi="Arial" w:cs="Arial"/>
          <w:color w:val="auto"/>
          <w:sz w:val="24"/>
          <w:szCs w:val="22"/>
          <w:lang w:eastAsia="en-GB"/>
        </w:rPr>
      </w:pPr>
      <w:r w:rsidRPr="007A0A39">
        <w:rPr>
          <w:rFonts w:ascii="Arial" w:hAnsi="Arial" w:cs="Arial"/>
          <w:color w:val="auto"/>
          <w:sz w:val="24"/>
          <w:szCs w:val="22"/>
          <w:lang w:eastAsia="en-GB"/>
        </w:rPr>
        <w:t xml:space="preserve">Reconciliation of operating profit for the </w:t>
      </w:r>
      <w:r>
        <w:rPr>
          <w:rFonts w:ascii="Arial" w:hAnsi="Arial" w:cs="Arial"/>
          <w:color w:val="auto"/>
          <w:sz w:val="24"/>
          <w:szCs w:val="22"/>
          <w:lang w:eastAsia="en-GB"/>
        </w:rPr>
        <w:t>year</w:t>
      </w:r>
      <w:r w:rsidRPr="007A0A39">
        <w:rPr>
          <w:rFonts w:ascii="Arial" w:hAnsi="Arial" w:cs="Arial"/>
          <w:color w:val="auto"/>
          <w:sz w:val="24"/>
          <w:szCs w:val="22"/>
          <w:lang w:eastAsia="en-GB"/>
        </w:rPr>
        <w:t xml:space="preserve"> to net cash from operating activities</w:t>
      </w:r>
    </w:p>
    <w:tbl>
      <w:tblPr>
        <w:tblW w:w="9825" w:type="dxa"/>
        <w:tblLook w:val="04A0" w:firstRow="1" w:lastRow="0" w:firstColumn="1" w:lastColumn="0" w:noHBand="0" w:noVBand="1"/>
      </w:tblPr>
      <w:tblGrid>
        <w:gridCol w:w="4816"/>
        <w:gridCol w:w="283"/>
        <w:gridCol w:w="2333"/>
        <w:gridCol w:w="2393"/>
      </w:tblGrid>
      <w:tr w:rsidR="0021298F" w:rsidRPr="00941CDF" w14:paraId="6AC37999" w14:textId="77777777" w:rsidTr="00760009">
        <w:trPr>
          <w:trHeight w:val="762"/>
        </w:trPr>
        <w:tc>
          <w:tcPr>
            <w:tcW w:w="4820" w:type="dxa"/>
            <w:tcBorders>
              <w:top w:val="nil"/>
              <w:left w:val="nil"/>
              <w:bottom w:val="nil"/>
              <w:right w:val="nil"/>
            </w:tcBorders>
            <w:shd w:val="clear" w:color="000000" w:fill="FFFFFF"/>
            <w:vAlign w:val="center"/>
            <w:hideMark/>
          </w:tcPr>
          <w:p w14:paraId="084B6EF8" w14:textId="77777777" w:rsidR="0021298F" w:rsidRPr="00941CDF" w:rsidRDefault="0021298F" w:rsidP="00760009">
            <w:pPr>
              <w:rPr>
                <w:rFonts w:ascii="Arial" w:eastAsia="Times New Roman" w:hAnsi="Arial" w:cs="Arial"/>
                <w:b/>
                <w:bCs/>
                <w:color w:val="000000"/>
                <w:lang w:eastAsia="en-GB"/>
              </w:rPr>
            </w:pPr>
            <w:r w:rsidRPr="00941CDF">
              <w:rPr>
                <w:rFonts w:ascii="Arial" w:eastAsia="Times New Roman" w:hAnsi="Arial" w:cs="Arial"/>
                <w:b/>
                <w:bCs/>
                <w:color w:val="000000"/>
                <w:lang w:eastAsia="en-GB"/>
              </w:rPr>
              <w:t>Group</w:t>
            </w:r>
          </w:p>
        </w:tc>
        <w:tc>
          <w:tcPr>
            <w:tcW w:w="278" w:type="dxa"/>
            <w:tcBorders>
              <w:top w:val="nil"/>
              <w:left w:val="nil"/>
              <w:bottom w:val="nil"/>
              <w:right w:val="nil"/>
            </w:tcBorders>
            <w:shd w:val="clear" w:color="000000" w:fill="FFFFFF"/>
            <w:noWrap/>
            <w:vAlign w:val="bottom"/>
            <w:hideMark/>
          </w:tcPr>
          <w:p w14:paraId="50ECD225" w14:textId="77777777" w:rsidR="0021298F" w:rsidRPr="00941CDF" w:rsidRDefault="0021298F" w:rsidP="00760009">
            <w:pPr>
              <w:rPr>
                <w:rFonts w:ascii="Calibri" w:eastAsia="Times New Roman" w:hAnsi="Calibri" w:cs="Calibri"/>
                <w:color w:val="000000"/>
                <w:lang w:eastAsia="en-GB"/>
              </w:rPr>
            </w:pPr>
            <w:r w:rsidRPr="00941CDF">
              <w:rPr>
                <w:rFonts w:ascii="Calibri" w:eastAsia="Times New Roman" w:hAnsi="Calibri" w:cs="Calibri"/>
                <w:color w:val="000000"/>
                <w:lang w:eastAsia="en-GB"/>
              </w:rPr>
              <w:t> </w:t>
            </w:r>
          </w:p>
        </w:tc>
        <w:tc>
          <w:tcPr>
            <w:tcW w:w="2334" w:type="dxa"/>
            <w:tcBorders>
              <w:top w:val="nil"/>
              <w:left w:val="nil"/>
              <w:bottom w:val="nil"/>
              <w:right w:val="nil"/>
            </w:tcBorders>
            <w:shd w:val="clear" w:color="000000" w:fill="FFFFFF"/>
            <w:vAlign w:val="bottom"/>
            <w:hideMark/>
          </w:tcPr>
          <w:p w14:paraId="2846BC2B" w14:textId="77777777" w:rsidR="0021298F" w:rsidRPr="00941CDF" w:rsidRDefault="0021298F" w:rsidP="00760009">
            <w:pPr>
              <w:jc w:val="right"/>
              <w:rPr>
                <w:rFonts w:ascii="Arial" w:eastAsia="Times New Roman" w:hAnsi="Arial" w:cs="Arial"/>
                <w:b/>
                <w:bCs/>
                <w:color w:val="000000"/>
                <w:lang w:eastAsia="en-GB"/>
              </w:rPr>
            </w:pPr>
            <w:r w:rsidRPr="00941CDF">
              <w:rPr>
                <w:rFonts w:ascii="Arial" w:eastAsia="Times New Roman" w:hAnsi="Arial" w:cs="Arial"/>
                <w:b/>
                <w:bCs/>
                <w:color w:val="000000"/>
                <w:lang w:eastAsia="en-GB"/>
              </w:rPr>
              <w:t>For the year ended 31 December 2020</w:t>
            </w:r>
          </w:p>
        </w:tc>
        <w:tc>
          <w:tcPr>
            <w:tcW w:w="2393" w:type="dxa"/>
            <w:tcBorders>
              <w:top w:val="nil"/>
              <w:left w:val="nil"/>
              <w:bottom w:val="nil"/>
              <w:right w:val="nil"/>
            </w:tcBorders>
            <w:shd w:val="clear" w:color="000000" w:fill="FFFFFF"/>
            <w:vAlign w:val="bottom"/>
            <w:hideMark/>
          </w:tcPr>
          <w:p w14:paraId="3CAD9896" w14:textId="77777777" w:rsidR="0021298F" w:rsidRPr="00941CDF" w:rsidRDefault="0021298F" w:rsidP="00760009">
            <w:pPr>
              <w:jc w:val="right"/>
              <w:rPr>
                <w:rFonts w:ascii="Arial" w:eastAsia="Times New Roman" w:hAnsi="Arial" w:cs="Arial"/>
                <w:b/>
                <w:bCs/>
                <w:color w:val="000000"/>
                <w:lang w:eastAsia="en-GB"/>
              </w:rPr>
            </w:pPr>
            <w:r w:rsidRPr="00941CDF">
              <w:rPr>
                <w:rFonts w:ascii="Arial" w:eastAsia="Times New Roman" w:hAnsi="Arial" w:cs="Arial"/>
                <w:b/>
                <w:bCs/>
                <w:color w:val="000000"/>
                <w:lang w:eastAsia="en-GB"/>
              </w:rPr>
              <w:t>For the year ended 31 December 2019</w:t>
            </w:r>
          </w:p>
        </w:tc>
      </w:tr>
      <w:tr w:rsidR="0021298F" w:rsidRPr="00941CDF" w14:paraId="125BF517" w14:textId="77777777" w:rsidTr="00760009">
        <w:trPr>
          <w:trHeight w:val="315"/>
        </w:trPr>
        <w:tc>
          <w:tcPr>
            <w:tcW w:w="4820" w:type="dxa"/>
            <w:tcBorders>
              <w:top w:val="nil"/>
              <w:left w:val="nil"/>
              <w:bottom w:val="single" w:sz="8" w:space="0" w:color="auto"/>
              <w:right w:val="nil"/>
            </w:tcBorders>
            <w:shd w:val="clear" w:color="000000" w:fill="FFFFFF"/>
            <w:vAlign w:val="center"/>
            <w:hideMark/>
          </w:tcPr>
          <w:p w14:paraId="681CCAE1" w14:textId="77777777" w:rsidR="0021298F" w:rsidRPr="00941CDF" w:rsidRDefault="0021298F" w:rsidP="00760009">
            <w:pPr>
              <w:rPr>
                <w:rFonts w:ascii="Arial" w:eastAsia="Times New Roman" w:hAnsi="Arial" w:cs="Arial"/>
                <w:color w:val="000000"/>
                <w:lang w:eastAsia="en-GB"/>
              </w:rPr>
            </w:pPr>
            <w:r w:rsidRPr="00941CDF">
              <w:rPr>
                <w:rFonts w:ascii="Arial" w:eastAsia="Times New Roman" w:hAnsi="Arial" w:cs="Arial"/>
                <w:color w:val="000000"/>
                <w:lang w:eastAsia="en-GB"/>
              </w:rPr>
              <w:t> </w:t>
            </w:r>
          </w:p>
        </w:tc>
        <w:tc>
          <w:tcPr>
            <w:tcW w:w="278" w:type="dxa"/>
            <w:tcBorders>
              <w:top w:val="nil"/>
              <w:left w:val="nil"/>
              <w:bottom w:val="single" w:sz="8" w:space="0" w:color="auto"/>
              <w:right w:val="nil"/>
            </w:tcBorders>
            <w:shd w:val="clear" w:color="000000" w:fill="FFFFFF"/>
            <w:vAlign w:val="center"/>
            <w:hideMark/>
          </w:tcPr>
          <w:p w14:paraId="33A013F3" w14:textId="77777777" w:rsidR="0021298F" w:rsidRPr="00941CDF" w:rsidRDefault="0021298F" w:rsidP="00760009">
            <w:pPr>
              <w:rPr>
                <w:rFonts w:ascii="Arial" w:eastAsia="Times New Roman" w:hAnsi="Arial" w:cs="Arial"/>
                <w:color w:val="000000"/>
                <w:lang w:eastAsia="en-GB"/>
              </w:rPr>
            </w:pPr>
            <w:r w:rsidRPr="00941CDF">
              <w:rPr>
                <w:rFonts w:ascii="Arial" w:eastAsia="Times New Roman" w:hAnsi="Arial" w:cs="Arial"/>
                <w:color w:val="000000"/>
                <w:lang w:eastAsia="en-GB"/>
              </w:rPr>
              <w:t> </w:t>
            </w:r>
          </w:p>
        </w:tc>
        <w:tc>
          <w:tcPr>
            <w:tcW w:w="2334" w:type="dxa"/>
            <w:tcBorders>
              <w:top w:val="nil"/>
              <w:left w:val="nil"/>
              <w:bottom w:val="single" w:sz="8" w:space="0" w:color="auto"/>
              <w:right w:val="nil"/>
            </w:tcBorders>
            <w:shd w:val="clear" w:color="000000" w:fill="FFFFFF"/>
            <w:vAlign w:val="center"/>
            <w:hideMark/>
          </w:tcPr>
          <w:p w14:paraId="1F2A0E92" w14:textId="77777777" w:rsidR="0021298F" w:rsidRPr="00941CDF" w:rsidRDefault="0021298F" w:rsidP="00760009">
            <w:pPr>
              <w:jc w:val="right"/>
              <w:rPr>
                <w:rFonts w:ascii="Arial" w:eastAsia="Times New Roman" w:hAnsi="Arial" w:cs="Arial"/>
                <w:b/>
                <w:bCs/>
                <w:color w:val="000000"/>
                <w:lang w:eastAsia="en-GB"/>
              </w:rPr>
            </w:pPr>
            <w:r w:rsidRPr="00941CDF">
              <w:rPr>
                <w:rFonts w:ascii="Arial" w:eastAsia="Times New Roman" w:hAnsi="Arial" w:cs="Arial"/>
                <w:b/>
                <w:bCs/>
                <w:color w:val="000000"/>
                <w:lang w:eastAsia="en-GB"/>
              </w:rPr>
              <w:t>€’000</w:t>
            </w:r>
          </w:p>
        </w:tc>
        <w:tc>
          <w:tcPr>
            <w:tcW w:w="2393" w:type="dxa"/>
            <w:tcBorders>
              <w:top w:val="nil"/>
              <w:left w:val="nil"/>
              <w:bottom w:val="single" w:sz="8" w:space="0" w:color="auto"/>
              <w:right w:val="nil"/>
            </w:tcBorders>
            <w:shd w:val="clear" w:color="000000" w:fill="FFFFFF"/>
            <w:noWrap/>
            <w:vAlign w:val="center"/>
            <w:hideMark/>
          </w:tcPr>
          <w:p w14:paraId="2B7DC0D8" w14:textId="77777777" w:rsidR="0021298F" w:rsidRPr="00941CDF" w:rsidRDefault="0021298F" w:rsidP="00760009">
            <w:pPr>
              <w:jc w:val="right"/>
              <w:rPr>
                <w:rFonts w:ascii="Arial" w:eastAsia="Times New Roman" w:hAnsi="Arial" w:cs="Arial"/>
                <w:b/>
                <w:bCs/>
                <w:color w:val="000000"/>
                <w:lang w:eastAsia="en-GB"/>
              </w:rPr>
            </w:pPr>
            <w:r w:rsidRPr="00941CDF">
              <w:rPr>
                <w:rFonts w:ascii="Arial" w:eastAsia="Times New Roman" w:hAnsi="Arial" w:cs="Arial"/>
                <w:b/>
                <w:bCs/>
                <w:color w:val="000000"/>
                <w:lang w:eastAsia="en-GB"/>
              </w:rPr>
              <w:t>€’000</w:t>
            </w:r>
          </w:p>
        </w:tc>
      </w:tr>
      <w:tr w:rsidR="0021298F" w:rsidRPr="00941CDF" w14:paraId="6EEF50D0" w14:textId="77777777" w:rsidTr="00760009">
        <w:trPr>
          <w:trHeight w:val="300"/>
        </w:trPr>
        <w:tc>
          <w:tcPr>
            <w:tcW w:w="4820" w:type="dxa"/>
            <w:tcBorders>
              <w:top w:val="nil"/>
              <w:left w:val="nil"/>
              <w:bottom w:val="nil"/>
              <w:right w:val="nil"/>
            </w:tcBorders>
            <w:shd w:val="clear" w:color="000000" w:fill="FFFFFF"/>
            <w:vAlign w:val="center"/>
            <w:hideMark/>
          </w:tcPr>
          <w:p w14:paraId="6CD625EE" w14:textId="77777777" w:rsidR="0021298F" w:rsidRPr="00941CDF" w:rsidRDefault="0021298F" w:rsidP="00760009">
            <w:pPr>
              <w:rPr>
                <w:rFonts w:ascii="Arial" w:eastAsia="Times New Roman" w:hAnsi="Arial" w:cs="Arial"/>
                <w:color w:val="000000"/>
                <w:lang w:eastAsia="en-GB"/>
              </w:rPr>
            </w:pPr>
            <w:r w:rsidRPr="00941CDF">
              <w:rPr>
                <w:rFonts w:ascii="Arial" w:eastAsia="Times New Roman" w:hAnsi="Arial" w:cs="Arial"/>
                <w:color w:val="000000"/>
                <w:lang w:eastAsia="en-GB"/>
              </w:rPr>
              <w:t>Operating profit for the year</w:t>
            </w:r>
          </w:p>
        </w:tc>
        <w:tc>
          <w:tcPr>
            <w:tcW w:w="278" w:type="dxa"/>
            <w:tcBorders>
              <w:top w:val="nil"/>
              <w:left w:val="nil"/>
              <w:bottom w:val="nil"/>
              <w:right w:val="nil"/>
            </w:tcBorders>
            <w:shd w:val="clear" w:color="000000" w:fill="EDFFB7"/>
            <w:vAlign w:val="center"/>
            <w:hideMark/>
          </w:tcPr>
          <w:p w14:paraId="6E7A0C9A" w14:textId="77777777" w:rsidR="0021298F" w:rsidRPr="00941CDF" w:rsidRDefault="0021298F" w:rsidP="00760009">
            <w:pPr>
              <w:jc w:val="right"/>
              <w:rPr>
                <w:rFonts w:ascii="Arial" w:eastAsia="Times New Roman" w:hAnsi="Arial" w:cs="Arial"/>
                <w:color w:val="000000"/>
                <w:lang w:eastAsia="en-GB"/>
              </w:rPr>
            </w:pPr>
            <w:r w:rsidRPr="00941CDF">
              <w:rPr>
                <w:rFonts w:ascii="Arial" w:eastAsia="Times New Roman" w:hAnsi="Arial" w:cs="Arial"/>
                <w:color w:val="000000"/>
                <w:lang w:eastAsia="en-GB"/>
              </w:rPr>
              <w:t> </w:t>
            </w:r>
          </w:p>
        </w:tc>
        <w:tc>
          <w:tcPr>
            <w:tcW w:w="2334" w:type="dxa"/>
            <w:tcBorders>
              <w:top w:val="nil"/>
              <w:left w:val="nil"/>
              <w:bottom w:val="nil"/>
              <w:right w:val="nil"/>
            </w:tcBorders>
            <w:shd w:val="clear" w:color="000000" w:fill="EDFFB7"/>
            <w:vAlign w:val="center"/>
            <w:hideMark/>
          </w:tcPr>
          <w:p w14:paraId="5B425493" w14:textId="77777777" w:rsidR="0021298F" w:rsidRPr="00941CDF" w:rsidRDefault="0021298F" w:rsidP="00760009">
            <w:pPr>
              <w:jc w:val="right"/>
              <w:rPr>
                <w:rFonts w:ascii="Arial" w:eastAsia="Times New Roman" w:hAnsi="Arial" w:cs="Arial"/>
                <w:color w:val="000000"/>
                <w:lang w:eastAsia="en-GB"/>
              </w:rPr>
            </w:pPr>
            <w:r w:rsidRPr="00941CDF">
              <w:rPr>
                <w:rFonts w:ascii="Arial" w:eastAsia="Times New Roman" w:hAnsi="Arial" w:cs="Arial"/>
                <w:color w:val="000000"/>
                <w:lang w:eastAsia="en-GB"/>
              </w:rPr>
              <w:t xml:space="preserve">19,511 </w:t>
            </w:r>
          </w:p>
        </w:tc>
        <w:tc>
          <w:tcPr>
            <w:tcW w:w="2393" w:type="dxa"/>
            <w:tcBorders>
              <w:top w:val="nil"/>
              <w:left w:val="nil"/>
              <w:bottom w:val="nil"/>
              <w:right w:val="nil"/>
            </w:tcBorders>
            <w:shd w:val="clear" w:color="000000" w:fill="FFFFFF"/>
            <w:vAlign w:val="center"/>
            <w:hideMark/>
          </w:tcPr>
          <w:p w14:paraId="1AB36325" w14:textId="77777777" w:rsidR="0021298F" w:rsidRPr="00941CDF" w:rsidRDefault="0021298F" w:rsidP="00760009">
            <w:pPr>
              <w:jc w:val="right"/>
              <w:rPr>
                <w:rFonts w:ascii="Arial" w:eastAsia="Times New Roman" w:hAnsi="Arial" w:cs="Arial"/>
                <w:color w:val="000000"/>
                <w:lang w:eastAsia="en-GB"/>
              </w:rPr>
            </w:pPr>
            <w:r w:rsidRPr="00941CDF">
              <w:rPr>
                <w:rFonts w:ascii="Arial" w:eastAsia="Times New Roman" w:hAnsi="Arial" w:cs="Arial"/>
                <w:color w:val="000000"/>
                <w:lang w:eastAsia="en-GB"/>
              </w:rPr>
              <w:t>24,359</w:t>
            </w:r>
          </w:p>
        </w:tc>
      </w:tr>
      <w:tr w:rsidR="0021298F" w:rsidRPr="00941CDF" w14:paraId="061E0C9D" w14:textId="77777777" w:rsidTr="00760009">
        <w:trPr>
          <w:trHeight w:val="300"/>
        </w:trPr>
        <w:tc>
          <w:tcPr>
            <w:tcW w:w="4820" w:type="dxa"/>
            <w:tcBorders>
              <w:top w:val="nil"/>
              <w:left w:val="nil"/>
              <w:bottom w:val="nil"/>
              <w:right w:val="nil"/>
            </w:tcBorders>
            <w:shd w:val="clear" w:color="000000" w:fill="FFFFFF"/>
            <w:vAlign w:val="center"/>
            <w:hideMark/>
          </w:tcPr>
          <w:p w14:paraId="6DFC3B9D" w14:textId="77777777" w:rsidR="0021298F" w:rsidRPr="00941CDF" w:rsidRDefault="0021298F" w:rsidP="00760009">
            <w:pPr>
              <w:rPr>
                <w:rFonts w:ascii="Arial" w:eastAsia="Times New Roman" w:hAnsi="Arial" w:cs="Arial"/>
                <w:b/>
                <w:bCs/>
                <w:color w:val="000000"/>
                <w:lang w:eastAsia="en-GB"/>
              </w:rPr>
            </w:pPr>
            <w:r w:rsidRPr="00941CDF">
              <w:rPr>
                <w:rFonts w:ascii="Arial" w:eastAsia="Times New Roman" w:hAnsi="Arial" w:cs="Arial"/>
                <w:b/>
                <w:bCs/>
                <w:color w:val="000000"/>
                <w:lang w:eastAsia="en-GB"/>
              </w:rPr>
              <w:t>Adjustments for:</w:t>
            </w:r>
          </w:p>
        </w:tc>
        <w:tc>
          <w:tcPr>
            <w:tcW w:w="278" w:type="dxa"/>
            <w:tcBorders>
              <w:top w:val="nil"/>
              <w:left w:val="nil"/>
              <w:bottom w:val="nil"/>
              <w:right w:val="nil"/>
            </w:tcBorders>
            <w:shd w:val="clear" w:color="000000" w:fill="EDFFB7"/>
            <w:vAlign w:val="center"/>
            <w:hideMark/>
          </w:tcPr>
          <w:p w14:paraId="0087E036" w14:textId="77777777" w:rsidR="0021298F" w:rsidRPr="00941CDF" w:rsidRDefault="0021298F" w:rsidP="00760009">
            <w:pPr>
              <w:jc w:val="right"/>
              <w:rPr>
                <w:rFonts w:ascii="Arial" w:eastAsia="Times New Roman" w:hAnsi="Arial" w:cs="Arial"/>
                <w:color w:val="000000"/>
                <w:lang w:eastAsia="en-GB"/>
              </w:rPr>
            </w:pPr>
            <w:r w:rsidRPr="00941CDF">
              <w:rPr>
                <w:rFonts w:ascii="Arial" w:eastAsia="Times New Roman" w:hAnsi="Arial" w:cs="Arial"/>
                <w:color w:val="000000"/>
                <w:lang w:eastAsia="en-GB"/>
              </w:rPr>
              <w:t> </w:t>
            </w:r>
          </w:p>
        </w:tc>
        <w:tc>
          <w:tcPr>
            <w:tcW w:w="2334" w:type="dxa"/>
            <w:tcBorders>
              <w:top w:val="nil"/>
              <w:left w:val="nil"/>
              <w:bottom w:val="nil"/>
              <w:right w:val="nil"/>
            </w:tcBorders>
            <w:shd w:val="clear" w:color="000000" w:fill="EDFFB7"/>
            <w:vAlign w:val="center"/>
            <w:hideMark/>
          </w:tcPr>
          <w:p w14:paraId="77B139ED" w14:textId="77777777" w:rsidR="0021298F" w:rsidRPr="00941CDF" w:rsidRDefault="0021298F" w:rsidP="00760009">
            <w:pPr>
              <w:jc w:val="right"/>
              <w:rPr>
                <w:rFonts w:ascii="Arial" w:eastAsia="Times New Roman" w:hAnsi="Arial" w:cs="Arial"/>
                <w:color w:val="000000"/>
                <w:lang w:eastAsia="en-GB"/>
              </w:rPr>
            </w:pPr>
            <w:r w:rsidRPr="00941CDF">
              <w:rPr>
                <w:rFonts w:ascii="Arial" w:eastAsia="Times New Roman" w:hAnsi="Arial" w:cs="Arial"/>
                <w:color w:val="000000"/>
                <w:lang w:eastAsia="en-GB"/>
              </w:rPr>
              <w:t> </w:t>
            </w:r>
          </w:p>
        </w:tc>
        <w:tc>
          <w:tcPr>
            <w:tcW w:w="2393" w:type="dxa"/>
            <w:tcBorders>
              <w:top w:val="nil"/>
              <w:left w:val="nil"/>
              <w:bottom w:val="nil"/>
              <w:right w:val="nil"/>
            </w:tcBorders>
            <w:shd w:val="clear" w:color="000000" w:fill="FFFFFF"/>
            <w:vAlign w:val="center"/>
            <w:hideMark/>
          </w:tcPr>
          <w:p w14:paraId="65082FC9" w14:textId="77777777" w:rsidR="0021298F" w:rsidRPr="00941CDF" w:rsidRDefault="0021298F" w:rsidP="00760009">
            <w:pPr>
              <w:jc w:val="right"/>
              <w:rPr>
                <w:rFonts w:ascii="Arial" w:eastAsia="Times New Roman" w:hAnsi="Arial" w:cs="Arial"/>
                <w:color w:val="000000"/>
                <w:lang w:eastAsia="en-GB"/>
              </w:rPr>
            </w:pPr>
            <w:r w:rsidRPr="00941CDF">
              <w:rPr>
                <w:rFonts w:ascii="Arial" w:eastAsia="Times New Roman" w:hAnsi="Arial" w:cs="Arial"/>
                <w:color w:val="000000"/>
                <w:lang w:eastAsia="en-GB"/>
              </w:rPr>
              <w:t> </w:t>
            </w:r>
          </w:p>
        </w:tc>
      </w:tr>
      <w:tr w:rsidR="0021298F" w:rsidRPr="00941CDF" w14:paraId="57691CBD" w14:textId="77777777" w:rsidTr="00760009">
        <w:trPr>
          <w:trHeight w:val="300"/>
        </w:trPr>
        <w:tc>
          <w:tcPr>
            <w:tcW w:w="4820" w:type="dxa"/>
            <w:tcBorders>
              <w:top w:val="nil"/>
              <w:left w:val="nil"/>
              <w:bottom w:val="nil"/>
              <w:right w:val="nil"/>
            </w:tcBorders>
            <w:shd w:val="clear" w:color="000000" w:fill="FFFFFF"/>
            <w:vAlign w:val="center"/>
            <w:hideMark/>
          </w:tcPr>
          <w:p w14:paraId="49D6874D" w14:textId="77777777" w:rsidR="0021298F" w:rsidRPr="00941CDF" w:rsidRDefault="0021298F" w:rsidP="00760009">
            <w:pPr>
              <w:rPr>
                <w:rFonts w:ascii="Arial" w:eastAsia="Times New Roman" w:hAnsi="Arial" w:cs="Arial"/>
                <w:color w:val="000000"/>
                <w:lang w:eastAsia="en-GB"/>
              </w:rPr>
            </w:pPr>
            <w:r w:rsidRPr="00941CDF">
              <w:rPr>
                <w:rFonts w:ascii="Arial" w:eastAsia="Times New Roman" w:hAnsi="Arial" w:cs="Arial"/>
                <w:color w:val="000000"/>
                <w:lang w:eastAsia="en-GB"/>
              </w:rPr>
              <w:t>Movement in fair value of investments (note 4)</w:t>
            </w:r>
          </w:p>
        </w:tc>
        <w:tc>
          <w:tcPr>
            <w:tcW w:w="278" w:type="dxa"/>
            <w:tcBorders>
              <w:top w:val="nil"/>
              <w:left w:val="nil"/>
              <w:bottom w:val="nil"/>
              <w:right w:val="nil"/>
            </w:tcBorders>
            <w:shd w:val="clear" w:color="000000" w:fill="EDFFB7"/>
            <w:vAlign w:val="center"/>
            <w:hideMark/>
          </w:tcPr>
          <w:p w14:paraId="46116B84" w14:textId="77777777" w:rsidR="0021298F" w:rsidRPr="00941CDF" w:rsidRDefault="0021298F" w:rsidP="00760009">
            <w:pPr>
              <w:jc w:val="right"/>
              <w:rPr>
                <w:rFonts w:ascii="Arial" w:eastAsia="Times New Roman" w:hAnsi="Arial" w:cs="Arial"/>
                <w:color w:val="000000"/>
                <w:lang w:eastAsia="en-GB"/>
              </w:rPr>
            </w:pPr>
            <w:r w:rsidRPr="00941CDF">
              <w:rPr>
                <w:rFonts w:ascii="Arial" w:eastAsia="Times New Roman" w:hAnsi="Arial" w:cs="Arial"/>
                <w:color w:val="000000"/>
                <w:lang w:eastAsia="en-GB"/>
              </w:rPr>
              <w:t> </w:t>
            </w:r>
          </w:p>
        </w:tc>
        <w:tc>
          <w:tcPr>
            <w:tcW w:w="2334" w:type="dxa"/>
            <w:tcBorders>
              <w:top w:val="nil"/>
              <w:left w:val="nil"/>
              <w:bottom w:val="nil"/>
              <w:right w:val="nil"/>
            </w:tcBorders>
            <w:shd w:val="clear" w:color="000000" w:fill="EDFFB7"/>
            <w:vAlign w:val="center"/>
            <w:hideMark/>
          </w:tcPr>
          <w:p w14:paraId="255678ED" w14:textId="77777777" w:rsidR="0021298F" w:rsidRPr="00941CDF" w:rsidRDefault="0021298F" w:rsidP="00760009">
            <w:pPr>
              <w:jc w:val="right"/>
              <w:rPr>
                <w:rFonts w:ascii="Arial" w:eastAsia="Times New Roman" w:hAnsi="Arial" w:cs="Arial"/>
                <w:color w:val="000000"/>
                <w:lang w:eastAsia="en-GB"/>
              </w:rPr>
            </w:pPr>
            <w:r w:rsidRPr="00941CDF">
              <w:rPr>
                <w:rFonts w:ascii="Arial" w:eastAsia="Times New Roman" w:hAnsi="Arial" w:cs="Arial"/>
                <w:color w:val="000000"/>
                <w:lang w:eastAsia="en-GB"/>
              </w:rPr>
              <w:t xml:space="preserve">1,034 </w:t>
            </w:r>
          </w:p>
        </w:tc>
        <w:tc>
          <w:tcPr>
            <w:tcW w:w="2393" w:type="dxa"/>
            <w:tcBorders>
              <w:top w:val="nil"/>
              <w:left w:val="nil"/>
              <w:bottom w:val="nil"/>
              <w:right w:val="nil"/>
            </w:tcBorders>
            <w:shd w:val="clear" w:color="auto" w:fill="auto"/>
            <w:vAlign w:val="center"/>
            <w:hideMark/>
          </w:tcPr>
          <w:p w14:paraId="0169EB00" w14:textId="77777777" w:rsidR="0021298F" w:rsidRPr="00941CDF" w:rsidRDefault="0021298F" w:rsidP="00760009">
            <w:pPr>
              <w:jc w:val="right"/>
              <w:rPr>
                <w:rFonts w:ascii="Arial" w:eastAsia="Times New Roman" w:hAnsi="Arial" w:cs="Arial"/>
                <w:color w:val="000000"/>
                <w:lang w:eastAsia="en-GB"/>
              </w:rPr>
            </w:pPr>
            <w:r w:rsidRPr="00941CDF">
              <w:rPr>
                <w:rFonts w:ascii="Arial" w:eastAsia="Times New Roman" w:hAnsi="Arial" w:cs="Arial"/>
                <w:color w:val="000000"/>
                <w:lang w:eastAsia="en-GB"/>
              </w:rPr>
              <w:t xml:space="preserve"> (10,685)</w:t>
            </w:r>
          </w:p>
        </w:tc>
      </w:tr>
      <w:tr w:rsidR="0021298F" w:rsidRPr="00941CDF" w14:paraId="21BBCF0C" w14:textId="77777777" w:rsidTr="00760009">
        <w:trPr>
          <w:trHeight w:val="570"/>
        </w:trPr>
        <w:tc>
          <w:tcPr>
            <w:tcW w:w="4820" w:type="dxa"/>
            <w:tcBorders>
              <w:top w:val="nil"/>
              <w:left w:val="nil"/>
              <w:bottom w:val="nil"/>
              <w:right w:val="nil"/>
            </w:tcBorders>
            <w:shd w:val="clear" w:color="000000" w:fill="FFFFFF"/>
            <w:vAlign w:val="center"/>
            <w:hideMark/>
          </w:tcPr>
          <w:p w14:paraId="76807246" w14:textId="77777777" w:rsidR="0021298F" w:rsidRPr="00941CDF" w:rsidRDefault="0021298F" w:rsidP="00760009">
            <w:pPr>
              <w:rPr>
                <w:rFonts w:ascii="Arial" w:eastAsia="Times New Roman" w:hAnsi="Arial" w:cs="Arial"/>
                <w:color w:val="000000"/>
                <w:lang w:eastAsia="en-GB"/>
              </w:rPr>
            </w:pPr>
            <w:r w:rsidRPr="00941CDF">
              <w:rPr>
                <w:rFonts w:ascii="Arial" w:eastAsia="Times New Roman" w:hAnsi="Arial" w:cs="Arial"/>
                <w:color w:val="000000"/>
                <w:lang w:eastAsia="en-GB"/>
              </w:rPr>
              <w:t>Gain on adjustment to purchase price of investments (note 4)</w:t>
            </w:r>
          </w:p>
        </w:tc>
        <w:tc>
          <w:tcPr>
            <w:tcW w:w="278" w:type="dxa"/>
            <w:tcBorders>
              <w:top w:val="nil"/>
              <w:left w:val="nil"/>
              <w:bottom w:val="nil"/>
              <w:right w:val="nil"/>
            </w:tcBorders>
            <w:shd w:val="clear" w:color="000000" w:fill="EDFFB7"/>
            <w:vAlign w:val="center"/>
            <w:hideMark/>
          </w:tcPr>
          <w:p w14:paraId="38ACD726" w14:textId="77777777" w:rsidR="0021298F" w:rsidRPr="00941CDF" w:rsidRDefault="0021298F" w:rsidP="00760009">
            <w:pPr>
              <w:jc w:val="right"/>
              <w:rPr>
                <w:rFonts w:ascii="Arial" w:eastAsia="Times New Roman" w:hAnsi="Arial" w:cs="Arial"/>
                <w:color w:val="000000"/>
                <w:lang w:eastAsia="en-GB"/>
              </w:rPr>
            </w:pPr>
            <w:r w:rsidRPr="00941CDF">
              <w:rPr>
                <w:rFonts w:ascii="Arial" w:eastAsia="Times New Roman" w:hAnsi="Arial" w:cs="Arial"/>
                <w:color w:val="000000"/>
                <w:lang w:eastAsia="en-GB"/>
              </w:rPr>
              <w:t> </w:t>
            </w:r>
          </w:p>
        </w:tc>
        <w:tc>
          <w:tcPr>
            <w:tcW w:w="2334" w:type="dxa"/>
            <w:tcBorders>
              <w:top w:val="nil"/>
              <w:left w:val="nil"/>
              <w:bottom w:val="nil"/>
              <w:right w:val="nil"/>
            </w:tcBorders>
            <w:shd w:val="clear" w:color="000000" w:fill="EDFFB7"/>
            <w:vAlign w:val="center"/>
            <w:hideMark/>
          </w:tcPr>
          <w:p w14:paraId="59C6A00C" w14:textId="77777777" w:rsidR="0021298F" w:rsidRPr="00941CDF" w:rsidRDefault="0021298F" w:rsidP="00760009">
            <w:pPr>
              <w:jc w:val="right"/>
              <w:rPr>
                <w:rFonts w:ascii="Arial" w:eastAsia="Times New Roman" w:hAnsi="Arial" w:cs="Arial"/>
                <w:color w:val="000000"/>
                <w:lang w:eastAsia="en-GB"/>
              </w:rPr>
            </w:pPr>
            <w:r w:rsidRPr="00941CDF">
              <w:rPr>
                <w:rFonts w:ascii="Arial" w:eastAsia="Times New Roman" w:hAnsi="Arial" w:cs="Arial"/>
                <w:color w:val="000000"/>
                <w:lang w:eastAsia="en-GB"/>
              </w:rPr>
              <w:t xml:space="preserve">-   </w:t>
            </w:r>
          </w:p>
        </w:tc>
        <w:tc>
          <w:tcPr>
            <w:tcW w:w="2393" w:type="dxa"/>
            <w:tcBorders>
              <w:top w:val="nil"/>
              <w:left w:val="nil"/>
              <w:bottom w:val="nil"/>
              <w:right w:val="nil"/>
            </w:tcBorders>
            <w:shd w:val="clear" w:color="auto" w:fill="auto"/>
            <w:vAlign w:val="center"/>
            <w:hideMark/>
          </w:tcPr>
          <w:p w14:paraId="33F6E4FF" w14:textId="77777777" w:rsidR="0021298F" w:rsidRPr="00941CDF" w:rsidRDefault="0021298F" w:rsidP="00760009">
            <w:pPr>
              <w:jc w:val="right"/>
              <w:rPr>
                <w:rFonts w:ascii="Arial" w:eastAsia="Times New Roman" w:hAnsi="Arial" w:cs="Arial"/>
                <w:color w:val="000000"/>
                <w:lang w:eastAsia="en-GB"/>
              </w:rPr>
            </w:pPr>
            <w:r w:rsidRPr="00941CDF">
              <w:rPr>
                <w:rFonts w:ascii="Arial" w:eastAsia="Times New Roman" w:hAnsi="Arial" w:cs="Arial"/>
                <w:color w:val="000000"/>
                <w:lang w:eastAsia="en-GB"/>
              </w:rPr>
              <w:t xml:space="preserve"> (2,923)</w:t>
            </w:r>
          </w:p>
        </w:tc>
      </w:tr>
      <w:tr w:rsidR="0021298F" w:rsidRPr="00941CDF" w14:paraId="76C552B4" w14:textId="77777777" w:rsidTr="00760009">
        <w:trPr>
          <w:trHeight w:val="300"/>
        </w:trPr>
        <w:tc>
          <w:tcPr>
            <w:tcW w:w="4820" w:type="dxa"/>
            <w:tcBorders>
              <w:top w:val="nil"/>
              <w:left w:val="nil"/>
              <w:bottom w:val="nil"/>
              <w:right w:val="nil"/>
            </w:tcBorders>
            <w:shd w:val="clear" w:color="000000" w:fill="FFFFFF"/>
            <w:vAlign w:val="center"/>
            <w:hideMark/>
          </w:tcPr>
          <w:p w14:paraId="3D02D2FB" w14:textId="77777777" w:rsidR="0021298F" w:rsidRPr="00941CDF" w:rsidRDefault="0021298F" w:rsidP="00760009">
            <w:pPr>
              <w:rPr>
                <w:rFonts w:ascii="Arial" w:eastAsia="Times New Roman" w:hAnsi="Arial" w:cs="Arial"/>
                <w:color w:val="000000"/>
                <w:lang w:eastAsia="en-GB"/>
              </w:rPr>
            </w:pPr>
            <w:r w:rsidRPr="00941CDF">
              <w:rPr>
                <w:rFonts w:ascii="Arial" w:eastAsia="Times New Roman" w:hAnsi="Arial" w:cs="Arial"/>
                <w:color w:val="000000"/>
                <w:lang w:eastAsia="en-GB"/>
              </w:rPr>
              <w:t>Investment acquisition costs</w:t>
            </w:r>
          </w:p>
        </w:tc>
        <w:tc>
          <w:tcPr>
            <w:tcW w:w="278" w:type="dxa"/>
            <w:tcBorders>
              <w:top w:val="nil"/>
              <w:left w:val="nil"/>
              <w:bottom w:val="nil"/>
              <w:right w:val="nil"/>
            </w:tcBorders>
            <w:shd w:val="clear" w:color="000000" w:fill="EDFFB7"/>
            <w:vAlign w:val="center"/>
            <w:hideMark/>
          </w:tcPr>
          <w:p w14:paraId="3064B5EF" w14:textId="77777777" w:rsidR="0021298F" w:rsidRPr="00941CDF" w:rsidRDefault="0021298F" w:rsidP="00760009">
            <w:pPr>
              <w:jc w:val="right"/>
              <w:rPr>
                <w:rFonts w:ascii="Arial" w:eastAsia="Times New Roman" w:hAnsi="Arial" w:cs="Arial"/>
                <w:color w:val="000000"/>
                <w:lang w:eastAsia="en-GB"/>
              </w:rPr>
            </w:pPr>
            <w:r w:rsidRPr="00941CDF">
              <w:rPr>
                <w:rFonts w:ascii="Arial" w:eastAsia="Times New Roman" w:hAnsi="Arial" w:cs="Arial"/>
                <w:color w:val="000000"/>
                <w:lang w:eastAsia="en-GB"/>
              </w:rPr>
              <w:t> </w:t>
            </w:r>
          </w:p>
        </w:tc>
        <w:tc>
          <w:tcPr>
            <w:tcW w:w="2334" w:type="dxa"/>
            <w:tcBorders>
              <w:top w:val="nil"/>
              <w:left w:val="nil"/>
              <w:bottom w:val="nil"/>
              <w:right w:val="nil"/>
            </w:tcBorders>
            <w:shd w:val="clear" w:color="000000" w:fill="EDFFB7"/>
            <w:vAlign w:val="center"/>
            <w:hideMark/>
          </w:tcPr>
          <w:p w14:paraId="22A467FE" w14:textId="77777777" w:rsidR="0021298F" w:rsidRPr="00941CDF" w:rsidRDefault="0021298F" w:rsidP="00760009">
            <w:pPr>
              <w:jc w:val="right"/>
              <w:rPr>
                <w:rFonts w:ascii="Arial" w:eastAsia="Times New Roman" w:hAnsi="Arial" w:cs="Arial"/>
                <w:color w:val="000000"/>
                <w:lang w:eastAsia="en-GB"/>
              </w:rPr>
            </w:pPr>
            <w:r w:rsidRPr="00941CDF">
              <w:rPr>
                <w:rFonts w:ascii="Arial" w:eastAsia="Times New Roman" w:hAnsi="Arial" w:cs="Arial"/>
                <w:color w:val="000000"/>
                <w:lang w:eastAsia="en-GB"/>
              </w:rPr>
              <w:t xml:space="preserve">1,940 </w:t>
            </w:r>
          </w:p>
        </w:tc>
        <w:tc>
          <w:tcPr>
            <w:tcW w:w="2393" w:type="dxa"/>
            <w:tcBorders>
              <w:top w:val="nil"/>
              <w:left w:val="nil"/>
              <w:bottom w:val="nil"/>
              <w:right w:val="nil"/>
            </w:tcBorders>
            <w:shd w:val="clear" w:color="auto" w:fill="auto"/>
            <w:vAlign w:val="center"/>
            <w:hideMark/>
          </w:tcPr>
          <w:p w14:paraId="183650C5" w14:textId="77777777" w:rsidR="0021298F" w:rsidRPr="00941CDF" w:rsidRDefault="0021298F" w:rsidP="00760009">
            <w:pPr>
              <w:jc w:val="right"/>
              <w:rPr>
                <w:rFonts w:ascii="Arial" w:eastAsia="Times New Roman" w:hAnsi="Arial" w:cs="Arial"/>
                <w:color w:val="000000"/>
                <w:lang w:eastAsia="en-GB"/>
              </w:rPr>
            </w:pPr>
            <w:r w:rsidRPr="00941CDF">
              <w:rPr>
                <w:rFonts w:ascii="Arial" w:eastAsia="Times New Roman" w:hAnsi="Arial" w:cs="Arial"/>
                <w:color w:val="000000"/>
                <w:lang w:eastAsia="en-GB"/>
              </w:rPr>
              <w:t xml:space="preserve">1,397 </w:t>
            </w:r>
          </w:p>
        </w:tc>
      </w:tr>
      <w:tr w:rsidR="0021298F" w:rsidRPr="00941CDF" w14:paraId="22F2AF53" w14:textId="77777777" w:rsidTr="00760009">
        <w:trPr>
          <w:trHeight w:val="300"/>
        </w:trPr>
        <w:tc>
          <w:tcPr>
            <w:tcW w:w="4820" w:type="dxa"/>
            <w:tcBorders>
              <w:top w:val="nil"/>
              <w:left w:val="nil"/>
              <w:bottom w:val="nil"/>
              <w:right w:val="nil"/>
            </w:tcBorders>
            <w:shd w:val="clear" w:color="000000" w:fill="FFFFFF"/>
            <w:vAlign w:val="center"/>
            <w:hideMark/>
          </w:tcPr>
          <w:p w14:paraId="0B02CBFD" w14:textId="77777777" w:rsidR="0021298F" w:rsidRPr="00941CDF" w:rsidRDefault="0021298F" w:rsidP="00760009">
            <w:pPr>
              <w:rPr>
                <w:rFonts w:ascii="Arial" w:eastAsia="Times New Roman" w:hAnsi="Arial" w:cs="Arial"/>
                <w:color w:val="000000"/>
                <w:lang w:eastAsia="en-GB"/>
              </w:rPr>
            </w:pPr>
            <w:r w:rsidRPr="00941CDF">
              <w:rPr>
                <w:rFonts w:ascii="Arial" w:eastAsia="Times New Roman" w:hAnsi="Arial" w:cs="Arial"/>
                <w:color w:val="000000"/>
                <w:lang w:eastAsia="en-GB"/>
              </w:rPr>
              <w:t>Capitalised loan interest (note 9)</w:t>
            </w:r>
          </w:p>
        </w:tc>
        <w:tc>
          <w:tcPr>
            <w:tcW w:w="278" w:type="dxa"/>
            <w:tcBorders>
              <w:top w:val="nil"/>
              <w:left w:val="nil"/>
              <w:bottom w:val="nil"/>
              <w:right w:val="nil"/>
            </w:tcBorders>
            <w:shd w:val="clear" w:color="000000" w:fill="EDFFB7"/>
            <w:vAlign w:val="center"/>
            <w:hideMark/>
          </w:tcPr>
          <w:p w14:paraId="0558617C" w14:textId="77777777" w:rsidR="0021298F" w:rsidRPr="00941CDF" w:rsidRDefault="0021298F" w:rsidP="00760009">
            <w:pPr>
              <w:jc w:val="right"/>
              <w:rPr>
                <w:rFonts w:ascii="Arial" w:eastAsia="Times New Roman" w:hAnsi="Arial" w:cs="Arial"/>
                <w:color w:val="000000"/>
                <w:lang w:eastAsia="en-GB"/>
              </w:rPr>
            </w:pPr>
            <w:r w:rsidRPr="00941CDF">
              <w:rPr>
                <w:rFonts w:ascii="Arial" w:eastAsia="Times New Roman" w:hAnsi="Arial" w:cs="Arial"/>
                <w:color w:val="000000"/>
                <w:lang w:eastAsia="en-GB"/>
              </w:rPr>
              <w:t> </w:t>
            </w:r>
          </w:p>
        </w:tc>
        <w:tc>
          <w:tcPr>
            <w:tcW w:w="2334" w:type="dxa"/>
            <w:tcBorders>
              <w:top w:val="nil"/>
              <w:left w:val="nil"/>
              <w:bottom w:val="nil"/>
              <w:right w:val="nil"/>
            </w:tcBorders>
            <w:shd w:val="clear" w:color="000000" w:fill="EDFFB7"/>
            <w:vAlign w:val="center"/>
            <w:hideMark/>
          </w:tcPr>
          <w:p w14:paraId="2AA08AD8" w14:textId="77777777" w:rsidR="0021298F" w:rsidRPr="00941CDF" w:rsidRDefault="0021298F" w:rsidP="00760009">
            <w:pPr>
              <w:jc w:val="right"/>
              <w:rPr>
                <w:rFonts w:ascii="Arial" w:eastAsia="Times New Roman" w:hAnsi="Arial" w:cs="Arial"/>
                <w:color w:val="000000"/>
                <w:lang w:eastAsia="en-GB"/>
              </w:rPr>
            </w:pPr>
            <w:r w:rsidRPr="00941CDF">
              <w:rPr>
                <w:rFonts w:ascii="Arial" w:eastAsia="Times New Roman" w:hAnsi="Arial" w:cs="Arial"/>
                <w:color w:val="000000"/>
                <w:lang w:eastAsia="en-GB"/>
              </w:rPr>
              <w:t xml:space="preserve"> (1,339)</w:t>
            </w:r>
          </w:p>
        </w:tc>
        <w:tc>
          <w:tcPr>
            <w:tcW w:w="2393" w:type="dxa"/>
            <w:tcBorders>
              <w:top w:val="nil"/>
              <w:left w:val="nil"/>
              <w:bottom w:val="nil"/>
              <w:right w:val="nil"/>
            </w:tcBorders>
            <w:shd w:val="clear" w:color="auto" w:fill="auto"/>
            <w:vAlign w:val="center"/>
            <w:hideMark/>
          </w:tcPr>
          <w:p w14:paraId="6BFB4E2B" w14:textId="77777777" w:rsidR="0021298F" w:rsidRPr="00941CDF" w:rsidRDefault="0021298F" w:rsidP="00760009">
            <w:pPr>
              <w:jc w:val="right"/>
              <w:rPr>
                <w:rFonts w:ascii="Arial" w:eastAsia="Times New Roman" w:hAnsi="Arial" w:cs="Arial"/>
                <w:color w:val="000000"/>
                <w:lang w:eastAsia="en-GB"/>
              </w:rPr>
            </w:pPr>
            <w:r w:rsidRPr="00941CDF">
              <w:rPr>
                <w:rFonts w:ascii="Arial" w:eastAsia="Times New Roman" w:hAnsi="Arial" w:cs="Arial"/>
                <w:color w:val="000000"/>
                <w:lang w:eastAsia="en-GB"/>
              </w:rPr>
              <w:t xml:space="preserve">-   </w:t>
            </w:r>
          </w:p>
        </w:tc>
      </w:tr>
      <w:tr w:rsidR="0021298F" w:rsidRPr="00941CDF" w14:paraId="6CA870F0" w14:textId="77777777" w:rsidTr="00760009">
        <w:trPr>
          <w:trHeight w:val="300"/>
        </w:trPr>
        <w:tc>
          <w:tcPr>
            <w:tcW w:w="4820" w:type="dxa"/>
            <w:tcBorders>
              <w:top w:val="nil"/>
              <w:left w:val="nil"/>
              <w:bottom w:val="nil"/>
              <w:right w:val="nil"/>
            </w:tcBorders>
            <w:shd w:val="clear" w:color="000000" w:fill="FFFFFF"/>
            <w:vAlign w:val="center"/>
            <w:hideMark/>
          </w:tcPr>
          <w:p w14:paraId="533CC59D" w14:textId="77777777" w:rsidR="0021298F" w:rsidRPr="00941CDF" w:rsidRDefault="0021298F" w:rsidP="00760009">
            <w:pPr>
              <w:rPr>
                <w:rFonts w:ascii="Arial" w:eastAsia="Times New Roman" w:hAnsi="Arial" w:cs="Arial"/>
                <w:color w:val="000000"/>
                <w:lang w:eastAsia="en-GB"/>
              </w:rPr>
            </w:pPr>
            <w:r w:rsidRPr="00941CDF">
              <w:rPr>
                <w:rFonts w:ascii="Arial" w:eastAsia="Times New Roman" w:hAnsi="Arial" w:cs="Arial"/>
                <w:color w:val="000000"/>
                <w:lang w:eastAsia="en-GB"/>
              </w:rPr>
              <w:t>Finance costs capitalised during the period</w:t>
            </w:r>
          </w:p>
        </w:tc>
        <w:tc>
          <w:tcPr>
            <w:tcW w:w="278" w:type="dxa"/>
            <w:tcBorders>
              <w:top w:val="nil"/>
              <w:left w:val="nil"/>
              <w:bottom w:val="nil"/>
              <w:right w:val="nil"/>
            </w:tcBorders>
            <w:shd w:val="clear" w:color="000000" w:fill="EDFFB7"/>
            <w:vAlign w:val="center"/>
            <w:hideMark/>
          </w:tcPr>
          <w:p w14:paraId="5D75F64B" w14:textId="77777777" w:rsidR="0021298F" w:rsidRPr="00941CDF" w:rsidRDefault="0021298F" w:rsidP="00760009">
            <w:pPr>
              <w:jc w:val="right"/>
              <w:rPr>
                <w:rFonts w:ascii="Arial" w:eastAsia="Times New Roman" w:hAnsi="Arial" w:cs="Arial"/>
                <w:color w:val="000000"/>
                <w:lang w:eastAsia="en-GB"/>
              </w:rPr>
            </w:pPr>
            <w:r w:rsidRPr="00941CDF">
              <w:rPr>
                <w:rFonts w:ascii="Arial" w:eastAsia="Times New Roman" w:hAnsi="Arial" w:cs="Arial"/>
                <w:color w:val="000000"/>
                <w:lang w:eastAsia="en-GB"/>
              </w:rPr>
              <w:t> </w:t>
            </w:r>
          </w:p>
        </w:tc>
        <w:tc>
          <w:tcPr>
            <w:tcW w:w="2334" w:type="dxa"/>
            <w:tcBorders>
              <w:top w:val="nil"/>
              <w:left w:val="nil"/>
              <w:bottom w:val="nil"/>
              <w:right w:val="nil"/>
            </w:tcBorders>
            <w:shd w:val="clear" w:color="000000" w:fill="EDFFB7"/>
            <w:vAlign w:val="center"/>
            <w:hideMark/>
          </w:tcPr>
          <w:p w14:paraId="1176886B" w14:textId="77777777" w:rsidR="0021298F" w:rsidRPr="00941CDF" w:rsidRDefault="0021298F" w:rsidP="00760009">
            <w:pPr>
              <w:jc w:val="right"/>
              <w:rPr>
                <w:rFonts w:ascii="Arial" w:eastAsia="Times New Roman" w:hAnsi="Arial" w:cs="Arial"/>
                <w:color w:val="000000"/>
                <w:lang w:eastAsia="en-GB"/>
              </w:rPr>
            </w:pPr>
            <w:r w:rsidRPr="00941CDF">
              <w:rPr>
                <w:rFonts w:ascii="Arial" w:eastAsia="Times New Roman" w:hAnsi="Arial" w:cs="Arial"/>
                <w:color w:val="000000"/>
                <w:lang w:eastAsia="en-GB"/>
              </w:rPr>
              <w:t xml:space="preserve"> (</w:t>
            </w:r>
            <w:r>
              <w:rPr>
                <w:rFonts w:ascii="Arial" w:eastAsia="Times New Roman" w:hAnsi="Arial" w:cs="Arial"/>
                <w:color w:val="000000"/>
                <w:lang w:eastAsia="en-GB"/>
              </w:rPr>
              <w:t>5,017</w:t>
            </w:r>
            <w:r w:rsidRPr="00941CDF">
              <w:rPr>
                <w:rFonts w:ascii="Arial" w:eastAsia="Times New Roman" w:hAnsi="Arial" w:cs="Arial"/>
                <w:color w:val="000000"/>
                <w:lang w:eastAsia="en-GB"/>
              </w:rPr>
              <w:t>)</w:t>
            </w:r>
          </w:p>
        </w:tc>
        <w:tc>
          <w:tcPr>
            <w:tcW w:w="2393" w:type="dxa"/>
            <w:tcBorders>
              <w:top w:val="nil"/>
              <w:left w:val="nil"/>
              <w:bottom w:val="nil"/>
              <w:right w:val="nil"/>
            </w:tcBorders>
            <w:shd w:val="clear" w:color="auto" w:fill="auto"/>
            <w:vAlign w:val="center"/>
            <w:hideMark/>
          </w:tcPr>
          <w:p w14:paraId="0B5C3D4D" w14:textId="77777777" w:rsidR="0021298F" w:rsidRPr="00941CDF" w:rsidRDefault="0021298F" w:rsidP="00760009">
            <w:pPr>
              <w:jc w:val="right"/>
              <w:rPr>
                <w:rFonts w:ascii="Arial" w:eastAsia="Times New Roman" w:hAnsi="Arial" w:cs="Arial"/>
                <w:color w:val="000000"/>
                <w:lang w:eastAsia="en-GB"/>
              </w:rPr>
            </w:pPr>
            <w:r w:rsidRPr="00941CDF">
              <w:rPr>
                <w:rFonts w:ascii="Arial" w:eastAsia="Times New Roman" w:hAnsi="Arial" w:cs="Arial"/>
                <w:color w:val="000000"/>
                <w:lang w:eastAsia="en-GB"/>
              </w:rPr>
              <w:t xml:space="preserve">-   </w:t>
            </w:r>
          </w:p>
        </w:tc>
      </w:tr>
      <w:tr w:rsidR="0021298F" w:rsidRPr="00941CDF" w14:paraId="14343885" w14:textId="77777777" w:rsidTr="00760009">
        <w:trPr>
          <w:trHeight w:val="300"/>
        </w:trPr>
        <w:tc>
          <w:tcPr>
            <w:tcW w:w="4820" w:type="dxa"/>
            <w:tcBorders>
              <w:top w:val="nil"/>
              <w:left w:val="nil"/>
              <w:bottom w:val="nil"/>
              <w:right w:val="nil"/>
            </w:tcBorders>
            <w:shd w:val="clear" w:color="000000" w:fill="FFFFFF"/>
            <w:vAlign w:val="center"/>
          </w:tcPr>
          <w:p w14:paraId="15018959" w14:textId="77777777" w:rsidR="0021298F" w:rsidRPr="00941CDF" w:rsidRDefault="0021298F" w:rsidP="00760009">
            <w:pPr>
              <w:rPr>
                <w:rFonts w:ascii="Arial" w:eastAsia="Times New Roman" w:hAnsi="Arial" w:cs="Arial"/>
                <w:color w:val="000000"/>
                <w:lang w:eastAsia="en-GB"/>
              </w:rPr>
            </w:pPr>
            <w:r>
              <w:rPr>
                <w:rFonts w:ascii="Arial" w:eastAsia="Times New Roman" w:hAnsi="Arial" w:cs="Arial"/>
                <w:color w:val="000000"/>
                <w:lang w:eastAsia="en-GB"/>
              </w:rPr>
              <w:t>Amortisation of finance costs (note 13)</w:t>
            </w:r>
          </w:p>
        </w:tc>
        <w:tc>
          <w:tcPr>
            <w:tcW w:w="278" w:type="dxa"/>
            <w:tcBorders>
              <w:top w:val="nil"/>
              <w:left w:val="nil"/>
              <w:bottom w:val="nil"/>
              <w:right w:val="nil"/>
            </w:tcBorders>
            <w:shd w:val="clear" w:color="000000" w:fill="EDFFB7"/>
            <w:vAlign w:val="center"/>
          </w:tcPr>
          <w:p w14:paraId="76FECD02" w14:textId="77777777" w:rsidR="0021298F" w:rsidRPr="00941CDF" w:rsidRDefault="0021298F" w:rsidP="00760009">
            <w:pPr>
              <w:jc w:val="right"/>
              <w:rPr>
                <w:rFonts w:ascii="Arial" w:eastAsia="Times New Roman" w:hAnsi="Arial" w:cs="Arial"/>
                <w:color w:val="000000"/>
                <w:lang w:eastAsia="en-GB"/>
              </w:rPr>
            </w:pPr>
          </w:p>
        </w:tc>
        <w:tc>
          <w:tcPr>
            <w:tcW w:w="2334" w:type="dxa"/>
            <w:tcBorders>
              <w:top w:val="nil"/>
              <w:left w:val="nil"/>
              <w:bottom w:val="nil"/>
              <w:right w:val="nil"/>
            </w:tcBorders>
            <w:shd w:val="clear" w:color="000000" w:fill="EDFFB7"/>
            <w:vAlign w:val="center"/>
          </w:tcPr>
          <w:p w14:paraId="280BAFFA" w14:textId="77777777" w:rsidR="0021298F" w:rsidRPr="00941CDF" w:rsidRDefault="0021298F" w:rsidP="00760009">
            <w:pPr>
              <w:jc w:val="right"/>
              <w:rPr>
                <w:rFonts w:ascii="Arial" w:eastAsia="Times New Roman" w:hAnsi="Arial" w:cs="Arial"/>
                <w:color w:val="000000"/>
                <w:lang w:eastAsia="en-GB"/>
              </w:rPr>
            </w:pPr>
            <w:r>
              <w:rPr>
                <w:rFonts w:ascii="Arial" w:eastAsia="Times New Roman" w:hAnsi="Arial" w:cs="Arial"/>
                <w:color w:val="000000"/>
                <w:lang w:eastAsia="en-GB"/>
              </w:rPr>
              <w:t>825</w:t>
            </w:r>
          </w:p>
        </w:tc>
        <w:tc>
          <w:tcPr>
            <w:tcW w:w="2393" w:type="dxa"/>
            <w:tcBorders>
              <w:top w:val="nil"/>
              <w:left w:val="nil"/>
              <w:bottom w:val="nil"/>
              <w:right w:val="nil"/>
            </w:tcBorders>
            <w:shd w:val="clear" w:color="auto" w:fill="auto"/>
            <w:vAlign w:val="center"/>
          </w:tcPr>
          <w:p w14:paraId="636AD32C" w14:textId="77777777" w:rsidR="0021298F" w:rsidRPr="00941CDF" w:rsidRDefault="0021298F" w:rsidP="00760009">
            <w:pPr>
              <w:jc w:val="right"/>
              <w:rPr>
                <w:rFonts w:ascii="Arial" w:eastAsia="Times New Roman" w:hAnsi="Arial" w:cs="Arial"/>
                <w:color w:val="000000"/>
                <w:lang w:eastAsia="en-GB"/>
              </w:rPr>
            </w:pPr>
            <w:r>
              <w:rPr>
                <w:rFonts w:ascii="Arial" w:eastAsia="Times New Roman" w:hAnsi="Arial" w:cs="Arial"/>
                <w:color w:val="000000"/>
                <w:lang w:eastAsia="en-GB"/>
              </w:rPr>
              <w:t>-</w:t>
            </w:r>
          </w:p>
        </w:tc>
      </w:tr>
      <w:tr w:rsidR="0021298F" w:rsidRPr="00941CDF" w14:paraId="673471C4" w14:textId="77777777" w:rsidTr="00760009">
        <w:trPr>
          <w:trHeight w:val="300"/>
        </w:trPr>
        <w:tc>
          <w:tcPr>
            <w:tcW w:w="4820" w:type="dxa"/>
            <w:tcBorders>
              <w:top w:val="nil"/>
              <w:left w:val="nil"/>
              <w:bottom w:val="nil"/>
              <w:right w:val="nil"/>
            </w:tcBorders>
            <w:shd w:val="clear" w:color="000000" w:fill="FFFFFF"/>
            <w:vAlign w:val="center"/>
            <w:hideMark/>
          </w:tcPr>
          <w:p w14:paraId="3269119F" w14:textId="77777777" w:rsidR="0021298F" w:rsidRPr="00941CDF" w:rsidRDefault="0021298F" w:rsidP="00760009">
            <w:pPr>
              <w:rPr>
                <w:rFonts w:ascii="Arial" w:eastAsia="Times New Roman" w:hAnsi="Arial" w:cs="Arial"/>
                <w:color w:val="000000"/>
                <w:lang w:eastAsia="en-GB"/>
              </w:rPr>
            </w:pPr>
            <w:r w:rsidRPr="00941CDF">
              <w:rPr>
                <w:rFonts w:ascii="Arial" w:eastAsia="Times New Roman" w:hAnsi="Arial" w:cs="Arial"/>
                <w:color w:val="000000"/>
                <w:lang w:eastAsia="en-GB"/>
              </w:rPr>
              <w:t>(Increase)/decrease in receivables (note 11)</w:t>
            </w:r>
          </w:p>
        </w:tc>
        <w:tc>
          <w:tcPr>
            <w:tcW w:w="278" w:type="dxa"/>
            <w:tcBorders>
              <w:top w:val="nil"/>
              <w:left w:val="nil"/>
              <w:bottom w:val="nil"/>
              <w:right w:val="nil"/>
            </w:tcBorders>
            <w:shd w:val="clear" w:color="000000" w:fill="EDFFB7"/>
            <w:vAlign w:val="center"/>
            <w:hideMark/>
          </w:tcPr>
          <w:p w14:paraId="03D5C94C" w14:textId="77777777" w:rsidR="0021298F" w:rsidRPr="00941CDF" w:rsidRDefault="0021298F" w:rsidP="00760009">
            <w:pPr>
              <w:jc w:val="right"/>
              <w:rPr>
                <w:rFonts w:ascii="Arial" w:eastAsia="Times New Roman" w:hAnsi="Arial" w:cs="Arial"/>
                <w:color w:val="000000"/>
                <w:lang w:eastAsia="en-GB"/>
              </w:rPr>
            </w:pPr>
            <w:r w:rsidRPr="00941CDF">
              <w:rPr>
                <w:rFonts w:ascii="Arial" w:eastAsia="Times New Roman" w:hAnsi="Arial" w:cs="Arial"/>
                <w:color w:val="000000"/>
                <w:lang w:eastAsia="en-GB"/>
              </w:rPr>
              <w:t> </w:t>
            </w:r>
          </w:p>
        </w:tc>
        <w:tc>
          <w:tcPr>
            <w:tcW w:w="2334" w:type="dxa"/>
            <w:tcBorders>
              <w:top w:val="nil"/>
              <w:left w:val="nil"/>
              <w:bottom w:val="nil"/>
              <w:right w:val="nil"/>
            </w:tcBorders>
            <w:shd w:val="clear" w:color="000000" w:fill="EDFFB7"/>
            <w:vAlign w:val="center"/>
            <w:hideMark/>
          </w:tcPr>
          <w:p w14:paraId="3B98157E" w14:textId="77777777" w:rsidR="0021298F" w:rsidRPr="00941CDF" w:rsidRDefault="0021298F" w:rsidP="00760009">
            <w:pPr>
              <w:jc w:val="right"/>
              <w:rPr>
                <w:rFonts w:ascii="Arial" w:eastAsia="Times New Roman" w:hAnsi="Arial" w:cs="Arial"/>
                <w:color w:val="000000"/>
                <w:lang w:eastAsia="en-GB"/>
              </w:rPr>
            </w:pPr>
            <w:r w:rsidRPr="00941CDF">
              <w:rPr>
                <w:rFonts w:ascii="Arial" w:eastAsia="Times New Roman" w:hAnsi="Arial" w:cs="Arial"/>
                <w:color w:val="000000"/>
                <w:lang w:eastAsia="en-GB"/>
              </w:rPr>
              <w:t xml:space="preserve"> (752)</w:t>
            </w:r>
          </w:p>
        </w:tc>
        <w:tc>
          <w:tcPr>
            <w:tcW w:w="2393" w:type="dxa"/>
            <w:tcBorders>
              <w:top w:val="nil"/>
              <w:left w:val="nil"/>
              <w:bottom w:val="nil"/>
              <w:right w:val="nil"/>
            </w:tcBorders>
            <w:shd w:val="clear" w:color="auto" w:fill="auto"/>
            <w:vAlign w:val="center"/>
            <w:hideMark/>
          </w:tcPr>
          <w:p w14:paraId="547D550B" w14:textId="77777777" w:rsidR="0021298F" w:rsidRPr="00941CDF" w:rsidRDefault="0021298F" w:rsidP="00760009">
            <w:pPr>
              <w:jc w:val="right"/>
              <w:rPr>
                <w:rFonts w:ascii="Arial" w:eastAsia="Times New Roman" w:hAnsi="Arial" w:cs="Arial"/>
                <w:color w:val="000000"/>
                <w:lang w:eastAsia="en-GB"/>
              </w:rPr>
            </w:pPr>
            <w:r w:rsidRPr="00941CDF">
              <w:rPr>
                <w:rFonts w:ascii="Arial" w:eastAsia="Times New Roman" w:hAnsi="Arial" w:cs="Arial"/>
                <w:color w:val="000000"/>
                <w:lang w:eastAsia="en-GB"/>
              </w:rPr>
              <w:t xml:space="preserve">2,858 </w:t>
            </w:r>
          </w:p>
        </w:tc>
      </w:tr>
      <w:tr w:rsidR="0021298F" w:rsidRPr="00941CDF" w14:paraId="71B1D3FA" w14:textId="77777777" w:rsidTr="00760009">
        <w:trPr>
          <w:trHeight w:val="315"/>
        </w:trPr>
        <w:tc>
          <w:tcPr>
            <w:tcW w:w="4820" w:type="dxa"/>
            <w:tcBorders>
              <w:top w:val="nil"/>
              <w:left w:val="nil"/>
              <w:bottom w:val="single" w:sz="8" w:space="0" w:color="auto"/>
              <w:right w:val="nil"/>
            </w:tcBorders>
            <w:shd w:val="clear" w:color="000000" w:fill="FFFFFF"/>
            <w:vAlign w:val="center"/>
            <w:hideMark/>
          </w:tcPr>
          <w:p w14:paraId="61FD662F" w14:textId="77777777" w:rsidR="0021298F" w:rsidRPr="00941CDF" w:rsidRDefault="0021298F" w:rsidP="00760009">
            <w:pPr>
              <w:rPr>
                <w:rFonts w:ascii="Arial" w:eastAsia="Times New Roman" w:hAnsi="Arial" w:cs="Arial"/>
                <w:color w:val="000000"/>
                <w:lang w:eastAsia="en-GB"/>
              </w:rPr>
            </w:pPr>
            <w:r w:rsidRPr="00941CDF">
              <w:rPr>
                <w:rFonts w:ascii="Arial" w:eastAsia="Times New Roman" w:hAnsi="Arial" w:cs="Arial"/>
                <w:color w:val="000000"/>
                <w:lang w:eastAsia="en-GB"/>
              </w:rPr>
              <w:t>Increase in payables</w:t>
            </w:r>
          </w:p>
        </w:tc>
        <w:tc>
          <w:tcPr>
            <w:tcW w:w="278" w:type="dxa"/>
            <w:tcBorders>
              <w:top w:val="nil"/>
              <w:left w:val="nil"/>
              <w:bottom w:val="single" w:sz="8" w:space="0" w:color="auto"/>
              <w:right w:val="nil"/>
            </w:tcBorders>
            <w:shd w:val="clear" w:color="000000" w:fill="EDFFB7"/>
            <w:vAlign w:val="center"/>
            <w:hideMark/>
          </w:tcPr>
          <w:p w14:paraId="51460E30" w14:textId="77777777" w:rsidR="0021298F" w:rsidRPr="00941CDF" w:rsidRDefault="0021298F" w:rsidP="00760009">
            <w:pPr>
              <w:jc w:val="right"/>
              <w:rPr>
                <w:rFonts w:ascii="Arial" w:eastAsia="Times New Roman" w:hAnsi="Arial" w:cs="Arial"/>
                <w:color w:val="000000"/>
                <w:lang w:eastAsia="en-GB"/>
              </w:rPr>
            </w:pPr>
            <w:r w:rsidRPr="00941CDF">
              <w:rPr>
                <w:rFonts w:ascii="Arial" w:eastAsia="Times New Roman" w:hAnsi="Arial" w:cs="Arial"/>
                <w:color w:val="000000"/>
                <w:lang w:eastAsia="en-GB"/>
              </w:rPr>
              <w:t> </w:t>
            </w:r>
          </w:p>
        </w:tc>
        <w:tc>
          <w:tcPr>
            <w:tcW w:w="2334" w:type="dxa"/>
            <w:tcBorders>
              <w:top w:val="nil"/>
              <w:left w:val="nil"/>
              <w:bottom w:val="single" w:sz="8" w:space="0" w:color="auto"/>
              <w:right w:val="nil"/>
            </w:tcBorders>
            <w:shd w:val="clear" w:color="000000" w:fill="EDFFB7"/>
            <w:vAlign w:val="center"/>
            <w:hideMark/>
          </w:tcPr>
          <w:p w14:paraId="079B1D9C" w14:textId="77777777" w:rsidR="0021298F" w:rsidRPr="00941CDF" w:rsidRDefault="0021298F" w:rsidP="00760009">
            <w:pPr>
              <w:jc w:val="right"/>
              <w:rPr>
                <w:rFonts w:ascii="Arial" w:eastAsia="Times New Roman" w:hAnsi="Arial" w:cs="Arial"/>
                <w:color w:val="000000"/>
                <w:lang w:eastAsia="en-GB"/>
              </w:rPr>
            </w:pPr>
            <w:r w:rsidRPr="00941CDF">
              <w:rPr>
                <w:rFonts w:ascii="Arial" w:eastAsia="Times New Roman" w:hAnsi="Arial" w:cs="Arial"/>
                <w:color w:val="000000"/>
                <w:lang w:eastAsia="en-GB"/>
              </w:rPr>
              <w:t xml:space="preserve">2,222 </w:t>
            </w:r>
          </w:p>
        </w:tc>
        <w:tc>
          <w:tcPr>
            <w:tcW w:w="2393" w:type="dxa"/>
            <w:tcBorders>
              <w:top w:val="nil"/>
              <w:left w:val="nil"/>
              <w:bottom w:val="single" w:sz="8" w:space="0" w:color="auto"/>
              <w:right w:val="nil"/>
            </w:tcBorders>
            <w:shd w:val="clear" w:color="000000" w:fill="FFFFFF"/>
            <w:vAlign w:val="center"/>
            <w:hideMark/>
          </w:tcPr>
          <w:p w14:paraId="64CB98CD" w14:textId="77777777" w:rsidR="0021298F" w:rsidRPr="00941CDF" w:rsidRDefault="0021298F" w:rsidP="00760009">
            <w:pPr>
              <w:jc w:val="right"/>
              <w:rPr>
                <w:rFonts w:ascii="Arial" w:eastAsia="Times New Roman" w:hAnsi="Arial" w:cs="Arial"/>
                <w:color w:val="000000"/>
                <w:lang w:eastAsia="en-GB"/>
              </w:rPr>
            </w:pPr>
            <w:r w:rsidRPr="00941CDF">
              <w:rPr>
                <w:rFonts w:ascii="Arial" w:eastAsia="Times New Roman" w:hAnsi="Arial" w:cs="Arial"/>
                <w:color w:val="000000"/>
                <w:lang w:eastAsia="en-GB"/>
              </w:rPr>
              <w:t>263</w:t>
            </w:r>
          </w:p>
        </w:tc>
      </w:tr>
      <w:tr w:rsidR="0021298F" w:rsidRPr="00941CDF" w14:paraId="00C0C7F2" w14:textId="77777777" w:rsidTr="00760009">
        <w:trPr>
          <w:trHeight w:val="315"/>
        </w:trPr>
        <w:tc>
          <w:tcPr>
            <w:tcW w:w="4820" w:type="dxa"/>
            <w:tcBorders>
              <w:top w:val="nil"/>
              <w:left w:val="nil"/>
              <w:bottom w:val="single" w:sz="8" w:space="0" w:color="auto"/>
              <w:right w:val="nil"/>
            </w:tcBorders>
            <w:shd w:val="clear" w:color="000000" w:fill="FFFFFF"/>
            <w:vAlign w:val="center"/>
            <w:hideMark/>
          </w:tcPr>
          <w:p w14:paraId="4E1E000D" w14:textId="77777777" w:rsidR="0021298F" w:rsidRPr="00941CDF" w:rsidRDefault="0021298F" w:rsidP="00760009">
            <w:pPr>
              <w:rPr>
                <w:rFonts w:ascii="Arial" w:eastAsia="Times New Roman" w:hAnsi="Arial" w:cs="Arial"/>
                <w:b/>
                <w:bCs/>
                <w:color w:val="000000"/>
                <w:lang w:eastAsia="en-GB"/>
              </w:rPr>
            </w:pPr>
            <w:r w:rsidRPr="00941CDF">
              <w:rPr>
                <w:rFonts w:ascii="Arial" w:eastAsia="Times New Roman" w:hAnsi="Arial" w:cs="Arial"/>
                <w:b/>
                <w:bCs/>
                <w:color w:val="000000"/>
                <w:lang w:eastAsia="en-GB"/>
              </w:rPr>
              <w:t>Net cash flows from operating activities</w:t>
            </w:r>
          </w:p>
        </w:tc>
        <w:tc>
          <w:tcPr>
            <w:tcW w:w="278" w:type="dxa"/>
            <w:tcBorders>
              <w:top w:val="nil"/>
              <w:left w:val="nil"/>
              <w:bottom w:val="single" w:sz="8" w:space="0" w:color="auto"/>
              <w:right w:val="nil"/>
            </w:tcBorders>
            <w:shd w:val="clear" w:color="000000" w:fill="EDFFB7"/>
            <w:vAlign w:val="center"/>
            <w:hideMark/>
          </w:tcPr>
          <w:p w14:paraId="6FF4D1A7" w14:textId="77777777" w:rsidR="0021298F" w:rsidRPr="00941CDF" w:rsidRDefault="0021298F" w:rsidP="00760009">
            <w:pPr>
              <w:jc w:val="right"/>
              <w:rPr>
                <w:rFonts w:ascii="Arial" w:eastAsia="Times New Roman" w:hAnsi="Arial" w:cs="Arial"/>
                <w:b/>
                <w:bCs/>
                <w:color w:val="000000"/>
                <w:lang w:eastAsia="en-GB"/>
              </w:rPr>
            </w:pPr>
            <w:r w:rsidRPr="00941CDF">
              <w:rPr>
                <w:rFonts w:ascii="Arial" w:eastAsia="Times New Roman" w:hAnsi="Arial" w:cs="Arial"/>
                <w:b/>
                <w:bCs/>
                <w:color w:val="000000"/>
                <w:lang w:eastAsia="en-GB"/>
              </w:rPr>
              <w:t> </w:t>
            </w:r>
          </w:p>
        </w:tc>
        <w:tc>
          <w:tcPr>
            <w:tcW w:w="2334" w:type="dxa"/>
            <w:tcBorders>
              <w:top w:val="nil"/>
              <w:left w:val="nil"/>
              <w:bottom w:val="single" w:sz="8" w:space="0" w:color="auto"/>
              <w:right w:val="nil"/>
            </w:tcBorders>
            <w:shd w:val="clear" w:color="000000" w:fill="EDFFB7"/>
            <w:vAlign w:val="center"/>
            <w:hideMark/>
          </w:tcPr>
          <w:p w14:paraId="1E1BF931" w14:textId="77777777" w:rsidR="0021298F" w:rsidRPr="00941CDF" w:rsidRDefault="0021298F" w:rsidP="00760009">
            <w:pPr>
              <w:jc w:val="right"/>
              <w:rPr>
                <w:rFonts w:ascii="Arial" w:eastAsia="Times New Roman" w:hAnsi="Arial" w:cs="Arial"/>
                <w:b/>
                <w:bCs/>
                <w:color w:val="000000"/>
                <w:lang w:eastAsia="en-GB"/>
              </w:rPr>
            </w:pPr>
            <w:r w:rsidRPr="00941CDF">
              <w:rPr>
                <w:rFonts w:ascii="Arial" w:eastAsia="Times New Roman" w:hAnsi="Arial" w:cs="Arial"/>
                <w:b/>
                <w:bCs/>
                <w:color w:val="000000"/>
                <w:lang w:eastAsia="en-GB"/>
              </w:rPr>
              <w:t xml:space="preserve">18,424 </w:t>
            </w:r>
          </w:p>
        </w:tc>
        <w:tc>
          <w:tcPr>
            <w:tcW w:w="2393" w:type="dxa"/>
            <w:tcBorders>
              <w:top w:val="nil"/>
              <w:left w:val="nil"/>
              <w:bottom w:val="single" w:sz="8" w:space="0" w:color="auto"/>
              <w:right w:val="nil"/>
            </w:tcBorders>
            <w:shd w:val="clear" w:color="auto" w:fill="auto"/>
            <w:vAlign w:val="center"/>
            <w:hideMark/>
          </w:tcPr>
          <w:p w14:paraId="32339AA7" w14:textId="77777777" w:rsidR="0021298F" w:rsidRPr="00941CDF" w:rsidRDefault="0021298F" w:rsidP="00760009">
            <w:pPr>
              <w:jc w:val="right"/>
              <w:rPr>
                <w:rFonts w:ascii="Arial" w:eastAsia="Times New Roman" w:hAnsi="Arial" w:cs="Arial"/>
                <w:b/>
                <w:bCs/>
                <w:color w:val="000000"/>
                <w:lang w:eastAsia="en-GB"/>
              </w:rPr>
            </w:pPr>
            <w:r w:rsidRPr="00941CDF">
              <w:rPr>
                <w:rFonts w:ascii="Arial" w:eastAsia="Times New Roman" w:hAnsi="Arial" w:cs="Arial"/>
                <w:b/>
                <w:bCs/>
                <w:color w:val="000000"/>
                <w:lang w:eastAsia="en-GB"/>
              </w:rPr>
              <w:t xml:space="preserve">15,269 </w:t>
            </w:r>
          </w:p>
        </w:tc>
      </w:tr>
    </w:tbl>
    <w:p w14:paraId="7EC34921" w14:textId="77777777" w:rsidR="0021298F" w:rsidRDefault="0021298F" w:rsidP="0021298F">
      <w:pPr>
        <w:pStyle w:val="Heading2"/>
        <w:keepNext w:val="0"/>
        <w:keepLines w:val="0"/>
        <w:spacing w:before="0" w:line="240" w:lineRule="auto"/>
        <w:ind w:left="66" w:right="261"/>
        <w:jc w:val="both"/>
        <w:rPr>
          <w:rFonts w:ascii="Arial" w:hAnsi="Arial" w:cs="Arial"/>
          <w:color w:val="auto"/>
          <w:sz w:val="24"/>
          <w:szCs w:val="22"/>
          <w:lang w:eastAsia="en-GB"/>
        </w:rPr>
      </w:pPr>
    </w:p>
    <w:tbl>
      <w:tblPr>
        <w:tblW w:w="9060" w:type="dxa"/>
        <w:tblLook w:val="04A0" w:firstRow="1" w:lastRow="0" w:firstColumn="1" w:lastColumn="0" w:noHBand="0" w:noVBand="1"/>
      </w:tblPr>
      <w:tblGrid>
        <w:gridCol w:w="4605"/>
        <w:gridCol w:w="283"/>
        <w:gridCol w:w="2072"/>
        <w:gridCol w:w="2100"/>
      </w:tblGrid>
      <w:tr w:rsidR="0021298F" w:rsidRPr="00941CDF" w14:paraId="10B5A077" w14:textId="77777777" w:rsidTr="00760009">
        <w:trPr>
          <w:trHeight w:val="900"/>
        </w:trPr>
        <w:tc>
          <w:tcPr>
            <w:tcW w:w="4708" w:type="dxa"/>
            <w:tcBorders>
              <w:top w:val="nil"/>
              <w:left w:val="nil"/>
              <w:bottom w:val="nil"/>
              <w:right w:val="nil"/>
            </w:tcBorders>
            <w:shd w:val="clear" w:color="000000" w:fill="FFFFFF"/>
            <w:vAlign w:val="center"/>
            <w:hideMark/>
          </w:tcPr>
          <w:p w14:paraId="24D97C5D" w14:textId="77777777" w:rsidR="0021298F" w:rsidRPr="00DA7482" w:rsidRDefault="0021298F" w:rsidP="00760009">
            <w:pPr>
              <w:rPr>
                <w:rFonts w:ascii="Arial" w:eastAsia="Times New Roman" w:hAnsi="Arial" w:cs="Arial"/>
                <w:b/>
                <w:bCs/>
                <w:color w:val="000000"/>
                <w:lang w:eastAsia="en-GB"/>
              </w:rPr>
            </w:pPr>
            <w:r w:rsidRPr="00DA7482">
              <w:rPr>
                <w:rFonts w:ascii="Arial" w:eastAsia="Times New Roman" w:hAnsi="Arial" w:cs="Arial"/>
                <w:b/>
                <w:bCs/>
                <w:color w:val="000000"/>
                <w:lang w:eastAsia="en-GB"/>
              </w:rPr>
              <w:t>Company</w:t>
            </w:r>
          </w:p>
        </w:tc>
        <w:tc>
          <w:tcPr>
            <w:tcW w:w="156" w:type="dxa"/>
            <w:tcBorders>
              <w:top w:val="nil"/>
              <w:left w:val="nil"/>
              <w:bottom w:val="nil"/>
              <w:right w:val="nil"/>
            </w:tcBorders>
            <w:shd w:val="clear" w:color="000000" w:fill="FFFFFF"/>
            <w:noWrap/>
            <w:vAlign w:val="bottom"/>
            <w:hideMark/>
          </w:tcPr>
          <w:p w14:paraId="4684C717" w14:textId="77777777" w:rsidR="0021298F" w:rsidRPr="00941CDF" w:rsidRDefault="0021298F" w:rsidP="00760009">
            <w:pPr>
              <w:rPr>
                <w:rFonts w:ascii="Calibri" w:eastAsia="Times New Roman" w:hAnsi="Calibri" w:cs="Calibri"/>
                <w:color w:val="000000"/>
                <w:lang w:eastAsia="en-GB"/>
              </w:rPr>
            </w:pPr>
            <w:r w:rsidRPr="00941CDF">
              <w:rPr>
                <w:rFonts w:ascii="Calibri" w:eastAsia="Times New Roman" w:hAnsi="Calibri" w:cs="Calibri"/>
                <w:color w:val="000000"/>
                <w:lang w:eastAsia="en-GB"/>
              </w:rPr>
              <w:t> </w:t>
            </w:r>
          </w:p>
        </w:tc>
        <w:tc>
          <w:tcPr>
            <w:tcW w:w="2096" w:type="dxa"/>
            <w:tcBorders>
              <w:top w:val="nil"/>
              <w:left w:val="nil"/>
              <w:bottom w:val="nil"/>
              <w:right w:val="nil"/>
            </w:tcBorders>
            <w:shd w:val="clear" w:color="000000" w:fill="FFFFFF"/>
            <w:vAlign w:val="center"/>
            <w:hideMark/>
          </w:tcPr>
          <w:p w14:paraId="6ED685E2" w14:textId="77777777" w:rsidR="0021298F" w:rsidRPr="00941CDF" w:rsidRDefault="0021298F" w:rsidP="00760009">
            <w:pPr>
              <w:jc w:val="right"/>
              <w:rPr>
                <w:rFonts w:ascii="Arial" w:eastAsia="Times New Roman" w:hAnsi="Arial" w:cs="Arial"/>
                <w:b/>
                <w:bCs/>
                <w:color w:val="000000"/>
                <w:lang w:eastAsia="en-GB"/>
              </w:rPr>
            </w:pPr>
            <w:r w:rsidRPr="00941CDF">
              <w:rPr>
                <w:rFonts w:ascii="Arial" w:eastAsia="Times New Roman" w:hAnsi="Arial" w:cs="Arial"/>
                <w:b/>
                <w:bCs/>
                <w:color w:val="000000"/>
                <w:lang w:eastAsia="en-GB"/>
              </w:rPr>
              <w:t>For the year ended 31 December 2020</w:t>
            </w:r>
          </w:p>
        </w:tc>
        <w:tc>
          <w:tcPr>
            <w:tcW w:w="2100" w:type="dxa"/>
            <w:tcBorders>
              <w:top w:val="nil"/>
              <w:left w:val="nil"/>
              <w:bottom w:val="nil"/>
              <w:right w:val="nil"/>
            </w:tcBorders>
            <w:shd w:val="clear" w:color="000000" w:fill="FFFFFF"/>
            <w:vAlign w:val="center"/>
            <w:hideMark/>
          </w:tcPr>
          <w:p w14:paraId="36DB28B6" w14:textId="77777777" w:rsidR="0021298F" w:rsidRPr="00941CDF" w:rsidRDefault="0021298F" w:rsidP="00760009">
            <w:pPr>
              <w:jc w:val="right"/>
              <w:rPr>
                <w:rFonts w:ascii="Arial" w:eastAsia="Times New Roman" w:hAnsi="Arial" w:cs="Arial"/>
                <w:b/>
                <w:bCs/>
                <w:color w:val="000000"/>
                <w:lang w:eastAsia="en-GB"/>
              </w:rPr>
            </w:pPr>
            <w:r w:rsidRPr="00941CDF">
              <w:rPr>
                <w:rFonts w:ascii="Arial" w:eastAsia="Times New Roman" w:hAnsi="Arial" w:cs="Arial"/>
                <w:b/>
                <w:bCs/>
                <w:color w:val="000000"/>
                <w:lang w:eastAsia="en-GB"/>
              </w:rPr>
              <w:t>For the year ended 31 December 2019</w:t>
            </w:r>
          </w:p>
        </w:tc>
      </w:tr>
      <w:tr w:rsidR="0021298F" w:rsidRPr="00941CDF" w14:paraId="52743C2D" w14:textId="77777777" w:rsidTr="00760009">
        <w:trPr>
          <w:trHeight w:val="315"/>
        </w:trPr>
        <w:tc>
          <w:tcPr>
            <w:tcW w:w="4708" w:type="dxa"/>
            <w:tcBorders>
              <w:top w:val="nil"/>
              <w:left w:val="nil"/>
              <w:bottom w:val="single" w:sz="8" w:space="0" w:color="auto"/>
              <w:right w:val="nil"/>
            </w:tcBorders>
            <w:shd w:val="clear" w:color="000000" w:fill="FFFFFF"/>
            <w:vAlign w:val="center"/>
            <w:hideMark/>
          </w:tcPr>
          <w:p w14:paraId="22D9C09C" w14:textId="77777777" w:rsidR="0021298F" w:rsidRPr="00941CDF" w:rsidRDefault="0021298F" w:rsidP="00760009">
            <w:pPr>
              <w:jc w:val="both"/>
              <w:rPr>
                <w:rFonts w:ascii="Arial" w:eastAsia="Times New Roman" w:hAnsi="Arial" w:cs="Arial"/>
                <w:color w:val="000000"/>
                <w:lang w:eastAsia="en-GB"/>
              </w:rPr>
            </w:pPr>
            <w:r w:rsidRPr="00941CDF">
              <w:rPr>
                <w:rFonts w:ascii="Arial" w:eastAsia="Times New Roman" w:hAnsi="Arial" w:cs="Arial"/>
                <w:color w:val="000000"/>
                <w:lang w:eastAsia="en-GB"/>
              </w:rPr>
              <w:t> </w:t>
            </w:r>
          </w:p>
        </w:tc>
        <w:tc>
          <w:tcPr>
            <w:tcW w:w="156" w:type="dxa"/>
            <w:tcBorders>
              <w:top w:val="nil"/>
              <w:left w:val="nil"/>
              <w:bottom w:val="single" w:sz="8" w:space="0" w:color="auto"/>
              <w:right w:val="nil"/>
            </w:tcBorders>
            <w:shd w:val="clear" w:color="000000" w:fill="FFFFFF"/>
            <w:vAlign w:val="center"/>
            <w:hideMark/>
          </w:tcPr>
          <w:p w14:paraId="16BEF02C" w14:textId="77777777" w:rsidR="0021298F" w:rsidRPr="00941CDF" w:rsidRDefault="0021298F" w:rsidP="00760009">
            <w:pPr>
              <w:jc w:val="right"/>
              <w:rPr>
                <w:rFonts w:ascii="Arial" w:eastAsia="Times New Roman" w:hAnsi="Arial" w:cs="Arial"/>
                <w:b/>
                <w:bCs/>
                <w:color w:val="000000"/>
                <w:lang w:eastAsia="en-GB"/>
              </w:rPr>
            </w:pPr>
            <w:r w:rsidRPr="00941CDF">
              <w:rPr>
                <w:rFonts w:ascii="Arial" w:eastAsia="Times New Roman" w:hAnsi="Arial" w:cs="Arial"/>
                <w:b/>
                <w:bCs/>
                <w:color w:val="000000"/>
                <w:lang w:eastAsia="en-GB"/>
              </w:rPr>
              <w:t> </w:t>
            </w:r>
          </w:p>
        </w:tc>
        <w:tc>
          <w:tcPr>
            <w:tcW w:w="2096" w:type="dxa"/>
            <w:tcBorders>
              <w:top w:val="nil"/>
              <w:left w:val="nil"/>
              <w:bottom w:val="single" w:sz="8" w:space="0" w:color="auto"/>
              <w:right w:val="nil"/>
            </w:tcBorders>
            <w:shd w:val="clear" w:color="000000" w:fill="FFFFFF"/>
            <w:vAlign w:val="center"/>
            <w:hideMark/>
          </w:tcPr>
          <w:p w14:paraId="3610971C" w14:textId="77777777" w:rsidR="0021298F" w:rsidRPr="00941CDF" w:rsidRDefault="0021298F" w:rsidP="00760009">
            <w:pPr>
              <w:jc w:val="right"/>
              <w:rPr>
                <w:rFonts w:ascii="Arial" w:eastAsia="Times New Roman" w:hAnsi="Arial" w:cs="Arial"/>
                <w:b/>
                <w:bCs/>
                <w:color w:val="000000"/>
                <w:lang w:eastAsia="en-GB"/>
              </w:rPr>
            </w:pPr>
            <w:r w:rsidRPr="00941CDF">
              <w:rPr>
                <w:rFonts w:ascii="Arial" w:eastAsia="Times New Roman" w:hAnsi="Arial" w:cs="Arial"/>
                <w:b/>
                <w:bCs/>
                <w:color w:val="000000"/>
                <w:lang w:eastAsia="en-GB"/>
              </w:rPr>
              <w:t>€’000</w:t>
            </w:r>
          </w:p>
        </w:tc>
        <w:tc>
          <w:tcPr>
            <w:tcW w:w="2100" w:type="dxa"/>
            <w:tcBorders>
              <w:top w:val="nil"/>
              <w:left w:val="nil"/>
              <w:bottom w:val="single" w:sz="8" w:space="0" w:color="auto"/>
              <w:right w:val="nil"/>
            </w:tcBorders>
            <w:shd w:val="clear" w:color="000000" w:fill="FFFFFF"/>
            <w:noWrap/>
            <w:vAlign w:val="center"/>
            <w:hideMark/>
          </w:tcPr>
          <w:p w14:paraId="3581DFD2" w14:textId="77777777" w:rsidR="0021298F" w:rsidRPr="00941CDF" w:rsidRDefault="0021298F" w:rsidP="00760009">
            <w:pPr>
              <w:jc w:val="right"/>
              <w:rPr>
                <w:rFonts w:ascii="Arial" w:eastAsia="Times New Roman" w:hAnsi="Arial" w:cs="Arial"/>
                <w:b/>
                <w:bCs/>
                <w:color w:val="000000"/>
                <w:lang w:eastAsia="en-GB"/>
              </w:rPr>
            </w:pPr>
            <w:r w:rsidRPr="00941CDF">
              <w:rPr>
                <w:rFonts w:ascii="Arial" w:eastAsia="Times New Roman" w:hAnsi="Arial" w:cs="Arial"/>
                <w:b/>
                <w:bCs/>
                <w:color w:val="000000"/>
                <w:lang w:eastAsia="en-GB"/>
              </w:rPr>
              <w:t>€’000</w:t>
            </w:r>
          </w:p>
        </w:tc>
      </w:tr>
      <w:tr w:rsidR="0021298F" w:rsidRPr="00941CDF" w14:paraId="31FBF8B6" w14:textId="77777777" w:rsidTr="00760009">
        <w:trPr>
          <w:trHeight w:val="300"/>
        </w:trPr>
        <w:tc>
          <w:tcPr>
            <w:tcW w:w="4708" w:type="dxa"/>
            <w:tcBorders>
              <w:top w:val="nil"/>
              <w:left w:val="nil"/>
              <w:bottom w:val="nil"/>
              <w:right w:val="nil"/>
            </w:tcBorders>
            <w:shd w:val="clear" w:color="000000" w:fill="FFFFFF"/>
            <w:vAlign w:val="center"/>
            <w:hideMark/>
          </w:tcPr>
          <w:p w14:paraId="50356FBA" w14:textId="77777777" w:rsidR="0021298F" w:rsidRPr="00941CDF" w:rsidRDefault="0021298F" w:rsidP="00760009">
            <w:pPr>
              <w:rPr>
                <w:rFonts w:ascii="Arial" w:eastAsia="Times New Roman" w:hAnsi="Arial" w:cs="Arial"/>
                <w:color w:val="000000"/>
                <w:lang w:eastAsia="en-GB"/>
              </w:rPr>
            </w:pPr>
            <w:r w:rsidRPr="00941CDF">
              <w:rPr>
                <w:rFonts w:ascii="Arial" w:eastAsia="Times New Roman" w:hAnsi="Arial" w:cs="Arial"/>
                <w:color w:val="000000"/>
                <w:lang w:eastAsia="en-GB"/>
              </w:rPr>
              <w:t>Operating profit for the year</w:t>
            </w:r>
          </w:p>
        </w:tc>
        <w:tc>
          <w:tcPr>
            <w:tcW w:w="156" w:type="dxa"/>
            <w:tcBorders>
              <w:top w:val="nil"/>
              <w:left w:val="nil"/>
              <w:bottom w:val="nil"/>
              <w:right w:val="nil"/>
            </w:tcBorders>
            <w:shd w:val="clear" w:color="000000" w:fill="EDFFB7"/>
            <w:vAlign w:val="center"/>
            <w:hideMark/>
          </w:tcPr>
          <w:p w14:paraId="2D0C0332" w14:textId="77777777" w:rsidR="0021298F" w:rsidRPr="00941CDF" w:rsidRDefault="0021298F" w:rsidP="00760009">
            <w:pPr>
              <w:jc w:val="right"/>
              <w:rPr>
                <w:rFonts w:ascii="Arial" w:eastAsia="Times New Roman" w:hAnsi="Arial" w:cs="Arial"/>
                <w:color w:val="000000"/>
                <w:lang w:eastAsia="en-GB"/>
              </w:rPr>
            </w:pPr>
            <w:r w:rsidRPr="00941CDF">
              <w:rPr>
                <w:rFonts w:ascii="Arial" w:eastAsia="Times New Roman" w:hAnsi="Arial" w:cs="Arial"/>
                <w:color w:val="000000"/>
                <w:lang w:eastAsia="en-GB"/>
              </w:rPr>
              <w:t> </w:t>
            </w:r>
          </w:p>
        </w:tc>
        <w:tc>
          <w:tcPr>
            <w:tcW w:w="2096" w:type="dxa"/>
            <w:tcBorders>
              <w:top w:val="nil"/>
              <w:left w:val="nil"/>
              <w:bottom w:val="nil"/>
              <w:right w:val="nil"/>
            </w:tcBorders>
            <w:shd w:val="clear" w:color="000000" w:fill="EDFFB7"/>
            <w:vAlign w:val="center"/>
            <w:hideMark/>
          </w:tcPr>
          <w:p w14:paraId="40E359B9" w14:textId="77777777" w:rsidR="0021298F" w:rsidRPr="00941CDF" w:rsidRDefault="0021298F" w:rsidP="00760009">
            <w:pPr>
              <w:jc w:val="right"/>
              <w:rPr>
                <w:rFonts w:ascii="Arial" w:eastAsia="Times New Roman" w:hAnsi="Arial" w:cs="Arial"/>
                <w:color w:val="000000"/>
                <w:lang w:eastAsia="en-GB"/>
              </w:rPr>
            </w:pPr>
            <w:r w:rsidRPr="00941CDF">
              <w:rPr>
                <w:rFonts w:ascii="Arial" w:eastAsia="Times New Roman" w:hAnsi="Arial" w:cs="Arial"/>
                <w:color w:val="000000"/>
                <w:lang w:eastAsia="en-GB"/>
              </w:rPr>
              <w:t>14,06</w:t>
            </w:r>
            <w:r>
              <w:rPr>
                <w:rFonts w:ascii="Arial" w:eastAsia="Times New Roman" w:hAnsi="Arial" w:cs="Arial"/>
                <w:color w:val="000000"/>
                <w:lang w:eastAsia="en-GB"/>
              </w:rPr>
              <w:t>8</w:t>
            </w:r>
            <w:r w:rsidRPr="00941CDF">
              <w:rPr>
                <w:rFonts w:ascii="Arial" w:eastAsia="Times New Roman" w:hAnsi="Arial" w:cs="Arial"/>
                <w:color w:val="000000"/>
                <w:lang w:eastAsia="en-GB"/>
              </w:rPr>
              <w:t xml:space="preserve"> </w:t>
            </w:r>
          </w:p>
        </w:tc>
        <w:tc>
          <w:tcPr>
            <w:tcW w:w="2100" w:type="dxa"/>
            <w:tcBorders>
              <w:top w:val="nil"/>
              <w:left w:val="nil"/>
              <w:bottom w:val="nil"/>
              <w:right w:val="nil"/>
            </w:tcBorders>
            <w:shd w:val="clear" w:color="auto" w:fill="auto"/>
            <w:vAlign w:val="center"/>
            <w:hideMark/>
          </w:tcPr>
          <w:p w14:paraId="6CF5EFC3" w14:textId="77777777" w:rsidR="0021298F" w:rsidRPr="00941CDF" w:rsidRDefault="0021298F" w:rsidP="00760009">
            <w:pPr>
              <w:jc w:val="right"/>
              <w:rPr>
                <w:rFonts w:ascii="Arial" w:eastAsia="Times New Roman" w:hAnsi="Arial" w:cs="Arial"/>
                <w:color w:val="000000"/>
                <w:lang w:eastAsia="en-GB"/>
              </w:rPr>
            </w:pPr>
            <w:r w:rsidRPr="00941CDF">
              <w:rPr>
                <w:rFonts w:ascii="Arial" w:eastAsia="Times New Roman" w:hAnsi="Arial" w:cs="Arial"/>
                <w:color w:val="000000"/>
                <w:lang w:eastAsia="en-GB"/>
              </w:rPr>
              <w:t xml:space="preserve">17,172 </w:t>
            </w:r>
          </w:p>
        </w:tc>
      </w:tr>
      <w:tr w:rsidR="0021298F" w:rsidRPr="00941CDF" w14:paraId="469698B2" w14:textId="77777777" w:rsidTr="00760009">
        <w:trPr>
          <w:trHeight w:val="300"/>
        </w:trPr>
        <w:tc>
          <w:tcPr>
            <w:tcW w:w="4708" w:type="dxa"/>
            <w:tcBorders>
              <w:top w:val="nil"/>
              <w:left w:val="nil"/>
              <w:bottom w:val="nil"/>
              <w:right w:val="nil"/>
            </w:tcBorders>
            <w:shd w:val="clear" w:color="000000" w:fill="FFFFFF"/>
            <w:vAlign w:val="center"/>
            <w:hideMark/>
          </w:tcPr>
          <w:p w14:paraId="2A81351C" w14:textId="77777777" w:rsidR="0021298F" w:rsidRPr="00941CDF" w:rsidRDefault="0021298F" w:rsidP="00760009">
            <w:pPr>
              <w:rPr>
                <w:rFonts w:ascii="Arial" w:eastAsia="Times New Roman" w:hAnsi="Arial" w:cs="Arial"/>
                <w:b/>
                <w:bCs/>
                <w:color w:val="000000"/>
                <w:lang w:eastAsia="en-GB"/>
              </w:rPr>
            </w:pPr>
            <w:r w:rsidRPr="00941CDF">
              <w:rPr>
                <w:rFonts w:ascii="Arial" w:eastAsia="Times New Roman" w:hAnsi="Arial" w:cs="Arial"/>
                <w:b/>
                <w:bCs/>
                <w:color w:val="000000"/>
                <w:lang w:eastAsia="en-GB"/>
              </w:rPr>
              <w:t>Adjustments for:</w:t>
            </w:r>
          </w:p>
        </w:tc>
        <w:tc>
          <w:tcPr>
            <w:tcW w:w="156" w:type="dxa"/>
            <w:tcBorders>
              <w:top w:val="nil"/>
              <w:left w:val="nil"/>
              <w:bottom w:val="nil"/>
              <w:right w:val="nil"/>
            </w:tcBorders>
            <w:shd w:val="clear" w:color="000000" w:fill="EDFFB7"/>
            <w:vAlign w:val="center"/>
            <w:hideMark/>
          </w:tcPr>
          <w:p w14:paraId="39DF4897" w14:textId="77777777" w:rsidR="0021298F" w:rsidRPr="00941CDF" w:rsidRDefault="0021298F" w:rsidP="00760009">
            <w:pPr>
              <w:jc w:val="right"/>
              <w:rPr>
                <w:rFonts w:ascii="Arial" w:eastAsia="Times New Roman" w:hAnsi="Arial" w:cs="Arial"/>
                <w:color w:val="000000"/>
                <w:lang w:eastAsia="en-GB"/>
              </w:rPr>
            </w:pPr>
            <w:r w:rsidRPr="00941CDF">
              <w:rPr>
                <w:rFonts w:ascii="Arial" w:eastAsia="Times New Roman" w:hAnsi="Arial" w:cs="Arial"/>
                <w:color w:val="000000"/>
                <w:lang w:eastAsia="en-GB"/>
              </w:rPr>
              <w:t> </w:t>
            </w:r>
          </w:p>
        </w:tc>
        <w:tc>
          <w:tcPr>
            <w:tcW w:w="2096" w:type="dxa"/>
            <w:tcBorders>
              <w:top w:val="nil"/>
              <w:left w:val="nil"/>
              <w:bottom w:val="nil"/>
              <w:right w:val="nil"/>
            </w:tcBorders>
            <w:shd w:val="clear" w:color="000000" w:fill="EDFFB7"/>
            <w:vAlign w:val="center"/>
            <w:hideMark/>
          </w:tcPr>
          <w:p w14:paraId="45F0A564" w14:textId="77777777" w:rsidR="0021298F" w:rsidRPr="00941CDF" w:rsidRDefault="0021298F" w:rsidP="00760009">
            <w:pPr>
              <w:jc w:val="right"/>
              <w:rPr>
                <w:rFonts w:ascii="Arial" w:eastAsia="Times New Roman" w:hAnsi="Arial" w:cs="Arial"/>
                <w:color w:val="000000"/>
                <w:lang w:eastAsia="en-GB"/>
              </w:rPr>
            </w:pPr>
            <w:r w:rsidRPr="00941CDF">
              <w:rPr>
                <w:rFonts w:ascii="Arial" w:eastAsia="Times New Roman" w:hAnsi="Arial" w:cs="Arial"/>
                <w:color w:val="000000"/>
                <w:lang w:eastAsia="en-GB"/>
              </w:rPr>
              <w:t> </w:t>
            </w:r>
          </w:p>
        </w:tc>
        <w:tc>
          <w:tcPr>
            <w:tcW w:w="2100" w:type="dxa"/>
            <w:tcBorders>
              <w:top w:val="nil"/>
              <w:left w:val="nil"/>
              <w:bottom w:val="nil"/>
              <w:right w:val="nil"/>
            </w:tcBorders>
            <w:shd w:val="clear" w:color="auto" w:fill="auto"/>
            <w:vAlign w:val="center"/>
            <w:hideMark/>
          </w:tcPr>
          <w:p w14:paraId="3C05D3AE" w14:textId="77777777" w:rsidR="0021298F" w:rsidRPr="00941CDF" w:rsidRDefault="0021298F" w:rsidP="00760009">
            <w:pPr>
              <w:jc w:val="right"/>
              <w:rPr>
                <w:rFonts w:ascii="Arial" w:eastAsia="Times New Roman" w:hAnsi="Arial" w:cs="Arial"/>
                <w:color w:val="000000"/>
                <w:lang w:eastAsia="en-GB"/>
              </w:rPr>
            </w:pPr>
          </w:p>
        </w:tc>
      </w:tr>
      <w:tr w:rsidR="0021298F" w:rsidRPr="00941CDF" w14:paraId="4216C53D" w14:textId="77777777" w:rsidTr="00760009">
        <w:trPr>
          <w:trHeight w:val="300"/>
        </w:trPr>
        <w:tc>
          <w:tcPr>
            <w:tcW w:w="4708" w:type="dxa"/>
            <w:tcBorders>
              <w:top w:val="nil"/>
              <w:left w:val="nil"/>
              <w:bottom w:val="nil"/>
              <w:right w:val="nil"/>
            </w:tcBorders>
            <w:shd w:val="clear" w:color="000000" w:fill="FFFFFF"/>
            <w:vAlign w:val="center"/>
            <w:hideMark/>
          </w:tcPr>
          <w:p w14:paraId="1A6CC061" w14:textId="77777777" w:rsidR="0021298F" w:rsidRPr="00941CDF" w:rsidRDefault="0021298F" w:rsidP="00760009">
            <w:pPr>
              <w:rPr>
                <w:rFonts w:ascii="Arial" w:eastAsia="Times New Roman" w:hAnsi="Arial" w:cs="Arial"/>
                <w:color w:val="000000"/>
                <w:lang w:eastAsia="en-GB"/>
              </w:rPr>
            </w:pPr>
            <w:r w:rsidRPr="00941CDF">
              <w:rPr>
                <w:rFonts w:ascii="Arial" w:eastAsia="Times New Roman" w:hAnsi="Arial" w:cs="Arial"/>
                <w:color w:val="000000"/>
                <w:lang w:eastAsia="en-GB"/>
              </w:rPr>
              <w:lastRenderedPageBreak/>
              <w:t>Movement in fair value of investments (note 4)</w:t>
            </w:r>
          </w:p>
        </w:tc>
        <w:tc>
          <w:tcPr>
            <w:tcW w:w="156" w:type="dxa"/>
            <w:tcBorders>
              <w:top w:val="nil"/>
              <w:left w:val="nil"/>
              <w:bottom w:val="nil"/>
              <w:right w:val="nil"/>
            </w:tcBorders>
            <w:shd w:val="clear" w:color="000000" w:fill="EDFFB7"/>
            <w:vAlign w:val="center"/>
            <w:hideMark/>
          </w:tcPr>
          <w:p w14:paraId="591D094D" w14:textId="77777777" w:rsidR="0021298F" w:rsidRPr="00941CDF" w:rsidRDefault="0021298F" w:rsidP="00760009">
            <w:pPr>
              <w:jc w:val="right"/>
              <w:rPr>
                <w:rFonts w:ascii="Arial" w:eastAsia="Times New Roman" w:hAnsi="Arial" w:cs="Arial"/>
                <w:color w:val="000000"/>
                <w:lang w:eastAsia="en-GB"/>
              </w:rPr>
            </w:pPr>
            <w:r w:rsidRPr="00941CDF">
              <w:rPr>
                <w:rFonts w:ascii="Arial" w:eastAsia="Times New Roman" w:hAnsi="Arial" w:cs="Arial"/>
                <w:color w:val="000000"/>
                <w:lang w:eastAsia="en-GB"/>
              </w:rPr>
              <w:t> </w:t>
            </w:r>
          </w:p>
        </w:tc>
        <w:tc>
          <w:tcPr>
            <w:tcW w:w="2096" w:type="dxa"/>
            <w:tcBorders>
              <w:top w:val="nil"/>
              <w:left w:val="nil"/>
              <w:bottom w:val="nil"/>
              <w:right w:val="nil"/>
            </w:tcBorders>
            <w:shd w:val="clear" w:color="000000" w:fill="EDFFB7"/>
            <w:vAlign w:val="center"/>
            <w:hideMark/>
          </w:tcPr>
          <w:p w14:paraId="49FAB46D" w14:textId="77777777" w:rsidR="0021298F" w:rsidRPr="00941CDF" w:rsidRDefault="0021298F" w:rsidP="00760009">
            <w:pPr>
              <w:jc w:val="right"/>
              <w:rPr>
                <w:rFonts w:ascii="Arial" w:eastAsia="Times New Roman" w:hAnsi="Arial" w:cs="Arial"/>
                <w:color w:val="000000"/>
                <w:lang w:eastAsia="en-GB"/>
              </w:rPr>
            </w:pPr>
            <w:r w:rsidRPr="00941CDF">
              <w:rPr>
                <w:rFonts w:ascii="Arial" w:eastAsia="Times New Roman" w:hAnsi="Arial" w:cs="Arial"/>
                <w:color w:val="000000"/>
                <w:lang w:eastAsia="en-GB"/>
              </w:rPr>
              <w:t xml:space="preserve"> (18,313)</w:t>
            </w:r>
          </w:p>
        </w:tc>
        <w:tc>
          <w:tcPr>
            <w:tcW w:w="2100" w:type="dxa"/>
            <w:tcBorders>
              <w:top w:val="nil"/>
              <w:left w:val="nil"/>
              <w:bottom w:val="nil"/>
              <w:right w:val="nil"/>
            </w:tcBorders>
            <w:shd w:val="clear" w:color="auto" w:fill="auto"/>
            <w:vAlign w:val="center"/>
            <w:hideMark/>
          </w:tcPr>
          <w:p w14:paraId="31E89131" w14:textId="77777777" w:rsidR="0021298F" w:rsidRPr="00941CDF" w:rsidRDefault="0021298F" w:rsidP="00760009">
            <w:pPr>
              <w:jc w:val="right"/>
              <w:rPr>
                <w:rFonts w:ascii="Arial" w:eastAsia="Times New Roman" w:hAnsi="Arial" w:cs="Arial"/>
                <w:color w:val="000000"/>
                <w:lang w:eastAsia="en-GB"/>
              </w:rPr>
            </w:pPr>
            <w:r w:rsidRPr="00941CDF">
              <w:rPr>
                <w:rFonts w:ascii="Arial" w:eastAsia="Times New Roman" w:hAnsi="Arial" w:cs="Arial"/>
                <w:color w:val="000000"/>
                <w:lang w:eastAsia="en-GB"/>
              </w:rPr>
              <w:t xml:space="preserve"> (20,560)</w:t>
            </w:r>
          </w:p>
        </w:tc>
      </w:tr>
      <w:tr w:rsidR="0021298F" w:rsidRPr="00941CDF" w14:paraId="4CA2BD55" w14:textId="77777777" w:rsidTr="00760009">
        <w:trPr>
          <w:trHeight w:val="300"/>
        </w:trPr>
        <w:tc>
          <w:tcPr>
            <w:tcW w:w="4708" w:type="dxa"/>
            <w:tcBorders>
              <w:top w:val="nil"/>
              <w:left w:val="nil"/>
              <w:bottom w:val="nil"/>
              <w:right w:val="nil"/>
            </w:tcBorders>
            <w:shd w:val="clear" w:color="000000" w:fill="FFFFFF"/>
            <w:vAlign w:val="center"/>
            <w:hideMark/>
          </w:tcPr>
          <w:p w14:paraId="7E999717" w14:textId="77777777" w:rsidR="0021298F" w:rsidRPr="00941CDF" w:rsidRDefault="0021298F" w:rsidP="00760009">
            <w:pPr>
              <w:rPr>
                <w:rFonts w:ascii="Arial" w:eastAsia="Times New Roman" w:hAnsi="Arial" w:cs="Arial"/>
                <w:color w:val="000000"/>
                <w:lang w:eastAsia="en-GB"/>
              </w:rPr>
            </w:pPr>
            <w:r w:rsidRPr="00941CDF">
              <w:rPr>
                <w:rFonts w:ascii="Arial" w:eastAsia="Times New Roman" w:hAnsi="Arial" w:cs="Arial"/>
                <w:color w:val="000000"/>
                <w:lang w:eastAsia="en-GB"/>
              </w:rPr>
              <w:t>Increase in receivables (note 11)</w:t>
            </w:r>
          </w:p>
        </w:tc>
        <w:tc>
          <w:tcPr>
            <w:tcW w:w="156" w:type="dxa"/>
            <w:tcBorders>
              <w:top w:val="nil"/>
              <w:left w:val="nil"/>
              <w:bottom w:val="nil"/>
              <w:right w:val="nil"/>
            </w:tcBorders>
            <w:shd w:val="clear" w:color="000000" w:fill="EDFFB7"/>
            <w:vAlign w:val="center"/>
            <w:hideMark/>
          </w:tcPr>
          <w:p w14:paraId="654636B4" w14:textId="77777777" w:rsidR="0021298F" w:rsidRPr="00941CDF" w:rsidRDefault="0021298F" w:rsidP="00760009">
            <w:pPr>
              <w:jc w:val="right"/>
              <w:rPr>
                <w:rFonts w:ascii="Arial" w:eastAsia="Times New Roman" w:hAnsi="Arial" w:cs="Arial"/>
                <w:color w:val="000000"/>
                <w:lang w:eastAsia="en-GB"/>
              </w:rPr>
            </w:pPr>
            <w:r w:rsidRPr="00941CDF">
              <w:rPr>
                <w:rFonts w:ascii="Arial" w:eastAsia="Times New Roman" w:hAnsi="Arial" w:cs="Arial"/>
                <w:color w:val="000000"/>
                <w:lang w:eastAsia="en-GB"/>
              </w:rPr>
              <w:t> </w:t>
            </w:r>
          </w:p>
        </w:tc>
        <w:tc>
          <w:tcPr>
            <w:tcW w:w="2096" w:type="dxa"/>
            <w:tcBorders>
              <w:top w:val="nil"/>
              <w:left w:val="nil"/>
              <w:bottom w:val="nil"/>
              <w:right w:val="nil"/>
            </w:tcBorders>
            <w:shd w:val="clear" w:color="000000" w:fill="EDFFB7"/>
            <w:vAlign w:val="center"/>
            <w:hideMark/>
          </w:tcPr>
          <w:p w14:paraId="51AD8037" w14:textId="77777777" w:rsidR="0021298F" w:rsidRPr="00941CDF" w:rsidRDefault="0021298F" w:rsidP="00760009">
            <w:pPr>
              <w:jc w:val="right"/>
              <w:rPr>
                <w:rFonts w:ascii="Arial" w:eastAsia="Times New Roman" w:hAnsi="Arial" w:cs="Arial"/>
                <w:color w:val="000000"/>
                <w:lang w:eastAsia="en-GB"/>
              </w:rPr>
            </w:pPr>
            <w:r w:rsidRPr="00941CDF">
              <w:rPr>
                <w:rFonts w:ascii="Arial" w:eastAsia="Times New Roman" w:hAnsi="Arial" w:cs="Arial"/>
                <w:color w:val="000000"/>
                <w:lang w:eastAsia="en-GB"/>
              </w:rPr>
              <w:t xml:space="preserve"> (75</w:t>
            </w:r>
            <w:r>
              <w:rPr>
                <w:rFonts w:ascii="Arial" w:eastAsia="Times New Roman" w:hAnsi="Arial" w:cs="Arial"/>
                <w:color w:val="000000"/>
                <w:lang w:eastAsia="en-GB"/>
              </w:rPr>
              <w:t>8</w:t>
            </w:r>
            <w:r w:rsidRPr="00941CDF">
              <w:rPr>
                <w:rFonts w:ascii="Arial" w:eastAsia="Times New Roman" w:hAnsi="Arial" w:cs="Arial"/>
                <w:color w:val="000000"/>
                <w:lang w:eastAsia="en-GB"/>
              </w:rPr>
              <w:t>)</w:t>
            </w:r>
          </w:p>
        </w:tc>
        <w:tc>
          <w:tcPr>
            <w:tcW w:w="2100" w:type="dxa"/>
            <w:tcBorders>
              <w:top w:val="nil"/>
              <w:left w:val="nil"/>
              <w:bottom w:val="nil"/>
              <w:right w:val="nil"/>
            </w:tcBorders>
            <w:shd w:val="clear" w:color="auto" w:fill="auto"/>
            <w:vAlign w:val="center"/>
            <w:hideMark/>
          </w:tcPr>
          <w:p w14:paraId="081C9C3E" w14:textId="77777777" w:rsidR="0021298F" w:rsidRPr="00941CDF" w:rsidRDefault="0021298F" w:rsidP="00760009">
            <w:pPr>
              <w:jc w:val="right"/>
              <w:rPr>
                <w:rFonts w:ascii="Arial" w:eastAsia="Times New Roman" w:hAnsi="Arial" w:cs="Arial"/>
                <w:color w:val="000000"/>
                <w:lang w:eastAsia="en-GB"/>
              </w:rPr>
            </w:pPr>
            <w:r w:rsidRPr="00941CDF">
              <w:rPr>
                <w:rFonts w:ascii="Arial" w:eastAsia="Times New Roman" w:hAnsi="Arial" w:cs="Arial"/>
                <w:color w:val="000000"/>
                <w:lang w:eastAsia="en-GB"/>
              </w:rPr>
              <w:t xml:space="preserve"> (990)</w:t>
            </w:r>
          </w:p>
        </w:tc>
      </w:tr>
      <w:tr w:rsidR="0021298F" w:rsidRPr="00941CDF" w14:paraId="47DAC4DE" w14:textId="77777777" w:rsidTr="00760009">
        <w:trPr>
          <w:trHeight w:val="315"/>
        </w:trPr>
        <w:tc>
          <w:tcPr>
            <w:tcW w:w="4708" w:type="dxa"/>
            <w:tcBorders>
              <w:top w:val="nil"/>
              <w:left w:val="nil"/>
              <w:bottom w:val="single" w:sz="8" w:space="0" w:color="auto"/>
              <w:right w:val="nil"/>
            </w:tcBorders>
            <w:shd w:val="clear" w:color="000000" w:fill="FFFFFF"/>
            <w:vAlign w:val="center"/>
            <w:hideMark/>
          </w:tcPr>
          <w:p w14:paraId="1A46324F" w14:textId="77777777" w:rsidR="0021298F" w:rsidRPr="00941CDF" w:rsidRDefault="0021298F" w:rsidP="00760009">
            <w:pPr>
              <w:rPr>
                <w:rFonts w:ascii="Arial" w:eastAsia="Times New Roman" w:hAnsi="Arial" w:cs="Arial"/>
                <w:color w:val="000000"/>
                <w:lang w:eastAsia="en-GB"/>
              </w:rPr>
            </w:pPr>
            <w:r w:rsidRPr="00941CDF">
              <w:rPr>
                <w:rFonts w:ascii="Arial" w:eastAsia="Times New Roman" w:hAnsi="Arial" w:cs="Arial"/>
                <w:color w:val="000000"/>
                <w:lang w:eastAsia="en-GB"/>
              </w:rPr>
              <w:t>Increase in payables</w:t>
            </w:r>
          </w:p>
        </w:tc>
        <w:tc>
          <w:tcPr>
            <w:tcW w:w="156" w:type="dxa"/>
            <w:tcBorders>
              <w:top w:val="nil"/>
              <w:left w:val="nil"/>
              <w:bottom w:val="single" w:sz="8" w:space="0" w:color="auto"/>
              <w:right w:val="nil"/>
            </w:tcBorders>
            <w:shd w:val="clear" w:color="000000" w:fill="EDFFB7"/>
            <w:vAlign w:val="center"/>
            <w:hideMark/>
          </w:tcPr>
          <w:p w14:paraId="1204BEAB" w14:textId="77777777" w:rsidR="0021298F" w:rsidRPr="00941CDF" w:rsidRDefault="0021298F" w:rsidP="00760009">
            <w:pPr>
              <w:jc w:val="right"/>
              <w:rPr>
                <w:rFonts w:ascii="Arial" w:eastAsia="Times New Roman" w:hAnsi="Arial" w:cs="Arial"/>
                <w:color w:val="000000"/>
                <w:lang w:eastAsia="en-GB"/>
              </w:rPr>
            </w:pPr>
            <w:r w:rsidRPr="00941CDF">
              <w:rPr>
                <w:rFonts w:ascii="Arial" w:eastAsia="Times New Roman" w:hAnsi="Arial" w:cs="Arial"/>
                <w:color w:val="000000"/>
                <w:lang w:eastAsia="en-GB"/>
              </w:rPr>
              <w:t> </w:t>
            </w:r>
          </w:p>
        </w:tc>
        <w:tc>
          <w:tcPr>
            <w:tcW w:w="2096" w:type="dxa"/>
            <w:tcBorders>
              <w:top w:val="nil"/>
              <w:left w:val="nil"/>
              <w:bottom w:val="single" w:sz="8" w:space="0" w:color="auto"/>
              <w:right w:val="nil"/>
            </w:tcBorders>
            <w:shd w:val="clear" w:color="000000" w:fill="EDFFB7"/>
            <w:vAlign w:val="center"/>
            <w:hideMark/>
          </w:tcPr>
          <w:p w14:paraId="5B1361EA" w14:textId="77777777" w:rsidR="0021298F" w:rsidRPr="00941CDF" w:rsidRDefault="0021298F" w:rsidP="00760009">
            <w:pPr>
              <w:jc w:val="right"/>
              <w:rPr>
                <w:rFonts w:ascii="Arial" w:eastAsia="Times New Roman" w:hAnsi="Arial" w:cs="Arial"/>
                <w:color w:val="000000"/>
                <w:lang w:eastAsia="en-GB"/>
              </w:rPr>
            </w:pPr>
            <w:r w:rsidRPr="00941CDF">
              <w:rPr>
                <w:rFonts w:ascii="Arial" w:eastAsia="Times New Roman" w:hAnsi="Arial" w:cs="Arial"/>
                <w:color w:val="000000"/>
                <w:lang w:eastAsia="en-GB"/>
              </w:rPr>
              <w:t xml:space="preserve">396 </w:t>
            </w:r>
          </w:p>
        </w:tc>
        <w:tc>
          <w:tcPr>
            <w:tcW w:w="2100" w:type="dxa"/>
            <w:tcBorders>
              <w:top w:val="nil"/>
              <w:left w:val="nil"/>
              <w:bottom w:val="single" w:sz="8" w:space="0" w:color="auto"/>
              <w:right w:val="nil"/>
            </w:tcBorders>
            <w:shd w:val="clear" w:color="auto" w:fill="auto"/>
            <w:vAlign w:val="center"/>
            <w:hideMark/>
          </w:tcPr>
          <w:p w14:paraId="11A025E7" w14:textId="77777777" w:rsidR="0021298F" w:rsidRPr="00941CDF" w:rsidRDefault="0021298F" w:rsidP="00760009">
            <w:pPr>
              <w:jc w:val="right"/>
              <w:rPr>
                <w:rFonts w:ascii="Arial" w:eastAsia="Times New Roman" w:hAnsi="Arial" w:cs="Arial"/>
                <w:color w:val="000000"/>
                <w:lang w:eastAsia="en-GB"/>
              </w:rPr>
            </w:pPr>
            <w:r w:rsidRPr="00941CDF">
              <w:rPr>
                <w:rFonts w:ascii="Arial" w:eastAsia="Times New Roman" w:hAnsi="Arial" w:cs="Arial"/>
                <w:color w:val="000000"/>
                <w:lang w:eastAsia="en-GB"/>
              </w:rPr>
              <w:t xml:space="preserve">492 </w:t>
            </w:r>
          </w:p>
        </w:tc>
      </w:tr>
      <w:tr w:rsidR="0021298F" w:rsidRPr="00941CDF" w14:paraId="247B984B" w14:textId="77777777" w:rsidTr="00760009">
        <w:trPr>
          <w:trHeight w:val="315"/>
        </w:trPr>
        <w:tc>
          <w:tcPr>
            <w:tcW w:w="4708" w:type="dxa"/>
            <w:tcBorders>
              <w:top w:val="nil"/>
              <w:left w:val="nil"/>
              <w:bottom w:val="single" w:sz="8" w:space="0" w:color="auto"/>
              <w:right w:val="nil"/>
            </w:tcBorders>
            <w:shd w:val="clear" w:color="000000" w:fill="FFFFFF"/>
            <w:vAlign w:val="center"/>
            <w:hideMark/>
          </w:tcPr>
          <w:p w14:paraId="2EBF4A19" w14:textId="77777777" w:rsidR="0021298F" w:rsidRPr="00941CDF" w:rsidRDefault="0021298F" w:rsidP="00760009">
            <w:pPr>
              <w:rPr>
                <w:rFonts w:ascii="Arial" w:eastAsia="Times New Roman" w:hAnsi="Arial" w:cs="Arial"/>
                <w:b/>
                <w:bCs/>
                <w:color w:val="000000"/>
                <w:lang w:eastAsia="en-GB"/>
              </w:rPr>
            </w:pPr>
            <w:r w:rsidRPr="00941CDF">
              <w:rPr>
                <w:rFonts w:ascii="Arial" w:eastAsia="Times New Roman" w:hAnsi="Arial" w:cs="Arial"/>
                <w:b/>
                <w:bCs/>
                <w:color w:val="000000"/>
                <w:lang w:eastAsia="en-GB"/>
              </w:rPr>
              <w:t>Net cash flows from operating activities</w:t>
            </w:r>
          </w:p>
        </w:tc>
        <w:tc>
          <w:tcPr>
            <w:tcW w:w="156" w:type="dxa"/>
            <w:tcBorders>
              <w:top w:val="nil"/>
              <w:left w:val="nil"/>
              <w:bottom w:val="single" w:sz="8" w:space="0" w:color="auto"/>
              <w:right w:val="nil"/>
            </w:tcBorders>
            <w:shd w:val="clear" w:color="000000" w:fill="EDFFB7"/>
            <w:vAlign w:val="center"/>
            <w:hideMark/>
          </w:tcPr>
          <w:p w14:paraId="7B8A6590" w14:textId="77777777" w:rsidR="0021298F" w:rsidRPr="00941CDF" w:rsidRDefault="0021298F" w:rsidP="00760009">
            <w:pPr>
              <w:jc w:val="right"/>
              <w:rPr>
                <w:rFonts w:ascii="Arial" w:eastAsia="Times New Roman" w:hAnsi="Arial" w:cs="Arial"/>
                <w:b/>
                <w:bCs/>
                <w:color w:val="000000"/>
                <w:lang w:eastAsia="en-GB"/>
              </w:rPr>
            </w:pPr>
            <w:r w:rsidRPr="00941CDF">
              <w:rPr>
                <w:rFonts w:ascii="Arial" w:eastAsia="Times New Roman" w:hAnsi="Arial" w:cs="Arial"/>
                <w:b/>
                <w:bCs/>
                <w:color w:val="000000"/>
                <w:lang w:eastAsia="en-GB"/>
              </w:rPr>
              <w:t> </w:t>
            </w:r>
          </w:p>
        </w:tc>
        <w:tc>
          <w:tcPr>
            <w:tcW w:w="2096" w:type="dxa"/>
            <w:tcBorders>
              <w:top w:val="nil"/>
              <w:left w:val="nil"/>
              <w:bottom w:val="single" w:sz="8" w:space="0" w:color="auto"/>
              <w:right w:val="nil"/>
            </w:tcBorders>
            <w:shd w:val="clear" w:color="000000" w:fill="EDFFB7"/>
            <w:vAlign w:val="center"/>
            <w:hideMark/>
          </w:tcPr>
          <w:p w14:paraId="07674645" w14:textId="77777777" w:rsidR="0021298F" w:rsidRPr="00941CDF" w:rsidRDefault="0021298F" w:rsidP="00760009">
            <w:pPr>
              <w:jc w:val="right"/>
              <w:rPr>
                <w:rFonts w:ascii="Arial" w:eastAsia="Times New Roman" w:hAnsi="Arial" w:cs="Arial"/>
                <w:b/>
                <w:bCs/>
                <w:color w:val="000000"/>
                <w:lang w:eastAsia="en-GB"/>
              </w:rPr>
            </w:pPr>
            <w:r w:rsidRPr="00941CDF">
              <w:rPr>
                <w:rFonts w:ascii="Arial" w:eastAsia="Times New Roman" w:hAnsi="Arial" w:cs="Arial"/>
                <w:b/>
                <w:bCs/>
                <w:color w:val="000000"/>
                <w:lang w:eastAsia="en-GB"/>
              </w:rPr>
              <w:t xml:space="preserve"> (4,607)</w:t>
            </w:r>
          </w:p>
        </w:tc>
        <w:tc>
          <w:tcPr>
            <w:tcW w:w="2100" w:type="dxa"/>
            <w:tcBorders>
              <w:top w:val="nil"/>
              <w:left w:val="nil"/>
              <w:bottom w:val="single" w:sz="8" w:space="0" w:color="auto"/>
              <w:right w:val="nil"/>
            </w:tcBorders>
            <w:shd w:val="clear" w:color="000000" w:fill="FFFFFF"/>
            <w:noWrap/>
            <w:vAlign w:val="center"/>
            <w:hideMark/>
          </w:tcPr>
          <w:p w14:paraId="1FFF6969" w14:textId="77777777" w:rsidR="0021298F" w:rsidRPr="00941CDF" w:rsidRDefault="0021298F" w:rsidP="00760009">
            <w:pPr>
              <w:jc w:val="right"/>
              <w:rPr>
                <w:rFonts w:ascii="Arial" w:eastAsia="Times New Roman" w:hAnsi="Arial" w:cs="Arial"/>
                <w:b/>
                <w:bCs/>
                <w:color w:val="000000"/>
                <w:lang w:eastAsia="en-GB"/>
              </w:rPr>
            </w:pPr>
            <w:r w:rsidRPr="00941CDF">
              <w:rPr>
                <w:rFonts w:ascii="Arial" w:eastAsia="Times New Roman" w:hAnsi="Arial" w:cs="Arial"/>
                <w:b/>
                <w:bCs/>
                <w:color w:val="000000"/>
                <w:lang w:eastAsia="en-GB"/>
              </w:rPr>
              <w:t xml:space="preserve"> (3,886)</w:t>
            </w:r>
          </w:p>
        </w:tc>
      </w:tr>
    </w:tbl>
    <w:p w14:paraId="348E4319" w14:textId="77777777" w:rsidR="0021298F" w:rsidRDefault="0021298F" w:rsidP="0021298F">
      <w:pPr>
        <w:jc w:val="both"/>
        <w:rPr>
          <w:rFonts w:ascii="Arial" w:hAnsi="Arial" w:cs="Arial"/>
        </w:rPr>
      </w:pPr>
    </w:p>
    <w:p w14:paraId="50B0E55B" w14:textId="77777777" w:rsidR="0021298F" w:rsidRPr="00D229E9" w:rsidRDefault="0021298F" w:rsidP="0021298F">
      <w:pPr>
        <w:pStyle w:val="Heading2"/>
        <w:keepNext w:val="0"/>
        <w:keepLines w:val="0"/>
        <w:spacing w:before="0" w:line="240" w:lineRule="auto"/>
        <w:jc w:val="both"/>
        <w:rPr>
          <w:rFonts w:ascii="Arial" w:hAnsi="Arial" w:cs="Arial"/>
          <w:color w:val="auto"/>
          <w:sz w:val="24"/>
          <w:szCs w:val="22"/>
          <w:lang w:eastAsia="en-GB"/>
        </w:rPr>
      </w:pPr>
      <w:r>
        <w:rPr>
          <w:rFonts w:ascii="Arial" w:hAnsi="Arial" w:cs="Arial"/>
          <w:color w:val="auto"/>
          <w:sz w:val="24"/>
          <w:szCs w:val="22"/>
          <w:lang w:eastAsia="en-GB"/>
        </w:rPr>
        <w:t>18. Financial r</w:t>
      </w:r>
      <w:r w:rsidRPr="00D229E9">
        <w:rPr>
          <w:rFonts w:ascii="Arial" w:hAnsi="Arial" w:cs="Arial"/>
          <w:color w:val="auto"/>
          <w:sz w:val="24"/>
          <w:szCs w:val="22"/>
          <w:lang w:eastAsia="en-GB"/>
        </w:rPr>
        <w:t xml:space="preserve">isk </w:t>
      </w:r>
      <w:r>
        <w:rPr>
          <w:rFonts w:ascii="Arial" w:hAnsi="Arial" w:cs="Arial"/>
          <w:color w:val="auto"/>
          <w:sz w:val="24"/>
          <w:szCs w:val="22"/>
          <w:lang w:eastAsia="en-GB"/>
        </w:rPr>
        <w:t>m</w:t>
      </w:r>
      <w:r w:rsidRPr="00D229E9">
        <w:rPr>
          <w:rFonts w:ascii="Arial" w:hAnsi="Arial" w:cs="Arial"/>
          <w:color w:val="auto"/>
          <w:sz w:val="24"/>
          <w:szCs w:val="22"/>
          <w:lang w:eastAsia="en-GB"/>
        </w:rPr>
        <w:t>anagement</w:t>
      </w:r>
    </w:p>
    <w:p w14:paraId="2D5BB4A5" w14:textId="77777777" w:rsidR="0021298F" w:rsidRDefault="0021298F" w:rsidP="0021298F">
      <w:pPr>
        <w:jc w:val="both"/>
        <w:rPr>
          <w:rFonts w:ascii="Arial" w:eastAsia="Times New Roman" w:hAnsi="Arial" w:cs="Arial"/>
          <w:lang w:eastAsia="en-GB"/>
        </w:rPr>
      </w:pPr>
    </w:p>
    <w:p w14:paraId="322DD697" w14:textId="77777777" w:rsidR="0021298F" w:rsidRPr="00D82D24" w:rsidRDefault="0021298F" w:rsidP="0021298F">
      <w:pPr>
        <w:jc w:val="both"/>
        <w:rPr>
          <w:rFonts w:ascii="Arial" w:hAnsi="Arial" w:cs="Arial"/>
        </w:rPr>
      </w:pPr>
      <w:r>
        <w:rPr>
          <w:rFonts w:ascii="Arial" w:hAnsi="Arial" w:cs="Arial"/>
        </w:rPr>
        <w:t xml:space="preserve">The Investment Manager and the Administrator report to the Board on a quarterly basis and provide information to the Board which allows it to monitor and manage financial risks relating to its operations. </w:t>
      </w:r>
      <w:r w:rsidRPr="00D82D24">
        <w:rPr>
          <w:rFonts w:ascii="Arial" w:hAnsi="Arial" w:cs="Arial"/>
        </w:rPr>
        <w:t xml:space="preserve">The </w:t>
      </w:r>
      <w:r>
        <w:rPr>
          <w:rFonts w:ascii="Arial" w:hAnsi="Arial" w:cs="Arial"/>
        </w:rPr>
        <w:t>Group</w:t>
      </w:r>
      <w:r w:rsidRPr="00D82D24">
        <w:rPr>
          <w:rFonts w:ascii="Arial" w:hAnsi="Arial" w:cs="Arial"/>
        </w:rPr>
        <w:t>’s activities expose it to a variety of financial risks: market risk (including price risk</w:t>
      </w:r>
      <w:r>
        <w:rPr>
          <w:rFonts w:ascii="Arial" w:hAnsi="Arial" w:cs="Arial"/>
        </w:rPr>
        <w:t xml:space="preserve">, </w:t>
      </w:r>
      <w:r w:rsidRPr="00D82D24">
        <w:rPr>
          <w:rFonts w:ascii="Arial" w:hAnsi="Arial" w:cs="Arial"/>
        </w:rPr>
        <w:t>interest rate risk</w:t>
      </w:r>
      <w:r>
        <w:rPr>
          <w:rFonts w:ascii="Arial" w:hAnsi="Arial" w:cs="Arial"/>
        </w:rPr>
        <w:t xml:space="preserve"> and foreign currency risk</w:t>
      </w:r>
      <w:r w:rsidRPr="00D82D24">
        <w:rPr>
          <w:rFonts w:ascii="Arial" w:hAnsi="Arial" w:cs="Arial"/>
        </w:rPr>
        <w:t>), credit risk and liquidity risk.</w:t>
      </w:r>
    </w:p>
    <w:p w14:paraId="238E1E9F" w14:textId="77777777" w:rsidR="0021298F" w:rsidRDefault="0021298F" w:rsidP="0021298F">
      <w:pPr>
        <w:jc w:val="both"/>
        <w:rPr>
          <w:rFonts w:ascii="Arial" w:hAnsi="Arial" w:cs="Arial"/>
        </w:rPr>
      </w:pPr>
    </w:p>
    <w:p w14:paraId="1E398358" w14:textId="77777777" w:rsidR="0021298F" w:rsidRDefault="0021298F" w:rsidP="0021298F">
      <w:pPr>
        <w:jc w:val="both"/>
        <w:rPr>
          <w:rFonts w:ascii="Arial" w:hAnsi="Arial" w:cs="Arial"/>
        </w:rPr>
      </w:pPr>
      <w:r w:rsidRPr="006C1D36">
        <w:rPr>
          <w:rFonts w:ascii="Arial" w:hAnsi="Arial" w:cs="Arial"/>
        </w:rPr>
        <w:t>The Group’s market risk is managed by the</w:t>
      </w:r>
      <w:r>
        <w:rPr>
          <w:rFonts w:ascii="Arial" w:hAnsi="Arial" w:cs="Arial"/>
        </w:rPr>
        <w:t xml:space="preserve"> Investment</w:t>
      </w:r>
      <w:r w:rsidRPr="006C1D36">
        <w:rPr>
          <w:rFonts w:ascii="Arial" w:hAnsi="Arial" w:cs="Arial"/>
        </w:rPr>
        <w:t xml:space="preserve"> Manager in accordance with the policies and procedures in place. The Group’s overall market positions are monitored on a quarterly basis by the Board of Directors.</w:t>
      </w:r>
    </w:p>
    <w:p w14:paraId="1F7088AF" w14:textId="77777777" w:rsidR="0021298F" w:rsidRDefault="0021298F" w:rsidP="0021298F">
      <w:pPr>
        <w:jc w:val="both"/>
        <w:rPr>
          <w:rFonts w:ascii="Arial" w:eastAsia="Times New Roman" w:hAnsi="Arial" w:cs="Arial"/>
          <w:lang w:eastAsia="en-GB"/>
        </w:rPr>
      </w:pPr>
    </w:p>
    <w:p w14:paraId="3B386084" w14:textId="77777777" w:rsidR="0021298F" w:rsidRPr="00333F24" w:rsidRDefault="0021298F" w:rsidP="0021298F">
      <w:pPr>
        <w:jc w:val="both"/>
        <w:rPr>
          <w:rFonts w:ascii="Arial" w:hAnsi="Arial" w:cs="Arial"/>
          <w:b/>
        </w:rPr>
      </w:pPr>
      <w:r w:rsidRPr="00333F24">
        <w:rPr>
          <w:rFonts w:ascii="Arial" w:hAnsi="Arial" w:cs="Arial"/>
          <w:b/>
        </w:rPr>
        <w:t xml:space="preserve">Price </w:t>
      </w:r>
      <w:r>
        <w:rPr>
          <w:rFonts w:ascii="Arial" w:hAnsi="Arial" w:cs="Arial"/>
          <w:b/>
        </w:rPr>
        <w:t>r</w:t>
      </w:r>
      <w:r w:rsidRPr="00333F24">
        <w:rPr>
          <w:rFonts w:ascii="Arial" w:hAnsi="Arial" w:cs="Arial"/>
          <w:b/>
        </w:rPr>
        <w:t>isk</w:t>
      </w:r>
    </w:p>
    <w:p w14:paraId="7CDB719B" w14:textId="77777777" w:rsidR="0021298F" w:rsidRPr="001E30DC" w:rsidRDefault="0021298F" w:rsidP="0021298F">
      <w:pPr>
        <w:jc w:val="both"/>
        <w:rPr>
          <w:rFonts w:ascii="Arial" w:hAnsi="Arial" w:cs="Arial"/>
        </w:rPr>
      </w:pPr>
      <w:r>
        <w:rPr>
          <w:rFonts w:ascii="Arial" w:hAnsi="Arial" w:cs="Arial"/>
        </w:rPr>
        <w:t xml:space="preserve">Price risk is defined as the risk that the fair value of a financial instrument held by the Group will fluctuate. </w:t>
      </w:r>
      <w:r w:rsidRPr="001E30DC">
        <w:rPr>
          <w:rFonts w:ascii="Arial" w:hAnsi="Arial" w:cs="Arial"/>
        </w:rPr>
        <w:t xml:space="preserve">Investments are measured at fair value through profit or loss and are valued on an unlevered, discounted cash flow basis. Therefore, the value of these investments will be (amongst other risk factors) a function of the discounted value of their expected cash flows and, as such, will vary with movements in interest rates and competition for such assets. </w:t>
      </w:r>
      <w:r>
        <w:rPr>
          <w:rFonts w:ascii="Arial" w:hAnsi="Arial" w:cs="Arial"/>
        </w:rPr>
        <w:t>Note 9 details sensitivity analysis on the impact of changes to the inputs used on the fair value of the investments</w:t>
      </w:r>
      <w:r w:rsidRPr="001E30DC">
        <w:rPr>
          <w:rFonts w:ascii="Arial" w:hAnsi="Arial" w:cs="Arial"/>
        </w:rPr>
        <w:t>.</w:t>
      </w:r>
    </w:p>
    <w:p w14:paraId="09A2365B" w14:textId="77777777" w:rsidR="0021298F" w:rsidRDefault="0021298F" w:rsidP="0021298F">
      <w:pPr>
        <w:jc w:val="both"/>
        <w:rPr>
          <w:rFonts w:ascii="Arial" w:hAnsi="Arial" w:cs="Arial"/>
          <w:b/>
        </w:rPr>
      </w:pPr>
    </w:p>
    <w:p w14:paraId="2F0BFC07" w14:textId="77777777" w:rsidR="0021298F" w:rsidRPr="00843FBC" w:rsidRDefault="0021298F" w:rsidP="0021298F">
      <w:pPr>
        <w:jc w:val="both"/>
        <w:rPr>
          <w:rFonts w:ascii="Arial" w:eastAsia="Times New Roman" w:hAnsi="Arial" w:cs="Arial"/>
          <w:b/>
        </w:rPr>
      </w:pPr>
      <w:r w:rsidRPr="00843FBC">
        <w:rPr>
          <w:rFonts w:ascii="Arial" w:eastAsia="Times New Roman" w:hAnsi="Arial" w:cs="Arial"/>
          <w:b/>
        </w:rPr>
        <w:t xml:space="preserve">Interest </w:t>
      </w:r>
      <w:r>
        <w:rPr>
          <w:rFonts w:ascii="Arial" w:eastAsia="Times New Roman" w:hAnsi="Arial" w:cs="Arial"/>
          <w:b/>
        </w:rPr>
        <w:t>r</w:t>
      </w:r>
      <w:r w:rsidRPr="00843FBC">
        <w:rPr>
          <w:rFonts w:ascii="Arial" w:eastAsia="Times New Roman" w:hAnsi="Arial" w:cs="Arial"/>
          <w:b/>
        </w:rPr>
        <w:t xml:space="preserve">ate </w:t>
      </w:r>
      <w:r>
        <w:rPr>
          <w:rFonts w:ascii="Arial" w:eastAsia="Times New Roman" w:hAnsi="Arial" w:cs="Arial"/>
          <w:b/>
        </w:rPr>
        <w:t>r</w:t>
      </w:r>
      <w:r w:rsidRPr="00843FBC">
        <w:rPr>
          <w:rFonts w:ascii="Arial" w:eastAsia="Times New Roman" w:hAnsi="Arial" w:cs="Arial"/>
          <w:b/>
        </w:rPr>
        <w:t>isk</w:t>
      </w:r>
    </w:p>
    <w:p w14:paraId="79D07081" w14:textId="77777777" w:rsidR="0021298F" w:rsidRDefault="0021298F" w:rsidP="0021298F">
      <w:pPr>
        <w:jc w:val="both"/>
        <w:rPr>
          <w:rFonts w:ascii="Arial" w:eastAsia="Times New Roman" w:hAnsi="Arial" w:cs="Arial"/>
        </w:rPr>
      </w:pPr>
      <w:r w:rsidRPr="00304C8E">
        <w:rPr>
          <w:rFonts w:ascii="Arial" w:eastAsia="Times New Roman" w:hAnsi="Arial" w:cs="Arial"/>
        </w:rPr>
        <w:t xml:space="preserve">The Group’s </w:t>
      </w:r>
      <w:r>
        <w:rPr>
          <w:rFonts w:ascii="Arial" w:eastAsia="Times New Roman" w:hAnsi="Arial" w:cs="Arial"/>
        </w:rPr>
        <w:t>most significant</w:t>
      </w:r>
      <w:r w:rsidRPr="00304C8E">
        <w:rPr>
          <w:rFonts w:ascii="Arial" w:eastAsia="Times New Roman" w:hAnsi="Arial" w:cs="Arial"/>
        </w:rPr>
        <w:t xml:space="preserve"> exposure to interest rate risk is due to floating </w:t>
      </w:r>
      <w:r w:rsidRPr="00E75F25">
        <w:rPr>
          <w:rFonts w:ascii="Arial" w:eastAsia="Times New Roman" w:hAnsi="Arial" w:cs="Arial"/>
        </w:rPr>
        <w:t xml:space="preserve">interest rates required to service external borrowings through the revolving credit facility. An increase of </w:t>
      </w:r>
      <w:r>
        <w:rPr>
          <w:rFonts w:ascii="Arial" w:eastAsia="Times New Roman" w:hAnsi="Arial" w:cs="Arial"/>
        </w:rPr>
        <w:t>0.5</w:t>
      </w:r>
      <w:r w:rsidRPr="00E75F25">
        <w:rPr>
          <w:rFonts w:ascii="Arial" w:eastAsia="Times New Roman" w:hAnsi="Arial" w:cs="Arial"/>
        </w:rPr>
        <w:t xml:space="preserve"> per cent represents the Investment Manager’s assessment of a reasonably possible change in interest rates. Should the </w:t>
      </w:r>
      <w:r>
        <w:rPr>
          <w:rFonts w:ascii="Arial" w:eastAsia="Times New Roman" w:hAnsi="Arial" w:cs="Arial"/>
        </w:rPr>
        <w:t>EURIBOR</w:t>
      </w:r>
      <w:r w:rsidRPr="00E75F25">
        <w:rPr>
          <w:rFonts w:ascii="Arial" w:eastAsia="Times New Roman" w:hAnsi="Arial" w:cs="Arial"/>
        </w:rPr>
        <w:t xml:space="preserve"> rate increase from 0 per cent to </w:t>
      </w:r>
      <w:r>
        <w:rPr>
          <w:rFonts w:ascii="Arial" w:eastAsia="Times New Roman" w:hAnsi="Arial" w:cs="Arial"/>
        </w:rPr>
        <w:t>0.5</w:t>
      </w:r>
      <w:r w:rsidRPr="00E75F25">
        <w:rPr>
          <w:rFonts w:ascii="Arial" w:eastAsia="Times New Roman" w:hAnsi="Arial" w:cs="Arial"/>
        </w:rPr>
        <w:t xml:space="preserve"> per cent, the annual interest due on the facility would </w:t>
      </w:r>
      <w:r w:rsidRPr="00C92883">
        <w:rPr>
          <w:rFonts w:ascii="Arial" w:eastAsia="Times New Roman" w:hAnsi="Arial" w:cs="Arial"/>
        </w:rPr>
        <w:t xml:space="preserve">increase </w:t>
      </w:r>
      <w:r w:rsidRPr="00AE47CC">
        <w:rPr>
          <w:rFonts w:ascii="Arial" w:eastAsia="Times New Roman" w:hAnsi="Arial" w:cs="Arial"/>
        </w:rPr>
        <w:t>by €54,040</w:t>
      </w:r>
      <w:r w:rsidRPr="00C92883">
        <w:rPr>
          <w:rFonts w:ascii="Arial" w:eastAsia="Times New Roman" w:hAnsi="Arial" w:cs="Arial"/>
        </w:rPr>
        <w:t xml:space="preserve"> (2019</w:t>
      </w:r>
      <w:r w:rsidRPr="0041290D">
        <w:rPr>
          <w:rFonts w:ascii="Arial" w:eastAsia="Times New Roman" w:hAnsi="Arial" w:cs="Arial"/>
        </w:rPr>
        <w:t xml:space="preserve">: </w:t>
      </w:r>
      <w:r w:rsidRPr="001E34C8">
        <w:rPr>
          <w:rFonts w:ascii="Arial" w:eastAsia="Times New Roman" w:hAnsi="Arial" w:cs="Arial"/>
        </w:rPr>
        <w:t>€1,030,000</w:t>
      </w:r>
      <w:r w:rsidRPr="0041290D">
        <w:rPr>
          <w:rFonts w:ascii="Arial" w:eastAsia="Times New Roman" w:hAnsi="Arial" w:cs="Arial"/>
        </w:rPr>
        <w:t>)</w:t>
      </w:r>
      <w:r>
        <w:rPr>
          <w:rFonts w:ascii="Arial" w:eastAsia="Times New Roman" w:hAnsi="Arial" w:cs="Arial"/>
        </w:rPr>
        <w:t xml:space="preserve"> based on amounts drawn under the facility at 31 December 2020</w:t>
      </w:r>
      <w:r w:rsidRPr="0041290D">
        <w:rPr>
          <w:rFonts w:ascii="Arial" w:eastAsia="Times New Roman" w:hAnsi="Arial" w:cs="Arial"/>
        </w:rPr>
        <w:t>. The Investment Manager regularly monitors interest rates to ensure the Group has adequat</w:t>
      </w:r>
      <w:r w:rsidRPr="00304C8E">
        <w:rPr>
          <w:rFonts w:ascii="Arial" w:eastAsia="Times New Roman" w:hAnsi="Arial" w:cs="Arial"/>
        </w:rPr>
        <w:t>e provisions in place in the event of significant fluctuations.</w:t>
      </w:r>
    </w:p>
    <w:p w14:paraId="4C790E82" w14:textId="77777777" w:rsidR="0021298F" w:rsidRPr="00F73CF4" w:rsidRDefault="0021298F" w:rsidP="0021298F">
      <w:pPr>
        <w:jc w:val="both"/>
        <w:rPr>
          <w:rFonts w:ascii="Arial" w:eastAsia="Times New Roman" w:hAnsi="Arial" w:cs="Arial"/>
        </w:rPr>
      </w:pPr>
    </w:p>
    <w:p w14:paraId="5B2E5EA0" w14:textId="77777777" w:rsidR="0021298F" w:rsidRPr="00C1639F" w:rsidRDefault="0021298F" w:rsidP="0021298F">
      <w:pPr>
        <w:rPr>
          <w:rFonts w:ascii="Arial" w:eastAsia="Times New Roman" w:hAnsi="Arial" w:cs="Arial"/>
          <w:b/>
        </w:rPr>
      </w:pPr>
      <w:r>
        <w:rPr>
          <w:rFonts w:ascii="Arial" w:eastAsia="Times New Roman" w:hAnsi="Arial" w:cs="Arial"/>
        </w:rPr>
        <w:t>In accordance with the Company’s investment policy, it may enter into hedging transactions in relation to interest rates for the purposes of efficient financial risk management. The Company will not enter into derivative transactions for speculative purposes.</w:t>
      </w:r>
    </w:p>
    <w:p w14:paraId="1CF11251" w14:textId="77777777" w:rsidR="0021298F" w:rsidRPr="00F73CF4" w:rsidRDefault="0021298F" w:rsidP="0021298F">
      <w:pPr>
        <w:jc w:val="both"/>
        <w:rPr>
          <w:rFonts w:ascii="Arial" w:eastAsia="Times New Roman" w:hAnsi="Arial" w:cs="Arial"/>
        </w:rPr>
      </w:pPr>
    </w:p>
    <w:p w14:paraId="6758805F" w14:textId="77777777" w:rsidR="0021298F" w:rsidRPr="00F73CF4" w:rsidRDefault="0021298F" w:rsidP="0021298F">
      <w:pPr>
        <w:jc w:val="both"/>
        <w:rPr>
          <w:rFonts w:ascii="Arial" w:eastAsia="Times New Roman" w:hAnsi="Arial" w:cs="Arial"/>
        </w:rPr>
      </w:pPr>
      <w:r w:rsidRPr="00581F35">
        <w:rPr>
          <w:rFonts w:ascii="Arial" w:eastAsia="Times New Roman" w:hAnsi="Arial" w:cs="Arial"/>
        </w:rPr>
        <w:t>T</w:t>
      </w:r>
      <w:r w:rsidRPr="0032767A">
        <w:rPr>
          <w:rFonts w:ascii="Arial" w:eastAsia="Times New Roman" w:hAnsi="Arial" w:cs="Arial"/>
        </w:rPr>
        <w:t>he Directors consider shareholder loan investment</w:t>
      </w:r>
      <w:r w:rsidRPr="00581F35">
        <w:rPr>
          <w:rFonts w:ascii="Arial" w:eastAsia="Times New Roman" w:hAnsi="Arial" w:cs="Arial"/>
        </w:rPr>
        <w:t>s</w:t>
      </w:r>
      <w:r w:rsidRPr="0032767A">
        <w:rPr>
          <w:rFonts w:ascii="Arial" w:eastAsia="Times New Roman" w:hAnsi="Arial" w:cs="Arial"/>
        </w:rPr>
        <w:t xml:space="preserve"> to be similar in nature to</w:t>
      </w:r>
      <w:r w:rsidRPr="00581F35">
        <w:rPr>
          <w:rFonts w:ascii="Arial" w:eastAsia="Times New Roman" w:hAnsi="Arial" w:cs="Arial"/>
        </w:rPr>
        <w:t xml:space="preserve"> equity investments and</w:t>
      </w:r>
      <w:r>
        <w:rPr>
          <w:rFonts w:ascii="Arial" w:eastAsia="Times New Roman" w:hAnsi="Arial" w:cs="Arial"/>
        </w:rPr>
        <w:t>,</w:t>
      </w:r>
      <w:r w:rsidRPr="0032767A">
        <w:rPr>
          <w:rFonts w:ascii="Arial" w:eastAsia="Times New Roman" w:hAnsi="Arial" w:cs="Arial"/>
        </w:rPr>
        <w:t xml:space="preserve"> as these loans bear interest at a fixed rate</w:t>
      </w:r>
      <w:r>
        <w:rPr>
          <w:rFonts w:ascii="Arial" w:eastAsia="Times New Roman" w:hAnsi="Arial" w:cs="Arial"/>
        </w:rPr>
        <w:t>,</w:t>
      </w:r>
      <w:r w:rsidRPr="0032767A">
        <w:rPr>
          <w:rFonts w:ascii="Arial" w:eastAsia="Times New Roman" w:hAnsi="Arial" w:cs="Arial"/>
        </w:rPr>
        <w:t xml:space="preserve"> they </w:t>
      </w:r>
      <w:r w:rsidRPr="00581F35">
        <w:rPr>
          <w:rFonts w:ascii="Arial" w:eastAsia="Times New Roman" w:hAnsi="Arial" w:cs="Arial"/>
        </w:rPr>
        <w:t>do not carry an interest rate risk</w:t>
      </w:r>
      <w:r>
        <w:rPr>
          <w:rFonts w:ascii="Arial" w:eastAsia="Times New Roman" w:hAnsi="Arial" w:cs="Arial"/>
        </w:rPr>
        <w:t>.</w:t>
      </w:r>
    </w:p>
    <w:p w14:paraId="49419946" w14:textId="77777777" w:rsidR="0021298F" w:rsidRPr="00F73CF4" w:rsidRDefault="0021298F" w:rsidP="0021298F">
      <w:pPr>
        <w:jc w:val="both"/>
        <w:rPr>
          <w:rFonts w:ascii="Arial" w:eastAsia="Times New Roman" w:hAnsi="Arial" w:cs="Arial"/>
        </w:rPr>
      </w:pPr>
    </w:p>
    <w:p w14:paraId="74A1E752" w14:textId="77777777" w:rsidR="0021298F" w:rsidRDefault="0021298F" w:rsidP="0021298F">
      <w:pPr>
        <w:jc w:val="both"/>
        <w:rPr>
          <w:rFonts w:ascii="Arial" w:eastAsia="Times New Roman" w:hAnsi="Arial" w:cs="Arial"/>
        </w:rPr>
      </w:pPr>
      <w:r w:rsidRPr="00F73CF4">
        <w:rPr>
          <w:rFonts w:ascii="Arial" w:eastAsia="Times New Roman" w:hAnsi="Arial" w:cs="Arial"/>
        </w:rPr>
        <w:t xml:space="preserve">The Group’s interest and non-interest bearing assets and liabilities as at </w:t>
      </w:r>
      <w:r>
        <w:rPr>
          <w:rFonts w:ascii="Arial" w:eastAsia="Times New Roman" w:hAnsi="Arial" w:cs="Arial"/>
        </w:rPr>
        <w:t>31 December 2020 are summarised below:</w:t>
      </w:r>
    </w:p>
    <w:tbl>
      <w:tblPr>
        <w:tblW w:w="8960" w:type="dxa"/>
        <w:tblLook w:val="04A0" w:firstRow="1" w:lastRow="0" w:firstColumn="1" w:lastColumn="0" w:noHBand="0" w:noVBand="1"/>
      </w:tblPr>
      <w:tblGrid>
        <w:gridCol w:w="3216"/>
        <w:gridCol w:w="1416"/>
        <w:gridCol w:w="1416"/>
        <w:gridCol w:w="1456"/>
        <w:gridCol w:w="1456"/>
      </w:tblGrid>
      <w:tr w:rsidR="0021298F" w:rsidRPr="00941CDF" w14:paraId="35C1955B" w14:textId="77777777" w:rsidTr="00760009">
        <w:trPr>
          <w:trHeight w:val="330"/>
        </w:trPr>
        <w:tc>
          <w:tcPr>
            <w:tcW w:w="3216" w:type="dxa"/>
            <w:tcBorders>
              <w:top w:val="nil"/>
              <w:left w:val="nil"/>
              <w:bottom w:val="nil"/>
              <w:right w:val="nil"/>
            </w:tcBorders>
            <w:shd w:val="clear" w:color="000000" w:fill="FFFFFF"/>
            <w:noWrap/>
            <w:vAlign w:val="bottom"/>
            <w:hideMark/>
          </w:tcPr>
          <w:p w14:paraId="02342D47" w14:textId="77777777" w:rsidR="0021298F" w:rsidRPr="00941CDF" w:rsidRDefault="0021298F" w:rsidP="00760009">
            <w:pPr>
              <w:rPr>
                <w:rFonts w:ascii="Arial" w:eastAsia="Times New Roman" w:hAnsi="Arial" w:cs="Arial"/>
                <w:b/>
                <w:bCs/>
                <w:color w:val="000000"/>
                <w:lang w:eastAsia="en-GB"/>
              </w:rPr>
            </w:pPr>
            <w:r w:rsidRPr="00941CDF">
              <w:rPr>
                <w:rFonts w:ascii="Arial" w:eastAsia="Times New Roman" w:hAnsi="Arial" w:cs="Arial"/>
                <w:b/>
                <w:bCs/>
                <w:color w:val="000000"/>
                <w:lang w:eastAsia="en-GB"/>
              </w:rPr>
              <w:t> </w:t>
            </w:r>
          </w:p>
        </w:tc>
        <w:tc>
          <w:tcPr>
            <w:tcW w:w="2832" w:type="dxa"/>
            <w:gridSpan w:val="2"/>
            <w:tcBorders>
              <w:top w:val="nil"/>
              <w:left w:val="nil"/>
              <w:bottom w:val="nil"/>
              <w:right w:val="nil"/>
            </w:tcBorders>
            <w:shd w:val="clear" w:color="000000" w:fill="FFFFFF"/>
            <w:vAlign w:val="bottom"/>
            <w:hideMark/>
          </w:tcPr>
          <w:p w14:paraId="26B9B345" w14:textId="77777777" w:rsidR="0021298F" w:rsidRPr="00941CDF" w:rsidRDefault="0021298F" w:rsidP="00760009">
            <w:pPr>
              <w:jc w:val="center"/>
              <w:rPr>
                <w:rFonts w:ascii="Arial" w:eastAsia="Times New Roman" w:hAnsi="Arial" w:cs="Arial"/>
                <w:b/>
                <w:bCs/>
                <w:color w:val="000000"/>
                <w:lang w:eastAsia="en-GB"/>
              </w:rPr>
            </w:pPr>
            <w:r w:rsidRPr="00941CDF">
              <w:rPr>
                <w:rFonts w:ascii="Arial" w:eastAsia="Times New Roman" w:hAnsi="Arial" w:cs="Arial"/>
                <w:b/>
                <w:bCs/>
                <w:color w:val="000000"/>
                <w:lang w:eastAsia="en-GB"/>
              </w:rPr>
              <w:t>Interest bearing</w:t>
            </w:r>
          </w:p>
        </w:tc>
        <w:tc>
          <w:tcPr>
            <w:tcW w:w="1456" w:type="dxa"/>
            <w:tcBorders>
              <w:top w:val="nil"/>
              <w:left w:val="nil"/>
              <w:bottom w:val="nil"/>
              <w:right w:val="nil"/>
            </w:tcBorders>
            <w:shd w:val="clear" w:color="000000" w:fill="FFFFFF"/>
            <w:noWrap/>
            <w:vAlign w:val="bottom"/>
            <w:hideMark/>
          </w:tcPr>
          <w:p w14:paraId="3D1F1391" w14:textId="77777777" w:rsidR="0021298F" w:rsidRPr="00941CDF" w:rsidRDefault="0021298F" w:rsidP="00760009">
            <w:pPr>
              <w:rPr>
                <w:rFonts w:ascii="Calibri" w:eastAsia="Times New Roman" w:hAnsi="Calibri" w:cs="Calibri"/>
                <w:color w:val="000000"/>
                <w:lang w:eastAsia="en-GB"/>
              </w:rPr>
            </w:pPr>
            <w:r w:rsidRPr="00941CDF">
              <w:rPr>
                <w:rFonts w:ascii="Calibri" w:eastAsia="Times New Roman" w:hAnsi="Calibri" w:cs="Calibri"/>
                <w:color w:val="000000"/>
                <w:lang w:eastAsia="en-GB"/>
              </w:rPr>
              <w:t> </w:t>
            </w:r>
          </w:p>
        </w:tc>
        <w:tc>
          <w:tcPr>
            <w:tcW w:w="1456" w:type="dxa"/>
            <w:tcBorders>
              <w:top w:val="nil"/>
              <w:left w:val="nil"/>
              <w:bottom w:val="nil"/>
              <w:right w:val="nil"/>
            </w:tcBorders>
            <w:shd w:val="clear" w:color="000000" w:fill="FFFFFF"/>
            <w:noWrap/>
            <w:vAlign w:val="bottom"/>
            <w:hideMark/>
          </w:tcPr>
          <w:p w14:paraId="6C3E86AD" w14:textId="77777777" w:rsidR="0021298F" w:rsidRPr="00941CDF" w:rsidRDefault="0021298F" w:rsidP="00760009">
            <w:pPr>
              <w:rPr>
                <w:rFonts w:ascii="Calibri" w:eastAsia="Times New Roman" w:hAnsi="Calibri" w:cs="Calibri"/>
                <w:color w:val="000000"/>
                <w:lang w:eastAsia="en-GB"/>
              </w:rPr>
            </w:pPr>
            <w:r w:rsidRPr="00941CDF">
              <w:rPr>
                <w:rFonts w:ascii="Calibri" w:eastAsia="Times New Roman" w:hAnsi="Calibri" w:cs="Calibri"/>
                <w:color w:val="000000"/>
                <w:lang w:eastAsia="en-GB"/>
              </w:rPr>
              <w:t> </w:t>
            </w:r>
          </w:p>
        </w:tc>
      </w:tr>
      <w:tr w:rsidR="0021298F" w:rsidRPr="00941CDF" w14:paraId="61B3F3AE" w14:textId="77777777" w:rsidTr="00760009">
        <w:trPr>
          <w:trHeight w:val="900"/>
        </w:trPr>
        <w:tc>
          <w:tcPr>
            <w:tcW w:w="3216" w:type="dxa"/>
            <w:tcBorders>
              <w:top w:val="nil"/>
              <w:left w:val="nil"/>
              <w:bottom w:val="nil"/>
              <w:right w:val="nil"/>
            </w:tcBorders>
            <w:shd w:val="clear" w:color="000000" w:fill="FFFFFF"/>
            <w:vAlign w:val="center"/>
            <w:hideMark/>
          </w:tcPr>
          <w:p w14:paraId="5E8B9D4C" w14:textId="77777777" w:rsidR="0021298F" w:rsidRPr="00941CDF" w:rsidRDefault="0021298F" w:rsidP="00760009">
            <w:pPr>
              <w:jc w:val="both"/>
              <w:rPr>
                <w:rFonts w:ascii="Arial" w:eastAsia="Times New Roman" w:hAnsi="Arial" w:cs="Arial"/>
                <w:b/>
                <w:bCs/>
                <w:color w:val="000000"/>
                <w:lang w:eastAsia="en-GB"/>
              </w:rPr>
            </w:pPr>
            <w:r w:rsidRPr="00941CDF">
              <w:rPr>
                <w:rFonts w:ascii="Arial" w:eastAsia="Times New Roman" w:hAnsi="Arial" w:cs="Arial"/>
                <w:b/>
                <w:bCs/>
                <w:color w:val="000000"/>
                <w:lang w:eastAsia="en-GB"/>
              </w:rPr>
              <w:lastRenderedPageBreak/>
              <w:t>Group</w:t>
            </w:r>
          </w:p>
        </w:tc>
        <w:tc>
          <w:tcPr>
            <w:tcW w:w="1416" w:type="dxa"/>
            <w:tcBorders>
              <w:top w:val="nil"/>
              <w:left w:val="nil"/>
              <w:bottom w:val="nil"/>
              <w:right w:val="nil"/>
            </w:tcBorders>
            <w:shd w:val="clear" w:color="000000" w:fill="FFFFFF"/>
            <w:vAlign w:val="bottom"/>
            <w:hideMark/>
          </w:tcPr>
          <w:p w14:paraId="2D1E5343" w14:textId="77777777" w:rsidR="0021298F" w:rsidRPr="00941CDF" w:rsidRDefault="0021298F" w:rsidP="00760009">
            <w:pPr>
              <w:jc w:val="right"/>
              <w:rPr>
                <w:rFonts w:ascii="Arial" w:eastAsia="Times New Roman" w:hAnsi="Arial" w:cs="Arial"/>
                <w:b/>
                <w:bCs/>
                <w:color w:val="000000"/>
                <w:lang w:eastAsia="en-GB"/>
              </w:rPr>
            </w:pPr>
            <w:r w:rsidRPr="00941CDF">
              <w:rPr>
                <w:rFonts w:ascii="Arial" w:eastAsia="Times New Roman" w:hAnsi="Arial" w:cs="Arial"/>
                <w:b/>
                <w:bCs/>
                <w:color w:val="000000"/>
                <w:lang w:eastAsia="en-GB"/>
              </w:rPr>
              <w:t>Fixed rate</w:t>
            </w:r>
          </w:p>
        </w:tc>
        <w:tc>
          <w:tcPr>
            <w:tcW w:w="1416" w:type="dxa"/>
            <w:tcBorders>
              <w:top w:val="nil"/>
              <w:left w:val="nil"/>
              <w:bottom w:val="nil"/>
              <w:right w:val="nil"/>
            </w:tcBorders>
            <w:shd w:val="clear" w:color="000000" w:fill="FFFFFF"/>
            <w:vAlign w:val="bottom"/>
            <w:hideMark/>
          </w:tcPr>
          <w:p w14:paraId="7F6D0555" w14:textId="77777777" w:rsidR="0021298F" w:rsidRPr="00941CDF" w:rsidRDefault="0021298F" w:rsidP="00760009">
            <w:pPr>
              <w:jc w:val="right"/>
              <w:rPr>
                <w:rFonts w:ascii="Arial" w:eastAsia="Times New Roman" w:hAnsi="Arial" w:cs="Arial"/>
                <w:b/>
                <w:bCs/>
                <w:color w:val="000000"/>
                <w:lang w:eastAsia="en-GB"/>
              </w:rPr>
            </w:pPr>
            <w:r w:rsidRPr="00941CDF">
              <w:rPr>
                <w:rFonts w:ascii="Arial" w:eastAsia="Times New Roman" w:hAnsi="Arial" w:cs="Arial"/>
                <w:b/>
                <w:bCs/>
                <w:color w:val="000000"/>
                <w:lang w:eastAsia="en-GB"/>
              </w:rPr>
              <w:t>Floating rate</w:t>
            </w:r>
          </w:p>
        </w:tc>
        <w:tc>
          <w:tcPr>
            <w:tcW w:w="1456" w:type="dxa"/>
            <w:tcBorders>
              <w:top w:val="nil"/>
              <w:left w:val="nil"/>
              <w:bottom w:val="nil"/>
              <w:right w:val="nil"/>
            </w:tcBorders>
            <w:shd w:val="clear" w:color="000000" w:fill="FFFFFF"/>
            <w:vAlign w:val="bottom"/>
            <w:hideMark/>
          </w:tcPr>
          <w:p w14:paraId="14727F79" w14:textId="77777777" w:rsidR="0021298F" w:rsidRPr="00941CDF" w:rsidRDefault="0021298F" w:rsidP="00760009">
            <w:pPr>
              <w:jc w:val="right"/>
              <w:rPr>
                <w:rFonts w:ascii="Arial" w:eastAsia="Times New Roman" w:hAnsi="Arial" w:cs="Arial"/>
                <w:b/>
                <w:bCs/>
                <w:color w:val="000000"/>
                <w:lang w:eastAsia="en-GB"/>
              </w:rPr>
            </w:pPr>
            <w:r w:rsidRPr="00941CDF">
              <w:rPr>
                <w:rFonts w:ascii="Arial" w:eastAsia="Times New Roman" w:hAnsi="Arial" w:cs="Arial"/>
                <w:b/>
                <w:bCs/>
                <w:color w:val="000000"/>
                <w:lang w:eastAsia="en-GB"/>
              </w:rPr>
              <w:t xml:space="preserve"> Non-interest bearing</w:t>
            </w:r>
          </w:p>
        </w:tc>
        <w:tc>
          <w:tcPr>
            <w:tcW w:w="1456" w:type="dxa"/>
            <w:tcBorders>
              <w:top w:val="nil"/>
              <w:left w:val="nil"/>
              <w:bottom w:val="nil"/>
              <w:right w:val="nil"/>
            </w:tcBorders>
            <w:shd w:val="clear" w:color="000000" w:fill="FFFFFF"/>
            <w:vAlign w:val="bottom"/>
            <w:hideMark/>
          </w:tcPr>
          <w:p w14:paraId="07910686" w14:textId="77777777" w:rsidR="0021298F" w:rsidRPr="00941CDF" w:rsidRDefault="0021298F" w:rsidP="00760009">
            <w:pPr>
              <w:jc w:val="right"/>
              <w:rPr>
                <w:rFonts w:ascii="Arial" w:eastAsia="Times New Roman" w:hAnsi="Arial" w:cs="Arial"/>
                <w:b/>
                <w:bCs/>
                <w:color w:val="000000"/>
                <w:lang w:eastAsia="en-GB"/>
              </w:rPr>
            </w:pPr>
            <w:r w:rsidRPr="00941CDF">
              <w:rPr>
                <w:rFonts w:ascii="Arial" w:eastAsia="Times New Roman" w:hAnsi="Arial" w:cs="Arial"/>
                <w:b/>
                <w:bCs/>
                <w:color w:val="000000"/>
                <w:lang w:eastAsia="en-GB"/>
              </w:rPr>
              <w:t>Total</w:t>
            </w:r>
          </w:p>
        </w:tc>
      </w:tr>
      <w:tr w:rsidR="0021298F" w:rsidRPr="00941CDF" w14:paraId="5381CD0E" w14:textId="77777777" w:rsidTr="00760009">
        <w:trPr>
          <w:trHeight w:val="300"/>
        </w:trPr>
        <w:tc>
          <w:tcPr>
            <w:tcW w:w="3216" w:type="dxa"/>
            <w:tcBorders>
              <w:top w:val="nil"/>
              <w:left w:val="nil"/>
              <w:bottom w:val="single" w:sz="4" w:space="0" w:color="auto"/>
              <w:right w:val="nil"/>
            </w:tcBorders>
            <w:shd w:val="clear" w:color="000000" w:fill="FFFFFF"/>
            <w:vAlign w:val="center"/>
            <w:hideMark/>
          </w:tcPr>
          <w:p w14:paraId="4F985278" w14:textId="77777777" w:rsidR="0021298F" w:rsidRPr="00941CDF" w:rsidRDefault="0021298F" w:rsidP="00760009">
            <w:pPr>
              <w:jc w:val="both"/>
              <w:rPr>
                <w:rFonts w:ascii="Arial" w:eastAsia="Times New Roman" w:hAnsi="Arial" w:cs="Arial"/>
                <w:color w:val="000000"/>
                <w:lang w:eastAsia="en-GB"/>
              </w:rPr>
            </w:pPr>
            <w:r w:rsidRPr="00941CDF">
              <w:rPr>
                <w:rFonts w:ascii="Arial" w:eastAsia="Times New Roman" w:hAnsi="Arial" w:cs="Arial"/>
                <w:color w:val="000000"/>
                <w:lang w:eastAsia="en-GB"/>
              </w:rPr>
              <w:t> </w:t>
            </w:r>
          </w:p>
        </w:tc>
        <w:tc>
          <w:tcPr>
            <w:tcW w:w="1416" w:type="dxa"/>
            <w:tcBorders>
              <w:top w:val="nil"/>
              <w:left w:val="nil"/>
              <w:bottom w:val="single" w:sz="4" w:space="0" w:color="auto"/>
              <w:right w:val="nil"/>
            </w:tcBorders>
            <w:shd w:val="clear" w:color="000000" w:fill="FFFFFF"/>
            <w:noWrap/>
            <w:vAlign w:val="center"/>
            <w:hideMark/>
          </w:tcPr>
          <w:p w14:paraId="21A0B3E4" w14:textId="77777777" w:rsidR="0021298F" w:rsidRPr="00941CDF" w:rsidRDefault="0021298F" w:rsidP="00760009">
            <w:pPr>
              <w:jc w:val="right"/>
              <w:rPr>
                <w:rFonts w:ascii="Arial" w:eastAsia="Times New Roman" w:hAnsi="Arial" w:cs="Arial"/>
                <w:b/>
                <w:bCs/>
                <w:color w:val="000000"/>
                <w:lang w:eastAsia="en-GB"/>
              </w:rPr>
            </w:pPr>
            <w:r w:rsidRPr="00941CDF">
              <w:rPr>
                <w:rFonts w:ascii="Arial" w:eastAsia="Times New Roman" w:hAnsi="Arial" w:cs="Arial"/>
                <w:b/>
                <w:bCs/>
                <w:color w:val="000000"/>
                <w:lang w:eastAsia="en-GB"/>
              </w:rPr>
              <w:t>€’000</w:t>
            </w:r>
          </w:p>
        </w:tc>
        <w:tc>
          <w:tcPr>
            <w:tcW w:w="1416" w:type="dxa"/>
            <w:tcBorders>
              <w:top w:val="nil"/>
              <w:left w:val="nil"/>
              <w:bottom w:val="single" w:sz="4" w:space="0" w:color="auto"/>
              <w:right w:val="nil"/>
            </w:tcBorders>
            <w:shd w:val="clear" w:color="000000" w:fill="FFFFFF"/>
            <w:noWrap/>
            <w:vAlign w:val="center"/>
            <w:hideMark/>
          </w:tcPr>
          <w:p w14:paraId="2D21F3B1" w14:textId="77777777" w:rsidR="0021298F" w:rsidRPr="00941CDF" w:rsidRDefault="0021298F" w:rsidP="00760009">
            <w:pPr>
              <w:jc w:val="right"/>
              <w:rPr>
                <w:rFonts w:ascii="Arial" w:eastAsia="Times New Roman" w:hAnsi="Arial" w:cs="Arial"/>
                <w:b/>
                <w:bCs/>
                <w:color w:val="000000"/>
                <w:lang w:eastAsia="en-GB"/>
              </w:rPr>
            </w:pPr>
            <w:r w:rsidRPr="00941CDF">
              <w:rPr>
                <w:rFonts w:ascii="Arial" w:eastAsia="Times New Roman" w:hAnsi="Arial" w:cs="Arial"/>
                <w:b/>
                <w:bCs/>
                <w:color w:val="000000"/>
                <w:lang w:eastAsia="en-GB"/>
              </w:rPr>
              <w:t>€’000</w:t>
            </w:r>
          </w:p>
        </w:tc>
        <w:tc>
          <w:tcPr>
            <w:tcW w:w="1456" w:type="dxa"/>
            <w:tcBorders>
              <w:top w:val="nil"/>
              <w:left w:val="nil"/>
              <w:bottom w:val="single" w:sz="4" w:space="0" w:color="auto"/>
              <w:right w:val="nil"/>
            </w:tcBorders>
            <w:shd w:val="clear" w:color="000000" w:fill="FFFFFF"/>
            <w:noWrap/>
            <w:vAlign w:val="center"/>
            <w:hideMark/>
          </w:tcPr>
          <w:p w14:paraId="0A8E9A2E" w14:textId="77777777" w:rsidR="0021298F" w:rsidRPr="00941CDF" w:rsidRDefault="0021298F" w:rsidP="00760009">
            <w:pPr>
              <w:jc w:val="right"/>
              <w:rPr>
                <w:rFonts w:ascii="Arial" w:eastAsia="Times New Roman" w:hAnsi="Arial" w:cs="Arial"/>
                <w:b/>
                <w:bCs/>
                <w:color w:val="000000"/>
                <w:lang w:eastAsia="en-GB"/>
              </w:rPr>
            </w:pPr>
            <w:r w:rsidRPr="00941CDF">
              <w:rPr>
                <w:rFonts w:ascii="Arial" w:eastAsia="Times New Roman" w:hAnsi="Arial" w:cs="Arial"/>
                <w:b/>
                <w:bCs/>
                <w:color w:val="000000"/>
                <w:lang w:eastAsia="en-GB"/>
              </w:rPr>
              <w:t>€’000</w:t>
            </w:r>
          </w:p>
        </w:tc>
        <w:tc>
          <w:tcPr>
            <w:tcW w:w="1456" w:type="dxa"/>
            <w:tcBorders>
              <w:top w:val="nil"/>
              <w:left w:val="nil"/>
              <w:bottom w:val="single" w:sz="4" w:space="0" w:color="auto"/>
              <w:right w:val="nil"/>
            </w:tcBorders>
            <w:shd w:val="clear" w:color="000000" w:fill="FFFFFF"/>
            <w:noWrap/>
            <w:vAlign w:val="center"/>
            <w:hideMark/>
          </w:tcPr>
          <w:p w14:paraId="1BBD9820" w14:textId="77777777" w:rsidR="0021298F" w:rsidRPr="00941CDF" w:rsidRDefault="0021298F" w:rsidP="00760009">
            <w:pPr>
              <w:jc w:val="right"/>
              <w:rPr>
                <w:rFonts w:ascii="Arial" w:eastAsia="Times New Roman" w:hAnsi="Arial" w:cs="Arial"/>
                <w:b/>
                <w:bCs/>
                <w:color w:val="000000"/>
                <w:lang w:eastAsia="en-GB"/>
              </w:rPr>
            </w:pPr>
            <w:r w:rsidRPr="00941CDF">
              <w:rPr>
                <w:rFonts w:ascii="Arial" w:eastAsia="Times New Roman" w:hAnsi="Arial" w:cs="Arial"/>
                <w:b/>
                <w:bCs/>
                <w:color w:val="000000"/>
                <w:lang w:eastAsia="en-GB"/>
              </w:rPr>
              <w:t>€’000</w:t>
            </w:r>
          </w:p>
        </w:tc>
      </w:tr>
      <w:tr w:rsidR="0021298F" w:rsidRPr="00941CDF" w14:paraId="5DCB60EE" w14:textId="77777777" w:rsidTr="00760009">
        <w:trPr>
          <w:trHeight w:val="300"/>
        </w:trPr>
        <w:tc>
          <w:tcPr>
            <w:tcW w:w="3216" w:type="dxa"/>
            <w:tcBorders>
              <w:top w:val="nil"/>
              <w:left w:val="nil"/>
              <w:bottom w:val="nil"/>
              <w:right w:val="nil"/>
            </w:tcBorders>
            <w:shd w:val="clear" w:color="000000" w:fill="FFFFFF"/>
            <w:vAlign w:val="center"/>
            <w:hideMark/>
          </w:tcPr>
          <w:p w14:paraId="35A46C3A" w14:textId="77777777" w:rsidR="0021298F" w:rsidRPr="00941CDF" w:rsidRDefault="0021298F" w:rsidP="00760009">
            <w:pPr>
              <w:jc w:val="both"/>
              <w:rPr>
                <w:rFonts w:ascii="Arial" w:eastAsia="Times New Roman" w:hAnsi="Arial" w:cs="Arial"/>
                <w:b/>
                <w:bCs/>
                <w:color w:val="000000"/>
                <w:lang w:eastAsia="en-GB"/>
              </w:rPr>
            </w:pPr>
            <w:r w:rsidRPr="00941CDF">
              <w:rPr>
                <w:rFonts w:ascii="Arial" w:eastAsia="Times New Roman" w:hAnsi="Arial" w:cs="Arial"/>
                <w:b/>
                <w:bCs/>
                <w:color w:val="000000"/>
                <w:lang w:eastAsia="en-GB"/>
              </w:rPr>
              <w:t>Assets</w:t>
            </w:r>
          </w:p>
        </w:tc>
        <w:tc>
          <w:tcPr>
            <w:tcW w:w="1416" w:type="dxa"/>
            <w:tcBorders>
              <w:top w:val="nil"/>
              <w:left w:val="nil"/>
              <w:bottom w:val="nil"/>
              <w:right w:val="nil"/>
            </w:tcBorders>
            <w:shd w:val="clear" w:color="000000" w:fill="EDFFB7"/>
            <w:noWrap/>
            <w:vAlign w:val="center"/>
            <w:hideMark/>
          </w:tcPr>
          <w:p w14:paraId="7FD8B440" w14:textId="77777777" w:rsidR="0021298F" w:rsidRPr="00941CDF" w:rsidRDefault="0021298F" w:rsidP="00760009">
            <w:pPr>
              <w:jc w:val="right"/>
              <w:rPr>
                <w:rFonts w:ascii="Arial" w:eastAsia="Times New Roman" w:hAnsi="Arial" w:cs="Arial"/>
                <w:b/>
                <w:bCs/>
                <w:color w:val="000000"/>
                <w:lang w:eastAsia="en-GB"/>
              </w:rPr>
            </w:pPr>
            <w:r w:rsidRPr="00941CDF">
              <w:rPr>
                <w:rFonts w:ascii="Arial" w:eastAsia="Times New Roman" w:hAnsi="Arial" w:cs="Arial"/>
                <w:b/>
                <w:bCs/>
                <w:color w:val="000000"/>
                <w:lang w:eastAsia="en-GB"/>
              </w:rPr>
              <w:t> </w:t>
            </w:r>
          </w:p>
        </w:tc>
        <w:tc>
          <w:tcPr>
            <w:tcW w:w="1416" w:type="dxa"/>
            <w:tcBorders>
              <w:top w:val="nil"/>
              <w:left w:val="nil"/>
              <w:bottom w:val="nil"/>
              <w:right w:val="nil"/>
            </w:tcBorders>
            <w:shd w:val="clear" w:color="000000" w:fill="EDFFB7"/>
            <w:noWrap/>
            <w:vAlign w:val="center"/>
            <w:hideMark/>
          </w:tcPr>
          <w:p w14:paraId="3787EA85" w14:textId="77777777" w:rsidR="0021298F" w:rsidRPr="00941CDF" w:rsidRDefault="0021298F" w:rsidP="00760009">
            <w:pPr>
              <w:jc w:val="right"/>
              <w:rPr>
                <w:rFonts w:ascii="Arial" w:eastAsia="Times New Roman" w:hAnsi="Arial" w:cs="Arial"/>
                <w:b/>
                <w:bCs/>
                <w:color w:val="000000"/>
                <w:lang w:eastAsia="en-GB"/>
              </w:rPr>
            </w:pPr>
            <w:r w:rsidRPr="00941CDF">
              <w:rPr>
                <w:rFonts w:ascii="Arial" w:eastAsia="Times New Roman" w:hAnsi="Arial" w:cs="Arial"/>
                <w:b/>
                <w:bCs/>
                <w:color w:val="000000"/>
                <w:lang w:eastAsia="en-GB"/>
              </w:rPr>
              <w:t> </w:t>
            </w:r>
          </w:p>
        </w:tc>
        <w:tc>
          <w:tcPr>
            <w:tcW w:w="1456" w:type="dxa"/>
            <w:tcBorders>
              <w:top w:val="nil"/>
              <w:left w:val="nil"/>
              <w:bottom w:val="nil"/>
              <w:right w:val="nil"/>
            </w:tcBorders>
            <w:shd w:val="clear" w:color="000000" w:fill="EDFFB7"/>
            <w:noWrap/>
            <w:vAlign w:val="center"/>
            <w:hideMark/>
          </w:tcPr>
          <w:p w14:paraId="743CC01D" w14:textId="77777777" w:rsidR="0021298F" w:rsidRPr="00941CDF" w:rsidRDefault="0021298F" w:rsidP="00760009">
            <w:pPr>
              <w:jc w:val="right"/>
              <w:rPr>
                <w:rFonts w:ascii="Arial" w:eastAsia="Times New Roman" w:hAnsi="Arial" w:cs="Arial"/>
                <w:b/>
                <w:bCs/>
                <w:color w:val="000000"/>
                <w:lang w:eastAsia="en-GB"/>
              </w:rPr>
            </w:pPr>
            <w:r w:rsidRPr="00941CDF">
              <w:rPr>
                <w:rFonts w:ascii="Arial" w:eastAsia="Times New Roman" w:hAnsi="Arial" w:cs="Arial"/>
                <w:b/>
                <w:bCs/>
                <w:color w:val="000000"/>
                <w:lang w:eastAsia="en-GB"/>
              </w:rPr>
              <w:t> </w:t>
            </w:r>
          </w:p>
        </w:tc>
        <w:tc>
          <w:tcPr>
            <w:tcW w:w="1456" w:type="dxa"/>
            <w:tcBorders>
              <w:top w:val="nil"/>
              <w:left w:val="nil"/>
              <w:bottom w:val="nil"/>
              <w:right w:val="nil"/>
            </w:tcBorders>
            <w:shd w:val="clear" w:color="000000" w:fill="EDFFB7"/>
            <w:noWrap/>
            <w:vAlign w:val="center"/>
            <w:hideMark/>
          </w:tcPr>
          <w:p w14:paraId="59A30388" w14:textId="77777777" w:rsidR="0021298F" w:rsidRPr="00941CDF" w:rsidRDefault="0021298F" w:rsidP="00760009">
            <w:pPr>
              <w:jc w:val="right"/>
              <w:rPr>
                <w:rFonts w:ascii="Arial" w:eastAsia="Times New Roman" w:hAnsi="Arial" w:cs="Arial"/>
                <w:b/>
                <w:bCs/>
                <w:color w:val="000000"/>
                <w:lang w:eastAsia="en-GB"/>
              </w:rPr>
            </w:pPr>
            <w:r w:rsidRPr="00941CDF">
              <w:rPr>
                <w:rFonts w:ascii="Arial" w:eastAsia="Times New Roman" w:hAnsi="Arial" w:cs="Arial"/>
                <w:b/>
                <w:bCs/>
                <w:color w:val="000000"/>
                <w:lang w:eastAsia="en-GB"/>
              </w:rPr>
              <w:t> </w:t>
            </w:r>
          </w:p>
        </w:tc>
      </w:tr>
      <w:tr w:rsidR="0021298F" w:rsidRPr="00941CDF" w14:paraId="321F5EAC" w14:textId="77777777" w:rsidTr="00760009">
        <w:trPr>
          <w:trHeight w:val="300"/>
        </w:trPr>
        <w:tc>
          <w:tcPr>
            <w:tcW w:w="3216" w:type="dxa"/>
            <w:tcBorders>
              <w:top w:val="nil"/>
              <w:left w:val="nil"/>
              <w:bottom w:val="nil"/>
              <w:right w:val="nil"/>
            </w:tcBorders>
            <w:shd w:val="clear" w:color="000000" w:fill="FFFFFF"/>
            <w:vAlign w:val="center"/>
            <w:hideMark/>
          </w:tcPr>
          <w:p w14:paraId="5E527336" w14:textId="77777777" w:rsidR="0021298F" w:rsidRPr="00941CDF" w:rsidRDefault="0021298F" w:rsidP="00760009">
            <w:pPr>
              <w:jc w:val="both"/>
              <w:rPr>
                <w:rFonts w:ascii="Arial" w:eastAsia="Times New Roman" w:hAnsi="Arial" w:cs="Arial"/>
                <w:color w:val="000000"/>
                <w:lang w:eastAsia="en-GB"/>
              </w:rPr>
            </w:pPr>
            <w:r w:rsidRPr="00941CDF">
              <w:rPr>
                <w:rFonts w:ascii="Arial" w:eastAsia="Times New Roman" w:hAnsi="Arial" w:cs="Arial"/>
                <w:color w:val="000000"/>
                <w:lang w:eastAsia="en-GB"/>
              </w:rPr>
              <w:t>Cash at bank</w:t>
            </w:r>
          </w:p>
        </w:tc>
        <w:tc>
          <w:tcPr>
            <w:tcW w:w="1416" w:type="dxa"/>
            <w:tcBorders>
              <w:top w:val="nil"/>
              <w:left w:val="nil"/>
              <w:bottom w:val="nil"/>
              <w:right w:val="nil"/>
            </w:tcBorders>
            <w:shd w:val="clear" w:color="000000" w:fill="EDFFB7"/>
            <w:noWrap/>
            <w:vAlign w:val="center"/>
            <w:hideMark/>
          </w:tcPr>
          <w:p w14:paraId="1C1AB5E9" w14:textId="77777777" w:rsidR="0021298F" w:rsidRPr="00941CDF" w:rsidRDefault="0021298F" w:rsidP="00760009">
            <w:pPr>
              <w:jc w:val="right"/>
              <w:rPr>
                <w:rFonts w:ascii="Arial" w:eastAsia="Times New Roman" w:hAnsi="Arial" w:cs="Arial"/>
                <w:color w:val="000000"/>
                <w:lang w:eastAsia="en-GB"/>
              </w:rPr>
            </w:pPr>
            <w:r w:rsidRPr="00941CDF">
              <w:rPr>
                <w:rFonts w:ascii="Arial" w:eastAsia="Times New Roman" w:hAnsi="Arial" w:cs="Arial"/>
                <w:color w:val="000000"/>
                <w:lang w:eastAsia="en-GB"/>
              </w:rPr>
              <w:t xml:space="preserve"> - </w:t>
            </w:r>
          </w:p>
        </w:tc>
        <w:tc>
          <w:tcPr>
            <w:tcW w:w="1416" w:type="dxa"/>
            <w:tcBorders>
              <w:top w:val="nil"/>
              <w:left w:val="nil"/>
              <w:bottom w:val="nil"/>
              <w:right w:val="nil"/>
            </w:tcBorders>
            <w:shd w:val="clear" w:color="000000" w:fill="EDFFB7"/>
            <w:noWrap/>
            <w:vAlign w:val="center"/>
            <w:hideMark/>
          </w:tcPr>
          <w:p w14:paraId="47C17693" w14:textId="77777777" w:rsidR="0021298F" w:rsidRPr="00941CDF" w:rsidRDefault="0021298F" w:rsidP="00760009">
            <w:pPr>
              <w:jc w:val="right"/>
              <w:rPr>
                <w:rFonts w:ascii="Arial" w:eastAsia="Times New Roman" w:hAnsi="Arial" w:cs="Arial"/>
                <w:color w:val="000000"/>
                <w:lang w:eastAsia="en-GB"/>
              </w:rPr>
            </w:pPr>
            <w:r w:rsidRPr="00941CDF">
              <w:rPr>
                <w:rFonts w:ascii="Arial" w:eastAsia="Times New Roman" w:hAnsi="Arial" w:cs="Arial"/>
                <w:color w:val="000000"/>
                <w:lang w:eastAsia="en-GB"/>
              </w:rPr>
              <w:t xml:space="preserve">16,417 </w:t>
            </w:r>
          </w:p>
        </w:tc>
        <w:tc>
          <w:tcPr>
            <w:tcW w:w="1456" w:type="dxa"/>
            <w:tcBorders>
              <w:top w:val="nil"/>
              <w:left w:val="nil"/>
              <w:bottom w:val="nil"/>
              <w:right w:val="nil"/>
            </w:tcBorders>
            <w:shd w:val="clear" w:color="000000" w:fill="EDFFB7"/>
            <w:noWrap/>
            <w:vAlign w:val="center"/>
            <w:hideMark/>
          </w:tcPr>
          <w:p w14:paraId="63EEB174" w14:textId="77777777" w:rsidR="0021298F" w:rsidRPr="00941CDF" w:rsidRDefault="0021298F" w:rsidP="00760009">
            <w:pPr>
              <w:jc w:val="right"/>
              <w:rPr>
                <w:rFonts w:ascii="Arial" w:eastAsia="Times New Roman" w:hAnsi="Arial" w:cs="Arial"/>
                <w:color w:val="000000"/>
                <w:lang w:eastAsia="en-GB"/>
              </w:rPr>
            </w:pPr>
            <w:r w:rsidRPr="00941CDF">
              <w:rPr>
                <w:rFonts w:ascii="Arial" w:eastAsia="Times New Roman" w:hAnsi="Arial" w:cs="Arial"/>
                <w:color w:val="000000"/>
                <w:lang w:eastAsia="en-GB"/>
              </w:rPr>
              <w:t xml:space="preserve">100 </w:t>
            </w:r>
          </w:p>
        </w:tc>
        <w:tc>
          <w:tcPr>
            <w:tcW w:w="1456" w:type="dxa"/>
            <w:tcBorders>
              <w:top w:val="nil"/>
              <w:left w:val="nil"/>
              <w:bottom w:val="nil"/>
              <w:right w:val="nil"/>
            </w:tcBorders>
            <w:shd w:val="clear" w:color="000000" w:fill="EDFFB7"/>
            <w:noWrap/>
            <w:vAlign w:val="center"/>
            <w:hideMark/>
          </w:tcPr>
          <w:p w14:paraId="571A96FD" w14:textId="77777777" w:rsidR="0021298F" w:rsidRPr="00941CDF" w:rsidRDefault="0021298F" w:rsidP="00760009">
            <w:pPr>
              <w:jc w:val="right"/>
              <w:rPr>
                <w:rFonts w:ascii="Arial" w:eastAsia="Times New Roman" w:hAnsi="Arial" w:cs="Arial"/>
                <w:b/>
                <w:bCs/>
                <w:color w:val="000000"/>
                <w:lang w:eastAsia="en-GB"/>
              </w:rPr>
            </w:pPr>
            <w:r w:rsidRPr="00941CDF">
              <w:rPr>
                <w:rFonts w:ascii="Arial" w:eastAsia="Times New Roman" w:hAnsi="Arial" w:cs="Arial"/>
                <w:b/>
                <w:bCs/>
                <w:color w:val="000000"/>
                <w:lang w:eastAsia="en-GB"/>
              </w:rPr>
              <w:t xml:space="preserve">16,517 </w:t>
            </w:r>
          </w:p>
        </w:tc>
      </w:tr>
      <w:tr w:rsidR="0021298F" w:rsidRPr="00941CDF" w14:paraId="37A27FD2" w14:textId="77777777" w:rsidTr="00760009">
        <w:trPr>
          <w:trHeight w:val="300"/>
        </w:trPr>
        <w:tc>
          <w:tcPr>
            <w:tcW w:w="3216" w:type="dxa"/>
            <w:tcBorders>
              <w:top w:val="nil"/>
              <w:left w:val="nil"/>
              <w:bottom w:val="nil"/>
              <w:right w:val="nil"/>
            </w:tcBorders>
            <w:shd w:val="clear" w:color="000000" w:fill="FFFFFF"/>
            <w:vAlign w:val="center"/>
            <w:hideMark/>
          </w:tcPr>
          <w:p w14:paraId="787FC280" w14:textId="77777777" w:rsidR="0021298F" w:rsidRPr="00941CDF" w:rsidRDefault="0021298F" w:rsidP="00760009">
            <w:pPr>
              <w:jc w:val="both"/>
              <w:rPr>
                <w:rFonts w:ascii="Arial" w:eastAsia="Times New Roman" w:hAnsi="Arial" w:cs="Arial"/>
                <w:color w:val="000000"/>
                <w:lang w:eastAsia="en-GB"/>
              </w:rPr>
            </w:pPr>
            <w:r w:rsidRPr="00941CDF">
              <w:rPr>
                <w:rFonts w:ascii="Arial" w:eastAsia="Times New Roman" w:hAnsi="Arial" w:cs="Arial"/>
                <w:color w:val="000000"/>
                <w:lang w:eastAsia="en-GB"/>
              </w:rPr>
              <w:t>Other receivables (note 11)</w:t>
            </w:r>
          </w:p>
        </w:tc>
        <w:tc>
          <w:tcPr>
            <w:tcW w:w="1416" w:type="dxa"/>
            <w:tcBorders>
              <w:top w:val="nil"/>
              <w:left w:val="nil"/>
              <w:bottom w:val="nil"/>
              <w:right w:val="nil"/>
            </w:tcBorders>
            <w:shd w:val="clear" w:color="000000" w:fill="EDFFB7"/>
            <w:noWrap/>
            <w:vAlign w:val="center"/>
            <w:hideMark/>
          </w:tcPr>
          <w:p w14:paraId="5855966B" w14:textId="77777777" w:rsidR="0021298F" w:rsidRPr="00941CDF" w:rsidRDefault="0021298F" w:rsidP="00760009">
            <w:pPr>
              <w:jc w:val="right"/>
              <w:rPr>
                <w:rFonts w:ascii="Arial" w:eastAsia="Times New Roman" w:hAnsi="Arial" w:cs="Arial"/>
                <w:color w:val="000000"/>
                <w:lang w:eastAsia="en-GB"/>
              </w:rPr>
            </w:pPr>
            <w:r w:rsidRPr="00941CDF">
              <w:rPr>
                <w:rFonts w:ascii="Arial" w:eastAsia="Times New Roman" w:hAnsi="Arial" w:cs="Arial"/>
                <w:color w:val="000000"/>
                <w:lang w:eastAsia="en-GB"/>
              </w:rPr>
              <w:t xml:space="preserve"> - </w:t>
            </w:r>
          </w:p>
        </w:tc>
        <w:tc>
          <w:tcPr>
            <w:tcW w:w="1416" w:type="dxa"/>
            <w:tcBorders>
              <w:top w:val="nil"/>
              <w:left w:val="nil"/>
              <w:bottom w:val="nil"/>
              <w:right w:val="nil"/>
            </w:tcBorders>
            <w:shd w:val="clear" w:color="000000" w:fill="EDFFB7"/>
            <w:noWrap/>
            <w:vAlign w:val="center"/>
            <w:hideMark/>
          </w:tcPr>
          <w:p w14:paraId="667872B1" w14:textId="77777777" w:rsidR="0021298F" w:rsidRPr="00941CDF" w:rsidRDefault="0021298F" w:rsidP="00760009">
            <w:pPr>
              <w:jc w:val="right"/>
              <w:rPr>
                <w:rFonts w:ascii="Arial" w:eastAsia="Times New Roman" w:hAnsi="Arial" w:cs="Arial"/>
                <w:color w:val="000000"/>
                <w:lang w:eastAsia="en-GB"/>
              </w:rPr>
            </w:pPr>
            <w:r w:rsidRPr="00941CDF">
              <w:rPr>
                <w:rFonts w:ascii="Arial" w:eastAsia="Times New Roman" w:hAnsi="Arial" w:cs="Arial"/>
                <w:color w:val="000000"/>
                <w:lang w:eastAsia="en-GB"/>
              </w:rPr>
              <w:t xml:space="preserve"> - </w:t>
            </w:r>
          </w:p>
        </w:tc>
        <w:tc>
          <w:tcPr>
            <w:tcW w:w="1456" w:type="dxa"/>
            <w:tcBorders>
              <w:top w:val="nil"/>
              <w:left w:val="nil"/>
              <w:bottom w:val="nil"/>
              <w:right w:val="nil"/>
            </w:tcBorders>
            <w:shd w:val="clear" w:color="000000" w:fill="EDFFB7"/>
            <w:noWrap/>
            <w:vAlign w:val="center"/>
            <w:hideMark/>
          </w:tcPr>
          <w:p w14:paraId="35D4D8C0" w14:textId="77777777" w:rsidR="0021298F" w:rsidRPr="00941CDF" w:rsidRDefault="0021298F" w:rsidP="00760009">
            <w:pPr>
              <w:jc w:val="right"/>
              <w:rPr>
                <w:rFonts w:ascii="Arial" w:eastAsia="Times New Roman" w:hAnsi="Arial" w:cs="Arial"/>
                <w:color w:val="000000"/>
                <w:lang w:eastAsia="en-GB"/>
              </w:rPr>
            </w:pPr>
            <w:r w:rsidRPr="00941CDF">
              <w:rPr>
                <w:rFonts w:ascii="Arial" w:eastAsia="Times New Roman" w:hAnsi="Arial" w:cs="Arial"/>
                <w:color w:val="000000"/>
                <w:lang w:eastAsia="en-GB"/>
              </w:rPr>
              <w:t xml:space="preserve">4,095 </w:t>
            </w:r>
          </w:p>
        </w:tc>
        <w:tc>
          <w:tcPr>
            <w:tcW w:w="1456" w:type="dxa"/>
            <w:tcBorders>
              <w:top w:val="nil"/>
              <w:left w:val="nil"/>
              <w:bottom w:val="nil"/>
              <w:right w:val="nil"/>
            </w:tcBorders>
            <w:shd w:val="clear" w:color="000000" w:fill="EDFFB7"/>
            <w:noWrap/>
            <w:vAlign w:val="center"/>
            <w:hideMark/>
          </w:tcPr>
          <w:p w14:paraId="418C1F88" w14:textId="77777777" w:rsidR="0021298F" w:rsidRPr="00941CDF" w:rsidRDefault="0021298F" w:rsidP="00760009">
            <w:pPr>
              <w:jc w:val="right"/>
              <w:rPr>
                <w:rFonts w:ascii="Arial" w:eastAsia="Times New Roman" w:hAnsi="Arial" w:cs="Arial"/>
                <w:b/>
                <w:bCs/>
                <w:color w:val="000000"/>
                <w:lang w:eastAsia="en-GB"/>
              </w:rPr>
            </w:pPr>
            <w:r w:rsidRPr="00941CDF">
              <w:rPr>
                <w:rFonts w:ascii="Arial" w:eastAsia="Times New Roman" w:hAnsi="Arial" w:cs="Arial"/>
                <w:b/>
                <w:bCs/>
                <w:color w:val="000000"/>
                <w:lang w:eastAsia="en-GB"/>
              </w:rPr>
              <w:t xml:space="preserve">4,095 </w:t>
            </w:r>
          </w:p>
        </w:tc>
      </w:tr>
      <w:tr w:rsidR="0021298F" w:rsidRPr="00941CDF" w14:paraId="799259EF" w14:textId="77777777" w:rsidTr="00760009">
        <w:trPr>
          <w:trHeight w:val="300"/>
        </w:trPr>
        <w:tc>
          <w:tcPr>
            <w:tcW w:w="3216" w:type="dxa"/>
            <w:tcBorders>
              <w:top w:val="nil"/>
              <w:left w:val="nil"/>
              <w:bottom w:val="single" w:sz="4" w:space="0" w:color="auto"/>
              <w:right w:val="nil"/>
            </w:tcBorders>
            <w:shd w:val="clear" w:color="000000" w:fill="FFFFFF"/>
            <w:vAlign w:val="center"/>
            <w:hideMark/>
          </w:tcPr>
          <w:p w14:paraId="700E65D7" w14:textId="77777777" w:rsidR="0021298F" w:rsidRPr="00941CDF" w:rsidRDefault="0021298F" w:rsidP="00760009">
            <w:pPr>
              <w:jc w:val="both"/>
              <w:rPr>
                <w:rFonts w:ascii="Arial" w:eastAsia="Times New Roman" w:hAnsi="Arial" w:cs="Arial"/>
                <w:color w:val="000000"/>
                <w:lang w:eastAsia="en-GB"/>
              </w:rPr>
            </w:pPr>
            <w:r w:rsidRPr="00941CDF">
              <w:rPr>
                <w:rFonts w:ascii="Arial" w:eastAsia="Times New Roman" w:hAnsi="Arial" w:cs="Arial"/>
                <w:color w:val="000000"/>
                <w:lang w:eastAsia="en-GB"/>
              </w:rPr>
              <w:t>Investments (note 9)</w:t>
            </w:r>
          </w:p>
        </w:tc>
        <w:tc>
          <w:tcPr>
            <w:tcW w:w="1416" w:type="dxa"/>
            <w:tcBorders>
              <w:top w:val="nil"/>
              <w:left w:val="nil"/>
              <w:bottom w:val="single" w:sz="4" w:space="0" w:color="auto"/>
              <w:right w:val="nil"/>
            </w:tcBorders>
            <w:shd w:val="clear" w:color="000000" w:fill="EDFFB7"/>
            <w:noWrap/>
            <w:vAlign w:val="center"/>
            <w:hideMark/>
          </w:tcPr>
          <w:p w14:paraId="7365DF0A" w14:textId="77777777" w:rsidR="0021298F" w:rsidRPr="00941CDF" w:rsidRDefault="0021298F" w:rsidP="00760009">
            <w:pPr>
              <w:jc w:val="right"/>
              <w:rPr>
                <w:rFonts w:ascii="Arial" w:eastAsia="Times New Roman" w:hAnsi="Arial" w:cs="Arial"/>
                <w:color w:val="000000"/>
                <w:lang w:eastAsia="en-GB"/>
              </w:rPr>
            </w:pPr>
            <w:r>
              <w:rPr>
                <w:rFonts w:ascii="Arial" w:eastAsia="Times New Roman" w:hAnsi="Arial" w:cs="Arial"/>
                <w:color w:val="000000"/>
                <w:lang w:eastAsia="en-GB"/>
              </w:rPr>
              <w:t>401,536</w:t>
            </w:r>
            <w:r w:rsidRPr="00941CDF">
              <w:rPr>
                <w:rFonts w:ascii="Arial" w:eastAsia="Times New Roman" w:hAnsi="Arial" w:cs="Arial"/>
                <w:color w:val="000000"/>
                <w:lang w:eastAsia="en-GB"/>
              </w:rPr>
              <w:t xml:space="preserve"> </w:t>
            </w:r>
          </w:p>
        </w:tc>
        <w:tc>
          <w:tcPr>
            <w:tcW w:w="1416" w:type="dxa"/>
            <w:tcBorders>
              <w:top w:val="nil"/>
              <w:left w:val="nil"/>
              <w:bottom w:val="single" w:sz="4" w:space="0" w:color="auto"/>
              <w:right w:val="nil"/>
            </w:tcBorders>
            <w:shd w:val="clear" w:color="000000" w:fill="EDFFB7"/>
            <w:noWrap/>
            <w:vAlign w:val="center"/>
            <w:hideMark/>
          </w:tcPr>
          <w:p w14:paraId="262A7F3E" w14:textId="77777777" w:rsidR="0021298F" w:rsidRPr="00941CDF" w:rsidRDefault="0021298F" w:rsidP="00760009">
            <w:pPr>
              <w:jc w:val="right"/>
              <w:rPr>
                <w:rFonts w:ascii="Arial" w:eastAsia="Times New Roman" w:hAnsi="Arial" w:cs="Arial"/>
                <w:color w:val="000000"/>
                <w:lang w:eastAsia="en-GB"/>
              </w:rPr>
            </w:pPr>
            <w:r w:rsidRPr="00941CDF">
              <w:rPr>
                <w:rFonts w:ascii="Arial" w:eastAsia="Times New Roman" w:hAnsi="Arial" w:cs="Arial"/>
                <w:color w:val="000000"/>
                <w:lang w:eastAsia="en-GB"/>
              </w:rPr>
              <w:t xml:space="preserve"> - </w:t>
            </w:r>
          </w:p>
        </w:tc>
        <w:tc>
          <w:tcPr>
            <w:tcW w:w="1456" w:type="dxa"/>
            <w:tcBorders>
              <w:top w:val="nil"/>
              <w:left w:val="nil"/>
              <w:bottom w:val="single" w:sz="4" w:space="0" w:color="auto"/>
              <w:right w:val="nil"/>
            </w:tcBorders>
            <w:shd w:val="clear" w:color="000000" w:fill="EDFFB7"/>
            <w:noWrap/>
            <w:vAlign w:val="center"/>
            <w:hideMark/>
          </w:tcPr>
          <w:p w14:paraId="476023B2" w14:textId="77777777" w:rsidR="0021298F" w:rsidRPr="00941CDF" w:rsidRDefault="0021298F" w:rsidP="00760009">
            <w:pPr>
              <w:jc w:val="right"/>
              <w:rPr>
                <w:rFonts w:ascii="Arial" w:eastAsia="Times New Roman" w:hAnsi="Arial" w:cs="Arial"/>
                <w:color w:val="000000"/>
                <w:lang w:eastAsia="en-GB"/>
              </w:rPr>
            </w:pPr>
            <w:r>
              <w:rPr>
                <w:rFonts w:ascii="Arial" w:eastAsia="Times New Roman" w:hAnsi="Arial" w:cs="Arial"/>
                <w:color w:val="000000"/>
                <w:lang w:eastAsia="en-GB"/>
              </w:rPr>
              <w:t>542,816</w:t>
            </w:r>
            <w:r w:rsidRPr="00941CDF">
              <w:rPr>
                <w:rFonts w:ascii="Arial" w:eastAsia="Times New Roman" w:hAnsi="Arial" w:cs="Arial"/>
                <w:color w:val="000000"/>
                <w:lang w:eastAsia="en-GB"/>
              </w:rPr>
              <w:t xml:space="preserve"> </w:t>
            </w:r>
          </w:p>
        </w:tc>
        <w:tc>
          <w:tcPr>
            <w:tcW w:w="1456" w:type="dxa"/>
            <w:tcBorders>
              <w:top w:val="nil"/>
              <w:left w:val="nil"/>
              <w:bottom w:val="single" w:sz="4" w:space="0" w:color="auto"/>
              <w:right w:val="nil"/>
            </w:tcBorders>
            <w:shd w:val="clear" w:color="000000" w:fill="EDFFB7"/>
            <w:noWrap/>
            <w:vAlign w:val="center"/>
            <w:hideMark/>
          </w:tcPr>
          <w:p w14:paraId="4E464A04" w14:textId="77777777" w:rsidR="0021298F" w:rsidRPr="00941CDF" w:rsidRDefault="0021298F" w:rsidP="00760009">
            <w:pPr>
              <w:jc w:val="right"/>
              <w:rPr>
                <w:rFonts w:ascii="Arial" w:eastAsia="Times New Roman" w:hAnsi="Arial" w:cs="Arial"/>
                <w:b/>
                <w:bCs/>
                <w:color w:val="000000"/>
                <w:lang w:eastAsia="en-GB"/>
              </w:rPr>
            </w:pPr>
            <w:r w:rsidRPr="00941CDF">
              <w:rPr>
                <w:rFonts w:ascii="Arial" w:eastAsia="Times New Roman" w:hAnsi="Arial" w:cs="Arial"/>
                <w:b/>
                <w:bCs/>
                <w:color w:val="000000"/>
                <w:lang w:eastAsia="en-GB"/>
              </w:rPr>
              <w:t xml:space="preserve">944,352 </w:t>
            </w:r>
          </w:p>
        </w:tc>
      </w:tr>
      <w:tr w:rsidR="0021298F" w:rsidRPr="00941CDF" w14:paraId="56B42659" w14:textId="77777777" w:rsidTr="00760009">
        <w:trPr>
          <w:trHeight w:val="315"/>
        </w:trPr>
        <w:tc>
          <w:tcPr>
            <w:tcW w:w="3216" w:type="dxa"/>
            <w:tcBorders>
              <w:top w:val="nil"/>
              <w:left w:val="nil"/>
              <w:bottom w:val="single" w:sz="8" w:space="0" w:color="auto"/>
              <w:right w:val="nil"/>
            </w:tcBorders>
            <w:shd w:val="clear" w:color="000000" w:fill="FFFFFF"/>
            <w:vAlign w:val="center"/>
            <w:hideMark/>
          </w:tcPr>
          <w:p w14:paraId="7E9127E5" w14:textId="77777777" w:rsidR="0021298F" w:rsidRPr="00941CDF" w:rsidRDefault="0021298F" w:rsidP="00760009">
            <w:pPr>
              <w:jc w:val="both"/>
              <w:rPr>
                <w:rFonts w:ascii="Arial" w:eastAsia="Times New Roman" w:hAnsi="Arial" w:cs="Arial"/>
                <w:color w:val="000000"/>
                <w:lang w:eastAsia="en-GB"/>
              </w:rPr>
            </w:pPr>
            <w:r w:rsidRPr="00941CDF">
              <w:rPr>
                <w:rFonts w:ascii="Arial" w:eastAsia="Times New Roman" w:hAnsi="Arial" w:cs="Arial"/>
                <w:color w:val="000000"/>
                <w:lang w:eastAsia="en-GB"/>
              </w:rPr>
              <w:t> </w:t>
            </w:r>
          </w:p>
        </w:tc>
        <w:tc>
          <w:tcPr>
            <w:tcW w:w="1416" w:type="dxa"/>
            <w:tcBorders>
              <w:top w:val="nil"/>
              <w:left w:val="nil"/>
              <w:bottom w:val="single" w:sz="8" w:space="0" w:color="auto"/>
              <w:right w:val="nil"/>
            </w:tcBorders>
            <w:shd w:val="clear" w:color="000000" w:fill="EDFFB7"/>
            <w:noWrap/>
            <w:vAlign w:val="center"/>
            <w:hideMark/>
          </w:tcPr>
          <w:p w14:paraId="21B488FC" w14:textId="77777777" w:rsidR="0021298F" w:rsidRPr="00941CDF" w:rsidRDefault="0021298F" w:rsidP="00760009">
            <w:pPr>
              <w:jc w:val="right"/>
              <w:rPr>
                <w:rFonts w:ascii="Arial" w:eastAsia="Times New Roman" w:hAnsi="Arial" w:cs="Arial"/>
                <w:b/>
                <w:bCs/>
                <w:color w:val="000000"/>
                <w:lang w:eastAsia="en-GB"/>
              </w:rPr>
            </w:pPr>
            <w:r>
              <w:rPr>
                <w:rFonts w:ascii="Arial" w:eastAsia="Times New Roman" w:hAnsi="Arial" w:cs="Arial"/>
                <w:b/>
                <w:bCs/>
                <w:color w:val="000000"/>
                <w:lang w:eastAsia="en-GB"/>
              </w:rPr>
              <w:t>401,536</w:t>
            </w:r>
            <w:r w:rsidRPr="00941CDF">
              <w:rPr>
                <w:rFonts w:ascii="Arial" w:eastAsia="Times New Roman" w:hAnsi="Arial" w:cs="Arial"/>
                <w:b/>
                <w:bCs/>
                <w:color w:val="000000"/>
                <w:lang w:eastAsia="en-GB"/>
              </w:rPr>
              <w:t xml:space="preserve"> </w:t>
            </w:r>
          </w:p>
        </w:tc>
        <w:tc>
          <w:tcPr>
            <w:tcW w:w="1416" w:type="dxa"/>
            <w:tcBorders>
              <w:top w:val="nil"/>
              <w:left w:val="nil"/>
              <w:bottom w:val="single" w:sz="8" w:space="0" w:color="auto"/>
              <w:right w:val="nil"/>
            </w:tcBorders>
            <w:shd w:val="clear" w:color="000000" w:fill="EDFFB7"/>
            <w:noWrap/>
            <w:vAlign w:val="center"/>
            <w:hideMark/>
          </w:tcPr>
          <w:p w14:paraId="25F7EAB7" w14:textId="77777777" w:rsidR="0021298F" w:rsidRPr="00941CDF" w:rsidRDefault="0021298F" w:rsidP="00760009">
            <w:pPr>
              <w:jc w:val="right"/>
              <w:rPr>
                <w:rFonts w:ascii="Arial" w:eastAsia="Times New Roman" w:hAnsi="Arial" w:cs="Arial"/>
                <w:b/>
                <w:bCs/>
                <w:color w:val="000000"/>
                <w:lang w:eastAsia="en-GB"/>
              </w:rPr>
            </w:pPr>
            <w:r w:rsidRPr="00941CDF">
              <w:rPr>
                <w:rFonts w:ascii="Arial" w:eastAsia="Times New Roman" w:hAnsi="Arial" w:cs="Arial"/>
                <w:b/>
                <w:bCs/>
                <w:color w:val="000000"/>
                <w:lang w:eastAsia="en-GB"/>
              </w:rPr>
              <w:t xml:space="preserve">16,417 </w:t>
            </w:r>
          </w:p>
        </w:tc>
        <w:tc>
          <w:tcPr>
            <w:tcW w:w="1456" w:type="dxa"/>
            <w:tcBorders>
              <w:top w:val="nil"/>
              <w:left w:val="nil"/>
              <w:bottom w:val="single" w:sz="8" w:space="0" w:color="auto"/>
              <w:right w:val="nil"/>
            </w:tcBorders>
            <w:shd w:val="clear" w:color="000000" w:fill="EDFFB7"/>
            <w:noWrap/>
            <w:vAlign w:val="center"/>
            <w:hideMark/>
          </w:tcPr>
          <w:p w14:paraId="32F426AE" w14:textId="77777777" w:rsidR="0021298F" w:rsidRPr="00941CDF" w:rsidRDefault="0021298F" w:rsidP="00760009">
            <w:pPr>
              <w:jc w:val="right"/>
              <w:rPr>
                <w:rFonts w:ascii="Arial" w:eastAsia="Times New Roman" w:hAnsi="Arial" w:cs="Arial"/>
                <w:b/>
                <w:bCs/>
                <w:color w:val="000000"/>
                <w:lang w:eastAsia="en-GB"/>
              </w:rPr>
            </w:pPr>
            <w:r>
              <w:rPr>
                <w:rFonts w:ascii="Arial" w:eastAsia="Times New Roman" w:hAnsi="Arial" w:cs="Arial"/>
                <w:b/>
                <w:bCs/>
                <w:color w:val="000000"/>
                <w:lang w:eastAsia="en-GB"/>
              </w:rPr>
              <w:t>547,011</w:t>
            </w:r>
            <w:r w:rsidRPr="00941CDF">
              <w:rPr>
                <w:rFonts w:ascii="Arial" w:eastAsia="Times New Roman" w:hAnsi="Arial" w:cs="Arial"/>
                <w:b/>
                <w:bCs/>
                <w:color w:val="000000"/>
                <w:lang w:eastAsia="en-GB"/>
              </w:rPr>
              <w:t xml:space="preserve"> </w:t>
            </w:r>
          </w:p>
        </w:tc>
        <w:tc>
          <w:tcPr>
            <w:tcW w:w="1456" w:type="dxa"/>
            <w:tcBorders>
              <w:top w:val="nil"/>
              <w:left w:val="nil"/>
              <w:bottom w:val="single" w:sz="8" w:space="0" w:color="auto"/>
              <w:right w:val="nil"/>
            </w:tcBorders>
            <w:shd w:val="clear" w:color="000000" w:fill="EDFFB7"/>
            <w:noWrap/>
            <w:vAlign w:val="center"/>
            <w:hideMark/>
          </w:tcPr>
          <w:p w14:paraId="5B7C9D87" w14:textId="77777777" w:rsidR="0021298F" w:rsidRPr="00941CDF" w:rsidRDefault="0021298F" w:rsidP="00760009">
            <w:pPr>
              <w:jc w:val="right"/>
              <w:rPr>
                <w:rFonts w:ascii="Arial" w:eastAsia="Times New Roman" w:hAnsi="Arial" w:cs="Arial"/>
                <w:b/>
                <w:bCs/>
                <w:color w:val="000000"/>
                <w:lang w:eastAsia="en-GB"/>
              </w:rPr>
            </w:pPr>
            <w:r w:rsidRPr="00941CDF">
              <w:rPr>
                <w:rFonts w:ascii="Arial" w:eastAsia="Times New Roman" w:hAnsi="Arial" w:cs="Arial"/>
                <w:b/>
                <w:bCs/>
                <w:color w:val="000000"/>
                <w:lang w:eastAsia="en-GB"/>
              </w:rPr>
              <w:t xml:space="preserve">964,964 </w:t>
            </w:r>
          </w:p>
        </w:tc>
      </w:tr>
      <w:tr w:rsidR="0021298F" w:rsidRPr="00941CDF" w14:paraId="6E4464C4" w14:textId="77777777" w:rsidTr="00760009">
        <w:trPr>
          <w:trHeight w:val="300"/>
        </w:trPr>
        <w:tc>
          <w:tcPr>
            <w:tcW w:w="3216" w:type="dxa"/>
            <w:tcBorders>
              <w:top w:val="nil"/>
              <w:left w:val="nil"/>
              <w:bottom w:val="nil"/>
              <w:right w:val="nil"/>
            </w:tcBorders>
            <w:shd w:val="clear" w:color="000000" w:fill="FFFFFF"/>
            <w:vAlign w:val="center"/>
            <w:hideMark/>
          </w:tcPr>
          <w:p w14:paraId="58300A29" w14:textId="77777777" w:rsidR="0021298F" w:rsidRPr="00941CDF" w:rsidRDefault="0021298F" w:rsidP="00760009">
            <w:pPr>
              <w:jc w:val="both"/>
              <w:rPr>
                <w:rFonts w:ascii="Arial" w:eastAsia="Times New Roman" w:hAnsi="Arial" w:cs="Arial"/>
                <w:b/>
                <w:bCs/>
                <w:color w:val="000000"/>
                <w:lang w:eastAsia="en-GB"/>
              </w:rPr>
            </w:pPr>
            <w:r w:rsidRPr="00941CDF">
              <w:rPr>
                <w:rFonts w:ascii="Arial" w:eastAsia="Times New Roman" w:hAnsi="Arial" w:cs="Arial"/>
                <w:b/>
                <w:bCs/>
                <w:color w:val="000000"/>
                <w:lang w:eastAsia="en-GB"/>
              </w:rPr>
              <w:t> </w:t>
            </w:r>
          </w:p>
        </w:tc>
        <w:tc>
          <w:tcPr>
            <w:tcW w:w="1416" w:type="dxa"/>
            <w:tcBorders>
              <w:top w:val="nil"/>
              <w:left w:val="nil"/>
              <w:bottom w:val="nil"/>
              <w:right w:val="nil"/>
            </w:tcBorders>
            <w:shd w:val="clear" w:color="000000" w:fill="EDFFB7"/>
            <w:noWrap/>
            <w:vAlign w:val="center"/>
            <w:hideMark/>
          </w:tcPr>
          <w:p w14:paraId="46029AF7" w14:textId="77777777" w:rsidR="0021298F" w:rsidRPr="00941CDF" w:rsidRDefault="0021298F" w:rsidP="00760009">
            <w:pPr>
              <w:jc w:val="right"/>
              <w:rPr>
                <w:rFonts w:ascii="Arial" w:eastAsia="Times New Roman" w:hAnsi="Arial" w:cs="Arial"/>
                <w:b/>
                <w:bCs/>
                <w:color w:val="000000"/>
                <w:lang w:eastAsia="en-GB"/>
              </w:rPr>
            </w:pPr>
            <w:r w:rsidRPr="00941CDF">
              <w:rPr>
                <w:rFonts w:ascii="Arial" w:eastAsia="Times New Roman" w:hAnsi="Arial" w:cs="Arial"/>
                <w:b/>
                <w:bCs/>
                <w:color w:val="000000"/>
                <w:lang w:eastAsia="en-GB"/>
              </w:rPr>
              <w:t> </w:t>
            </w:r>
          </w:p>
        </w:tc>
        <w:tc>
          <w:tcPr>
            <w:tcW w:w="1416" w:type="dxa"/>
            <w:tcBorders>
              <w:top w:val="nil"/>
              <w:left w:val="nil"/>
              <w:bottom w:val="nil"/>
              <w:right w:val="nil"/>
            </w:tcBorders>
            <w:shd w:val="clear" w:color="000000" w:fill="EDFFB7"/>
            <w:noWrap/>
            <w:vAlign w:val="center"/>
            <w:hideMark/>
          </w:tcPr>
          <w:p w14:paraId="6CFFC7ED" w14:textId="77777777" w:rsidR="0021298F" w:rsidRPr="00941CDF" w:rsidRDefault="0021298F" w:rsidP="00760009">
            <w:pPr>
              <w:jc w:val="right"/>
              <w:rPr>
                <w:rFonts w:ascii="Arial" w:eastAsia="Times New Roman" w:hAnsi="Arial" w:cs="Arial"/>
                <w:b/>
                <w:bCs/>
                <w:color w:val="000000"/>
                <w:lang w:eastAsia="en-GB"/>
              </w:rPr>
            </w:pPr>
            <w:r w:rsidRPr="00941CDF">
              <w:rPr>
                <w:rFonts w:ascii="Arial" w:eastAsia="Times New Roman" w:hAnsi="Arial" w:cs="Arial"/>
                <w:b/>
                <w:bCs/>
                <w:color w:val="000000"/>
                <w:lang w:eastAsia="en-GB"/>
              </w:rPr>
              <w:t> </w:t>
            </w:r>
          </w:p>
        </w:tc>
        <w:tc>
          <w:tcPr>
            <w:tcW w:w="1456" w:type="dxa"/>
            <w:tcBorders>
              <w:top w:val="nil"/>
              <w:left w:val="nil"/>
              <w:bottom w:val="nil"/>
              <w:right w:val="nil"/>
            </w:tcBorders>
            <w:shd w:val="clear" w:color="000000" w:fill="EDFFB7"/>
            <w:noWrap/>
            <w:vAlign w:val="center"/>
            <w:hideMark/>
          </w:tcPr>
          <w:p w14:paraId="2BA5B2E7" w14:textId="77777777" w:rsidR="0021298F" w:rsidRPr="00941CDF" w:rsidRDefault="0021298F" w:rsidP="00760009">
            <w:pPr>
              <w:jc w:val="right"/>
              <w:rPr>
                <w:rFonts w:ascii="Arial" w:eastAsia="Times New Roman" w:hAnsi="Arial" w:cs="Arial"/>
                <w:b/>
                <w:bCs/>
                <w:color w:val="000000"/>
                <w:lang w:eastAsia="en-GB"/>
              </w:rPr>
            </w:pPr>
            <w:r w:rsidRPr="00941CDF">
              <w:rPr>
                <w:rFonts w:ascii="Arial" w:eastAsia="Times New Roman" w:hAnsi="Arial" w:cs="Arial"/>
                <w:b/>
                <w:bCs/>
                <w:color w:val="000000"/>
                <w:lang w:eastAsia="en-GB"/>
              </w:rPr>
              <w:t> </w:t>
            </w:r>
          </w:p>
        </w:tc>
        <w:tc>
          <w:tcPr>
            <w:tcW w:w="1456" w:type="dxa"/>
            <w:tcBorders>
              <w:top w:val="nil"/>
              <w:left w:val="nil"/>
              <w:bottom w:val="nil"/>
              <w:right w:val="nil"/>
            </w:tcBorders>
            <w:shd w:val="clear" w:color="000000" w:fill="EDFFB7"/>
            <w:noWrap/>
            <w:vAlign w:val="center"/>
            <w:hideMark/>
          </w:tcPr>
          <w:p w14:paraId="0ECD1FAA" w14:textId="77777777" w:rsidR="0021298F" w:rsidRPr="00941CDF" w:rsidRDefault="0021298F" w:rsidP="00760009">
            <w:pPr>
              <w:jc w:val="right"/>
              <w:rPr>
                <w:rFonts w:ascii="Arial" w:eastAsia="Times New Roman" w:hAnsi="Arial" w:cs="Arial"/>
                <w:b/>
                <w:bCs/>
                <w:color w:val="000000"/>
                <w:lang w:eastAsia="en-GB"/>
              </w:rPr>
            </w:pPr>
            <w:r w:rsidRPr="00941CDF">
              <w:rPr>
                <w:rFonts w:ascii="Arial" w:eastAsia="Times New Roman" w:hAnsi="Arial" w:cs="Arial"/>
                <w:b/>
                <w:bCs/>
                <w:color w:val="000000"/>
                <w:lang w:eastAsia="en-GB"/>
              </w:rPr>
              <w:t> </w:t>
            </w:r>
          </w:p>
        </w:tc>
      </w:tr>
      <w:tr w:rsidR="0021298F" w:rsidRPr="00941CDF" w14:paraId="2218BDFE" w14:textId="77777777" w:rsidTr="00760009">
        <w:trPr>
          <w:trHeight w:val="300"/>
        </w:trPr>
        <w:tc>
          <w:tcPr>
            <w:tcW w:w="3216" w:type="dxa"/>
            <w:tcBorders>
              <w:top w:val="nil"/>
              <w:left w:val="nil"/>
              <w:bottom w:val="nil"/>
              <w:right w:val="nil"/>
            </w:tcBorders>
            <w:shd w:val="clear" w:color="000000" w:fill="FFFFFF"/>
            <w:vAlign w:val="center"/>
            <w:hideMark/>
          </w:tcPr>
          <w:p w14:paraId="50DAB341" w14:textId="77777777" w:rsidR="0021298F" w:rsidRPr="00941CDF" w:rsidRDefault="0021298F" w:rsidP="00760009">
            <w:pPr>
              <w:jc w:val="both"/>
              <w:rPr>
                <w:rFonts w:ascii="Arial" w:eastAsia="Times New Roman" w:hAnsi="Arial" w:cs="Arial"/>
                <w:b/>
                <w:bCs/>
                <w:color w:val="000000"/>
                <w:lang w:eastAsia="en-GB"/>
              </w:rPr>
            </w:pPr>
            <w:r w:rsidRPr="00941CDF">
              <w:rPr>
                <w:rFonts w:ascii="Arial" w:eastAsia="Times New Roman" w:hAnsi="Arial" w:cs="Arial"/>
                <w:b/>
                <w:bCs/>
                <w:color w:val="000000"/>
                <w:lang w:eastAsia="en-GB"/>
              </w:rPr>
              <w:t>Liabilities</w:t>
            </w:r>
          </w:p>
        </w:tc>
        <w:tc>
          <w:tcPr>
            <w:tcW w:w="1416" w:type="dxa"/>
            <w:tcBorders>
              <w:top w:val="nil"/>
              <w:left w:val="nil"/>
              <w:bottom w:val="nil"/>
              <w:right w:val="nil"/>
            </w:tcBorders>
            <w:shd w:val="clear" w:color="000000" w:fill="EDFFB7"/>
            <w:noWrap/>
            <w:vAlign w:val="center"/>
            <w:hideMark/>
          </w:tcPr>
          <w:p w14:paraId="711BAEC9" w14:textId="77777777" w:rsidR="0021298F" w:rsidRPr="00941CDF" w:rsidRDefault="0021298F" w:rsidP="00760009">
            <w:pPr>
              <w:jc w:val="right"/>
              <w:rPr>
                <w:rFonts w:ascii="Arial" w:eastAsia="Times New Roman" w:hAnsi="Arial" w:cs="Arial"/>
                <w:b/>
                <w:bCs/>
                <w:color w:val="000000"/>
                <w:lang w:eastAsia="en-GB"/>
              </w:rPr>
            </w:pPr>
            <w:r w:rsidRPr="00941CDF">
              <w:rPr>
                <w:rFonts w:ascii="Arial" w:eastAsia="Times New Roman" w:hAnsi="Arial" w:cs="Arial"/>
                <w:b/>
                <w:bCs/>
                <w:color w:val="000000"/>
                <w:lang w:eastAsia="en-GB"/>
              </w:rPr>
              <w:t> </w:t>
            </w:r>
          </w:p>
        </w:tc>
        <w:tc>
          <w:tcPr>
            <w:tcW w:w="1416" w:type="dxa"/>
            <w:tcBorders>
              <w:top w:val="nil"/>
              <w:left w:val="nil"/>
              <w:bottom w:val="nil"/>
              <w:right w:val="nil"/>
            </w:tcBorders>
            <w:shd w:val="clear" w:color="000000" w:fill="EDFFB7"/>
            <w:noWrap/>
            <w:vAlign w:val="center"/>
            <w:hideMark/>
          </w:tcPr>
          <w:p w14:paraId="4E0D3D9E" w14:textId="77777777" w:rsidR="0021298F" w:rsidRPr="00941CDF" w:rsidRDefault="0021298F" w:rsidP="00760009">
            <w:pPr>
              <w:jc w:val="right"/>
              <w:rPr>
                <w:rFonts w:ascii="Arial" w:eastAsia="Times New Roman" w:hAnsi="Arial" w:cs="Arial"/>
                <w:b/>
                <w:bCs/>
                <w:color w:val="000000"/>
                <w:lang w:eastAsia="en-GB"/>
              </w:rPr>
            </w:pPr>
            <w:r w:rsidRPr="00941CDF">
              <w:rPr>
                <w:rFonts w:ascii="Arial" w:eastAsia="Times New Roman" w:hAnsi="Arial" w:cs="Arial"/>
                <w:b/>
                <w:bCs/>
                <w:color w:val="000000"/>
                <w:lang w:eastAsia="en-GB"/>
              </w:rPr>
              <w:t> </w:t>
            </w:r>
          </w:p>
        </w:tc>
        <w:tc>
          <w:tcPr>
            <w:tcW w:w="1456" w:type="dxa"/>
            <w:tcBorders>
              <w:top w:val="nil"/>
              <w:left w:val="nil"/>
              <w:bottom w:val="nil"/>
              <w:right w:val="nil"/>
            </w:tcBorders>
            <w:shd w:val="clear" w:color="000000" w:fill="EDFFB7"/>
            <w:noWrap/>
            <w:vAlign w:val="center"/>
            <w:hideMark/>
          </w:tcPr>
          <w:p w14:paraId="6D01C61D" w14:textId="77777777" w:rsidR="0021298F" w:rsidRPr="00941CDF" w:rsidRDefault="0021298F" w:rsidP="00760009">
            <w:pPr>
              <w:jc w:val="right"/>
              <w:rPr>
                <w:rFonts w:ascii="Arial" w:eastAsia="Times New Roman" w:hAnsi="Arial" w:cs="Arial"/>
                <w:b/>
                <w:bCs/>
                <w:color w:val="000000"/>
                <w:lang w:eastAsia="en-GB"/>
              </w:rPr>
            </w:pPr>
            <w:r w:rsidRPr="00941CDF">
              <w:rPr>
                <w:rFonts w:ascii="Arial" w:eastAsia="Times New Roman" w:hAnsi="Arial" w:cs="Arial"/>
                <w:b/>
                <w:bCs/>
                <w:color w:val="000000"/>
                <w:lang w:eastAsia="en-GB"/>
              </w:rPr>
              <w:t> </w:t>
            </w:r>
          </w:p>
        </w:tc>
        <w:tc>
          <w:tcPr>
            <w:tcW w:w="1456" w:type="dxa"/>
            <w:tcBorders>
              <w:top w:val="nil"/>
              <w:left w:val="nil"/>
              <w:bottom w:val="nil"/>
              <w:right w:val="nil"/>
            </w:tcBorders>
            <w:shd w:val="clear" w:color="000000" w:fill="EDFFB7"/>
            <w:noWrap/>
            <w:vAlign w:val="center"/>
            <w:hideMark/>
          </w:tcPr>
          <w:p w14:paraId="781A4011" w14:textId="77777777" w:rsidR="0021298F" w:rsidRPr="00941CDF" w:rsidRDefault="0021298F" w:rsidP="00760009">
            <w:pPr>
              <w:jc w:val="right"/>
              <w:rPr>
                <w:rFonts w:ascii="Arial" w:eastAsia="Times New Roman" w:hAnsi="Arial" w:cs="Arial"/>
                <w:b/>
                <w:bCs/>
                <w:color w:val="000000"/>
                <w:lang w:eastAsia="en-GB"/>
              </w:rPr>
            </w:pPr>
            <w:r w:rsidRPr="00941CDF">
              <w:rPr>
                <w:rFonts w:ascii="Arial" w:eastAsia="Times New Roman" w:hAnsi="Arial" w:cs="Arial"/>
                <w:b/>
                <w:bCs/>
                <w:color w:val="000000"/>
                <w:lang w:eastAsia="en-GB"/>
              </w:rPr>
              <w:t> </w:t>
            </w:r>
          </w:p>
        </w:tc>
      </w:tr>
      <w:tr w:rsidR="0021298F" w:rsidRPr="00941CDF" w14:paraId="1988F2F9" w14:textId="77777777" w:rsidTr="00760009">
        <w:trPr>
          <w:trHeight w:val="300"/>
        </w:trPr>
        <w:tc>
          <w:tcPr>
            <w:tcW w:w="3216" w:type="dxa"/>
            <w:tcBorders>
              <w:top w:val="nil"/>
              <w:left w:val="nil"/>
              <w:bottom w:val="nil"/>
              <w:right w:val="nil"/>
            </w:tcBorders>
            <w:shd w:val="clear" w:color="000000" w:fill="FFFFFF"/>
            <w:vAlign w:val="center"/>
            <w:hideMark/>
          </w:tcPr>
          <w:p w14:paraId="2A3D8FD1" w14:textId="77777777" w:rsidR="0021298F" w:rsidRPr="00941CDF" w:rsidRDefault="0021298F" w:rsidP="00760009">
            <w:pPr>
              <w:jc w:val="both"/>
              <w:rPr>
                <w:rFonts w:ascii="Arial" w:eastAsia="Times New Roman" w:hAnsi="Arial" w:cs="Arial"/>
                <w:color w:val="000000"/>
                <w:lang w:eastAsia="en-GB"/>
              </w:rPr>
            </w:pPr>
            <w:r w:rsidRPr="00941CDF">
              <w:rPr>
                <w:rFonts w:ascii="Arial" w:eastAsia="Times New Roman" w:hAnsi="Arial" w:cs="Arial"/>
                <w:color w:val="000000"/>
                <w:lang w:eastAsia="en-GB"/>
              </w:rPr>
              <w:t>Other payables (note 12)</w:t>
            </w:r>
          </w:p>
        </w:tc>
        <w:tc>
          <w:tcPr>
            <w:tcW w:w="1416" w:type="dxa"/>
            <w:tcBorders>
              <w:top w:val="nil"/>
              <w:left w:val="nil"/>
              <w:bottom w:val="nil"/>
              <w:right w:val="nil"/>
            </w:tcBorders>
            <w:shd w:val="clear" w:color="000000" w:fill="EDFFB7"/>
            <w:noWrap/>
            <w:vAlign w:val="center"/>
            <w:hideMark/>
          </w:tcPr>
          <w:p w14:paraId="16C316E6" w14:textId="77777777" w:rsidR="0021298F" w:rsidRPr="00941CDF" w:rsidRDefault="0021298F" w:rsidP="00760009">
            <w:pPr>
              <w:jc w:val="right"/>
              <w:rPr>
                <w:rFonts w:ascii="Arial" w:eastAsia="Times New Roman" w:hAnsi="Arial" w:cs="Arial"/>
                <w:color w:val="000000"/>
                <w:lang w:eastAsia="en-GB"/>
              </w:rPr>
            </w:pPr>
            <w:r w:rsidRPr="00941CDF">
              <w:rPr>
                <w:rFonts w:ascii="Arial" w:eastAsia="Times New Roman" w:hAnsi="Arial" w:cs="Arial"/>
                <w:color w:val="000000"/>
                <w:lang w:eastAsia="en-GB"/>
              </w:rPr>
              <w:t xml:space="preserve"> - </w:t>
            </w:r>
          </w:p>
        </w:tc>
        <w:tc>
          <w:tcPr>
            <w:tcW w:w="1416" w:type="dxa"/>
            <w:tcBorders>
              <w:top w:val="nil"/>
              <w:left w:val="nil"/>
              <w:bottom w:val="nil"/>
              <w:right w:val="nil"/>
            </w:tcBorders>
            <w:shd w:val="clear" w:color="000000" w:fill="EDFFB7"/>
            <w:noWrap/>
            <w:vAlign w:val="center"/>
            <w:hideMark/>
          </w:tcPr>
          <w:p w14:paraId="55524474" w14:textId="77777777" w:rsidR="0021298F" w:rsidRPr="00941CDF" w:rsidRDefault="0021298F" w:rsidP="00760009">
            <w:pPr>
              <w:jc w:val="right"/>
              <w:rPr>
                <w:rFonts w:ascii="Arial" w:eastAsia="Times New Roman" w:hAnsi="Arial" w:cs="Arial"/>
                <w:color w:val="000000"/>
                <w:lang w:eastAsia="en-GB"/>
              </w:rPr>
            </w:pPr>
            <w:r w:rsidRPr="00941CDF">
              <w:rPr>
                <w:rFonts w:ascii="Arial" w:eastAsia="Times New Roman" w:hAnsi="Arial" w:cs="Arial"/>
                <w:color w:val="000000"/>
                <w:lang w:eastAsia="en-GB"/>
              </w:rPr>
              <w:t xml:space="preserve"> - </w:t>
            </w:r>
          </w:p>
        </w:tc>
        <w:tc>
          <w:tcPr>
            <w:tcW w:w="1456" w:type="dxa"/>
            <w:tcBorders>
              <w:top w:val="nil"/>
              <w:left w:val="nil"/>
              <w:bottom w:val="nil"/>
              <w:right w:val="nil"/>
            </w:tcBorders>
            <w:shd w:val="clear" w:color="000000" w:fill="EDFFB7"/>
            <w:noWrap/>
            <w:vAlign w:val="center"/>
            <w:hideMark/>
          </w:tcPr>
          <w:p w14:paraId="5018FA3F" w14:textId="77777777" w:rsidR="0021298F" w:rsidRPr="00941CDF" w:rsidRDefault="0021298F" w:rsidP="00760009">
            <w:pPr>
              <w:jc w:val="right"/>
              <w:rPr>
                <w:rFonts w:ascii="Arial" w:eastAsia="Times New Roman" w:hAnsi="Arial" w:cs="Arial"/>
                <w:color w:val="000000"/>
                <w:lang w:eastAsia="en-GB"/>
              </w:rPr>
            </w:pPr>
            <w:r w:rsidRPr="00941CDF">
              <w:rPr>
                <w:rFonts w:ascii="Arial" w:eastAsia="Times New Roman" w:hAnsi="Arial" w:cs="Arial"/>
                <w:color w:val="000000"/>
                <w:lang w:eastAsia="en-GB"/>
              </w:rPr>
              <w:t xml:space="preserve"> (5,343)</w:t>
            </w:r>
          </w:p>
        </w:tc>
        <w:tc>
          <w:tcPr>
            <w:tcW w:w="1456" w:type="dxa"/>
            <w:tcBorders>
              <w:top w:val="nil"/>
              <w:left w:val="nil"/>
              <w:bottom w:val="nil"/>
              <w:right w:val="nil"/>
            </w:tcBorders>
            <w:shd w:val="clear" w:color="000000" w:fill="EDFFB7"/>
            <w:noWrap/>
            <w:vAlign w:val="center"/>
            <w:hideMark/>
          </w:tcPr>
          <w:p w14:paraId="69451023" w14:textId="77777777" w:rsidR="0021298F" w:rsidRPr="00941CDF" w:rsidRDefault="0021298F" w:rsidP="00760009">
            <w:pPr>
              <w:jc w:val="right"/>
              <w:rPr>
                <w:rFonts w:ascii="Arial" w:eastAsia="Times New Roman" w:hAnsi="Arial" w:cs="Arial"/>
                <w:b/>
                <w:bCs/>
                <w:color w:val="000000"/>
                <w:lang w:eastAsia="en-GB"/>
              </w:rPr>
            </w:pPr>
            <w:r w:rsidRPr="00941CDF">
              <w:rPr>
                <w:rFonts w:ascii="Arial" w:eastAsia="Times New Roman" w:hAnsi="Arial" w:cs="Arial"/>
                <w:b/>
                <w:bCs/>
                <w:color w:val="000000"/>
                <w:lang w:eastAsia="en-GB"/>
              </w:rPr>
              <w:t xml:space="preserve"> (5,343)</w:t>
            </w:r>
          </w:p>
        </w:tc>
      </w:tr>
      <w:tr w:rsidR="0021298F" w:rsidRPr="00941CDF" w14:paraId="35353353" w14:textId="77777777" w:rsidTr="00760009">
        <w:trPr>
          <w:trHeight w:val="570"/>
        </w:trPr>
        <w:tc>
          <w:tcPr>
            <w:tcW w:w="3216" w:type="dxa"/>
            <w:tcBorders>
              <w:top w:val="nil"/>
              <w:left w:val="nil"/>
              <w:bottom w:val="single" w:sz="4" w:space="0" w:color="auto"/>
              <w:right w:val="nil"/>
            </w:tcBorders>
            <w:shd w:val="clear" w:color="000000" w:fill="FFFFFF"/>
            <w:vAlign w:val="center"/>
            <w:hideMark/>
          </w:tcPr>
          <w:p w14:paraId="35DDEF48" w14:textId="77777777" w:rsidR="0021298F" w:rsidRPr="00941CDF" w:rsidRDefault="0021298F" w:rsidP="00760009">
            <w:pPr>
              <w:jc w:val="both"/>
              <w:rPr>
                <w:rFonts w:ascii="Arial" w:eastAsia="Times New Roman" w:hAnsi="Arial" w:cs="Arial"/>
                <w:color w:val="000000"/>
                <w:lang w:eastAsia="en-GB"/>
              </w:rPr>
            </w:pPr>
            <w:r w:rsidRPr="00941CDF">
              <w:rPr>
                <w:rFonts w:ascii="Arial" w:eastAsia="Times New Roman" w:hAnsi="Arial" w:cs="Arial"/>
                <w:color w:val="000000"/>
                <w:lang w:eastAsia="en-GB"/>
              </w:rPr>
              <w:t>Loans and borrowings (note 13)</w:t>
            </w:r>
          </w:p>
        </w:tc>
        <w:tc>
          <w:tcPr>
            <w:tcW w:w="1416" w:type="dxa"/>
            <w:tcBorders>
              <w:top w:val="nil"/>
              <w:left w:val="nil"/>
              <w:bottom w:val="single" w:sz="4" w:space="0" w:color="auto"/>
              <w:right w:val="nil"/>
            </w:tcBorders>
            <w:shd w:val="clear" w:color="000000" w:fill="EDFFB7"/>
            <w:noWrap/>
            <w:vAlign w:val="center"/>
            <w:hideMark/>
          </w:tcPr>
          <w:p w14:paraId="1E31792C" w14:textId="77777777" w:rsidR="0021298F" w:rsidRPr="00941CDF" w:rsidRDefault="0021298F" w:rsidP="00760009">
            <w:pPr>
              <w:jc w:val="right"/>
              <w:rPr>
                <w:rFonts w:ascii="Arial" w:eastAsia="Times New Roman" w:hAnsi="Arial" w:cs="Arial"/>
                <w:color w:val="000000"/>
                <w:lang w:eastAsia="en-GB"/>
              </w:rPr>
            </w:pPr>
            <w:r w:rsidRPr="00941CDF">
              <w:rPr>
                <w:rFonts w:ascii="Arial" w:eastAsia="Times New Roman" w:hAnsi="Arial" w:cs="Arial"/>
                <w:color w:val="000000"/>
                <w:lang w:eastAsia="en-GB"/>
              </w:rPr>
              <w:t xml:space="preserve"> (197,980)</w:t>
            </w:r>
          </w:p>
        </w:tc>
        <w:tc>
          <w:tcPr>
            <w:tcW w:w="1416" w:type="dxa"/>
            <w:tcBorders>
              <w:top w:val="nil"/>
              <w:left w:val="nil"/>
              <w:bottom w:val="single" w:sz="4" w:space="0" w:color="auto"/>
              <w:right w:val="nil"/>
            </w:tcBorders>
            <w:shd w:val="clear" w:color="000000" w:fill="EDFFB7"/>
            <w:noWrap/>
            <w:vAlign w:val="center"/>
            <w:hideMark/>
          </w:tcPr>
          <w:p w14:paraId="6B02428E" w14:textId="77777777" w:rsidR="0021298F" w:rsidRPr="00941CDF" w:rsidRDefault="0021298F" w:rsidP="00760009">
            <w:pPr>
              <w:jc w:val="right"/>
              <w:rPr>
                <w:rFonts w:ascii="Arial" w:eastAsia="Times New Roman" w:hAnsi="Arial" w:cs="Arial"/>
                <w:color w:val="000000"/>
                <w:lang w:eastAsia="en-GB"/>
              </w:rPr>
            </w:pPr>
            <w:r w:rsidRPr="00941CDF">
              <w:rPr>
                <w:rFonts w:ascii="Arial" w:eastAsia="Times New Roman" w:hAnsi="Arial" w:cs="Arial"/>
                <w:color w:val="000000"/>
                <w:lang w:eastAsia="en-GB"/>
              </w:rPr>
              <w:t xml:space="preserve"> (12,828)</w:t>
            </w:r>
          </w:p>
        </w:tc>
        <w:tc>
          <w:tcPr>
            <w:tcW w:w="1456" w:type="dxa"/>
            <w:tcBorders>
              <w:top w:val="nil"/>
              <w:left w:val="nil"/>
              <w:bottom w:val="single" w:sz="4" w:space="0" w:color="auto"/>
              <w:right w:val="nil"/>
            </w:tcBorders>
            <w:shd w:val="clear" w:color="000000" w:fill="EDFFB7"/>
            <w:noWrap/>
            <w:vAlign w:val="center"/>
            <w:hideMark/>
          </w:tcPr>
          <w:p w14:paraId="50C03CEB" w14:textId="77777777" w:rsidR="0021298F" w:rsidRPr="00941CDF" w:rsidRDefault="0021298F" w:rsidP="00760009">
            <w:pPr>
              <w:jc w:val="right"/>
              <w:rPr>
                <w:rFonts w:ascii="Arial" w:eastAsia="Times New Roman" w:hAnsi="Arial" w:cs="Arial"/>
                <w:color w:val="000000"/>
                <w:lang w:eastAsia="en-GB"/>
              </w:rPr>
            </w:pPr>
            <w:r w:rsidRPr="00941CDF">
              <w:rPr>
                <w:rFonts w:ascii="Arial" w:eastAsia="Times New Roman" w:hAnsi="Arial" w:cs="Arial"/>
                <w:color w:val="000000"/>
                <w:lang w:eastAsia="en-GB"/>
              </w:rPr>
              <w:t xml:space="preserve"> - </w:t>
            </w:r>
          </w:p>
        </w:tc>
        <w:tc>
          <w:tcPr>
            <w:tcW w:w="1456" w:type="dxa"/>
            <w:tcBorders>
              <w:top w:val="nil"/>
              <w:left w:val="nil"/>
              <w:bottom w:val="single" w:sz="4" w:space="0" w:color="auto"/>
              <w:right w:val="nil"/>
            </w:tcBorders>
            <w:shd w:val="clear" w:color="000000" w:fill="EDFFB7"/>
            <w:noWrap/>
            <w:vAlign w:val="center"/>
            <w:hideMark/>
          </w:tcPr>
          <w:p w14:paraId="79EDDC9C" w14:textId="77777777" w:rsidR="0021298F" w:rsidRPr="00941CDF" w:rsidRDefault="0021298F" w:rsidP="00760009">
            <w:pPr>
              <w:jc w:val="right"/>
              <w:rPr>
                <w:rFonts w:ascii="Arial" w:eastAsia="Times New Roman" w:hAnsi="Arial" w:cs="Arial"/>
                <w:b/>
                <w:bCs/>
                <w:color w:val="000000"/>
                <w:lang w:eastAsia="en-GB"/>
              </w:rPr>
            </w:pPr>
            <w:r w:rsidRPr="00941CDF">
              <w:rPr>
                <w:rFonts w:ascii="Arial" w:eastAsia="Times New Roman" w:hAnsi="Arial" w:cs="Arial"/>
                <w:b/>
                <w:bCs/>
                <w:color w:val="000000"/>
                <w:lang w:eastAsia="en-GB"/>
              </w:rPr>
              <w:t xml:space="preserve">       (210,808)</w:t>
            </w:r>
          </w:p>
        </w:tc>
      </w:tr>
      <w:tr w:rsidR="0021298F" w:rsidRPr="00941CDF" w14:paraId="3B061B44" w14:textId="77777777" w:rsidTr="00760009">
        <w:trPr>
          <w:trHeight w:val="315"/>
        </w:trPr>
        <w:tc>
          <w:tcPr>
            <w:tcW w:w="3216" w:type="dxa"/>
            <w:tcBorders>
              <w:top w:val="nil"/>
              <w:left w:val="nil"/>
              <w:bottom w:val="single" w:sz="8" w:space="0" w:color="auto"/>
              <w:right w:val="nil"/>
            </w:tcBorders>
            <w:shd w:val="clear" w:color="000000" w:fill="FFFFFF"/>
            <w:vAlign w:val="center"/>
            <w:hideMark/>
          </w:tcPr>
          <w:p w14:paraId="54FECB4C" w14:textId="77777777" w:rsidR="0021298F" w:rsidRPr="00941CDF" w:rsidRDefault="0021298F" w:rsidP="00760009">
            <w:pPr>
              <w:jc w:val="both"/>
              <w:rPr>
                <w:rFonts w:ascii="Arial" w:eastAsia="Times New Roman" w:hAnsi="Arial" w:cs="Arial"/>
                <w:b/>
                <w:bCs/>
                <w:color w:val="000000"/>
                <w:lang w:eastAsia="en-GB"/>
              </w:rPr>
            </w:pPr>
            <w:r w:rsidRPr="00941CDF">
              <w:rPr>
                <w:rFonts w:ascii="Arial" w:eastAsia="Times New Roman" w:hAnsi="Arial" w:cs="Arial"/>
                <w:b/>
                <w:bCs/>
                <w:color w:val="000000"/>
                <w:lang w:eastAsia="en-GB"/>
              </w:rPr>
              <w:t> </w:t>
            </w:r>
          </w:p>
        </w:tc>
        <w:tc>
          <w:tcPr>
            <w:tcW w:w="1416" w:type="dxa"/>
            <w:tcBorders>
              <w:top w:val="nil"/>
              <w:left w:val="nil"/>
              <w:bottom w:val="single" w:sz="8" w:space="0" w:color="auto"/>
              <w:right w:val="nil"/>
            </w:tcBorders>
            <w:shd w:val="clear" w:color="000000" w:fill="EDFFB7"/>
            <w:noWrap/>
            <w:vAlign w:val="center"/>
            <w:hideMark/>
          </w:tcPr>
          <w:p w14:paraId="4DC9FBC6" w14:textId="77777777" w:rsidR="0021298F" w:rsidRPr="00941CDF" w:rsidRDefault="0021298F" w:rsidP="00760009">
            <w:pPr>
              <w:jc w:val="right"/>
              <w:rPr>
                <w:rFonts w:ascii="Arial" w:eastAsia="Times New Roman" w:hAnsi="Arial" w:cs="Arial"/>
                <w:b/>
                <w:bCs/>
                <w:color w:val="000000"/>
                <w:lang w:eastAsia="en-GB"/>
              </w:rPr>
            </w:pPr>
            <w:r w:rsidRPr="00941CDF">
              <w:rPr>
                <w:rFonts w:ascii="Arial" w:eastAsia="Times New Roman" w:hAnsi="Arial" w:cs="Arial"/>
                <w:b/>
                <w:bCs/>
                <w:color w:val="000000"/>
                <w:lang w:eastAsia="en-GB"/>
              </w:rPr>
              <w:t xml:space="preserve"> (197,980)</w:t>
            </w:r>
          </w:p>
        </w:tc>
        <w:tc>
          <w:tcPr>
            <w:tcW w:w="1416" w:type="dxa"/>
            <w:tcBorders>
              <w:top w:val="nil"/>
              <w:left w:val="nil"/>
              <w:bottom w:val="single" w:sz="8" w:space="0" w:color="auto"/>
              <w:right w:val="nil"/>
            </w:tcBorders>
            <w:shd w:val="clear" w:color="000000" w:fill="EDFFB7"/>
            <w:noWrap/>
            <w:vAlign w:val="center"/>
            <w:hideMark/>
          </w:tcPr>
          <w:p w14:paraId="58CCBA9D" w14:textId="77777777" w:rsidR="0021298F" w:rsidRPr="00941CDF" w:rsidRDefault="0021298F" w:rsidP="00760009">
            <w:pPr>
              <w:jc w:val="right"/>
              <w:rPr>
                <w:rFonts w:ascii="Arial" w:eastAsia="Times New Roman" w:hAnsi="Arial" w:cs="Arial"/>
                <w:b/>
                <w:bCs/>
                <w:color w:val="000000"/>
                <w:lang w:eastAsia="en-GB"/>
              </w:rPr>
            </w:pPr>
            <w:r w:rsidRPr="00941CDF">
              <w:rPr>
                <w:rFonts w:ascii="Arial" w:eastAsia="Times New Roman" w:hAnsi="Arial" w:cs="Arial"/>
                <w:b/>
                <w:bCs/>
                <w:color w:val="000000"/>
                <w:lang w:eastAsia="en-GB"/>
              </w:rPr>
              <w:t xml:space="preserve"> (12,828)</w:t>
            </w:r>
          </w:p>
        </w:tc>
        <w:tc>
          <w:tcPr>
            <w:tcW w:w="1456" w:type="dxa"/>
            <w:tcBorders>
              <w:top w:val="nil"/>
              <w:left w:val="nil"/>
              <w:bottom w:val="single" w:sz="8" w:space="0" w:color="auto"/>
              <w:right w:val="nil"/>
            </w:tcBorders>
            <w:shd w:val="clear" w:color="000000" w:fill="EDFFB7"/>
            <w:noWrap/>
            <w:vAlign w:val="center"/>
            <w:hideMark/>
          </w:tcPr>
          <w:p w14:paraId="411FF127" w14:textId="77777777" w:rsidR="0021298F" w:rsidRPr="00941CDF" w:rsidRDefault="0021298F" w:rsidP="00760009">
            <w:pPr>
              <w:jc w:val="right"/>
              <w:rPr>
                <w:rFonts w:ascii="Arial" w:eastAsia="Times New Roman" w:hAnsi="Arial" w:cs="Arial"/>
                <w:b/>
                <w:bCs/>
                <w:color w:val="000000"/>
                <w:lang w:eastAsia="en-GB"/>
              </w:rPr>
            </w:pPr>
            <w:r w:rsidRPr="00941CDF">
              <w:rPr>
                <w:rFonts w:ascii="Arial" w:eastAsia="Times New Roman" w:hAnsi="Arial" w:cs="Arial"/>
                <w:b/>
                <w:bCs/>
                <w:color w:val="000000"/>
                <w:lang w:eastAsia="en-GB"/>
              </w:rPr>
              <w:t xml:space="preserve"> (5,343)</w:t>
            </w:r>
          </w:p>
        </w:tc>
        <w:tc>
          <w:tcPr>
            <w:tcW w:w="1456" w:type="dxa"/>
            <w:tcBorders>
              <w:top w:val="nil"/>
              <w:left w:val="nil"/>
              <w:bottom w:val="single" w:sz="8" w:space="0" w:color="auto"/>
              <w:right w:val="nil"/>
            </w:tcBorders>
            <w:shd w:val="clear" w:color="000000" w:fill="EDFFB7"/>
            <w:noWrap/>
            <w:vAlign w:val="center"/>
            <w:hideMark/>
          </w:tcPr>
          <w:p w14:paraId="01733007" w14:textId="77777777" w:rsidR="0021298F" w:rsidRPr="00941CDF" w:rsidRDefault="0021298F" w:rsidP="00760009">
            <w:pPr>
              <w:jc w:val="right"/>
              <w:rPr>
                <w:rFonts w:ascii="Arial" w:eastAsia="Times New Roman" w:hAnsi="Arial" w:cs="Arial"/>
                <w:b/>
                <w:bCs/>
                <w:color w:val="000000"/>
                <w:lang w:eastAsia="en-GB"/>
              </w:rPr>
            </w:pPr>
            <w:r w:rsidRPr="00941CDF">
              <w:rPr>
                <w:rFonts w:ascii="Arial" w:eastAsia="Times New Roman" w:hAnsi="Arial" w:cs="Arial"/>
                <w:b/>
                <w:bCs/>
                <w:color w:val="000000"/>
                <w:lang w:eastAsia="en-GB"/>
              </w:rPr>
              <w:t xml:space="preserve"> (216,151)</w:t>
            </w:r>
          </w:p>
        </w:tc>
      </w:tr>
    </w:tbl>
    <w:p w14:paraId="7450C54F" w14:textId="77777777" w:rsidR="0021298F" w:rsidRDefault="0021298F" w:rsidP="0021298F">
      <w:pPr>
        <w:tabs>
          <w:tab w:val="left" w:pos="1575"/>
        </w:tabs>
        <w:jc w:val="both"/>
        <w:rPr>
          <w:rFonts w:ascii="Arial" w:eastAsia="Times New Roman" w:hAnsi="Arial" w:cs="Arial"/>
        </w:rPr>
      </w:pPr>
    </w:p>
    <w:p w14:paraId="59AE698C" w14:textId="77777777" w:rsidR="0021298F" w:rsidRDefault="0021298F" w:rsidP="0021298F">
      <w:pPr>
        <w:jc w:val="both"/>
        <w:rPr>
          <w:rFonts w:ascii="Arial" w:eastAsia="Times New Roman" w:hAnsi="Arial" w:cs="Arial"/>
        </w:rPr>
      </w:pPr>
      <w:r w:rsidRPr="00F73CF4">
        <w:rPr>
          <w:rFonts w:ascii="Arial" w:eastAsia="Times New Roman" w:hAnsi="Arial" w:cs="Arial"/>
        </w:rPr>
        <w:t xml:space="preserve">The Group’s interest and non-interest bearing assets and liabilities as at </w:t>
      </w:r>
      <w:r>
        <w:rPr>
          <w:rFonts w:ascii="Arial" w:eastAsia="Times New Roman" w:hAnsi="Arial" w:cs="Arial"/>
        </w:rPr>
        <w:t>31 December 2019 are summarised below:</w:t>
      </w:r>
    </w:p>
    <w:tbl>
      <w:tblPr>
        <w:tblW w:w="9146" w:type="dxa"/>
        <w:tblLook w:val="04A0" w:firstRow="1" w:lastRow="0" w:firstColumn="1" w:lastColumn="0" w:noHBand="0" w:noVBand="1"/>
      </w:tblPr>
      <w:tblGrid>
        <w:gridCol w:w="3402"/>
        <w:gridCol w:w="1407"/>
        <w:gridCol w:w="1425"/>
        <w:gridCol w:w="1456"/>
        <w:gridCol w:w="1456"/>
      </w:tblGrid>
      <w:tr w:rsidR="0021298F" w:rsidRPr="00941CDF" w14:paraId="7D8C612B" w14:textId="77777777" w:rsidTr="00760009">
        <w:trPr>
          <w:trHeight w:val="300"/>
        </w:trPr>
        <w:tc>
          <w:tcPr>
            <w:tcW w:w="3402" w:type="dxa"/>
            <w:tcBorders>
              <w:top w:val="nil"/>
              <w:left w:val="nil"/>
              <w:bottom w:val="nil"/>
              <w:right w:val="nil"/>
            </w:tcBorders>
            <w:shd w:val="clear" w:color="000000" w:fill="FFFFFF"/>
            <w:noWrap/>
            <w:vAlign w:val="bottom"/>
            <w:hideMark/>
          </w:tcPr>
          <w:p w14:paraId="131417D3" w14:textId="77777777" w:rsidR="0021298F" w:rsidRPr="00941CDF" w:rsidRDefault="0021298F" w:rsidP="00760009">
            <w:pPr>
              <w:rPr>
                <w:rFonts w:ascii="Arial" w:eastAsia="Times New Roman" w:hAnsi="Arial" w:cs="Arial"/>
                <w:b/>
                <w:bCs/>
                <w:color w:val="000000"/>
                <w:lang w:eastAsia="en-GB"/>
              </w:rPr>
            </w:pPr>
            <w:r w:rsidRPr="00941CDF">
              <w:rPr>
                <w:rFonts w:ascii="Arial" w:eastAsia="Times New Roman" w:hAnsi="Arial" w:cs="Arial"/>
                <w:b/>
                <w:bCs/>
                <w:color w:val="000000"/>
                <w:lang w:eastAsia="en-GB"/>
              </w:rPr>
              <w:t> </w:t>
            </w:r>
          </w:p>
        </w:tc>
        <w:tc>
          <w:tcPr>
            <w:tcW w:w="2832" w:type="dxa"/>
            <w:gridSpan w:val="2"/>
            <w:tcBorders>
              <w:top w:val="nil"/>
              <w:left w:val="nil"/>
              <w:bottom w:val="nil"/>
              <w:right w:val="nil"/>
            </w:tcBorders>
            <w:shd w:val="clear" w:color="000000" w:fill="FFFFFF"/>
            <w:vAlign w:val="bottom"/>
            <w:hideMark/>
          </w:tcPr>
          <w:p w14:paraId="04E2A5B7" w14:textId="77777777" w:rsidR="0021298F" w:rsidRPr="00941CDF" w:rsidRDefault="0021298F" w:rsidP="00760009">
            <w:pPr>
              <w:jc w:val="center"/>
              <w:rPr>
                <w:rFonts w:ascii="Arial" w:eastAsia="Times New Roman" w:hAnsi="Arial" w:cs="Arial"/>
                <w:b/>
                <w:bCs/>
                <w:color w:val="000000"/>
                <w:lang w:eastAsia="en-GB"/>
              </w:rPr>
            </w:pPr>
            <w:r w:rsidRPr="00941CDF">
              <w:rPr>
                <w:rFonts w:ascii="Arial" w:eastAsia="Times New Roman" w:hAnsi="Arial" w:cs="Arial"/>
                <w:b/>
                <w:bCs/>
                <w:color w:val="000000"/>
                <w:lang w:eastAsia="en-GB"/>
              </w:rPr>
              <w:t>Interest bearing</w:t>
            </w:r>
          </w:p>
        </w:tc>
        <w:tc>
          <w:tcPr>
            <w:tcW w:w="1456" w:type="dxa"/>
            <w:tcBorders>
              <w:top w:val="nil"/>
              <w:left w:val="nil"/>
              <w:bottom w:val="nil"/>
              <w:right w:val="nil"/>
            </w:tcBorders>
            <w:shd w:val="clear" w:color="000000" w:fill="FFFFFF"/>
            <w:noWrap/>
            <w:vAlign w:val="bottom"/>
            <w:hideMark/>
          </w:tcPr>
          <w:p w14:paraId="05FC0978" w14:textId="77777777" w:rsidR="0021298F" w:rsidRPr="00941CDF" w:rsidRDefault="0021298F" w:rsidP="00760009">
            <w:pPr>
              <w:rPr>
                <w:rFonts w:ascii="Calibri" w:eastAsia="Times New Roman" w:hAnsi="Calibri" w:cs="Calibri"/>
                <w:color w:val="000000"/>
                <w:lang w:eastAsia="en-GB"/>
              </w:rPr>
            </w:pPr>
            <w:r w:rsidRPr="00941CDF">
              <w:rPr>
                <w:rFonts w:ascii="Calibri" w:eastAsia="Times New Roman" w:hAnsi="Calibri" w:cs="Calibri"/>
                <w:color w:val="000000"/>
                <w:lang w:eastAsia="en-GB"/>
              </w:rPr>
              <w:t> </w:t>
            </w:r>
          </w:p>
        </w:tc>
        <w:tc>
          <w:tcPr>
            <w:tcW w:w="1456" w:type="dxa"/>
            <w:tcBorders>
              <w:top w:val="nil"/>
              <w:left w:val="nil"/>
              <w:bottom w:val="nil"/>
              <w:right w:val="nil"/>
            </w:tcBorders>
            <w:shd w:val="clear" w:color="000000" w:fill="FFFFFF"/>
            <w:noWrap/>
            <w:vAlign w:val="bottom"/>
            <w:hideMark/>
          </w:tcPr>
          <w:p w14:paraId="3103E59C" w14:textId="77777777" w:rsidR="0021298F" w:rsidRPr="00941CDF" w:rsidRDefault="0021298F" w:rsidP="00760009">
            <w:pPr>
              <w:rPr>
                <w:rFonts w:ascii="Calibri" w:eastAsia="Times New Roman" w:hAnsi="Calibri" w:cs="Calibri"/>
                <w:color w:val="000000"/>
                <w:lang w:eastAsia="en-GB"/>
              </w:rPr>
            </w:pPr>
            <w:r w:rsidRPr="00941CDF">
              <w:rPr>
                <w:rFonts w:ascii="Calibri" w:eastAsia="Times New Roman" w:hAnsi="Calibri" w:cs="Calibri"/>
                <w:color w:val="000000"/>
                <w:lang w:eastAsia="en-GB"/>
              </w:rPr>
              <w:t> </w:t>
            </w:r>
          </w:p>
        </w:tc>
      </w:tr>
      <w:tr w:rsidR="0021298F" w:rsidRPr="00941CDF" w14:paraId="6BC64297" w14:textId="77777777" w:rsidTr="00760009">
        <w:trPr>
          <w:trHeight w:val="900"/>
        </w:trPr>
        <w:tc>
          <w:tcPr>
            <w:tcW w:w="3402" w:type="dxa"/>
            <w:tcBorders>
              <w:top w:val="nil"/>
              <w:left w:val="nil"/>
              <w:bottom w:val="nil"/>
              <w:right w:val="nil"/>
            </w:tcBorders>
            <w:shd w:val="clear" w:color="000000" w:fill="FFFFFF"/>
            <w:vAlign w:val="center"/>
            <w:hideMark/>
          </w:tcPr>
          <w:p w14:paraId="0D78A41D" w14:textId="77777777" w:rsidR="0021298F" w:rsidRPr="00941CDF" w:rsidRDefault="0021298F" w:rsidP="00760009">
            <w:pPr>
              <w:jc w:val="both"/>
              <w:rPr>
                <w:rFonts w:ascii="Arial" w:eastAsia="Times New Roman" w:hAnsi="Arial" w:cs="Arial"/>
                <w:b/>
                <w:bCs/>
                <w:color w:val="000000"/>
                <w:lang w:eastAsia="en-GB"/>
              </w:rPr>
            </w:pPr>
            <w:r w:rsidRPr="00941CDF">
              <w:rPr>
                <w:rFonts w:ascii="Arial" w:eastAsia="Times New Roman" w:hAnsi="Arial" w:cs="Arial"/>
                <w:b/>
                <w:bCs/>
                <w:color w:val="000000"/>
                <w:lang w:eastAsia="en-GB"/>
              </w:rPr>
              <w:t>Group</w:t>
            </w:r>
          </w:p>
        </w:tc>
        <w:tc>
          <w:tcPr>
            <w:tcW w:w="1407" w:type="dxa"/>
            <w:tcBorders>
              <w:top w:val="nil"/>
              <w:left w:val="nil"/>
              <w:bottom w:val="nil"/>
              <w:right w:val="nil"/>
            </w:tcBorders>
            <w:shd w:val="clear" w:color="000000" w:fill="FFFFFF"/>
            <w:vAlign w:val="bottom"/>
            <w:hideMark/>
          </w:tcPr>
          <w:p w14:paraId="683C98D1" w14:textId="77777777" w:rsidR="0021298F" w:rsidRPr="00941CDF" w:rsidRDefault="0021298F" w:rsidP="00760009">
            <w:pPr>
              <w:jc w:val="right"/>
              <w:rPr>
                <w:rFonts w:ascii="Arial" w:eastAsia="Times New Roman" w:hAnsi="Arial" w:cs="Arial"/>
                <w:b/>
                <w:bCs/>
                <w:color w:val="000000"/>
                <w:lang w:eastAsia="en-GB"/>
              </w:rPr>
            </w:pPr>
            <w:r w:rsidRPr="00941CDF">
              <w:rPr>
                <w:rFonts w:ascii="Arial" w:eastAsia="Times New Roman" w:hAnsi="Arial" w:cs="Arial"/>
                <w:b/>
                <w:bCs/>
                <w:color w:val="000000"/>
                <w:lang w:eastAsia="en-GB"/>
              </w:rPr>
              <w:t>Fixed rate</w:t>
            </w:r>
          </w:p>
        </w:tc>
        <w:tc>
          <w:tcPr>
            <w:tcW w:w="1425" w:type="dxa"/>
            <w:tcBorders>
              <w:top w:val="nil"/>
              <w:left w:val="nil"/>
              <w:bottom w:val="nil"/>
              <w:right w:val="nil"/>
            </w:tcBorders>
            <w:shd w:val="clear" w:color="000000" w:fill="FFFFFF"/>
            <w:vAlign w:val="bottom"/>
            <w:hideMark/>
          </w:tcPr>
          <w:p w14:paraId="77BF712D" w14:textId="77777777" w:rsidR="0021298F" w:rsidRPr="00941CDF" w:rsidRDefault="0021298F" w:rsidP="00760009">
            <w:pPr>
              <w:jc w:val="right"/>
              <w:rPr>
                <w:rFonts w:ascii="Arial" w:eastAsia="Times New Roman" w:hAnsi="Arial" w:cs="Arial"/>
                <w:b/>
                <w:bCs/>
                <w:color w:val="000000"/>
                <w:lang w:eastAsia="en-GB"/>
              </w:rPr>
            </w:pPr>
            <w:r w:rsidRPr="00941CDF">
              <w:rPr>
                <w:rFonts w:ascii="Arial" w:eastAsia="Times New Roman" w:hAnsi="Arial" w:cs="Arial"/>
                <w:b/>
                <w:bCs/>
                <w:color w:val="000000"/>
                <w:lang w:eastAsia="en-GB"/>
              </w:rPr>
              <w:t>Floating rate</w:t>
            </w:r>
          </w:p>
        </w:tc>
        <w:tc>
          <w:tcPr>
            <w:tcW w:w="1456" w:type="dxa"/>
            <w:tcBorders>
              <w:top w:val="nil"/>
              <w:left w:val="nil"/>
              <w:bottom w:val="nil"/>
              <w:right w:val="nil"/>
            </w:tcBorders>
            <w:shd w:val="clear" w:color="000000" w:fill="FFFFFF"/>
            <w:vAlign w:val="bottom"/>
            <w:hideMark/>
          </w:tcPr>
          <w:p w14:paraId="0665B0BB" w14:textId="77777777" w:rsidR="0021298F" w:rsidRPr="00941CDF" w:rsidRDefault="0021298F" w:rsidP="00760009">
            <w:pPr>
              <w:jc w:val="right"/>
              <w:rPr>
                <w:rFonts w:ascii="Arial" w:eastAsia="Times New Roman" w:hAnsi="Arial" w:cs="Arial"/>
                <w:b/>
                <w:bCs/>
                <w:color w:val="000000"/>
                <w:lang w:eastAsia="en-GB"/>
              </w:rPr>
            </w:pPr>
            <w:r w:rsidRPr="00941CDF">
              <w:rPr>
                <w:rFonts w:ascii="Arial" w:eastAsia="Times New Roman" w:hAnsi="Arial" w:cs="Arial"/>
                <w:b/>
                <w:bCs/>
                <w:color w:val="000000"/>
                <w:lang w:eastAsia="en-GB"/>
              </w:rPr>
              <w:t xml:space="preserve"> Non-interest bearing</w:t>
            </w:r>
          </w:p>
        </w:tc>
        <w:tc>
          <w:tcPr>
            <w:tcW w:w="1456" w:type="dxa"/>
            <w:tcBorders>
              <w:top w:val="nil"/>
              <w:left w:val="nil"/>
              <w:bottom w:val="nil"/>
              <w:right w:val="nil"/>
            </w:tcBorders>
            <w:shd w:val="clear" w:color="000000" w:fill="FFFFFF"/>
            <w:vAlign w:val="bottom"/>
            <w:hideMark/>
          </w:tcPr>
          <w:p w14:paraId="0639A046" w14:textId="77777777" w:rsidR="0021298F" w:rsidRPr="00941CDF" w:rsidRDefault="0021298F" w:rsidP="00760009">
            <w:pPr>
              <w:jc w:val="right"/>
              <w:rPr>
                <w:rFonts w:ascii="Arial" w:eastAsia="Times New Roman" w:hAnsi="Arial" w:cs="Arial"/>
                <w:b/>
                <w:bCs/>
                <w:color w:val="000000"/>
                <w:lang w:eastAsia="en-GB"/>
              </w:rPr>
            </w:pPr>
            <w:r w:rsidRPr="00941CDF">
              <w:rPr>
                <w:rFonts w:ascii="Arial" w:eastAsia="Times New Roman" w:hAnsi="Arial" w:cs="Arial"/>
                <w:b/>
                <w:bCs/>
                <w:color w:val="000000"/>
                <w:lang w:eastAsia="en-GB"/>
              </w:rPr>
              <w:t>Total</w:t>
            </w:r>
          </w:p>
        </w:tc>
      </w:tr>
      <w:tr w:rsidR="0021298F" w:rsidRPr="00941CDF" w14:paraId="4B2A9C6C" w14:textId="77777777" w:rsidTr="00760009">
        <w:trPr>
          <w:trHeight w:val="300"/>
        </w:trPr>
        <w:tc>
          <w:tcPr>
            <w:tcW w:w="3402" w:type="dxa"/>
            <w:tcBorders>
              <w:top w:val="nil"/>
              <w:left w:val="nil"/>
              <w:bottom w:val="single" w:sz="4" w:space="0" w:color="auto"/>
              <w:right w:val="nil"/>
            </w:tcBorders>
            <w:shd w:val="clear" w:color="000000" w:fill="FFFFFF"/>
            <w:vAlign w:val="center"/>
            <w:hideMark/>
          </w:tcPr>
          <w:p w14:paraId="2FF59EA8" w14:textId="77777777" w:rsidR="0021298F" w:rsidRPr="00941CDF" w:rsidRDefault="0021298F" w:rsidP="00760009">
            <w:pPr>
              <w:jc w:val="both"/>
              <w:rPr>
                <w:rFonts w:ascii="Arial" w:eastAsia="Times New Roman" w:hAnsi="Arial" w:cs="Arial"/>
                <w:color w:val="000000"/>
                <w:lang w:eastAsia="en-GB"/>
              </w:rPr>
            </w:pPr>
            <w:r w:rsidRPr="00941CDF">
              <w:rPr>
                <w:rFonts w:ascii="Arial" w:eastAsia="Times New Roman" w:hAnsi="Arial" w:cs="Arial"/>
                <w:color w:val="000000"/>
                <w:lang w:eastAsia="en-GB"/>
              </w:rPr>
              <w:t> </w:t>
            </w:r>
          </w:p>
        </w:tc>
        <w:tc>
          <w:tcPr>
            <w:tcW w:w="1407" w:type="dxa"/>
            <w:tcBorders>
              <w:top w:val="nil"/>
              <w:left w:val="nil"/>
              <w:bottom w:val="single" w:sz="4" w:space="0" w:color="auto"/>
              <w:right w:val="nil"/>
            </w:tcBorders>
            <w:shd w:val="clear" w:color="000000" w:fill="FFFFFF"/>
            <w:noWrap/>
            <w:vAlign w:val="center"/>
            <w:hideMark/>
          </w:tcPr>
          <w:p w14:paraId="7CD459FC" w14:textId="77777777" w:rsidR="0021298F" w:rsidRPr="00941CDF" w:rsidRDefault="0021298F" w:rsidP="00760009">
            <w:pPr>
              <w:jc w:val="right"/>
              <w:rPr>
                <w:rFonts w:ascii="Arial" w:eastAsia="Times New Roman" w:hAnsi="Arial" w:cs="Arial"/>
                <w:b/>
                <w:bCs/>
                <w:color w:val="000000"/>
                <w:lang w:eastAsia="en-GB"/>
              </w:rPr>
            </w:pPr>
            <w:r w:rsidRPr="00941CDF">
              <w:rPr>
                <w:rFonts w:ascii="Arial" w:eastAsia="Times New Roman" w:hAnsi="Arial" w:cs="Arial"/>
                <w:b/>
                <w:bCs/>
                <w:color w:val="000000"/>
                <w:lang w:eastAsia="en-GB"/>
              </w:rPr>
              <w:t>€’000</w:t>
            </w:r>
          </w:p>
        </w:tc>
        <w:tc>
          <w:tcPr>
            <w:tcW w:w="1425" w:type="dxa"/>
            <w:tcBorders>
              <w:top w:val="nil"/>
              <w:left w:val="nil"/>
              <w:bottom w:val="single" w:sz="4" w:space="0" w:color="auto"/>
              <w:right w:val="nil"/>
            </w:tcBorders>
            <w:shd w:val="clear" w:color="000000" w:fill="FFFFFF"/>
            <w:noWrap/>
            <w:vAlign w:val="center"/>
            <w:hideMark/>
          </w:tcPr>
          <w:p w14:paraId="798D1945" w14:textId="77777777" w:rsidR="0021298F" w:rsidRPr="00941CDF" w:rsidRDefault="0021298F" w:rsidP="00760009">
            <w:pPr>
              <w:jc w:val="right"/>
              <w:rPr>
                <w:rFonts w:ascii="Arial" w:eastAsia="Times New Roman" w:hAnsi="Arial" w:cs="Arial"/>
                <w:b/>
                <w:bCs/>
                <w:color w:val="000000"/>
                <w:lang w:eastAsia="en-GB"/>
              </w:rPr>
            </w:pPr>
            <w:r w:rsidRPr="00941CDF">
              <w:rPr>
                <w:rFonts w:ascii="Arial" w:eastAsia="Times New Roman" w:hAnsi="Arial" w:cs="Arial"/>
                <w:b/>
                <w:bCs/>
                <w:color w:val="000000"/>
                <w:lang w:eastAsia="en-GB"/>
              </w:rPr>
              <w:t>€’000</w:t>
            </w:r>
          </w:p>
        </w:tc>
        <w:tc>
          <w:tcPr>
            <w:tcW w:w="1456" w:type="dxa"/>
            <w:tcBorders>
              <w:top w:val="nil"/>
              <w:left w:val="nil"/>
              <w:bottom w:val="single" w:sz="4" w:space="0" w:color="auto"/>
              <w:right w:val="nil"/>
            </w:tcBorders>
            <w:shd w:val="clear" w:color="000000" w:fill="FFFFFF"/>
            <w:noWrap/>
            <w:vAlign w:val="center"/>
            <w:hideMark/>
          </w:tcPr>
          <w:p w14:paraId="350F6EAB" w14:textId="77777777" w:rsidR="0021298F" w:rsidRPr="00941CDF" w:rsidRDefault="0021298F" w:rsidP="00760009">
            <w:pPr>
              <w:jc w:val="right"/>
              <w:rPr>
                <w:rFonts w:ascii="Arial" w:eastAsia="Times New Roman" w:hAnsi="Arial" w:cs="Arial"/>
                <w:b/>
                <w:bCs/>
                <w:color w:val="000000"/>
                <w:lang w:eastAsia="en-GB"/>
              </w:rPr>
            </w:pPr>
            <w:r w:rsidRPr="00941CDF">
              <w:rPr>
                <w:rFonts w:ascii="Arial" w:eastAsia="Times New Roman" w:hAnsi="Arial" w:cs="Arial"/>
                <w:b/>
                <w:bCs/>
                <w:color w:val="000000"/>
                <w:lang w:eastAsia="en-GB"/>
              </w:rPr>
              <w:t>€’000</w:t>
            </w:r>
          </w:p>
        </w:tc>
        <w:tc>
          <w:tcPr>
            <w:tcW w:w="1456" w:type="dxa"/>
            <w:tcBorders>
              <w:top w:val="nil"/>
              <w:left w:val="nil"/>
              <w:bottom w:val="single" w:sz="4" w:space="0" w:color="auto"/>
              <w:right w:val="nil"/>
            </w:tcBorders>
            <w:shd w:val="clear" w:color="000000" w:fill="FFFFFF"/>
            <w:noWrap/>
            <w:vAlign w:val="center"/>
            <w:hideMark/>
          </w:tcPr>
          <w:p w14:paraId="2C1560AD" w14:textId="77777777" w:rsidR="0021298F" w:rsidRPr="00941CDF" w:rsidRDefault="0021298F" w:rsidP="00760009">
            <w:pPr>
              <w:jc w:val="right"/>
              <w:rPr>
                <w:rFonts w:ascii="Arial" w:eastAsia="Times New Roman" w:hAnsi="Arial" w:cs="Arial"/>
                <w:b/>
                <w:bCs/>
                <w:color w:val="000000"/>
                <w:lang w:eastAsia="en-GB"/>
              </w:rPr>
            </w:pPr>
            <w:r w:rsidRPr="00941CDF">
              <w:rPr>
                <w:rFonts w:ascii="Arial" w:eastAsia="Times New Roman" w:hAnsi="Arial" w:cs="Arial"/>
                <w:b/>
                <w:bCs/>
                <w:color w:val="000000"/>
                <w:lang w:eastAsia="en-GB"/>
              </w:rPr>
              <w:t>€’000</w:t>
            </w:r>
          </w:p>
        </w:tc>
      </w:tr>
      <w:tr w:rsidR="0021298F" w:rsidRPr="00941CDF" w14:paraId="25C73A04" w14:textId="77777777" w:rsidTr="00760009">
        <w:trPr>
          <w:trHeight w:val="300"/>
        </w:trPr>
        <w:tc>
          <w:tcPr>
            <w:tcW w:w="3402" w:type="dxa"/>
            <w:tcBorders>
              <w:top w:val="nil"/>
              <w:left w:val="nil"/>
              <w:bottom w:val="nil"/>
              <w:right w:val="nil"/>
            </w:tcBorders>
            <w:shd w:val="clear" w:color="000000" w:fill="FFFFFF"/>
            <w:vAlign w:val="center"/>
            <w:hideMark/>
          </w:tcPr>
          <w:p w14:paraId="3CBFB154" w14:textId="77777777" w:rsidR="0021298F" w:rsidRPr="00941CDF" w:rsidRDefault="0021298F" w:rsidP="00760009">
            <w:pPr>
              <w:jc w:val="both"/>
              <w:rPr>
                <w:rFonts w:ascii="Arial" w:eastAsia="Times New Roman" w:hAnsi="Arial" w:cs="Arial"/>
                <w:b/>
                <w:bCs/>
                <w:color w:val="000000"/>
                <w:lang w:eastAsia="en-GB"/>
              </w:rPr>
            </w:pPr>
            <w:r w:rsidRPr="00941CDF">
              <w:rPr>
                <w:rFonts w:ascii="Arial" w:eastAsia="Times New Roman" w:hAnsi="Arial" w:cs="Arial"/>
                <w:b/>
                <w:bCs/>
                <w:color w:val="000000"/>
                <w:lang w:eastAsia="en-GB"/>
              </w:rPr>
              <w:t>Assets</w:t>
            </w:r>
          </w:p>
        </w:tc>
        <w:tc>
          <w:tcPr>
            <w:tcW w:w="1407" w:type="dxa"/>
            <w:tcBorders>
              <w:top w:val="nil"/>
              <w:left w:val="nil"/>
              <w:bottom w:val="nil"/>
              <w:right w:val="nil"/>
            </w:tcBorders>
            <w:shd w:val="clear" w:color="000000" w:fill="FFFFFF"/>
            <w:noWrap/>
            <w:vAlign w:val="center"/>
            <w:hideMark/>
          </w:tcPr>
          <w:p w14:paraId="2102B20B" w14:textId="77777777" w:rsidR="0021298F" w:rsidRPr="00941CDF" w:rsidRDefault="0021298F" w:rsidP="00760009">
            <w:pPr>
              <w:jc w:val="right"/>
              <w:rPr>
                <w:rFonts w:ascii="Arial" w:eastAsia="Times New Roman" w:hAnsi="Arial" w:cs="Arial"/>
                <w:b/>
                <w:bCs/>
                <w:color w:val="000000"/>
                <w:lang w:eastAsia="en-GB"/>
              </w:rPr>
            </w:pPr>
            <w:r w:rsidRPr="00941CDF">
              <w:rPr>
                <w:rFonts w:ascii="Arial" w:eastAsia="Times New Roman" w:hAnsi="Arial" w:cs="Arial"/>
                <w:b/>
                <w:bCs/>
                <w:color w:val="000000"/>
                <w:lang w:eastAsia="en-GB"/>
              </w:rPr>
              <w:t> </w:t>
            </w:r>
          </w:p>
        </w:tc>
        <w:tc>
          <w:tcPr>
            <w:tcW w:w="1425" w:type="dxa"/>
            <w:tcBorders>
              <w:top w:val="nil"/>
              <w:left w:val="nil"/>
              <w:bottom w:val="nil"/>
              <w:right w:val="nil"/>
            </w:tcBorders>
            <w:shd w:val="clear" w:color="000000" w:fill="FFFFFF"/>
            <w:noWrap/>
            <w:vAlign w:val="center"/>
            <w:hideMark/>
          </w:tcPr>
          <w:p w14:paraId="7F751141" w14:textId="77777777" w:rsidR="0021298F" w:rsidRPr="00941CDF" w:rsidRDefault="0021298F" w:rsidP="00760009">
            <w:pPr>
              <w:jc w:val="right"/>
              <w:rPr>
                <w:rFonts w:ascii="Arial" w:eastAsia="Times New Roman" w:hAnsi="Arial" w:cs="Arial"/>
                <w:b/>
                <w:bCs/>
                <w:color w:val="000000"/>
                <w:lang w:eastAsia="en-GB"/>
              </w:rPr>
            </w:pPr>
            <w:r w:rsidRPr="00941CDF">
              <w:rPr>
                <w:rFonts w:ascii="Arial" w:eastAsia="Times New Roman" w:hAnsi="Arial" w:cs="Arial"/>
                <w:b/>
                <w:bCs/>
                <w:color w:val="000000"/>
                <w:lang w:eastAsia="en-GB"/>
              </w:rPr>
              <w:t> </w:t>
            </w:r>
          </w:p>
        </w:tc>
        <w:tc>
          <w:tcPr>
            <w:tcW w:w="1456" w:type="dxa"/>
            <w:tcBorders>
              <w:top w:val="nil"/>
              <w:left w:val="nil"/>
              <w:bottom w:val="nil"/>
              <w:right w:val="nil"/>
            </w:tcBorders>
            <w:shd w:val="clear" w:color="000000" w:fill="FFFFFF"/>
            <w:noWrap/>
            <w:vAlign w:val="center"/>
            <w:hideMark/>
          </w:tcPr>
          <w:p w14:paraId="4923F2D5" w14:textId="77777777" w:rsidR="0021298F" w:rsidRPr="00941CDF" w:rsidRDefault="0021298F" w:rsidP="00760009">
            <w:pPr>
              <w:jc w:val="right"/>
              <w:rPr>
                <w:rFonts w:ascii="Arial" w:eastAsia="Times New Roman" w:hAnsi="Arial" w:cs="Arial"/>
                <w:b/>
                <w:bCs/>
                <w:color w:val="000000"/>
                <w:lang w:eastAsia="en-GB"/>
              </w:rPr>
            </w:pPr>
            <w:r w:rsidRPr="00941CDF">
              <w:rPr>
                <w:rFonts w:ascii="Arial" w:eastAsia="Times New Roman" w:hAnsi="Arial" w:cs="Arial"/>
                <w:b/>
                <w:bCs/>
                <w:color w:val="000000"/>
                <w:lang w:eastAsia="en-GB"/>
              </w:rPr>
              <w:t> </w:t>
            </w:r>
          </w:p>
        </w:tc>
        <w:tc>
          <w:tcPr>
            <w:tcW w:w="1456" w:type="dxa"/>
            <w:tcBorders>
              <w:top w:val="nil"/>
              <w:left w:val="nil"/>
              <w:bottom w:val="nil"/>
              <w:right w:val="nil"/>
            </w:tcBorders>
            <w:shd w:val="clear" w:color="000000" w:fill="FFFFFF"/>
            <w:noWrap/>
            <w:vAlign w:val="center"/>
            <w:hideMark/>
          </w:tcPr>
          <w:p w14:paraId="0327B7EA" w14:textId="77777777" w:rsidR="0021298F" w:rsidRPr="00941CDF" w:rsidRDefault="0021298F" w:rsidP="00760009">
            <w:pPr>
              <w:jc w:val="right"/>
              <w:rPr>
                <w:rFonts w:ascii="Arial" w:eastAsia="Times New Roman" w:hAnsi="Arial" w:cs="Arial"/>
                <w:b/>
                <w:bCs/>
                <w:color w:val="000000"/>
                <w:lang w:eastAsia="en-GB"/>
              </w:rPr>
            </w:pPr>
            <w:r w:rsidRPr="00941CDF">
              <w:rPr>
                <w:rFonts w:ascii="Arial" w:eastAsia="Times New Roman" w:hAnsi="Arial" w:cs="Arial"/>
                <w:b/>
                <w:bCs/>
                <w:color w:val="000000"/>
                <w:lang w:eastAsia="en-GB"/>
              </w:rPr>
              <w:t> </w:t>
            </w:r>
          </w:p>
        </w:tc>
      </w:tr>
      <w:tr w:rsidR="0021298F" w:rsidRPr="00941CDF" w14:paraId="41D02A03" w14:textId="77777777" w:rsidTr="00760009">
        <w:trPr>
          <w:trHeight w:val="300"/>
        </w:trPr>
        <w:tc>
          <w:tcPr>
            <w:tcW w:w="3402" w:type="dxa"/>
            <w:tcBorders>
              <w:top w:val="nil"/>
              <w:left w:val="nil"/>
              <w:bottom w:val="nil"/>
              <w:right w:val="nil"/>
            </w:tcBorders>
            <w:shd w:val="clear" w:color="000000" w:fill="FFFFFF"/>
            <w:vAlign w:val="center"/>
            <w:hideMark/>
          </w:tcPr>
          <w:p w14:paraId="67097329" w14:textId="77777777" w:rsidR="0021298F" w:rsidRPr="00941CDF" w:rsidRDefault="0021298F" w:rsidP="00760009">
            <w:pPr>
              <w:jc w:val="both"/>
              <w:rPr>
                <w:rFonts w:ascii="Arial" w:eastAsia="Times New Roman" w:hAnsi="Arial" w:cs="Arial"/>
                <w:color w:val="000000"/>
                <w:lang w:eastAsia="en-GB"/>
              </w:rPr>
            </w:pPr>
            <w:r w:rsidRPr="00941CDF">
              <w:rPr>
                <w:rFonts w:ascii="Arial" w:eastAsia="Times New Roman" w:hAnsi="Arial" w:cs="Arial"/>
                <w:color w:val="000000"/>
                <w:lang w:eastAsia="en-GB"/>
              </w:rPr>
              <w:t>Cash at bank</w:t>
            </w:r>
          </w:p>
        </w:tc>
        <w:tc>
          <w:tcPr>
            <w:tcW w:w="1407" w:type="dxa"/>
            <w:tcBorders>
              <w:top w:val="nil"/>
              <w:left w:val="nil"/>
              <w:bottom w:val="nil"/>
              <w:right w:val="nil"/>
            </w:tcBorders>
            <w:shd w:val="clear" w:color="000000" w:fill="FFFFFF"/>
            <w:noWrap/>
            <w:vAlign w:val="center"/>
            <w:hideMark/>
          </w:tcPr>
          <w:p w14:paraId="7093D637" w14:textId="77777777" w:rsidR="0021298F" w:rsidRPr="00941CDF" w:rsidRDefault="0021298F" w:rsidP="00760009">
            <w:pPr>
              <w:jc w:val="right"/>
              <w:rPr>
                <w:rFonts w:ascii="Arial" w:eastAsia="Times New Roman" w:hAnsi="Arial" w:cs="Arial"/>
                <w:color w:val="000000"/>
                <w:lang w:eastAsia="en-GB"/>
              </w:rPr>
            </w:pPr>
            <w:r w:rsidRPr="00941CDF">
              <w:rPr>
                <w:rFonts w:ascii="Arial" w:eastAsia="Times New Roman" w:hAnsi="Arial" w:cs="Arial"/>
                <w:color w:val="000000"/>
                <w:lang w:eastAsia="en-GB"/>
              </w:rPr>
              <w:t xml:space="preserve"> - </w:t>
            </w:r>
          </w:p>
        </w:tc>
        <w:tc>
          <w:tcPr>
            <w:tcW w:w="1425" w:type="dxa"/>
            <w:tcBorders>
              <w:top w:val="nil"/>
              <w:left w:val="nil"/>
              <w:bottom w:val="nil"/>
              <w:right w:val="nil"/>
            </w:tcBorders>
            <w:shd w:val="clear" w:color="000000" w:fill="FFFFFF"/>
            <w:noWrap/>
            <w:vAlign w:val="center"/>
            <w:hideMark/>
          </w:tcPr>
          <w:p w14:paraId="728DF284" w14:textId="77777777" w:rsidR="0021298F" w:rsidRPr="00941CDF" w:rsidRDefault="0021298F" w:rsidP="00760009">
            <w:pPr>
              <w:jc w:val="right"/>
              <w:rPr>
                <w:rFonts w:ascii="Arial" w:eastAsia="Times New Roman" w:hAnsi="Arial" w:cs="Arial"/>
                <w:color w:val="000000"/>
                <w:lang w:eastAsia="en-GB"/>
              </w:rPr>
            </w:pPr>
            <w:r w:rsidRPr="00941CDF">
              <w:rPr>
                <w:rFonts w:ascii="Arial" w:eastAsia="Times New Roman" w:hAnsi="Arial" w:cs="Arial"/>
                <w:color w:val="000000"/>
                <w:lang w:eastAsia="en-GB"/>
              </w:rPr>
              <w:t xml:space="preserve">5,920 </w:t>
            </w:r>
          </w:p>
        </w:tc>
        <w:tc>
          <w:tcPr>
            <w:tcW w:w="1456" w:type="dxa"/>
            <w:tcBorders>
              <w:top w:val="nil"/>
              <w:left w:val="nil"/>
              <w:bottom w:val="nil"/>
              <w:right w:val="nil"/>
            </w:tcBorders>
            <w:shd w:val="clear" w:color="000000" w:fill="FFFFFF"/>
            <w:noWrap/>
            <w:vAlign w:val="center"/>
            <w:hideMark/>
          </w:tcPr>
          <w:p w14:paraId="4A9D9994" w14:textId="77777777" w:rsidR="0021298F" w:rsidRPr="00941CDF" w:rsidRDefault="0021298F" w:rsidP="00760009">
            <w:pPr>
              <w:jc w:val="right"/>
              <w:rPr>
                <w:rFonts w:ascii="Arial" w:eastAsia="Times New Roman" w:hAnsi="Arial" w:cs="Arial"/>
                <w:color w:val="000000"/>
                <w:lang w:eastAsia="en-GB"/>
              </w:rPr>
            </w:pPr>
            <w:r w:rsidRPr="00941CDF">
              <w:rPr>
                <w:rFonts w:ascii="Arial" w:eastAsia="Times New Roman" w:hAnsi="Arial" w:cs="Arial"/>
                <w:color w:val="000000"/>
                <w:lang w:eastAsia="en-GB"/>
              </w:rPr>
              <w:t xml:space="preserve">100 </w:t>
            </w:r>
          </w:p>
        </w:tc>
        <w:tc>
          <w:tcPr>
            <w:tcW w:w="1456" w:type="dxa"/>
            <w:tcBorders>
              <w:top w:val="nil"/>
              <w:left w:val="nil"/>
              <w:bottom w:val="nil"/>
              <w:right w:val="nil"/>
            </w:tcBorders>
            <w:shd w:val="clear" w:color="000000" w:fill="FFFFFF"/>
            <w:noWrap/>
            <w:vAlign w:val="center"/>
            <w:hideMark/>
          </w:tcPr>
          <w:p w14:paraId="1B19A4B3" w14:textId="77777777" w:rsidR="0021298F" w:rsidRPr="00941CDF" w:rsidRDefault="0021298F" w:rsidP="00760009">
            <w:pPr>
              <w:jc w:val="right"/>
              <w:rPr>
                <w:rFonts w:ascii="Arial" w:eastAsia="Times New Roman" w:hAnsi="Arial" w:cs="Arial"/>
                <w:b/>
                <w:bCs/>
                <w:color w:val="000000"/>
                <w:lang w:eastAsia="en-GB"/>
              </w:rPr>
            </w:pPr>
            <w:r w:rsidRPr="00941CDF">
              <w:rPr>
                <w:rFonts w:ascii="Arial" w:eastAsia="Times New Roman" w:hAnsi="Arial" w:cs="Arial"/>
                <w:b/>
                <w:bCs/>
                <w:color w:val="000000"/>
                <w:lang w:eastAsia="en-GB"/>
              </w:rPr>
              <w:t xml:space="preserve">6,020 </w:t>
            </w:r>
          </w:p>
        </w:tc>
      </w:tr>
      <w:tr w:rsidR="0021298F" w:rsidRPr="00941CDF" w14:paraId="457ACED1" w14:textId="77777777" w:rsidTr="00760009">
        <w:trPr>
          <w:trHeight w:val="300"/>
        </w:trPr>
        <w:tc>
          <w:tcPr>
            <w:tcW w:w="3402" w:type="dxa"/>
            <w:tcBorders>
              <w:top w:val="nil"/>
              <w:left w:val="nil"/>
              <w:bottom w:val="nil"/>
              <w:right w:val="nil"/>
            </w:tcBorders>
            <w:shd w:val="clear" w:color="000000" w:fill="FFFFFF"/>
            <w:vAlign w:val="center"/>
            <w:hideMark/>
          </w:tcPr>
          <w:p w14:paraId="69E89DC3" w14:textId="77777777" w:rsidR="0021298F" w:rsidRPr="00941CDF" w:rsidRDefault="0021298F" w:rsidP="00760009">
            <w:pPr>
              <w:jc w:val="both"/>
              <w:rPr>
                <w:rFonts w:ascii="Arial" w:eastAsia="Times New Roman" w:hAnsi="Arial" w:cs="Arial"/>
                <w:color w:val="000000"/>
                <w:lang w:eastAsia="en-GB"/>
              </w:rPr>
            </w:pPr>
            <w:r w:rsidRPr="00941CDF">
              <w:rPr>
                <w:rFonts w:ascii="Arial" w:eastAsia="Times New Roman" w:hAnsi="Arial" w:cs="Arial"/>
                <w:color w:val="000000"/>
                <w:lang w:eastAsia="en-GB"/>
              </w:rPr>
              <w:t>Other receivables (note 11)</w:t>
            </w:r>
          </w:p>
        </w:tc>
        <w:tc>
          <w:tcPr>
            <w:tcW w:w="1407" w:type="dxa"/>
            <w:tcBorders>
              <w:top w:val="nil"/>
              <w:left w:val="nil"/>
              <w:bottom w:val="nil"/>
              <w:right w:val="nil"/>
            </w:tcBorders>
            <w:shd w:val="clear" w:color="000000" w:fill="FFFFFF"/>
            <w:noWrap/>
            <w:vAlign w:val="center"/>
            <w:hideMark/>
          </w:tcPr>
          <w:p w14:paraId="1BF93887" w14:textId="77777777" w:rsidR="0021298F" w:rsidRPr="00941CDF" w:rsidRDefault="0021298F" w:rsidP="00760009">
            <w:pPr>
              <w:jc w:val="right"/>
              <w:rPr>
                <w:rFonts w:ascii="Arial" w:eastAsia="Times New Roman" w:hAnsi="Arial" w:cs="Arial"/>
                <w:color w:val="000000"/>
                <w:lang w:eastAsia="en-GB"/>
              </w:rPr>
            </w:pPr>
            <w:r w:rsidRPr="00941CDF">
              <w:rPr>
                <w:rFonts w:ascii="Arial" w:eastAsia="Times New Roman" w:hAnsi="Arial" w:cs="Arial"/>
                <w:color w:val="000000"/>
                <w:lang w:eastAsia="en-GB"/>
              </w:rPr>
              <w:t xml:space="preserve"> - </w:t>
            </w:r>
          </w:p>
        </w:tc>
        <w:tc>
          <w:tcPr>
            <w:tcW w:w="1425" w:type="dxa"/>
            <w:tcBorders>
              <w:top w:val="nil"/>
              <w:left w:val="nil"/>
              <w:bottom w:val="nil"/>
              <w:right w:val="nil"/>
            </w:tcBorders>
            <w:shd w:val="clear" w:color="000000" w:fill="FFFFFF"/>
            <w:noWrap/>
            <w:vAlign w:val="center"/>
            <w:hideMark/>
          </w:tcPr>
          <w:p w14:paraId="42FA6218" w14:textId="77777777" w:rsidR="0021298F" w:rsidRPr="00941CDF" w:rsidRDefault="0021298F" w:rsidP="00760009">
            <w:pPr>
              <w:jc w:val="right"/>
              <w:rPr>
                <w:rFonts w:ascii="Arial" w:eastAsia="Times New Roman" w:hAnsi="Arial" w:cs="Arial"/>
                <w:color w:val="000000"/>
                <w:lang w:eastAsia="en-GB"/>
              </w:rPr>
            </w:pPr>
            <w:r w:rsidRPr="00941CDF">
              <w:rPr>
                <w:rFonts w:ascii="Arial" w:eastAsia="Times New Roman" w:hAnsi="Arial" w:cs="Arial"/>
                <w:color w:val="000000"/>
                <w:lang w:eastAsia="en-GB"/>
              </w:rPr>
              <w:t xml:space="preserve"> - </w:t>
            </w:r>
          </w:p>
        </w:tc>
        <w:tc>
          <w:tcPr>
            <w:tcW w:w="1456" w:type="dxa"/>
            <w:tcBorders>
              <w:top w:val="nil"/>
              <w:left w:val="nil"/>
              <w:bottom w:val="nil"/>
              <w:right w:val="nil"/>
            </w:tcBorders>
            <w:shd w:val="clear" w:color="000000" w:fill="FFFFFF"/>
            <w:noWrap/>
            <w:vAlign w:val="center"/>
            <w:hideMark/>
          </w:tcPr>
          <w:p w14:paraId="1A91FE66" w14:textId="77777777" w:rsidR="0021298F" w:rsidRPr="00941CDF" w:rsidRDefault="0021298F" w:rsidP="00760009">
            <w:pPr>
              <w:jc w:val="right"/>
              <w:rPr>
                <w:rFonts w:ascii="Arial" w:eastAsia="Times New Roman" w:hAnsi="Arial" w:cs="Arial"/>
                <w:color w:val="000000"/>
                <w:lang w:eastAsia="en-GB"/>
              </w:rPr>
            </w:pPr>
            <w:r w:rsidRPr="00941CDF">
              <w:rPr>
                <w:rFonts w:ascii="Arial" w:eastAsia="Times New Roman" w:hAnsi="Arial" w:cs="Arial"/>
                <w:color w:val="000000"/>
                <w:lang w:eastAsia="en-GB"/>
              </w:rPr>
              <w:t xml:space="preserve">3,266 </w:t>
            </w:r>
          </w:p>
        </w:tc>
        <w:tc>
          <w:tcPr>
            <w:tcW w:w="1456" w:type="dxa"/>
            <w:tcBorders>
              <w:top w:val="nil"/>
              <w:left w:val="nil"/>
              <w:bottom w:val="nil"/>
              <w:right w:val="nil"/>
            </w:tcBorders>
            <w:shd w:val="clear" w:color="000000" w:fill="FFFFFF"/>
            <w:noWrap/>
            <w:vAlign w:val="center"/>
            <w:hideMark/>
          </w:tcPr>
          <w:p w14:paraId="6DD95410" w14:textId="77777777" w:rsidR="0021298F" w:rsidRPr="00941CDF" w:rsidRDefault="0021298F" w:rsidP="00760009">
            <w:pPr>
              <w:jc w:val="right"/>
              <w:rPr>
                <w:rFonts w:ascii="Arial" w:eastAsia="Times New Roman" w:hAnsi="Arial" w:cs="Arial"/>
                <w:b/>
                <w:bCs/>
                <w:color w:val="000000"/>
                <w:lang w:eastAsia="en-GB"/>
              </w:rPr>
            </w:pPr>
            <w:r w:rsidRPr="00941CDF">
              <w:rPr>
                <w:rFonts w:ascii="Arial" w:eastAsia="Times New Roman" w:hAnsi="Arial" w:cs="Arial"/>
                <w:b/>
                <w:bCs/>
                <w:color w:val="000000"/>
                <w:lang w:eastAsia="en-GB"/>
              </w:rPr>
              <w:t xml:space="preserve">3,266 </w:t>
            </w:r>
          </w:p>
        </w:tc>
      </w:tr>
      <w:tr w:rsidR="0021298F" w:rsidRPr="00941CDF" w14:paraId="7EE51475" w14:textId="77777777" w:rsidTr="00760009">
        <w:trPr>
          <w:trHeight w:val="300"/>
        </w:trPr>
        <w:tc>
          <w:tcPr>
            <w:tcW w:w="3402" w:type="dxa"/>
            <w:tcBorders>
              <w:top w:val="nil"/>
              <w:left w:val="nil"/>
              <w:bottom w:val="single" w:sz="4" w:space="0" w:color="auto"/>
              <w:right w:val="nil"/>
            </w:tcBorders>
            <w:shd w:val="clear" w:color="000000" w:fill="FFFFFF"/>
            <w:vAlign w:val="center"/>
            <w:hideMark/>
          </w:tcPr>
          <w:p w14:paraId="135CFC13" w14:textId="77777777" w:rsidR="0021298F" w:rsidRPr="00941CDF" w:rsidRDefault="0021298F" w:rsidP="00760009">
            <w:pPr>
              <w:jc w:val="both"/>
              <w:rPr>
                <w:rFonts w:ascii="Arial" w:eastAsia="Times New Roman" w:hAnsi="Arial" w:cs="Arial"/>
                <w:color w:val="000000"/>
                <w:lang w:eastAsia="en-GB"/>
              </w:rPr>
            </w:pPr>
            <w:r w:rsidRPr="00941CDF">
              <w:rPr>
                <w:rFonts w:ascii="Arial" w:eastAsia="Times New Roman" w:hAnsi="Arial" w:cs="Arial"/>
                <w:color w:val="000000"/>
                <w:lang w:eastAsia="en-GB"/>
              </w:rPr>
              <w:t>Investments (note 9)</w:t>
            </w:r>
          </w:p>
        </w:tc>
        <w:tc>
          <w:tcPr>
            <w:tcW w:w="1407" w:type="dxa"/>
            <w:tcBorders>
              <w:top w:val="nil"/>
              <w:left w:val="nil"/>
              <w:bottom w:val="single" w:sz="4" w:space="0" w:color="auto"/>
              <w:right w:val="nil"/>
            </w:tcBorders>
            <w:shd w:val="clear" w:color="000000" w:fill="FFFFFF"/>
            <w:noWrap/>
            <w:vAlign w:val="center"/>
            <w:hideMark/>
          </w:tcPr>
          <w:p w14:paraId="713F17B3" w14:textId="77777777" w:rsidR="0021298F" w:rsidRPr="00941CDF" w:rsidRDefault="0021298F" w:rsidP="00760009">
            <w:pPr>
              <w:jc w:val="right"/>
              <w:rPr>
                <w:rFonts w:ascii="Arial" w:eastAsia="Times New Roman" w:hAnsi="Arial" w:cs="Arial"/>
                <w:color w:val="000000"/>
                <w:lang w:eastAsia="en-GB"/>
              </w:rPr>
            </w:pPr>
            <w:r w:rsidRPr="00941CDF">
              <w:rPr>
                <w:rFonts w:ascii="Arial" w:eastAsia="Times New Roman" w:hAnsi="Arial" w:cs="Arial"/>
                <w:color w:val="000000"/>
                <w:lang w:eastAsia="en-GB"/>
              </w:rPr>
              <w:t xml:space="preserve">331,965 </w:t>
            </w:r>
          </w:p>
        </w:tc>
        <w:tc>
          <w:tcPr>
            <w:tcW w:w="1425" w:type="dxa"/>
            <w:tcBorders>
              <w:top w:val="nil"/>
              <w:left w:val="nil"/>
              <w:bottom w:val="single" w:sz="4" w:space="0" w:color="auto"/>
              <w:right w:val="nil"/>
            </w:tcBorders>
            <w:shd w:val="clear" w:color="000000" w:fill="FFFFFF"/>
            <w:noWrap/>
            <w:vAlign w:val="center"/>
            <w:hideMark/>
          </w:tcPr>
          <w:p w14:paraId="1C7D3414" w14:textId="77777777" w:rsidR="0021298F" w:rsidRPr="00941CDF" w:rsidRDefault="0021298F" w:rsidP="00760009">
            <w:pPr>
              <w:jc w:val="right"/>
              <w:rPr>
                <w:rFonts w:ascii="Arial" w:eastAsia="Times New Roman" w:hAnsi="Arial" w:cs="Arial"/>
                <w:color w:val="000000"/>
                <w:lang w:eastAsia="en-GB"/>
              </w:rPr>
            </w:pPr>
            <w:r w:rsidRPr="00941CDF">
              <w:rPr>
                <w:rFonts w:ascii="Arial" w:eastAsia="Times New Roman" w:hAnsi="Arial" w:cs="Arial"/>
                <w:color w:val="000000"/>
                <w:lang w:eastAsia="en-GB"/>
              </w:rPr>
              <w:t xml:space="preserve"> - </w:t>
            </w:r>
          </w:p>
        </w:tc>
        <w:tc>
          <w:tcPr>
            <w:tcW w:w="1456" w:type="dxa"/>
            <w:tcBorders>
              <w:top w:val="nil"/>
              <w:left w:val="nil"/>
              <w:bottom w:val="single" w:sz="4" w:space="0" w:color="auto"/>
              <w:right w:val="nil"/>
            </w:tcBorders>
            <w:shd w:val="clear" w:color="000000" w:fill="FFFFFF"/>
            <w:noWrap/>
            <w:vAlign w:val="center"/>
            <w:hideMark/>
          </w:tcPr>
          <w:p w14:paraId="0A439519" w14:textId="77777777" w:rsidR="0021298F" w:rsidRPr="00941CDF" w:rsidRDefault="0021298F" w:rsidP="00760009">
            <w:pPr>
              <w:jc w:val="right"/>
              <w:rPr>
                <w:rFonts w:ascii="Arial" w:eastAsia="Times New Roman" w:hAnsi="Arial" w:cs="Arial"/>
                <w:color w:val="000000"/>
                <w:lang w:eastAsia="en-GB"/>
              </w:rPr>
            </w:pPr>
            <w:r w:rsidRPr="00941CDF">
              <w:rPr>
                <w:rFonts w:ascii="Arial" w:eastAsia="Times New Roman" w:hAnsi="Arial" w:cs="Arial"/>
                <w:color w:val="000000"/>
                <w:lang w:eastAsia="en-GB"/>
              </w:rPr>
              <w:t xml:space="preserve">518,142 </w:t>
            </w:r>
          </w:p>
        </w:tc>
        <w:tc>
          <w:tcPr>
            <w:tcW w:w="1456" w:type="dxa"/>
            <w:tcBorders>
              <w:top w:val="nil"/>
              <w:left w:val="nil"/>
              <w:bottom w:val="single" w:sz="4" w:space="0" w:color="auto"/>
              <w:right w:val="nil"/>
            </w:tcBorders>
            <w:shd w:val="clear" w:color="000000" w:fill="FFFFFF"/>
            <w:noWrap/>
            <w:vAlign w:val="center"/>
            <w:hideMark/>
          </w:tcPr>
          <w:p w14:paraId="5DBB8B8A" w14:textId="77777777" w:rsidR="0021298F" w:rsidRPr="00941CDF" w:rsidRDefault="0021298F" w:rsidP="00760009">
            <w:pPr>
              <w:jc w:val="right"/>
              <w:rPr>
                <w:rFonts w:ascii="Arial" w:eastAsia="Times New Roman" w:hAnsi="Arial" w:cs="Arial"/>
                <w:b/>
                <w:bCs/>
                <w:color w:val="000000"/>
                <w:lang w:eastAsia="en-GB"/>
              </w:rPr>
            </w:pPr>
            <w:r w:rsidRPr="00941CDF">
              <w:rPr>
                <w:rFonts w:ascii="Arial" w:eastAsia="Times New Roman" w:hAnsi="Arial" w:cs="Arial"/>
                <w:b/>
                <w:bCs/>
                <w:color w:val="000000"/>
                <w:lang w:eastAsia="en-GB"/>
              </w:rPr>
              <w:t xml:space="preserve">850,107 </w:t>
            </w:r>
          </w:p>
        </w:tc>
      </w:tr>
      <w:tr w:rsidR="0021298F" w:rsidRPr="00941CDF" w14:paraId="4913B0F9" w14:textId="77777777" w:rsidTr="00760009">
        <w:trPr>
          <w:trHeight w:val="315"/>
        </w:trPr>
        <w:tc>
          <w:tcPr>
            <w:tcW w:w="3402" w:type="dxa"/>
            <w:tcBorders>
              <w:top w:val="nil"/>
              <w:left w:val="nil"/>
              <w:bottom w:val="single" w:sz="8" w:space="0" w:color="auto"/>
              <w:right w:val="nil"/>
            </w:tcBorders>
            <w:shd w:val="clear" w:color="000000" w:fill="FFFFFF"/>
            <w:vAlign w:val="center"/>
            <w:hideMark/>
          </w:tcPr>
          <w:p w14:paraId="354EB8DA" w14:textId="77777777" w:rsidR="0021298F" w:rsidRPr="00941CDF" w:rsidRDefault="0021298F" w:rsidP="00760009">
            <w:pPr>
              <w:jc w:val="both"/>
              <w:rPr>
                <w:rFonts w:ascii="Arial" w:eastAsia="Times New Roman" w:hAnsi="Arial" w:cs="Arial"/>
                <w:color w:val="000000"/>
                <w:lang w:eastAsia="en-GB"/>
              </w:rPr>
            </w:pPr>
            <w:r w:rsidRPr="00941CDF">
              <w:rPr>
                <w:rFonts w:ascii="Arial" w:eastAsia="Times New Roman" w:hAnsi="Arial" w:cs="Arial"/>
                <w:color w:val="000000"/>
                <w:lang w:eastAsia="en-GB"/>
              </w:rPr>
              <w:t> </w:t>
            </w:r>
          </w:p>
        </w:tc>
        <w:tc>
          <w:tcPr>
            <w:tcW w:w="1407" w:type="dxa"/>
            <w:tcBorders>
              <w:top w:val="nil"/>
              <w:left w:val="nil"/>
              <w:bottom w:val="single" w:sz="8" w:space="0" w:color="auto"/>
              <w:right w:val="nil"/>
            </w:tcBorders>
            <w:shd w:val="clear" w:color="000000" w:fill="FFFFFF"/>
            <w:noWrap/>
            <w:vAlign w:val="center"/>
            <w:hideMark/>
          </w:tcPr>
          <w:p w14:paraId="28164FD9" w14:textId="77777777" w:rsidR="0021298F" w:rsidRPr="00941CDF" w:rsidRDefault="0021298F" w:rsidP="00760009">
            <w:pPr>
              <w:jc w:val="right"/>
              <w:rPr>
                <w:rFonts w:ascii="Arial" w:eastAsia="Times New Roman" w:hAnsi="Arial" w:cs="Arial"/>
                <w:b/>
                <w:bCs/>
                <w:color w:val="000000"/>
                <w:lang w:eastAsia="en-GB"/>
              </w:rPr>
            </w:pPr>
            <w:r w:rsidRPr="00941CDF">
              <w:rPr>
                <w:rFonts w:ascii="Arial" w:eastAsia="Times New Roman" w:hAnsi="Arial" w:cs="Arial"/>
                <w:b/>
                <w:bCs/>
                <w:color w:val="000000"/>
                <w:lang w:eastAsia="en-GB"/>
              </w:rPr>
              <w:t xml:space="preserve">331,965 </w:t>
            </w:r>
          </w:p>
        </w:tc>
        <w:tc>
          <w:tcPr>
            <w:tcW w:w="1425" w:type="dxa"/>
            <w:tcBorders>
              <w:top w:val="nil"/>
              <w:left w:val="nil"/>
              <w:bottom w:val="single" w:sz="8" w:space="0" w:color="auto"/>
              <w:right w:val="nil"/>
            </w:tcBorders>
            <w:shd w:val="clear" w:color="000000" w:fill="FFFFFF"/>
            <w:noWrap/>
            <w:vAlign w:val="center"/>
            <w:hideMark/>
          </w:tcPr>
          <w:p w14:paraId="7B020AB3" w14:textId="77777777" w:rsidR="0021298F" w:rsidRPr="00941CDF" w:rsidRDefault="0021298F" w:rsidP="00760009">
            <w:pPr>
              <w:jc w:val="right"/>
              <w:rPr>
                <w:rFonts w:ascii="Arial" w:eastAsia="Times New Roman" w:hAnsi="Arial" w:cs="Arial"/>
                <w:b/>
                <w:bCs/>
                <w:color w:val="000000"/>
                <w:lang w:eastAsia="en-GB"/>
              </w:rPr>
            </w:pPr>
            <w:r w:rsidRPr="00941CDF">
              <w:rPr>
                <w:rFonts w:ascii="Arial" w:eastAsia="Times New Roman" w:hAnsi="Arial" w:cs="Arial"/>
                <w:b/>
                <w:bCs/>
                <w:color w:val="000000"/>
                <w:lang w:eastAsia="en-GB"/>
              </w:rPr>
              <w:t xml:space="preserve">5,920 </w:t>
            </w:r>
          </w:p>
        </w:tc>
        <w:tc>
          <w:tcPr>
            <w:tcW w:w="1456" w:type="dxa"/>
            <w:tcBorders>
              <w:top w:val="nil"/>
              <w:left w:val="nil"/>
              <w:bottom w:val="single" w:sz="8" w:space="0" w:color="auto"/>
              <w:right w:val="nil"/>
            </w:tcBorders>
            <w:shd w:val="clear" w:color="000000" w:fill="FFFFFF"/>
            <w:noWrap/>
            <w:vAlign w:val="center"/>
            <w:hideMark/>
          </w:tcPr>
          <w:p w14:paraId="18617130" w14:textId="77777777" w:rsidR="0021298F" w:rsidRPr="00941CDF" w:rsidRDefault="0021298F" w:rsidP="00760009">
            <w:pPr>
              <w:jc w:val="right"/>
              <w:rPr>
                <w:rFonts w:ascii="Arial" w:eastAsia="Times New Roman" w:hAnsi="Arial" w:cs="Arial"/>
                <w:b/>
                <w:bCs/>
                <w:color w:val="000000"/>
                <w:lang w:eastAsia="en-GB"/>
              </w:rPr>
            </w:pPr>
            <w:r w:rsidRPr="00941CDF">
              <w:rPr>
                <w:rFonts w:ascii="Arial" w:eastAsia="Times New Roman" w:hAnsi="Arial" w:cs="Arial"/>
                <w:b/>
                <w:bCs/>
                <w:color w:val="000000"/>
                <w:lang w:eastAsia="en-GB"/>
              </w:rPr>
              <w:t xml:space="preserve">521,508 </w:t>
            </w:r>
          </w:p>
        </w:tc>
        <w:tc>
          <w:tcPr>
            <w:tcW w:w="1456" w:type="dxa"/>
            <w:tcBorders>
              <w:top w:val="nil"/>
              <w:left w:val="nil"/>
              <w:bottom w:val="single" w:sz="8" w:space="0" w:color="auto"/>
              <w:right w:val="nil"/>
            </w:tcBorders>
            <w:shd w:val="clear" w:color="000000" w:fill="FFFFFF"/>
            <w:noWrap/>
            <w:vAlign w:val="center"/>
            <w:hideMark/>
          </w:tcPr>
          <w:p w14:paraId="6D3FF129" w14:textId="77777777" w:rsidR="0021298F" w:rsidRPr="00941CDF" w:rsidRDefault="0021298F" w:rsidP="00760009">
            <w:pPr>
              <w:jc w:val="right"/>
              <w:rPr>
                <w:rFonts w:ascii="Arial" w:eastAsia="Times New Roman" w:hAnsi="Arial" w:cs="Arial"/>
                <w:b/>
                <w:bCs/>
                <w:color w:val="000000"/>
                <w:lang w:eastAsia="en-GB"/>
              </w:rPr>
            </w:pPr>
            <w:r w:rsidRPr="00941CDF">
              <w:rPr>
                <w:rFonts w:ascii="Arial" w:eastAsia="Times New Roman" w:hAnsi="Arial" w:cs="Arial"/>
                <w:b/>
                <w:bCs/>
                <w:color w:val="000000"/>
                <w:lang w:eastAsia="en-GB"/>
              </w:rPr>
              <w:t xml:space="preserve">859,393 </w:t>
            </w:r>
          </w:p>
        </w:tc>
      </w:tr>
      <w:tr w:rsidR="0021298F" w:rsidRPr="00941CDF" w14:paraId="0C397A73" w14:textId="77777777" w:rsidTr="00760009">
        <w:trPr>
          <w:trHeight w:val="300"/>
        </w:trPr>
        <w:tc>
          <w:tcPr>
            <w:tcW w:w="3402" w:type="dxa"/>
            <w:tcBorders>
              <w:top w:val="nil"/>
              <w:left w:val="nil"/>
              <w:bottom w:val="nil"/>
              <w:right w:val="nil"/>
            </w:tcBorders>
            <w:shd w:val="clear" w:color="000000" w:fill="FFFFFF"/>
            <w:vAlign w:val="center"/>
            <w:hideMark/>
          </w:tcPr>
          <w:p w14:paraId="13791CB2" w14:textId="77777777" w:rsidR="0021298F" w:rsidRPr="00941CDF" w:rsidRDefault="0021298F" w:rsidP="00760009">
            <w:pPr>
              <w:jc w:val="both"/>
              <w:rPr>
                <w:rFonts w:ascii="Arial" w:eastAsia="Times New Roman" w:hAnsi="Arial" w:cs="Arial"/>
                <w:b/>
                <w:bCs/>
                <w:color w:val="000000"/>
                <w:lang w:eastAsia="en-GB"/>
              </w:rPr>
            </w:pPr>
            <w:r w:rsidRPr="00941CDF">
              <w:rPr>
                <w:rFonts w:ascii="Arial" w:eastAsia="Times New Roman" w:hAnsi="Arial" w:cs="Arial"/>
                <w:b/>
                <w:bCs/>
                <w:color w:val="000000"/>
                <w:lang w:eastAsia="en-GB"/>
              </w:rPr>
              <w:t> </w:t>
            </w:r>
          </w:p>
        </w:tc>
        <w:tc>
          <w:tcPr>
            <w:tcW w:w="1407" w:type="dxa"/>
            <w:tcBorders>
              <w:top w:val="nil"/>
              <w:left w:val="nil"/>
              <w:bottom w:val="nil"/>
              <w:right w:val="nil"/>
            </w:tcBorders>
            <w:shd w:val="clear" w:color="000000" w:fill="FFFFFF"/>
            <w:noWrap/>
            <w:vAlign w:val="center"/>
            <w:hideMark/>
          </w:tcPr>
          <w:p w14:paraId="284EA325" w14:textId="77777777" w:rsidR="0021298F" w:rsidRPr="00941CDF" w:rsidRDefault="0021298F" w:rsidP="00760009">
            <w:pPr>
              <w:jc w:val="right"/>
              <w:rPr>
                <w:rFonts w:ascii="Arial" w:eastAsia="Times New Roman" w:hAnsi="Arial" w:cs="Arial"/>
                <w:b/>
                <w:bCs/>
                <w:color w:val="000000"/>
                <w:lang w:eastAsia="en-GB"/>
              </w:rPr>
            </w:pPr>
            <w:r w:rsidRPr="00941CDF">
              <w:rPr>
                <w:rFonts w:ascii="Arial" w:eastAsia="Times New Roman" w:hAnsi="Arial" w:cs="Arial"/>
                <w:b/>
                <w:bCs/>
                <w:color w:val="000000"/>
                <w:lang w:eastAsia="en-GB"/>
              </w:rPr>
              <w:t> </w:t>
            </w:r>
          </w:p>
        </w:tc>
        <w:tc>
          <w:tcPr>
            <w:tcW w:w="1425" w:type="dxa"/>
            <w:tcBorders>
              <w:top w:val="nil"/>
              <w:left w:val="nil"/>
              <w:bottom w:val="nil"/>
              <w:right w:val="nil"/>
            </w:tcBorders>
            <w:shd w:val="clear" w:color="000000" w:fill="FFFFFF"/>
            <w:noWrap/>
            <w:vAlign w:val="center"/>
            <w:hideMark/>
          </w:tcPr>
          <w:p w14:paraId="6BD58B0B" w14:textId="77777777" w:rsidR="0021298F" w:rsidRPr="00941CDF" w:rsidRDefault="0021298F" w:rsidP="00760009">
            <w:pPr>
              <w:jc w:val="right"/>
              <w:rPr>
                <w:rFonts w:ascii="Arial" w:eastAsia="Times New Roman" w:hAnsi="Arial" w:cs="Arial"/>
                <w:b/>
                <w:bCs/>
                <w:color w:val="000000"/>
                <w:lang w:eastAsia="en-GB"/>
              </w:rPr>
            </w:pPr>
            <w:r w:rsidRPr="00941CDF">
              <w:rPr>
                <w:rFonts w:ascii="Arial" w:eastAsia="Times New Roman" w:hAnsi="Arial" w:cs="Arial"/>
                <w:b/>
                <w:bCs/>
                <w:color w:val="000000"/>
                <w:lang w:eastAsia="en-GB"/>
              </w:rPr>
              <w:t> </w:t>
            </w:r>
          </w:p>
        </w:tc>
        <w:tc>
          <w:tcPr>
            <w:tcW w:w="1456" w:type="dxa"/>
            <w:tcBorders>
              <w:top w:val="nil"/>
              <w:left w:val="nil"/>
              <w:bottom w:val="nil"/>
              <w:right w:val="nil"/>
            </w:tcBorders>
            <w:shd w:val="clear" w:color="000000" w:fill="FFFFFF"/>
            <w:noWrap/>
            <w:vAlign w:val="center"/>
            <w:hideMark/>
          </w:tcPr>
          <w:p w14:paraId="7A442592" w14:textId="77777777" w:rsidR="0021298F" w:rsidRPr="00941CDF" w:rsidRDefault="0021298F" w:rsidP="00760009">
            <w:pPr>
              <w:jc w:val="right"/>
              <w:rPr>
                <w:rFonts w:ascii="Arial" w:eastAsia="Times New Roman" w:hAnsi="Arial" w:cs="Arial"/>
                <w:b/>
                <w:bCs/>
                <w:color w:val="000000"/>
                <w:lang w:eastAsia="en-GB"/>
              </w:rPr>
            </w:pPr>
            <w:r w:rsidRPr="00941CDF">
              <w:rPr>
                <w:rFonts w:ascii="Arial" w:eastAsia="Times New Roman" w:hAnsi="Arial" w:cs="Arial"/>
                <w:b/>
                <w:bCs/>
                <w:color w:val="000000"/>
                <w:lang w:eastAsia="en-GB"/>
              </w:rPr>
              <w:t> </w:t>
            </w:r>
          </w:p>
        </w:tc>
        <w:tc>
          <w:tcPr>
            <w:tcW w:w="1456" w:type="dxa"/>
            <w:tcBorders>
              <w:top w:val="nil"/>
              <w:left w:val="nil"/>
              <w:bottom w:val="nil"/>
              <w:right w:val="nil"/>
            </w:tcBorders>
            <w:shd w:val="clear" w:color="000000" w:fill="FFFFFF"/>
            <w:noWrap/>
            <w:vAlign w:val="center"/>
            <w:hideMark/>
          </w:tcPr>
          <w:p w14:paraId="2362468E" w14:textId="77777777" w:rsidR="0021298F" w:rsidRPr="00941CDF" w:rsidRDefault="0021298F" w:rsidP="00760009">
            <w:pPr>
              <w:jc w:val="right"/>
              <w:rPr>
                <w:rFonts w:ascii="Arial" w:eastAsia="Times New Roman" w:hAnsi="Arial" w:cs="Arial"/>
                <w:b/>
                <w:bCs/>
                <w:color w:val="000000"/>
                <w:lang w:eastAsia="en-GB"/>
              </w:rPr>
            </w:pPr>
            <w:r w:rsidRPr="00941CDF">
              <w:rPr>
                <w:rFonts w:ascii="Arial" w:eastAsia="Times New Roman" w:hAnsi="Arial" w:cs="Arial"/>
                <w:b/>
                <w:bCs/>
                <w:color w:val="000000"/>
                <w:lang w:eastAsia="en-GB"/>
              </w:rPr>
              <w:t> </w:t>
            </w:r>
          </w:p>
        </w:tc>
      </w:tr>
      <w:tr w:rsidR="0021298F" w:rsidRPr="00941CDF" w14:paraId="62E96EA4" w14:textId="77777777" w:rsidTr="00760009">
        <w:trPr>
          <w:trHeight w:val="300"/>
        </w:trPr>
        <w:tc>
          <w:tcPr>
            <w:tcW w:w="3402" w:type="dxa"/>
            <w:tcBorders>
              <w:top w:val="nil"/>
              <w:left w:val="nil"/>
              <w:bottom w:val="nil"/>
              <w:right w:val="nil"/>
            </w:tcBorders>
            <w:shd w:val="clear" w:color="000000" w:fill="FFFFFF"/>
            <w:vAlign w:val="center"/>
            <w:hideMark/>
          </w:tcPr>
          <w:p w14:paraId="141B3E7C" w14:textId="77777777" w:rsidR="0021298F" w:rsidRPr="00941CDF" w:rsidRDefault="0021298F" w:rsidP="00760009">
            <w:pPr>
              <w:jc w:val="both"/>
              <w:rPr>
                <w:rFonts w:ascii="Arial" w:eastAsia="Times New Roman" w:hAnsi="Arial" w:cs="Arial"/>
                <w:b/>
                <w:bCs/>
                <w:color w:val="000000"/>
                <w:lang w:eastAsia="en-GB"/>
              </w:rPr>
            </w:pPr>
            <w:r w:rsidRPr="00941CDF">
              <w:rPr>
                <w:rFonts w:ascii="Arial" w:eastAsia="Times New Roman" w:hAnsi="Arial" w:cs="Arial"/>
                <w:b/>
                <w:bCs/>
                <w:color w:val="000000"/>
                <w:lang w:eastAsia="en-GB"/>
              </w:rPr>
              <w:t>Liabilities</w:t>
            </w:r>
          </w:p>
        </w:tc>
        <w:tc>
          <w:tcPr>
            <w:tcW w:w="1407" w:type="dxa"/>
            <w:tcBorders>
              <w:top w:val="nil"/>
              <w:left w:val="nil"/>
              <w:bottom w:val="nil"/>
              <w:right w:val="nil"/>
            </w:tcBorders>
            <w:shd w:val="clear" w:color="000000" w:fill="FFFFFF"/>
            <w:noWrap/>
            <w:vAlign w:val="center"/>
            <w:hideMark/>
          </w:tcPr>
          <w:p w14:paraId="7438D111" w14:textId="77777777" w:rsidR="0021298F" w:rsidRPr="00941CDF" w:rsidRDefault="0021298F" w:rsidP="00760009">
            <w:pPr>
              <w:jc w:val="right"/>
              <w:rPr>
                <w:rFonts w:ascii="Arial" w:eastAsia="Times New Roman" w:hAnsi="Arial" w:cs="Arial"/>
                <w:b/>
                <w:bCs/>
                <w:color w:val="000000"/>
                <w:lang w:eastAsia="en-GB"/>
              </w:rPr>
            </w:pPr>
            <w:r w:rsidRPr="00941CDF">
              <w:rPr>
                <w:rFonts w:ascii="Arial" w:eastAsia="Times New Roman" w:hAnsi="Arial" w:cs="Arial"/>
                <w:b/>
                <w:bCs/>
                <w:color w:val="000000"/>
                <w:lang w:eastAsia="en-GB"/>
              </w:rPr>
              <w:t> </w:t>
            </w:r>
          </w:p>
        </w:tc>
        <w:tc>
          <w:tcPr>
            <w:tcW w:w="1425" w:type="dxa"/>
            <w:tcBorders>
              <w:top w:val="nil"/>
              <w:left w:val="nil"/>
              <w:bottom w:val="nil"/>
              <w:right w:val="nil"/>
            </w:tcBorders>
            <w:shd w:val="clear" w:color="000000" w:fill="FFFFFF"/>
            <w:noWrap/>
            <w:vAlign w:val="center"/>
            <w:hideMark/>
          </w:tcPr>
          <w:p w14:paraId="42B977F4" w14:textId="77777777" w:rsidR="0021298F" w:rsidRPr="00941CDF" w:rsidRDefault="0021298F" w:rsidP="00760009">
            <w:pPr>
              <w:jc w:val="right"/>
              <w:rPr>
                <w:rFonts w:ascii="Arial" w:eastAsia="Times New Roman" w:hAnsi="Arial" w:cs="Arial"/>
                <w:b/>
                <w:bCs/>
                <w:color w:val="000000"/>
                <w:lang w:eastAsia="en-GB"/>
              </w:rPr>
            </w:pPr>
            <w:r w:rsidRPr="00941CDF">
              <w:rPr>
                <w:rFonts w:ascii="Arial" w:eastAsia="Times New Roman" w:hAnsi="Arial" w:cs="Arial"/>
                <w:b/>
                <w:bCs/>
                <w:color w:val="000000"/>
                <w:lang w:eastAsia="en-GB"/>
              </w:rPr>
              <w:t> </w:t>
            </w:r>
          </w:p>
        </w:tc>
        <w:tc>
          <w:tcPr>
            <w:tcW w:w="1456" w:type="dxa"/>
            <w:tcBorders>
              <w:top w:val="nil"/>
              <w:left w:val="nil"/>
              <w:bottom w:val="nil"/>
              <w:right w:val="nil"/>
            </w:tcBorders>
            <w:shd w:val="clear" w:color="000000" w:fill="FFFFFF"/>
            <w:noWrap/>
            <w:vAlign w:val="center"/>
            <w:hideMark/>
          </w:tcPr>
          <w:p w14:paraId="603BB25E" w14:textId="77777777" w:rsidR="0021298F" w:rsidRPr="00941CDF" w:rsidRDefault="0021298F" w:rsidP="00760009">
            <w:pPr>
              <w:jc w:val="right"/>
              <w:rPr>
                <w:rFonts w:ascii="Arial" w:eastAsia="Times New Roman" w:hAnsi="Arial" w:cs="Arial"/>
                <w:b/>
                <w:bCs/>
                <w:color w:val="000000"/>
                <w:lang w:eastAsia="en-GB"/>
              </w:rPr>
            </w:pPr>
            <w:r w:rsidRPr="00941CDF">
              <w:rPr>
                <w:rFonts w:ascii="Arial" w:eastAsia="Times New Roman" w:hAnsi="Arial" w:cs="Arial"/>
                <w:b/>
                <w:bCs/>
                <w:color w:val="000000"/>
                <w:lang w:eastAsia="en-GB"/>
              </w:rPr>
              <w:t> </w:t>
            </w:r>
          </w:p>
        </w:tc>
        <w:tc>
          <w:tcPr>
            <w:tcW w:w="1456" w:type="dxa"/>
            <w:tcBorders>
              <w:top w:val="nil"/>
              <w:left w:val="nil"/>
              <w:bottom w:val="nil"/>
              <w:right w:val="nil"/>
            </w:tcBorders>
            <w:shd w:val="clear" w:color="000000" w:fill="FFFFFF"/>
            <w:noWrap/>
            <w:vAlign w:val="center"/>
            <w:hideMark/>
          </w:tcPr>
          <w:p w14:paraId="6D369B1C" w14:textId="77777777" w:rsidR="0021298F" w:rsidRPr="00941CDF" w:rsidRDefault="0021298F" w:rsidP="00760009">
            <w:pPr>
              <w:jc w:val="right"/>
              <w:rPr>
                <w:rFonts w:ascii="Arial" w:eastAsia="Times New Roman" w:hAnsi="Arial" w:cs="Arial"/>
                <w:b/>
                <w:bCs/>
                <w:color w:val="000000"/>
                <w:lang w:eastAsia="en-GB"/>
              </w:rPr>
            </w:pPr>
            <w:r w:rsidRPr="00941CDF">
              <w:rPr>
                <w:rFonts w:ascii="Arial" w:eastAsia="Times New Roman" w:hAnsi="Arial" w:cs="Arial"/>
                <w:b/>
                <w:bCs/>
                <w:color w:val="000000"/>
                <w:lang w:eastAsia="en-GB"/>
              </w:rPr>
              <w:t> </w:t>
            </w:r>
          </w:p>
        </w:tc>
      </w:tr>
      <w:tr w:rsidR="0021298F" w:rsidRPr="00941CDF" w14:paraId="5AC146E9" w14:textId="77777777" w:rsidTr="00760009">
        <w:trPr>
          <w:trHeight w:val="300"/>
        </w:trPr>
        <w:tc>
          <w:tcPr>
            <w:tcW w:w="3402" w:type="dxa"/>
            <w:tcBorders>
              <w:top w:val="nil"/>
              <w:left w:val="nil"/>
              <w:bottom w:val="nil"/>
              <w:right w:val="nil"/>
            </w:tcBorders>
            <w:shd w:val="clear" w:color="000000" w:fill="FFFFFF"/>
            <w:vAlign w:val="center"/>
            <w:hideMark/>
          </w:tcPr>
          <w:p w14:paraId="304671F4" w14:textId="77777777" w:rsidR="0021298F" w:rsidRPr="00941CDF" w:rsidRDefault="0021298F" w:rsidP="00760009">
            <w:pPr>
              <w:jc w:val="both"/>
              <w:rPr>
                <w:rFonts w:ascii="Arial" w:eastAsia="Times New Roman" w:hAnsi="Arial" w:cs="Arial"/>
                <w:color w:val="000000"/>
                <w:lang w:eastAsia="en-GB"/>
              </w:rPr>
            </w:pPr>
            <w:r w:rsidRPr="00941CDF">
              <w:rPr>
                <w:rFonts w:ascii="Arial" w:eastAsia="Times New Roman" w:hAnsi="Arial" w:cs="Arial"/>
                <w:color w:val="000000"/>
                <w:lang w:eastAsia="en-GB"/>
              </w:rPr>
              <w:t>Other payables (note 12)</w:t>
            </w:r>
          </w:p>
        </w:tc>
        <w:tc>
          <w:tcPr>
            <w:tcW w:w="1407" w:type="dxa"/>
            <w:tcBorders>
              <w:top w:val="nil"/>
              <w:left w:val="nil"/>
              <w:bottom w:val="nil"/>
              <w:right w:val="nil"/>
            </w:tcBorders>
            <w:shd w:val="clear" w:color="000000" w:fill="FFFFFF"/>
            <w:noWrap/>
            <w:vAlign w:val="center"/>
            <w:hideMark/>
          </w:tcPr>
          <w:p w14:paraId="198E7875" w14:textId="77777777" w:rsidR="0021298F" w:rsidRPr="00941CDF" w:rsidRDefault="0021298F" w:rsidP="00760009">
            <w:pPr>
              <w:jc w:val="right"/>
              <w:rPr>
                <w:rFonts w:ascii="Arial" w:eastAsia="Times New Roman" w:hAnsi="Arial" w:cs="Arial"/>
                <w:color w:val="000000"/>
                <w:lang w:eastAsia="en-GB"/>
              </w:rPr>
            </w:pPr>
            <w:r w:rsidRPr="00941CDF">
              <w:rPr>
                <w:rFonts w:ascii="Arial" w:eastAsia="Times New Roman" w:hAnsi="Arial" w:cs="Arial"/>
                <w:color w:val="000000"/>
                <w:lang w:eastAsia="en-GB"/>
              </w:rPr>
              <w:t xml:space="preserve"> - </w:t>
            </w:r>
          </w:p>
        </w:tc>
        <w:tc>
          <w:tcPr>
            <w:tcW w:w="1425" w:type="dxa"/>
            <w:tcBorders>
              <w:top w:val="nil"/>
              <w:left w:val="nil"/>
              <w:bottom w:val="nil"/>
              <w:right w:val="nil"/>
            </w:tcBorders>
            <w:shd w:val="clear" w:color="000000" w:fill="FFFFFF"/>
            <w:noWrap/>
            <w:vAlign w:val="center"/>
            <w:hideMark/>
          </w:tcPr>
          <w:p w14:paraId="09AFD9AE" w14:textId="77777777" w:rsidR="0021298F" w:rsidRPr="00941CDF" w:rsidRDefault="0021298F" w:rsidP="00760009">
            <w:pPr>
              <w:jc w:val="right"/>
              <w:rPr>
                <w:rFonts w:ascii="Arial" w:eastAsia="Times New Roman" w:hAnsi="Arial" w:cs="Arial"/>
                <w:color w:val="000000"/>
                <w:lang w:eastAsia="en-GB"/>
              </w:rPr>
            </w:pPr>
            <w:r w:rsidRPr="00941CDF">
              <w:rPr>
                <w:rFonts w:ascii="Arial" w:eastAsia="Times New Roman" w:hAnsi="Arial" w:cs="Arial"/>
                <w:color w:val="000000"/>
                <w:lang w:eastAsia="en-GB"/>
              </w:rPr>
              <w:t xml:space="preserve"> - </w:t>
            </w:r>
          </w:p>
        </w:tc>
        <w:tc>
          <w:tcPr>
            <w:tcW w:w="1456" w:type="dxa"/>
            <w:tcBorders>
              <w:top w:val="nil"/>
              <w:left w:val="nil"/>
              <w:bottom w:val="nil"/>
              <w:right w:val="nil"/>
            </w:tcBorders>
            <w:shd w:val="clear" w:color="000000" w:fill="FFFFFF"/>
            <w:noWrap/>
            <w:vAlign w:val="center"/>
            <w:hideMark/>
          </w:tcPr>
          <w:p w14:paraId="3A3E8C07" w14:textId="77777777" w:rsidR="0021298F" w:rsidRPr="00941CDF" w:rsidRDefault="0021298F" w:rsidP="00760009">
            <w:pPr>
              <w:jc w:val="right"/>
              <w:rPr>
                <w:rFonts w:ascii="Arial" w:eastAsia="Times New Roman" w:hAnsi="Arial" w:cs="Arial"/>
                <w:color w:val="000000"/>
                <w:lang w:eastAsia="en-GB"/>
              </w:rPr>
            </w:pPr>
            <w:r w:rsidRPr="00941CDF">
              <w:rPr>
                <w:rFonts w:ascii="Arial" w:eastAsia="Times New Roman" w:hAnsi="Arial" w:cs="Arial"/>
                <w:color w:val="000000"/>
                <w:lang w:eastAsia="en-GB"/>
              </w:rPr>
              <w:t xml:space="preserve"> (3,470)</w:t>
            </w:r>
          </w:p>
        </w:tc>
        <w:tc>
          <w:tcPr>
            <w:tcW w:w="1456" w:type="dxa"/>
            <w:tcBorders>
              <w:top w:val="nil"/>
              <w:left w:val="nil"/>
              <w:bottom w:val="nil"/>
              <w:right w:val="nil"/>
            </w:tcBorders>
            <w:shd w:val="clear" w:color="000000" w:fill="FFFFFF"/>
            <w:noWrap/>
            <w:vAlign w:val="center"/>
            <w:hideMark/>
          </w:tcPr>
          <w:p w14:paraId="0C8EBBA4" w14:textId="77777777" w:rsidR="0021298F" w:rsidRPr="00941CDF" w:rsidRDefault="0021298F" w:rsidP="00760009">
            <w:pPr>
              <w:jc w:val="right"/>
              <w:rPr>
                <w:rFonts w:ascii="Arial" w:eastAsia="Times New Roman" w:hAnsi="Arial" w:cs="Arial"/>
                <w:b/>
                <w:bCs/>
                <w:color w:val="000000"/>
                <w:lang w:eastAsia="en-GB"/>
              </w:rPr>
            </w:pPr>
            <w:r w:rsidRPr="00941CDF">
              <w:rPr>
                <w:rFonts w:ascii="Arial" w:eastAsia="Times New Roman" w:hAnsi="Arial" w:cs="Arial"/>
                <w:b/>
                <w:bCs/>
                <w:color w:val="000000"/>
                <w:lang w:eastAsia="en-GB"/>
              </w:rPr>
              <w:t xml:space="preserve"> (3,470)</w:t>
            </w:r>
          </w:p>
        </w:tc>
      </w:tr>
      <w:tr w:rsidR="0021298F" w:rsidRPr="00941CDF" w14:paraId="6F1F925D" w14:textId="77777777" w:rsidTr="00760009">
        <w:trPr>
          <w:trHeight w:val="570"/>
        </w:trPr>
        <w:tc>
          <w:tcPr>
            <w:tcW w:w="3402" w:type="dxa"/>
            <w:tcBorders>
              <w:top w:val="nil"/>
              <w:left w:val="nil"/>
              <w:bottom w:val="single" w:sz="4" w:space="0" w:color="auto"/>
              <w:right w:val="nil"/>
            </w:tcBorders>
            <w:shd w:val="clear" w:color="000000" w:fill="FFFFFF"/>
            <w:vAlign w:val="center"/>
            <w:hideMark/>
          </w:tcPr>
          <w:p w14:paraId="43CA4BA9" w14:textId="77777777" w:rsidR="0021298F" w:rsidRPr="00941CDF" w:rsidRDefault="0021298F" w:rsidP="00760009">
            <w:pPr>
              <w:jc w:val="both"/>
              <w:rPr>
                <w:rFonts w:ascii="Arial" w:eastAsia="Times New Roman" w:hAnsi="Arial" w:cs="Arial"/>
                <w:color w:val="000000"/>
                <w:lang w:eastAsia="en-GB"/>
              </w:rPr>
            </w:pPr>
            <w:r w:rsidRPr="00941CDF">
              <w:rPr>
                <w:rFonts w:ascii="Arial" w:eastAsia="Times New Roman" w:hAnsi="Arial" w:cs="Arial"/>
                <w:color w:val="000000"/>
                <w:lang w:eastAsia="en-GB"/>
              </w:rPr>
              <w:t>Loans and borrowings (note 13)</w:t>
            </w:r>
          </w:p>
        </w:tc>
        <w:tc>
          <w:tcPr>
            <w:tcW w:w="1407" w:type="dxa"/>
            <w:tcBorders>
              <w:top w:val="nil"/>
              <w:left w:val="nil"/>
              <w:bottom w:val="single" w:sz="4" w:space="0" w:color="auto"/>
              <w:right w:val="nil"/>
            </w:tcBorders>
            <w:shd w:val="clear" w:color="000000" w:fill="FFFFFF"/>
            <w:noWrap/>
            <w:vAlign w:val="center"/>
            <w:hideMark/>
          </w:tcPr>
          <w:p w14:paraId="42C56544" w14:textId="77777777" w:rsidR="0021298F" w:rsidRPr="00941CDF" w:rsidRDefault="0021298F" w:rsidP="00760009">
            <w:pPr>
              <w:jc w:val="right"/>
              <w:rPr>
                <w:rFonts w:ascii="Arial" w:eastAsia="Times New Roman" w:hAnsi="Arial" w:cs="Arial"/>
                <w:color w:val="000000"/>
                <w:lang w:eastAsia="en-GB"/>
              </w:rPr>
            </w:pPr>
            <w:r w:rsidRPr="00941CDF">
              <w:rPr>
                <w:rFonts w:ascii="Arial" w:eastAsia="Times New Roman" w:hAnsi="Arial" w:cs="Arial"/>
                <w:color w:val="000000"/>
                <w:lang w:eastAsia="en-GB"/>
              </w:rPr>
              <w:t xml:space="preserve"> - </w:t>
            </w:r>
          </w:p>
        </w:tc>
        <w:tc>
          <w:tcPr>
            <w:tcW w:w="1425" w:type="dxa"/>
            <w:tcBorders>
              <w:top w:val="nil"/>
              <w:left w:val="nil"/>
              <w:bottom w:val="single" w:sz="4" w:space="0" w:color="auto"/>
              <w:right w:val="nil"/>
            </w:tcBorders>
            <w:shd w:val="clear" w:color="000000" w:fill="FFFFFF"/>
            <w:noWrap/>
            <w:vAlign w:val="center"/>
            <w:hideMark/>
          </w:tcPr>
          <w:p w14:paraId="29CAB77F" w14:textId="77777777" w:rsidR="0021298F" w:rsidRPr="00941CDF" w:rsidRDefault="0021298F" w:rsidP="00760009">
            <w:pPr>
              <w:jc w:val="right"/>
              <w:rPr>
                <w:rFonts w:ascii="Arial" w:eastAsia="Times New Roman" w:hAnsi="Arial" w:cs="Arial"/>
                <w:color w:val="000000"/>
                <w:lang w:eastAsia="en-GB"/>
              </w:rPr>
            </w:pPr>
            <w:r w:rsidRPr="00941CDF">
              <w:rPr>
                <w:rFonts w:ascii="Arial" w:eastAsia="Times New Roman" w:hAnsi="Arial" w:cs="Arial"/>
                <w:color w:val="000000"/>
                <w:lang w:eastAsia="en-GB"/>
              </w:rPr>
              <w:t xml:space="preserve"> (206,000)</w:t>
            </w:r>
          </w:p>
        </w:tc>
        <w:tc>
          <w:tcPr>
            <w:tcW w:w="1456" w:type="dxa"/>
            <w:tcBorders>
              <w:top w:val="nil"/>
              <w:left w:val="nil"/>
              <w:bottom w:val="single" w:sz="4" w:space="0" w:color="auto"/>
              <w:right w:val="nil"/>
            </w:tcBorders>
            <w:shd w:val="clear" w:color="000000" w:fill="FFFFFF"/>
            <w:noWrap/>
            <w:vAlign w:val="center"/>
            <w:hideMark/>
          </w:tcPr>
          <w:p w14:paraId="60EE5C26" w14:textId="77777777" w:rsidR="0021298F" w:rsidRPr="00941CDF" w:rsidRDefault="0021298F" w:rsidP="00760009">
            <w:pPr>
              <w:jc w:val="right"/>
              <w:rPr>
                <w:rFonts w:ascii="Arial" w:eastAsia="Times New Roman" w:hAnsi="Arial" w:cs="Arial"/>
                <w:color w:val="000000"/>
                <w:lang w:eastAsia="en-GB"/>
              </w:rPr>
            </w:pPr>
            <w:r w:rsidRPr="00941CDF">
              <w:rPr>
                <w:rFonts w:ascii="Arial" w:eastAsia="Times New Roman" w:hAnsi="Arial" w:cs="Arial"/>
                <w:color w:val="000000"/>
                <w:lang w:eastAsia="en-GB"/>
              </w:rPr>
              <w:t xml:space="preserve"> - </w:t>
            </w:r>
          </w:p>
        </w:tc>
        <w:tc>
          <w:tcPr>
            <w:tcW w:w="1456" w:type="dxa"/>
            <w:tcBorders>
              <w:top w:val="nil"/>
              <w:left w:val="nil"/>
              <w:bottom w:val="single" w:sz="4" w:space="0" w:color="auto"/>
              <w:right w:val="nil"/>
            </w:tcBorders>
            <w:shd w:val="clear" w:color="000000" w:fill="FFFFFF"/>
            <w:noWrap/>
            <w:vAlign w:val="center"/>
            <w:hideMark/>
          </w:tcPr>
          <w:p w14:paraId="335215EA" w14:textId="77777777" w:rsidR="0021298F" w:rsidRPr="00941CDF" w:rsidRDefault="0021298F" w:rsidP="00760009">
            <w:pPr>
              <w:jc w:val="right"/>
              <w:rPr>
                <w:rFonts w:ascii="Arial" w:eastAsia="Times New Roman" w:hAnsi="Arial" w:cs="Arial"/>
                <w:b/>
                <w:bCs/>
                <w:color w:val="000000"/>
                <w:lang w:eastAsia="en-GB"/>
              </w:rPr>
            </w:pPr>
            <w:r w:rsidRPr="00941CDF">
              <w:rPr>
                <w:rFonts w:ascii="Arial" w:eastAsia="Times New Roman" w:hAnsi="Arial" w:cs="Arial"/>
                <w:b/>
                <w:bCs/>
                <w:color w:val="000000"/>
                <w:lang w:eastAsia="en-GB"/>
              </w:rPr>
              <w:t xml:space="preserve"> (206,000)</w:t>
            </w:r>
          </w:p>
        </w:tc>
      </w:tr>
      <w:tr w:rsidR="0021298F" w:rsidRPr="00941CDF" w14:paraId="15F32565" w14:textId="77777777" w:rsidTr="00760009">
        <w:trPr>
          <w:trHeight w:val="315"/>
        </w:trPr>
        <w:tc>
          <w:tcPr>
            <w:tcW w:w="3402" w:type="dxa"/>
            <w:tcBorders>
              <w:top w:val="nil"/>
              <w:left w:val="nil"/>
              <w:bottom w:val="single" w:sz="8" w:space="0" w:color="auto"/>
              <w:right w:val="nil"/>
            </w:tcBorders>
            <w:shd w:val="clear" w:color="000000" w:fill="FFFFFF"/>
            <w:vAlign w:val="center"/>
            <w:hideMark/>
          </w:tcPr>
          <w:p w14:paraId="293EEA41" w14:textId="77777777" w:rsidR="0021298F" w:rsidRPr="00941CDF" w:rsidRDefault="0021298F" w:rsidP="00760009">
            <w:pPr>
              <w:jc w:val="both"/>
              <w:rPr>
                <w:rFonts w:ascii="Arial" w:eastAsia="Times New Roman" w:hAnsi="Arial" w:cs="Arial"/>
                <w:b/>
                <w:bCs/>
                <w:color w:val="000000"/>
                <w:lang w:eastAsia="en-GB"/>
              </w:rPr>
            </w:pPr>
            <w:r w:rsidRPr="00941CDF">
              <w:rPr>
                <w:rFonts w:ascii="Arial" w:eastAsia="Times New Roman" w:hAnsi="Arial" w:cs="Arial"/>
                <w:b/>
                <w:bCs/>
                <w:color w:val="000000"/>
                <w:lang w:eastAsia="en-GB"/>
              </w:rPr>
              <w:t> </w:t>
            </w:r>
          </w:p>
        </w:tc>
        <w:tc>
          <w:tcPr>
            <w:tcW w:w="1407" w:type="dxa"/>
            <w:tcBorders>
              <w:top w:val="nil"/>
              <w:left w:val="nil"/>
              <w:bottom w:val="single" w:sz="8" w:space="0" w:color="auto"/>
              <w:right w:val="nil"/>
            </w:tcBorders>
            <w:shd w:val="clear" w:color="000000" w:fill="FFFFFF"/>
            <w:noWrap/>
            <w:vAlign w:val="center"/>
            <w:hideMark/>
          </w:tcPr>
          <w:p w14:paraId="6DAD8BD0" w14:textId="77777777" w:rsidR="0021298F" w:rsidRPr="00941CDF" w:rsidRDefault="0021298F" w:rsidP="00760009">
            <w:pPr>
              <w:jc w:val="right"/>
              <w:rPr>
                <w:rFonts w:ascii="Arial" w:eastAsia="Times New Roman" w:hAnsi="Arial" w:cs="Arial"/>
                <w:b/>
                <w:bCs/>
                <w:color w:val="000000"/>
                <w:lang w:eastAsia="en-GB"/>
              </w:rPr>
            </w:pPr>
            <w:r w:rsidRPr="00941CDF">
              <w:rPr>
                <w:rFonts w:ascii="Arial" w:eastAsia="Times New Roman" w:hAnsi="Arial" w:cs="Arial"/>
                <w:b/>
                <w:bCs/>
                <w:color w:val="000000"/>
                <w:lang w:eastAsia="en-GB"/>
              </w:rPr>
              <w:t xml:space="preserve"> - </w:t>
            </w:r>
          </w:p>
        </w:tc>
        <w:tc>
          <w:tcPr>
            <w:tcW w:w="1425" w:type="dxa"/>
            <w:tcBorders>
              <w:top w:val="nil"/>
              <w:left w:val="nil"/>
              <w:bottom w:val="single" w:sz="8" w:space="0" w:color="auto"/>
              <w:right w:val="nil"/>
            </w:tcBorders>
            <w:shd w:val="clear" w:color="000000" w:fill="FFFFFF"/>
            <w:noWrap/>
            <w:vAlign w:val="center"/>
            <w:hideMark/>
          </w:tcPr>
          <w:p w14:paraId="35D9A05A" w14:textId="77777777" w:rsidR="0021298F" w:rsidRPr="00941CDF" w:rsidRDefault="0021298F" w:rsidP="00760009">
            <w:pPr>
              <w:jc w:val="right"/>
              <w:rPr>
                <w:rFonts w:ascii="Arial" w:eastAsia="Times New Roman" w:hAnsi="Arial" w:cs="Arial"/>
                <w:b/>
                <w:bCs/>
                <w:color w:val="000000"/>
                <w:lang w:eastAsia="en-GB"/>
              </w:rPr>
            </w:pPr>
            <w:r w:rsidRPr="00941CDF">
              <w:rPr>
                <w:rFonts w:ascii="Arial" w:eastAsia="Times New Roman" w:hAnsi="Arial" w:cs="Arial"/>
                <w:b/>
                <w:bCs/>
                <w:color w:val="000000"/>
                <w:lang w:eastAsia="en-GB"/>
              </w:rPr>
              <w:t xml:space="preserve"> (206,000)</w:t>
            </w:r>
          </w:p>
        </w:tc>
        <w:tc>
          <w:tcPr>
            <w:tcW w:w="1456" w:type="dxa"/>
            <w:tcBorders>
              <w:top w:val="nil"/>
              <w:left w:val="nil"/>
              <w:bottom w:val="single" w:sz="8" w:space="0" w:color="auto"/>
              <w:right w:val="nil"/>
            </w:tcBorders>
            <w:shd w:val="clear" w:color="000000" w:fill="FFFFFF"/>
            <w:noWrap/>
            <w:vAlign w:val="center"/>
            <w:hideMark/>
          </w:tcPr>
          <w:p w14:paraId="78E964D9" w14:textId="77777777" w:rsidR="0021298F" w:rsidRPr="00941CDF" w:rsidRDefault="0021298F" w:rsidP="00760009">
            <w:pPr>
              <w:jc w:val="right"/>
              <w:rPr>
                <w:rFonts w:ascii="Arial" w:eastAsia="Times New Roman" w:hAnsi="Arial" w:cs="Arial"/>
                <w:b/>
                <w:bCs/>
                <w:color w:val="000000"/>
                <w:lang w:eastAsia="en-GB"/>
              </w:rPr>
            </w:pPr>
            <w:r w:rsidRPr="00941CDF">
              <w:rPr>
                <w:rFonts w:ascii="Arial" w:eastAsia="Times New Roman" w:hAnsi="Arial" w:cs="Arial"/>
                <w:b/>
                <w:bCs/>
                <w:color w:val="000000"/>
                <w:lang w:eastAsia="en-GB"/>
              </w:rPr>
              <w:t xml:space="preserve"> (3,470)</w:t>
            </w:r>
          </w:p>
        </w:tc>
        <w:tc>
          <w:tcPr>
            <w:tcW w:w="1456" w:type="dxa"/>
            <w:tcBorders>
              <w:top w:val="nil"/>
              <w:left w:val="nil"/>
              <w:bottom w:val="single" w:sz="8" w:space="0" w:color="auto"/>
              <w:right w:val="nil"/>
            </w:tcBorders>
            <w:shd w:val="clear" w:color="000000" w:fill="FFFFFF"/>
            <w:noWrap/>
            <w:vAlign w:val="center"/>
            <w:hideMark/>
          </w:tcPr>
          <w:p w14:paraId="2CCED5F7" w14:textId="77777777" w:rsidR="0021298F" w:rsidRPr="00941CDF" w:rsidRDefault="0021298F" w:rsidP="00760009">
            <w:pPr>
              <w:jc w:val="right"/>
              <w:rPr>
                <w:rFonts w:ascii="Arial" w:eastAsia="Times New Roman" w:hAnsi="Arial" w:cs="Arial"/>
                <w:b/>
                <w:bCs/>
                <w:color w:val="000000"/>
                <w:lang w:eastAsia="en-GB"/>
              </w:rPr>
            </w:pPr>
            <w:r w:rsidRPr="00941CDF">
              <w:rPr>
                <w:rFonts w:ascii="Arial" w:eastAsia="Times New Roman" w:hAnsi="Arial" w:cs="Arial"/>
                <w:b/>
                <w:bCs/>
                <w:color w:val="000000"/>
                <w:lang w:eastAsia="en-GB"/>
              </w:rPr>
              <w:t xml:space="preserve"> (209,470)</w:t>
            </w:r>
          </w:p>
        </w:tc>
      </w:tr>
    </w:tbl>
    <w:p w14:paraId="2BEE642A" w14:textId="77777777" w:rsidR="0021298F" w:rsidRDefault="0021298F" w:rsidP="0021298F">
      <w:pPr>
        <w:jc w:val="both"/>
        <w:rPr>
          <w:rFonts w:ascii="Arial" w:eastAsia="Times New Roman" w:hAnsi="Arial" w:cs="Arial"/>
        </w:rPr>
      </w:pPr>
    </w:p>
    <w:p w14:paraId="73857C3E" w14:textId="77777777" w:rsidR="0021298F" w:rsidRDefault="0021298F" w:rsidP="0021298F">
      <w:pPr>
        <w:jc w:val="both"/>
        <w:rPr>
          <w:rFonts w:ascii="Arial" w:eastAsia="Times New Roman" w:hAnsi="Arial" w:cs="Arial"/>
        </w:rPr>
      </w:pPr>
      <w:r>
        <w:rPr>
          <w:rFonts w:ascii="Arial" w:eastAsia="Times New Roman" w:hAnsi="Arial" w:cs="Arial"/>
        </w:rPr>
        <w:t>The Company’s interest and non-interest bearing assets and liabilities as at 31 December 2020 are summarised below:</w:t>
      </w:r>
    </w:p>
    <w:tbl>
      <w:tblPr>
        <w:tblW w:w="8960" w:type="dxa"/>
        <w:tblLook w:val="04A0" w:firstRow="1" w:lastRow="0" w:firstColumn="1" w:lastColumn="0" w:noHBand="0" w:noVBand="1"/>
      </w:tblPr>
      <w:tblGrid>
        <w:gridCol w:w="3216"/>
        <w:gridCol w:w="1399"/>
        <w:gridCol w:w="1433"/>
        <w:gridCol w:w="1456"/>
        <w:gridCol w:w="1456"/>
      </w:tblGrid>
      <w:tr w:rsidR="0021298F" w:rsidRPr="00941CDF" w14:paraId="5DA07E39" w14:textId="77777777" w:rsidTr="00760009">
        <w:trPr>
          <w:trHeight w:val="300"/>
        </w:trPr>
        <w:tc>
          <w:tcPr>
            <w:tcW w:w="3216" w:type="dxa"/>
            <w:tcBorders>
              <w:top w:val="nil"/>
              <w:left w:val="nil"/>
              <w:bottom w:val="nil"/>
              <w:right w:val="nil"/>
            </w:tcBorders>
            <w:shd w:val="clear" w:color="000000" w:fill="FFFFFF"/>
            <w:noWrap/>
            <w:vAlign w:val="bottom"/>
            <w:hideMark/>
          </w:tcPr>
          <w:p w14:paraId="62FC4052" w14:textId="77777777" w:rsidR="0021298F" w:rsidRPr="00941CDF" w:rsidRDefault="0021298F" w:rsidP="00760009">
            <w:pPr>
              <w:rPr>
                <w:rFonts w:ascii="Arial" w:eastAsia="Times New Roman" w:hAnsi="Arial" w:cs="Arial"/>
                <w:b/>
                <w:bCs/>
                <w:color w:val="000000"/>
                <w:lang w:eastAsia="en-GB"/>
              </w:rPr>
            </w:pPr>
            <w:r w:rsidRPr="00941CDF">
              <w:rPr>
                <w:rFonts w:ascii="Arial" w:eastAsia="Times New Roman" w:hAnsi="Arial" w:cs="Arial"/>
                <w:b/>
                <w:bCs/>
                <w:color w:val="000000"/>
                <w:lang w:eastAsia="en-GB"/>
              </w:rPr>
              <w:t> </w:t>
            </w:r>
          </w:p>
        </w:tc>
        <w:tc>
          <w:tcPr>
            <w:tcW w:w="2832" w:type="dxa"/>
            <w:gridSpan w:val="2"/>
            <w:tcBorders>
              <w:top w:val="nil"/>
              <w:left w:val="nil"/>
              <w:bottom w:val="nil"/>
              <w:right w:val="nil"/>
            </w:tcBorders>
            <w:shd w:val="clear" w:color="000000" w:fill="FFFFFF"/>
            <w:vAlign w:val="bottom"/>
            <w:hideMark/>
          </w:tcPr>
          <w:p w14:paraId="023C75EA" w14:textId="77777777" w:rsidR="0021298F" w:rsidRPr="00941CDF" w:rsidRDefault="0021298F" w:rsidP="00760009">
            <w:pPr>
              <w:jc w:val="center"/>
              <w:rPr>
                <w:rFonts w:ascii="Arial" w:eastAsia="Times New Roman" w:hAnsi="Arial" w:cs="Arial"/>
                <w:b/>
                <w:bCs/>
                <w:color w:val="000000"/>
                <w:lang w:eastAsia="en-GB"/>
              </w:rPr>
            </w:pPr>
            <w:r w:rsidRPr="00941CDF">
              <w:rPr>
                <w:rFonts w:ascii="Arial" w:eastAsia="Times New Roman" w:hAnsi="Arial" w:cs="Arial"/>
                <w:b/>
                <w:bCs/>
                <w:color w:val="000000"/>
                <w:lang w:eastAsia="en-GB"/>
              </w:rPr>
              <w:t>Interest bearing</w:t>
            </w:r>
          </w:p>
        </w:tc>
        <w:tc>
          <w:tcPr>
            <w:tcW w:w="1456" w:type="dxa"/>
            <w:tcBorders>
              <w:top w:val="nil"/>
              <w:left w:val="nil"/>
              <w:bottom w:val="nil"/>
              <w:right w:val="nil"/>
            </w:tcBorders>
            <w:shd w:val="clear" w:color="000000" w:fill="FFFFFF"/>
            <w:noWrap/>
            <w:vAlign w:val="bottom"/>
            <w:hideMark/>
          </w:tcPr>
          <w:p w14:paraId="6484499A" w14:textId="77777777" w:rsidR="0021298F" w:rsidRPr="00941CDF" w:rsidRDefault="0021298F" w:rsidP="00760009">
            <w:pPr>
              <w:rPr>
                <w:rFonts w:ascii="Calibri" w:eastAsia="Times New Roman" w:hAnsi="Calibri" w:cs="Calibri"/>
                <w:color w:val="000000"/>
                <w:lang w:eastAsia="en-GB"/>
              </w:rPr>
            </w:pPr>
            <w:r w:rsidRPr="00941CDF">
              <w:rPr>
                <w:rFonts w:ascii="Calibri" w:eastAsia="Times New Roman" w:hAnsi="Calibri" w:cs="Calibri"/>
                <w:color w:val="000000"/>
                <w:lang w:eastAsia="en-GB"/>
              </w:rPr>
              <w:t> </w:t>
            </w:r>
          </w:p>
        </w:tc>
        <w:tc>
          <w:tcPr>
            <w:tcW w:w="1456" w:type="dxa"/>
            <w:tcBorders>
              <w:top w:val="nil"/>
              <w:left w:val="nil"/>
              <w:bottom w:val="nil"/>
              <w:right w:val="nil"/>
            </w:tcBorders>
            <w:shd w:val="clear" w:color="000000" w:fill="FFFFFF"/>
            <w:noWrap/>
            <w:vAlign w:val="bottom"/>
            <w:hideMark/>
          </w:tcPr>
          <w:p w14:paraId="4208909C" w14:textId="77777777" w:rsidR="0021298F" w:rsidRPr="00941CDF" w:rsidRDefault="0021298F" w:rsidP="00760009">
            <w:pPr>
              <w:rPr>
                <w:rFonts w:ascii="Calibri" w:eastAsia="Times New Roman" w:hAnsi="Calibri" w:cs="Calibri"/>
                <w:color w:val="000000"/>
                <w:lang w:eastAsia="en-GB"/>
              </w:rPr>
            </w:pPr>
            <w:r w:rsidRPr="00941CDF">
              <w:rPr>
                <w:rFonts w:ascii="Calibri" w:eastAsia="Times New Roman" w:hAnsi="Calibri" w:cs="Calibri"/>
                <w:color w:val="000000"/>
                <w:lang w:eastAsia="en-GB"/>
              </w:rPr>
              <w:t> </w:t>
            </w:r>
          </w:p>
        </w:tc>
      </w:tr>
      <w:tr w:rsidR="0021298F" w:rsidRPr="00941CDF" w14:paraId="451B35E9" w14:textId="77777777" w:rsidTr="00760009">
        <w:trPr>
          <w:trHeight w:val="900"/>
        </w:trPr>
        <w:tc>
          <w:tcPr>
            <w:tcW w:w="3216" w:type="dxa"/>
            <w:tcBorders>
              <w:top w:val="nil"/>
              <w:left w:val="nil"/>
              <w:bottom w:val="nil"/>
              <w:right w:val="nil"/>
            </w:tcBorders>
            <w:shd w:val="clear" w:color="000000" w:fill="FFFFFF"/>
            <w:vAlign w:val="center"/>
            <w:hideMark/>
          </w:tcPr>
          <w:p w14:paraId="71172A78" w14:textId="77777777" w:rsidR="0021298F" w:rsidRPr="00941CDF" w:rsidRDefault="0021298F" w:rsidP="00760009">
            <w:pPr>
              <w:jc w:val="both"/>
              <w:rPr>
                <w:rFonts w:ascii="Arial" w:eastAsia="Times New Roman" w:hAnsi="Arial" w:cs="Arial"/>
                <w:b/>
                <w:bCs/>
                <w:color w:val="000000"/>
                <w:lang w:eastAsia="en-GB"/>
              </w:rPr>
            </w:pPr>
            <w:r w:rsidRPr="00941CDF">
              <w:rPr>
                <w:rFonts w:ascii="Arial" w:eastAsia="Times New Roman" w:hAnsi="Arial" w:cs="Arial"/>
                <w:b/>
                <w:bCs/>
                <w:color w:val="000000"/>
                <w:lang w:eastAsia="en-GB"/>
              </w:rPr>
              <w:t>Company</w:t>
            </w:r>
          </w:p>
        </w:tc>
        <w:tc>
          <w:tcPr>
            <w:tcW w:w="1399" w:type="dxa"/>
            <w:tcBorders>
              <w:top w:val="nil"/>
              <w:left w:val="nil"/>
              <w:bottom w:val="nil"/>
              <w:right w:val="nil"/>
            </w:tcBorders>
            <w:shd w:val="clear" w:color="000000" w:fill="FFFFFF"/>
            <w:vAlign w:val="bottom"/>
            <w:hideMark/>
          </w:tcPr>
          <w:p w14:paraId="20C52EAA" w14:textId="77777777" w:rsidR="0021298F" w:rsidRPr="00941CDF" w:rsidRDefault="0021298F" w:rsidP="00760009">
            <w:pPr>
              <w:jc w:val="right"/>
              <w:rPr>
                <w:rFonts w:ascii="Arial" w:eastAsia="Times New Roman" w:hAnsi="Arial" w:cs="Arial"/>
                <w:b/>
                <w:bCs/>
                <w:color w:val="000000"/>
                <w:lang w:eastAsia="en-GB"/>
              </w:rPr>
            </w:pPr>
            <w:r w:rsidRPr="00941CDF">
              <w:rPr>
                <w:rFonts w:ascii="Arial" w:eastAsia="Times New Roman" w:hAnsi="Arial" w:cs="Arial"/>
                <w:b/>
                <w:bCs/>
                <w:color w:val="000000"/>
                <w:lang w:eastAsia="en-GB"/>
              </w:rPr>
              <w:t>Fixed rate</w:t>
            </w:r>
          </w:p>
        </w:tc>
        <w:tc>
          <w:tcPr>
            <w:tcW w:w="1433" w:type="dxa"/>
            <w:tcBorders>
              <w:top w:val="nil"/>
              <w:left w:val="nil"/>
              <w:bottom w:val="nil"/>
              <w:right w:val="nil"/>
            </w:tcBorders>
            <w:shd w:val="clear" w:color="000000" w:fill="FFFFFF"/>
            <w:vAlign w:val="bottom"/>
            <w:hideMark/>
          </w:tcPr>
          <w:p w14:paraId="479BE6FB" w14:textId="77777777" w:rsidR="0021298F" w:rsidRPr="00941CDF" w:rsidRDefault="0021298F" w:rsidP="00760009">
            <w:pPr>
              <w:jc w:val="right"/>
              <w:rPr>
                <w:rFonts w:ascii="Arial" w:eastAsia="Times New Roman" w:hAnsi="Arial" w:cs="Arial"/>
                <w:b/>
                <w:bCs/>
                <w:color w:val="000000"/>
                <w:lang w:eastAsia="en-GB"/>
              </w:rPr>
            </w:pPr>
            <w:r w:rsidRPr="00941CDF">
              <w:rPr>
                <w:rFonts w:ascii="Arial" w:eastAsia="Times New Roman" w:hAnsi="Arial" w:cs="Arial"/>
                <w:b/>
                <w:bCs/>
                <w:color w:val="000000"/>
                <w:lang w:eastAsia="en-GB"/>
              </w:rPr>
              <w:t>Floating rate</w:t>
            </w:r>
          </w:p>
        </w:tc>
        <w:tc>
          <w:tcPr>
            <w:tcW w:w="1456" w:type="dxa"/>
            <w:tcBorders>
              <w:top w:val="nil"/>
              <w:left w:val="nil"/>
              <w:bottom w:val="nil"/>
              <w:right w:val="nil"/>
            </w:tcBorders>
            <w:shd w:val="clear" w:color="000000" w:fill="FFFFFF"/>
            <w:vAlign w:val="bottom"/>
            <w:hideMark/>
          </w:tcPr>
          <w:p w14:paraId="42F90001" w14:textId="77777777" w:rsidR="0021298F" w:rsidRPr="00941CDF" w:rsidRDefault="0021298F" w:rsidP="00760009">
            <w:pPr>
              <w:jc w:val="right"/>
              <w:rPr>
                <w:rFonts w:ascii="Arial" w:eastAsia="Times New Roman" w:hAnsi="Arial" w:cs="Arial"/>
                <w:b/>
                <w:bCs/>
                <w:color w:val="000000"/>
                <w:lang w:eastAsia="en-GB"/>
              </w:rPr>
            </w:pPr>
            <w:r w:rsidRPr="00941CDF">
              <w:rPr>
                <w:rFonts w:ascii="Arial" w:eastAsia="Times New Roman" w:hAnsi="Arial" w:cs="Arial"/>
                <w:b/>
                <w:bCs/>
                <w:color w:val="000000"/>
                <w:lang w:eastAsia="en-GB"/>
              </w:rPr>
              <w:t xml:space="preserve"> Non–interest bearing</w:t>
            </w:r>
          </w:p>
        </w:tc>
        <w:tc>
          <w:tcPr>
            <w:tcW w:w="1456" w:type="dxa"/>
            <w:tcBorders>
              <w:top w:val="nil"/>
              <w:left w:val="nil"/>
              <w:bottom w:val="nil"/>
              <w:right w:val="nil"/>
            </w:tcBorders>
            <w:shd w:val="clear" w:color="000000" w:fill="FFFFFF"/>
            <w:vAlign w:val="bottom"/>
            <w:hideMark/>
          </w:tcPr>
          <w:p w14:paraId="6581F184" w14:textId="77777777" w:rsidR="0021298F" w:rsidRPr="00941CDF" w:rsidRDefault="0021298F" w:rsidP="00760009">
            <w:pPr>
              <w:jc w:val="right"/>
              <w:rPr>
                <w:rFonts w:ascii="Arial" w:eastAsia="Times New Roman" w:hAnsi="Arial" w:cs="Arial"/>
                <w:b/>
                <w:bCs/>
                <w:color w:val="000000"/>
                <w:lang w:eastAsia="en-GB"/>
              </w:rPr>
            </w:pPr>
            <w:r w:rsidRPr="00941CDF">
              <w:rPr>
                <w:rFonts w:ascii="Arial" w:eastAsia="Times New Roman" w:hAnsi="Arial" w:cs="Arial"/>
                <w:b/>
                <w:bCs/>
                <w:color w:val="000000"/>
                <w:lang w:eastAsia="en-GB"/>
              </w:rPr>
              <w:t>Total</w:t>
            </w:r>
          </w:p>
        </w:tc>
      </w:tr>
      <w:tr w:rsidR="0021298F" w:rsidRPr="00941CDF" w14:paraId="2FF042A3" w14:textId="77777777" w:rsidTr="00760009">
        <w:trPr>
          <w:trHeight w:val="300"/>
        </w:trPr>
        <w:tc>
          <w:tcPr>
            <w:tcW w:w="3216" w:type="dxa"/>
            <w:tcBorders>
              <w:top w:val="nil"/>
              <w:left w:val="nil"/>
              <w:bottom w:val="single" w:sz="4" w:space="0" w:color="auto"/>
              <w:right w:val="nil"/>
            </w:tcBorders>
            <w:shd w:val="clear" w:color="000000" w:fill="FFFFFF"/>
            <w:vAlign w:val="center"/>
            <w:hideMark/>
          </w:tcPr>
          <w:p w14:paraId="3FF00722" w14:textId="77777777" w:rsidR="0021298F" w:rsidRPr="00941CDF" w:rsidRDefault="0021298F" w:rsidP="00760009">
            <w:pPr>
              <w:jc w:val="both"/>
              <w:rPr>
                <w:rFonts w:ascii="Arial" w:eastAsia="Times New Roman" w:hAnsi="Arial" w:cs="Arial"/>
                <w:color w:val="000000"/>
                <w:lang w:eastAsia="en-GB"/>
              </w:rPr>
            </w:pPr>
            <w:r w:rsidRPr="00941CDF">
              <w:rPr>
                <w:rFonts w:ascii="Arial" w:eastAsia="Times New Roman" w:hAnsi="Arial" w:cs="Arial"/>
                <w:color w:val="000000"/>
                <w:lang w:eastAsia="en-GB"/>
              </w:rPr>
              <w:t> </w:t>
            </w:r>
          </w:p>
        </w:tc>
        <w:tc>
          <w:tcPr>
            <w:tcW w:w="1399" w:type="dxa"/>
            <w:tcBorders>
              <w:top w:val="nil"/>
              <w:left w:val="nil"/>
              <w:bottom w:val="single" w:sz="4" w:space="0" w:color="auto"/>
              <w:right w:val="nil"/>
            </w:tcBorders>
            <w:shd w:val="clear" w:color="000000" w:fill="FFFFFF"/>
            <w:noWrap/>
            <w:vAlign w:val="center"/>
            <w:hideMark/>
          </w:tcPr>
          <w:p w14:paraId="764E74DF" w14:textId="77777777" w:rsidR="0021298F" w:rsidRPr="00941CDF" w:rsidRDefault="0021298F" w:rsidP="00760009">
            <w:pPr>
              <w:jc w:val="right"/>
              <w:rPr>
                <w:rFonts w:ascii="Arial" w:eastAsia="Times New Roman" w:hAnsi="Arial" w:cs="Arial"/>
                <w:b/>
                <w:bCs/>
                <w:color w:val="000000"/>
                <w:lang w:eastAsia="en-GB"/>
              </w:rPr>
            </w:pPr>
            <w:r w:rsidRPr="00941CDF">
              <w:rPr>
                <w:rFonts w:ascii="Arial" w:eastAsia="Times New Roman" w:hAnsi="Arial" w:cs="Arial"/>
                <w:b/>
                <w:bCs/>
                <w:color w:val="000000"/>
                <w:lang w:eastAsia="en-GB"/>
              </w:rPr>
              <w:t>€’000</w:t>
            </w:r>
          </w:p>
        </w:tc>
        <w:tc>
          <w:tcPr>
            <w:tcW w:w="1433" w:type="dxa"/>
            <w:tcBorders>
              <w:top w:val="nil"/>
              <w:left w:val="nil"/>
              <w:bottom w:val="single" w:sz="4" w:space="0" w:color="auto"/>
              <w:right w:val="nil"/>
            </w:tcBorders>
            <w:shd w:val="clear" w:color="000000" w:fill="FFFFFF"/>
            <w:noWrap/>
            <w:vAlign w:val="center"/>
            <w:hideMark/>
          </w:tcPr>
          <w:p w14:paraId="3AE680D4" w14:textId="77777777" w:rsidR="0021298F" w:rsidRPr="00941CDF" w:rsidRDefault="0021298F" w:rsidP="00760009">
            <w:pPr>
              <w:jc w:val="right"/>
              <w:rPr>
                <w:rFonts w:ascii="Arial" w:eastAsia="Times New Roman" w:hAnsi="Arial" w:cs="Arial"/>
                <w:b/>
                <w:bCs/>
                <w:color w:val="000000"/>
                <w:lang w:eastAsia="en-GB"/>
              </w:rPr>
            </w:pPr>
            <w:r w:rsidRPr="00941CDF">
              <w:rPr>
                <w:rFonts w:ascii="Arial" w:eastAsia="Times New Roman" w:hAnsi="Arial" w:cs="Arial"/>
                <w:b/>
                <w:bCs/>
                <w:color w:val="000000"/>
                <w:lang w:eastAsia="en-GB"/>
              </w:rPr>
              <w:t>€’000</w:t>
            </w:r>
          </w:p>
        </w:tc>
        <w:tc>
          <w:tcPr>
            <w:tcW w:w="1456" w:type="dxa"/>
            <w:tcBorders>
              <w:top w:val="nil"/>
              <w:left w:val="nil"/>
              <w:bottom w:val="single" w:sz="4" w:space="0" w:color="auto"/>
              <w:right w:val="nil"/>
            </w:tcBorders>
            <w:shd w:val="clear" w:color="000000" w:fill="FFFFFF"/>
            <w:noWrap/>
            <w:vAlign w:val="center"/>
            <w:hideMark/>
          </w:tcPr>
          <w:p w14:paraId="37E91B8F" w14:textId="77777777" w:rsidR="0021298F" w:rsidRPr="00941CDF" w:rsidRDefault="0021298F" w:rsidP="00760009">
            <w:pPr>
              <w:jc w:val="right"/>
              <w:rPr>
                <w:rFonts w:ascii="Arial" w:eastAsia="Times New Roman" w:hAnsi="Arial" w:cs="Arial"/>
                <w:b/>
                <w:bCs/>
                <w:color w:val="000000"/>
                <w:lang w:eastAsia="en-GB"/>
              </w:rPr>
            </w:pPr>
            <w:r w:rsidRPr="00941CDF">
              <w:rPr>
                <w:rFonts w:ascii="Arial" w:eastAsia="Times New Roman" w:hAnsi="Arial" w:cs="Arial"/>
                <w:b/>
                <w:bCs/>
                <w:color w:val="000000"/>
                <w:lang w:eastAsia="en-GB"/>
              </w:rPr>
              <w:t>€’000</w:t>
            </w:r>
          </w:p>
        </w:tc>
        <w:tc>
          <w:tcPr>
            <w:tcW w:w="1456" w:type="dxa"/>
            <w:tcBorders>
              <w:top w:val="nil"/>
              <w:left w:val="nil"/>
              <w:bottom w:val="single" w:sz="4" w:space="0" w:color="auto"/>
              <w:right w:val="nil"/>
            </w:tcBorders>
            <w:shd w:val="clear" w:color="000000" w:fill="FFFFFF"/>
            <w:noWrap/>
            <w:vAlign w:val="center"/>
            <w:hideMark/>
          </w:tcPr>
          <w:p w14:paraId="04D30EED" w14:textId="77777777" w:rsidR="0021298F" w:rsidRPr="00941CDF" w:rsidRDefault="0021298F" w:rsidP="00760009">
            <w:pPr>
              <w:jc w:val="right"/>
              <w:rPr>
                <w:rFonts w:ascii="Arial" w:eastAsia="Times New Roman" w:hAnsi="Arial" w:cs="Arial"/>
                <w:b/>
                <w:bCs/>
                <w:color w:val="000000"/>
                <w:lang w:eastAsia="en-GB"/>
              </w:rPr>
            </w:pPr>
            <w:r w:rsidRPr="00941CDF">
              <w:rPr>
                <w:rFonts w:ascii="Arial" w:eastAsia="Times New Roman" w:hAnsi="Arial" w:cs="Arial"/>
                <w:b/>
                <w:bCs/>
                <w:color w:val="000000"/>
                <w:lang w:eastAsia="en-GB"/>
              </w:rPr>
              <w:t>€’000</w:t>
            </w:r>
          </w:p>
        </w:tc>
      </w:tr>
      <w:tr w:rsidR="0021298F" w:rsidRPr="00941CDF" w14:paraId="58DE54FF" w14:textId="77777777" w:rsidTr="00760009">
        <w:trPr>
          <w:trHeight w:val="300"/>
        </w:trPr>
        <w:tc>
          <w:tcPr>
            <w:tcW w:w="3216" w:type="dxa"/>
            <w:tcBorders>
              <w:top w:val="nil"/>
              <w:left w:val="nil"/>
              <w:bottom w:val="nil"/>
              <w:right w:val="nil"/>
            </w:tcBorders>
            <w:shd w:val="clear" w:color="000000" w:fill="FFFFFF"/>
            <w:vAlign w:val="center"/>
            <w:hideMark/>
          </w:tcPr>
          <w:p w14:paraId="2F3924F5" w14:textId="77777777" w:rsidR="0021298F" w:rsidRPr="00941CDF" w:rsidRDefault="0021298F" w:rsidP="00760009">
            <w:pPr>
              <w:jc w:val="both"/>
              <w:rPr>
                <w:rFonts w:ascii="Arial" w:eastAsia="Times New Roman" w:hAnsi="Arial" w:cs="Arial"/>
                <w:b/>
                <w:bCs/>
                <w:color w:val="000000"/>
                <w:lang w:eastAsia="en-GB"/>
              </w:rPr>
            </w:pPr>
            <w:r w:rsidRPr="00941CDF">
              <w:rPr>
                <w:rFonts w:ascii="Arial" w:eastAsia="Times New Roman" w:hAnsi="Arial" w:cs="Arial"/>
                <w:b/>
                <w:bCs/>
                <w:color w:val="000000"/>
                <w:lang w:eastAsia="en-GB"/>
              </w:rPr>
              <w:t>Assets</w:t>
            </w:r>
          </w:p>
        </w:tc>
        <w:tc>
          <w:tcPr>
            <w:tcW w:w="1399" w:type="dxa"/>
            <w:tcBorders>
              <w:top w:val="nil"/>
              <w:left w:val="nil"/>
              <w:bottom w:val="nil"/>
              <w:right w:val="nil"/>
            </w:tcBorders>
            <w:shd w:val="clear" w:color="000000" w:fill="EDFFB7"/>
            <w:noWrap/>
            <w:vAlign w:val="center"/>
            <w:hideMark/>
          </w:tcPr>
          <w:p w14:paraId="3E4B9841" w14:textId="77777777" w:rsidR="0021298F" w:rsidRPr="00941CDF" w:rsidRDefault="0021298F" w:rsidP="00760009">
            <w:pPr>
              <w:jc w:val="right"/>
              <w:rPr>
                <w:rFonts w:ascii="Arial" w:eastAsia="Times New Roman" w:hAnsi="Arial" w:cs="Arial"/>
                <w:b/>
                <w:bCs/>
                <w:color w:val="000000"/>
                <w:lang w:eastAsia="en-GB"/>
              </w:rPr>
            </w:pPr>
            <w:r w:rsidRPr="00941CDF">
              <w:rPr>
                <w:rFonts w:ascii="Arial" w:eastAsia="Times New Roman" w:hAnsi="Arial" w:cs="Arial"/>
                <w:b/>
                <w:bCs/>
                <w:color w:val="000000"/>
                <w:lang w:eastAsia="en-GB"/>
              </w:rPr>
              <w:t> </w:t>
            </w:r>
          </w:p>
        </w:tc>
        <w:tc>
          <w:tcPr>
            <w:tcW w:w="1433" w:type="dxa"/>
            <w:tcBorders>
              <w:top w:val="nil"/>
              <w:left w:val="nil"/>
              <w:bottom w:val="nil"/>
              <w:right w:val="nil"/>
            </w:tcBorders>
            <w:shd w:val="clear" w:color="000000" w:fill="EDFFB7"/>
            <w:noWrap/>
            <w:vAlign w:val="center"/>
            <w:hideMark/>
          </w:tcPr>
          <w:p w14:paraId="751CD9DD" w14:textId="77777777" w:rsidR="0021298F" w:rsidRPr="00941CDF" w:rsidRDefault="0021298F" w:rsidP="00760009">
            <w:pPr>
              <w:jc w:val="right"/>
              <w:rPr>
                <w:rFonts w:ascii="Arial" w:eastAsia="Times New Roman" w:hAnsi="Arial" w:cs="Arial"/>
                <w:b/>
                <w:bCs/>
                <w:color w:val="000000"/>
                <w:lang w:eastAsia="en-GB"/>
              </w:rPr>
            </w:pPr>
            <w:r w:rsidRPr="00941CDF">
              <w:rPr>
                <w:rFonts w:ascii="Arial" w:eastAsia="Times New Roman" w:hAnsi="Arial" w:cs="Arial"/>
                <w:b/>
                <w:bCs/>
                <w:color w:val="000000"/>
                <w:lang w:eastAsia="en-GB"/>
              </w:rPr>
              <w:t> </w:t>
            </w:r>
          </w:p>
        </w:tc>
        <w:tc>
          <w:tcPr>
            <w:tcW w:w="1456" w:type="dxa"/>
            <w:tcBorders>
              <w:top w:val="nil"/>
              <w:left w:val="nil"/>
              <w:bottom w:val="nil"/>
              <w:right w:val="nil"/>
            </w:tcBorders>
            <w:shd w:val="clear" w:color="000000" w:fill="EDFFB7"/>
            <w:noWrap/>
            <w:vAlign w:val="center"/>
            <w:hideMark/>
          </w:tcPr>
          <w:p w14:paraId="6EDEF4D5" w14:textId="77777777" w:rsidR="0021298F" w:rsidRPr="00941CDF" w:rsidRDefault="0021298F" w:rsidP="00760009">
            <w:pPr>
              <w:jc w:val="right"/>
              <w:rPr>
                <w:rFonts w:ascii="Arial" w:eastAsia="Times New Roman" w:hAnsi="Arial" w:cs="Arial"/>
                <w:b/>
                <w:bCs/>
                <w:color w:val="000000"/>
                <w:lang w:eastAsia="en-GB"/>
              </w:rPr>
            </w:pPr>
            <w:r w:rsidRPr="00941CDF">
              <w:rPr>
                <w:rFonts w:ascii="Arial" w:eastAsia="Times New Roman" w:hAnsi="Arial" w:cs="Arial"/>
                <w:b/>
                <w:bCs/>
                <w:color w:val="000000"/>
                <w:lang w:eastAsia="en-GB"/>
              </w:rPr>
              <w:t> </w:t>
            </w:r>
          </w:p>
        </w:tc>
        <w:tc>
          <w:tcPr>
            <w:tcW w:w="1456" w:type="dxa"/>
            <w:tcBorders>
              <w:top w:val="nil"/>
              <w:left w:val="nil"/>
              <w:bottom w:val="nil"/>
              <w:right w:val="nil"/>
            </w:tcBorders>
            <w:shd w:val="clear" w:color="000000" w:fill="EDFFB7"/>
            <w:noWrap/>
            <w:vAlign w:val="center"/>
            <w:hideMark/>
          </w:tcPr>
          <w:p w14:paraId="7A6391D3" w14:textId="77777777" w:rsidR="0021298F" w:rsidRPr="00941CDF" w:rsidRDefault="0021298F" w:rsidP="00760009">
            <w:pPr>
              <w:jc w:val="right"/>
              <w:rPr>
                <w:rFonts w:ascii="Arial" w:eastAsia="Times New Roman" w:hAnsi="Arial" w:cs="Arial"/>
                <w:b/>
                <w:bCs/>
                <w:color w:val="000000"/>
                <w:lang w:eastAsia="en-GB"/>
              </w:rPr>
            </w:pPr>
            <w:r w:rsidRPr="00941CDF">
              <w:rPr>
                <w:rFonts w:ascii="Arial" w:eastAsia="Times New Roman" w:hAnsi="Arial" w:cs="Arial"/>
                <w:b/>
                <w:bCs/>
                <w:color w:val="000000"/>
                <w:lang w:eastAsia="en-GB"/>
              </w:rPr>
              <w:t> </w:t>
            </w:r>
          </w:p>
        </w:tc>
      </w:tr>
      <w:tr w:rsidR="0021298F" w:rsidRPr="00941CDF" w14:paraId="543B3662" w14:textId="77777777" w:rsidTr="00760009">
        <w:trPr>
          <w:trHeight w:val="300"/>
        </w:trPr>
        <w:tc>
          <w:tcPr>
            <w:tcW w:w="3216" w:type="dxa"/>
            <w:tcBorders>
              <w:top w:val="nil"/>
              <w:left w:val="nil"/>
              <w:bottom w:val="nil"/>
              <w:right w:val="nil"/>
            </w:tcBorders>
            <w:shd w:val="clear" w:color="000000" w:fill="FFFFFF"/>
            <w:vAlign w:val="center"/>
            <w:hideMark/>
          </w:tcPr>
          <w:p w14:paraId="646F9287" w14:textId="77777777" w:rsidR="0021298F" w:rsidRPr="00941CDF" w:rsidRDefault="0021298F" w:rsidP="00760009">
            <w:pPr>
              <w:jc w:val="both"/>
              <w:rPr>
                <w:rFonts w:ascii="Arial" w:eastAsia="Times New Roman" w:hAnsi="Arial" w:cs="Arial"/>
                <w:color w:val="000000"/>
                <w:lang w:eastAsia="en-GB"/>
              </w:rPr>
            </w:pPr>
            <w:r w:rsidRPr="00941CDF">
              <w:rPr>
                <w:rFonts w:ascii="Arial" w:eastAsia="Times New Roman" w:hAnsi="Arial" w:cs="Arial"/>
                <w:color w:val="000000"/>
                <w:lang w:eastAsia="en-GB"/>
              </w:rPr>
              <w:t>Cash at bank</w:t>
            </w:r>
          </w:p>
        </w:tc>
        <w:tc>
          <w:tcPr>
            <w:tcW w:w="1399" w:type="dxa"/>
            <w:tcBorders>
              <w:top w:val="nil"/>
              <w:left w:val="nil"/>
              <w:bottom w:val="nil"/>
              <w:right w:val="nil"/>
            </w:tcBorders>
            <w:shd w:val="clear" w:color="000000" w:fill="EDFFB7"/>
            <w:noWrap/>
            <w:vAlign w:val="center"/>
            <w:hideMark/>
          </w:tcPr>
          <w:p w14:paraId="2755215B" w14:textId="77777777" w:rsidR="0021298F" w:rsidRPr="00941CDF" w:rsidRDefault="0021298F" w:rsidP="00760009">
            <w:pPr>
              <w:jc w:val="right"/>
              <w:rPr>
                <w:rFonts w:ascii="Arial" w:eastAsia="Times New Roman" w:hAnsi="Arial" w:cs="Arial"/>
                <w:color w:val="000000"/>
                <w:lang w:eastAsia="en-GB"/>
              </w:rPr>
            </w:pPr>
            <w:r w:rsidRPr="00941CDF">
              <w:rPr>
                <w:rFonts w:ascii="Arial" w:eastAsia="Times New Roman" w:hAnsi="Arial" w:cs="Arial"/>
                <w:color w:val="000000"/>
                <w:lang w:eastAsia="en-GB"/>
              </w:rPr>
              <w:t xml:space="preserve"> - </w:t>
            </w:r>
          </w:p>
        </w:tc>
        <w:tc>
          <w:tcPr>
            <w:tcW w:w="1433" w:type="dxa"/>
            <w:tcBorders>
              <w:top w:val="nil"/>
              <w:left w:val="nil"/>
              <w:bottom w:val="nil"/>
              <w:right w:val="nil"/>
            </w:tcBorders>
            <w:shd w:val="clear" w:color="000000" w:fill="EDFFB7"/>
            <w:noWrap/>
            <w:vAlign w:val="center"/>
            <w:hideMark/>
          </w:tcPr>
          <w:p w14:paraId="07ED7182" w14:textId="77777777" w:rsidR="0021298F" w:rsidRPr="00941CDF" w:rsidRDefault="0021298F" w:rsidP="00760009">
            <w:pPr>
              <w:jc w:val="right"/>
              <w:rPr>
                <w:rFonts w:ascii="Arial" w:eastAsia="Times New Roman" w:hAnsi="Arial" w:cs="Arial"/>
                <w:color w:val="000000"/>
                <w:lang w:eastAsia="en-GB"/>
              </w:rPr>
            </w:pPr>
            <w:r w:rsidRPr="00941CDF">
              <w:rPr>
                <w:rFonts w:ascii="Arial" w:eastAsia="Times New Roman" w:hAnsi="Arial" w:cs="Arial"/>
                <w:color w:val="000000"/>
                <w:lang w:eastAsia="en-GB"/>
              </w:rPr>
              <w:t xml:space="preserve">1,445 </w:t>
            </w:r>
          </w:p>
        </w:tc>
        <w:tc>
          <w:tcPr>
            <w:tcW w:w="1456" w:type="dxa"/>
            <w:tcBorders>
              <w:top w:val="nil"/>
              <w:left w:val="nil"/>
              <w:bottom w:val="nil"/>
              <w:right w:val="nil"/>
            </w:tcBorders>
            <w:shd w:val="clear" w:color="000000" w:fill="EDFFB7"/>
            <w:noWrap/>
            <w:vAlign w:val="center"/>
            <w:hideMark/>
          </w:tcPr>
          <w:p w14:paraId="3B284CB6" w14:textId="77777777" w:rsidR="0021298F" w:rsidRPr="00941CDF" w:rsidRDefault="0021298F" w:rsidP="00760009">
            <w:pPr>
              <w:jc w:val="right"/>
              <w:rPr>
                <w:rFonts w:ascii="Arial" w:eastAsia="Times New Roman" w:hAnsi="Arial" w:cs="Arial"/>
                <w:color w:val="000000"/>
                <w:lang w:eastAsia="en-GB"/>
              </w:rPr>
            </w:pPr>
            <w:r w:rsidRPr="00941CDF">
              <w:rPr>
                <w:rFonts w:ascii="Arial" w:eastAsia="Times New Roman" w:hAnsi="Arial" w:cs="Arial"/>
                <w:color w:val="000000"/>
                <w:lang w:eastAsia="en-GB"/>
              </w:rPr>
              <w:t xml:space="preserve">100 </w:t>
            </w:r>
          </w:p>
        </w:tc>
        <w:tc>
          <w:tcPr>
            <w:tcW w:w="1456" w:type="dxa"/>
            <w:tcBorders>
              <w:top w:val="nil"/>
              <w:left w:val="nil"/>
              <w:bottom w:val="nil"/>
              <w:right w:val="nil"/>
            </w:tcBorders>
            <w:shd w:val="clear" w:color="000000" w:fill="EDFFB7"/>
            <w:noWrap/>
            <w:vAlign w:val="center"/>
            <w:hideMark/>
          </w:tcPr>
          <w:p w14:paraId="1413BCB5" w14:textId="77777777" w:rsidR="0021298F" w:rsidRPr="00941CDF" w:rsidRDefault="0021298F" w:rsidP="00760009">
            <w:pPr>
              <w:jc w:val="right"/>
              <w:rPr>
                <w:rFonts w:ascii="Arial" w:eastAsia="Times New Roman" w:hAnsi="Arial" w:cs="Arial"/>
                <w:b/>
                <w:bCs/>
                <w:color w:val="000000"/>
                <w:lang w:eastAsia="en-GB"/>
              </w:rPr>
            </w:pPr>
            <w:r w:rsidRPr="00941CDF">
              <w:rPr>
                <w:rFonts w:ascii="Arial" w:eastAsia="Times New Roman" w:hAnsi="Arial" w:cs="Arial"/>
                <w:b/>
                <w:bCs/>
                <w:color w:val="000000"/>
                <w:lang w:eastAsia="en-GB"/>
              </w:rPr>
              <w:t xml:space="preserve">1,545 </w:t>
            </w:r>
          </w:p>
        </w:tc>
      </w:tr>
      <w:tr w:rsidR="0021298F" w:rsidRPr="00941CDF" w14:paraId="43449524" w14:textId="77777777" w:rsidTr="00760009">
        <w:trPr>
          <w:trHeight w:val="300"/>
        </w:trPr>
        <w:tc>
          <w:tcPr>
            <w:tcW w:w="3216" w:type="dxa"/>
            <w:tcBorders>
              <w:top w:val="nil"/>
              <w:left w:val="nil"/>
              <w:bottom w:val="nil"/>
              <w:right w:val="nil"/>
            </w:tcBorders>
            <w:shd w:val="clear" w:color="000000" w:fill="FFFFFF"/>
            <w:vAlign w:val="center"/>
            <w:hideMark/>
          </w:tcPr>
          <w:p w14:paraId="7EA22424" w14:textId="77777777" w:rsidR="0021298F" w:rsidRPr="00941CDF" w:rsidRDefault="0021298F" w:rsidP="00760009">
            <w:pPr>
              <w:jc w:val="both"/>
              <w:rPr>
                <w:rFonts w:ascii="Arial" w:eastAsia="Times New Roman" w:hAnsi="Arial" w:cs="Arial"/>
                <w:color w:val="000000"/>
                <w:lang w:eastAsia="en-GB"/>
              </w:rPr>
            </w:pPr>
            <w:r w:rsidRPr="00941CDF">
              <w:rPr>
                <w:rFonts w:ascii="Arial" w:eastAsia="Times New Roman" w:hAnsi="Arial" w:cs="Arial"/>
                <w:color w:val="000000"/>
                <w:lang w:eastAsia="en-GB"/>
              </w:rPr>
              <w:t>Other receivables (note 11)</w:t>
            </w:r>
          </w:p>
        </w:tc>
        <w:tc>
          <w:tcPr>
            <w:tcW w:w="1399" w:type="dxa"/>
            <w:tcBorders>
              <w:top w:val="nil"/>
              <w:left w:val="nil"/>
              <w:bottom w:val="nil"/>
              <w:right w:val="nil"/>
            </w:tcBorders>
            <w:shd w:val="clear" w:color="000000" w:fill="EDFFB7"/>
            <w:noWrap/>
            <w:vAlign w:val="center"/>
            <w:hideMark/>
          </w:tcPr>
          <w:p w14:paraId="2D51716A" w14:textId="77777777" w:rsidR="0021298F" w:rsidRPr="00941CDF" w:rsidRDefault="0021298F" w:rsidP="00760009">
            <w:pPr>
              <w:jc w:val="right"/>
              <w:rPr>
                <w:rFonts w:ascii="Arial" w:eastAsia="Times New Roman" w:hAnsi="Arial" w:cs="Arial"/>
                <w:color w:val="000000"/>
                <w:lang w:eastAsia="en-GB"/>
              </w:rPr>
            </w:pPr>
            <w:r w:rsidRPr="00941CDF">
              <w:rPr>
                <w:rFonts w:ascii="Arial" w:eastAsia="Times New Roman" w:hAnsi="Arial" w:cs="Arial"/>
                <w:color w:val="000000"/>
                <w:lang w:eastAsia="en-GB"/>
              </w:rPr>
              <w:t xml:space="preserve"> - </w:t>
            </w:r>
          </w:p>
        </w:tc>
        <w:tc>
          <w:tcPr>
            <w:tcW w:w="1433" w:type="dxa"/>
            <w:tcBorders>
              <w:top w:val="nil"/>
              <w:left w:val="nil"/>
              <w:bottom w:val="nil"/>
              <w:right w:val="nil"/>
            </w:tcBorders>
            <w:shd w:val="clear" w:color="000000" w:fill="EDFFB7"/>
            <w:noWrap/>
            <w:vAlign w:val="center"/>
            <w:hideMark/>
          </w:tcPr>
          <w:p w14:paraId="2878BE8F" w14:textId="77777777" w:rsidR="0021298F" w:rsidRPr="00941CDF" w:rsidRDefault="0021298F" w:rsidP="00760009">
            <w:pPr>
              <w:jc w:val="right"/>
              <w:rPr>
                <w:rFonts w:ascii="Arial" w:eastAsia="Times New Roman" w:hAnsi="Arial" w:cs="Arial"/>
                <w:color w:val="000000"/>
                <w:lang w:eastAsia="en-GB"/>
              </w:rPr>
            </w:pPr>
            <w:r w:rsidRPr="00941CDF">
              <w:rPr>
                <w:rFonts w:ascii="Arial" w:eastAsia="Times New Roman" w:hAnsi="Arial" w:cs="Arial"/>
                <w:color w:val="000000"/>
                <w:lang w:eastAsia="en-GB"/>
              </w:rPr>
              <w:t xml:space="preserve"> - </w:t>
            </w:r>
          </w:p>
        </w:tc>
        <w:tc>
          <w:tcPr>
            <w:tcW w:w="1456" w:type="dxa"/>
            <w:tcBorders>
              <w:top w:val="nil"/>
              <w:left w:val="nil"/>
              <w:bottom w:val="nil"/>
              <w:right w:val="nil"/>
            </w:tcBorders>
            <w:shd w:val="clear" w:color="000000" w:fill="EDFFB7"/>
            <w:noWrap/>
            <w:vAlign w:val="center"/>
            <w:hideMark/>
          </w:tcPr>
          <w:p w14:paraId="3B333FA1" w14:textId="77777777" w:rsidR="0021298F" w:rsidRPr="00941CDF" w:rsidRDefault="0021298F" w:rsidP="00760009">
            <w:pPr>
              <w:jc w:val="right"/>
              <w:rPr>
                <w:rFonts w:ascii="Arial" w:eastAsia="Times New Roman" w:hAnsi="Arial" w:cs="Arial"/>
                <w:color w:val="000000"/>
                <w:lang w:eastAsia="en-GB"/>
              </w:rPr>
            </w:pPr>
            <w:r w:rsidRPr="00941CDF">
              <w:rPr>
                <w:rFonts w:ascii="Arial" w:eastAsia="Times New Roman" w:hAnsi="Arial" w:cs="Arial"/>
                <w:color w:val="000000"/>
                <w:lang w:eastAsia="en-GB"/>
              </w:rPr>
              <w:t xml:space="preserve">3,772 </w:t>
            </w:r>
          </w:p>
        </w:tc>
        <w:tc>
          <w:tcPr>
            <w:tcW w:w="1456" w:type="dxa"/>
            <w:tcBorders>
              <w:top w:val="nil"/>
              <w:left w:val="nil"/>
              <w:bottom w:val="nil"/>
              <w:right w:val="nil"/>
            </w:tcBorders>
            <w:shd w:val="clear" w:color="000000" w:fill="EDFFB7"/>
            <w:noWrap/>
            <w:vAlign w:val="center"/>
            <w:hideMark/>
          </w:tcPr>
          <w:p w14:paraId="381CC880" w14:textId="77777777" w:rsidR="0021298F" w:rsidRPr="00941CDF" w:rsidRDefault="0021298F" w:rsidP="00760009">
            <w:pPr>
              <w:jc w:val="right"/>
              <w:rPr>
                <w:rFonts w:ascii="Arial" w:eastAsia="Times New Roman" w:hAnsi="Arial" w:cs="Arial"/>
                <w:b/>
                <w:bCs/>
                <w:color w:val="000000"/>
                <w:lang w:eastAsia="en-GB"/>
              </w:rPr>
            </w:pPr>
            <w:r w:rsidRPr="00941CDF">
              <w:rPr>
                <w:rFonts w:ascii="Arial" w:eastAsia="Times New Roman" w:hAnsi="Arial" w:cs="Arial"/>
                <w:b/>
                <w:bCs/>
                <w:color w:val="000000"/>
                <w:lang w:eastAsia="en-GB"/>
              </w:rPr>
              <w:t xml:space="preserve">3,772 </w:t>
            </w:r>
          </w:p>
        </w:tc>
      </w:tr>
      <w:tr w:rsidR="0021298F" w:rsidRPr="00941CDF" w14:paraId="779578AC" w14:textId="77777777" w:rsidTr="00760009">
        <w:trPr>
          <w:trHeight w:val="315"/>
        </w:trPr>
        <w:tc>
          <w:tcPr>
            <w:tcW w:w="3216" w:type="dxa"/>
            <w:tcBorders>
              <w:top w:val="nil"/>
              <w:left w:val="nil"/>
              <w:bottom w:val="single" w:sz="4" w:space="0" w:color="auto"/>
              <w:right w:val="nil"/>
            </w:tcBorders>
            <w:shd w:val="clear" w:color="000000" w:fill="FFFFFF"/>
            <w:vAlign w:val="center"/>
            <w:hideMark/>
          </w:tcPr>
          <w:p w14:paraId="391A5A39" w14:textId="77777777" w:rsidR="0021298F" w:rsidRPr="00941CDF" w:rsidRDefault="0021298F" w:rsidP="00760009">
            <w:pPr>
              <w:jc w:val="both"/>
              <w:rPr>
                <w:rFonts w:ascii="Arial" w:eastAsia="Times New Roman" w:hAnsi="Arial" w:cs="Arial"/>
                <w:color w:val="000000"/>
                <w:lang w:eastAsia="en-GB"/>
              </w:rPr>
            </w:pPr>
            <w:r w:rsidRPr="00941CDF">
              <w:rPr>
                <w:rFonts w:ascii="Arial" w:eastAsia="Times New Roman" w:hAnsi="Arial" w:cs="Arial"/>
                <w:color w:val="000000"/>
                <w:lang w:eastAsia="en-GB"/>
              </w:rPr>
              <w:t>Investments (note 9)</w:t>
            </w:r>
          </w:p>
        </w:tc>
        <w:tc>
          <w:tcPr>
            <w:tcW w:w="1399" w:type="dxa"/>
            <w:tcBorders>
              <w:top w:val="nil"/>
              <w:left w:val="nil"/>
              <w:bottom w:val="single" w:sz="4" w:space="0" w:color="auto"/>
              <w:right w:val="nil"/>
            </w:tcBorders>
            <w:shd w:val="clear" w:color="000000" w:fill="EDFFB7"/>
            <w:noWrap/>
            <w:vAlign w:val="center"/>
            <w:hideMark/>
          </w:tcPr>
          <w:p w14:paraId="430415DF" w14:textId="77777777" w:rsidR="0021298F" w:rsidRPr="00941CDF" w:rsidRDefault="0021298F" w:rsidP="00760009">
            <w:pPr>
              <w:jc w:val="right"/>
              <w:rPr>
                <w:rFonts w:ascii="Arial" w:eastAsia="Times New Roman" w:hAnsi="Arial" w:cs="Arial"/>
                <w:color w:val="000000"/>
                <w:lang w:eastAsia="en-GB"/>
              </w:rPr>
            </w:pPr>
            <w:r w:rsidRPr="00941CDF">
              <w:rPr>
                <w:rFonts w:ascii="Arial" w:eastAsia="Times New Roman" w:hAnsi="Arial" w:cs="Arial"/>
                <w:color w:val="000000"/>
                <w:lang w:eastAsia="en-GB"/>
              </w:rPr>
              <w:t xml:space="preserve"> - </w:t>
            </w:r>
          </w:p>
        </w:tc>
        <w:tc>
          <w:tcPr>
            <w:tcW w:w="1433" w:type="dxa"/>
            <w:tcBorders>
              <w:top w:val="nil"/>
              <w:left w:val="nil"/>
              <w:bottom w:val="single" w:sz="4" w:space="0" w:color="auto"/>
              <w:right w:val="nil"/>
            </w:tcBorders>
            <w:shd w:val="clear" w:color="000000" w:fill="EDFFB7"/>
            <w:noWrap/>
            <w:vAlign w:val="center"/>
            <w:hideMark/>
          </w:tcPr>
          <w:p w14:paraId="0EC7EBB3" w14:textId="77777777" w:rsidR="0021298F" w:rsidRPr="00941CDF" w:rsidRDefault="0021298F" w:rsidP="00760009">
            <w:pPr>
              <w:jc w:val="right"/>
              <w:rPr>
                <w:rFonts w:ascii="Arial" w:eastAsia="Times New Roman" w:hAnsi="Arial" w:cs="Arial"/>
                <w:color w:val="000000"/>
                <w:lang w:eastAsia="en-GB"/>
              </w:rPr>
            </w:pPr>
            <w:r w:rsidRPr="00941CDF">
              <w:rPr>
                <w:rFonts w:ascii="Arial" w:eastAsia="Times New Roman" w:hAnsi="Arial" w:cs="Arial"/>
                <w:color w:val="000000"/>
                <w:lang w:eastAsia="en-GB"/>
              </w:rPr>
              <w:t xml:space="preserve"> - </w:t>
            </w:r>
          </w:p>
        </w:tc>
        <w:tc>
          <w:tcPr>
            <w:tcW w:w="1456" w:type="dxa"/>
            <w:tcBorders>
              <w:top w:val="nil"/>
              <w:left w:val="nil"/>
              <w:bottom w:val="single" w:sz="4" w:space="0" w:color="auto"/>
              <w:right w:val="nil"/>
            </w:tcBorders>
            <w:shd w:val="clear" w:color="000000" w:fill="EDFFB7"/>
            <w:noWrap/>
            <w:vAlign w:val="center"/>
            <w:hideMark/>
          </w:tcPr>
          <w:p w14:paraId="26A9E3C8" w14:textId="77777777" w:rsidR="0021298F" w:rsidRPr="00941CDF" w:rsidRDefault="0021298F" w:rsidP="00760009">
            <w:pPr>
              <w:jc w:val="right"/>
              <w:rPr>
                <w:rFonts w:ascii="Arial" w:eastAsia="Times New Roman" w:hAnsi="Arial" w:cs="Arial"/>
                <w:color w:val="000000"/>
                <w:lang w:eastAsia="en-GB"/>
              </w:rPr>
            </w:pPr>
            <w:r w:rsidRPr="00941CDF">
              <w:rPr>
                <w:rFonts w:ascii="Arial" w:eastAsia="Times New Roman" w:hAnsi="Arial" w:cs="Arial"/>
                <w:color w:val="000000"/>
                <w:lang w:eastAsia="en-GB"/>
              </w:rPr>
              <w:t xml:space="preserve">745,907 </w:t>
            </w:r>
          </w:p>
        </w:tc>
        <w:tc>
          <w:tcPr>
            <w:tcW w:w="1456" w:type="dxa"/>
            <w:tcBorders>
              <w:top w:val="nil"/>
              <w:left w:val="nil"/>
              <w:bottom w:val="single" w:sz="4" w:space="0" w:color="auto"/>
              <w:right w:val="nil"/>
            </w:tcBorders>
            <w:shd w:val="clear" w:color="000000" w:fill="EDFFB7"/>
            <w:noWrap/>
            <w:vAlign w:val="center"/>
            <w:hideMark/>
          </w:tcPr>
          <w:p w14:paraId="5E943A82" w14:textId="77777777" w:rsidR="0021298F" w:rsidRPr="00941CDF" w:rsidRDefault="0021298F" w:rsidP="00760009">
            <w:pPr>
              <w:jc w:val="right"/>
              <w:rPr>
                <w:rFonts w:ascii="Arial" w:eastAsia="Times New Roman" w:hAnsi="Arial" w:cs="Arial"/>
                <w:b/>
                <w:bCs/>
                <w:color w:val="000000"/>
                <w:lang w:eastAsia="en-GB"/>
              </w:rPr>
            </w:pPr>
            <w:r w:rsidRPr="00941CDF">
              <w:rPr>
                <w:rFonts w:ascii="Arial" w:eastAsia="Times New Roman" w:hAnsi="Arial" w:cs="Arial"/>
                <w:b/>
                <w:bCs/>
                <w:color w:val="000000"/>
                <w:lang w:eastAsia="en-GB"/>
              </w:rPr>
              <w:t xml:space="preserve">745,907 </w:t>
            </w:r>
          </w:p>
        </w:tc>
      </w:tr>
      <w:tr w:rsidR="0021298F" w:rsidRPr="00941CDF" w14:paraId="57AA2492" w14:textId="77777777" w:rsidTr="00760009">
        <w:trPr>
          <w:trHeight w:val="315"/>
        </w:trPr>
        <w:tc>
          <w:tcPr>
            <w:tcW w:w="3216" w:type="dxa"/>
            <w:tcBorders>
              <w:top w:val="nil"/>
              <w:left w:val="nil"/>
              <w:bottom w:val="single" w:sz="8" w:space="0" w:color="auto"/>
              <w:right w:val="nil"/>
            </w:tcBorders>
            <w:shd w:val="clear" w:color="000000" w:fill="FFFFFF"/>
            <w:vAlign w:val="center"/>
            <w:hideMark/>
          </w:tcPr>
          <w:p w14:paraId="3C434A75" w14:textId="77777777" w:rsidR="0021298F" w:rsidRPr="00941CDF" w:rsidRDefault="0021298F" w:rsidP="00760009">
            <w:pPr>
              <w:jc w:val="both"/>
              <w:rPr>
                <w:rFonts w:ascii="Arial" w:eastAsia="Times New Roman" w:hAnsi="Arial" w:cs="Arial"/>
                <w:color w:val="000000"/>
                <w:lang w:eastAsia="en-GB"/>
              </w:rPr>
            </w:pPr>
            <w:r w:rsidRPr="00941CDF">
              <w:rPr>
                <w:rFonts w:ascii="Arial" w:eastAsia="Times New Roman" w:hAnsi="Arial" w:cs="Arial"/>
                <w:color w:val="000000"/>
                <w:lang w:eastAsia="en-GB"/>
              </w:rPr>
              <w:lastRenderedPageBreak/>
              <w:t> </w:t>
            </w:r>
          </w:p>
        </w:tc>
        <w:tc>
          <w:tcPr>
            <w:tcW w:w="1399" w:type="dxa"/>
            <w:tcBorders>
              <w:top w:val="nil"/>
              <w:left w:val="nil"/>
              <w:bottom w:val="single" w:sz="8" w:space="0" w:color="auto"/>
              <w:right w:val="nil"/>
            </w:tcBorders>
            <w:shd w:val="clear" w:color="000000" w:fill="EDFFB7"/>
            <w:noWrap/>
            <w:vAlign w:val="center"/>
            <w:hideMark/>
          </w:tcPr>
          <w:p w14:paraId="7C8C3A99" w14:textId="77777777" w:rsidR="0021298F" w:rsidRPr="00941CDF" w:rsidRDefault="0021298F" w:rsidP="00760009">
            <w:pPr>
              <w:jc w:val="right"/>
              <w:rPr>
                <w:rFonts w:ascii="Arial" w:eastAsia="Times New Roman" w:hAnsi="Arial" w:cs="Arial"/>
                <w:b/>
                <w:bCs/>
                <w:color w:val="000000"/>
                <w:lang w:eastAsia="en-GB"/>
              </w:rPr>
            </w:pPr>
            <w:r w:rsidRPr="00941CDF">
              <w:rPr>
                <w:rFonts w:ascii="Arial" w:eastAsia="Times New Roman" w:hAnsi="Arial" w:cs="Arial"/>
                <w:b/>
                <w:bCs/>
                <w:color w:val="000000"/>
                <w:lang w:eastAsia="en-GB"/>
              </w:rPr>
              <w:t xml:space="preserve"> - </w:t>
            </w:r>
          </w:p>
        </w:tc>
        <w:tc>
          <w:tcPr>
            <w:tcW w:w="1433" w:type="dxa"/>
            <w:tcBorders>
              <w:top w:val="nil"/>
              <w:left w:val="nil"/>
              <w:bottom w:val="single" w:sz="8" w:space="0" w:color="auto"/>
              <w:right w:val="nil"/>
            </w:tcBorders>
            <w:shd w:val="clear" w:color="000000" w:fill="EDFFB7"/>
            <w:noWrap/>
            <w:vAlign w:val="center"/>
            <w:hideMark/>
          </w:tcPr>
          <w:p w14:paraId="2AB10674" w14:textId="77777777" w:rsidR="0021298F" w:rsidRPr="00941CDF" w:rsidRDefault="0021298F" w:rsidP="00760009">
            <w:pPr>
              <w:jc w:val="right"/>
              <w:rPr>
                <w:rFonts w:ascii="Arial" w:eastAsia="Times New Roman" w:hAnsi="Arial" w:cs="Arial"/>
                <w:b/>
                <w:bCs/>
                <w:color w:val="000000"/>
                <w:lang w:eastAsia="en-GB"/>
              </w:rPr>
            </w:pPr>
            <w:r w:rsidRPr="00941CDF">
              <w:rPr>
                <w:rFonts w:ascii="Arial" w:eastAsia="Times New Roman" w:hAnsi="Arial" w:cs="Arial"/>
                <w:b/>
                <w:bCs/>
                <w:color w:val="000000"/>
                <w:lang w:eastAsia="en-GB"/>
              </w:rPr>
              <w:t xml:space="preserve">1,445 </w:t>
            </w:r>
          </w:p>
        </w:tc>
        <w:tc>
          <w:tcPr>
            <w:tcW w:w="1456" w:type="dxa"/>
            <w:tcBorders>
              <w:top w:val="nil"/>
              <w:left w:val="nil"/>
              <w:bottom w:val="single" w:sz="8" w:space="0" w:color="auto"/>
              <w:right w:val="nil"/>
            </w:tcBorders>
            <w:shd w:val="clear" w:color="000000" w:fill="EDFFB7"/>
            <w:noWrap/>
            <w:vAlign w:val="center"/>
            <w:hideMark/>
          </w:tcPr>
          <w:p w14:paraId="6451682E" w14:textId="77777777" w:rsidR="0021298F" w:rsidRPr="00941CDF" w:rsidRDefault="0021298F" w:rsidP="00760009">
            <w:pPr>
              <w:jc w:val="right"/>
              <w:rPr>
                <w:rFonts w:ascii="Arial" w:eastAsia="Times New Roman" w:hAnsi="Arial" w:cs="Arial"/>
                <w:b/>
                <w:bCs/>
                <w:color w:val="000000"/>
                <w:lang w:eastAsia="en-GB"/>
              </w:rPr>
            </w:pPr>
            <w:r w:rsidRPr="00941CDF">
              <w:rPr>
                <w:rFonts w:ascii="Arial" w:eastAsia="Times New Roman" w:hAnsi="Arial" w:cs="Arial"/>
                <w:b/>
                <w:bCs/>
                <w:color w:val="000000"/>
                <w:lang w:eastAsia="en-GB"/>
              </w:rPr>
              <w:t xml:space="preserve">749,779 </w:t>
            </w:r>
          </w:p>
        </w:tc>
        <w:tc>
          <w:tcPr>
            <w:tcW w:w="1456" w:type="dxa"/>
            <w:tcBorders>
              <w:top w:val="nil"/>
              <w:left w:val="nil"/>
              <w:bottom w:val="single" w:sz="8" w:space="0" w:color="auto"/>
              <w:right w:val="nil"/>
            </w:tcBorders>
            <w:shd w:val="clear" w:color="000000" w:fill="EDFFB7"/>
            <w:noWrap/>
            <w:vAlign w:val="center"/>
            <w:hideMark/>
          </w:tcPr>
          <w:p w14:paraId="221696F6" w14:textId="77777777" w:rsidR="0021298F" w:rsidRPr="00941CDF" w:rsidRDefault="0021298F" w:rsidP="00760009">
            <w:pPr>
              <w:jc w:val="right"/>
              <w:rPr>
                <w:rFonts w:ascii="Arial" w:eastAsia="Times New Roman" w:hAnsi="Arial" w:cs="Arial"/>
                <w:b/>
                <w:bCs/>
                <w:color w:val="000000"/>
                <w:lang w:eastAsia="en-GB"/>
              </w:rPr>
            </w:pPr>
            <w:r w:rsidRPr="00941CDF">
              <w:rPr>
                <w:rFonts w:ascii="Arial" w:eastAsia="Times New Roman" w:hAnsi="Arial" w:cs="Arial"/>
                <w:b/>
                <w:bCs/>
                <w:color w:val="000000"/>
                <w:lang w:eastAsia="en-GB"/>
              </w:rPr>
              <w:t xml:space="preserve">751,224 </w:t>
            </w:r>
          </w:p>
        </w:tc>
      </w:tr>
      <w:tr w:rsidR="0021298F" w:rsidRPr="00941CDF" w14:paraId="07C4876B" w14:textId="77777777" w:rsidTr="00760009">
        <w:trPr>
          <w:trHeight w:val="300"/>
        </w:trPr>
        <w:tc>
          <w:tcPr>
            <w:tcW w:w="3216" w:type="dxa"/>
            <w:tcBorders>
              <w:top w:val="nil"/>
              <w:left w:val="nil"/>
              <w:bottom w:val="nil"/>
              <w:right w:val="nil"/>
            </w:tcBorders>
            <w:shd w:val="clear" w:color="000000" w:fill="FFFFFF"/>
            <w:vAlign w:val="center"/>
            <w:hideMark/>
          </w:tcPr>
          <w:p w14:paraId="3549E0A3" w14:textId="77777777" w:rsidR="0021298F" w:rsidRPr="00941CDF" w:rsidRDefault="0021298F" w:rsidP="00760009">
            <w:pPr>
              <w:jc w:val="both"/>
              <w:rPr>
                <w:rFonts w:ascii="Arial" w:eastAsia="Times New Roman" w:hAnsi="Arial" w:cs="Arial"/>
                <w:b/>
                <w:bCs/>
                <w:color w:val="000000"/>
                <w:lang w:eastAsia="en-GB"/>
              </w:rPr>
            </w:pPr>
            <w:r w:rsidRPr="00941CDF">
              <w:rPr>
                <w:rFonts w:ascii="Arial" w:eastAsia="Times New Roman" w:hAnsi="Arial" w:cs="Arial"/>
                <w:b/>
                <w:bCs/>
                <w:color w:val="000000"/>
                <w:lang w:eastAsia="en-GB"/>
              </w:rPr>
              <w:t>Liabilities</w:t>
            </w:r>
          </w:p>
        </w:tc>
        <w:tc>
          <w:tcPr>
            <w:tcW w:w="1399" w:type="dxa"/>
            <w:tcBorders>
              <w:top w:val="nil"/>
              <w:left w:val="nil"/>
              <w:bottom w:val="nil"/>
              <w:right w:val="nil"/>
            </w:tcBorders>
            <w:shd w:val="clear" w:color="000000" w:fill="EDFFB7"/>
            <w:noWrap/>
            <w:vAlign w:val="center"/>
            <w:hideMark/>
          </w:tcPr>
          <w:p w14:paraId="6E3BA0C2" w14:textId="77777777" w:rsidR="0021298F" w:rsidRPr="00941CDF" w:rsidRDefault="0021298F" w:rsidP="00760009">
            <w:pPr>
              <w:jc w:val="right"/>
              <w:rPr>
                <w:rFonts w:ascii="Arial" w:eastAsia="Times New Roman" w:hAnsi="Arial" w:cs="Arial"/>
                <w:b/>
                <w:bCs/>
                <w:color w:val="000000"/>
                <w:lang w:eastAsia="en-GB"/>
              </w:rPr>
            </w:pPr>
            <w:r w:rsidRPr="00941CDF">
              <w:rPr>
                <w:rFonts w:ascii="Arial" w:eastAsia="Times New Roman" w:hAnsi="Arial" w:cs="Arial"/>
                <w:b/>
                <w:bCs/>
                <w:color w:val="000000"/>
                <w:lang w:eastAsia="en-GB"/>
              </w:rPr>
              <w:t> </w:t>
            </w:r>
          </w:p>
        </w:tc>
        <w:tc>
          <w:tcPr>
            <w:tcW w:w="1433" w:type="dxa"/>
            <w:tcBorders>
              <w:top w:val="nil"/>
              <w:left w:val="nil"/>
              <w:bottom w:val="nil"/>
              <w:right w:val="nil"/>
            </w:tcBorders>
            <w:shd w:val="clear" w:color="000000" w:fill="EDFFB7"/>
            <w:noWrap/>
            <w:vAlign w:val="center"/>
            <w:hideMark/>
          </w:tcPr>
          <w:p w14:paraId="009320A0" w14:textId="77777777" w:rsidR="0021298F" w:rsidRPr="00941CDF" w:rsidRDefault="0021298F" w:rsidP="00760009">
            <w:pPr>
              <w:jc w:val="right"/>
              <w:rPr>
                <w:rFonts w:ascii="Arial" w:eastAsia="Times New Roman" w:hAnsi="Arial" w:cs="Arial"/>
                <w:b/>
                <w:bCs/>
                <w:color w:val="000000"/>
                <w:lang w:eastAsia="en-GB"/>
              </w:rPr>
            </w:pPr>
            <w:r w:rsidRPr="00941CDF">
              <w:rPr>
                <w:rFonts w:ascii="Arial" w:eastAsia="Times New Roman" w:hAnsi="Arial" w:cs="Arial"/>
                <w:b/>
                <w:bCs/>
                <w:color w:val="000000"/>
                <w:lang w:eastAsia="en-GB"/>
              </w:rPr>
              <w:t> </w:t>
            </w:r>
          </w:p>
        </w:tc>
        <w:tc>
          <w:tcPr>
            <w:tcW w:w="1456" w:type="dxa"/>
            <w:tcBorders>
              <w:top w:val="nil"/>
              <w:left w:val="nil"/>
              <w:bottom w:val="nil"/>
              <w:right w:val="nil"/>
            </w:tcBorders>
            <w:shd w:val="clear" w:color="000000" w:fill="EDFFB7"/>
            <w:noWrap/>
            <w:vAlign w:val="center"/>
            <w:hideMark/>
          </w:tcPr>
          <w:p w14:paraId="27574E34" w14:textId="77777777" w:rsidR="0021298F" w:rsidRPr="00941CDF" w:rsidRDefault="0021298F" w:rsidP="00760009">
            <w:pPr>
              <w:jc w:val="right"/>
              <w:rPr>
                <w:rFonts w:ascii="Arial" w:eastAsia="Times New Roman" w:hAnsi="Arial" w:cs="Arial"/>
                <w:b/>
                <w:bCs/>
                <w:color w:val="000000"/>
                <w:lang w:eastAsia="en-GB"/>
              </w:rPr>
            </w:pPr>
            <w:r w:rsidRPr="00941CDF">
              <w:rPr>
                <w:rFonts w:ascii="Arial" w:eastAsia="Times New Roman" w:hAnsi="Arial" w:cs="Arial"/>
                <w:b/>
                <w:bCs/>
                <w:color w:val="000000"/>
                <w:lang w:eastAsia="en-GB"/>
              </w:rPr>
              <w:t> </w:t>
            </w:r>
          </w:p>
        </w:tc>
        <w:tc>
          <w:tcPr>
            <w:tcW w:w="1456" w:type="dxa"/>
            <w:tcBorders>
              <w:top w:val="nil"/>
              <w:left w:val="nil"/>
              <w:bottom w:val="nil"/>
              <w:right w:val="nil"/>
            </w:tcBorders>
            <w:shd w:val="clear" w:color="000000" w:fill="EDFFB7"/>
            <w:noWrap/>
            <w:vAlign w:val="center"/>
            <w:hideMark/>
          </w:tcPr>
          <w:p w14:paraId="5B5FDD95" w14:textId="77777777" w:rsidR="0021298F" w:rsidRPr="00941CDF" w:rsidRDefault="0021298F" w:rsidP="00760009">
            <w:pPr>
              <w:jc w:val="right"/>
              <w:rPr>
                <w:rFonts w:ascii="Arial" w:eastAsia="Times New Roman" w:hAnsi="Arial" w:cs="Arial"/>
                <w:b/>
                <w:bCs/>
                <w:color w:val="000000"/>
                <w:lang w:eastAsia="en-GB"/>
              </w:rPr>
            </w:pPr>
            <w:r w:rsidRPr="00941CDF">
              <w:rPr>
                <w:rFonts w:ascii="Arial" w:eastAsia="Times New Roman" w:hAnsi="Arial" w:cs="Arial"/>
                <w:b/>
                <w:bCs/>
                <w:color w:val="000000"/>
                <w:lang w:eastAsia="en-GB"/>
              </w:rPr>
              <w:t> </w:t>
            </w:r>
          </w:p>
        </w:tc>
      </w:tr>
      <w:tr w:rsidR="0021298F" w:rsidRPr="00941CDF" w14:paraId="2A04E9B1" w14:textId="77777777" w:rsidTr="00760009">
        <w:trPr>
          <w:trHeight w:val="300"/>
        </w:trPr>
        <w:tc>
          <w:tcPr>
            <w:tcW w:w="3216" w:type="dxa"/>
            <w:tcBorders>
              <w:top w:val="nil"/>
              <w:left w:val="nil"/>
              <w:bottom w:val="single" w:sz="4" w:space="0" w:color="auto"/>
              <w:right w:val="nil"/>
            </w:tcBorders>
            <w:shd w:val="clear" w:color="000000" w:fill="FFFFFF"/>
            <w:vAlign w:val="center"/>
            <w:hideMark/>
          </w:tcPr>
          <w:p w14:paraId="198BCD6B" w14:textId="77777777" w:rsidR="0021298F" w:rsidRPr="00941CDF" w:rsidRDefault="0021298F" w:rsidP="00760009">
            <w:pPr>
              <w:jc w:val="both"/>
              <w:rPr>
                <w:rFonts w:ascii="Arial" w:eastAsia="Times New Roman" w:hAnsi="Arial" w:cs="Arial"/>
                <w:color w:val="000000"/>
                <w:lang w:eastAsia="en-GB"/>
              </w:rPr>
            </w:pPr>
            <w:r w:rsidRPr="00941CDF">
              <w:rPr>
                <w:rFonts w:ascii="Arial" w:eastAsia="Times New Roman" w:hAnsi="Arial" w:cs="Arial"/>
                <w:color w:val="000000"/>
                <w:lang w:eastAsia="en-GB"/>
              </w:rPr>
              <w:t>Other payables (note 12)</w:t>
            </w:r>
          </w:p>
        </w:tc>
        <w:tc>
          <w:tcPr>
            <w:tcW w:w="1399" w:type="dxa"/>
            <w:tcBorders>
              <w:top w:val="nil"/>
              <w:left w:val="nil"/>
              <w:bottom w:val="single" w:sz="4" w:space="0" w:color="auto"/>
              <w:right w:val="nil"/>
            </w:tcBorders>
            <w:shd w:val="clear" w:color="000000" w:fill="EDFFB7"/>
            <w:noWrap/>
            <w:vAlign w:val="center"/>
            <w:hideMark/>
          </w:tcPr>
          <w:p w14:paraId="23544888" w14:textId="77777777" w:rsidR="0021298F" w:rsidRPr="00941CDF" w:rsidRDefault="0021298F" w:rsidP="00760009">
            <w:pPr>
              <w:jc w:val="right"/>
              <w:rPr>
                <w:rFonts w:ascii="Arial" w:eastAsia="Times New Roman" w:hAnsi="Arial" w:cs="Arial"/>
                <w:color w:val="000000"/>
                <w:lang w:eastAsia="en-GB"/>
              </w:rPr>
            </w:pPr>
            <w:r w:rsidRPr="00941CDF">
              <w:rPr>
                <w:rFonts w:ascii="Arial" w:eastAsia="Times New Roman" w:hAnsi="Arial" w:cs="Arial"/>
                <w:color w:val="000000"/>
                <w:lang w:eastAsia="en-GB"/>
              </w:rPr>
              <w:t xml:space="preserve"> - </w:t>
            </w:r>
          </w:p>
        </w:tc>
        <w:tc>
          <w:tcPr>
            <w:tcW w:w="1433" w:type="dxa"/>
            <w:tcBorders>
              <w:top w:val="nil"/>
              <w:left w:val="nil"/>
              <w:bottom w:val="single" w:sz="4" w:space="0" w:color="auto"/>
              <w:right w:val="nil"/>
            </w:tcBorders>
            <w:shd w:val="clear" w:color="000000" w:fill="EDFFB7"/>
            <w:noWrap/>
            <w:vAlign w:val="center"/>
            <w:hideMark/>
          </w:tcPr>
          <w:p w14:paraId="736F47E5" w14:textId="77777777" w:rsidR="0021298F" w:rsidRPr="00941CDF" w:rsidRDefault="0021298F" w:rsidP="00760009">
            <w:pPr>
              <w:jc w:val="right"/>
              <w:rPr>
                <w:rFonts w:ascii="Arial" w:eastAsia="Times New Roman" w:hAnsi="Arial" w:cs="Arial"/>
                <w:color w:val="000000"/>
                <w:lang w:eastAsia="en-GB"/>
              </w:rPr>
            </w:pPr>
            <w:r w:rsidRPr="00941CDF">
              <w:rPr>
                <w:rFonts w:ascii="Arial" w:eastAsia="Times New Roman" w:hAnsi="Arial" w:cs="Arial"/>
                <w:color w:val="000000"/>
                <w:lang w:eastAsia="en-GB"/>
              </w:rPr>
              <w:t xml:space="preserve"> - </w:t>
            </w:r>
          </w:p>
        </w:tc>
        <w:tc>
          <w:tcPr>
            <w:tcW w:w="1456" w:type="dxa"/>
            <w:tcBorders>
              <w:top w:val="nil"/>
              <w:left w:val="nil"/>
              <w:bottom w:val="single" w:sz="4" w:space="0" w:color="auto"/>
              <w:right w:val="nil"/>
            </w:tcBorders>
            <w:shd w:val="clear" w:color="000000" w:fill="EDFFB7"/>
            <w:noWrap/>
            <w:vAlign w:val="center"/>
            <w:hideMark/>
          </w:tcPr>
          <w:p w14:paraId="0F2608C4" w14:textId="77777777" w:rsidR="0021298F" w:rsidRPr="00941CDF" w:rsidRDefault="0021298F" w:rsidP="00760009">
            <w:pPr>
              <w:jc w:val="right"/>
              <w:rPr>
                <w:rFonts w:ascii="Arial" w:eastAsia="Times New Roman" w:hAnsi="Arial" w:cs="Arial"/>
                <w:color w:val="000000"/>
                <w:lang w:eastAsia="en-GB"/>
              </w:rPr>
            </w:pPr>
            <w:r w:rsidRPr="00941CDF">
              <w:rPr>
                <w:rFonts w:ascii="Arial" w:eastAsia="Times New Roman" w:hAnsi="Arial" w:cs="Arial"/>
                <w:color w:val="000000"/>
                <w:lang w:eastAsia="en-GB"/>
              </w:rPr>
              <w:t xml:space="preserve"> (2,411)</w:t>
            </w:r>
          </w:p>
        </w:tc>
        <w:tc>
          <w:tcPr>
            <w:tcW w:w="1456" w:type="dxa"/>
            <w:tcBorders>
              <w:top w:val="nil"/>
              <w:left w:val="nil"/>
              <w:bottom w:val="single" w:sz="4" w:space="0" w:color="auto"/>
              <w:right w:val="nil"/>
            </w:tcBorders>
            <w:shd w:val="clear" w:color="000000" w:fill="EDFFB7"/>
            <w:noWrap/>
            <w:vAlign w:val="center"/>
            <w:hideMark/>
          </w:tcPr>
          <w:p w14:paraId="412B0252" w14:textId="77777777" w:rsidR="0021298F" w:rsidRPr="00941CDF" w:rsidRDefault="0021298F" w:rsidP="00760009">
            <w:pPr>
              <w:jc w:val="right"/>
              <w:rPr>
                <w:rFonts w:ascii="Arial" w:eastAsia="Times New Roman" w:hAnsi="Arial" w:cs="Arial"/>
                <w:b/>
                <w:bCs/>
                <w:color w:val="000000"/>
                <w:lang w:eastAsia="en-GB"/>
              </w:rPr>
            </w:pPr>
            <w:r w:rsidRPr="00941CDF">
              <w:rPr>
                <w:rFonts w:ascii="Arial" w:eastAsia="Times New Roman" w:hAnsi="Arial" w:cs="Arial"/>
                <w:b/>
                <w:bCs/>
                <w:color w:val="000000"/>
                <w:lang w:eastAsia="en-GB"/>
              </w:rPr>
              <w:t xml:space="preserve"> (2,411)</w:t>
            </w:r>
          </w:p>
        </w:tc>
      </w:tr>
      <w:tr w:rsidR="0021298F" w:rsidRPr="00941CDF" w14:paraId="131155D7" w14:textId="77777777" w:rsidTr="00760009">
        <w:trPr>
          <w:trHeight w:val="315"/>
        </w:trPr>
        <w:tc>
          <w:tcPr>
            <w:tcW w:w="3216" w:type="dxa"/>
            <w:tcBorders>
              <w:top w:val="nil"/>
              <w:left w:val="nil"/>
              <w:bottom w:val="single" w:sz="8" w:space="0" w:color="auto"/>
              <w:right w:val="nil"/>
            </w:tcBorders>
            <w:shd w:val="clear" w:color="000000" w:fill="FFFFFF"/>
            <w:vAlign w:val="center"/>
            <w:hideMark/>
          </w:tcPr>
          <w:p w14:paraId="19860657" w14:textId="77777777" w:rsidR="0021298F" w:rsidRPr="00941CDF" w:rsidRDefault="0021298F" w:rsidP="00760009">
            <w:pPr>
              <w:jc w:val="both"/>
              <w:rPr>
                <w:rFonts w:ascii="Arial" w:eastAsia="Times New Roman" w:hAnsi="Arial" w:cs="Arial"/>
                <w:b/>
                <w:bCs/>
                <w:color w:val="000000"/>
                <w:lang w:eastAsia="en-GB"/>
              </w:rPr>
            </w:pPr>
            <w:r w:rsidRPr="00941CDF">
              <w:rPr>
                <w:rFonts w:ascii="Arial" w:eastAsia="Times New Roman" w:hAnsi="Arial" w:cs="Arial"/>
                <w:b/>
                <w:bCs/>
                <w:color w:val="000000"/>
                <w:lang w:eastAsia="en-GB"/>
              </w:rPr>
              <w:t> </w:t>
            </w:r>
          </w:p>
        </w:tc>
        <w:tc>
          <w:tcPr>
            <w:tcW w:w="1399" w:type="dxa"/>
            <w:tcBorders>
              <w:top w:val="nil"/>
              <w:left w:val="nil"/>
              <w:bottom w:val="single" w:sz="8" w:space="0" w:color="auto"/>
              <w:right w:val="nil"/>
            </w:tcBorders>
            <w:shd w:val="clear" w:color="000000" w:fill="EDFFB7"/>
            <w:noWrap/>
            <w:vAlign w:val="center"/>
            <w:hideMark/>
          </w:tcPr>
          <w:p w14:paraId="45AE05AE" w14:textId="77777777" w:rsidR="0021298F" w:rsidRPr="00941CDF" w:rsidRDefault="0021298F" w:rsidP="00760009">
            <w:pPr>
              <w:jc w:val="right"/>
              <w:rPr>
                <w:rFonts w:ascii="Arial" w:eastAsia="Times New Roman" w:hAnsi="Arial" w:cs="Arial"/>
                <w:b/>
                <w:bCs/>
                <w:color w:val="000000"/>
                <w:lang w:eastAsia="en-GB"/>
              </w:rPr>
            </w:pPr>
            <w:r w:rsidRPr="00941CDF">
              <w:rPr>
                <w:rFonts w:ascii="Arial" w:eastAsia="Times New Roman" w:hAnsi="Arial" w:cs="Arial"/>
                <w:b/>
                <w:bCs/>
                <w:color w:val="000000"/>
                <w:lang w:eastAsia="en-GB"/>
              </w:rPr>
              <w:t xml:space="preserve"> - </w:t>
            </w:r>
          </w:p>
        </w:tc>
        <w:tc>
          <w:tcPr>
            <w:tcW w:w="1433" w:type="dxa"/>
            <w:tcBorders>
              <w:top w:val="nil"/>
              <w:left w:val="nil"/>
              <w:bottom w:val="single" w:sz="8" w:space="0" w:color="auto"/>
              <w:right w:val="nil"/>
            </w:tcBorders>
            <w:shd w:val="clear" w:color="000000" w:fill="EDFFB7"/>
            <w:noWrap/>
            <w:vAlign w:val="center"/>
            <w:hideMark/>
          </w:tcPr>
          <w:p w14:paraId="401CC864" w14:textId="77777777" w:rsidR="0021298F" w:rsidRPr="00941CDF" w:rsidRDefault="0021298F" w:rsidP="00760009">
            <w:pPr>
              <w:jc w:val="right"/>
              <w:rPr>
                <w:rFonts w:ascii="Arial" w:eastAsia="Times New Roman" w:hAnsi="Arial" w:cs="Arial"/>
                <w:b/>
                <w:bCs/>
                <w:color w:val="000000"/>
                <w:lang w:eastAsia="en-GB"/>
              </w:rPr>
            </w:pPr>
            <w:r w:rsidRPr="00941CDF">
              <w:rPr>
                <w:rFonts w:ascii="Arial" w:eastAsia="Times New Roman" w:hAnsi="Arial" w:cs="Arial"/>
                <w:b/>
                <w:bCs/>
                <w:color w:val="000000"/>
                <w:lang w:eastAsia="en-GB"/>
              </w:rPr>
              <w:t xml:space="preserve"> - </w:t>
            </w:r>
          </w:p>
        </w:tc>
        <w:tc>
          <w:tcPr>
            <w:tcW w:w="1456" w:type="dxa"/>
            <w:tcBorders>
              <w:top w:val="nil"/>
              <w:left w:val="nil"/>
              <w:bottom w:val="single" w:sz="8" w:space="0" w:color="auto"/>
              <w:right w:val="nil"/>
            </w:tcBorders>
            <w:shd w:val="clear" w:color="000000" w:fill="EDFFB7"/>
            <w:noWrap/>
            <w:vAlign w:val="center"/>
            <w:hideMark/>
          </w:tcPr>
          <w:p w14:paraId="2B40788D" w14:textId="77777777" w:rsidR="0021298F" w:rsidRPr="00941CDF" w:rsidRDefault="0021298F" w:rsidP="00760009">
            <w:pPr>
              <w:jc w:val="right"/>
              <w:rPr>
                <w:rFonts w:ascii="Arial" w:eastAsia="Times New Roman" w:hAnsi="Arial" w:cs="Arial"/>
                <w:b/>
                <w:bCs/>
                <w:color w:val="000000"/>
                <w:lang w:eastAsia="en-GB"/>
              </w:rPr>
            </w:pPr>
            <w:r w:rsidRPr="00941CDF">
              <w:rPr>
                <w:rFonts w:ascii="Arial" w:eastAsia="Times New Roman" w:hAnsi="Arial" w:cs="Arial"/>
                <w:b/>
                <w:bCs/>
                <w:color w:val="000000"/>
                <w:lang w:eastAsia="en-GB"/>
              </w:rPr>
              <w:t xml:space="preserve"> (2,411)</w:t>
            </w:r>
          </w:p>
        </w:tc>
        <w:tc>
          <w:tcPr>
            <w:tcW w:w="1456" w:type="dxa"/>
            <w:tcBorders>
              <w:top w:val="nil"/>
              <w:left w:val="nil"/>
              <w:bottom w:val="single" w:sz="8" w:space="0" w:color="auto"/>
              <w:right w:val="nil"/>
            </w:tcBorders>
            <w:shd w:val="clear" w:color="000000" w:fill="EDFFB7"/>
            <w:noWrap/>
            <w:vAlign w:val="center"/>
            <w:hideMark/>
          </w:tcPr>
          <w:p w14:paraId="635D72FE" w14:textId="77777777" w:rsidR="0021298F" w:rsidRPr="00941CDF" w:rsidRDefault="0021298F" w:rsidP="00760009">
            <w:pPr>
              <w:jc w:val="right"/>
              <w:rPr>
                <w:rFonts w:ascii="Arial" w:eastAsia="Times New Roman" w:hAnsi="Arial" w:cs="Arial"/>
                <w:b/>
                <w:bCs/>
                <w:color w:val="000000"/>
                <w:lang w:eastAsia="en-GB"/>
              </w:rPr>
            </w:pPr>
            <w:r w:rsidRPr="00941CDF">
              <w:rPr>
                <w:rFonts w:ascii="Arial" w:eastAsia="Times New Roman" w:hAnsi="Arial" w:cs="Arial"/>
                <w:b/>
                <w:bCs/>
                <w:color w:val="000000"/>
                <w:lang w:eastAsia="en-GB"/>
              </w:rPr>
              <w:t xml:space="preserve"> (2,411)</w:t>
            </w:r>
          </w:p>
        </w:tc>
      </w:tr>
    </w:tbl>
    <w:p w14:paraId="1B16CB3C" w14:textId="77777777" w:rsidR="0021298F" w:rsidRDefault="0021298F" w:rsidP="0021298F">
      <w:pPr>
        <w:jc w:val="both"/>
        <w:rPr>
          <w:rFonts w:ascii="Arial" w:eastAsia="Times New Roman" w:hAnsi="Arial" w:cs="Arial"/>
        </w:rPr>
      </w:pPr>
    </w:p>
    <w:p w14:paraId="547F8421" w14:textId="77777777" w:rsidR="0021298F" w:rsidRDefault="0021298F" w:rsidP="0021298F">
      <w:pPr>
        <w:jc w:val="both"/>
        <w:rPr>
          <w:rFonts w:ascii="Arial" w:eastAsia="Times New Roman" w:hAnsi="Arial" w:cs="Arial"/>
        </w:rPr>
      </w:pPr>
      <w:r w:rsidRPr="00C171AF">
        <w:rPr>
          <w:rFonts w:ascii="Arial" w:eastAsia="Times New Roman" w:hAnsi="Arial" w:cs="Arial"/>
        </w:rPr>
        <w:t xml:space="preserve">The Company’s interest and non-interest bearing assets and liabilities as at </w:t>
      </w:r>
      <w:r>
        <w:rPr>
          <w:rFonts w:ascii="Arial" w:eastAsia="Times New Roman" w:hAnsi="Arial" w:cs="Arial"/>
        </w:rPr>
        <w:t>31 December 2019</w:t>
      </w:r>
      <w:r w:rsidRPr="00C171AF">
        <w:rPr>
          <w:rFonts w:ascii="Arial" w:eastAsia="Times New Roman" w:hAnsi="Arial" w:cs="Arial"/>
        </w:rPr>
        <w:t xml:space="preserve"> are summarised below:</w:t>
      </w:r>
    </w:p>
    <w:tbl>
      <w:tblPr>
        <w:tblW w:w="8960" w:type="dxa"/>
        <w:tblLook w:val="04A0" w:firstRow="1" w:lastRow="0" w:firstColumn="1" w:lastColumn="0" w:noHBand="0" w:noVBand="1"/>
      </w:tblPr>
      <w:tblGrid>
        <w:gridCol w:w="3216"/>
        <w:gridCol w:w="1399"/>
        <w:gridCol w:w="1433"/>
        <w:gridCol w:w="1456"/>
        <w:gridCol w:w="1456"/>
      </w:tblGrid>
      <w:tr w:rsidR="0021298F" w:rsidRPr="00941CDF" w14:paraId="35399004" w14:textId="77777777" w:rsidTr="00760009">
        <w:trPr>
          <w:trHeight w:val="391"/>
        </w:trPr>
        <w:tc>
          <w:tcPr>
            <w:tcW w:w="3216" w:type="dxa"/>
            <w:tcBorders>
              <w:top w:val="nil"/>
              <w:left w:val="nil"/>
              <w:bottom w:val="nil"/>
              <w:right w:val="nil"/>
            </w:tcBorders>
            <w:shd w:val="clear" w:color="000000" w:fill="FFFFFF"/>
            <w:vAlign w:val="center"/>
          </w:tcPr>
          <w:p w14:paraId="3AFCBCD5" w14:textId="77777777" w:rsidR="0021298F" w:rsidRPr="00941CDF" w:rsidRDefault="0021298F" w:rsidP="00760009">
            <w:pPr>
              <w:jc w:val="both"/>
              <w:rPr>
                <w:rFonts w:ascii="Arial" w:eastAsia="Times New Roman" w:hAnsi="Arial" w:cs="Arial"/>
                <w:b/>
                <w:bCs/>
                <w:color w:val="000000"/>
                <w:lang w:eastAsia="en-GB"/>
              </w:rPr>
            </w:pPr>
          </w:p>
        </w:tc>
        <w:tc>
          <w:tcPr>
            <w:tcW w:w="2832" w:type="dxa"/>
            <w:gridSpan w:val="2"/>
            <w:tcBorders>
              <w:top w:val="nil"/>
              <w:left w:val="nil"/>
              <w:bottom w:val="nil"/>
              <w:right w:val="nil"/>
            </w:tcBorders>
            <w:shd w:val="clear" w:color="000000" w:fill="FFFFFF"/>
            <w:vAlign w:val="bottom"/>
          </w:tcPr>
          <w:p w14:paraId="0CE4FEDD" w14:textId="77777777" w:rsidR="0021298F" w:rsidRPr="00941CDF" w:rsidRDefault="0021298F" w:rsidP="00760009">
            <w:pPr>
              <w:jc w:val="center"/>
              <w:rPr>
                <w:rFonts w:ascii="Arial" w:eastAsia="Times New Roman" w:hAnsi="Arial" w:cs="Arial"/>
                <w:b/>
                <w:bCs/>
                <w:color w:val="000000"/>
                <w:lang w:eastAsia="en-GB"/>
              </w:rPr>
            </w:pPr>
            <w:r>
              <w:rPr>
                <w:rFonts w:ascii="Arial" w:eastAsia="Times New Roman" w:hAnsi="Arial" w:cs="Arial"/>
                <w:b/>
                <w:bCs/>
                <w:color w:val="000000"/>
                <w:lang w:eastAsia="en-GB"/>
              </w:rPr>
              <w:t>Interest bearing</w:t>
            </w:r>
          </w:p>
        </w:tc>
        <w:tc>
          <w:tcPr>
            <w:tcW w:w="1456" w:type="dxa"/>
            <w:tcBorders>
              <w:top w:val="nil"/>
              <w:left w:val="nil"/>
              <w:bottom w:val="nil"/>
              <w:right w:val="nil"/>
            </w:tcBorders>
            <w:shd w:val="clear" w:color="000000" w:fill="FFFFFF"/>
            <w:vAlign w:val="bottom"/>
          </w:tcPr>
          <w:p w14:paraId="481222B3" w14:textId="77777777" w:rsidR="0021298F" w:rsidRPr="00941CDF" w:rsidRDefault="0021298F" w:rsidP="00760009">
            <w:pPr>
              <w:jc w:val="right"/>
              <w:rPr>
                <w:rFonts w:ascii="Arial" w:eastAsia="Times New Roman" w:hAnsi="Arial" w:cs="Arial"/>
                <w:b/>
                <w:bCs/>
                <w:color w:val="000000"/>
                <w:lang w:eastAsia="en-GB"/>
              </w:rPr>
            </w:pPr>
          </w:p>
        </w:tc>
        <w:tc>
          <w:tcPr>
            <w:tcW w:w="1456" w:type="dxa"/>
            <w:tcBorders>
              <w:top w:val="nil"/>
              <w:left w:val="nil"/>
              <w:bottom w:val="nil"/>
              <w:right w:val="nil"/>
            </w:tcBorders>
            <w:shd w:val="clear" w:color="000000" w:fill="FFFFFF"/>
            <w:vAlign w:val="bottom"/>
          </w:tcPr>
          <w:p w14:paraId="7ACA12A0" w14:textId="77777777" w:rsidR="0021298F" w:rsidRPr="00941CDF" w:rsidRDefault="0021298F" w:rsidP="00760009">
            <w:pPr>
              <w:jc w:val="right"/>
              <w:rPr>
                <w:rFonts w:ascii="Arial" w:eastAsia="Times New Roman" w:hAnsi="Arial" w:cs="Arial"/>
                <w:b/>
                <w:bCs/>
                <w:color w:val="000000"/>
                <w:lang w:eastAsia="en-GB"/>
              </w:rPr>
            </w:pPr>
          </w:p>
        </w:tc>
      </w:tr>
      <w:tr w:rsidR="0021298F" w:rsidRPr="00941CDF" w14:paraId="193D2FDC" w14:textId="77777777" w:rsidTr="00760009">
        <w:trPr>
          <w:trHeight w:val="900"/>
        </w:trPr>
        <w:tc>
          <w:tcPr>
            <w:tcW w:w="3216" w:type="dxa"/>
            <w:tcBorders>
              <w:top w:val="nil"/>
              <w:left w:val="nil"/>
              <w:bottom w:val="nil"/>
              <w:right w:val="nil"/>
            </w:tcBorders>
            <w:shd w:val="clear" w:color="000000" w:fill="FFFFFF"/>
            <w:vAlign w:val="center"/>
            <w:hideMark/>
          </w:tcPr>
          <w:p w14:paraId="7C56C816" w14:textId="77777777" w:rsidR="0021298F" w:rsidRPr="00941CDF" w:rsidRDefault="0021298F" w:rsidP="00760009">
            <w:pPr>
              <w:jc w:val="both"/>
              <w:rPr>
                <w:rFonts w:ascii="Arial" w:eastAsia="Times New Roman" w:hAnsi="Arial" w:cs="Arial"/>
                <w:b/>
                <w:bCs/>
                <w:color w:val="000000"/>
                <w:lang w:eastAsia="en-GB"/>
              </w:rPr>
            </w:pPr>
            <w:r w:rsidRPr="00941CDF">
              <w:rPr>
                <w:rFonts w:ascii="Arial" w:eastAsia="Times New Roman" w:hAnsi="Arial" w:cs="Arial"/>
                <w:b/>
                <w:bCs/>
                <w:color w:val="000000"/>
                <w:lang w:eastAsia="en-GB"/>
              </w:rPr>
              <w:t>Company</w:t>
            </w:r>
          </w:p>
        </w:tc>
        <w:tc>
          <w:tcPr>
            <w:tcW w:w="1399" w:type="dxa"/>
            <w:tcBorders>
              <w:top w:val="nil"/>
              <w:left w:val="nil"/>
              <w:bottom w:val="nil"/>
              <w:right w:val="nil"/>
            </w:tcBorders>
            <w:shd w:val="clear" w:color="000000" w:fill="FFFFFF"/>
            <w:vAlign w:val="bottom"/>
            <w:hideMark/>
          </w:tcPr>
          <w:p w14:paraId="2846DDA5" w14:textId="77777777" w:rsidR="0021298F" w:rsidRPr="00941CDF" w:rsidRDefault="0021298F" w:rsidP="00760009">
            <w:pPr>
              <w:jc w:val="right"/>
              <w:rPr>
                <w:rFonts w:ascii="Arial" w:eastAsia="Times New Roman" w:hAnsi="Arial" w:cs="Arial"/>
                <w:b/>
                <w:bCs/>
                <w:color w:val="000000"/>
                <w:lang w:eastAsia="en-GB"/>
              </w:rPr>
            </w:pPr>
            <w:r w:rsidRPr="00941CDF">
              <w:rPr>
                <w:rFonts w:ascii="Arial" w:eastAsia="Times New Roman" w:hAnsi="Arial" w:cs="Arial"/>
                <w:b/>
                <w:bCs/>
                <w:color w:val="000000"/>
                <w:lang w:eastAsia="en-GB"/>
              </w:rPr>
              <w:t>Fixed rate</w:t>
            </w:r>
          </w:p>
        </w:tc>
        <w:tc>
          <w:tcPr>
            <w:tcW w:w="1433" w:type="dxa"/>
            <w:tcBorders>
              <w:top w:val="nil"/>
              <w:left w:val="nil"/>
              <w:bottom w:val="nil"/>
              <w:right w:val="nil"/>
            </w:tcBorders>
            <w:shd w:val="clear" w:color="000000" w:fill="FFFFFF"/>
            <w:vAlign w:val="bottom"/>
            <w:hideMark/>
          </w:tcPr>
          <w:p w14:paraId="41B1BAEA" w14:textId="77777777" w:rsidR="0021298F" w:rsidRPr="00941CDF" w:rsidRDefault="0021298F" w:rsidP="00760009">
            <w:pPr>
              <w:jc w:val="right"/>
              <w:rPr>
                <w:rFonts w:ascii="Arial" w:eastAsia="Times New Roman" w:hAnsi="Arial" w:cs="Arial"/>
                <w:b/>
                <w:bCs/>
                <w:color w:val="000000"/>
                <w:lang w:eastAsia="en-GB"/>
              </w:rPr>
            </w:pPr>
            <w:r w:rsidRPr="00941CDF">
              <w:rPr>
                <w:rFonts w:ascii="Arial" w:eastAsia="Times New Roman" w:hAnsi="Arial" w:cs="Arial"/>
                <w:b/>
                <w:bCs/>
                <w:color w:val="000000"/>
                <w:lang w:eastAsia="en-GB"/>
              </w:rPr>
              <w:t>Floating rate</w:t>
            </w:r>
          </w:p>
        </w:tc>
        <w:tc>
          <w:tcPr>
            <w:tcW w:w="1456" w:type="dxa"/>
            <w:tcBorders>
              <w:top w:val="nil"/>
              <w:left w:val="nil"/>
              <w:bottom w:val="nil"/>
              <w:right w:val="nil"/>
            </w:tcBorders>
            <w:shd w:val="clear" w:color="000000" w:fill="FFFFFF"/>
            <w:vAlign w:val="bottom"/>
            <w:hideMark/>
          </w:tcPr>
          <w:p w14:paraId="5A5C70C8" w14:textId="77777777" w:rsidR="0021298F" w:rsidRPr="00941CDF" w:rsidRDefault="0021298F" w:rsidP="00760009">
            <w:pPr>
              <w:jc w:val="right"/>
              <w:rPr>
                <w:rFonts w:ascii="Arial" w:eastAsia="Times New Roman" w:hAnsi="Arial" w:cs="Arial"/>
                <w:b/>
                <w:bCs/>
                <w:color w:val="000000"/>
                <w:lang w:eastAsia="en-GB"/>
              </w:rPr>
            </w:pPr>
            <w:r w:rsidRPr="00941CDF">
              <w:rPr>
                <w:rFonts w:ascii="Arial" w:eastAsia="Times New Roman" w:hAnsi="Arial" w:cs="Arial"/>
                <w:b/>
                <w:bCs/>
                <w:color w:val="000000"/>
                <w:lang w:eastAsia="en-GB"/>
              </w:rPr>
              <w:t xml:space="preserve"> Non–interest bearing</w:t>
            </w:r>
          </w:p>
        </w:tc>
        <w:tc>
          <w:tcPr>
            <w:tcW w:w="1456" w:type="dxa"/>
            <w:tcBorders>
              <w:top w:val="nil"/>
              <w:left w:val="nil"/>
              <w:bottom w:val="nil"/>
              <w:right w:val="nil"/>
            </w:tcBorders>
            <w:shd w:val="clear" w:color="000000" w:fill="FFFFFF"/>
            <w:vAlign w:val="bottom"/>
            <w:hideMark/>
          </w:tcPr>
          <w:p w14:paraId="275F9754" w14:textId="77777777" w:rsidR="0021298F" w:rsidRPr="00941CDF" w:rsidRDefault="0021298F" w:rsidP="00760009">
            <w:pPr>
              <w:jc w:val="right"/>
              <w:rPr>
                <w:rFonts w:ascii="Arial" w:eastAsia="Times New Roman" w:hAnsi="Arial" w:cs="Arial"/>
                <w:b/>
                <w:bCs/>
                <w:color w:val="000000"/>
                <w:lang w:eastAsia="en-GB"/>
              </w:rPr>
            </w:pPr>
            <w:r w:rsidRPr="00941CDF">
              <w:rPr>
                <w:rFonts w:ascii="Arial" w:eastAsia="Times New Roman" w:hAnsi="Arial" w:cs="Arial"/>
                <w:b/>
                <w:bCs/>
                <w:color w:val="000000"/>
                <w:lang w:eastAsia="en-GB"/>
              </w:rPr>
              <w:t>Total</w:t>
            </w:r>
          </w:p>
        </w:tc>
      </w:tr>
      <w:tr w:rsidR="0021298F" w:rsidRPr="00941CDF" w14:paraId="2790DB73" w14:textId="77777777" w:rsidTr="00760009">
        <w:trPr>
          <w:trHeight w:val="300"/>
        </w:trPr>
        <w:tc>
          <w:tcPr>
            <w:tcW w:w="3216" w:type="dxa"/>
            <w:tcBorders>
              <w:top w:val="nil"/>
              <w:left w:val="nil"/>
              <w:bottom w:val="single" w:sz="4" w:space="0" w:color="auto"/>
              <w:right w:val="nil"/>
            </w:tcBorders>
            <w:shd w:val="clear" w:color="000000" w:fill="FFFFFF"/>
            <w:vAlign w:val="center"/>
            <w:hideMark/>
          </w:tcPr>
          <w:p w14:paraId="5B61C331" w14:textId="77777777" w:rsidR="0021298F" w:rsidRPr="00941CDF" w:rsidRDefault="0021298F" w:rsidP="00760009">
            <w:pPr>
              <w:jc w:val="both"/>
              <w:rPr>
                <w:rFonts w:ascii="Arial" w:eastAsia="Times New Roman" w:hAnsi="Arial" w:cs="Arial"/>
                <w:color w:val="000000"/>
                <w:lang w:eastAsia="en-GB"/>
              </w:rPr>
            </w:pPr>
            <w:r w:rsidRPr="00941CDF">
              <w:rPr>
                <w:rFonts w:ascii="Arial" w:eastAsia="Times New Roman" w:hAnsi="Arial" w:cs="Arial"/>
                <w:color w:val="000000"/>
                <w:lang w:eastAsia="en-GB"/>
              </w:rPr>
              <w:t> </w:t>
            </w:r>
          </w:p>
        </w:tc>
        <w:tc>
          <w:tcPr>
            <w:tcW w:w="1399" w:type="dxa"/>
            <w:tcBorders>
              <w:top w:val="nil"/>
              <w:left w:val="nil"/>
              <w:bottom w:val="single" w:sz="4" w:space="0" w:color="auto"/>
              <w:right w:val="nil"/>
            </w:tcBorders>
            <w:shd w:val="clear" w:color="000000" w:fill="FFFFFF"/>
            <w:noWrap/>
            <w:vAlign w:val="center"/>
            <w:hideMark/>
          </w:tcPr>
          <w:p w14:paraId="508A1873" w14:textId="77777777" w:rsidR="0021298F" w:rsidRPr="00941CDF" w:rsidRDefault="0021298F" w:rsidP="00760009">
            <w:pPr>
              <w:jc w:val="right"/>
              <w:rPr>
                <w:rFonts w:ascii="Arial" w:eastAsia="Times New Roman" w:hAnsi="Arial" w:cs="Arial"/>
                <w:b/>
                <w:bCs/>
                <w:color w:val="000000"/>
                <w:lang w:eastAsia="en-GB"/>
              </w:rPr>
            </w:pPr>
            <w:r w:rsidRPr="00941CDF">
              <w:rPr>
                <w:rFonts w:ascii="Arial" w:eastAsia="Times New Roman" w:hAnsi="Arial" w:cs="Arial"/>
                <w:b/>
                <w:bCs/>
                <w:color w:val="000000"/>
                <w:lang w:eastAsia="en-GB"/>
              </w:rPr>
              <w:t>€’000</w:t>
            </w:r>
          </w:p>
        </w:tc>
        <w:tc>
          <w:tcPr>
            <w:tcW w:w="1433" w:type="dxa"/>
            <w:tcBorders>
              <w:top w:val="nil"/>
              <w:left w:val="nil"/>
              <w:bottom w:val="single" w:sz="4" w:space="0" w:color="auto"/>
              <w:right w:val="nil"/>
            </w:tcBorders>
            <w:shd w:val="clear" w:color="000000" w:fill="FFFFFF"/>
            <w:noWrap/>
            <w:vAlign w:val="center"/>
            <w:hideMark/>
          </w:tcPr>
          <w:p w14:paraId="5CD8D1F6" w14:textId="77777777" w:rsidR="0021298F" w:rsidRPr="00941CDF" w:rsidRDefault="0021298F" w:rsidP="00760009">
            <w:pPr>
              <w:jc w:val="right"/>
              <w:rPr>
                <w:rFonts w:ascii="Arial" w:eastAsia="Times New Roman" w:hAnsi="Arial" w:cs="Arial"/>
                <w:b/>
                <w:bCs/>
                <w:color w:val="000000"/>
                <w:lang w:eastAsia="en-GB"/>
              </w:rPr>
            </w:pPr>
            <w:r w:rsidRPr="00941CDF">
              <w:rPr>
                <w:rFonts w:ascii="Arial" w:eastAsia="Times New Roman" w:hAnsi="Arial" w:cs="Arial"/>
                <w:b/>
                <w:bCs/>
                <w:color w:val="000000"/>
                <w:lang w:eastAsia="en-GB"/>
              </w:rPr>
              <w:t>€’000</w:t>
            </w:r>
          </w:p>
        </w:tc>
        <w:tc>
          <w:tcPr>
            <w:tcW w:w="1456" w:type="dxa"/>
            <w:tcBorders>
              <w:top w:val="nil"/>
              <w:left w:val="nil"/>
              <w:bottom w:val="single" w:sz="4" w:space="0" w:color="auto"/>
              <w:right w:val="nil"/>
            </w:tcBorders>
            <w:shd w:val="clear" w:color="000000" w:fill="FFFFFF"/>
            <w:noWrap/>
            <w:vAlign w:val="center"/>
            <w:hideMark/>
          </w:tcPr>
          <w:p w14:paraId="04FBB093" w14:textId="77777777" w:rsidR="0021298F" w:rsidRPr="00941CDF" w:rsidRDefault="0021298F" w:rsidP="00760009">
            <w:pPr>
              <w:jc w:val="right"/>
              <w:rPr>
                <w:rFonts w:ascii="Arial" w:eastAsia="Times New Roman" w:hAnsi="Arial" w:cs="Arial"/>
                <w:b/>
                <w:bCs/>
                <w:color w:val="000000"/>
                <w:lang w:eastAsia="en-GB"/>
              </w:rPr>
            </w:pPr>
            <w:r w:rsidRPr="00941CDF">
              <w:rPr>
                <w:rFonts w:ascii="Arial" w:eastAsia="Times New Roman" w:hAnsi="Arial" w:cs="Arial"/>
                <w:b/>
                <w:bCs/>
                <w:color w:val="000000"/>
                <w:lang w:eastAsia="en-GB"/>
              </w:rPr>
              <w:t>€’000</w:t>
            </w:r>
          </w:p>
        </w:tc>
        <w:tc>
          <w:tcPr>
            <w:tcW w:w="1456" w:type="dxa"/>
            <w:tcBorders>
              <w:top w:val="nil"/>
              <w:left w:val="nil"/>
              <w:bottom w:val="single" w:sz="4" w:space="0" w:color="auto"/>
              <w:right w:val="nil"/>
            </w:tcBorders>
            <w:shd w:val="clear" w:color="000000" w:fill="FFFFFF"/>
            <w:noWrap/>
            <w:vAlign w:val="center"/>
            <w:hideMark/>
          </w:tcPr>
          <w:p w14:paraId="46B1A196" w14:textId="77777777" w:rsidR="0021298F" w:rsidRPr="00941CDF" w:rsidRDefault="0021298F" w:rsidP="00760009">
            <w:pPr>
              <w:jc w:val="right"/>
              <w:rPr>
                <w:rFonts w:ascii="Arial" w:eastAsia="Times New Roman" w:hAnsi="Arial" w:cs="Arial"/>
                <w:b/>
                <w:bCs/>
                <w:color w:val="000000"/>
                <w:lang w:eastAsia="en-GB"/>
              </w:rPr>
            </w:pPr>
            <w:r w:rsidRPr="00941CDF">
              <w:rPr>
                <w:rFonts w:ascii="Arial" w:eastAsia="Times New Roman" w:hAnsi="Arial" w:cs="Arial"/>
                <w:b/>
                <w:bCs/>
                <w:color w:val="000000"/>
                <w:lang w:eastAsia="en-GB"/>
              </w:rPr>
              <w:t>€’000</w:t>
            </w:r>
          </w:p>
        </w:tc>
      </w:tr>
      <w:tr w:rsidR="0021298F" w:rsidRPr="00941CDF" w14:paraId="1826F567" w14:textId="77777777" w:rsidTr="00760009">
        <w:trPr>
          <w:trHeight w:val="300"/>
        </w:trPr>
        <w:tc>
          <w:tcPr>
            <w:tcW w:w="3216" w:type="dxa"/>
            <w:tcBorders>
              <w:top w:val="nil"/>
              <w:left w:val="nil"/>
              <w:bottom w:val="nil"/>
              <w:right w:val="nil"/>
            </w:tcBorders>
            <w:shd w:val="clear" w:color="000000" w:fill="FFFFFF"/>
            <w:vAlign w:val="center"/>
            <w:hideMark/>
          </w:tcPr>
          <w:p w14:paraId="7B3F8A17" w14:textId="77777777" w:rsidR="0021298F" w:rsidRPr="00941CDF" w:rsidRDefault="0021298F" w:rsidP="00760009">
            <w:pPr>
              <w:jc w:val="both"/>
              <w:rPr>
                <w:rFonts w:ascii="Arial" w:eastAsia="Times New Roman" w:hAnsi="Arial" w:cs="Arial"/>
                <w:b/>
                <w:bCs/>
                <w:color w:val="000000"/>
                <w:lang w:eastAsia="en-GB"/>
              </w:rPr>
            </w:pPr>
            <w:r w:rsidRPr="00941CDF">
              <w:rPr>
                <w:rFonts w:ascii="Arial" w:eastAsia="Times New Roman" w:hAnsi="Arial" w:cs="Arial"/>
                <w:b/>
                <w:bCs/>
                <w:color w:val="000000"/>
                <w:lang w:eastAsia="en-GB"/>
              </w:rPr>
              <w:t>Assets</w:t>
            </w:r>
          </w:p>
        </w:tc>
        <w:tc>
          <w:tcPr>
            <w:tcW w:w="1399" w:type="dxa"/>
            <w:tcBorders>
              <w:top w:val="nil"/>
              <w:left w:val="nil"/>
              <w:bottom w:val="nil"/>
              <w:right w:val="nil"/>
            </w:tcBorders>
            <w:shd w:val="clear" w:color="000000" w:fill="FFFFFF"/>
            <w:noWrap/>
            <w:vAlign w:val="center"/>
            <w:hideMark/>
          </w:tcPr>
          <w:p w14:paraId="4FA180DA" w14:textId="77777777" w:rsidR="0021298F" w:rsidRPr="00941CDF" w:rsidRDefault="0021298F" w:rsidP="00760009">
            <w:pPr>
              <w:jc w:val="right"/>
              <w:rPr>
                <w:rFonts w:ascii="Arial" w:eastAsia="Times New Roman" w:hAnsi="Arial" w:cs="Arial"/>
                <w:b/>
                <w:bCs/>
                <w:color w:val="000000"/>
                <w:lang w:eastAsia="en-GB"/>
              </w:rPr>
            </w:pPr>
            <w:r w:rsidRPr="00941CDF">
              <w:rPr>
                <w:rFonts w:ascii="Arial" w:eastAsia="Times New Roman" w:hAnsi="Arial" w:cs="Arial"/>
                <w:b/>
                <w:bCs/>
                <w:color w:val="000000"/>
                <w:lang w:eastAsia="en-GB"/>
              </w:rPr>
              <w:t> </w:t>
            </w:r>
          </w:p>
        </w:tc>
        <w:tc>
          <w:tcPr>
            <w:tcW w:w="1433" w:type="dxa"/>
            <w:tcBorders>
              <w:top w:val="nil"/>
              <w:left w:val="nil"/>
              <w:bottom w:val="nil"/>
              <w:right w:val="nil"/>
            </w:tcBorders>
            <w:shd w:val="clear" w:color="000000" w:fill="FFFFFF"/>
            <w:noWrap/>
            <w:vAlign w:val="center"/>
            <w:hideMark/>
          </w:tcPr>
          <w:p w14:paraId="01D905A3" w14:textId="77777777" w:rsidR="0021298F" w:rsidRPr="00941CDF" w:rsidRDefault="0021298F" w:rsidP="00760009">
            <w:pPr>
              <w:jc w:val="right"/>
              <w:rPr>
                <w:rFonts w:ascii="Arial" w:eastAsia="Times New Roman" w:hAnsi="Arial" w:cs="Arial"/>
                <w:b/>
                <w:bCs/>
                <w:color w:val="000000"/>
                <w:lang w:eastAsia="en-GB"/>
              </w:rPr>
            </w:pPr>
            <w:r w:rsidRPr="00941CDF">
              <w:rPr>
                <w:rFonts w:ascii="Arial" w:eastAsia="Times New Roman" w:hAnsi="Arial" w:cs="Arial"/>
                <w:b/>
                <w:bCs/>
                <w:color w:val="000000"/>
                <w:lang w:eastAsia="en-GB"/>
              </w:rPr>
              <w:t> </w:t>
            </w:r>
          </w:p>
        </w:tc>
        <w:tc>
          <w:tcPr>
            <w:tcW w:w="1456" w:type="dxa"/>
            <w:tcBorders>
              <w:top w:val="nil"/>
              <w:left w:val="nil"/>
              <w:bottom w:val="nil"/>
              <w:right w:val="nil"/>
            </w:tcBorders>
            <w:shd w:val="clear" w:color="000000" w:fill="FFFFFF"/>
            <w:noWrap/>
            <w:vAlign w:val="center"/>
            <w:hideMark/>
          </w:tcPr>
          <w:p w14:paraId="7DB9FAE7" w14:textId="77777777" w:rsidR="0021298F" w:rsidRPr="00941CDF" w:rsidRDefault="0021298F" w:rsidP="00760009">
            <w:pPr>
              <w:jc w:val="right"/>
              <w:rPr>
                <w:rFonts w:ascii="Arial" w:eastAsia="Times New Roman" w:hAnsi="Arial" w:cs="Arial"/>
                <w:b/>
                <w:bCs/>
                <w:color w:val="000000"/>
                <w:lang w:eastAsia="en-GB"/>
              </w:rPr>
            </w:pPr>
            <w:r w:rsidRPr="00941CDF">
              <w:rPr>
                <w:rFonts w:ascii="Arial" w:eastAsia="Times New Roman" w:hAnsi="Arial" w:cs="Arial"/>
                <w:b/>
                <w:bCs/>
                <w:color w:val="000000"/>
                <w:lang w:eastAsia="en-GB"/>
              </w:rPr>
              <w:t> </w:t>
            </w:r>
          </w:p>
        </w:tc>
        <w:tc>
          <w:tcPr>
            <w:tcW w:w="1456" w:type="dxa"/>
            <w:tcBorders>
              <w:top w:val="nil"/>
              <w:left w:val="nil"/>
              <w:bottom w:val="nil"/>
              <w:right w:val="nil"/>
            </w:tcBorders>
            <w:shd w:val="clear" w:color="000000" w:fill="FFFFFF"/>
            <w:noWrap/>
            <w:vAlign w:val="center"/>
            <w:hideMark/>
          </w:tcPr>
          <w:p w14:paraId="62DB7511" w14:textId="77777777" w:rsidR="0021298F" w:rsidRPr="00941CDF" w:rsidRDefault="0021298F" w:rsidP="00760009">
            <w:pPr>
              <w:jc w:val="right"/>
              <w:rPr>
                <w:rFonts w:ascii="Arial" w:eastAsia="Times New Roman" w:hAnsi="Arial" w:cs="Arial"/>
                <w:b/>
                <w:bCs/>
                <w:color w:val="000000"/>
                <w:lang w:eastAsia="en-GB"/>
              </w:rPr>
            </w:pPr>
            <w:r w:rsidRPr="00941CDF">
              <w:rPr>
                <w:rFonts w:ascii="Arial" w:eastAsia="Times New Roman" w:hAnsi="Arial" w:cs="Arial"/>
                <w:b/>
                <w:bCs/>
                <w:color w:val="000000"/>
                <w:lang w:eastAsia="en-GB"/>
              </w:rPr>
              <w:t> </w:t>
            </w:r>
          </w:p>
        </w:tc>
      </w:tr>
      <w:tr w:rsidR="0021298F" w:rsidRPr="00941CDF" w14:paraId="27F6F54B" w14:textId="77777777" w:rsidTr="00760009">
        <w:trPr>
          <w:trHeight w:val="300"/>
        </w:trPr>
        <w:tc>
          <w:tcPr>
            <w:tcW w:w="3216" w:type="dxa"/>
            <w:tcBorders>
              <w:top w:val="nil"/>
              <w:left w:val="nil"/>
              <w:bottom w:val="nil"/>
              <w:right w:val="nil"/>
            </w:tcBorders>
            <w:shd w:val="clear" w:color="000000" w:fill="FFFFFF"/>
            <w:vAlign w:val="center"/>
            <w:hideMark/>
          </w:tcPr>
          <w:p w14:paraId="29A13D4C" w14:textId="77777777" w:rsidR="0021298F" w:rsidRPr="00941CDF" w:rsidRDefault="0021298F" w:rsidP="00760009">
            <w:pPr>
              <w:jc w:val="both"/>
              <w:rPr>
                <w:rFonts w:ascii="Arial" w:eastAsia="Times New Roman" w:hAnsi="Arial" w:cs="Arial"/>
                <w:color w:val="000000"/>
                <w:lang w:eastAsia="en-GB"/>
              </w:rPr>
            </w:pPr>
            <w:r w:rsidRPr="00941CDF">
              <w:rPr>
                <w:rFonts w:ascii="Arial" w:eastAsia="Times New Roman" w:hAnsi="Arial" w:cs="Arial"/>
                <w:color w:val="000000"/>
                <w:lang w:eastAsia="en-GB"/>
              </w:rPr>
              <w:t>Cash at bank</w:t>
            </w:r>
          </w:p>
        </w:tc>
        <w:tc>
          <w:tcPr>
            <w:tcW w:w="1399" w:type="dxa"/>
            <w:tcBorders>
              <w:top w:val="nil"/>
              <w:left w:val="nil"/>
              <w:bottom w:val="nil"/>
              <w:right w:val="nil"/>
            </w:tcBorders>
            <w:shd w:val="clear" w:color="000000" w:fill="FFFFFF"/>
            <w:noWrap/>
            <w:vAlign w:val="center"/>
            <w:hideMark/>
          </w:tcPr>
          <w:p w14:paraId="29B94E06" w14:textId="77777777" w:rsidR="0021298F" w:rsidRPr="00941CDF" w:rsidRDefault="0021298F" w:rsidP="00760009">
            <w:pPr>
              <w:jc w:val="right"/>
              <w:rPr>
                <w:rFonts w:ascii="Arial" w:eastAsia="Times New Roman" w:hAnsi="Arial" w:cs="Arial"/>
                <w:color w:val="000000"/>
                <w:lang w:eastAsia="en-GB"/>
              </w:rPr>
            </w:pPr>
            <w:r w:rsidRPr="00941CDF">
              <w:rPr>
                <w:rFonts w:ascii="Arial" w:eastAsia="Times New Roman" w:hAnsi="Arial" w:cs="Arial"/>
                <w:color w:val="000000"/>
                <w:lang w:eastAsia="en-GB"/>
              </w:rPr>
              <w:t xml:space="preserve"> - </w:t>
            </w:r>
          </w:p>
        </w:tc>
        <w:tc>
          <w:tcPr>
            <w:tcW w:w="1433" w:type="dxa"/>
            <w:tcBorders>
              <w:top w:val="nil"/>
              <w:left w:val="nil"/>
              <w:bottom w:val="nil"/>
              <w:right w:val="nil"/>
            </w:tcBorders>
            <w:shd w:val="clear" w:color="000000" w:fill="FFFFFF"/>
            <w:noWrap/>
            <w:vAlign w:val="center"/>
            <w:hideMark/>
          </w:tcPr>
          <w:p w14:paraId="44F3059C" w14:textId="77777777" w:rsidR="0021298F" w:rsidRPr="00941CDF" w:rsidRDefault="0021298F" w:rsidP="00760009">
            <w:pPr>
              <w:jc w:val="right"/>
              <w:rPr>
                <w:rFonts w:ascii="Arial" w:eastAsia="Times New Roman" w:hAnsi="Arial" w:cs="Arial"/>
                <w:color w:val="000000"/>
                <w:lang w:eastAsia="en-GB"/>
              </w:rPr>
            </w:pPr>
            <w:r w:rsidRPr="00941CDF">
              <w:rPr>
                <w:rFonts w:ascii="Arial" w:eastAsia="Times New Roman" w:hAnsi="Arial" w:cs="Arial"/>
                <w:color w:val="000000"/>
                <w:lang w:eastAsia="en-GB"/>
              </w:rPr>
              <w:t xml:space="preserve">88 </w:t>
            </w:r>
          </w:p>
        </w:tc>
        <w:tc>
          <w:tcPr>
            <w:tcW w:w="1456" w:type="dxa"/>
            <w:tcBorders>
              <w:top w:val="nil"/>
              <w:left w:val="nil"/>
              <w:bottom w:val="nil"/>
              <w:right w:val="nil"/>
            </w:tcBorders>
            <w:shd w:val="clear" w:color="000000" w:fill="FFFFFF"/>
            <w:noWrap/>
            <w:vAlign w:val="center"/>
            <w:hideMark/>
          </w:tcPr>
          <w:p w14:paraId="3A2B0BD0" w14:textId="77777777" w:rsidR="0021298F" w:rsidRPr="00941CDF" w:rsidRDefault="0021298F" w:rsidP="00760009">
            <w:pPr>
              <w:jc w:val="right"/>
              <w:rPr>
                <w:rFonts w:ascii="Arial" w:eastAsia="Times New Roman" w:hAnsi="Arial" w:cs="Arial"/>
                <w:color w:val="000000"/>
                <w:lang w:eastAsia="en-GB"/>
              </w:rPr>
            </w:pPr>
            <w:r w:rsidRPr="00941CDF">
              <w:rPr>
                <w:rFonts w:ascii="Arial" w:eastAsia="Times New Roman" w:hAnsi="Arial" w:cs="Arial"/>
                <w:color w:val="000000"/>
                <w:lang w:eastAsia="en-GB"/>
              </w:rPr>
              <w:t xml:space="preserve">100 </w:t>
            </w:r>
          </w:p>
        </w:tc>
        <w:tc>
          <w:tcPr>
            <w:tcW w:w="1456" w:type="dxa"/>
            <w:tcBorders>
              <w:top w:val="nil"/>
              <w:left w:val="nil"/>
              <w:bottom w:val="nil"/>
              <w:right w:val="nil"/>
            </w:tcBorders>
            <w:shd w:val="clear" w:color="000000" w:fill="FFFFFF"/>
            <w:noWrap/>
            <w:vAlign w:val="center"/>
            <w:hideMark/>
          </w:tcPr>
          <w:p w14:paraId="2070F1BF" w14:textId="77777777" w:rsidR="0021298F" w:rsidRPr="00941CDF" w:rsidRDefault="0021298F" w:rsidP="00760009">
            <w:pPr>
              <w:jc w:val="right"/>
              <w:rPr>
                <w:rFonts w:ascii="Arial" w:eastAsia="Times New Roman" w:hAnsi="Arial" w:cs="Arial"/>
                <w:b/>
                <w:bCs/>
                <w:color w:val="000000"/>
                <w:lang w:eastAsia="en-GB"/>
              </w:rPr>
            </w:pPr>
            <w:r w:rsidRPr="00941CDF">
              <w:rPr>
                <w:rFonts w:ascii="Arial" w:eastAsia="Times New Roman" w:hAnsi="Arial" w:cs="Arial"/>
                <w:b/>
                <w:bCs/>
                <w:color w:val="000000"/>
                <w:lang w:eastAsia="en-GB"/>
              </w:rPr>
              <w:t xml:space="preserve">188 </w:t>
            </w:r>
          </w:p>
        </w:tc>
      </w:tr>
      <w:tr w:rsidR="0021298F" w:rsidRPr="00941CDF" w14:paraId="13D22101" w14:textId="77777777" w:rsidTr="00760009">
        <w:trPr>
          <w:trHeight w:val="300"/>
        </w:trPr>
        <w:tc>
          <w:tcPr>
            <w:tcW w:w="3216" w:type="dxa"/>
            <w:tcBorders>
              <w:top w:val="nil"/>
              <w:left w:val="nil"/>
              <w:bottom w:val="nil"/>
              <w:right w:val="nil"/>
            </w:tcBorders>
            <w:shd w:val="clear" w:color="000000" w:fill="FFFFFF"/>
            <w:vAlign w:val="center"/>
            <w:hideMark/>
          </w:tcPr>
          <w:p w14:paraId="482D0DF8" w14:textId="77777777" w:rsidR="0021298F" w:rsidRPr="00941CDF" w:rsidRDefault="0021298F" w:rsidP="00760009">
            <w:pPr>
              <w:jc w:val="both"/>
              <w:rPr>
                <w:rFonts w:ascii="Arial" w:eastAsia="Times New Roman" w:hAnsi="Arial" w:cs="Arial"/>
                <w:color w:val="000000"/>
                <w:lang w:eastAsia="en-GB"/>
              </w:rPr>
            </w:pPr>
            <w:r w:rsidRPr="00941CDF">
              <w:rPr>
                <w:rFonts w:ascii="Arial" w:eastAsia="Times New Roman" w:hAnsi="Arial" w:cs="Arial"/>
                <w:color w:val="000000"/>
                <w:lang w:eastAsia="en-GB"/>
              </w:rPr>
              <w:t>Other receivables (note 11)</w:t>
            </w:r>
          </w:p>
        </w:tc>
        <w:tc>
          <w:tcPr>
            <w:tcW w:w="1399" w:type="dxa"/>
            <w:tcBorders>
              <w:top w:val="nil"/>
              <w:left w:val="nil"/>
              <w:bottom w:val="nil"/>
              <w:right w:val="nil"/>
            </w:tcBorders>
            <w:shd w:val="clear" w:color="000000" w:fill="FFFFFF"/>
            <w:noWrap/>
            <w:vAlign w:val="center"/>
            <w:hideMark/>
          </w:tcPr>
          <w:p w14:paraId="037DC721" w14:textId="77777777" w:rsidR="0021298F" w:rsidRPr="00941CDF" w:rsidRDefault="0021298F" w:rsidP="00760009">
            <w:pPr>
              <w:jc w:val="right"/>
              <w:rPr>
                <w:rFonts w:ascii="Arial" w:eastAsia="Times New Roman" w:hAnsi="Arial" w:cs="Arial"/>
                <w:color w:val="000000"/>
                <w:lang w:eastAsia="en-GB"/>
              </w:rPr>
            </w:pPr>
            <w:r w:rsidRPr="00941CDF">
              <w:rPr>
                <w:rFonts w:ascii="Arial" w:eastAsia="Times New Roman" w:hAnsi="Arial" w:cs="Arial"/>
                <w:color w:val="000000"/>
                <w:lang w:eastAsia="en-GB"/>
              </w:rPr>
              <w:t xml:space="preserve"> - </w:t>
            </w:r>
          </w:p>
        </w:tc>
        <w:tc>
          <w:tcPr>
            <w:tcW w:w="1433" w:type="dxa"/>
            <w:tcBorders>
              <w:top w:val="nil"/>
              <w:left w:val="nil"/>
              <w:bottom w:val="nil"/>
              <w:right w:val="nil"/>
            </w:tcBorders>
            <w:shd w:val="clear" w:color="000000" w:fill="FFFFFF"/>
            <w:noWrap/>
            <w:vAlign w:val="center"/>
            <w:hideMark/>
          </w:tcPr>
          <w:p w14:paraId="0B4CDCE9" w14:textId="77777777" w:rsidR="0021298F" w:rsidRPr="00941CDF" w:rsidRDefault="0021298F" w:rsidP="00760009">
            <w:pPr>
              <w:jc w:val="right"/>
              <w:rPr>
                <w:rFonts w:ascii="Arial" w:eastAsia="Times New Roman" w:hAnsi="Arial" w:cs="Arial"/>
                <w:color w:val="000000"/>
                <w:lang w:eastAsia="en-GB"/>
              </w:rPr>
            </w:pPr>
            <w:r w:rsidRPr="00941CDF">
              <w:rPr>
                <w:rFonts w:ascii="Arial" w:eastAsia="Times New Roman" w:hAnsi="Arial" w:cs="Arial"/>
                <w:color w:val="000000"/>
                <w:lang w:eastAsia="en-GB"/>
              </w:rPr>
              <w:t xml:space="preserve"> - </w:t>
            </w:r>
          </w:p>
        </w:tc>
        <w:tc>
          <w:tcPr>
            <w:tcW w:w="1456" w:type="dxa"/>
            <w:tcBorders>
              <w:top w:val="nil"/>
              <w:left w:val="nil"/>
              <w:bottom w:val="nil"/>
              <w:right w:val="nil"/>
            </w:tcBorders>
            <w:shd w:val="clear" w:color="000000" w:fill="FFFFFF"/>
            <w:noWrap/>
            <w:vAlign w:val="center"/>
            <w:hideMark/>
          </w:tcPr>
          <w:p w14:paraId="1EC398A9" w14:textId="77777777" w:rsidR="0021298F" w:rsidRPr="00941CDF" w:rsidRDefault="0021298F" w:rsidP="00760009">
            <w:pPr>
              <w:jc w:val="right"/>
              <w:rPr>
                <w:rFonts w:ascii="Arial" w:eastAsia="Times New Roman" w:hAnsi="Arial" w:cs="Arial"/>
                <w:color w:val="000000"/>
                <w:lang w:eastAsia="en-GB"/>
              </w:rPr>
            </w:pPr>
            <w:r w:rsidRPr="00941CDF">
              <w:rPr>
                <w:rFonts w:ascii="Arial" w:eastAsia="Times New Roman" w:hAnsi="Arial" w:cs="Arial"/>
                <w:color w:val="000000"/>
                <w:lang w:eastAsia="en-GB"/>
              </w:rPr>
              <w:t xml:space="preserve">3,015 </w:t>
            </w:r>
          </w:p>
        </w:tc>
        <w:tc>
          <w:tcPr>
            <w:tcW w:w="1456" w:type="dxa"/>
            <w:tcBorders>
              <w:top w:val="nil"/>
              <w:left w:val="nil"/>
              <w:bottom w:val="nil"/>
              <w:right w:val="nil"/>
            </w:tcBorders>
            <w:shd w:val="clear" w:color="000000" w:fill="FFFFFF"/>
            <w:noWrap/>
            <w:vAlign w:val="center"/>
            <w:hideMark/>
          </w:tcPr>
          <w:p w14:paraId="50C43FD8" w14:textId="77777777" w:rsidR="0021298F" w:rsidRPr="00941CDF" w:rsidRDefault="0021298F" w:rsidP="00760009">
            <w:pPr>
              <w:jc w:val="right"/>
              <w:rPr>
                <w:rFonts w:ascii="Arial" w:eastAsia="Times New Roman" w:hAnsi="Arial" w:cs="Arial"/>
                <w:b/>
                <w:bCs/>
                <w:color w:val="000000"/>
                <w:lang w:eastAsia="en-GB"/>
              </w:rPr>
            </w:pPr>
            <w:r w:rsidRPr="00941CDF">
              <w:rPr>
                <w:rFonts w:ascii="Arial" w:eastAsia="Times New Roman" w:hAnsi="Arial" w:cs="Arial"/>
                <w:b/>
                <w:bCs/>
                <w:color w:val="000000"/>
                <w:lang w:eastAsia="en-GB"/>
              </w:rPr>
              <w:t xml:space="preserve">3,015 </w:t>
            </w:r>
          </w:p>
        </w:tc>
      </w:tr>
      <w:tr w:rsidR="0021298F" w:rsidRPr="00941CDF" w14:paraId="03083EE8" w14:textId="77777777" w:rsidTr="00760009">
        <w:trPr>
          <w:trHeight w:val="300"/>
        </w:trPr>
        <w:tc>
          <w:tcPr>
            <w:tcW w:w="3216" w:type="dxa"/>
            <w:tcBorders>
              <w:top w:val="nil"/>
              <w:left w:val="nil"/>
              <w:bottom w:val="single" w:sz="4" w:space="0" w:color="auto"/>
              <w:right w:val="nil"/>
            </w:tcBorders>
            <w:shd w:val="clear" w:color="000000" w:fill="FFFFFF"/>
            <w:vAlign w:val="center"/>
            <w:hideMark/>
          </w:tcPr>
          <w:p w14:paraId="7F48ED8A" w14:textId="77777777" w:rsidR="0021298F" w:rsidRPr="00941CDF" w:rsidRDefault="0021298F" w:rsidP="00760009">
            <w:pPr>
              <w:jc w:val="both"/>
              <w:rPr>
                <w:rFonts w:ascii="Arial" w:eastAsia="Times New Roman" w:hAnsi="Arial" w:cs="Arial"/>
                <w:color w:val="000000"/>
                <w:lang w:eastAsia="en-GB"/>
              </w:rPr>
            </w:pPr>
            <w:r w:rsidRPr="00941CDF">
              <w:rPr>
                <w:rFonts w:ascii="Arial" w:eastAsia="Times New Roman" w:hAnsi="Arial" w:cs="Arial"/>
                <w:color w:val="000000"/>
                <w:lang w:eastAsia="en-GB"/>
              </w:rPr>
              <w:t>Investments (note 9)</w:t>
            </w:r>
          </w:p>
        </w:tc>
        <w:tc>
          <w:tcPr>
            <w:tcW w:w="1399" w:type="dxa"/>
            <w:tcBorders>
              <w:top w:val="nil"/>
              <w:left w:val="nil"/>
              <w:bottom w:val="single" w:sz="4" w:space="0" w:color="auto"/>
              <w:right w:val="nil"/>
            </w:tcBorders>
            <w:shd w:val="clear" w:color="000000" w:fill="FFFFFF"/>
            <w:noWrap/>
            <w:vAlign w:val="center"/>
            <w:hideMark/>
          </w:tcPr>
          <w:p w14:paraId="2BCDC098" w14:textId="77777777" w:rsidR="0021298F" w:rsidRPr="00941CDF" w:rsidRDefault="0021298F" w:rsidP="00760009">
            <w:pPr>
              <w:jc w:val="right"/>
              <w:rPr>
                <w:rFonts w:ascii="Arial" w:eastAsia="Times New Roman" w:hAnsi="Arial" w:cs="Arial"/>
                <w:color w:val="000000"/>
                <w:lang w:eastAsia="en-GB"/>
              </w:rPr>
            </w:pPr>
            <w:r w:rsidRPr="00941CDF">
              <w:rPr>
                <w:rFonts w:ascii="Arial" w:eastAsia="Times New Roman" w:hAnsi="Arial" w:cs="Arial"/>
                <w:color w:val="000000"/>
                <w:lang w:eastAsia="en-GB"/>
              </w:rPr>
              <w:t xml:space="preserve"> - </w:t>
            </w:r>
          </w:p>
        </w:tc>
        <w:tc>
          <w:tcPr>
            <w:tcW w:w="1433" w:type="dxa"/>
            <w:tcBorders>
              <w:top w:val="nil"/>
              <w:left w:val="nil"/>
              <w:bottom w:val="single" w:sz="4" w:space="0" w:color="auto"/>
              <w:right w:val="nil"/>
            </w:tcBorders>
            <w:shd w:val="clear" w:color="000000" w:fill="FFFFFF"/>
            <w:noWrap/>
            <w:vAlign w:val="center"/>
            <w:hideMark/>
          </w:tcPr>
          <w:p w14:paraId="0F624BA2" w14:textId="77777777" w:rsidR="0021298F" w:rsidRPr="00941CDF" w:rsidRDefault="0021298F" w:rsidP="00760009">
            <w:pPr>
              <w:jc w:val="right"/>
              <w:rPr>
                <w:rFonts w:ascii="Arial" w:eastAsia="Times New Roman" w:hAnsi="Arial" w:cs="Arial"/>
                <w:color w:val="000000"/>
                <w:lang w:eastAsia="en-GB"/>
              </w:rPr>
            </w:pPr>
            <w:r w:rsidRPr="00941CDF">
              <w:rPr>
                <w:rFonts w:ascii="Arial" w:eastAsia="Times New Roman" w:hAnsi="Arial" w:cs="Arial"/>
                <w:color w:val="000000"/>
                <w:lang w:eastAsia="en-GB"/>
              </w:rPr>
              <w:t xml:space="preserve"> - </w:t>
            </w:r>
          </w:p>
        </w:tc>
        <w:tc>
          <w:tcPr>
            <w:tcW w:w="1456" w:type="dxa"/>
            <w:tcBorders>
              <w:top w:val="nil"/>
              <w:left w:val="nil"/>
              <w:bottom w:val="single" w:sz="4" w:space="0" w:color="auto"/>
              <w:right w:val="nil"/>
            </w:tcBorders>
            <w:shd w:val="clear" w:color="000000" w:fill="FFFFFF"/>
            <w:noWrap/>
            <w:vAlign w:val="center"/>
            <w:hideMark/>
          </w:tcPr>
          <w:p w14:paraId="48FC331C" w14:textId="77777777" w:rsidR="0021298F" w:rsidRPr="00941CDF" w:rsidRDefault="0021298F" w:rsidP="00760009">
            <w:pPr>
              <w:jc w:val="right"/>
              <w:rPr>
                <w:rFonts w:ascii="Arial" w:eastAsia="Times New Roman" w:hAnsi="Arial" w:cs="Arial"/>
                <w:color w:val="000000"/>
                <w:lang w:eastAsia="en-GB"/>
              </w:rPr>
            </w:pPr>
            <w:r w:rsidRPr="00941CDF">
              <w:rPr>
                <w:rFonts w:ascii="Arial" w:eastAsia="Times New Roman" w:hAnsi="Arial" w:cs="Arial"/>
                <w:color w:val="000000"/>
                <w:lang w:eastAsia="en-GB"/>
              </w:rPr>
              <w:t xml:space="preserve">648,797 </w:t>
            </w:r>
          </w:p>
        </w:tc>
        <w:tc>
          <w:tcPr>
            <w:tcW w:w="1456" w:type="dxa"/>
            <w:tcBorders>
              <w:top w:val="nil"/>
              <w:left w:val="nil"/>
              <w:bottom w:val="single" w:sz="4" w:space="0" w:color="auto"/>
              <w:right w:val="nil"/>
            </w:tcBorders>
            <w:shd w:val="clear" w:color="000000" w:fill="FFFFFF"/>
            <w:noWrap/>
            <w:vAlign w:val="center"/>
            <w:hideMark/>
          </w:tcPr>
          <w:p w14:paraId="0E4187ED" w14:textId="77777777" w:rsidR="0021298F" w:rsidRPr="00941CDF" w:rsidRDefault="0021298F" w:rsidP="00760009">
            <w:pPr>
              <w:jc w:val="right"/>
              <w:rPr>
                <w:rFonts w:ascii="Arial" w:eastAsia="Times New Roman" w:hAnsi="Arial" w:cs="Arial"/>
                <w:b/>
                <w:bCs/>
                <w:color w:val="000000"/>
                <w:lang w:eastAsia="en-GB"/>
              </w:rPr>
            </w:pPr>
            <w:r w:rsidRPr="00941CDF">
              <w:rPr>
                <w:rFonts w:ascii="Arial" w:eastAsia="Times New Roman" w:hAnsi="Arial" w:cs="Arial"/>
                <w:b/>
                <w:bCs/>
                <w:color w:val="000000"/>
                <w:lang w:eastAsia="en-GB"/>
              </w:rPr>
              <w:t xml:space="preserve">648,797 </w:t>
            </w:r>
          </w:p>
        </w:tc>
      </w:tr>
      <w:tr w:rsidR="0021298F" w:rsidRPr="00941CDF" w14:paraId="50F56F3A" w14:textId="77777777" w:rsidTr="00760009">
        <w:trPr>
          <w:trHeight w:val="315"/>
        </w:trPr>
        <w:tc>
          <w:tcPr>
            <w:tcW w:w="3216" w:type="dxa"/>
            <w:tcBorders>
              <w:top w:val="nil"/>
              <w:left w:val="nil"/>
              <w:bottom w:val="single" w:sz="8" w:space="0" w:color="auto"/>
              <w:right w:val="nil"/>
            </w:tcBorders>
            <w:shd w:val="clear" w:color="000000" w:fill="FFFFFF"/>
            <w:vAlign w:val="center"/>
            <w:hideMark/>
          </w:tcPr>
          <w:p w14:paraId="6E61F969" w14:textId="77777777" w:rsidR="0021298F" w:rsidRPr="00941CDF" w:rsidRDefault="0021298F" w:rsidP="00760009">
            <w:pPr>
              <w:jc w:val="both"/>
              <w:rPr>
                <w:rFonts w:ascii="Arial" w:eastAsia="Times New Roman" w:hAnsi="Arial" w:cs="Arial"/>
                <w:color w:val="000000"/>
                <w:lang w:eastAsia="en-GB"/>
              </w:rPr>
            </w:pPr>
            <w:r w:rsidRPr="00941CDF">
              <w:rPr>
                <w:rFonts w:ascii="Arial" w:eastAsia="Times New Roman" w:hAnsi="Arial" w:cs="Arial"/>
                <w:color w:val="000000"/>
                <w:lang w:eastAsia="en-GB"/>
              </w:rPr>
              <w:t> </w:t>
            </w:r>
          </w:p>
        </w:tc>
        <w:tc>
          <w:tcPr>
            <w:tcW w:w="1399" w:type="dxa"/>
            <w:tcBorders>
              <w:top w:val="nil"/>
              <w:left w:val="nil"/>
              <w:bottom w:val="single" w:sz="8" w:space="0" w:color="auto"/>
              <w:right w:val="nil"/>
            </w:tcBorders>
            <w:shd w:val="clear" w:color="000000" w:fill="FFFFFF"/>
            <w:noWrap/>
            <w:vAlign w:val="center"/>
            <w:hideMark/>
          </w:tcPr>
          <w:p w14:paraId="3FAA14A7" w14:textId="77777777" w:rsidR="0021298F" w:rsidRPr="00941CDF" w:rsidRDefault="0021298F" w:rsidP="00760009">
            <w:pPr>
              <w:jc w:val="right"/>
              <w:rPr>
                <w:rFonts w:ascii="Arial" w:eastAsia="Times New Roman" w:hAnsi="Arial" w:cs="Arial"/>
                <w:b/>
                <w:bCs/>
                <w:color w:val="000000"/>
                <w:lang w:eastAsia="en-GB"/>
              </w:rPr>
            </w:pPr>
            <w:r w:rsidRPr="00941CDF">
              <w:rPr>
                <w:rFonts w:ascii="Arial" w:eastAsia="Times New Roman" w:hAnsi="Arial" w:cs="Arial"/>
                <w:b/>
                <w:bCs/>
                <w:color w:val="000000"/>
                <w:lang w:eastAsia="en-GB"/>
              </w:rPr>
              <w:t xml:space="preserve"> - </w:t>
            </w:r>
          </w:p>
        </w:tc>
        <w:tc>
          <w:tcPr>
            <w:tcW w:w="1433" w:type="dxa"/>
            <w:tcBorders>
              <w:top w:val="nil"/>
              <w:left w:val="nil"/>
              <w:bottom w:val="single" w:sz="8" w:space="0" w:color="auto"/>
              <w:right w:val="nil"/>
            </w:tcBorders>
            <w:shd w:val="clear" w:color="000000" w:fill="FFFFFF"/>
            <w:noWrap/>
            <w:vAlign w:val="center"/>
            <w:hideMark/>
          </w:tcPr>
          <w:p w14:paraId="7AE71D9C" w14:textId="77777777" w:rsidR="0021298F" w:rsidRPr="00941CDF" w:rsidRDefault="0021298F" w:rsidP="00760009">
            <w:pPr>
              <w:jc w:val="right"/>
              <w:rPr>
                <w:rFonts w:ascii="Arial" w:eastAsia="Times New Roman" w:hAnsi="Arial" w:cs="Arial"/>
                <w:b/>
                <w:bCs/>
                <w:color w:val="000000"/>
                <w:lang w:eastAsia="en-GB"/>
              </w:rPr>
            </w:pPr>
            <w:r w:rsidRPr="00941CDF">
              <w:rPr>
                <w:rFonts w:ascii="Arial" w:eastAsia="Times New Roman" w:hAnsi="Arial" w:cs="Arial"/>
                <w:b/>
                <w:bCs/>
                <w:color w:val="000000"/>
                <w:lang w:eastAsia="en-GB"/>
              </w:rPr>
              <w:t xml:space="preserve">88 </w:t>
            </w:r>
          </w:p>
        </w:tc>
        <w:tc>
          <w:tcPr>
            <w:tcW w:w="1456" w:type="dxa"/>
            <w:tcBorders>
              <w:top w:val="nil"/>
              <w:left w:val="nil"/>
              <w:bottom w:val="single" w:sz="8" w:space="0" w:color="auto"/>
              <w:right w:val="nil"/>
            </w:tcBorders>
            <w:shd w:val="clear" w:color="000000" w:fill="FFFFFF"/>
            <w:noWrap/>
            <w:vAlign w:val="center"/>
            <w:hideMark/>
          </w:tcPr>
          <w:p w14:paraId="0F67ECCD" w14:textId="77777777" w:rsidR="0021298F" w:rsidRPr="00941CDF" w:rsidRDefault="0021298F" w:rsidP="00760009">
            <w:pPr>
              <w:jc w:val="right"/>
              <w:rPr>
                <w:rFonts w:ascii="Arial" w:eastAsia="Times New Roman" w:hAnsi="Arial" w:cs="Arial"/>
                <w:b/>
                <w:bCs/>
                <w:color w:val="000000"/>
                <w:lang w:eastAsia="en-GB"/>
              </w:rPr>
            </w:pPr>
            <w:r w:rsidRPr="00941CDF">
              <w:rPr>
                <w:rFonts w:ascii="Arial" w:eastAsia="Times New Roman" w:hAnsi="Arial" w:cs="Arial"/>
                <w:b/>
                <w:bCs/>
                <w:color w:val="000000"/>
                <w:lang w:eastAsia="en-GB"/>
              </w:rPr>
              <w:t xml:space="preserve">651,912 </w:t>
            </w:r>
          </w:p>
        </w:tc>
        <w:tc>
          <w:tcPr>
            <w:tcW w:w="1456" w:type="dxa"/>
            <w:tcBorders>
              <w:top w:val="nil"/>
              <w:left w:val="nil"/>
              <w:bottom w:val="single" w:sz="8" w:space="0" w:color="auto"/>
              <w:right w:val="nil"/>
            </w:tcBorders>
            <w:shd w:val="clear" w:color="000000" w:fill="FFFFFF"/>
            <w:noWrap/>
            <w:vAlign w:val="center"/>
            <w:hideMark/>
          </w:tcPr>
          <w:p w14:paraId="20F42328" w14:textId="77777777" w:rsidR="0021298F" w:rsidRPr="00941CDF" w:rsidRDefault="0021298F" w:rsidP="00760009">
            <w:pPr>
              <w:jc w:val="right"/>
              <w:rPr>
                <w:rFonts w:ascii="Arial" w:eastAsia="Times New Roman" w:hAnsi="Arial" w:cs="Arial"/>
                <w:b/>
                <w:bCs/>
                <w:color w:val="000000"/>
                <w:lang w:eastAsia="en-GB"/>
              </w:rPr>
            </w:pPr>
            <w:r w:rsidRPr="00941CDF">
              <w:rPr>
                <w:rFonts w:ascii="Arial" w:eastAsia="Times New Roman" w:hAnsi="Arial" w:cs="Arial"/>
                <w:b/>
                <w:bCs/>
                <w:color w:val="000000"/>
                <w:lang w:eastAsia="en-GB"/>
              </w:rPr>
              <w:t xml:space="preserve">652,000 </w:t>
            </w:r>
          </w:p>
        </w:tc>
      </w:tr>
      <w:tr w:rsidR="0021298F" w:rsidRPr="00941CDF" w14:paraId="06E03657" w14:textId="77777777" w:rsidTr="00760009">
        <w:trPr>
          <w:trHeight w:val="300"/>
        </w:trPr>
        <w:tc>
          <w:tcPr>
            <w:tcW w:w="3216" w:type="dxa"/>
            <w:tcBorders>
              <w:top w:val="nil"/>
              <w:left w:val="nil"/>
              <w:bottom w:val="nil"/>
              <w:right w:val="nil"/>
            </w:tcBorders>
            <w:shd w:val="clear" w:color="000000" w:fill="FFFFFF"/>
            <w:vAlign w:val="center"/>
            <w:hideMark/>
          </w:tcPr>
          <w:p w14:paraId="72B8D8A9" w14:textId="77777777" w:rsidR="0021298F" w:rsidRPr="00941CDF" w:rsidRDefault="0021298F" w:rsidP="00760009">
            <w:pPr>
              <w:jc w:val="both"/>
              <w:rPr>
                <w:rFonts w:ascii="Arial" w:eastAsia="Times New Roman" w:hAnsi="Arial" w:cs="Arial"/>
                <w:b/>
                <w:bCs/>
                <w:color w:val="000000"/>
                <w:lang w:eastAsia="en-GB"/>
              </w:rPr>
            </w:pPr>
            <w:r w:rsidRPr="00941CDF">
              <w:rPr>
                <w:rFonts w:ascii="Arial" w:eastAsia="Times New Roman" w:hAnsi="Arial" w:cs="Arial"/>
                <w:b/>
                <w:bCs/>
                <w:color w:val="000000"/>
                <w:lang w:eastAsia="en-GB"/>
              </w:rPr>
              <w:t>Liabilities</w:t>
            </w:r>
          </w:p>
        </w:tc>
        <w:tc>
          <w:tcPr>
            <w:tcW w:w="1399" w:type="dxa"/>
            <w:tcBorders>
              <w:top w:val="nil"/>
              <w:left w:val="nil"/>
              <w:bottom w:val="nil"/>
              <w:right w:val="nil"/>
            </w:tcBorders>
            <w:shd w:val="clear" w:color="000000" w:fill="FFFFFF"/>
            <w:noWrap/>
            <w:vAlign w:val="center"/>
            <w:hideMark/>
          </w:tcPr>
          <w:p w14:paraId="385CCE5F" w14:textId="77777777" w:rsidR="0021298F" w:rsidRPr="00941CDF" w:rsidRDefault="0021298F" w:rsidP="00760009">
            <w:pPr>
              <w:jc w:val="right"/>
              <w:rPr>
                <w:rFonts w:ascii="Arial" w:eastAsia="Times New Roman" w:hAnsi="Arial" w:cs="Arial"/>
                <w:b/>
                <w:bCs/>
                <w:color w:val="000000"/>
                <w:lang w:eastAsia="en-GB"/>
              </w:rPr>
            </w:pPr>
            <w:r w:rsidRPr="00941CDF">
              <w:rPr>
                <w:rFonts w:ascii="Arial" w:eastAsia="Times New Roman" w:hAnsi="Arial" w:cs="Arial"/>
                <w:b/>
                <w:bCs/>
                <w:color w:val="000000"/>
                <w:lang w:eastAsia="en-GB"/>
              </w:rPr>
              <w:t> </w:t>
            </w:r>
          </w:p>
        </w:tc>
        <w:tc>
          <w:tcPr>
            <w:tcW w:w="1433" w:type="dxa"/>
            <w:tcBorders>
              <w:top w:val="nil"/>
              <w:left w:val="nil"/>
              <w:bottom w:val="nil"/>
              <w:right w:val="nil"/>
            </w:tcBorders>
            <w:shd w:val="clear" w:color="000000" w:fill="FFFFFF"/>
            <w:noWrap/>
            <w:vAlign w:val="center"/>
            <w:hideMark/>
          </w:tcPr>
          <w:p w14:paraId="5B65D978" w14:textId="77777777" w:rsidR="0021298F" w:rsidRPr="00941CDF" w:rsidRDefault="0021298F" w:rsidP="00760009">
            <w:pPr>
              <w:jc w:val="right"/>
              <w:rPr>
                <w:rFonts w:ascii="Arial" w:eastAsia="Times New Roman" w:hAnsi="Arial" w:cs="Arial"/>
                <w:b/>
                <w:bCs/>
                <w:color w:val="000000"/>
                <w:lang w:eastAsia="en-GB"/>
              </w:rPr>
            </w:pPr>
            <w:r w:rsidRPr="00941CDF">
              <w:rPr>
                <w:rFonts w:ascii="Arial" w:eastAsia="Times New Roman" w:hAnsi="Arial" w:cs="Arial"/>
                <w:b/>
                <w:bCs/>
                <w:color w:val="000000"/>
                <w:lang w:eastAsia="en-GB"/>
              </w:rPr>
              <w:t> </w:t>
            </w:r>
          </w:p>
        </w:tc>
        <w:tc>
          <w:tcPr>
            <w:tcW w:w="1456" w:type="dxa"/>
            <w:tcBorders>
              <w:top w:val="nil"/>
              <w:left w:val="nil"/>
              <w:bottom w:val="nil"/>
              <w:right w:val="nil"/>
            </w:tcBorders>
            <w:shd w:val="clear" w:color="000000" w:fill="FFFFFF"/>
            <w:noWrap/>
            <w:vAlign w:val="center"/>
            <w:hideMark/>
          </w:tcPr>
          <w:p w14:paraId="6D54AAF4" w14:textId="77777777" w:rsidR="0021298F" w:rsidRPr="00941CDF" w:rsidRDefault="0021298F" w:rsidP="00760009">
            <w:pPr>
              <w:jc w:val="right"/>
              <w:rPr>
                <w:rFonts w:ascii="Arial" w:eastAsia="Times New Roman" w:hAnsi="Arial" w:cs="Arial"/>
                <w:b/>
                <w:bCs/>
                <w:color w:val="000000"/>
                <w:lang w:eastAsia="en-GB"/>
              </w:rPr>
            </w:pPr>
            <w:r w:rsidRPr="00941CDF">
              <w:rPr>
                <w:rFonts w:ascii="Arial" w:eastAsia="Times New Roman" w:hAnsi="Arial" w:cs="Arial"/>
                <w:b/>
                <w:bCs/>
                <w:color w:val="000000"/>
                <w:lang w:eastAsia="en-GB"/>
              </w:rPr>
              <w:t> </w:t>
            </w:r>
          </w:p>
        </w:tc>
        <w:tc>
          <w:tcPr>
            <w:tcW w:w="1456" w:type="dxa"/>
            <w:tcBorders>
              <w:top w:val="nil"/>
              <w:left w:val="nil"/>
              <w:bottom w:val="nil"/>
              <w:right w:val="nil"/>
            </w:tcBorders>
            <w:shd w:val="clear" w:color="000000" w:fill="FFFFFF"/>
            <w:noWrap/>
            <w:vAlign w:val="center"/>
            <w:hideMark/>
          </w:tcPr>
          <w:p w14:paraId="642F5517" w14:textId="77777777" w:rsidR="0021298F" w:rsidRPr="00941CDF" w:rsidRDefault="0021298F" w:rsidP="00760009">
            <w:pPr>
              <w:jc w:val="right"/>
              <w:rPr>
                <w:rFonts w:ascii="Arial" w:eastAsia="Times New Roman" w:hAnsi="Arial" w:cs="Arial"/>
                <w:b/>
                <w:bCs/>
                <w:color w:val="000000"/>
                <w:lang w:eastAsia="en-GB"/>
              </w:rPr>
            </w:pPr>
            <w:r w:rsidRPr="00941CDF">
              <w:rPr>
                <w:rFonts w:ascii="Arial" w:eastAsia="Times New Roman" w:hAnsi="Arial" w:cs="Arial"/>
                <w:b/>
                <w:bCs/>
                <w:color w:val="000000"/>
                <w:lang w:eastAsia="en-GB"/>
              </w:rPr>
              <w:t> </w:t>
            </w:r>
          </w:p>
        </w:tc>
      </w:tr>
      <w:tr w:rsidR="0021298F" w:rsidRPr="00941CDF" w14:paraId="53DA78C1" w14:textId="77777777" w:rsidTr="00760009">
        <w:trPr>
          <w:trHeight w:val="300"/>
        </w:trPr>
        <w:tc>
          <w:tcPr>
            <w:tcW w:w="3216" w:type="dxa"/>
            <w:tcBorders>
              <w:top w:val="nil"/>
              <w:left w:val="nil"/>
              <w:bottom w:val="single" w:sz="4" w:space="0" w:color="auto"/>
              <w:right w:val="nil"/>
            </w:tcBorders>
            <w:shd w:val="clear" w:color="000000" w:fill="FFFFFF"/>
            <w:vAlign w:val="center"/>
            <w:hideMark/>
          </w:tcPr>
          <w:p w14:paraId="6291590E" w14:textId="77777777" w:rsidR="0021298F" w:rsidRPr="00941CDF" w:rsidRDefault="0021298F" w:rsidP="00760009">
            <w:pPr>
              <w:jc w:val="both"/>
              <w:rPr>
                <w:rFonts w:ascii="Arial" w:eastAsia="Times New Roman" w:hAnsi="Arial" w:cs="Arial"/>
                <w:color w:val="000000"/>
                <w:lang w:eastAsia="en-GB"/>
              </w:rPr>
            </w:pPr>
            <w:r w:rsidRPr="00941CDF">
              <w:rPr>
                <w:rFonts w:ascii="Arial" w:eastAsia="Times New Roman" w:hAnsi="Arial" w:cs="Arial"/>
                <w:color w:val="000000"/>
                <w:lang w:eastAsia="en-GB"/>
              </w:rPr>
              <w:t>Other payables (note 12)</w:t>
            </w:r>
          </w:p>
        </w:tc>
        <w:tc>
          <w:tcPr>
            <w:tcW w:w="1399" w:type="dxa"/>
            <w:tcBorders>
              <w:top w:val="nil"/>
              <w:left w:val="nil"/>
              <w:bottom w:val="single" w:sz="4" w:space="0" w:color="auto"/>
              <w:right w:val="nil"/>
            </w:tcBorders>
            <w:shd w:val="clear" w:color="000000" w:fill="FFFFFF"/>
            <w:noWrap/>
            <w:vAlign w:val="center"/>
            <w:hideMark/>
          </w:tcPr>
          <w:p w14:paraId="7D1269CA" w14:textId="77777777" w:rsidR="0021298F" w:rsidRPr="00941CDF" w:rsidRDefault="0021298F" w:rsidP="00760009">
            <w:pPr>
              <w:jc w:val="right"/>
              <w:rPr>
                <w:rFonts w:ascii="Arial" w:eastAsia="Times New Roman" w:hAnsi="Arial" w:cs="Arial"/>
                <w:color w:val="000000"/>
                <w:lang w:eastAsia="en-GB"/>
              </w:rPr>
            </w:pPr>
            <w:r w:rsidRPr="00941CDF">
              <w:rPr>
                <w:rFonts w:ascii="Arial" w:eastAsia="Times New Roman" w:hAnsi="Arial" w:cs="Arial"/>
                <w:color w:val="000000"/>
                <w:lang w:eastAsia="en-GB"/>
              </w:rPr>
              <w:t xml:space="preserve"> - </w:t>
            </w:r>
          </w:p>
        </w:tc>
        <w:tc>
          <w:tcPr>
            <w:tcW w:w="1433" w:type="dxa"/>
            <w:tcBorders>
              <w:top w:val="nil"/>
              <w:left w:val="nil"/>
              <w:bottom w:val="single" w:sz="4" w:space="0" w:color="auto"/>
              <w:right w:val="nil"/>
            </w:tcBorders>
            <w:shd w:val="clear" w:color="000000" w:fill="FFFFFF"/>
            <w:noWrap/>
            <w:vAlign w:val="center"/>
            <w:hideMark/>
          </w:tcPr>
          <w:p w14:paraId="46716650" w14:textId="77777777" w:rsidR="0021298F" w:rsidRPr="00941CDF" w:rsidRDefault="0021298F" w:rsidP="00760009">
            <w:pPr>
              <w:jc w:val="right"/>
              <w:rPr>
                <w:rFonts w:ascii="Arial" w:eastAsia="Times New Roman" w:hAnsi="Arial" w:cs="Arial"/>
                <w:color w:val="000000"/>
                <w:lang w:eastAsia="en-GB"/>
              </w:rPr>
            </w:pPr>
            <w:r w:rsidRPr="00941CDF">
              <w:rPr>
                <w:rFonts w:ascii="Arial" w:eastAsia="Times New Roman" w:hAnsi="Arial" w:cs="Arial"/>
                <w:color w:val="000000"/>
                <w:lang w:eastAsia="en-GB"/>
              </w:rPr>
              <w:t xml:space="preserve"> - </w:t>
            </w:r>
          </w:p>
        </w:tc>
        <w:tc>
          <w:tcPr>
            <w:tcW w:w="1456" w:type="dxa"/>
            <w:tcBorders>
              <w:top w:val="nil"/>
              <w:left w:val="nil"/>
              <w:bottom w:val="single" w:sz="4" w:space="0" w:color="auto"/>
              <w:right w:val="nil"/>
            </w:tcBorders>
            <w:shd w:val="clear" w:color="000000" w:fill="FFFFFF"/>
            <w:noWrap/>
            <w:vAlign w:val="center"/>
            <w:hideMark/>
          </w:tcPr>
          <w:p w14:paraId="076EF5B0" w14:textId="77777777" w:rsidR="0021298F" w:rsidRPr="00941CDF" w:rsidRDefault="0021298F" w:rsidP="00760009">
            <w:pPr>
              <w:jc w:val="right"/>
              <w:rPr>
                <w:rFonts w:ascii="Arial" w:eastAsia="Times New Roman" w:hAnsi="Arial" w:cs="Arial"/>
                <w:color w:val="000000"/>
                <w:lang w:eastAsia="en-GB"/>
              </w:rPr>
            </w:pPr>
            <w:r w:rsidRPr="00941CDF">
              <w:rPr>
                <w:rFonts w:ascii="Arial" w:eastAsia="Times New Roman" w:hAnsi="Arial" w:cs="Arial"/>
                <w:color w:val="000000"/>
                <w:lang w:eastAsia="en-GB"/>
              </w:rPr>
              <w:t xml:space="preserve"> (2,000)</w:t>
            </w:r>
          </w:p>
        </w:tc>
        <w:tc>
          <w:tcPr>
            <w:tcW w:w="1456" w:type="dxa"/>
            <w:tcBorders>
              <w:top w:val="nil"/>
              <w:left w:val="nil"/>
              <w:bottom w:val="single" w:sz="4" w:space="0" w:color="auto"/>
              <w:right w:val="nil"/>
            </w:tcBorders>
            <w:shd w:val="clear" w:color="000000" w:fill="FFFFFF"/>
            <w:noWrap/>
            <w:vAlign w:val="center"/>
            <w:hideMark/>
          </w:tcPr>
          <w:p w14:paraId="46D4269F" w14:textId="77777777" w:rsidR="0021298F" w:rsidRPr="00941CDF" w:rsidRDefault="0021298F" w:rsidP="00760009">
            <w:pPr>
              <w:jc w:val="right"/>
              <w:rPr>
                <w:rFonts w:ascii="Arial" w:eastAsia="Times New Roman" w:hAnsi="Arial" w:cs="Arial"/>
                <w:b/>
                <w:bCs/>
                <w:color w:val="000000"/>
                <w:lang w:eastAsia="en-GB"/>
              </w:rPr>
            </w:pPr>
            <w:r w:rsidRPr="00941CDF">
              <w:rPr>
                <w:rFonts w:ascii="Arial" w:eastAsia="Times New Roman" w:hAnsi="Arial" w:cs="Arial"/>
                <w:b/>
                <w:bCs/>
                <w:color w:val="000000"/>
                <w:lang w:eastAsia="en-GB"/>
              </w:rPr>
              <w:t xml:space="preserve"> (2,000)</w:t>
            </w:r>
          </w:p>
        </w:tc>
      </w:tr>
      <w:tr w:rsidR="0021298F" w:rsidRPr="00941CDF" w14:paraId="0DD0049F" w14:textId="77777777" w:rsidTr="00760009">
        <w:trPr>
          <w:trHeight w:val="315"/>
        </w:trPr>
        <w:tc>
          <w:tcPr>
            <w:tcW w:w="3216" w:type="dxa"/>
            <w:tcBorders>
              <w:top w:val="nil"/>
              <w:left w:val="nil"/>
              <w:bottom w:val="single" w:sz="8" w:space="0" w:color="auto"/>
              <w:right w:val="nil"/>
            </w:tcBorders>
            <w:shd w:val="clear" w:color="000000" w:fill="FFFFFF"/>
            <w:vAlign w:val="center"/>
            <w:hideMark/>
          </w:tcPr>
          <w:p w14:paraId="7F575987" w14:textId="77777777" w:rsidR="0021298F" w:rsidRPr="00941CDF" w:rsidRDefault="0021298F" w:rsidP="00760009">
            <w:pPr>
              <w:jc w:val="both"/>
              <w:rPr>
                <w:rFonts w:ascii="Arial" w:eastAsia="Times New Roman" w:hAnsi="Arial" w:cs="Arial"/>
                <w:b/>
                <w:bCs/>
                <w:color w:val="000000"/>
                <w:lang w:eastAsia="en-GB"/>
              </w:rPr>
            </w:pPr>
            <w:r w:rsidRPr="00941CDF">
              <w:rPr>
                <w:rFonts w:ascii="Arial" w:eastAsia="Times New Roman" w:hAnsi="Arial" w:cs="Arial"/>
                <w:b/>
                <w:bCs/>
                <w:color w:val="000000"/>
                <w:lang w:eastAsia="en-GB"/>
              </w:rPr>
              <w:t> </w:t>
            </w:r>
          </w:p>
        </w:tc>
        <w:tc>
          <w:tcPr>
            <w:tcW w:w="1399" w:type="dxa"/>
            <w:tcBorders>
              <w:top w:val="nil"/>
              <w:left w:val="nil"/>
              <w:bottom w:val="single" w:sz="8" w:space="0" w:color="auto"/>
              <w:right w:val="nil"/>
            </w:tcBorders>
            <w:shd w:val="clear" w:color="000000" w:fill="FFFFFF"/>
            <w:noWrap/>
            <w:vAlign w:val="center"/>
            <w:hideMark/>
          </w:tcPr>
          <w:p w14:paraId="551292F1" w14:textId="77777777" w:rsidR="0021298F" w:rsidRPr="00941CDF" w:rsidRDefault="0021298F" w:rsidP="00760009">
            <w:pPr>
              <w:jc w:val="right"/>
              <w:rPr>
                <w:rFonts w:ascii="Arial" w:eastAsia="Times New Roman" w:hAnsi="Arial" w:cs="Arial"/>
                <w:b/>
                <w:bCs/>
                <w:color w:val="000000"/>
                <w:lang w:eastAsia="en-GB"/>
              </w:rPr>
            </w:pPr>
            <w:r w:rsidRPr="00941CDF">
              <w:rPr>
                <w:rFonts w:ascii="Arial" w:eastAsia="Times New Roman" w:hAnsi="Arial" w:cs="Arial"/>
                <w:b/>
                <w:bCs/>
                <w:color w:val="000000"/>
                <w:lang w:eastAsia="en-GB"/>
              </w:rPr>
              <w:t xml:space="preserve"> - </w:t>
            </w:r>
          </w:p>
        </w:tc>
        <w:tc>
          <w:tcPr>
            <w:tcW w:w="1433" w:type="dxa"/>
            <w:tcBorders>
              <w:top w:val="nil"/>
              <w:left w:val="nil"/>
              <w:bottom w:val="single" w:sz="8" w:space="0" w:color="auto"/>
              <w:right w:val="nil"/>
            </w:tcBorders>
            <w:shd w:val="clear" w:color="000000" w:fill="FFFFFF"/>
            <w:noWrap/>
            <w:vAlign w:val="center"/>
            <w:hideMark/>
          </w:tcPr>
          <w:p w14:paraId="449C0DFA" w14:textId="77777777" w:rsidR="0021298F" w:rsidRPr="00941CDF" w:rsidRDefault="0021298F" w:rsidP="00760009">
            <w:pPr>
              <w:jc w:val="right"/>
              <w:rPr>
                <w:rFonts w:ascii="Arial" w:eastAsia="Times New Roman" w:hAnsi="Arial" w:cs="Arial"/>
                <w:b/>
                <w:bCs/>
                <w:color w:val="000000"/>
                <w:lang w:eastAsia="en-GB"/>
              </w:rPr>
            </w:pPr>
            <w:r w:rsidRPr="00941CDF">
              <w:rPr>
                <w:rFonts w:ascii="Arial" w:eastAsia="Times New Roman" w:hAnsi="Arial" w:cs="Arial"/>
                <w:b/>
                <w:bCs/>
                <w:color w:val="000000"/>
                <w:lang w:eastAsia="en-GB"/>
              </w:rPr>
              <w:t xml:space="preserve"> - </w:t>
            </w:r>
          </w:p>
        </w:tc>
        <w:tc>
          <w:tcPr>
            <w:tcW w:w="1456" w:type="dxa"/>
            <w:tcBorders>
              <w:top w:val="nil"/>
              <w:left w:val="nil"/>
              <w:bottom w:val="single" w:sz="8" w:space="0" w:color="auto"/>
              <w:right w:val="nil"/>
            </w:tcBorders>
            <w:shd w:val="clear" w:color="000000" w:fill="FFFFFF"/>
            <w:noWrap/>
            <w:vAlign w:val="center"/>
            <w:hideMark/>
          </w:tcPr>
          <w:p w14:paraId="31D11546" w14:textId="77777777" w:rsidR="0021298F" w:rsidRPr="00941CDF" w:rsidRDefault="0021298F" w:rsidP="00760009">
            <w:pPr>
              <w:jc w:val="right"/>
              <w:rPr>
                <w:rFonts w:ascii="Arial" w:eastAsia="Times New Roman" w:hAnsi="Arial" w:cs="Arial"/>
                <w:b/>
                <w:bCs/>
                <w:color w:val="000000"/>
                <w:lang w:eastAsia="en-GB"/>
              </w:rPr>
            </w:pPr>
            <w:r w:rsidRPr="00941CDF">
              <w:rPr>
                <w:rFonts w:ascii="Arial" w:eastAsia="Times New Roman" w:hAnsi="Arial" w:cs="Arial"/>
                <w:b/>
                <w:bCs/>
                <w:color w:val="000000"/>
                <w:lang w:eastAsia="en-GB"/>
              </w:rPr>
              <w:t xml:space="preserve"> (2,000)</w:t>
            </w:r>
          </w:p>
        </w:tc>
        <w:tc>
          <w:tcPr>
            <w:tcW w:w="1456" w:type="dxa"/>
            <w:tcBorders>
              <w:top w:val="nil"/>
              <w:left w:val="nil"/>
              <w:bottom w:val="single" w:sz="8" w:space="0" w:color="auto"/>
              <w:right w:val="nil"/>
            </w:tcBorders>
            <w:shd w:val="clear" w:color="000000" w:fill="FFFFFF"/>
            <w:noWrap/>
            <w:vAlign w:val="center"/>
            <w:hideMark/>
          </w:tcPr>
          <w:p w14:paraId="3D29F605" w14:textId="77777777" w:rsidR="0021298F" w:rsidRPr="00941CDF" w:rsidRDefault="0021298F" w:rsidP="00760009">
            <w:pPr>
              <w:jc w:val="right"/>
              <w:rPr>
                <w:rFonts w:ascii="Arial" w:eastAsia="Times New Roman" w:hAnsi="Arial" w:cs="Arial"/>
                <w:b/>
                <w:bCs/>
                <w:color w:val="000000"/>
                <w:lang w:eastAsia="en-GB"/>
              </w:rPr>
            </w:pPr>
            <w:r w:rsidRPr="00941CDF">
              <w:rPr>
                <w:rFonts w:ascii="Arial" w:eastAsia="Times New Roman" w:hAnsi="Arial" w:cs="Arial"/>
                <w:b/>
                <w:bCs/>
                <w:color w:val="000000"/>
                <w:lang w:eastAsia="en-GB"/>
              </w:rPr>
              <w:t xml:space="preserve"> (2,000)</w:t>
            </w:r>
          </w:p>
        </w:tc>
      </w:tr>
    </w:tbl>
    <w:p w14:paraId="004E0355" w14:textId="77777777" w:rsidR="0021298F" w:rsidRPr="00C171AF" w:rsidRDefault="0021298F" w:rsidP="0021298F">
      <w:pPr>
        <w:jc w:val="both"/>
        <w:rPr>
          <w:rFonts w:ascii="Arial" w:eastAsia="Times New Roman" w:hAnsi="Arial" w:cs="Arial"/>
        </w:rPr>
      </w:pPr>
    </w:p>
    <w:p w14:paraId="4BE296DD" w14:textId="77777777" w:rsidR="0021298F" w:rsidRPr="00843FBC" w:rsidRDefault="0021298F" w:rsidP="0021298F">
      <w:pPr>
        <w:jc w:val="both"/>
        <w:rPr>
          <w:rFonts w:ascii="Arial" w:hAnsi="Arial" w:cs="Arial"/>
          <w:b/>
        </w:rPr>
      </w:pPr>
      <w:r>
        <w:rPr>
          <w:rFonts w:ascii="Arial" w:hAnsi="Arial" w:cs="Arial"/>
          <w:b/>
        </w:rPr>
        <w:t>Foreign c</w:t>
      </w:r>
      <w:r w:rsidRPr="00843FBC">
        <w:rPr>
          <w:rFonts w:ascii="Arial" w:hAnsi="Arial" w:cs="Arial"/>
          <w:b/>
        </w:rPr>
        <w:t xml:space="preserve">urrency </w:t>
      </w:r>
      <w:r>
        <w:rPr>
          <w:rFonts w:ascii="Arial" w:hAnsi="Arial" w:cs="Arial"/>
          <w:b/>
        </w:rPr>
        <w:t>r</w:t>
      </w:r>
      <w:r w:rsidRPr="00843FBC">
        <w:rPr>
          <w:rFonts w:ascii="Arial" w:hAnsi="Arial" w:cs="Arial"/>
          <w:b/>
        </w:rPr>
        <w:t>isk</w:t>
      </w:r>
    </w:p>
    <w:p w14:paraId="4EC284F6" w14:textId="77777777" w:rsidR="0021298F" w:rsidRDefault="0021298F" w:rsidP="0021298F">
      <w:pPr>
        <w:jc w:val="both"/>
        <w:rPr>
          <w:rFonts w:ascii="Arial" w:hAnsi="Arial" w:cs="Arial"/>
        </w:rPr>
      </w:pPr>
      <w:r>
        <w:rPr>
          <w:rFonts w:ascii="Arial" w:hAnsi="Arial" w:cs="Arial"/>
        </w:rPr>
        <w:t xml:space="preserve">Foreign currency risk is defined as the risk that the fair values of future cash flows will fluctuate because of changes in foreign exchange rates. The Group’s financial assets and liabilities are denominated in EUR and substantially all of its revenues and expenses are in EUR. </w:t>
      </w:r>
      <w:r w:rsidRPr="00680D61">
        <w:rPr>
          <w:rFonts w:ascii="Arial" w:hAnsi="Arial" w:cs="Arial"/>
        </w:rPr>
        <w:t>The Group is not considered to be</w:t>
      </w:r>
      <w:r>
        <w:rPr>
          <w:rFonts w:ascii="Arial" w:hAnsi="Arial" w:cs="Arial"/>
        </w:rPr>
        <w:t xml:space="preserve"> materially</w:t>
      </w:r>
      <w:r w:rsidRPr="00680D61">
        <w:rPr>
          <w:rFonts w:ascii="Arial" w:hAnsi="Arial" w:cs="Arial"/>
        </w:rPr>
        <w:t xml:space="preserve"> exposed to foreign currency</w:t>
      </w:r>
      <w:r>
        <w:rPr>
          <w:rFonts w:ascii="Arial" w:hAnsi="Arial" w:cs="Arial"/>
        </w:rPr>
        <w:t xml:space="preserve"> risk</w:t>
      </w:r>
      <w:r w:rsidRPr="002D7152">
        <w:rPr>
          <w:rFonts w:ascii="Arial" w:hAnsi="Arial" w:cs="Arial"/>
        </w:rPr>
        <w:t>.</w:t>
      </w:r>
    </w:p>
    <w:p w14:paraId="1773B014" w14:textId="77777777" w:rsidR="0021298F" w:rsidRDefault="0021298F" w:rsidP="0021298F">
      <w:pPr>
        <w:jc w:val="both"/>
        <w:rPr>
          <w:rFonts w:ascii="Arial" w:hAnsi="Arial" w:cs="Arial"/>
        </w:rPr>
      </w:pPr>
    </w:p>
    <w:p w14:paraId="4C36B985" w14:textId="77777777" w:rsidR="0021298F" w:rsidRDefault="0021298F" w:rsidP="0021298F">
      <w:pPr>
        <w:jc w:val="both"/>
        <w:rPr>
          <w:rFonts w:ascii="Arial" w:hAnsi="Arial" w:cs="Arial"/>
          <w:b/>
        </w:rPr>
      </w:pPr>
      <w:r>
        <w:rPr>
          <w:rFonts w:ascii="Arial" w:hAnsi="Arial" w:cs="Arial"/>
          <w:b/>
        </w:rPr>
        <w:t>Credit</w:t>
      </w:r>
      <w:r w:rsidRPr="00843FBC">
        <w:rPr>
          <w:rFonts w:ascii="Arial" w:hAnsi="Arial" w:cs="Arial"/>
          <w:b/>
        </w:rPr>
        <w:t xml:space="preserve"> </w:t>
      </w:r>
      <w:r>
        <w:rPr>
          <w:rFonts w:ascii="Arial" w:hAnsi="Arial" w:cs="Arial"/>
          <w:b/>
        </w:rPr>
        <w:t>r</w:t>
      </w:r>
      <w:r w:rsidRPr="00843FBC">
        <w:rPr>
          <w:rFonts w:ascii="Arial" w:hAnsi="Arial" w:cs="Arial"/>
          <w:b/>
        </w:rPr>
        <w:t>isk</w:t>
      </w:r>
    </w:p>
    <w:p w14:paraId="6A77FD61" w14:textId="77777777" w:rsidR="0021298F" w:rsidRDefault="0021298F" w:rsidP="0021298F">
      <w:pPr>
        <w:jc w:val="both"/>
        <w:rPr>
          <w:rFonts w:ascii="Arial" w:hAnsi="Arial" w:cs="Arial"/>
        </w:rPr>
      </w:pPr>
      <w:r w:rsidRPr="00D36EC4">
        <w:rPr>
          <w:rFonts w:ascii="Arial" w:hAnsi="Arial" w:cs="Arial"/>
        </w:rPr>
        <w:t xml:space="preserve">Credit risk is the risk of loss due to the failure of a borrower </w:t>
      </w:r>
      <w:r>
        <w:rPr>
          <w:rFonts w:ascii="Arial" w:hAnsi="Arial" w:cs="Arial"/>
        </w:rPr>
        <w:t xml:space="preserve">or counterparty to fulfil its contractual obligations. The Group is exposed to credit risk in respect of other receivables and cash at bank. The Group minimises its credit risk exposure by dealing with financial institutions with investment grade credit ratings and making loan investments which are equity in nature. </w:t>
      </w:r>
    </w:p>
    <w:p w14:paraId="184058D1" w14:textId="77777777" w:rsidR="0021298F" w:rsidRDefault="0021298F" w:rsidP="0021298F">
      <w:pPr>
        <w:jc w:val="both"/>
        <w:rPr>
          <w:rFonts w:ascii="Arial" w:hAnsi="Arial" w:cs="Arial"/>
          <w:b/>
        </w:rPr>
      </w:pPr>
    </w:p>
    <w:p w14:paraId="779C16F3" w14:textId="77777777" w:rsidR="0021298F" w:rsidRDefault="0021298F" w:rsidP="0021298F">
      <w:pPr>
        <w:jc w:val="both"/>
        <w:rPr>
          <w:rFonts w:ascii="Arial" w:hAnsi="Arial" w:cs="Arial"/>
        </w:rPr>
      </w:pPr>
      <w:r>
        <w:rPr>
          <w:rFonts w:ascii="Arial" w:hAnsi="Arial" w:cs="Arial"/>
        </w:rPr>
        <w:t>The table below details the Group’s maximum exposure to credit risk:</w:t>
      </w:r>
    </w:p>
    <w:tbl>
      <w:tblPr>
        <w:tblW w:w="8740" w:type="dxa"/>
        <w:tblLook w:val="04A0" w:firstRow="1" w:lastRow="0" w:firstColumn="1" w:lastColumn="0" w:noHBand="0" w:noVBand="1"/>
      </w:tblPr>
      <w:tblGrid>
        <w:gridCol w:w="4328"/>
        <w:gridCol w:w="2196"/>
        <w:gridCol w:w="2216"/>
      </w:tblGrid>
      <w:tr w:rsidR="0021298F" w:rsidRPr="00956CE7" w14:paraId="5487EB81" w14:textId="77777777" w:rsidTr="00760009">
        <w:trPr>
          <w:trHeight w:val="300"/>
        </w:trPr>
        <w:tc>
          <w:tcPr>
            <w:tcW w:w="4328" w:type="dxa"/>
            <w:tcBorders>
              <w:top w:val="nil"/>
              <w:left w:val="nil"/>
              <w:bottom w:val="nil"/>
              <w:right w:val="nil"/>
            </w:tcBorders>
            <w:shd w:val="clear" w:color="000000" w:fill="FFFFFF"/>
            <w:vAlign w:val="center"/>
            <w:hideMark/>
          </w:tcPr>
          <w:p w14:paraId="3A295DFE" w14:textId="77777777" w:rsidR="0021298F" w:rsidRPr="00956CE7" w:rsidRDefault="0021298F" w:rsidP="00760009">
            <w:pPr>
              <w:jc w:val="both"/>
              <w:rPr>
                <w:rFonts w:ascii="Arial" w:eastAsia="Times New Roman" w:hAnsi="Arial" w:cs="Arial"/>
                <w:color w:val="000000"/>
                <w:lang w:eastAsia="en-GB"/>
              </w:rPr>
            </w:pPr>
            <w:r w:rsidRPr="00956CE7">
              <w:rPr>
                <w:rFonts w:ascii="Arial" w:eastAsia="Times New Roman" w:hAnsi="Arial" w:cs="Arial"/>
                <w:color w:val="000000"/>
                <w:lang w:eastAsia="en-GB"/>
              </w:rPr>
              <w:t> </w:t>
            </w:r>
          </w:p>
        </w:tc>
        <w:tc>
          <w:tcPr>
            <w:tcW w:w="2196" w:type="dxa"/>
            <w:tcBorders>
              <w:top w:val="nil"/>
              <w:left w:val="nil"/>
              <w:bottom w:val="nil"/>
              <w:right w:val="nil"/>
            </w:tcBorders>
            <w:shd w:val="clear" w:color="000000" w:fill="FFFFFF"/>
            <w:vAlign w:val="center"/>
            <w:hideMark/>
          </w:tcPr>
          <w:p w14:paraId="60079A89" w14:textId="77777777" w:rsidR="0021298F" w:rsidRPr="00956CE7" w:rsidRDefault="0021298F" w:rsidP="00760009">
            <w:pPr>
              <w:jc w:val="right"/>
              <w:rPr>
                <w:rFonts w:ascii="Arial" w:eastAsia="Times New Roman" w:hAnsi="Arial" w:cs="Arial"/>
                <w:b/>
                <w:bCs/>
                <w:color w:val="000000"/>
                <w:lang w:eastAsia="en-GB"/>
              </w:rPr>
            </w:pPr>
            <w:r w:rsidRPr="00956CE7">
              <w:rPr>
                <w:rFonts w:ascii="Arial" w:eastAsia="Times New Roman" w:hAnsi="Arial" w:cs="Arial"/>
                <w:b/>
                <w:bCs/>
                <w:color w:val="000000"/>
                <w:lang w:eastAsia="en-GB"/>
              </w:rPr>
              <w:t>31 December 2020</w:t>
            </w:r>
          </w:p>
        </w:tc>
        <w:tc>
          <w:tcPr>
            <w:tcW w:w="2216" w:type="dxa"/>
            <w:tcBorders>
              <w:top w:val="nil"/>
              <w:left w:val="nil"/>
              <w:bottom w:val="nil"/>
              <w:right w:val="nil"/>
            </w:tcBorders>
            <w:shd w:val="clear" w:color="000000" w:fill="FFFFFF"/>
            <w:noWrap/>
            <w:vAlign w:val="center"/>
            <w:hideMark/>
          </w:tcPr>
          <w:p w14:paraId="1EC05BA1" w14:textId="77777777" w:rsidR="0021298F" w:rsidRPr="00956CE7" w:rsidRDefault="0021298F" w:rsidP="00760009">
            <w:pPr>
              <w:jc w:val="right"/>
              <w:rPr>
                <w:rFonts w:ascii="Arial" w:eastAsia="Times New Roman" w:hAnsi="Arial" w:cs="Arial"/>
                <w:b/>
                <w:bCs/>
                <w:color w:val="000000"/>
                <w:lang w:eastAsia="en-GB"/>
              </w:rPr>
            </w:pPr>
            <w:r w:rsidRPr="00956CE7">
              <w:rPr>
                <w:rFonts w:ascii="Arial" w:eastAsia="Times New Roman" w:hAnsi="Arial" w:cs="Arial"/>
                <w:b/>
                <w:bCs/>
                <w:color w:val="000000"/>
                <w:lang w:eastAsia="en-GB"/>
              </w:rPr>
              <w:t>31 December 2019</w:t>
            </w:r>
          </w:p>
        </w:tc>
      </w:tr>
      <w:tr w:rsidR="0021298F" w:rsidRPr="00956CE7" w14:paraId="4598C349" w14:textId="77777777" w:rsidTr="00760009">
        <w:trPr>
          <w:trHeight w:val="300"/>
        </w:trPr>
        <w:tc>
          <w:tcPr>
            <w:tcW w:w="4328" w:type="dxa"/>
            <w:tcBorders>
              <w:top w:val="nil"/>
              <w:left w:val="nil"/>
              <w:bottom w:val="single" w:sz="4" w:space="0" w:color="auto"/>
              <w:right w:val="nil"/>
            </w:tcBorders>
            <w:shd w:val="clear" w:color="000000" w:fill="FFFFFF"/>
            <w:vAlign w:val="center"/>
            <w:hideMark/>
          </w:tcPr>
          <w:p w14:paraId="7D62A0A8" w14:textId="77777777" w:rsidR="0021298F" w:rsidRPr="00956CE7" w:rsidRDefault="0021298F" w:rsidP="00760009">
            <w:pPr>
              <w:jc w:val="both"/>
              <w:rPr>
                <w:rFonts w:ascii="Arial" w:eastAsia="Times New Roman" w:hAnsi="Arial" w:cs="Arial"/>
                <w:b/>
                <w:bCs/>
                <w:color w:val="000000"/>
                <w:lang w:eastAsia="en-GB"/>
              </w:rPr>
            </w:pPr>
            <w:r>
              <w:rPr>
                <w:rFonts w:ascii="Arial" w:eastAsia="Times New Roman" w:hAnsi="Arial" w:cs="Arial"/>
                <w:b/>
                <w:bCs/>
                <w:color w:val="000000"/>
                <w:lang w:eastAsia="en-GB"/>
              </w:rPr>
              <w:t>Group</w:t>
            </w:r>
          </w:p>
        </w:tc>
        <w:tc>
          <w:tcPr>
            <w:tcW w:w="2196" w:type="dxa"/>
            <w:tcBorders>
              <w:top w:val="nil"/>
              <w:left w:val="nil"/>
              <w:bottom w:val="single" w:sz="4" w:space="0" w:color="auto"/>
              <w:right w:val="nil"/>
            </w:tcBorders>
            <w:shd w:val="clear" w:color="000000" w:fill="FFFFFF"/>
            <w:vAlign w:val="center"/>
            <w:hideMark/>
          </w:tcPr>
          <w:p w14:paraId="4BBA4358" w14:textId="77777777" w:rsidR="0021298F" w:rsidRPr="00956CE7" w:rsidRDefault="0021298F" w:rsidP="00760009">
            <w:pPr>
              <w:jc w:val="right"/>
              <w:rPr>
                <w:rFonts w:ascii="Arial" w:eastAsia="Times New Roman" w:hAnsi="Arial" w:cs="Arial"/>
                <w:b/>
                <w:bCs/>
                <w:color w:val="000000"/>
                <w:lang w:eastAsia="en-GB"/>
              </w:rPr>
            </w:pPr>
            <w:r w:rsidRPr="00956CE7">
              <w:rPr>
                <w:rFonts w:ascii="Arial" w:eastAsia="Times New Roman" w:hAnsi="Arial" w:cs="Arial"/>
                <w:b/>
                <w:bCs/>
                <w:color w:val="000000"/>
                <w:lang w:eastAsia="en-GB"/>
              </w:rPr>
              <w:t>€’000</w:t>
            </w:r>
          </w:p>
        </w:tc>
        <w:tc>
          <w:tcPr>
            <w:tcW w:w="2216" w:type="dxa"/>
            <w:tcBorders>
              <w:top w:val="nil"/>
              <w:left w:val="nil"/>
              <w:bottom w:val="single" w:sz="4" w:space="0" w:color="auto"/>
              <w:right w:val="nil"/>
            </w:tcBorders>
            <w:shd w:val="clear" w:color="000000" w:fill="FFFFFF"/>
            <w:noWrap/>
            <w:vAlign w:val="center"/>
            <w:hideMark/>
          </w:tcPr>
          <w:p w14:paraId="43B6599D" w14:textId="77777777" w:rsidR="0021298F" w:rsidRPr="00956CE7" w:rsidRDefault="0021298F" w:rsidP="00760009">
            <w:pPr>
              <w:jc w:val="right"/>
              <w:rPr>
                <w:rFonts w:ascii="Arial" w:eastAsia="Times New Roman" w:hAnsi="Arial" w:cs="Arial"/>
                <w:b/>
                <w:bCs/>
                <w:color w:val="000000"/>
                <w:lang w:eastAsia="en-GB"/>
              </w:rPr>
            </w:pPr>
            <w:r w:rsidRPr="00956CE7">
              <w:rPr>
                <w:rFonts w:ascii="Arial" w:eastAsia="Times New Roman" w:hAnsi="Arial" w:cs="Arial"/>
                <w:b/>
                <w:bCs/>
                <w:color w:val="000000"/>
                <w:lang w:eastAsia="en-GB"/>
              </w:rPr>
              <w:t>€’000</w:t>
            </w:r>
          </w:p>
        </w:tc>
      </w:tr>
      <w:tr w:rsidR="0021298F" w:rsidRPr="00956CE7" w14:paraId="31A481A0" w14:textId="77777777" w:rsidTr="00760009">
        <w:trPr>
          <w:trHeight w:val="300"/>
        </w:trPr>
        <w:tc>
          <w:tcPr>
            <w:tcW w:w="4328" w:type="dxa"/>
            <w:tcBorders>
              <w:top w:val="nil"/>
              <w:left w:val="nil"/>
              <w:bottom w:val="nil"/>
              <w:right w:val="nil"/>
            </w:tcBorders>
            <w:shd w:val="clear" w:color="000000" w:fill="FFFFFF"/>
            <w:vAlign w:val="center"/>
            <w:hideMark/>
          </w:tcPr>
          <w:p w14:paraId="1088ACE7" w14:textId="77777777" w:rsidR="0021298F" w:rsidRPr="00956CE7" w:rsidRDefault="0021298F" w:rsidP="00760009">
            <w:pPr>
              <w:jc w:val="both"/>
              <w:rPr>
                <w:rFonts w:ascii="Arial" w:eastAsia="Times New Roman" w:hAnsi="Arial" w:cs="Arial"/>
                <w:color w:val="000000"/>
                <w:lang w:eastAsia="en-GB"/>
              </w:rPr>
            </w:pPr>
            <w:r w:rsidRPr="00956CE7">
              <w:rPr>
                <w:rFonts w:ascii="Arial" w:eastAsia="Times New Roman" w:hAnsi="Arial" w:cs="Arial"/>
                <w:color w:val="000000"/>
                <w:lang w:eastAsia="en-GB"/>
              </w:rPr>
              <w:t>Other receivables (note 11)</w:t>
            </w:r>
          </w:p>
        </w:tc>
        <w:tc>
          <w:tcPr>
            <w:tcW w:w="2196" w:type="dxa"/>
            <w:tcBorders>
              <w:top w:val="nil"/>
              <w:left w:val="nil"/>
              <w:bottom w:val="nil"/>
              <w:right w:val="nil"/>
            </w:tcBorders>
            <w:shd w:val="clear" w:color="000000" w:fill="EDFFB7"/>
            <w:vAlign w:val="center"/>
            <w:hideMark/>
          </w:tcPr>
          <w:p w14:paraId="665DC42D" w14:textId="77777777" w:rsidR="0021298F" w:rsidRPr="00956CE7" w:rsidRDefault="0021298F" w:rsidP="00760009">
            <w:pPr>
              <w:jc w:val="right"/>
              <w:rPr>
                <w:rFonts w:ascii="Arial" w:eastAsia="Times New Roman" w:hAnsi="Arial" w:cs="Arial"/>
                <w:color w:val="000000"/>
                <w:lang w:eastAsia="en-GB"/>
              </w:rPr>
            </w:pPr>
            <w:r>
              <w:rPr>
                <w:rFonts w:ascii="Arial" w:eastAsia="Times New Roman" w:hAnsi="Arial" w:cs="Arial"/>
                <w:color w:val="000000"/>
                <w:lang w:eastAsia="en-GB"/>
              </w:rPr>
              <w:t>4,095</w:t>
            </w:r>
          </w:p>
        </w:tc>
        <w:tc>
          <w:tcPr>
            <w:tcW w:w="2216" w:type="dxa"/>
            <w:tcBorders>
              <w:top w:val="nil"/>
              <w:left w:val="nil"/>
              <w:bottom w:val="nil"/>
              <w:right w:val="nil"/>
            </w:tcBorders>
            <w:shd w:val="clear" w:color="000000" w:fill="FFFFFF"/>
            <w:noWrap/>
            <w:vAlign w:val="center"/>
            <w:hideMark/>
          </w:tcPr>
          <w:p w14:paraId="363BDD45" w14:textId="77777777" w:rsidR="0021298F" w:rsidRPr="00956CE7" w:rsidRDefault="0021298F" w:rsidP="00760009">
            <w:pPr>
              <w:jc w:val="right"/>
              <w:rPr>
                <w:rFonts w:ascii="Arial" w:eastAsia="Times New Roman" w:hAnsi="Arial" w:cs="Arial"/>
                <w:color w:val="000000"/>
                <w:lang w:eastAsia="en-GB"/>
              </w:rPr>
            </w:pPr>
            <w:r>
              <w:rPr>
                <w:rFonts w:ascii="Arial" w:eastAsia="Times New Roman" w:hAnsi="Arial" w:cs="Arial"/>
                <w:color w:val="000000"/>
                <w:lang w:eastAsia="en-GB"/>
              </w:rPr>
              <w:t>3,266</w:t>
            </w:r>
          </w:p>
        </w:tc>
      </w:tr>
      <w:tr w:rsidR="0021298F" w:rsidRPr="00956CE7" w14:paraId="705ED41C" w14:textId="77777777" w:rsidTr="00760009">
        <w:trPr>
          <w:trHeight w:val="300"/>
        </w:trPr>
        <w:tc>
          <w:tcPr>
            <w:tcW w:w="4328" w:type="dxa"/>
            <w:tcBorders>
              <w:top w:val="nil"/>
              <w:left w:val="nil"/>
              <w:bottom w:val="nil"/>
              <w:right w:val="nil"/>
            </w:tcBorders>
            <w:shd w:val="clear" w:color="000000" w:fill="FFFFFF"/>
            <w:vAlign w:val="center"/>
            <w:hideMark/>
          </w:tcPr>
          <w:p w14:paraId="0F0D9DA3" w14:textId="77777777" w:rsidR="0021298F" w:rsidRPr="00956CE7" w:rsidRDefault="0021298F" w:rsidP="00760009">
            <w:pPr>
              <w:jc w:val="both"/>
              <w:rPr>
                <w:rFonts w:ascii="Arial" w:eastAsia="Times New Roman" w:hAnsi="Arial" w:cs="Arial"/>
                <w:color w:val="000000"/>
                <w:lang w:eastAsia="en-GB"/>
              </w:rPr>
            </w:pPr>
            <w:r w:rsidRPr="00956CE7">
              <w:rPr>
                <w:rFonts w:ascii="Arial" w:eastAsia="Times New Roman" w:hAnsi="Arial" w:cs="Arial"/>
                <w:color w:val="000000"/>
                <w:lang w:eastAsia="en-GB"/>
              </w:rPr>
              <w:t>Cash at bank</w:t>
            </w:r>
          </w:p>
        </w:tc>
        <w:tc>
          <w:tcPr>
            <w:tcW w:w="2196" w:type="dxa"/>
            <w:tcBorders>
              <w:top w:val="nil"/>
              <w:left w:val="nil"/>
              <w:bottom w:val="nil"/>
              <w:right w:val="nil"/>
            </w:tcBorders>
            <w:shd w:val="clear" w:color="000000" w:fill="EDFFB7"/>
            <w:vAlign w:val="center"/>
            <w:hideMark/>
          </w:tcPr>
          <w:p w14:paraId="186526C5" w14:textId="77777777" w:rsidR="0021298F" w:rsidRPr="00956CE7" w:rsidRDefault="0021298F" w:rsidP="00760009">
            <w:pPr>
              <w:jc w:val="right"/>
              <w:rPr>
                <w:rFonts w:ascii="Arial" w:eastAsia="Times New Roman" w:hAnsi="Arial" w:cs="Arial"/>
                <w:color w:val="000000"/>
                <w:lang w:eastAsia="en-GB"/>
              </w:rPr>
            </w:pPr>
            <w:r w:rsidRPr="00956CE7">
              <w:rPr>
                <w:rFonts w:ascii="Arial" w:eastAsia="Times New Roman" w:hAnsi="Arial" w:cs="Arial"/>
                <w:color w:val="000000"/>
                <w:lang w:eastAsia="en-GB"/>
              </w:rPr>
              <w:t>1</w:t>
            </w:r>
            <w:r>
              <w:rPr>
                <w:rFonts w:ascii="Arial" w:eastAsia="Times New Roman" w:hAnsi="Arial" w:cs="Arial"/>
                <w:color w:val="000000"/>
                <w:lang w:eastAsia="en-GB"/>
              </w:rPr>
              <w:t>6,517</w:t>
            </w:r>
            <w:r w:rsidRPr="00956CE7">
              <w:rPr>
                <w:rFonts w:ascii="Arial" w:eastAsia="Times New Roman" w:hAnsi="Arial" w:cs="Arial"/>
                <w:color w:val="000000"/>
                <w:lang w:eastAsia="en-GB"/>
              </w:rPr>
              <w:t xml:space="preserve"> </w:t>
            </w:r>
          </w:p>
        </w:tc>
        <w:tc>
          <w:tcPr>
            <w:tcW w:w="2216" w:type="dxa"/>
            <w:tcBorders>
              <w:top w:val="nil"/>
              <w:left w:val="nil"/>
              <w:bottom w:val="nil"/>
              <w:right w:val="nil"/>
            </w:tcBorders>
            <w:shd w:val="clear" w:color="000000" w:fill="FFFFFF"/>
            <w:noWrap/>
            <w:vAlign w:val="center"/>
            <w:hideMark/>
          </w:tcPr>
          <w:p w14:paraId="7B8D2203" w14:textId="77777777" w:rsidR="0021298F" w:rsidRPr="00956CE7" w:rsidRDefault="0021298F" w:rsidP="00760009">
            <w:pPr>
              <w:jc w:val="right"/>
              <w:rPr>
                <w:rFonts w:ascii="Arial" w:eastAsia="Times New Roman" w:hAnsi="Arial" w:cs="Arial"/>
                <w:color w:val="000000"/>
                <w:lang w:eastAsia="en-GB"/>
              </w:rPr>
            </w:pPr>
            <w:r>
              <w:rPr>
                <w:rFonts w:ascii="Arial" w:eastAsia="Times New Roman" w:hAnsi="Arial" w:cs="Arial"/>
                <w:color w:val="000000"/>
                <w:lang w:eastAsia="en-GB"/>
              </w:rPr>
              <w:t>6,020</w:t>
            </w:r>
          </w:p>
        </w:tc>
      </w:tr>
      <w:tr w:rsidR="0021298F" w:rsidRPr="00956CE7" w14:paraId="293EBA45" w14:textId="77777777" w:rsidTr="00760009">
        <w:trPr>
          <w:trHeight w:val="315"/>
        </w:trPr>
        <w:tc>
          <w:tcPr>
            <w:tcW w:w="4328" w:type="dxa"/>
            <w:tcBorders>
              <w:top w:val="nil"/>
              <w:left w:val="nil"/>
              <w:bottom w:val="single" w:sz="8" w:space="0" w:color="auto"/>
              <w:right w:val="nil"/>
            </w:tcBorders>
            <w:shd w:val="clear" w:color="000000" w:fill="FFFFFF"/>
            <w:vAlign w:val="center"/>
            <w:hideMark/>
          </w:tcPr>
          <w:p w14:paraId="00FC1C4E" w14:textId="77777777" w:rsidR="0021298F" w:rsidRPr="00956CE7" w:rsidRDefault="0021298F" w:rsidP="00760009">
            <w:pPr>
              <w:jc w:val="both"/>
              <w:rPr>
                <w:rFonts w:ascii="Arial" w:eastAsia="Times New Roman" w:hAnsi="Arial" w:cs="Arial"/>
                <w:color w:val="000000"/>
                <w:lang w:eastAsia="en-GB"/>
              </w:rPr>
            </w:pPr>
            <w:r w:rsidRPr="00956CE7">
              <w:rPr>
                <w:rFonts w:ascii="Arial" w:eastAsia="Times New Roman" w:hAnsi="Arial" w:cs="Arial"/>
                <w:color w:val="000000"/>
                <w:lang w:eastAsia="en-GB"/>
              </w:rPr>
              <w:t>Loan investments (note 9)</w:t>
            </w:r>
          </w:p>
        </w:tc>
        <w:tc>
          <w:tcPr>
            <w:tcW w:w="2196" w:type="dxa"/>
            <w:tcBorders>
              <w:top w:val="nil"/>
              <w:left w:val="nil"/>
              <w:bottom w:val="single" w:sz="8" w:space="0" w:color="auto"/>
              <w:right w:val="nil"/>
            </w:tcBorders>
            <w:shd w:val="clear" w:color="000000" w:fill="EDFFB7"/>
            <w:vAlign w:val="center"/>
            <w:hideMark/>
          </w:tcPr>
          <w:p w14:paraId="62D67FA0" w14:textId="77777777" w:rsidR="0021298F" w:rsidRPr="00956CE7" w:rsidRDefault="0021298F" w:rsidP="00760009">
            <w:pPr>
              <w:jc w:val="right"/>
              <w:rPr>
                <w:rFonts w:ascii="Arial" w:eastAsia="Times New Roman" w:hAnsi="Arial" w:cs="Arial"/>
                <w:color w:val="000000"/>
                <w:lang w:eastAsia="en-GB"/>
              </w:rPr>
            </w:pPr>
            <w:r>
              <w:rPr>
                <w:rFonts w:ascii="Arial" w:eastAsia="Times New Roman" w:hAnsi="Arial" w:cs="Arial"/>
                <w:color w:val="000000"/>
                <w:lang w:eastAsia="en-GB"/>
              </w:rPr>
              <w:t>505,552</w:t>
            </w:r>
          </w:p>
        </w:tc>
        <w:tc>
          <w:tcPr>
            <w:tcW w:w="2216" w:type="dxa"/>
            <w:tcBorders>
              <w:top w:val="nil"/>
              <w:left w:val="nil"/>
              <w:bottom w:val="single" w:sz="8" w:space="0" w:color="auto"/>
              <w:right w:val="nil"/>
            </w:tcBorders>
            <w:shd w:val="clear" w:color="000000" w:fill="FFFFFF"/>
            <w:noWrap/>
            <w:vAlign w:val="center"/>
            <w:hideMark/>
          </w:tcPr>
          <w:p w14:paraId="59EB0C2B" w14:textId="77777777" w:rsidR="0021298F" w:rsidRPr="00956CE7" w:rsidRDefault="0021298F" w:rsidP="00760009">
            <w:pPr>
              <w:jc w:val="right"/>
              <w:rPr>
                <w:rFonts w:ascii="Arial" w:eastAsia="Times New Roman" w:hAnsi="Arial" w:cs="Arial"/>
                <w:color w:val="000000"/>
                <w:lang w:eastAsia="en-GB"/>
              </w:rPr>
            </w:pPr>
            <w:r>
              <w:rPr>
                <w:rFonts w:ascii="Arial" w:eastAsia="Times New Roman" w:hAnsi="Arial" w:cs="Arial"/>
                <w:color w:val="000000"/>
                <w:lang w:eastAsia="en-GB"/>
              </w:rPr>
              <w:t>435,336</w:t>
            </w:r>
          </w:p>
        </w:tc>
      </w:tr>
      <w:tr w:rsidR="0021298F" w:rsidRPr="00956CE7" w14:paraId="3B4EA9A7" w14:textId="77777777" w:rsidTr="00760009">
        <w:trPr>
          <w:trHeight w:val="315"/>
        </w:trPr>
        <w:tc>
          <w:tcPr>
            <w:tcW w:w="4328" w:type="dxa"/>
            <w:tcBorders>
              <w:top w:val="nil"/>
              <w:left w:val="nil"/>
              <w:bottom w:val="single" w:sz="8" w:space="0" w:color="auto"/>
              <w:right w:val="nil"/>
            </w:tcBorders>
            <w:shd w:val="clear" w:color="000000" w:fill="FFFFFF"/>
            <w:vAlign w:val="center"/>
            <w:hideMark/>
          </w:tcPr>
          <w:p w14:paraId="667CAB14" w14:textId="77777777" w:rsidR="0021298F" w:rsidRPr="00956CE7" w:rsidRDefault="0021298F" w:rsidP="00760009">
            <w:pPr>
              <w:jc w:val="both"/>
              <w:rPr>
                <w:rFonts w:ascii="Arial" w:eastAsia="Times New Roman" w:hAnsi="Arial" w:cs="Arial"/>
                <w:color w:val="000000"/>
                <w:lang w:eastAsia="en-GB"/>
              </w:rPr>
            </w:pPr>
            <w:r w:rsidRPr="00956CE7">
              <w:rPr>
                <w:rFonts w:ascii="Arial" w:eastAsia="Times New Roman" w:hAnsi="Arial" w:cs="Arial"/>
                <w:color w:val="000000"/>
                <w:lang w:eastAsia="en-GB"/>
              </w:rPr>
              <w:t> </w:t>
            </w:r>
          </w:p>
        </w:tc>
        <w:tc>
          <w:tcPr>
            <w:tcW w:w="2196" w:type="dxa"/>
            <w:tcBorders>
              <w:top w:val="nil"/>
              <w:left w:val="nil"/>
              <w:bottom w:val="single" w:sz="8" w:space="0" w:color="auto"/>
              <w:right w:val="nil"/>
            </w:tcBorders>
            <w:shd w:val="clear" w:color="000000" w:fill="EDFFB7"/>
            <w:vAlign w:val="center"/>
            <w:hideMark/>
          </w:tcPr>
          <w:p w14:paraId="57BBF914" w14:textId="77777777" w:rsidR="0021298F" w:rsidRPr="00956CE7" w:rsidRDefault="0021298F" w:rsidP="00760009">
            <w:pPr>
              <w:jc w:val="right"/>
              <w:rPr>
                <w:rFonts w:ascii="Arial" w:eastAsia="Times New Roman" w:hAnsi="Arial" w:cs="Arial"/>
                <w:b/>
                <w:bCs/>
                <w:color w:val="000000"/>
                <w:lang w:eastAsia="en-GB"/>
              </w:rPr>
            </w:pPr>
            <w:r>
              <w:rPr>
                <w:rFonts w:ascii="Arial" w:eastAsia="Times New Roman" w:hAnsi="Arial" w:cs="Arial"/>
                <w:b/>
                <w:bCs/>
                <w:color w:val="000000"/>
                <w:lang w:eastAsia="en-GB"/>
              </w:rPr>
              <w:t>526,164</w:t>
            </w:r>
          </w:p>
        </w:tc>
        <w:tc>
          <w:tcPr>
            <w:tcW w:w="2216" w:type="dxa"/>
            <w:tcBorders>
              <w:top w:val="nil"/>
              <w:left w:val="nil"/>
              <w:bottom w:val="single" w:sz="8" w:space="0" w:color="auto"/>
              <w:right w:val="nil"/>
            </w:tcBorders>
            <w:shd w:val="clear" w:color="000000" w:fill="FFFFFF"/>
            <w:vAlign w:val="center"/>
            <w:hideMark/>
          </w:tcPr>
          <w:p w14:paraId="614F53CC" w14:textId="77777777" w:rsidR="0021298F" w:rsidRPr="00956CE7" w:rsidRDefault="0021298F" w:rsidP="00760009">
            <w:pPr>
              <w:jc w:val="right"/>
              <w:rPr>
                <w:rFonts w:ascii="Arial" w:eastAsia="Times New Roman" w:hAnsi="Arial" w:cs="Arial"/>
                <w:b/>
                <w:bCs/>
                <w:color w:val="000000"/>
                <w:lang w:eastAsia="en-GB"/>
              </w:rPr>
            </w:pPr>
            <w:r>
              <w:rPr>
                <w:rFonts w:ascii="Arial" w:eastAsia="Times New Roman" w:hAnsi="Arial" w:cs="Arial"/>
                <w:b/>
                <w:bCs/>
                <w:color w:val="000000"/>
                <w:lang w:eastAsia="en-GB"/>
              </w:rPr>
              <w:t>444,622</w:t>
            </w:r>
          </w:p>
        </w:tc>
      </w:tr>
    </w:tbl>
    <w:p w14:paraId="53CF3EC3" w14:textId="77777777" w:rsidR="0021298F" w:rsidRDefault="0021298F" w:rsidP="0021298F">
      <w:pPr>
        <w:jc w:val="both"/>
        <w:rPr>
          <w:rFonts w:ascii="Arial" w:hAnsi="Arial" w:cs="Arial"/>
        </w:rPr>
      </w:pPr>
    </w:p>
    <w:p w14:paraId="50A7A989" w14:textId="77777777" w:rsidR="0021298F" w:rsidRDefault="0021298F" w:rsidP="0021298F">
      <w:pPr>
        <w:jc w:val="both"/>
        <w:rPr>
          <w:rFonts w:ascii="Arial" w:hAnsi="Arial" w:cs="Arial"/>
        </w:rPr>
      </w:pPr>
      <w:r w:rsidRPr="004F429E">
        <w:rPr>
          <w:rFonts w:ascii="Arial" w:hAnsi="Arial" w:cs="Arial"/>
        </w:rPr>
        <w:t>The table below details the Company’s maximum exposure to credit risk:</w:t>
      </w:r>
    </w:p>
    <w:tbl>
      <w:tblPr>
        <w:tblW w:w="8740" w:type="dxa"/>
        <w:tblLook w:val="04A0" w:firstRow="1" w:lastRow="0" w:firstColumn="1" w:lastColumn="0" w:noHBand="0" w:noVBand="1"/>
      </w:tblPr>
      <w:tblGrid>
        <w:gridCol w:w="4328"/>
        <w:gridCol w:w="2196"/>
        <w:gridCol w:w="2216"/>
      </w:tblGrid>
      <w:tr w:rsidR="0021298F" w:rsidRPr="00956CE7" w14:paraId="77B340C6" w14:textId="77777777" w:rsidTr="00760009">
        <w:trPr>
          <w:trHeight w:val="300"/>
        </w:trPr>
        <w:tc>
          <w:tcPr>
            <w:tcW w:w="4328" w:type="dxa"/>
            <w:tcBorders>
              <w:top w:val="nil"/>
              <w:left w:val="nil"/>
              <w:bottom w:val="nil"/>
              <w:right w:val="nil"/>
            </w:tcBorders>
            <w:shd w:val="clear" w:color="000000" w:fill="FFFFFF"/>
            <w:vAlign w:val="center"/>
            <w:hideMark/>
          </w:tcPr>
          <w:p w14:paraId="4B1FDFC9" w14:textId="77777777" w:rsidR="0021298F" w:rsidRPr="00956CE7" w:rsidRDefault="0021298F" w:rsidP="00760009">
            <w:pPr>
              <w:jc w:val="both"/>
              <w:rPr>
                <w:rFonts w:ascii="Arial" w:eastAsia="Times New Roman" w:hAnsi="Arial" w:cs="Arial"/>
                <w:color w:val="000000"/>
                <w:lang w:eastAsia="en-GB"/>
              </w:rPr>
            </w:pPr>
            <w:r w:rsidRPr="00956CE7">
              <w:rPr>
                <w:rFonts w:ascii="Arial" w:eastAsia="Times New Roman" w:hAnsi="Arial" w:cs="Arial"/>
                <w:color w:val="000000"/>
                <w:lang w:eastAsia="en-GB"/>
              </w:rPr>
              <w:t> </w:t>
            </w:r>
          </w:p>
        </w:tc>
        <w:tc>
          <w:tcPr>
            <w:tcW w:w="2196" w:type="dxa"/>
            <w:tcBorders>
              <w:top w:val="nil"/>
              <w:left w:val="nil"/>
              <w:bottom w:val="nil"/>
              <w:right w:val="nil"/>
            </w:tcBorders>
            <w:shd w:val="clear" w:color="000000" w:fill="FFFFFF"/>
            <w:vAlign w:val="center"/>
            <w:hideMark/>
          </w:tcPr>
          <w:p w14:paraId="20D8F4E4" w14:textId="77777777" w:rsidR="0021298F" w:rsidRPr="00956CE7" w:rsidRDefault="0021298F" w:rsidP="00760009">
            <w:pPr>
              <w:jc w:val="right"/>
              <w:rPr>
                <w:rFonts w:ascii="Arial" w:eastAsia="Times New Roman" w:hAnsi="Arial" w:cs="Arial"/>
                <w:b/>
                <w:bCs/>
                <w:color w:val="000000"/>
                <w:lang w:eastAsia="en-GB"/>
              </w:rPr>
            </w:pPr>
            <w:r w:rsidRPr="00956CE7">
              <w:rPr>
                <w:rFonts w:ascii="Arial" w:eastAsia="Times New Roman" w:hAnsi="Arial" w:cs="Arial"/>
                <w:b/>
                <w:bCs/>
                <w:color w:val="000000"/>
                <w:lang w:eastAsia="en-GB"/>
              </w:rPr>
              <w:t>31 December 2020</w:t>
            </w:r>
          </w:p>
        </w:tc>
        <w:tc>
          <w:tcPr>
            <w:tcW w:w="2216" w:type="dxa"/>
            <w:tcBorders>
              <w:top w:val="nil"/>
              <w:left w:val="nil"/>
              <w:bottom w:val="nil"/>
              <w:right w:val="nil"/>
            </w:tcBorders>
            <w:shd w:val="clear" w:color="000000" w:fill="FFFFFF"/>
            <w:noWrap/>
            <w:vAlign w:val="center"/>
            <w:hideMark/>
          </w:tcPr>
          <w:p w14:paraId="3E37A49F" w14:textId="77777777" w:rsidR="0021298F" w:rsidRPr="00956CE7" w:rsidRDefault="0021298F" w:rsidP="00760009">
            <w:pPr>
              <w:jc w:val="right"/>
              <w:rPr>
                <w:rFonts w:ascii="Arial" w:eastAsia="Times New Roman" w:hAnsi="Arial" w:cs="Arial"/>
                <w:b/>
                <w:bCs/>
                <w:color w:val="000000"/>
                <w:lang w:eastAsia="en-GB"/>
              </w:rPr>
            </w:pPr>
            <w:r w:rsidRPr="00956CE7">
              <w:rPr>
                <w:rFonts w:ascii="Arial" w:eastAsia="Times New Roman" w:hAnsi="Arial" w:cs="Arial"/>
                <w:b/>
                <w:bCs/>
                <w:color w:val="000000"/>
                <w:lang w:eastAsia="en-GB"/>
              </w:rPr>
              <w:t>31 December 2019</w:t>
            </w:r>
          </w:p>
        </w:tc>
      </w:tr>
      <w:tr w:rsidR="0021298F" w:rsidRPr="00956CE7" w14:paraId="0EAEFC42" w14:textId="77777777" w:rsidTr="00760009">
        <w:trPr>
          <w:trHeight w:val="300"/>
        </w:trPr>
        <w:tc>
          <w:tcPr>
            <w:tcW w:w="4328" w:type="dxa"/>
            <w:tcBorders>
              <w:top w:val="nil"/>
              <w:left w:val="nil"/>
              <w:bottom w:val="single" w:sz="4" w:space="0" w:color="auto"/>
              <w:right w:val="nil"/>
            </w:tcBorders>
            <w:shd w:val="clear" w:color="000000" w:fill="FFFFFF"/>
            <w:vAlign w:val="center"/>
            <w:hideMark/>
          </w:tcPr>
          <w:p w14:paraId="32C8E40A" w14:textId="77777777" w:rsidR="0021298F" w:rsidRPr="00956CE7" w:rsidRDefault="0021298F" w:rsidP="00760009">
            <w:pPr>
              <w:jc w:val="both"/>
              <w:rPr>
                <w:rFonts w:ascii="Arial" w:eastAsia="Times New Roman" w:hAnsi="Arial" w:cs="Arial"/>
                <w:b/>
                <w:bCs/>
                <w:color w:val="000000"/>
                <w:lang w:eastAsia="en-GB"/>
              </w:rPr>
            </w:pPr>
            <w:r w:rsidRPr="00956CE7">
              <w:rPr>
                <w:rFonts w:ascii="Arial" w:eastAsia="Times New Roman" w:hAnsi="Arial" w:cs="Arial"/>
                <w:b/>
                <w:bCs/>
                <w:color w:val="000000"/>
                <w:lang w:eastAsia="en-GB"/>
              </w:rPr>
              <w:lastRenderedPageBreak/>
              <w:t>Company</w:t>
            </w:r>
          </w:p>
        </w:tc>
        <w:tc>
          <w:tcPr>
            <w:tcW w:w="2196" w:type="dxa"/>
            <w:tcBorders>
              <w:top w:val="nil"/>
              <w:left w:val="nil"/>
              <w:bottom w:val="single" w:sz="4" w:space="0" w:color="auto"/>
              <w:right w:val="nil"/>
            </w:tcBorders>
            <w:shd w:val="clear" w:color="000000" w:fill="FFFFFF"/>
            <w:vAlign w:val="center"/>
            <w:hideMark/>
          </w:tcPr>
          <w:p w14:paraId="5FE13410" w14:textId="77777777" w:rsidR="0021298F" w:rsidRPr="00956CE7" w:rsidRDefault="0021298F" w:rsidP="00760009">
            <w:pPr>
              <w:jc w:val="right"/>
              <w:rPr>
                <w:rFonts w:ascii="Arial" w:eastAsia="Times New Roman" w:hAnsi="Arial" w:cs="Arial"/>
                <w:b/>
                <w:bCs/>
                <w:color w:val="000000"/>
                <w:lang w:eastAsia="en-GB"/>
              </w:rPr>
            </w:pPr>
            <w:r w:rsidRPr="00956CE7">
              <w:rPr>
                <w:rFonts w:ascii="Arial" w:eastAsia="Times New Roman" w:hAnsi="Arial" w:cs="Arial"/>
                <w:b/>
                <w:bCs/>
                <w:color w:val="000000"/>
                <w:lang w:eastAsia="en-GB"/>
              </w:rPr>
              <w:t>€’000</w:t>
            </w:r>
          </w:p>
        </w:tc>
        <w:tc>
          <w:tcPr>
            <w:tcW w:w="2216" w:type="dxa"/>
            <w:tcBorders>
              <w:top w:val="nil"/>
              <w:left w:val="nil"/>
              <w:bottom w:val="single" w:sz="4" w:space="0" w:color="auto"/>
              <w:right w:val="nil"/>
            </w:tcBorders>
            <w:shd w:val="clear" w:color="000000" w:fill="FFFFFF"/>
            <w:noWrap/>
            <w:vAlign w:val="center"/>
            <w:hideMark/>
          </w:tcPr>
          <w:p w14:paraId="5D97413F" w14:textId="77777777" w:rsidR="0021298F" w:rsidRPr="00956CE7" w:rsidRDefault="0021298F" w:rsidP="00760009">
            <w:pPr>
              <w:jc w:val="right"/>
              <w:rPr>
                <w:rFonts w:ascii="Arial" w:eastAsia="Times New Roman" w:hAnsi="Arial" w:cs="Arial"/>
                <w:b/>
                <w:bCs/>
                <w:color w:val="000000"/>
                <w:lang w:eastAsia="en-GB"/>
              </w:rPr>
            </w:pPr>
            <w:r w:rsidRPr="00956CE7">
              <w:rPr>
                <w:rFonts w:ascii="Arial" w:eastAsia="Times New Roman" w:hAnsi="Arial" w:cs="Arial"/>
                <w:b/>
                <w:bCs/>
                <w:color w:val="000000"/>
                <w:lang w:eastAsia="en-GB"/>
              </w:rPr>
              <w:t>€’000</w:t>
            </w:r>
          </w:p>
        </w:tc>
      </w:tr>
      <w:tr w:rsidR="0021298F" w:rsidRPr="00956CE7" w14:paraId="58C1D6A7" w14:textId="77777777" w:rsidTr="00760009">
        <w:trPr>
          <w:trHeight w:val="300"/>
        </w:trPr>
        <w:tc>
          <w:tcPr>
            <w:tcW w:w="4328" w:type="dxa"/>
            <w:tcBorders>
              <w:top w:val="nil"/>
              <w:left w:val="nil"/>
              <w:bottom w:val="nil"/>
              <w:right w:val="nil"/>
            </w:tcBorders>
            <w:shd w:val="clear" w:color="000000" w:fill="FFFFFF"/>
            <w:vAlign w:val="center"/>
            <w:hideMark/>
          </w:tcPr>
          <w:p w14:paraId="6A1038CE" w14:textId="77777777" w:rsidR="0021298F" w:rsidRPr="00956CE7" w:rsidRDefault="0021298F" w:rsidP="00760009">
            <w:pPr>
              <w:jc w:val="both"/>
              <w:rPr>
                <w:rFonts w:ascii="Arial" w:eastAsia="Times New Roman" w:hAnsi="Arial" w:cs="Arial"/>
                <w:color w:val="000000"/>
                <w:lang w:eastAsia="en-GB"/>
              </w:rPr>
            </w:pPr>
            <w:r w:rsidRPr="00956CE7">
              <w:rPr>
                <w:rFonts w:ascii="Arial" w:eastAsia="Times New Roman" w:hAnsi="Arial" w:cs="Arial"/>
                <w:color w:val="000000"/>
                <w:lang w:eastAsia="en-GB"/>
              </w:rPr>
              <w:t>Other receivables (note 11)</w:t>
            </w:r>
          </w:p>
        </w:tc>
        <w:tc>
          <w:tcPr>
            <w:tcW w:w="2196" w:type="dxa"/>
            <w:tcBorders>
              <w:top w:val="nil"/>
              <w:left w:val="nil"/>
              <w:bottom w:val="nil"/>
              <w:right w:val="nil"/>
            </w:tcBorders>
            <w:shd w:val="clear" w:color="000000" w:fill="EDFFB7"/>
            <w:vAlign w:val="center"/>
            <w:hideMark/>
          </w:tcPr>
          <w:p w14:paraId="0B6025F5" w14:textId="77777777" w:rsidR="0021298F" w:rsidRPr="00956CE7" w:rsidRDefault="0021298F" w:rsidP="00760009">
            <w:pPr>
              <w:jc w:val="right"/>
              <w:rPr>
                <w:rFonts w:ascii="Arial" w:eastAsia="Times New Roman" w:hAnsi="Arial" w:cs="Arial"/>
                <w:color w:val="000000"/>
                <w:lang w:eastAsia="en-GB"/>
              </w:rPr>
            </w:pPr>
            <w:r w:rsidRPr="00956CE7">
              <w:rPr>
                <w:rFonts w:ascii="Arial" w:eastAsia="Times New Roman" w:hAnsi="Arial" w:cs="Arial"/>
                <w:color w:val="000000"/>
                <w:lang w:eastAsia="en-GB"/>
              </w:rPr>
              <w:t>3,772</w:t>
            </w:r>
          </w:p>
        </w:tc>
        <w:tc>
          <w:tcPr>
            <w:tcW w:w="2216" w:type="dxa"/>
            <w:tcBorders>
              <w:top w:val="nil"/>
              <w:left w:val="nil"/>
              <w:bottom w:val="nil"/>
              <w:right w:val="nil"/>
            </w:tcBorders>
            <w:shd w:val="clear" w:color="000000" w:fill="FFFFFF"/>
            <w:noWrap/>
            <w:vAlign w:val="center"/>
            <w:hideMark/>
          </w:tcPr>
          <w:p w14:paraId="029CE9CC" w14:textId="77777777" w:rsidR="0021298F" w:rsidRPr="00956CE7" w:rsidRDefault="0021298F" w:rsidP="00760009">
            <w:pPr>
              <w:jc w:val="right"/>
              <w:rPr>
                <w:rFonts w:ascii="Arial" w:eastAsia="Times New Roman" w:hAnsi="Arial" w:cs="Arial"/>
                <w:color w:val="000000"/>
                <w:lang w:eastAsia="en-GB"/>
              </w:rPr>
            </w:pPr>
            <w:r w:rsidRPr="00956CE7">
              <w:rPr>
                <w:rFonts w:ascii="Arial" w:eastAsia="Times New Roman" w:hAnsi="Arial" w:cs="Arial"/>
                <w:color w:val="000000"/>
                <w:lang w:eastAsia="en-GB"/>
              </w:rPr>
              <w:t>3,015</w:t>
            </w:r>
          </w:p>
        </w:tc>
      </w:tr>
      <w:tr w:rsidR="0021298F" w:rsidRPr="00956CE7" w14:paraId="25186171" w14:textId="77777777" w:rsidTr="00760009">
        <w:trPr>
          <w:trHeight w:val="300"/>
        </w:trPr>
        <w:tc>
          <w:tcPr>
            <w:tcW w:w="4328" w:type="dxa"/>
            <w:tcBorders>
              <w:top w:val="nil"/>
              <w:left w:val="nil"/>
              <w:bottom w:val="nil"/>
              <w:right w:val="nil"/>
            </w:tcBorders>
            <w:shd w:val="clear" w:color="000000" w:fill="FFFFFF"/>
            <w:vAlign w:val="center"/>
            <w:hideMark/>
          </w:tcPr>
          <w:p w14:paraId="1F54B092" w14:textId="77777777" w:rsidR="0021298F" w:rsidRPr="00956CE7" w:rsidRDefault="0021298F" w:rsidP="00760009">
            <w:pPr>
              <w:jc w:val="both"/>
              <w:rPr>
                <w:rFonts w:ascii="Arial" w:eastAsia="Times New Roman" w:hAnsi="Arial" w:cs="Arial"/>
                <w:color w:val="000000"/>
                <w:lang w:eastAsia="en-GB"/>
              </w:rPr>
            </w:pPr>
            <w:r w:rsidRPr="00956CE7">
              <w:rPr>
                <w:rFonts w:ascii="Arial" w:eastAsia="Times New Roman" w:hAnsi="Arial" w:cs="Arial"/>
                <w:color w:val="000000"/>
                <w:lang w:eastAsia="en-GB"/>
              </w:rPr>
              <w:t>Cash at bank</w:t>
            </w:r>
          </w:p>
        </w:tc>
        <w:tc>
          <w:tcPr>
            <w:tcW w:w="2196" w:type="dxa"/>
            <w:tcBorders>
              <w:top w:val="nil"/>
              <w:left w:val="nil"/>
              <w:bottom w:val="nil"/>
              <w:right w:val="nil"/>
            </w:tcBorders>
            <w:shd w:val="clear" w:color="000000" w:fill="EDFFB7"/>
            <w:vAlign w:val="center"/>
            <w:hideMark/>
          </w:tcPr>
          <w:p w14:paraId="0F068ABD" w14:textId="77777777" w:rsidR="0021298F" w:rsidRPr="00956CE7" w:rsidRDefault="0021298F" w:rsidP="00760009">
            <w:pPr>
              <w:jc w:val="right"/>
              <w:rPr>
                <w:rFonts w:ascii="Arial" w:eastAsia="Times New Roman" w:hAnsi="Arial" w:cs="Arial"/>
                <w:color w:val="000000"/>
                <w:lang w:eastAsia="en-GB"/>
              </w:rPr>
            </w:pPr>
            <w:r w:rsidRPr="00956CE7">
              <w:rPr>
                <w:rFonts w:ascii="Arial" w:eastAsia="Times New Roman" w:hAnsi="Arial" w:cs="Arial"/>
                <w:color w:val="000000"/>
                <w:lang w:eastAsia="en-GB"/>
              </w:rPr>
              <w:t xml:space="preserve">1,545 </w:t>
            </w:r>
          </w:p>
        </w:tc>
        <w:tc>
          <w:tcPr>
            <w:tcW w:w="2216" w:type="dxa"/>
            <w:tcBorders>
              <w:top w:val="nil"/>
              <w:left w:val="nil"/>
              <w:bottom w:val="nil"/>
              <w:right w:val="nil"/>
            </w:tcBorders>
            <w:shd w:val="clear" w:color="000000" w:fill="FFFFFF"/>
            <w:noWrap/>
            <w:vAlign w:val="center"/>
            <w:hideMark/>
          </w:tcPr>
          <w:p w14:paraId="090522E5" w14:textId="77777777" w:rsidR="0021298F" w:rsidRPr="00956CE7" w:rsidRDefault="0021298F" w:rsidP="00760009">
            <w:pPr>
              <w:jc w:val="right"/>
              <w:rPr>
                <w:rFonts w:ascii="Arial" w:eastAsia="Times New Roman" w:hAnsi="Arial" w:cs="Arial"/>
                <w:color w:val="000000"/>
                <w:lang w:eastAsia="en-GB"/>
              </w:rPr>
            </w:pPr>
            <w:r w:rsidRPr="00956CE7">
              <w:rPr>
                <w:rFonts w:ascii="Arial" w:eastAsia="Times New Roman" w:hAnsi="Arial" w:cs="Arial"/>
                <w:color w:val="000000"/>
                <w:lang w:eastAsia="en-GB"/>
              </w:rPr>
              <w:t>188</w:t>
            </w:r>
          </w:p>
        </w:tc>
      </w:tr>
      <w:tr w:rsidR="0021298F" w:rsidRPr="00956CE7" w14:paraId="5F6F85F4" w14:textId="77777777" w:rsidTr="00760009">
        <w:trPr>
          <w:trHeight w:val="315"/>
        </w:trPr>
        <w:tc>
          <w:tcPr>
            <w:tcW w:w="4328" w:type="dxa"/>
            <w:tcBorders>
              <w:top w:val="nil"/>
              <w:left w:val="nil"/>
              <w:bottom w:val="single" w:sz="8" w:space="0" w:color="auto"/>
              <w:right w:val="nil"/>
            </w:tcBorders>
            <w:shd w:val="clear" w:color="000000" w:fill="FFFFFF"/>
            <w:vAlign w:val="center"/>
            <w:hideMark/>
          </w:tcPr>
          <w:p w14:paraId="335EF302" w14:textId="77777777" w:rsidR="0021298F" w:rsidRPr="00956CE7" w:rsidRDefault="0021298F" w:rsidP="00760009">
            <w:pPr>
              <w:jc w:val="both"/>
              <w:rPr>
                <w:rFonts w:ascii="Arial" w:eastAsia="Times New Roman" w:hAnsi="Arial" w:cs="Arial"/>
                <w:color w:val="000000"/>
                <w:lang w:eastAsia="en-GB"/>
              </w:rPr>
            </w:pPr>
            <w:r w:rsidRPr="00956CE7">
              <w:rPr>
                <w:rFonts w:ascii="Arial" w:eastAsia="Times New Roman" w:hAnsi="Arial" w:cs="Arial"/>
                <w:color w:val="000000"/>
                <w:lang w:eastAsia="en-GB"/>
              </w:rPr>
              <w:t>Loan investments (note 9)</w:t>
            </w:r>
          </w:p>
        </w:tc>
        <w:tc>
          <w:tcPr>
            <w:tcW w:w="2196" w:type="dxa"/>
            <w:tcBorders>
              <w:top w:val="nil"/>
              <w:left w:val="nil"/>
              <w:bottom w:val="single" w:sz="8" w:space="0" w:color="auto"/>
              <w:right w:val="nil"/>
            </w:tcBorders>
            <w:shd w:val="clear" w:color="000000" w:fill="EDFFB7"/>
            <w:vAlign w:val="center"/>
            <w:hideMark/>
          </w:tcPr>
          <w:p w14:paraId="5C9D6E17" w14:textId="77777777" w:rsidR="0021298F" w:rsidRPr="00956CE7" w:rsidRDefault="0021298F" w:rsidP="00760009">
            <w:pPr>
              <w:jc w:val="right"/>
              <w:rPr>
                <w:rFonts w:ascii="Arial" w:eastAsia="Times New Roman" w:hAnsi="Arial" w:cs="Arial"/>
                <w:color w:val="000000"/>
                <w:lang w:eastAsia="en-GB"/>
              </w:rPr>
            </w:pPr>
            <w:r w:rsidRPr="00956CE7">
              <w:rPr>
                <w:rFonts w:ascii="Arial" w:eastAsia="Times New Roman" w:hAnsi="Arial" w:cs="Arial"/>
                <w:color w:val="000000"/>
                <w:lang w:eastAsia="en-GB"/>
              </w:rPr>
              <w:t>630,765</w:t>
            </w:r>
          </w:p>
        </w:tc>
        <w:tc>
          <w:tcPr>
            <w:tcW w:w="2216" w:type="dxa"/>
            <w:tcBorders>
              <w:top w:val="nil"/>
              <w:left w:val="nil"/>
              <w:bottom w:val="single" w:sz="8" w:space="0" w:color="auto"/>
              <w:right w:val="nil"/>
            </w:tcBorders>
            <w:shd w:val="clear" w:color="000000" w:fill="FFFFFF"/>
            <w:noWrap/>
            <w:vAlign w:val="center"/>
            <w:hideMark/>
          </w:tcPr>
          <w:p w14:paraId="1E954472" w14:textId="77777777" w:rsidR="0021298F" w:rsidRPr="00956CE7" w:rsidRDefault="0021298F" w:rsidP="00760009">
            <w:pPr>
              <w:jc w:val="right"/>
              <w:rPr>
                <w:rFonts w:ascii="Arial" w:eastAsia="Times New Roman" w:hAnsi="Arial" w:cs="Arial"/>
                <w:color w:val="000000"/>
                <w:lang w:eastAsia="en-GB"/>
              </w:rPr>
            </w:pPr>
            <w:r w:rsidRPr="00956CE7">
              <w:rPr>
                <w:rFonts w:ascii="Arial" w:eastAsia="Times New Roman" w:hAnsi="Arial" w:cs="Arial"/>
                <w:color w:val="000000"/>
                <w:lang w:eastAsia="en-GB"/>
              </w:rPr>
              <w:t>551,968</w:t>
            </w:r>
          </w:p>
        </w:tc>
      </w:tr>
      <w:tr w:rsidR="0021298F" w:rsidRPr="00956CE7" w14:paraId="761ECC7C" w14:textId="77777777" w:rsidTr="00760009">
        <w:trPr>
          <w:trHeight w:val="315"/>
        </w:trPr>
        <w:tc>
          <w:tcPr>
            <w:tcW w:w="4328" w:type="dxa"/>
            <w:tcBorders>
              <w:top w:val="nil"/>
              <w:left w:val="nil"/>
              <w:bottom w:val="single" w:sz="8" w:space="0" w:color="auto"/>
              <w:right w:val="nil"/>
            </w:tcBorders>
            <w:shd w:val="clear" w:color="000000" w:fill="FFFFFF"/>
            <w:vAlign w:val="center"/>
            <w:hideMark/>
          </w:tcPr>
          <w:p w14:paraId="5472D8DA" w14:textId="77777777" w:rsidR="0021298F" w:rsidRPr="00956CE7" w:rsidRDefault="0021298F" w:rsidP="00760009">
            <w:pPr>
              <w:jc w:val="both"/>
              <w:rPr>
                <w:rFonts w:ascii="Arial" w:eastAsia="Times New Roman" w:hAnsi="Arial" w:cs="Arial"/>
                <w:color w:val="000000"/>
                <w:lang w:eastAsia="en-GB"/>
              </w:rPr>
            </w:pPr>
            <w:r w:rsidRPr="00956CE7">
              <w:rPr>
                <w:rFonts w:ascii="Arial" w:eastAsia="Times New Roman" w:hAnsi="Arial" w:cs="Arial"/>
                <w:color w:val="000000"/>
                <w:lang w:eastAsia="en-GB"/>
              </w:rPr>
              <w:t> </w:t>
            </w:r>
          </w:p>
        </w:tc>
        <w:tc>
          <w:tcPr>
            <w:tcW w:w="2196" w:type="dxa"/>
            <w:tcBorders>
              <w:top w:val="nil"/>
              <w:left w:val="nil"/>
              <w:bottom w:val="single" w:sz="8" w:space="0" w:color="auto"/>
              <w:right w:val="nil"/>
            </w:tcBorders>
            <w:shd w:val="clear" w:color="000000" w:fill="EDFFB7"/>
            <w:vAlign w:val="center"/>
            <w:hideMark/>
          </w:tcPr>
          <w:p w14:paraId="54F5FCA9" w14:textId="77777777" w:rsidR="0021298F" w:rsidRPr="00956CE7" w:rsidRDefault="0021298F" w:rsidP="00760009">
            <w:pPr>
              <w:jc w:val="right"/>
              <w:rPr>
                <w:rFonts w:ascii="Arial" w:eastAsia="Times New Roman" w:hAnsi="Arial" w:cs="Arial"/>
                <w:b/>
                <w:bCs/>
                <w:color w:val="000000"/>
                <w:lang w:eastAsia="en-GB"/>
              </w:rPr>
            </w:pPr>
            <w:r w:rsidRPr="00956CE7">
              <w:rPr>
                <w:rFonts w:ascii="Arial" w:eastAsia="Times New Roman" w:hAnsi="Arial" w:cs="Arial"/>
                <w:b/>
                <w:bCs/>
                <w:color w:val="000000"/>
                <w:lang w:eastAsia="en-GB"/>
              </w:rPr>
              <w:t>636,082</w:t>
            </w:r>
          </w:p>
        </w:tc>
        <w:tc>
          <w:tcPr>
            <w:tcW w:w="2216" w:type="dxa"/>
            <w:tcBorders>
              <w:top w:val="nil"/>
              <w:left w:val="nil"/>
              <w:bottom w:val="single" w:sz="8" w:space="0" w:color="auto"/>
              <w:right w:val="nil"/>
            </w:tcBorders>
            <w:shd w:val="clear" w:color="000000" w:fill="FFFFFF"/>
            <w:vAlign w:val="center"/>
            <w:hideMark/>
          </w:tcPr>
          <w:p w14:paraId="7BEAB496" w14:textId="77777777" w:rsidR="0021298F" w:rsidRPr="00956CE7" w:rsidRDefault="0021298F" w:rsidP="00760009">
            <w:pPr>
              <w:jc w:val="right"/>
              <w:rPr>
                <w:rFonts w:ascii="Arial" w:eastAsia="Times New Roman" w:hAnsi="Arial" w:cs="Arial"/>
                <w:b/>
                <w:bCs/>
                <w:color w:val="000000"/>
                <w:lang w:eastAsia="en-GB"/>
              </w:rPr>
            </w:pPr>
            <w:r w:rsidRPr="00956CE7">
              <w:rPr>
                <w:rFonts w:ascii="Arial" w:eastAsia="Times New Roman" w:hAnsi="Arial" w:cs="Arial"/>
                <w:b/>
                <w:bCs/>
                <w:color w:val="000000"/>
                <w:lang w:eastAsia="en-GB"/>
              </w:rPr>
              <w:t>555,171</w:t>
            </w:r>
          </w:p>
        </w:tc>
      </w:tr>
    </w:tbl>
    <w:p w14:paraId="1697A3C4" w14:textId="77777777" w:rsidR="0021298F" w:rsidRPr="00F042C3" w:rsidRDefault="0021298F" w:rsidP="0021298F">
      <w:pPr>
        <w:jc w:val="both"/>
        <w:rPr>
          <w:rFonts w:ascii="Arial" w:hAnsi="Arial" w:cs="Arial"/>
          <w:sz w:val="20"/>
          <w:szCs w:val="20"/>
        </w:rPr>
      </w:pPr>
    </w:p>
    <w:p w14:paraId="52724D46" w14:textId="77777777" w:rsidR="0021298F" w:rsidRDefault="0021298F" w:rsidP="0021298F">
      <w:pPr>
        <w:jc w:val="both"/>
        <w:rPr>
          <w:rFonts w:ascii="Arial" w:hAnsi="Arial" w:cs="Arial"/>
        </w:rPr>
      </w:pPr>
      <w:r>
        <w:rPr>
          <w:rFonts w:ascii="Arial" w:hAnsi="Arial" w:cs="Arial"/>
        </w:rPr>
        <w:t>The tables below shows the cash balances of the Group and credit rating for each counterparty:</w:t>
      </w:r>
    </w:p>
    <w:tbl>
      <w:tblPr>
        <w:tblW w:w="5043" w:type="pct"/>
        <w:tblLook w:val="04A0" w:firstRow="1" w:lastRow="0" w:firstColumn="1" w:lastColumn="0" w:noHBand="0" w:noVBand="1"/>
      </w:tblPr>
      <w:tblGrid>
        <w:gridCol w:w="5879"/>
        <w:gridCol w:w="963"/>
        <w:gridCol w:w="2262"/>
      </w:tblGrid>
      <w:tr w:rsidR="0021298F" w:rsidRPr="006C23F3" w14:paraId="062FD978" w14:textId="77777777" w:rsidTr="00760009">
        <w:trPr>
          <w:trHeight w:val="612"/>
        </w:trPr>
        <w:tc>
          <w:tcPr>
            <w:tcW w:w="3252" w:type="pct"/>
            <w:tcBorders>
              <w:top w:val="nil"/>
              <w:left w:val="nil"/>
              <w:bottom w:val="nil"/>
              <w:right w:val="nil"/>
            </w:tcBorders>
            <w:shd w:val="clear" w:color="auto" w:fill="auto"/>
            <w:vAlign w:val="bottom"/>
            <w:hideMark/>
          </w:tcPr>
          <w:p w14:paraId="060B63AE" w14:textId="77777777" w:rsidR="0021298F" w:rsidRPr="006C23F3" w:rsidRDefault="0021298F" w:rsidP="00760009">
            <w:pPr>
              <w:jc w:val="both"/>
              <w:rPr>
                <w:rFonts w:ascii="Arial" w:eastAsia="Times New Roman" w:hAnsi="Arial" w:cs="Arial"/>
                <w:b/>
                <w:bCs/>
                <w:lang w:eastAsia="en-GB"/>
              </w:rPr>
            </w:pPr>
          </w:p>
        </w:tc>
        <w:tc>
          <w:tcPr>
            <w:tcW w:w="483" w:type="pct"/>
            <w:tcBorders>
              <w:top w:val="nil"/>
              <w:left w:val="nil"/>
              <w:bottom w:val="nil"/>
              <w:right w:val="nil"/>
            </w:tcBorders>
            <w:shd w:val="clear" w:color="auto" w:fill="auto"/>
            <w:vAlign w:val="bottom"/>
            <w:hideMark/>
          </w:tcPr>
          <w:p w14:paraId="7DFBB73D" w14:textId="77777777" w:rsidR="0021298F" w:rsidRPr="006C23F3" w:rsidRDefault="0021298F" w:rsidP="00760009">
            <w:pPr>
              <w:jc w:val="right"/>
              <w:rPr>
                <w:rFonts w:ascii="Arial" w:eastAsia="Times New Roman" w:hAnsi="Arial" w:cs="Arial"/>
                <w:b/>
                <w:bCs/>
                <w:lang w:eastAsia="en-GB"/>
              </w:rPr>
            </w:pPr>
            <w:r w:rsidRPr="006C23F3">
              <w:rPr>
                <w:rFonts w:ascii="Arial" w:eastAsia="Times New Roman" w:hAnsi="Arial" w:cs="Arial"/>
                <w:b/>
                <w:bCs/>
                <w:lang w:eastAsia="en-GB"/>
              </w:rPr>
              <w:t>Rating</w:t>
            </w:r>
          </w:p>
        </w:tc>
        <w:tc>
          <w:tcPr>
            <w:tcW w:w="1265" w:type="pct"/>
            <w:tcBorders>
              <w:top w:val="nil"/>
              <w:left w:val="nil"/>
              <w:bottom w:val="nil"/>
              <w:right w:val="nil"/>
            </w:tcBorders>
            <w:shd w:val="clear" w:color="auto" w:fill="auto"/>
            <w:vAlign w:val="bottom"/>
            <w:hideMark/>
          </w:tcPr>
          <w:p w14:paraId="3CB1A5BB" w14:textId="77777777" w:rsidR="0021298F" w:rsidRPr="006C23F3" w:rsidRDefault="0021298F" w:rsidP="00760009">
            <w:pPr>
              <w:jc w:val="right"/>
              <w:rPr>
                <w:rFonts w:ascii="Arial" w:eastAsia="Times New Roman" w:hAnsi="Arial" w:cs="Arial"/>
                <w:b/>
                <w:bCs/>
                <w:lang w:eastAsia="en-GB"/>
              </w:rPr>
            </w:pPr>
            <w:r>
              <w:rPr>
                <w:rFonts w:ascii="Arial" w:eastAsia="Times New Roman" w:hAnsi="Arial" w:cs="Arial"/>
                <w:b/>
                <w:bCs/>
                <w:lang w:eastAsia="en-GB"/>
              </w:rPr>
              <w:t>31 December 2020</w:t>
            </w:r>
          </w:p>
        </w:tc>
      </w:tr>
      <w:tr w:rsidR="0021298F" w:rsidRPr="006C23F3" w14:paraId="7701E104" w14:textId="77777777" w:rsidTr="00760009">
        <w:trPr>
          <w:trHeight w:val="306"/>
        </w:trPr>
        <w:tc>
          <w:tcPr>
            <w:tcW w:w="3252" w:type="pct"/>
            <w:tcBorders>
              <w:top w:val="nil"/>
              <w:left w:val="nil"/>
              <w:bottom w:val="single" w:sz="4" w:space="0" w:color="auto"/>
              <w:right w:val="nil"/>
            </w:tcBorders>
            <w:shd w:val="clear" w:color="auto" w:fill="auto"/>
            <w:vAlign w:val="center"/>
            <w:hideMark/>
          </w:tcPr>
          <w:p w14:paraId="74B67E99" w14:textId="77777777" w:rsidR="0021298F" w:rsidRPr="006C23F3" w:rsidRDefault="0021298F" w:rsidP="00760009">
            <w:pPr>
              <w:jc w:val="both"/>
              <w:rPr>
                <w:rFonts w:ascii="Arial" w:eastAsia="Times New Roman" w:hAnsi="Arial" w:cs="Arial"/>
                <w:lang w:eastAsia="en-GB"/>
              </w:rPr>
            </w:pPr>
            <w:r>
              <w:rPr>
                <w:rFonts w:ascii="Arial" w:eastAsia="Times New Roman" w:hAnsi="Arial" w:cs="Arial"/>
                <w:b/>
                <w:bCs/>
                <w:lang w:eastAsia="en-GB"/>
              </w:rPr>
              <w:t>Group</w:t>
            </w:r>
          </w:p>
        </w:tc>
        <w:tc>
          <w:tcPr>
            <w:tcW w:w="483" w:type="pct"/>
            <w:tcBorders>
              <w:top w:val="nil"/>
              <w:left w:val="nil"/>
              <w:bottom w:val="single" w:sz="4" w:space="0" w:color="auto"/>
              <w:right w:val="nil"/>
            </w:tcBorders>
            <w:shd w:val="clear" w:color="auto" w:fill="auto"/>
            <w:noWrap/>
            <w:vAlign w:val="center"/>
            <w:hideMark/>
          </w:tcPr>
          <w:p w14:paraId="1823A1A8" w14:textId="77777777" w:rsidR="0021298F" w:rsidRPr="006C23F3" w:rsidRDefault="0021298F" w:rsidP="00760009">
            <w:pPr>
              <w:jc w:val="right"/>
              <w:rPr>
                <w:rFonts w:ascii="Arial" w:eastAsia="Times New Roman" w:hAnsi="Arial" w:cs="Arial"/>
                <w:b/>
                <w:bCs/>
                <w:lang w:eastAsia="en-GB"/>
              </w:rPr>
            </w:pPr>
            <w:r w:rsidRPr="006C23F3">
              <w:rPr>
                <w:rFonts w:ascii="Arial" w:eastAsia="Times New Roman" w:hAnsi="Arial" w:cs="Arial"/>
                <w:b/>
                <w:bCs/>
                <w:lang w:eastAsia="en-GB"/>
              </w:rPr>
              <w:t> </w:t>
            </w:r>
          </w:p>
        </w:tc>
        <w:tc>
          <w:tcPr>
            <w:tcW w:w="1265" w:type="pct"/>
            <w:tcBorders>
              <w:top w:val="nil"/>
              <w:left w:val="nil"/>
              <w:bottom w:val="single" w:sz="4" w:space="0" w:color="auto"/>
              <w:right w:val="nil"/>
            </w:tcBorders>
            <w:shd w:val="clear" w:color="auto" w:fill="auto"/>
            <w:noWrap/>
            <w:vAlign w:val="center"/>
            <w:hideMark/>
          </w:tcPr>
          <w:p w14:paraId="29FD5711" w14:textId="77777777" w:rsidR="0021298F" w:rsidRPr="006C23F3" w:rsidRDefault="0021298F" w:rsidP="00760009">
            <w:pPr>
              <w:jc w:val="right"/>
              <w:rPr>
                <w:rFonts w:ascii="Arial" w:eastAsia="Times New Roman" w:hAnsi="Arial" w:cs="Arial"/>
                <w:b/>
                <w:bCs/>
                <w:lang w:eastAsia="en-GB"/>
              </w:rPr>
            </w:pPr>
            <w:r>
              <w:rPr>
                <w:rFonts w:ascii="Arial" w:eastAsia="Times New Roman" w:hAnsi="Arial" w:cs="Arial"/>
                <w:b/>
                <w:bCs/>
                <w:lang w:eastAsia="en-GB"/>
              </w:rPr>
              <w:t>€’000</w:t>
            </w:r>
          </w:p>
        </w:tc>
      </w:tr>
      <w:tr w:rsidR="0021298F" w:rsidRPr="006C23F3" w14:paraId="79DEEE4A" w14:textId="77777777" w:rsidTr="00760009">
        <w:trPr>
          <w:trHeight w:val="291"/>
        </w:trPr>
        <w:tc>
          <w:tcPr>
            <w:tcW w:w="3252" w:type="pct"/>
            <w:tcBorders>
              <w:top w:val="nil"/>
              <w:left w:val="nil"/>
              <w:right w:val="nil"/>
            </w:tcBorders>
            <w:shd w:val="clear" w:color="auto" w:fill="auto"/>
            <w:vAlign w:val="center"/>
          </w:tcPr>
          <w:p w14:paraId="1E225F59" w14:textId="77777777" w:rsidR="0021298F" w:rsidRPr="004C0F8D" w:rsidRDefault="0021298F" w:rsidP="00760009">
            <w:pPr>
              <w:jc w:val="both"/>
              <w:rPr>
                <w:rFonts w:ascii="Arial" w:eastAsia="Times New Roman" w:hAnsi="Arial" w:cs="Arial"/>
                <w:lang w:eastAsia="en-GB"/>
              </w:rPr>
            </w:pPr>
            <w:r w:rsidRPr="004C0F8D">
              <w:rPr>
                <w:rFonts w:ascii="Arial" w:eastAsia="Times New Roman" w:hAnsi="Arial" w:cs="Arial"/>
                <w:lang w:eastAsia="en-GB"/>
              </w:rPr>
              <w:t>Northern Trust</w:t>
            </w:r>
          </w:p>
        </w:tc>
        <w:tc>
          <w:tcPr>
            <w:tcW w:w="483" w:type="pct"/>
            <w:tcBorders>
              <w:top w:val="nil"/>
              <w:left w:val="nil"/>
              <w:right w:val="nil"/>
            </w:tcBorders>
            <w:shd w:val="clear" w:color="000000" w:fill="EDFFB7"/>
            <w:vAlign w:val="center"/>
          </w:tcPr>
          <w:p w14:paraId="27B0ADC7" w14:textId="77777777" w:rsidR="0021298F" w:rsidRPr="004C0F8D" w:rsidRDefault="0021298F" w:rsidP="00760009">
            <w:pPr>
              <w:jc w:val="right"/>
              <w:rPr>
                <w:rFonts w:ascii="Arial" w:eastAsia="Times New Roman" w:hAnsi="Arial" w:cs="Arial"/>
                <w:lang w:eastAsia="en-GB"/>
              </w:rPr>
            </w:pPr>
            <w:r w:rsidRPr="004C0F8D">
              <w:rPr>
                <w:rFonts w:ascii="Arial" w:eastAsia="Times New Roman" w:hAnsi="Arial" w:cs="Arial"/>
                <w:lang w:eastAsia="en-GB"/>
              </w:rPr>
              <w:t>A+</w:t>
            </w:r>
          </w:p>
        </w:tc>
        <w:tc>
          <w:tcPr>
            <w:tcW w:w="1265" w:type="pct"/>
            <w:tcBorders>
              <w:top w:val="nil"/>
              <w:left w:val="nil"/>
              <w:right w:val="nil"/>
            </w:tcBorders>
            <w:shd w:val="clear" w:color="000000" w:fill="EDFFB7"/>
            <w:vAlign w:val="center"/>
          </w:tcPr>
          <w:p w14:paraId="400779F8" w14:textId="77777777" w:rsidR="0021298F" w:rsidRPr="001E34C8" w:rsidRDefault="0021298F" w:rsidP="00760009">
            <w:pPr>
              <w:jc w:val="right"/>
              <w:rPr>
                <w:rFonts w:ascii="Arial" w:eastAsia="Times New Roman" w:hAnsi="Arial" w:cs="Arial"/>
                <w:lang w:eastAsia="en-GB"/>
              </w:rPr>
            </w:pPr>
            <w:r w:rsidRPr="001E34C8">
              <w:rPr>
                <w:rFonts w:ascii="Arial" w:eastAsia="Times New Roman" w:hAnsi="Arial" w:cs="Arial"/>
                <w:lang w:eastAsia="en-GB"/>
              </w:rPr>
              <w:t>1,438</w:t>
            </w:r>
          </w:p>
        </w:tc>
      </w:tr>
      <w:tr w:rsidR="0021298F" w:rsidRPr="006C23F3" w14:paraId="25B11C4B" w14:textId="77777777" w:rsidTr="00760009">
        <w:trPr>
          <w:trHeight w:val="291"/>
        </w:trPr>
        <w:tc>
          <w:tcPr>
            <w:tcW w:w="3252" w:type="pct"/>
            <w:tcBorders>
              <w:top w:val="nil"/>
              <w:left w:val="nil"/>
              <w:right w:val="nil"/>
            </w:tcBorders>
            <w:shd w:val="clear" w:color="auto" w:fill="auto"/>
            <w:vAlign w:val="center"/>
          </w:tcPr>
          <w:p w14:paraId="78688CDB" w14:textId="77777777" w:rsidR="0021298F" w:rsidRDefault="0021298F" w:rsidP="00760009">
            <w:pPr>
              <w:jc w:val="both"/>
              <w:rPr>
                <w:rFonts w:ascii="Arial" w:eastAsia="Times New Roman" w:hAnsi="Arial" w:cs="Arial"/>
                <w:lang w:eastAsia="en-GB"/>
              </w:rPr>
            </w:pPr>
            <w:r w:rsidRPr="004C0F8D">
              <w:rPr>
                <w:rFonts w:ascii="Arial" w:eastAsia="Times New Roman" w:hAnsi="Arial" w:cs="Arial"/>
                <w:lang w:eastAsia="en-GB"/>
              </w:rPr>
              <w:t>AIB</w:t>
            </w:r>
          </w:p>
        </w:tc>
        <w:tc>
          <w:tcPr>
            <w:tcW w:w="483" w:type="pct"/>
            <w:tcBorders>
              <w:top w:val="nil"/>
              <w:left w:val="nil"/>
              <w:right w:val="nil"/>
            </w:tcBorders>
            <w:shd w:val="clear" w:color="000000" w:fill="EDFFB7"/>
            <w:vAlign w:val="center"/>
          </w:tcPr>
          <w:p w14:paraId="5DF0B70D" w14:textId="77777777" w:rsidR="0021298F" w:rsidRDefault="0021298F" w:rsidP="00760009">
            <w:pPr>
              <w:jc w:val="right"/>
              <w:rPr>
                <w:rFonts w:ascii="Arial" w:eastAsia="Times New Roman" w:hAnsi="Arial" w:cs="Arial"/>
                <w:lang w:eastAsia="en-GB"/>
              </w:rPr>
            </w:pPr>
            <w:r w:rsidRPr="004C0F8D">
              <w:rPr>
                <w:rFonts w:ascii="Arial" w:eastAsia="Times New Roman" w:hAnsi="Arial" w:cs="Arial"/>
                <w:lang w:eastAsia="en-GB"/>
              </w:rPr>
              <w:t>BBB+</w:t>
            </w:r>
          </w:p>
        </w:tc>
        <w:tc>
          <w:tcPr>
            <w:tcW w:w="1265" w:type="pct"/>
            <w:tcBorders>
              <w:top w:val="nil"/>
              <w:left w:val="nil"/>
              <w:right w:val="nil"/>
            </w:tcBorders>
            <w:shd w:val="clear" w:color="000000" w:fill="EDFFB7"/>
            <w:vAlign w:val="center"/>
          </w:tcPr>
          <w:p w14:paraId="76AB538C" w14:textId="77777777" w:rsidR="0021298F" w:rsidRDefault="0021298F" w:rsidP="00760009">
            <w:pPr>
              <w:jc w:val="right"/>
              <w:rPr>
                <w:rFonts w:ascii="Arial" w:eastAsia="Times New Roman" w:hAnsi="Arial" w:cs="Arial"/>
                <w:lang w:eastAsia="en-GB"/>
              </w:rPr>
            </w:pPr>
            <w:r w:rsidRPr="001E34C8">
              <w:rPr>
                <w:rFonts w:ascii="Arial" w:eastAsia="Times New Roman" w:hAnsi="Arial" w:cs="Arial"/>
                <w:lang w:eastAsia="en-GB"/>
              </w:rPr>
              <w:t>1</w:t>
            </w:r>
            <w:r>
              <w:rPr>
                <w:rFonts w:ascii="Arial" w:eastAsia="Times New Roman" w:hAnsi="Arial" w:cs="Arial"/>
                <w:lang w:eastAsia="en-GB"/>
              </w:rPr>
              <w:t>3</w:t>
            </w:r>
            <w:r w:rsidRPr="001E34C8">
              <w:rPr>
                <w:rFonts w:ascii="Arial" w:eastAsia="Times New Roman" w:hAnsi="Arial" w:cs="Arial"/>
                <w:lang w:eastAsia="en-GB"/>
              </w:rPr>
              <w:t>,</w:t>
            </w:r>
            <w:r>
              <w:rPr>
                <w:rFonts w:ascii="Arial" w:eastAsia="Times New Roman" w:hAnsi="Arial" w:cs="Arial"/>
                <w:lang w:eastAsia="en-GB"/>
              </w:rPr>
              <w:t>640</w:t>
            </w:r>
          </w:p>
        </w:tc>
      </w:tr>
      <w:tr w:rsidR="0021298F" w:rsidRPr="006C23F3" w14:paraId="7CDD66C0" w14:textId="77777777" w:rsidTr="00760009">
        <w:trPr>
          <w:trHeight w:val="291"/>
        </w:trPr>
        <w:tc>
          <w:tcPr>
            <w:tcW w:w="3252" w:type="pct"/>
            <w:tcBorders>
              <w:top w:val="nil"/>
              <w:left w:val="nil"/>
              <w:right w:val="nil"/>
            </w:tcBorders>
            <w:shd w:val="clear" w:color="auto" w:fill="auto"/>
            <w:vAlign w:val="center"/>
          </w:tcPr>
          <w:p w14:paraId="16973B98" w14:textId="77777777" w:rsidR="0021298F" w:rsidRPr="004C0F8D" w:rsidRDefault="0021298F" w:rsidP="00760009">
            <w:pPr>
              <w:jc w:val="both"/>
              <w:rPr>
                <w:rFonts w:ascii="Arial" w:eastAsia="Times New Roman" w:hAnsi="Arial" w:cs="Arial"/>
                <w:lang w:eastAsia="en-GB"/>
              </w:rPr>
            </w:pPr>
            <w:r>
              <w:rPr>
                <w:rFonts w:ascii="Arial" w:eastAsia="Times New Roman" w:hAnsi="Arial" w:cs="Arial"/>
                <w:lang w:eastAsia="en-GB"/>
              </w:rPr>
              <w:t>Santander</w:t>
            </w:r>
          </w:p>
        </w:tc>
        <w:tc>
          <w:tcPr>
            <w:tcW w:w="483" w:type="pct"/>
            <w:tcBorders>
              <w:top w:val="nil"/>
              <w:left w:val="nil"/>
              <w:right w:val="nil"/>
            </w:tcBorders>
            <w:shd w:val="clear" w:color="000000" w:fill="EDFFB7"/>
            <w:vAlign w:val="center"/>
          </w:tcPr>
          <w:p w14:paraId="42D60199" w14:textId="77777777" w:rsidR="0021298F" w:rsidRPr="004C0F8D" w:rsidRDefault="0021298F" w:rsidP="00760009">
            <w:pPr>
              <w:jc w:val="right"/>
              <w:rPr>
                <w:rFonts w:ascii="Arial" w:eastAsia="Times New Roman" w:hAnsi="Arial" w:cs="Arial"/>
                <w:lang w:eastAsia="en-GB"/>
              </w:rPr>
            </w:pPr>
            <w:r>
              <w:rPr>
                <w:rFonts w:ascii="Arial" w:eastAsia="Times New Roman" w:hAnsi="Arial" w:cs="Arial"/>
                <w:lang w:eastAsia="en-GB"/>
              </w:rPr>
              <w:t>BBB</w:t>
            </w:r>
          </w:p>
        </w:tc>
        <w:tc>
          <w:tcPr>
            <w:tcW w:w="1265" w:type="pct"/>
            <w:tcBorders>
              <w:top w:val="nil"/>
              <w:left w:val="nil"/>
              <w:right w:val="nil"/>
            </w:tcBorders>
            <w:shd w:val="clear" w:color="000000" w:fill="EDFFB7"/>
            <w:vAlign w:val="center"/>
          </w:tcPr>
          <w:p w14:paraId="27081A15" w14:textId="77777777" w:rsidR="0021298F" w:rsidRPr="001E34C8" w:rsidRDefault="0021298F" w:rsidP="00760009">
            <w:pPr>
              <w:jc w:val="right"/>
              <w:rPr>
                <w:rFonts w:ascii="Arial" w:eastAsia="Times New Roman" w:hAnsi="Arial" w:cs="Arial"/>
                <w:lang w:eastAsia="en-GB"/>
              </w:rPr>
            </w:pPr>
            <w:r>
              <w:rPr>
                <w:rFonts w:ascii="Arial" w:eastAsia="Times New Roman" w:hAnsi="Arial" w:cs="Arial"/>
                <w:lang w:eastAsia="en-GB"/>
              </w:rPr>
              <w:t>1,439</w:t>
            </w:r>
          </w:p>
        </w:tc>
      </w:tr>
      <w:tr w:rsidR="0021298F" w:rsidRPr="003D4ED7" w14:paraId="0F3355CB" w14:textId="77777777" w:rsidTr="00760009">
        <w:trPr>
          <w:trHeight w:val="321"/>
        </w:trPr>
        <w:tc>
          <w:tcPr>
            <w:tcW w:w="3252" w:type="pct"/>
            <w:tcBorders>
              <w:top w:val="single" w:sz="4" w:space="0" w:color="auto"/>
              <w:left w:val="nil"/>
              <w:bottom w:val="single" w:sz="8" w:space="0" w:color="auto"/>
              <w:right w:val="nil"/>
            </w:tcBorders>
            <w:shd w:val="clear" w:color="auto" w:fill="auto"/>
            <w:vAlign w:val="center"/>
            <w:hideMark/>
          </w:tcPr>
          <w:p w14:paraId="54BBCCC2" w14:textId="77777777" w:rsidR="0021298F" w:rsidRPr="00A71F58" w:rsidRDefault="0021298F" w:rsidP="00760009">
            <w:pPr>
              <w:jc w:val="both"/>
              <w:rPr>
                <w:rFonts w:ascii="Arial" w:eastAsia="Times New Roman" w:hAnsi="Arial" w:cs="Arial"/>
                <w:b/>
                <w:bCs/>
                <w:highlight w:val="cyan"/>
                <w:lang w:eastAsia="en-GB"/>
              </w:rPr>
            </w:pPr>
            <w:r w:rsidRPr="003D4ED7">
              <w:rPr>
                <w:rFonts w:ascii="Arial" w:eastAsia="Times New Roman" w:hAnsi="Arial" w:cs="Arial"/>
                <w:b/>
                <w:bCs/>
                <w:lang w:eastAsia="en-GB"/>
              </w:rPr>
              <w:t> </w:t>
            </w:r>
          </w:p>
        </w:tc>
        <w:tc>
          <w:tcPr>
            <w:tcW w:w="483" w:type="pct"/>
            <w:tcBorders>
              <w:top w:val="single" w:sz="4" w:space="0" w:color="auto"/>
              <w:left w:val="nil"/>
              <w:bottom w:val="single" w:sz="8" w:space="0" w:color="auto"/>
              <w:right w:val="nil"/>
            </w:tcBorders>
            <w:shd w:val="clear" w:color="000000" w:fill="EDFFB7"/>
            <w:vAlign w:val="center"/>
          </w:tcPr>
          <w:p w14:paraId="43AB15CE" w14:textId="77777777" w:rsidR="0021298F" w:rsidRPr="00A71F58" w:rsidRDefault="0021298F" w:rsidP="00760009">
            <w:pPr>
              <w:jc w:val="right"/>
              <w:rPr>
                <w:rFonts w:ascii="Arial" w:eastAsia="Times New Roman" w:hAnsi="Arial" w:cs="Arial"/>
                <w:b/>
                <w:bCs/>
                <w:highlight w:val="cyan"/>
                <w:lang w:eastAsia="en-GB"/>
              </w:rPr>
            </w:pPr>
          </w:p>
        </w:tc>
        <w:tc>
          <w:tcPr>
            <w:tcW w:w="1265" w:type="pct"/>
            <w:tcBorders>
              <w:top w:val="single" w:sz="4" w:space="0" w:color="auto"/>
              <w:left w:val="nil"/>
              <w:bottom w:val="single" w:sz="8" w:space="0" w:color="auto"/>
              <w:right w:val="nil"/>
            </w:tcBorders>
            <w:shd w:val="clear" w:color="000000" w:fill="EDFFB7"/>
            <w:noWrap/>
            <w:vAlign w:val="center"/>
          </w:tcPr>
          <w:p w14:paraId="157045D2" w14:textId="77777777" w:rsidR="0021298F" w:rsidRPr="001E34C8" w:rsidRDefault="0021298F" w:rsidP="00760009">
            <w:pPr>
              <w:jc w:val="right"/>
              <w:rPr>
                <w:rFonts w:ascii="Arial" w:eastAsia="Times New Roman" w:hAnsi="Arial" w:cs="Arial"/>
                <w:b/>
                <w:bCs/>
                <w:lang w:eastAsia="en-GB"/>
              </w:rPr>
            </w:pPr>
            <w:r w:rsidRPr="001E34C8">
              <w:rPr>
                <w:rFonts w:ascii="Arial" w:eastAsia="Times New Roman" w:hAnsi="Arial" w:cs="Arial"/>
                <w:b/>
                <w:bCs/>
                <w:lang w:eastAsia="en-GB"/>
              </w:rPr>
              <w:t>16,517</w:t>
            </w:r>
          </w:p>
        </w:tc>
      </w:tr>
      <w:tr w:rsidR="0021298F" w:rsidRPr="006C23F3" w14:paraId="26F4C3F6" w14:textId="77777777" w:rsidTr="00760009">
        <w:trPr>
          <w:trHeight w:val="612"/>
        </w:trPr>
        <w:tc>
          <w:tcPr>
            <w:tcW w:w="3252" w:type="pct"/>
            <w:tcBorders>
              <w:top w:val="nil"/>
              <w:left w:val="nil"/>
              <w:bottom w:val="nil"/>
              <w:right w:val="nil"/>
            </w:tcBorders>
            <w:shd w:val="clear" w:color="auto" w:fill="auto"/>
            <w:vAlign w:val="bottom"/>
            <w:hideMark/>
          </w:tcPr>
          <w:p w14:paraId="3F6F11AE" w14:textId="77777777" w:rsidR="0021298F" w:rsidRPr="006C23F3" w:rsidRDefault="0021298F" w:rsidP="00760009">
            <w:pPr>
              <w:jc w:val="both"/>
              <w:rPr>
                <w:rFonts w:ascii="Arial" w:eastAsia="Times New Roman" w:hAnsi="Arial" w:cs="Arial"/>
                <w:b/>
                <w:bCs/>
                <w:lang w:eastAsia="en-GB"/>
              </w:rPr>
            </w:pPr>
          </w:p>
        </w:tc>
        <w:tc>
          <w:tcPr>
            <w:tcW w:w="483" w:type="pct"/>
            <w:tcBorders>
              <w:top w:val="nil"/>
              <w:left w:val="nil"/>
              <w:bottom w:val="nil"/>
              <w:right w:val="nil"/>
            </w:tcBorders>
            <w:shd w:val="clear" w:color="auto" w:fill="auto"/>
            <w:vAlign w:val="bottom"/>
            <w:hideMark/>
          </w:tcPr>
          <w:p w14:paraId="23061E3F" w14:textId="77777777" w:rsidR="0021298F" w:rsidRPr="006C23F3" w:rsidRDefault="0021298F" w:rsidP="00760009">
            <w:pPr>
              <w:jc w:val="right"/>
              <w:rPr>
                <w:rFonts w:ascii="Arial" w:eastAsia="Times New Roman" w:hAnsi="Arial" w:cs="Arial"/>
                <w:b/>
                <w:bCs/>
                <w:lang w:eastAsia="en-GB"/>
              </w:rPr>
            </w:pPr>
            <w:r w:rsidRPr="006C23F3">
              <w:rPr>
                <w:rFonts w:ascii="Arial" w:eastAsia="Times New Roman" w:hAnsi="Arial" w:cs="Arial"/>
                <w:b/>
                <w:bCs/>
                <w:lang w:eastAsia="en-GB"/>
              </w:rPr>
              <w:t>Rating</w:t>
            </w:r>
          </w:p>
        </w:tc>
        <w:tc>
          <w:tcPr>
            <w:tcW w:w="1265" w:type="pct"/>
            <w:tcBorders>
              <w:top w:val="nil"/>
              <w:left w:val="nil"/>
              <w:bottom w:val="nil"/>
              <w:right w:val="nil"/>
            </w:tcBorders>
            <w:shd w:val="clear" w:color="auto" w:fill="auto"/>
            <w:vAlign w:val="bottom"/>
            <w:hideMark/>
          </w:tcPr>
          <w:p w14:paraId="3CC32F27" w14:textId="77777777" w:rsidR="0021298F" w:rsidRPr="006C23F3" w:rsidRDefault="0021298F" w:rsidP="00760009">
            <w:pPr>
              <w:jc w:val="right"/>
              <w:rPr>
                <w:rFonts w:ascii="Arial" w:eastAsia="Times New Roman" w:hAnsi="Arial" w:cs="Arial"/>
                <w:b/>
                <w:bCs/>
                <w:lang w:eastAsia="en-GB"/>
              </w:rPr>
            </w:pPr>
            <w:r>
              <w:rPr>
                <w:rFonts w:ascii="Arial" w:eastAsia="Times New Roman" w:hAnsi="Arial" w:cs="Arial"/>
                <w:b/>
                <w:bCs/>
                <w:lang w:eastAsia="en-GB"/>
              </w:rPr>
              <w:t>31 December 2019</w:t>
            </w:r>
          </w:p>
        </w:tc>
      </w:tr>
      <w:tr w:rsidR="0021298F" w:rsidRPr="006C23F3" w14:paraId="5DE12C2A" w14:textId="77777777" w:rsidTr="00760009">
        <w:trPr>
          <w:trHeight w:val="306"/>
        </w:trPr>
        <w:tc>
          <w:tcPr>
            <w:tcW w:w="3252" w:type="pct"/>
            <w:tcBorders>
              <w:top w:val="nil"/>
              <w:left w:val="nil"/>
              <w:bottom w:val="single" w:sz="4" w:space="0" w:color="auto"/>
              <w:right w:val="nil"/>
            </w:tcBorders>
            <w:shd w:val="clear" w:color="auto" w:fill="auto"/>
            <w:vAlign w:val="center"/>
            <w:hideMark/>
          </w:tcPr>
          <w:p w14:paraId="170E7136" w14:textId="77777777" w:rsidR="0021298F" w:rsidRPr="006C23F3" w:rsidRDefault="0021298F" w:rsidP="00760009">
            <w:pPr>
              <w:jc w:val="both"/>
              <w:rPr>
                <w:rFonts w:ascii="Arial" w:eastAsia="Times New Roman" w:hAnsi="Arial" w:cs="Arial"/>
                <w:lang w:eastAsia="en-GB"/>
              </w:rPr>
            </w:pPr>
            <w:r>
              <w:rPr>
                <w:rFonts w:ascii="Arial" w:eastAsia="Times New Roman" w:hAnsi="Arial" w:cs="Arial"/>
                <w:b/>
                <w:bCs/>
                <w:lang w:eastAsia="en-GB"/>
              </w:rPr>
              <w:t>Group</w:t>
            </w:r>
          </w:p>
        </w:tc>
        <w:tc>
          <w:tcPr>
            <w:tcW w:w="483" w:type="pct"/>
            <w:tcBorders>
              <w:top w:val="nil"/>
              <w:left w:val="nil"/>
              <w:bottom w:val="single" w:sz="4" w:space="0" w:color="auto"/>
              <w:right w:val="nil"/>
            </w:tcBorders>
            <w:shd w:val="clear" w:color="auto" w:fill="auto"/>
            <w:noWrap/>
            <w:vAlign w:val="center"/>
            <w:hideMark/>
          </w:tcPr>
          <w:p w14:paraId="2019EAFA" w14:textId="77777777" w:rsidR="0021298F" w:rsidRPr="006C23F3" w:rsidRDefault="0021298F" w:rsidP="00760009">
            <w:pPr>
              <w:jc w:val="right"/>
              <w:rPr>
                <w:rFonts w:ascii="Arial" w:eastAsia="Times New Roman" w:hAnsi="Arial" w:cs="Arial"/>
                <w:b/>
                <w:bCs/>
                <w:lang w:eastAsia="en-GB"/>
              </w:rPr>
            </w:pPr>
            <w:r w:rsidRPr="006C23F3">
              <w:rPr>
                <w:rFonts w:ascii="Arial" w:eastAsia="Times New Roman" w:hAnsi="Arial" w:cs="Arial"/>
                <w:b/>
                <w:bCs/>
                <w:lang w:eastAsia="en-GB"/>
              </w:rPr>
              <w:t> </w:t>
            </w:r>
          </w:p>
        </w:tc>
        <w:tc>
          <w:tcPr>
            <w:tcW w:w="1265" w:type="pct"/>
            <w:tcBorders>
              <w:top w:val="nil"/>
              <w:left w:val="nil"/>
              <w:bottom w:val="single" w:sz="4" w:space="0" w:color="auto"/>
              <w:right w:val="nil"/>
            </w:tcBorders>
            <w:shd w:val="clear" w:color="auto" w:fill="auto"/>
            <w:noWrap/>
            <w:vAlign w:val="center"/>
            <w:hideMark/>
          </w:tcPr>
          <w:p w14:paraId="1D5841CE" w14:textId="77777777" w:rsidR="0021298F" w:rsidRPr="006C23F3" w:rsidRDefault="0021298F" w:rsidP="00760009">
            <w:pPr>
              <w:jc w:val="right"/>
              <w:rPr>
                <w:rFonts w:ascii="Arial" w:eastAsia="Times New Roman" w:hAnsi="Arial" w:cs="Arial"/>
                <w:b/>
                <w:bCs/>
                <w:lang w:eastAsia="en-GB"/>
              </w:rPr>
            </w:pPr>
            <w:r>
              <w:rPr>
                <w:rFonts w:ascii="Arial" w:eastAsia="Times New Roman" w:hAnsi="Arial" w:cs="Arial"/>
                <w:b/>
                <w:bCs/>
                <w:lang w:eastAsia="en-GB"/>
              </w:rPr>
              <w:t>€’000</w:t>
            </w:r>
          </w:p>
        </w:tc>
      </w:tr>
      <w:tr w:rsidR="0021298F" w:rsidRPr="006C23F3" w14:paraId="5AD1C983" w14:textId="77777777" w:rsidTr="00760009">
        <w:trPr>
          <w:trHeight w:val="291"/>
        </w:trPr>
        <w:tc>
          <w:tcPr>
            <w:tcW w:w="3252" w:type="pct"/>
            <w:tcBorders>
              <w:top w:val="nil"/>
              <w:left w:val="nil"/>
              <w:right w:val="nil"/>
            </w:tcBorders>
            <w:shd w:val="clear" w:color="auto" w:fill="auto"/>
            <w:vAlign w:val="center"/>
          </w:tcPr>
          <w:p w14:paraId="2268272B" w14:textId="77777777" w:rsidR="0021298F" w:rsidRPr="006C23F3" w:rsidRDefault="0021298F" w:rsidP="00760009">
            <w:pPr>
              <w:jc w:val="both"/>
              <w:rPr>
                <w:rFonts w:ascii="Arial" w:eastAsia="Times New Roman" w:hAnsi="Arial" w:cs="Arial"/>
                <w:lang w:eastAsia="en-GB"/>
              </w:rPr>
            </w:pPr>
            <w:r>
              <w:rPr>
                <w:rFonts w:ascii="Arial" w:eastAsia="Times New Roman" w:hAnsi="Arial" w:cs="Arial"/>
                <w:lang w:eastAsia="en-GB"/>
              </w:rPr>
              <w:t>Northern Trust</w:t>
            </w:r>
          </w:p>
        </w:tc>
        <w:tc>
          <w:tcPr>
            <w:tcW w:w="483" w:type="pct"/>
            <w:tcBorders>
              <w:top w:val="single" w:sz="4" w:space="0" w:color="auto"/>
              <w:left w:val="nil"/>
              <w:right w:val="nil"/>
            </w:tcBorders>
            <w:shd w:val="clear" w:color="000000" w:fill="auto"/>
            <w:vAlign w:val="center"/>
            <w:hideMark/>
          </w:tcPr>
          <w:p w14:paraId="10B36348" w14:textId="77777777" w:rsidR="0021298F" w:rsidRPr="006C23F3" w:rsidRDefault="0021298F" w:rsidP="00760009">
            <w:pPr>
              <w:jc w:val="right"/>
              <w:rPr>
                <w:rFonts w:ascii="Arial" w:eastAsia="Times New Roman" w:hAnsi="Arial" w:cs="Arial"/>
                <w:lang w:eastAsia="en-GB"/>
              </w:rPr>
            </w:pPr>
            <w:r>
              <w:rPr>
                <w:rFonts w:ascii="Arial" w:eastAsia="Times New Roman" w:hAnsi="Arial" w:cs="Arial"/>
                <w:lang w:eastAsia="en-GB"/>
              </w:rPr>
              <w:t>A+</w:t>
            </w:r>
          </w:p>
        </w:tc>
        <w:tc>
          <w:tcPr>
            <w:tcW w:w="1265" w:type="pct"/>
            <w:tcBorders>
              <w:top w:val="single" w:sz="4" w:space="0" w:color="auto"/>
              <w:left w:val="nil"/>
              <w:right w:val="nil"/>
            </w:tcBorders>
            <w:shd w:val="clear" w:color="000000" w:fill="auto"/>
            <w:vAlign w:val="center"/>
          </w:tcPr>
          <w:p w14:paraId="4CF47FA5" w14:textId="77777777" w:rsidR="0021298F" w:rsidRPr="006C23F3" w:rsidRDefault="0021298F" w:rsidP="00760009">
            <w:pPr>
              <w:jc w:val="right"/>
              <w:rPr>
                <w:rFonts w:ascii="Arial" w:eastAsia="Times New Roman" w:hAnsi="Arial" w:cs="Arial"/>
                <w:lang w:eastAsia="en-GB"/>
              </w:rPr>
            </w:pPr>
            <w:r>
              <w:rPr>
                <w:rFonts w:ascii="Arial" w:eastAsia="Times New Roman" w:hAnsi="Arial" w:cs="Arial"/>
                <w:lang w:eastAsia="en-GB"/>
              </w:rPr>
              <w:t>51</w:t>
            </w:r>
          </w:p>
        </w:tc>
      </w:tr>
      <w:tr w:rsidR="0021298F" w:rsidRPr="006C23F3" w14:paraId="1C275261" w14:textId="77777777" w:rsidTr="00760009">
        <w:trPr>
          <w:trHeight w:val="291"/>
        </w:trPr>
        <w:tc>
          <w:tcPr>
            <w:tcW w:w="3252" w:type="pct"/>
            <w:tcBorders>
              <w:left w:val="nil"/>
              <w:bottom w:val="single" w:sz="4" w:space="0" w:color="auto"/>
              <w:right w:val="nil"/>
            </w:tcBorders>
            <w:shd w:val="clear" w:color="auto" w:fill="auto"/>
            <w:vAlign w:val="center"/>
          </w:tcPr>
          <w:p w14:paraId="3D2C87FF" w14:textId="77777777" w:rsidR="0021298F" w:rsidRPr="006C23F3" w:rsidRDefault="0021298F" w:rsidP="00760009">
            <w:pPr>
              <w:jc w:val="both"/>
              <w:rPr>
                <w:rFonts w:ascii="Arial" w:eastAsia="Times New Roman" w:hAnsi="Arial" w:cs="Arial"/>
                <w:lang w:eastAsia="en-GB"/>
              </w:rPr>
            </w:pPr>
            <w:r>
              <w:rPr>
                <w:rFonts w:ascii="Arial" w:eastAsia="Times New Roman" w:hAnsi="Arial" w:cs="Arial"/>
                <w:lang w:eastAsia="en-GB"/>
              </w:rPr>
              <w:t>AIB</w:t>
            </w:r>
          </w:p>
        </w:tc>
        <w:tc>
          <w:tcPr>
            <w:tcW w:w="483" w:type="pct"/>
            <w:tcBorders>
              <w:left w:val="nil"/>
              <w:bottom w:val="single" w:sz="4" w:space="0" w:color="auto"/>
              <w:right w:val="nil"/>
            </w:tcBorders>
            <w:shd w:val="clear" w:color="000000" w:fill="auto"/>
            <w:vAlign w:val="center"/>
            <w:hideMark/>
          </w:tcPr>
          <w:p w14:paraId="706A2091" w14:textId="77777777" w:rsidR="0021298F" w:rsidRPr="006C23F3" w:rsidRDefault="0021298F" w:rsidP="00760009">
            <w:pPr>
              <w:jc w:val="right"/>
              <w:rPr>
                <w:rFonts w:ascii="Arial" w:eastAsia="Times New Roman" w:hAnsi="Arial" w:cs="Arial"/>
                <w:lang w:eastAsia="en-GB"/>
              </w:rPr>
            </w:pPr>
            <w:r>
              <w:rPr>
                <w:rFonts w:ascii="Arial" w:eastAsia="Times New Roman" w:hAnsi="Arial" w:cs="Arial"/>
                <w:lang w:eastAsia="en-GB"/>
              </w:rPr>
              <w:t>BBB+</w:t>
            </w:r>
          </w:p>
        </w:tc>
        <w:tc>
          <w:tcPr>
            <w:tcW w:w="1265" w:type="pct"/>
            <w:tcBorders>
              <w:left w:val="nil"/>
              <w:bottom w:val="single" w:sz="4" w:space="0" w:color="auto"/>
              <w:right w:val="nil"/>
            </w:tcBorders>
            <w:shd w:val="clear" w:color="000000" w:fill="auto"/>
            <w:noWrap/>
            <w:vAlign w:val="center"/>
          </w:tcPr>
          <w:p w14:paraId="32706033" w14:textId="77777777" w:rsidR="0021298F" w:rsidRPr="00024068" w:rsidRDefault="0021298F" w:rsidP="00760009">
            <w:pPr>
              <w:jc w:val="right"/>
              <w:rPr>
                <w:rFonts w:ascii="Arial" w:eastAsia="Times New Roman" w:hAnsi="Arial" w:cs="Arial"/>
                <w:lang w:eastAsia="en-GB"/>
              </w:rPr>
            </w:pPr>
            <w:r>
              <w:rPr>
                <w:rFonts w:ascii="Arial" w:eastAsia="Times New Roman" w:hAnsi="Arial" w:cs="Arial"/>
                <w:lang w:eastAsia="en-GB"/>
              </w:rPr>
              <w:t>5,969</w:t>
            </w:r>
          </w:p>
        </w:tc>
      </w:tr>
      <w:tr w:rsidR="0021298F" w:rsidRPr="006C23F3" w14:paraId="19A99067" w14:textId="77777777" w:rsidTr="00760009">
        <w:trPr>
          <w:trHeight w:val="321"/>
        </w:trPr>
        <w:tc>
          <w:tcPr>
            <w:tcW w:w="3252" w:type="pct"/>
            <w:tcBorders>
              <w:top w:val="single" w:sz="4" w:space="0" w:color="auto"/>
              <w:left w:val="nil"/>
              <w:bottom w:val="single" w:sz="8" w:space="0" w:color="auto"/>
              <w:right w:val="nil"/>
            </w:tcBorders>
            <w:shd w:val="clear" w:color="auto" w:fill="auto"/>
            <w:vAlign w:val="center"/>
            <w:hideMark/>
          </w:tcPr>
          <w:p w14:paraId="2B902284" w14:textId="77777777" w:rsidR="0021298F" w:rsidRPr="006C23F3" w:rsidRDefault="0021298F" w:rsidP="00760009">
            <w:pPr>
              <w:jc w:val="both"/>
              <w:rPr>
                <w:rFonts w:ascii="Arial" w:eastAsia="Times New Roman" w:hAnsi="Arial" w:cs="Arial"/>
                <w:b/>
                <w:bCs/>
                <w:lang w:eastAsia="en-GB"/>
              </w:rPr>
            </w:pPr>
            <w:r w:rsidRPr="006C23F3">
              <w:rPr>
                <w:rFonts w:ascii="Arial" w:eastAsia="Times New Roman" w:hAnsi="Arial" w:cs="Arial"/>
                <w:b/>
                <w:bCs/>
                <w:lang w:eastAsia="en-GB"/>
              </w:rPr>
              <w:t> </w:t>
            </w:r>
          </w:p>
        </w:tc>
        <w:tc>
          <w:tcPr>
            <w:tcW w:w="483" w:type="pct"/>
            <w:tcBorders>
              <w:top w:val="single" w:sz="4" w:space="0" w:color="auto"/>
              <w:left w:val="nil"/>
              <w:bottom w:val="single" w:sz="8" w:space="0" w:color="auto"/>
              <w:right w:val="nil"/>
            </w:tcBorders>
            <w:shd w:val="clear" w:color="000000" w:fill="auto"/>
            <w:vAlign w:val="center"/>
            <w:hideMark/>
          </w:tcPr>
          <w:p w14:paraId="5388DC2C" w14:textId="77777777" w:rsidR="0021298F" w:rsidRPr="006C23F3" w:rsidRDefault="0021298F" w:rsidP="00760009">
            <w:pPr>
              <w:jc w:val="right"/>
              <w:rPr>
                <w:rFonts w:ascii="Arial" w:eastAsia="Times New Roman" w:hAnsi="Arial" w:cs="Arial"/>
                <w:b/>
                <w:bCs/>
                <w:lang w:eastAsia="en-GB"/>
              </w:rPr>
            </w:pPr>
            <w:r w:rsidRPr="006C23F3">
              <w:rPr>
                <w:rFonts w:ascii="Arial" w:eastAsia="Times New Roman" w:hAnsi="Arial" w:cs="Arial"/>
                <w:b/>
                <w:bCs/>
                <w:lang w:eastAsia="en-GB"/>
              </w:rPr>
              <w:t> </w:t>
            </w:r>
          </w:p>
        </w:tc>
        <w:tc>
          <w:tcPr>
            <w:tcW w:w="1265" w:type="pct"/>
            <w:tcBorders>
              <w:top w:val="single" w:sz="4" w:space="0" w:color="auto"/>
              <w:left w:val="nil"/>
              <w:bottom w:val="single" w:sz="8" w:space="0" w:color="auto"/>
              <w:right w:val="nil"/>
            </w:tcBorders>
            <w:shd w:val="clear" w:color="000000" w:fill="auto"/>
            <w:noWrap/>
            <w:vAlign w:val="center"/>
          </w:tcPr>
          <w:p w14:paraId="447362FE" w14:textId="77777777" w:rsidR="0021298F" w:rsidRPr="006C23F3" w:rsidRDefault="0021298F" w:rsidP="00760009">
            <w:pPr>
              <w:jc w:val="right"/>
              <w:rPr>
                <w:rFonts w:ascii="Arial" w:eastAsia="Times New Roman" w:hAnsi="Arial" w:cs="Arial"/>
                <w:b/>
                <w:bCs/>
                <w:lang w:eastAsia="en-GB"/>
              </w:rPr>
            </w:pPr>
            <w:r w:rsidRPr="003D4ED7">
              <w:rPr>
                <w:rFonts w:ascii="Arial" w:eastAsia="Times New Roman" w:hAnsi="Arial" w:cs="Arial"/>
                <w:b/>
                <w:bCs/>
                <w:lang w:eastAsia="en-GB"/>
              </w:rPr>
              <w:t>6,</w:t>
            </w:r>
            <w:r>
              <w:rPr>
                <w:rFonts w:ascii="Arial" w:eastAsia="Times New Roman" w:hAnsi="Arial" w:cs="Arial"/>
                <w:b/>
                <w:bCs/>
                <w:lang w:eastAsia="en-GB"/>
              </w:rPr>
              <w:t>020</w:t>
            </w:r>
          </w:p>
        </w:tc>
      </w:tr>
    </w:tbl>
    <w:p w14:paraId="19158900" w14:textId="77777777" w:rsidR="0021298F" w:rsidRDefault="0021298F" w:rsidP="0021298F">
      <w:pPr>
        <w:jc w:val="both"/>
        <w:rPr>
          <w:rFonts w:ascii="Arial" w:hAnsi="Arial" w:cs="Arial"/>
        </w:rPr>
      </w:pPr>
    </w:p>
    <w:p w14:paraId="6A3586B6" w14:textId="77777777" w:rsidR="0021298F" w:rsidRDefault="0021298F" w:rsidP="0021298F">
      <w:pPr>
        <w:jc w:val="both"/>
        <w:rPr>
          <w:rFonts w:ascii="Arial" w:hAnsi="Arial" w:cs="Arial"/>
        </w:rPr>
      </w:pPr>
      <w:r>
        <w:rPr>
          <w:rFonts w:ascii="Arial" w:hAnsi="Arial" w:cs="Arial"/>
        </w:rPr>
        <w:t xml:space="preserve">The table below </w:t>
      </w:r>
      <w:r w:rsidRPr="003D4ED7">
        <w:rPr>
          <w:rFonts w:ascii="Arial" w:hAnsi="Arial" w:cs="Arial"/>
        </w:rPr>
        <w:t>shows the cash balances of the Company and the credit rating for each counterparty:</w:t>
      </w:r>
    </w:p>
    <w:tbl>
      <w:tblPr>
        <w:tblW w:w="5000" w:type="pct"/>
        <w:tblLook w:val="04A0" w:firstRow="1" w:lastRow="0" w:firstColumn="1" w:lastColumn="0" w:noHBand="0" w:noVBand="1"/>
      </w:tblPr>
      <w:tblGrid>
        <w:gridCol w:w="5789"/>
        <w:gridCol w:w="963"/>
        <w:gridCol w:w="2274"/>
      </w:tblGrid>
      <w:tr w:rsidR="0021298F" w:rsidRPr="0073682B" w14:paraId="0114986A" w14:textId="77777777" w:rsidTr="00760009">
        <w:trPr>
          <w:trHeight w:val="628"/>
        </w:trPr>
        <w:tc>
          <w:tcPr>
            <w:tcW w:w="3216" w:type="pct"/>
            <w:tcBorders>
              <w:top w:val="nil"/>
              <w:left w:val="nil"/>
              <w:bottom w:val="nil"/>
              <w:right w:val="nil"/>
            </w:tcBorders>
            <w:shd w:val="clear" w:color="auto" w:fill="auto"/>
            <w:vAlign w:val="bottom"/>
            <w:hideMark/>
          </w:tcPr>
          <w:p w14:paraId="227DD96C" w14:textId="77777777" w:rsidR="0021298F" w:rsidRPr="006C23F3" w:rsidRDefault="0021298F" w:rsidP="00760009">
            <w:pPr>
              <w:jc w:val="both"/>
              <w:rPr>
                <w:rFonts w:ascii="Arial" w:eastAsia="Times New Roman" w:hAnsi="Arial" w:cs="Arial"/>
                <w:b/>
                <w:bCs/>
                <w:lang w:eastAsia="en-GB"/>
              </w:rPr>
            </w:pPr>
          </w:p>
        </w:tc>
        <w:tc>
          <w:tcPr>
            <w:tcW w:w="499" w:type="pct"/>
            <w:tcBorders>
              <w:top w:val="nil"/>
              <w:left w:val="nil"/>
              <w:bottom w:val="nil"/>
              <w:right w:val="nil"/>
            </w:tcBorders>
            <w:shd w:val="clear" w:color="auto" w:fill="auto"/>
            <w:vAlign w:val="bottom"/>
            <w:hideMark/>
          </w:tcPr>
          <w:p w14:paraId="510ACDE3" w14:textId="77777777" w:rsidR="0021298F" w:rsidRPr="005C6D6E" w:rsidRDefault="0021298F" w:rsidP="00760009">
            <w:pPr>
              <w:jc w:val="right"/>
              <w:rPr>
                <w:rFonts w:ascii="Arial" w:eastAsia="Times New Roman" w:hAnsi="Arial" w:cs="Arial"/>
                <w:b/>
                <w:bCs/>
                <w:lang w:eastAsia="en-GB"/>
              </w:rPr>
            </w:pPr>
            <w:r w:rsidRPr="005C6D6E">
              <w:rPr>
                <w:rFonts w:ascii="Arial" w:eastAsia="Times New Roman" w:hAnsi="Arial" w:cs="Arial"/>
                <w:b/>
                <w:bCs/>
                <w:lang w:eastAsia="en-GB"/>
              </w:rPr>
              <w:t>Rating</w:t>
            </w:r>
          </w:p>
        </w:tc>
        <w:tc>
          <w:tcPr>
            <w:tcW w:w="1285" w:type="pct"/>
            <w:tcBorders>
              <w:top w:val="nil"/>
              <w:left w:val="nil"/>
              <w:bottom w:val="nil"/>
              <w:right w:val="nil"/>
            </w:tcBorders>
            <w:shd w:val="clear" w:color="auto" w:fill="auto"/>
            <w:vAlign w:val="bottom"/>
            <w:hideMark/>
          </w:tcPr>
          <w:p w14:paraId="26896C83" w14:textId="77777777" w:rsidR="0021298F" w:rsidRPr="005C6D6E" w:rsidRDefault="0021298F" w:rsidP="00760009">
            <w:pPr>
              <w:jc w:val="right"/>
              <w:rPr>
                <w:rFonts w:ascii="Arial" w:eastAsia="Times New Roman" w:hAnsi="Arial" w:cs="Arial"/>
                <w:b/>
                <w:bCs/>
                <w:lang w:eastAsia="en-GB"/>
              </w:rPr>
            </w:pPr>
            <w:r>
              <w:rPr>
                <w:rFonts w:ascii="Arial" w:eastAsia="Times New Roman" w:hAnsi="Arial" w:cs="Arial"/>
                <w:b/>
                <w:bCs/>
                <w:lang w:eastAsia="en-GB"/>
              </w:rPr>
              <w:t>31 December 2020</w:t>
            </w:r>
          </w:p>
        </w:tc>
      </w:tr>
      <w:tr w:rsidR="0021298F" w:rsidRPr="0073682B" w14:paraId="166842E4" w14:textId="77777777" w:rsidTr="00760009">
        <w:trPr>
          <w:trHeight w:val="314"/>
        </w:trPr>
        <w:tc>
          <w:tcPr>
            <w:tcW w:w="3216" w:type="pct"/>
            <w:tcBorders>
              <w:top w:val="nil"/>
              <w:left w:val="nil"/>
              <w:bottom w:val="single" w:sz="4" w:space="0" w:color="auto"/>
              <w:right w:val="nil"/>
            </w:tcBorders>
            <w:shd w:val="clear" w:color="auto" w:fill="auto"/>
            <w:vAlign w:val="center"/>
            <w:hideMark/>
          </w:tcPr>
          <w:p w14:paraId="0E27BE2D" w14:textId="77777777" w:rsidR="0021298F" w:rsidRPr="0032115D" w:rsidRDefault="0021298F" w:rsidP="00760009">
            <w:pPr>
              <w:jc w:val="both"/>
              <w:rPr>
                <w:rFonts w:ascii="Arial" w:eastAsia="Times New Roman" w:hAnsi="Arial" w:cs="Arial"/>
                <w:lang w:eastAsia="en-GB"/>
              </w:rPr>
            </w:pPr>
            <w:r w:rsidRPr="0032115D">
              <w:rPr>
                <w:rFonts w:ascii="Arial" w:eastAsia="Times New Roman" w:hAnsi="Arial" w:cs="Arial"/>
                <w:b/>
                <w:bCs/>
                <w:lang w:eastAsia="en-GB"/>
              </w:rPr>
              <w:t>Company</w:t>
            </w:r>
          </w:p>
        </w:tc>
        <w:tc>
          <w:tcPr>
            <w:tcW w:w="499" w:type="pct"/>
            <w:tcBorders>
              <w:top w:val="nil"/>
              <w:left w:val="nil"/>
              <w:bottom w:val="single" w:sz="4" w:space="0" w:color="auto"/>
              <w:right w:val="nil"/>
            </w:tcBorders>
            <w:shd w:val="clear" w:color="auto" w:fill="auto"/>
            <w:noWrap/>
            <w:vAlign w:val="center"/>
            <w:hideMark/>
          </w:tcPr>
          <w:p w14:paraId="25B78982" w14:textId="77777777" w:rsidR="0021298F" w:rsidRPr="005C6D6E" w:rsidRDefault="0021298F" w:rsidP="00760009">
            <w:pPr>
              <w:jc w:val="right"/>
              <w:rPr>
                <w:rFonts w:ascii="Arial" w:eastAsia="Times New Roman" w:hAnsi="Arial" w:cs="Arial"/>
                <w:b/>
                <w:bCs/>
                <w:lang w:eastAsia="en-GB"/>
              </w:rPr>
            </w:pPr>
            <w:r w:rsidRPr="005C6D6E">
              <w:rPr>
                <w:rFonts w:ascii="Arial" w:eastAsia="Times New Roman" w:hAnsi="Arial" w:cs="Arial"/>
                <w:b/>
                <w:bCs/>
                <w:lang w:eastAsia="en-GB"/>
              </w:rPr>
              <w:t> </w:t>
            </w:r>
          </w:p>
        </w:tc>
        <w:tc>
          <w:tcPr>
            <w:tcW w:w="1285" w:type="pct"/>
            <w:tcBorders>
              <w:top w:val="nil"/>
              <w:left w:val="nil"/>
              <w:bottom w:val="single" w:sz="4" w:space="0" w:color="auto"/>
              <w:right w:val="nil"/>
            </w:tcBorders>
            <w:shd w:val="clear" w:color="auto" w:fill="auto"/>
            <w:noWrap/>
            <w:vAlign w:val="center"/>
            <w:hideMark/>
          </w:tcPr>
          <w:p w14:paraId="0D23184F" w14:textId="77777777" w:rsidR="0021298F" w:rsidRPr="005C6D6E" w:rsidRDefault="0021298F" w:rsidP="00760009">
            <w:pPr>
              <w:jc w:val="right"/>
              <w:rPr>
                <w:rFonts w:ascii="Arial" w:eastAsia="Times New Roman" w:hAnsi="Arial" w:cs="Arial"/>
                <w:b/>
                <w:bCs/>
                <w:lang w:eastAsia="en-GB"/>
              </w:rPr>
            </w:pPr>
            <w:r w:rsidRPr="005C6D6E">
              <w:rPr>
                <w:rFonts w:ascii="Arial" w:eastAsia="Times New Roman" w:hAnsi="Arial" w:cs="Arial"/>
                <w:b/>
                <w:bCs/>
                <w:lang w:eastAsia="en-GB"/>
              </w:rPr>
              <w:t>€’000</w:t>
            </w:r>
          </w:p>
        </w:tc>
      </w:tr>
      <w:tr w:rsidR="0021298F" w:rsidRPr="0073682B" w14:paraId="312BDE61" w14:textId="77777777" w:rsidTr="00760009">
        <w:trPr>
          <w:trHeight w:val="314"/>
        </w:trPr>
        <w:tc>
          <w:tcPr>
            <w:tcW w:w="3216" w:type="pct"/>
            <w:tcBorders>
              <w:top w:val="nil"/>
              <w:left w:val="nil"/>
              <w:right w:val="nil"/>
            </w:tcBorders>
            <w:shd w:val="clear" w:color="auto" w:fill="auto"/>
            <w:vAlign w:val="center"/>
          </w:tcPr>
          <w:p w14:paraId="38DAD8CB" w14:textId="77777777" w:rsidR="0021298F" w:rsidRPr="0032115D" w:rsidRDefault="0021298F" w:rsidP="00760009">
            <w:pPr>
              <w:jc w:val="both"/>
              <w:rPr>
                <w:rFonts w:ascii="Arial" w:eastAsia="Times New Roman" w:hAnsi="Arial" w:cs="Arial"/>
                <w:lang w:eastAsia="en-GB"/>
              </w:rPr>
            </w:pPr>
            <w:r w:rsidRPr="0032115D">
              <w:rPr>
                <w:rFonts w:ascii="Arial" w:eastAsia="Times New Roman" w:hAnsi="Arial" w:cs="Arial"/>
                <w:lang w:eastAsia="en-GB"/>
              </w:rPr>
              <w:t>Northern Trust</w:t>
            </w:r>
          </w:p>
        </w:tc>
        <w:tc>
          <w:tcPr>
            <w:tcW w:w="499" w:type="pct"/>
            <w:tcBorders>
              <w:top w:val="nil"/>
              <w:left w:val="nil"/>
              <w:right w:val="nil"/>
            </w:tcBorders>
            <w:shd w:val="clear" w:color="000000" w:fill="EDFFB7"/>
            <w:vAlign w:val="center"/>
          </w:tcPr>
          <w:p w14:paraId="3EBBA92B" w14:textId="77777777" w:rsidR="0021298F" w:rsidRPr="005C6D6E" w:rsidRDefault="0021298F" w:rsidP="00760009">
            <w:pPr>
              <w:jc w:val="right"/>
              <w:rPr>
                <w:rFonts w:ascii="Arial" w:eastAsia="Times New Roman" w:hAnsi="Arial" w:cs="Arial"/>
                <w:lang w:eastAsia="en-GB"/>
              </w:rPr>
            </w:pPr>
            <w:r w:rsidRPr="005C6D6E">
              <w:rPr>
                <w:rFonts w:ascii="Arial" w:eastAsia="Times New Roman" w:hAnsi="Arial" w:cs="Arial"/>
                <w:lang w:eastAsia="en-GB"/>
              </w:rPr>
              <w:t>A+</w:t>
            </w:r>
          </w:p>
        </w:tc>
        <w:tc>
          <w:tcPr>
            <w:tcW w:w="1285" w:type="pct"/>
            <w:tcBorders>
              <w:top w:val="nil"/>
              <w:left w:val="nil"/>
              <w:right w:val="nil"/>
            </w:tcBorders>
            <w:shd w:val="clear" w:color="000000" w:fill="EDFFB7"/>
            <w:vAlign w:val="center"/>
          </w:tcPr>
          <w:p w14:paraId="4055A871" w14:textId="77777777" w:rsidR="0021298F" w:rsidRPr="001E34C8" w:rsidRDefault="0021298F" w:rsidP="00760009">
            <w:pPr>
              <w:jc w:val="right"/>
              <w:rPr>
                <w:rFonts w:ascii="Arial" w:eastAsia="Times New Roman" w:hAnsi="Arial" w:cs="Arial"/>
                <w:lang w:eastAsia="en-GB"/>
              </w:rPr>
            </w:pPr>
            <w:r w:rsidRPr="001E34C8">
              <w:rPr>
                <w:rFonts w:ascii="Arial" w:eastAsia="Times New Roman" w:hAnsi="Arial" w:cs="Arial"/>
                <w:lang w:eastAsia="en-GB"/>
              </w:rPr>
              <w:t>1,438</w:t>
            </w:r>
          </w:p>
        </w:tc>
      </w:tr>
      <w:tr w:rsidR="0021298F" w:rsidRPr="0073682B" w14:paraId="7DBFE320" w14:textId="77777777" w:rsidTr="00760009">
        <w:trPr>
          <w:trHeight w:val="314"/>
        </w:trPr>
        <w:tc>
          <w:tcPr>
            <w:tcW w:w="3216" w:type="pct"/>
            <w:tcBorders>
              <w:left w:val="nil"/>
              <w:bottom w:val="single" w:sz="4" w:space="0" w:color="auto"/>
              <w:right w:val="nil"/>
            </w:tcBorders>
            <w:shd w:val="clear" w:color="auto" w:fill="auto"/>
            <w:vAlign w:val="center"/>
            <w:hideMark/>
          </w:tcPr>
          <w:p w14:paraId="7AFEF538" w14:textId="77777777" w:rsidR="0021298F" w:rsidRPr="0032115D" w:rsidRDefault="0021298F" w:rsidP="00760009">
            <w:pPr>
              <w:jc w:val="both"/>
              <w:rPr>
                <w:rFonts w:ascii="Arial" w:eastAsia="Times New Roman" w:hAnsi="Arial" w:cs="Arial"/>
                <w:lang w:eastAsia="en-GB"/>
              </w:rPr>
            </w:pPr>
            <w:r w:rsidRPr="0032115D">
              <w:rPr>
                <w:rFonts w:ascii="Arial" w:eastAsia="Times New Roman" w:hAnsi="Arial" w:cs="Arial"/>
                <w:lang w:eastAsia="en-GB"/>
              </w:rPr>
              <w:t>AIB</w:t>
            </w:r>
          </w:p>
        </w:tc>
        <w:tc>
          <w:tcPr>
            <w:tcW w:w="499" w:type="pct"/>
            <w:tcBorders>
              <w:left w:val="nil"/>
              <w:bottom w:val="single" w:sz="4" w:space="0" w:color="auto"/>
              <w:right w:val="nil"/>
            </w:tcBorders>
            <w:shd w:val="clear" w:color="000000" w:fill="EDFFB7"/>
            <w:vAlign w:val="center"/>
          </w:tcPr>
          <w:p w14:paraId="22125836" w14:textId="77777777" w:rsidR="0021298F" w:rsidRPr="005C6D6E" w:rsidRDefault="0021298F" w:rsidP="00760009">
            <w:pPr>
              <w:jc w:val="right"/>
              <w:rPr>
                <w:rFonts w:ascii="Arial" w:eastAsia="Times New Roman" w:hAnsi="Arial" w:cs="Arial"/>
                <w:lang w:eastAsia="en-GB"/>
              </w:rPr>
            </w:pPr>
            <w:r w:rsidRPr="005C6D6E">
              <w:rPr>
                <w:rFonts w:ascii="Arial" w:eastAsia="Times New Roman" w:hAnsi="Arial" w:cs="Arial"/>
                <w:lang w:eastAsia="en-GB"/>
              </w:rPr>
              <w:t>BBB+</w:t>
            </w:r>
          </w:p>
        </w:tc>
        <w:tc>
          <w:tcPr>
            <w:tcW w:w="1285" w:type="pct"/>
            <w:tcBorders>
              <w:left w:val="nil"/>
              <w:bottom w:val="single" w:sz="4" w:space="0" w:color="auto"/>
              <w:right w:val="nil"/>
            </w:tcBorders>
            <w:shd w:val="clear" w:color="000000" w:fill="EDFFB7"/>
            <w:vAlign w:val="center"/>
          </w:tcPr>
          <w:p w14:paraId="34CED4A1" w14:textId="77777777" w:rsidR="0021298F" w:rsidRPr="001E34C8" w:rsidRDefault="0021298F" w:rsidP="00760009">
            <w:pPr>
              <w:jc w:val="right"/>
              <w:rPr>
                <w:rFonts w:ascii="Arial" w:eastAsia="Times New Roman" w:hAnsi="Arial" w:cs="Arial"/>
                <w:lang w:eastAsia="en-GB"/>
              </w:rPr>
            </w:pPr>
            <w:r w:rsidRPr="001E34C8">
              <w:rPr>
                <w:rFonts w:ascii="Arial" w:eastAsia="Times New Roman" w:hAnsi="Arial" w:cs="Arial"/>
                <w:lang w:eastAsia="en-GB"/>
              </w:rPr>
              <w:t>107</w:t>
            </w:r>
          </w:p>
        </w:tc>
      </w:tr>
      <w:tr w:rsidR="0021298F" w:rsidRPr="006C23F3" w14:paraId="661BC438" w14:textId="77777777" w:rsidTr="00760009">
        <w:trPr>
          <w:trHeight w:val="330"/>
        </w:trPr>
        <w:tc>
          <w:tcPr>
            <w:tcW w:w="3216" w:type="pct"/>
            <w:tcBorders>
              <w:top w:val="nil"/>
              <w:left w:val="nil"/>
              <w:bottom w:val="single" w:sz="8" w:space="0" w:color="auto"/>
              <w:right w:val="nil"/>
            </w:tcBorders>
            <w:shd w:val="clear" w:color="auto" w:fill="auto"/>
            <w:vAlign w:val="center"/>
            <w:hideMark/>
          </w:tcPr>
          <w:p w14:paraId="45793D22" w14:textId="77777777" w:rsidR="0021298F" w:rsidRPr="0032115D" w:rsidRDefault="0021298F" w:rsidP="00760009">
            <w:pPr>
              <w:jc w:val="both"/>
              <w:rPr>
                <w:rFonts w:ascii="Arial" w:eastAsia="Times New Roman" w:hAnsi="Arial" w:cs="Arial"/>
                <w:b/>
                <w:bCs/>
                <w:lang w:eastAsia="en-GB"/>
              </w:rPr>
            </w:pPr>
            <w:r w:rsidRPr="0032115D">
              <w:rPr>
                <w:rFonts w:ascii="Arial" w:eastAsia="Times New Roman" w:hAnsi="Arial" w:cs="Arial"/>
                <w:b/>
                <w:bCs/>
                <w:lang w:eastAsia="en-GB"/>
              </w:rPr>
              <w:t> </w:t>
            </w:r>
          </w:p>
        </w:tc>
        <w:tc>
          <w:tcPr>
            <w:tcW w:w="499" w:type="pct"/>
            <w:tcBorders>
              <w:top w:val="nil"/>
              <w:left w:val="nil"/>
              <w:bottom w:val="single" w:sz="8" w:space="0" w:color="auto"/>
              <w:right w:val="nil"/>
            </w:tcBorders>
            <w:shd w:val="clear" w:color="000000" w:fill="EDFFB7"/>
            <w:vAlign w:val="center"/>
          </w:tcPr>
          <w:p w14:paraId="572B1A97" w14:textId="77777777" w:rsidR="0021298F" w:rsidRPr="0073682B" w:rsidRDefault="0021298F" w:rsidP="00760009">
            <w:pPr>
              <w:jc w:val="right"/>
              <w:rPr>
                <w:rFonts w:ascii="Arial" w:eastAsia="Times New Roman" w:hAnsi="Arial" w:cs="Arial"/>
                <w:b/>
                <w:bCs/>
                <w:highlight w:val="cyan"/>
                <w:lang w:eastAsia="en-GB"/>
              </w:rPr>
            </w:pPr>
          </w:p>
        </w:tc>
        <w:tc>
          <w:tcPr>
            <w:tcW w:w="1285" w:type="pct"/>
            <w:tcBorders>
              <w:top w:val="nil"/>
              <w:left w:val="nil"/>
              <w:bottom w:val="single" w:sz="8" w:space="0" w:color="auto"/>
              <w:right w:val="nil"/>
            </w:tcBorders>
            <w:shd w:val="clear" w:color="000000" w:fill="EDFFB7"/>
            <w:noWrap/>
            <w:vAlign w:val="center"/>
          </w:tcPr>
          <w:p w14:paraId="2BA7F982" w14:textId="77777777" w:rsidR="0021298F" w:rsidRPr="001E34C8" w:rsidRDefault="0021298F" w:rsidP="00760009">
            <w:pPr>
              <w:jc w:val="right"/>
              <w:rPr>
                <w:rFonts w:ascii="Arial" w:eastAsia="Times New Roman" w:hAnsi="Arial" w:cs="Arial"/>
                <w:b/>
                <w:bCs/>
                <w:lang w:eastAsia="en-GB"/>
              </w:rPr>
            </w:pPr>
            <w:r w:rsidRPr="001E34C8">
              <w:rPr>
                <w:rFonts w:ascii="Arial" w:eastAsia="Times New Roman" w:hAnsi="Arial" w:cs="Arial"/>
                <w:b/>
                <w:bCs/>
                <w:lang w:eastAsia="en-GB"/>
              </w:rPr>
              <w:t>1,545</w:t>
            </w:r>
          </w:p>
        </w:tc>
      </w:tr>
      <w:tr w:rsidR="0021298F" w:rsidRPr="001D121E" w14:paraId="08EF7ECC" w14:textId="77777777" w:rsidTr="00760009">
        <w:trPr>
          <w:trHeight w:val="628"/>
        </w:trPr>
        <w:tc>
          <w:tcPr>
            <w:tcW w:w="3224" w:type="pct"/>
            <w:tcBorders>
              <w:top w:val="nil"/>
              <w:left w:val="nil"/>
              <w:bottom w:val="nil"/>
              <w:right w:val="nil"/>
            </w:tcBorders>
            <w:shd w:val="clear" w:color="auto" w:fill="auto"/>
            <w:vAlign w:val="bottom"/>
            <w:hideMark/>
          </w:tcPr>
          <w:p w14:paraId="524389EF" w14:textId="77777777" w:rsidR="0021298F" w:rsidRPr="001D121E" w:rsidRDefault="0021298F" w:rsidP="00760009">
            <w:pPr>
              <w:jc w:val="both"/>
              <w:rPr>
                <w:rFonts w:ascii="Arial" w:eastAsia="Times New Roman" w:hAnsi="Arial" w:cs="Arial"/>
                <w:b/>
                <w:bCs/>
                <w:lang w:eastAsia="en-GB"/>
              </w:rPr>
            </w:pPr>
          </w:p>
        </w:tc>
        <w:tc>
          <w:tcPr>
            <w:tcW w:w="483" w:type="pct"/>
            <w:tcBorders>
              <w:top w:val="nil"/>
              <w:left w:val="nil"/>
              <w:bottom w:val="nil"/>
              <w:right w:val="nil"/>
            </w:tcBorders>
            <w:shd w:val="clear" w:color="auto" w:fill="auto"/>
            <w:vAlign w:val="bottom"/>
            <w:hideMark/>
          </w:tcPr>
          <w:p w14:paraId="040F7DC1" w14:textId="77777777" w:rsidR="0021298F" w:rsidRPr="001D121E" w:rsidRDefault="0021298F" w:rsidP="00760009">
            <w:pPr>
              <w:jc w:val="right"/>
              <w:rPr>
                <w:rFonts w:ascii="Arial" w:eastAsia="Times New Roman" w:hAnsi="Arial" w:cs="Arial"/>
                <w:b/>
                <w:bCs/>
                <w:lang w:eastAsia="en-GB"/>
              </w:rPr>
            </w:pPr>
            <w:r w:rsidRPr="001D121E">
              <w:rPr>
                <w:rFonts w:ascii="Arial" w:eastAsia="Times New Roman" w:hAnsi="Arial" w:cs="Arial"/>
                <w:b/>
                <w:bCs/>
                <w:lang w:eastAsia="en-GB"/>
              </w:rPr>
              <w:t>Rating</w:t>
            </w:r>
          </w:p>
        </w:tc>
        <w:tc>
          <w:tcPr>
            <w:tcW w:w="1293" w:type="pct"/>
            <w:tcBorders>
              <w:top w:val="nil"/>
              <w:left w:val="nil"/>
              <w:bottom w:val="nil"/>
              <w:right w:val="nil"/>
            </w:tcBorders>
            <w:shd w:val="clear" w:color="auto" w:fill="auto"/>
            <w:vAlign w:val="bottom"/>
            <w:hideMark/>
          </w:tcPr>
          <w:p w14:paraId="6158061D" w14:textId="77777777" w:rsidR="0021298F" w:rsidRPr="001D121E" w:rsidRDefault="0021298F" w:rsidP="00760009">
            <w:pPr>
              <w:jc w:val="right"/>
              <w:rPr>
                <w:rFonts w:ascii="Arial" w:eastAsia="Times New Roman" w:hAnsi="Arial" w:cs="Arial"/>
                <w:b/>
                <w:bCs/>
                <w:lang w:eastAsia="en-GB"/>
              </w:rPr>
            </w:pPr>
            <w:r>
              <w:rPr>
                <w:rFonts w:ascii="Arial" w:eastAsia="Times New Roman" w:hAnsi="Arial" w:cs="Arial"/>
                <w:b/>
                <w:bCs/>
                <w:lang w:eastAsia="en-GB"/>
              </w:rPr>
              <w:t>31 December 2019</w:t>
            </w:r>
          </w:p>
        </w:tc>
      </w:tr>
      <w:tr w:rsidR="0021298F" w:rsidRPr="001D121E" w14:paraId="7A9E2CE2" w14:textId="77777777" w:rsidTr="00760009">
        <w:trPr>
          <w:trHeight w:val="314"/>
        </w:trPr>
        <w:tc>
          <w:tcPr>
            <w:tcW w:w="3224" w:type="pct"/>
            <w:tcBorders>
              <w:top w:val="nil"/>
              <w:left w:val="nil"/>
              <w:bottom w:val="single" w:sz="4" w:space="0" w:color="auto"/>
              <w:right w:val="nil"/>
            </w:tcBorders>
            <w:shd w:val="clear" w:color="auto" w:fill="auto"/>
            <w:vAlign w:val="center"/>
            <w:hideMark/>
          </w:tcPr>
          <w:p w14:paraId="66E0200A" w14:textId="77777777" w:rsidR="0021298F" w:rsidRPr="001D121E" w:rsidRDefault="0021298F" w:rsidP="00760009">
            <w:pPr>
              <w:jc w:val="both"/>
              <w:rPr>
                <w:rFonts w:ascii="Arial" w:eastAsia="Times New Roman" w:hAnsi="Arial" w:cs="Arial"/>
                <w:lang w:eastAsia="en-GB"/>
              </w:rPr>
            </w:pPr>
            <w:r w:rsidRPr="006C23F3">
              <w:rPr>
                <w:rFonts w:ascii="Arial" w:eastAsia="Times New Roman" w:hAnsi="Arial" w:cs="Arial"/>
                <w:b/>
                <w:bCs/>
                <w:lang w:eastAsia="en-GB"/>
              </w:rPr>
              <w:t>Company</w:t>
            </w:r>
          </w:p>
        </w:tc>
        <w:tc>
          <w:tcPr>
            <w:tcW w:w="483" w:type="pct"/>
            <w:tcBorders>
              <w:top w:val="nil"/>
              <w:left w:val="nil"/>
              <w:bottom w:val="single" w:sz="4" w:space="0" w:color="auto"/>
              <w:right w:val="nil"/>
            </w:tcBorders>
            <w:shd w:val="clear" w:color="auto" w:fill="auto"/>
            <w:noWrap/>
            <w:vAlign w:val="center"/>
            <w:hideMark/>
          </w:tcPr>
          <w:p w14:paraId="3F3A07DC" w14:textId="77777777" w:rsidR="0021298F" w:rsidRPr="001D121E" w:rsidRDefault="0021298F" w:rsidP="00760009">
            <w:pPr>
              <w:jc w:val="right"/>
              <w:rPr>
                <w:rFonts w:ascii="Arial" w:eastAsia="Times New Roman" w:hAnsi="Arial" w:cs="Arial"/>
                <w:b/>
                <w:bCs/>
                <w:lang w:eastAsia="en-GB"/>
              </w:rPr>
            </w:pPr>
            <w:r w:rsidRPr="006C23F3">
              <w:rPr>
                <w:rFonts w:ascii="Arial" w:eastAsia="Times New Roman" w:hAnsi="Arial" w:cs="Arial"/>
                <w:b/>
                <w:bCs/>
                <w:lang w:eastAsia="en-GB"/>
              </w:rPr>
              <w:t> </w:t>
            </w:r>
          </w:p>
        </w:tc>
        <w:tc>
          <w:tcPr>
            <w:tcW w:w="1293" w:type="pct"/>
            <w:tcBorders>
              <w:top w:val="nil"/>
              <w:left w:val="nil"/>
              <w:bottom w:val="single" w:sz="4" w:space="0" w:color="auto"/>
              <w:right w:val="nil"/>
            </w:tcBorders>
            <w:shd w:val="clear" w:color="auto" w:fill="auto"/>
            <w:noWrap/>
            <w:vAlign w:val="center"/>
            <w:hideMark/>
          </w:tcPr>
          <w:p w14:paraId="304C4FCD" w14:textId="77777777" w:rsidR="0021298F" w:rsidRPr="001D121E" w:rsidRDefault="0021298F" w:rsidP="00760009">
            <w:pPr>
              <w:jc w:val="right"/>
              <w:rPr>
                <w:rFonts w:ascii="Arial" w:eastAsia="Times New Roman" w:hAnsi="Arial" w:cs="Arial"/>
                <w:b/>
                <w:bCs/>
                <w:lang w:eastAsia="en-GB"/>
              </w:rPr>
            </w:pPr>
            <w:r>
              <w:rPr>
                <w:rFonts w:ascii="Arial" w:eastAsia="Times New Roman" w:hAnsi="Arial" w:cs="Arial"/>
                <w:b/>
                <w:bCs/>
                <w:lang w:eastAsia="en-GB"/>
              </w:rPr>
              <w:t>€’000</w:t>
            </w:r>
          </w:p>
        </w:tc>
      </w:tr>
      <w:tr w:rsidR="0021298F" w:rsidRPr="001D121E" w14:paraId="4A9BD2B8" w14:textId="77777777" w:rsidTr="00760009">
        <w:trPr>
          <w:trHeight w:val="314"/>
        </w:trPr>
        <w:tc>
          <w:tcPr>
            <w:tcW w:w="3224" w:type="pct"/>
            <w:tcBorders>
              <w:top w:val="nil"/>
              <w:left w:val="nil"/>
              <w:right w:val="nil"/>
            </w:tcBorders>
            <w:shd w:val="clear" w:color="auto" w:fill="auto"/>
            <w:vAlign w:val="center"/>
          </w:tcPr>
          <w:p w14:paraId="212CC9E6" w14:textId="77777777" w:rsidR="0021298F" w:rsidRPr="001D121E" w:rsidRDefault="0021298F" w:rsidP="00760009">
            <w:pPr>
              <w:jc w:val="both"/>
              <w:rPr>
                <w:rFonts w:ascii="Arial" w:eastAsia="Times New Roman" w:hAnsi="Arial" w:cs="Arial"/>
                <w:lang w:eastAsia="en-GB"/>
              </w:rPr>
            </w:pPr>
            <w:r>
              <w:rPr>
                <w:rFonts w:ascii="Arial" w:eastAsia="Times New Roman" w:hAnsi="Arial" w:cs="Arial"/>
                <w:lang w:eastAsia="en-GB"/>
              </w:rPr>
              <w:t>Northern Trust</w:t>
            </w:r>
          </w:p>
        </w:tc>
        <w:tc>
          <w:tcPr>
            <w:tcW w:w="483" w:type="pct"/>
            <w:tcBorders>
              <w:top w:val="single" w:sz="4" w:space="0" w:color="auto"/>
              <w:left w:val="nil"/>
              <w:right w:val="nil"/>
            </w:tcBorders>
            <w:shd w:val="clear" w:color="000000" w:fill="auto"/>
            <w:vAlign w:val="center"/>
          </w:tcPr>
          <w:p w14:paraId="4E4A3054" w14:textId="77777777" w:rsidR="0021298F" w:rsidRPr="001D121E" w:rsidRDefault="0021298F" w:rsidP="00760009">
            <w:pPr>
              <w:jc w:val="right"/>
              <w:rPr>
                <w:rFonts w:ascii="Arial" w:eastAsia="Times New Roman" w:hAnsi="Arial" w:cs="Arial"/>
                <w:lang w:eastAsia="en-GB"/>
              </w:rPr>
            </w:pPr>
            <w:r>
              <w:rPr>
                <w:rFonts w:ascii="Arial" w:eastAsia="Times New Roman" w:hAnsi="Arial" w:cs="Arial"/>
                <w:lang w:eastAsia="en-GB"/>
              </w:rPr>
              <w:t>A+</w:t>
            </w:r>
          </w:p>
        </w:tc>
        <w:tc>
          <w:tcPr>
            <w:tcW w:w="1293" w:type="pct"/>
            <w:tcBorders>
              <w:top w:val="single" w:sz="4" w:space="0" w:color="auto"/>
              <w:left w:val="nil"/>
              <w:right w:val="nil"/>
            </w:tcBorders>
            <w:shd w:val="clear" w:color="000000" w:fill="auto"/>
            <w:vAlign w:val="center"/>
          </w:tcPr>
          <w:p w14:paraId="0F2CF410" w14:textId="77777777" w:rsidR="0021298F" w:rsidRPr="001D121E" w:rsidRDefault="0021298F" w:rsidP="00760009">
            <w:pPr>
              <w:jc w:val="right"/>
              <w:rPr>
                <w:rFonts w:ascii="Arial" w:eastAsia="Times New Roman" w:hAnsi="Arial" w:cs="Arial"/>
                <w:lang w:eastAsia="en-GB"/>
              </w:rPr>
            </w:pPr>
            <w:r>
              <w:rPr>
                <w:rFonts w:ascii="Arial" w:eastAsia="Times New Roman" w:hAnsi="Arial" w:cs="Arial"/>
                <w:lang w:eastAsia="en-GB"/>
              </w:rPr>
              <w:t>51</w:t>
            </w:r>
          </w:p>
        </w:tc>
      </w:tr>
      <w:tr w:rsidR="0021298F" w:rsidRPr="001D121E" w14:paraId="589339A5" w14:textId="77777777" w:rsidTr="00760009">
        <w:trPr>
          <w:trHeight w:val="314"/>
        </w:trPr>
        <w:tc>
          <w:tcPr>
            <w:tcW w:w="3224" w:type="pct"/>
            <w:tcBorders>
              <w:left w:val="nil"/>
              <w:bottom w:val="single" w:sz="4" w:space="0" w:color="auto"/>
              <w:right w:val="nil"/>
            </w:tcBorders>
            <w:shd w:val="clear" w:color="auto" w:fill="auto"/>
            <w:vAlign w:val="center"/>
            <w:hideMark/>
          </w:tcPr>
          <w:p w14:paraId="56EFAC91" w14:textId="77777777" w:rsidR="0021298F" w:rsidRPr="001D121E" w:rsidRDefault="0021298F" w:rsidP="00760009">
            <w:pPr>
              <w:jc w:val="both"/>
              <w:rPr>
                <w:rFonts w:ascii="Arial" w:eastAsia="Times New Roman" w:hAnsi="Arial" w:cs="Arial"/>
                <w:lang w:eastAsia="en-GB"/>
              </w:rPr>
            </w:pPr>
            <w:r>
              <w:rPr>
                <w:rFonts w:ascii="Arial" w:eastAsia="Times New Roman" w:hAnsi="Arial" w:cs="Arial"/>
                <w:lang w:eastAsia="en-GB"/>
              </w:rPr>
              <w:t>AIB</w:t>
            </w:r>
          </w:p>
        </w:tc>
        <w:tc>
          <w:tcPr>
            <w:tcW w:w="483" w:type="pct"/>
            <w:tcBorders>
              <w:left w:val="nil"/>
              <w:bottom w:val="single" w:sz="4" w:space="0" w:color="auto"/>
              <w:right w:val="nil"/>
            </w:tcBorders>
            <w:shd w:val="clear" w:color="000000" w:fill="auto"/>
            <w:vAlign w:val="center"/>
            <w:hideMark/>
          </w:tcPr>
          <w:p w14:paraId="43BC1AB5" w14:textId="77777777" w:rsidR="0021298F" w:rsidRPr="001D121E" w:rsidRDefault="0021298F" w:rsidP="00760009">
            <w:pPr>
              <w:jc w:val="right"/>
              <w:rPr>
                <w:rFonts w:ascii="Arial" w:eastAsia="Times New Roman" w:hAnsi="Arial" w:cs="Arial"/>
                <w:lang w:eastAsia="en-GB"/>
              </w:rPr>
            </w:pPr>
            <w:r>
              <w:rPr>
                <w:rFonts w:ascii="Arial" w:eastAsia="Times New Roman" w:hAnsi="Arial" w:cs="Arial"/>
                <w:lang w:eastAsia="en-GB"/>
              </w:rPr>
              <w:t>BBB+</w:t>
            </w:r>
          </w:p>
        </w:tc>
        <w:tc>
          <w:tcPr>
            <w:tcW w:w="1293" w:type="pct"/>
            <w:tcBorders>
              <w:left w:val="nil"/>
              <w:bottom w:val="single" w:sz="4" w:space="0" w:color="auto"/>
              <w:right w:val="nil"/>
            </w:tcBorders>
            <w:shd w:val="clear" w:color="000000" w:fill="auto"/>
            <w:vAlign w:val="center"/>
          </w:tcPr>
          <w:p w14:paraId="2259580A" w14:textId="77777777" w:rsidR="0021298F" w:rsidRPr="001D121E" w:rsidRDefault="0021298F" w:rsidP="00760009">
            <w:pPr>
              <w:jc w:val="right"/>
              <w:rPr>
                <w:rFonts w:ascii="Arial" w:eastAsia="Times New Roman" w:hAnsi="Arial" w:cs="Arial"/>
                <w:lang w:eastAsia="en-GB"/>
              </w:rPr>
            </w:pPr>
            <w:r>
              <w:rPr>
                <w:rFonts w:ascii="Arial" w:eastAsia="Times New Roman" w:hAnsi="Arial" w:cs="Arial"/>
                <w:lang w:eastAsia="en-GB"/>
              </w:rPr>
              <w:t>137</w:t>
            </w:r>
          </w:p>
        </w:tc>
      </w:tr>
      <w:tr w:rsidR="0021298F" w:rsidRPr="001D121E" w14:paraId="3E35FA25" w14:textId="77777777" w:rsidTr="00760009">
        <w:trPr>
          <w:trHeight w:val="330"/>
        </w:trPr>
        <w:tc>
          <w:tcPr>
            <w:tcW w:w="3224" w:type="pct"/>
            <w:tcBorders>
              <w:top w:val="nil"/>
              <w:left w:val="nil"/>
              <w:bottom w:val="single" w:sz="8" w:space="0" w:color="auto"/>
              <w:right w:val="nil"/>
            </w:tcBorders>
            <w:shd w:val="clear" w:color="auto" w:fill="auto"/>
            <w:vAlign w:val="center"/>
            <w:hideMark/>
          </w:tcPr>
          <w:p w14:paraId="231749C2" w14:textId="77777777" w:rsidR="0021298F" w:rsidRPr="001D121E" w:rsidRDefault="0021298F" w:rsidP="00760009">
            <w:pPr>
              <w:jc w:val="both"/>
              <w:rPr>
                <w:rFonts w:ascii="Arial" w:eastAsia="Times New Roman" w:hAnsi="Arial" w:cs="Arial"/>
                <w:b/>
                <w:bCs/>
                <w:lang w:eastAsia="en-GB"/>
              </w:rPr>
            </w:pPr>
            <w:r w:rsidRPr="006C23F3">
              <w:rPr>
                <w:rFonts w:ascii="Arial" w:eastAsia="Times New Roman" w:hAnsi="Arial" w:cs="Arial"/>
                <w:b/>
                <w:bCs/>
                <w:lang w:eastAsia="en-GB"/>
              </w:rPr>
              <w:t> </w:t>
            </w:r>
          </w:p>
        </w:tc>
        <w:tc>
          <w:tcPr>
            <w:tcW w:w="483" w:type="pct"/>
            <w:tcBorders>
              <w:top w:val="nil"/>
              <w:left w:val="nil"/>
              <w:bottom w:val="single" w:sz="8" w:space="0" w:color="auto"/>
              <w:right w:val="nil"/>
            </w:tcBorders>
            <w:shd w:val="clear" w:color="000000" w:fill="auto"/>
            <w:vAlign w:val="center"/>
            <w:hideMark/>
          </w:tcPr>
          <w:p w14:paraId="4F7550A5" w14:textId="77777777" w:rsidR="0021298F" w:rsidRPr="001D121E" w:rsidRDefault="0021298F" w:rsidP="00760009">
            <w:pPr>
              <w:jc w:val="right"/>
              <w:rPr>
                <w:rFonts w:ascii="Arial" w:eastAsia="Times New Roman" w:hAnsi="Arial" w:cs="Arial"/>
                <w:b/>
                <w:bCs/>
                <w:lang w:eastAsia="en-GB"/>
              </w:rPr>
            </w:pPr>
          </w:p>
        </w:tc>
        <w:tc>
          <w:tcPr>
            <w:tcW w:w="1293" w:type="pct"/>
            <w:tcBorders>
              <w:top w:val="nil"/>
              <w:left w:val="nil"/>
              <w:bottom w:val="single" w:sz="8" w:space="0" w:color="auto"/>
              <w:right w:val="nil"/>
            </w:tcBorders>
            <w:shd w:val="clear" w:color="000000" w:fill="auto"/>
            <w:noWrap/>
            <w:vAlign w:val="center"/>
          </w:tcPr>
          <w:p w14:paraId="62A3BA7B" w14:textId="77777777" w:rsidR="0021298F" w:rsidRPr="001D121E" w:rsidRDefault="0021298F" w:rsidP="00760009">
            <w:pPr>
              <w:jc w:val="right"/>
              <w:rPr>
                <w:rFonts w:ascii="Arial" w:eastAsia="Times New Roman" w:hAnsi="Arial" w:cs="Arial"/>
                <w:b/>
                <w:bCs/>
                <w:lang w:eastAsia="en-GB"/>
              </w:rPr>
            </w:pPr>
            <w:r>
              <w:rPr>
                <w:rFonts w:ascii="Arial" w:eastAsia="Times New Roman" w:hAnsi="Arial" w:cs="Arial"/>
                <w:b/>
                <w:bCs/>
                <w:lang w:eastAsia="en-GB"/>
              </w:rPr>
              <w:t>188</w:t>
            </w:r>
          </w:p>
        </w:tc>
      </w:tr>
    </w:tbl>
    <w:p w14:paraId="37CA21C7" w14:textId="77777777" w:rsidR="0021298F" w:rsidRDefault="0021298F" w:rsidP="0021298F">
      <w:pPr>
        <w:jc w:val="both"/>
        <w:rPr>
          <w:rFonts w:ascii="Arial" w:hAnsi="Arial" w:cs="Arial"/>
        </w:rPr>
      </w:pPr>
    </w:p>
    <w:p w14:paraId="607E9BF1" w14:textId="77777777" w:rsidR="0021298F" w:rsidRPr="004F47B5" w:rsidRDefault="0021298F" w:rsidP="0021298F">
      <w:pPr>
        <w:jc w:val="both"/>
        <w:rPr>
          <w:rFonts w:ascii="Arial" w:hAnsi="Arial" w:cs="Arial"/>
          <w:b/>
        </w:rPr>
      </w:pPr>
      <w:r w:rsidRPr="004F47B5">
        <w:rPr>
          <w:rFonts w:ascii="Arial" w:hAnsi="Arial" w:cs="Arial"/>
          <w:b/>
        </w:rPr>
        <w:t xml:space="preserve">Liquidity </w:t>
      </w:r>
      <w:r>
        <w:rPr>
          <w:rFonts w:ascii="Arial" w:hAnsi="Arial" w:cs="Arial"/>
          <w:b/>
        </w:rPr>
        <w:t>r</w:t>
      </w:r>
      <w:r w:rsidRPr="004F47B5">
        <w:rPr>
          <w:rFonts w:ascii="Arial" w:hAnsi="Arial" w:cs="Arial"/>
          <w:b/>
        </w:rPr>
        <w:t>isk</w:t>
      </w:r>
    </w:p>
    <w:p w14:paraId="743165C8" w14:textId="77777777" w:rsidR="0021298F" w:rsidRDefault="0021298F" w:rsidP="0021298F">
      <w:pPr>
        <w:jc w:val="both"/>
        <w:rPr>
          <w:rFonts w:ascii="Arial" w:hAnsi="Arial" w:cs="Arial"/>
        </w:rPr>
      </w:pPr>
      <w:r w:rsidRPr="001E34C8">
        <w:rPr>
          <w:rFonts w:ascii="Arial" w:hAnsi="Arial" w:cs="Arial"/>
        </w:rPr>
        <w:t>Liquidity risk is the risk that the Group and the Company may not be able to meet a demand for cash or fund an obligation when due. The Investment Manager and the Board continuously monitor forecast and actual cash flows from operating, financing and investing activities to consider payment of dividends, repayment of the Company’s outstanding debt or further investing activities</w:t>
      </w:r>
      <w:r w:rsidRPr="008E2ABC">
        <w:rPr>
          <w:rFonts w:ascii="Arial" w:hAnsi="Arial" w:cs="Arial"/>
        </w:rPr>
        <w:t xml:space="preserve">. </w:t>
      </w:r>
    </w:p>
    <w:p w14:paraId="261AA5D0" w14:textId="77777777" w:rsidR="0021298F" w:rsidRDefault="0021298F" w:rsidP="0021298F">
      <w:pPr>
        <w:jc w:val="both"/>
        <w:rPr>
          <w:rFonts w:ascii="Arial" w:hAnsi="Arial" w:cs="Arial"/>
        </w:rPr>
      </w:pPr>
    </w:p>
    <w:p w14:paraId="6757F5A6" w14:textId="77777777" w:rsidR="0021298F" w:rsidRPr="005328C7" w:rsidRDefault="0021298F" w:rsidP="0021298F">
      <w:pPr>
        <w:jc w:val="both"/>
        <w:rPr>
          <w:rFonts w:ascii="Arial" w:eastAsia="Times New Roman" w:hAnsi="Arial" w:cs="Arial"/>
          <w:b/>
          <w:lang w:eastAsia="en-GB"/>
        </w:rPr>
      </w:pPr>
      <w:r>
        <w:rPr>
          <w:rFonts w:ascii="Arial" w:hAnsi="Arial" w:cs="Arial"/>
        </w:rPr>
        <w:lastRenderedPageBreak/>
        <w:t xml:space="preserve">As disclosed </w:t>
      </w:r>
      <w:r w:rsidRPr="00C35035">
        <w:rPr>
          <w:rFonts w:ascii="Arial" w:hAnsi="Arial" w:cs="Arial"/>
        </w:rPr>
        <w:t xml:space="preserve">in note </w:t>
      </w:r>
      <w:r w:rsidRPr="00992D4D">
        <w:rPr>
          <w:rFonts w:ascii="Arial" w:hAnsi="Arial" w:cs="Arial"/>
        </w:rPr>
        <w:t>1</w:t>
      </w:r>
      <w:r>
        <w:rPr>
          <w:rFonts w:ascii="Arial" w:hAnsi="Arial" w:cs="Arial"/>
        </w:rPr>
        <w:t>4</w:t>
      </w:r>
      <w:r w:rsidRPr="00992D4D">
        <w:rPr>
          <w:rFonts w:ascii="Arial" w:hAnsi="Arial" w:cs="Arial"/>
        </w:rPr>
        <w:t>, the purchase</w:t>
      </w:r>
      <w:r>
        <w:rPr>
          <w:rFonts w:ascii="Arial" w:hAnsi="Arial" w:cs="Arial"/>
        </w:rPr>
        <w:t xml:space="preserve"> price of wind farms acquired </w:t>
      </w:r>
      <w:r w:rsidRPr="00F302D6">
        <w:rPr>
          <w:rFonts w:ascii="Arial" w:hAnsi="Arial" w:cs="Arial"/>
        </w:rPr>
        <w:t>with less t</w:t>
      </w:r>
      <w:r>
        <w:rPr>
          <w:rFonts w:ascii="Arial" w:hAnsi="Arial" w:cs="Arial"/>
        </w:rPr>
        <w:t>han 12 months’ operational data</w:t>
      </w:r>
      <w:r w:rsidRPr="00F302D6">
        <w:rPr>
          <w:rFonts w:ascii="Arial" w:hAnsi="Arial" w:cs="Arial"/>
        </w:rPr>
        <w:t xml:space="preserve"> may be adjusted subject to a wind</w:t>
      </w:r>
      <w:r>
        <w:rPr>
          <w:rFonts w:ascii="Arial" w:hAnsi="Arial" w:cs="Arial"/>
        </w:rPr>
        <w:t xml:space="preserve"> energy true-up based on a 2</w:t>
      </w:r>
      <w:r w:rsidRPr="00F302D6">
        <w:rPr>
          <w:rFonts w:ascii="Arial" w:hAnsi="Arial" w:cs="Arial"/>
        </w:rPr>
        <w:t xml:space="preserve"> year</w:t>
      </w:r>
      <w:r>
        <w:rPr>
          <w:rFonts w:ascii="Arial" w:hAnsi="Arial" w:cs="Arial"/>
        </w:rPr>
        <w:t>s’</w:t>
      </w:r>
      <w:r w:rsidRPr="00F302D6">
        <w:rPr>
          <w:rFonts w:ascii="Arial" w:hAnsi="Arial" w:cs="Arial"/>
        </w:rPr>
        <w:t xml:space="preserve"> operational record once the operational data has become available.</w:t>
      </w:r>
    </w:p>
    <w:p w14:paraId="3477E062" w14:textId="77777777" w:rsidR="0021298F" w:rsidRDefault="0021298F" w:rsidP="0021298F">
      <w:pPr>
        <w:tabs>
          <w:tab w:val="left" w:pos="1185"/>
        </w:tabs>
        <w:jc w:val="both"/>
        <w:rPr>
          <w:rFonts w:ascii="Arial" w:hAnsi="Arial" w:cs="Arial"/>
        </w:rPr>
      </w:pPr>
      <w:r>
        <w:rPr>
          <w:rFonts w:ascii="Arial" w:hAnsi="Arial" w:cs="Arial"/>
        </w:rPr>
        <w:tab/>
      </w:r>
    </w:p>
    <w:p w14:paraId="75E7EBD6" w14:textId="77777777" w:rsidR="0021298F" w:rsidRDefault="0021298F" w:rsidP="0021298F">
      <w:pPr>
        <w:jc w:val="both"/>
        <w:rPr>
          <w:rFonts w:ascii="Arial" w:hAnsi="Arial" w:cs="Arial"/>
        </w:rPr>
      </w:pPr>
      <w:r>
        <w:rPr>
          <w:rFonts w:ascii="Arial" w:hAnsi="Arial" w:cs="Arial"/>
        </w:rPr>
        <w:t>The following tables detail the Group’s expected maturity for its financial assets (excluding equity) and liabilities together with the contractual undiscounted cash flow amounts as at 31 December 2020</w:t>
      </w:r>
      <w:r w:rsidRPr="00F519A1">
        <w:rPr>
          <w:rFonts w:ascii="Arial" w:hAnsi="Arial" w:cs="Arial"/>
        </w:rPr>
        <w:t xml:space="preserve"> and </w:t>
      </w:r>
      <w:r>
        <w:rPr>
          <w:rFonts w:ascii="Arial" w:hAnsi="Arial" w:cs="Arial"/>
        </w:rPr>
        <w:t>31 December 2019</w:t>
      </w:r>
      <w:r w:rsidRPr="00F519A1">
        <w:rPr>
          <w:rFonts w:ascii="Arial" w:hAnsi="Arial" w:cs="Arial"/>
        </w:rPr>
        <w:t>:</w:t>
      </w:r>
    </w:p>
    <w:tbl>
      <w:tblPr>
        <w:tblW w:w="9412" w:type="dxa"/>
        <w:tblLook w:val="04A0" w:firstRow="1" w:lastRow="0" w:firstColumn="1" w:lastColumn="0" w:noHBand="0" w:noVBand="1"/>
      </w:tblPr>
      <w:tblGrid>
        <w:gridCol w:w="3261"/>
        <w:gridCol w:w="1440"/>
        <w:gridCol w:w="1831"/>
        <w:gridCol w:w="1440"/>
        <w:gridCol w:w="1440"/>
      </w:tblGrid>
      <w:tr w:rsidR="0021298F" w:rsidRPr="00956CE7" w14:paraId="60B637D5" w14:textId="77777777" w:rsidTr="00760009">
        <w:trPr>
          <w:trHeight w:val="300"/>
        </w:trPr>
        <w:tc>
          <w:tcPr>
            <w:tcW w:w="3261" w:type="dxa"/>
            <w:tcBorders>
              <w:top w:val="nil"/>
              <w:left w:val="nil"/>
              <w:bottom w:val="nil"/>
              <w:right w:val="nil"/>
            </w:tcBorders>
            <w:shd w:val="clear" w:color="000000" w:fill="FFFFFF"/>
            <w:vAlign w:val="center"/>
            <w:hideMark/>
          </w:tcPr>
          <w:p w14:paraId="5D4F6195" w14:textId="77777777" w:rsidR="0021298F" w:rsidRPr="00956CE7" w:rsidRDefault="0021298F" w:rsidP="00760009">
            <w:pPr>
              <w:rPr>
                <w:rFonts w:ascii="Arial" w:eastAsia="Times New Roman" w:hAnsi="Arial" w:cs="Arial"/>
                <w:b/>
                <w:bCs/>
                <w:color w:val="000000"/>
                <w:lang w:eastAsia="en-GB"/>
              </w:rPr>
            </w:pPr>
            <w:r w:rsidRPr="00956CE7">
              <w:rPr>
                <w:rFonts w:ascii="Arial" w:eastAsia="Times New Roman" w:hAnsi="Arial" w:cs="Arial"/>
                <w:b/>
                <w:bCs/>
                <w:color w:val="000000"/>
                <w:lang w:eastAsia="en-GB"/>
              </w:rPr>
              <w:t>Group - 31 December 2020</w:t>
            </w:r>
          </w:p>
        </w:tc>
        <w:tc>
          <w:tcPr>
            <w:tcW w:w="1440" w:type="dxa"/>
            <w:vMerge w:val="restart"/>
            <w:tcBorders>
              <w:top w:val="nil"/>
              <w:left w:val="nil"/>
              <w:bottom w:val="nil"/>
              <w:right w:val="nil"/>
            </w:tcBorders>
            <w:shd w:val="clear" w:color="000000" w:fill="FFFFFF"/>
            <w:vAlign w:val="bottom"/>
            <w:hideMark/>
          </w:tcPr>
          <w:p w14:paraId="495F803F" w14:textId="77777777" w:rsidR="0021298F" w:rsidRPr="00956CE7" w:rsidRDefault="0021298F" w:rsidP="00760009">
            <w:pPr>
              <w:jc w:val="right"/>
              <w:rPr>
                <w:rFonts w:ascii="Arial" w:eastAsia="Times New Roman" w:hAnsi="Arial" w:cs="Arial"/>
                <w:b/>
                <w:bCs/>
                <w:color w:val="000000"/>
                <w:lang w:eastAsia="en-GB"/>
              </w:rPr>
            </w:pPr>
            <w:r w:rsidRPr="00956CE7">
              <w:rPr>
                <w:rFonts w:ascii="Arial" w:eastAsia="Times New Roman" w:hAnsi="Arial" w:cs="Arial"/>
                <w:b/>
                <w:bCs/>
                <w:color w:val="000000"/>
                <w:lang w:eastAsia="en-GB"/>
              </w:rPr>
              <w:t>Less than 1 year</w:t>
            </w:r>
          </w:p>
        </w:tc>
        <w:tc>
          <w:tcPr>
            <w:tcW w:w="1831" w:type="dxa"/>
            <w:vMerge w:val="restart"/>
            <w:tcBorders>
              <w:top w:val="nil"/>
              <w:left w:val="nil"/>
              <w:bottom w:val="nil"/>
              <w:right w:val="nil"/>
            </w:tcBorders>
            <w:shd w:val="clear" w:color="000000" w:fill="FFFFFF"/>
            <w:vAlign w:val="bottom"/>
            <w:hideMark/>
          </w:tcPr>
          <w:p w14:paraId="6FC7D909" w14:textId="77777777" w:rsidR="0021298F" w:rsidRPr="00956CE7" w:rsidRDefault="0021298F" w:rsidP="00760009">
            <w:pPr>
              <w:jc w:val="right"/>
              <w:rPr>
                <w:rFonts w:ascii="Arial" w:eastAsia="Times New Roman" w:hAnsi="Arial" w:cs="Arial"/>
                <w:b/>
                <w:bCs/>
                <w:color w:val="000000"/>
                <w:lang w:eastAsia="en-GB"/>
              </w:rPr>
            </w:pPr>
            <w:r w:rsidRPr="00956CE7">
              <w:rPr>
                <w:rFonts w:ascii="Arial" w:eastAsia="Times New Roman" w:hAnsi="Arial" w:cs="Arial"/>
                <w:b/>
                <w:bCs/>
                <w:color w:val="000000"/>
                <w:lang w:eastAsia="en-GB"/>
              </w:rPr>
              <w:t>1 - 5 years</w:t>
            </w:r>
          </w:p>
        </w:tc>
        <w:tc>
          <w:tcPr>
            <w:tcW w:w="1440" w:type="dxa"/>
            <w:vMerge w:val="restart"/>
            <w:tcBorders>
              <w:top w:val="nil"/>
              <w:left w:val="nil"/>
              <w:bottom w:val="nil"/>
              <w:right w:val="nil"/>
            </w:tcBorders>
            <w:shd w:val="clear" w:color="000000" w:fill="FFFFFF"/>
            <w:vAlign w:val="bottom"/>
            <w:hideMark/>
          </w:tcPr>
          <w:p w14:paraId="60DE1A8A" w14:textId="77777777" w:rsidR="0021298F" w:rsidRPr="00956CE7" w:rsidRDefault="0021298F" w:rsidP="00760009">
            <w:pPr>
              <w:jc w:val="right"/>
              <w:rPr>
                <w:rFonts w:ascii="Arial" w:eastAsia="Times New Roman" w:hAnsi="Arial" w:cs="Arial"/>
                <w:b/>
                <w:bCs/>
                <w:color w:val="000000"/>
                <w:lang w:eastAsia="en-GB"/>
              </w:rPr>
            </w:pPr>
            <w:r w:rsidRPr="00956CE7">
              <w:rPr>
                <w:rFonts w:ascii="Arial" w:eastAsia="Times New Roman" w:hAnsi="Arial" w:cs="Arial"/>
                <w:b/>
                <w:bCs/>
                <w:color w:val="000000"/>
                <w:lang w:eastAsia="en-GB"/>
              </w:rPr>
              <w:t>5+ years</w:t>
            </w:r>
          </w:p>
        </w:tc>
        <w:tc>
          <w:tcPr>
            <w:tcW w:w="1440" w:type="dxa"/>
            <w:vMerge w:val="restart"/>
            <w:tcBorders>
              <w:top w:val="nil"/>
              <w:left w:val="nil"/>
              <w:bottom w:val="nil"/>
              <w:right w:val="nil"/>
            </w:tcBorders>
            <w:shd w:val="clear" w:color="000000" w:fill="FFFFFF"/>
            <w:vAlign w:val="bottom"/>
            <w:hideMark/>
          </w:tcPr>
          <w:p w14:paraId="43AD0C1B" w14:textId="77777777" w:rsidR="0021298F" w:rsidRPr="00956CE7" w:rsidRDefault="0021298F" w:rsidP="00760009">
            <w:pPr>
              <w:jc w:val="right"/>
              <w:rPr>
                <w:rFonts w:ascii="Arial" w:eastAsia="Times New Roman" w:hAnsi="Arial" w:cs="Arial"/>
                <w:b/>
                <w:bCs/>
                <w:color w:val="000000"/>
                <w:lang w:eastAsia="en-GB"/>
              </w:rPr>
            </w:pPr>
            <w:r w:rsidRPr="00956CE7">
              <w:rPr>
                <w:rFonts w:ascii="Arial" w:eastAsia="Times New Roman" w:hAnsi="Arial" w:cs="Arial"/>
                <w:b/>
                <w:bCs/>
                <w:color w:val="000000"/>
                <w:lang w:eastAsia="en-GB"/>
              </w:rPr>
              <w:t>Total</w:t>
            </w:r>
          </w:p>
        </w:tc>
      </w:tr>
      <w:tr w:rsidR="0021298F" w:rsidRPr="00956CE7" w14:paraId="1A95FD3A" w14:textId="77777777" w:rsidTr="00760009">
        <w:trPr>
          <w:trHeight w:val="300"/>
        </w:trPr>
        <w:tc>
          <w:tcPr>
            <w:tcW w:w="3261" w:type="dxa"/>
            <w:tcBorders>
              <w:top w:val="nil"/>
              <w:left w:val="nil"/>
              <w:bottom w:val="nil"/>
              <w:right w:val="nil"/>
            </w:tcBorders>
            <w:shd w:val="clear" w:color="000000" w:fill="FFFFFF"/>
            <w:vAlign w:val="center"/>
            <w:hideMark/>
          </w:tcPr>
          <w:p w14:paraId="4988BFEB" w14:textId="77777777" w:rsidR="0021298F" w:rsidRPr="00956CE7" w:rsidRDefault="0021298F" w:rsidP="00760009">
            <w:pPr>
              <w:rPr>
                <w:rFonts w:ascii="Arial" w:eastAsia="Times New Roman" w:hAnsi="Arial" w:cs="Arial"/>
                <w:b/>
                <w:bCs/>
                <w:color w:val="000000"/>
                <w:lang w:eastAsia="en-GB"/>
              </w:rPr>
            </w:pPr>
            <w:r w:rsidRPr="00956CE7">
              <w:rPr>
                <w:rFonts w:ascii="Arial" w:eastAsia="Times New Roman" w:hAnsi="Arial" w:cs="Arial"/>
                <w:b/>
                <w:bCs/>
                <w:color w:val="000000"/>
                <w:lang w:eastAsia="en-GB"/>
              </w:rPr>
              <w:t> </w:t>
            </w:r>
          </w:p>
        </w:tc>
        <w:tc>
          <w:tcPr>
            <w:tcW w:w="1440" w:type="dxa"/>
            <w:vMerge/>
            <w:tcBorders>
              <w:top w:val="nil"/>
              <w:left w:val="nil"/>
              <w:bottom w:val="nil"/>
              <w:right w:val="nil"/>
            </w:tcBorders>
            <w:vAlign w:val="center"/>
            <w:hideMark/>
          </w:tcPr>
          <w:p w14:paraId="1E377689" w14:textId="77777777" w:rsidR="0021298F" w:rsidRPr="00956CE7" w:rsidRDefault="0021298F" w:rsidP="00760009">
            <w:pPr>
              <w:rPr>
                <w:rFonts w:ascii="Arial" w:eastAsia="Times New Roman" w:hAnsi="Arial" w:cs="Arial"/>
                <w:b/>
                <w:bCs/>
                <w:color w:val="000000"/>
                <w:lang w:eastAsia="en-GB"/>
              </w:rPr>
            </w:pPr>
          </w:p>
        </w:tc>
        <w:tc>
          <w:tcPr>
            <w:tcW w:w="1831" w:type="dxa"/>
            <w:vMerge/>
            <w:tcBorders>
              <w:top w:val="nil"/>
              <w:left w:val="nil"/>
              <w:bottom w:val="nil"/>
              <w:right w:val="nil"/>
            </w:tcBorders>
            <w:vAlign w:val="center"/>
            <w:hideMark/>
          </w:tcPr>
          <w:p w14:paraId="50CB2947" w14:textId="77777777" w:rsidR="0021298F" w:rsidRPr="00956CE7" w:rsidRDefault="0021298F" w:rsidP="00760009">
            <w:pPr>
              <w:rPr>
                <w:rFonts w:ascii="Arial" w:eastAsia="Times New Roman" w:hAnsi="Arial" w:cs="Arial"/>
                <w:b/>
                <w:bCs/>
                <w:color w:val="000000"/>
                <w:lang w:eastAsia="en-GB"/>
              </w:rPr>
            </w:pPr>
          </w:p>
        </w:tc>
        <w:tc>
          <w:tcPr>
            <w:tcW w:w="1440" w:type="dxa"/>
            <w:vMerge/>
            <w:tcBorders>
              <w:top w:val="nil"/>
              <w:left w:val="nil"/>
              <w:bottom w:val="nil"/>
              <w:right w:val="nil"/>
            </w:tcBorders>
            <w:vAlign w:val="center"/>
            <w:hideMark/>
          </w:tcPr>
          <w:p w14:paraId="1CFB7BE3" w14:textId="77777777" w:rsidR="0021298F" w:rsidRPr="00956CE7" w:rsidRDefault="0021298F" w:rsidP="00760009">
            <w:pPr>
              <w:rPr>
                <w:rFonts w:ascii="Arial" w:eastAsia="Times New Roman" w:hAnsi="Arial" w:cs="Arial"/>
                <w:b/>
                <w:bCs/>
                <w:color w:val="000000"/>
                <w:lang w:eastAsia="en-GB"/>
              </w:rPr>
            </w:pPr>
          </w:p>
        </w:tc>
        <w:tc>
          <w:tcPr>
            <w:tcW w:w="1440" w:type="dxa"/>
            <w:vMerge/>
            <w:tcBorders>
              <w:top w:val="nil"/>
              <w:left w:val="nil"/>
              <w:bottom w:val="nil"/>
              <w:right w:val="nil"/>
            </w:tcBorders>
            <w:vAlign w:val="center"/>
            <w:hideMark/>
          </w:tcPr>
          <w:p w14:paraId="76CC66F0" w14:textId="77777777" w:rsidR="0021298F" w:rsidRPr="00956CE7" w:rsidRDefault="0021298F" w:rsidP="00760009">
            <w:pPr>
              <w:rPr>
                <w:rFonts w:ascii="Arial" w:eastAsia="Times New Roman" w:hAnsi="Arial" w:cs="Arial"/>
                <w:b/>
                <w:bCs/>
                <w:color w:val="000000"/>
                <w:lang w:eastAsia="en-GB"/>
              </w:rPr>
            </w:pPr>
          </w:p>
        </w:tc>
      </w:tr>
      <w:tr w:rsidR="0021298F" w:rsidRPr="00956CE7" w14:paraId="3D0BEDE1" w14:textId="77777777" w:rsidTr="00760009">
        <w:trPr>
          <w:trHeight w:val="300"/>
        </w:trPr>
        <w:tc>
          <w:tcPr>
            <w:tcW w:w="3261" w:type="dxa"/>
            <w:tcBorders>
              <w:top w:val="nil"/>
              <w:left w:val="nil"/>
              <w:bottom w:val="single" w:sz="4" w:space="0" w:color="auto"/>
              <w:right w:val="nil"/>
            </w:tcBorders>
            <w:shd w:val="clear" w:color="000000" w:fill="FFFFFF"/>
            <w:vAlign w:val="center"/>
            <w:hideMark/>
          </w:tcPr>
          <w:p w14:paraId="07204D40" w14:textId="77777777" w:rsidR="0021298F" w:rsidRPr="00956CE7" w:rsidRDefault="0021298F" w:rsidP="00760009">
            <w:pPr>
              <w:jc w:val="both"/>
              <w:rPr>
                <w:rFonts w:ascii="Arial" w:eastAsia="Times New Roman" w:hAnsi="Arial" w:cs="Arial"/>
                <w:color w:val="000000"/>
                <w:lang w:eastAsia="en-GB"/>
              </w:rPr>
            </w:pPr>
            <w:r w:rsidRPr="00956CE7">
              <w:rPr>
                <w:rFonts w:ascii="Arial" w:eastAsia="Times New Roman" w:hAnsi="Arial" w:cs="Arial"/>
                <w:color w:val="000000"/>
                <w:lang w:eastAsia="en-GB"/>
              </w:rPr>
              <w:t> </w:t>
            </w:r>
          </w:p>
        </w:tc>
        <w:tc>
          <w:tcPr>
            <w:tcW w:w="1440" w:type="dxa"/>
            <w:tcBorders>
              <w:top w:val="nil"/>
              <w:left w:val="nil"/>
              <w:bottom w:val="single" w:sz="4" w:space="0" w:color="auto"/>
              <w:right w:val="nil"/>
            </w:tcBorders>
            <w:shd w:val="clear" w:color="000000" w:fill="FFFFFF"/>
            <w:noWrap/>
            <w:vAlign w:val="center"/>
            <w:hideMark/>
          </w:tcPr>
          <w:p w14:paraId="7D40460C" w14:textId="77777777" w:rsidR="0021298F" w:rsidRPr="00956CE7" w:rsidRDefault="0021298F" w:rsidP="00760009">
            <w:pPr>
              <w:jc w:val="right"/>
              <w:rPr>
                <w:rFonts w:ascii="Arial" w:eastAsia="Times New Roman" w:hAnsi="Arial" w:cs="Arial"/>
                <w:b/>
                <w:bCs/>
                <w:color w:val="000000"/>
                <w:lang w:eastAsia="en-GB"/>
              </w:rPr>
            </w:pPr>
            <w:r w:rsidRPr="00956CE7">
              <w:rPr>
                <w:rFonts w:ascii="Arial" w:eastAsia="Times New Roman" w:hAnsi="Arial" w:cs="Arial"/>
                <w:b/>
                <w:bCs/>
                <w:color w:val="000000"/>
                <w:lang w:eastAsia="en-GB"/>
              </w:rPr>
              <w:t>€’000</w:t>
            </w:r>
          </w:p>
        </w:tc>
        <w:tc>
          <w:tcPr>
            <w:tcW w:w="1831" w:type="dxa"/>
            <w:tcBorders>
              <w:top w:val="nil"/>
              <w:left w:val="nil"/>
              <w:bottom w:val="single" w:sz="4" w:space="0" w:color="auto"/>
              <w:right w:val="nil"/>
            </w:tcBorders>
            <w:shd w:val="clear" w:color="000000" w:fill="FFFFFF"/>
            <w:noWrap/>
            <w:vAlign w:val="center"/>
            <w:hideMark/>
          </w:tcPr>
          <w:p w14:paraId="25CC243C" w14:textId="77777777" w:rsidR="0021298F" w:rsidRPr="00956CE7" w:rsidRDefault="0021298F" w:rsidP="00760009">
            <w:pPr>
              <w:jc w:val="right"/>
              <w:rPr>
                <w:rFonts w:ascii="Arial" w:eastAsia="Times New Roman" w:hAnsi="Arial" w:cs="Arial"/>
                <w:b/>
                <w:bCs/>
                <w:color w:val="000000"/>
                <w:lang w:eastAsia="en-GB"/>
              </w:rPr>
            </w:pPr>
            <w:r w:rsidRPr="00956CE7">
              <w:rPr>
                <w:rFonts w:ascii="Arial" w:eastAsia="Times New Roman" w:hAnsi="Arial" w:cs="Arial"/>
                <w:b/>
                <w:bCs/>
                <w:color w:val="000000"/>
                <w:lang w:eastAsia="en-GB"/>
              </w:rPr>
              <w:t>€’000</w:t>
            </w:r>
          </w:p>
        </w:tc>
        <w:tc>
          <w:tcPr>
            <w:tcW w:w="1440" w:type="dxa"/>
            <w:tcBorders>
              <w:top w:val="nil"/>
              <w:left w:val="nil"/>
              <w:bottom w:val="single" w:sz="4" w:space="0" w:color="auto"/>
              <w:right w:val="nil"/>
            </w:tcBorders>
            <w:shd w:val="clear" w:color="000000" w:fill="FFFFFF"/>
            <w:noWrap/>
            <w:vAlign w:val="center"/>
            <w:hideMark/>
          </w:tcPr>
          <w:p w14:paraId="2396DE9A" w14:textId="77777777" w:rsidR="0021298F" w:rsidRPr="00956CE7" w:rsidRDefault="0021298F" w:rsidP="00760009">
            <w:pPr>
              <w:jc w:val="right"/>
              <w:rPr>
                <w:rFonts w:ascii="Arial" w:eastAsia="Times New Roman" w:hAnsi="Arial" w:cs="Arial"/>
                <w:b/>
                <w:bCs/>
                <w:color w:val="000000"/>
                <w:lang w:eastAsia="en-GB"/>
              </w:rPr>
            </w:pPr>
            <w:r w:rsidRPr="00956CE7">
              <w:rPr>
                <w:rFonts w:ascii="Arial" w:eastAsia="Times New Roman" w:hAnsi="Arial" w:cs="Arial"/>
                <w:b/>
                <w:bCs/>
                <w:color w:val="000000"/>
                <w:lang w:eastAsia="en-GB"/>
              </w:rPr>
              <w:t>€’000</w:t>
            </w:r>
          </w:p>
        </w:tc>
        <w:tc>
          <w:tcPr>
            <w:tcW w:w="1440" w:type="dxa"/>
            <w:tcBorders>
              <w:top w:val="nil"/>
              <w:left w:val="nil"/>
              <w:bottom w:val="single" w:sz="4" w:space="0" w:color="auto"/>
              <w:right w:val="nil"/>
            </w:tcBorders>
            <w:shd w:val="clear" w:color="000000" w:fill="FFFFFF"/>
            <w:noWrap/>
            <w:vAlign w:val="center"/>
            <w:hideMark/>
          </w:tcPr>
          <w:p w14:paraId="6DE67463" w14:textId="77777777" w:rsidR="0021298F" w:rsidRPr="00956CE7" w:rsidRDefault="0021298F" w:rsidP="00760009">
            <w:pPr>
              <w:jc w:val="right"/>
              <w:rPr>
                <w:rFonts w:ascii="Arial" w:eastAsia="Times New Roman" w:hAnsi="Arial" w:cs="Arial"/>
                <w:b/>
                <w:bCs/>
                <w:color w:val="000000"/>
                <w:lang w:eastAsia="en-GB"/>
              </w:rPr>
            </w:pPr>
            <w:r w:rsidRPr="00956CE7">
              <w:rPr>
                <w:rFonts w:ascii="Arial" w:eastAsia="Times New Roman" w:hAnsi="Arial" w:cs="Arial"/>
                <w:b/>
                <w:bCs/>
                <w:color w:val="000000"/>
                <w:lang w:eastAsia="en-GB"/>
              </w:rPr>
              <w:t>€’000</w:t>
            </w:r>
          </w:p>
        </w:tc>
      </w:tr>
      <w:tr w:rsidR="0021298F" w:rsidRPr="00956CE7" w14:paraId="76F9F9E8" w14:textId="77777777" w:rsidTr="00760009">
        <w:trPr>
          <w:trHeight w:val="300"/>
        </w:trPr>
        <w:tc>
          <w:tcPr>
            <w:tcW w:w="3261" w:type="dxa"/>
            <w:tcBorders>
              <w:top w:val="nil"/>
              <w:left w:val="nil"/>
              <w:bottom w:val="nil"/>
              <w:right w:val="nil"/>
            </w:tcBorders>
            <w:shd w:val="clear" w:color="000000" w:fill="FFFFFF"/>
            <w:vAlign w:val="center"/>
            <w:hideMark/>
          </w:tcPr>
          <w:p w14:paraId="0DB1AA95" w14:textId="77777777" w:rsidR="0021298F" w:rsidRPr="00956CE7" w:rsidRDefault="0021298F" w:rsidP="00760009">
            <w:pPr>
              <w:jc w:val="both"/>
              <w:rPr>
                <w:rFonts w:ascii="Arial" w:eastAsia="Times New Roman" w:hAnsi="Arial" w:cs="Arial"/>
                <w:b/>
                <w:bCs/>
                <w:color w:val="000000"/>
                <w:lang w:eastAsia="en-GB"/>
              </w:rPr>
            </w:pPr>
            <w:r w:rsidRPr="00956CE7">
              <w:rPr>
                <w:rFonts w:ascii="Arial" w:eastAsia="Times New Roman" w:hAnsi="Arial" w:cs="Arial"/>
                <w:b/>
                <w:bCs/>
                <w:color w:val="000000"/>
                <w:lang w:eastAsia="en-GB"/>
              </w:rPr>
              <w:t>Assets</w:t>
            </w:r>
          </w:p>
        </w:tc>
        <w:tc>
          <w:tcPr>
            <w:tcW w:w="1440" w:type="dxa"/>
            <w:tcBorders>
              <w:top w:val="nil"/>
              <w:left w:val="nil"/>
              <w:bottom w:val="nil"/>
              <w:right w:val="nil"/>
            </w:tcBorders>
            <w:shd w:val="clear" w:color="000000" w:fill="EDFFB7"/>
            <w:noWrap/>
            <w:vAlign w:val="center"/>
            <w:hideMark/>
          </w:tcPr>
          <w:p w14:paraId="73E9C16F" w14:textId="77777777" w:rsidR="0021298F" w:rsidRPr="00956CE7" w:rsidRDefault="0021298F" w:rsidP="00760009">
            <w:pPr>
              <w:jc w:val="right"/>
              <w:rPr>
                <w:rFonts w:ascii="Arial" w:eastAsia="Times New Roman" w:hAnsi="Arial" w:cs="Arial"/>
                <w:b/>
                <w:bCs/>
                <w:color w:val="000000"/>
                <w:lang w:eastAsia="en-GB"/>
              </w:rPr>
            </w:pPr>
            <w:r w:rsidRPr="00956CE7">
              <w:rPr>
                <w:rFonts w:ascii="Arial" w:eastAsia="Times New Roman" w:hAnsi="Arial" w:cs="Arial"/>
                <w:b/>
                <w:bCs/>
                <w:color w:val="000000"/>
                <w:lang w:eastAsia="en-GB"/>
              </w:rPr>
              <w:t> </w:t>
            </w:r>
          </w:p>
        </w:tc>
        <w:tc>
          <w:tcPr>
            <w:tcW w:w="1831" w:type="dxa"/>
            <w:tcBorders>
              <w:top w:val="nil"/>
              <w:left w:val="nil"/>
              <w:bottom w:val="nil"/>
              <w:right w:val="nil"/>
            </w:tcBorders>
            <w:shd w:val="clear" w:color="000000" w:fill="EDFFB7"/>
            <w:noWrap/>
            <w:vAlign w:val="center"/>
            <w:hideMark/>
          </w:tcPr>
          <w:p w14:paraId="69AEBF13" w14:textId="77777777" w:rsidR="0021298F" w:rsidRPr="00956CE7" w:rsidRDefault="0021298F" w:rsidP="00760009">
            <w:pPr>
              <w:jc w:val="right"/>
              <w:rPr>
                <w:rFonts w:ascii="Arial" w:eastAsia="Times New Roman" w:hAnsi="Arial" w:cs="Arial"/>
                <w:b/>
                <w:bCs/>
                <w:color w:val="000000"/>
                <w:lang w:eastAsia="en-GB"/>
              </w:rPr>
            </w:pPr>
            <w:r w:rsidRPr="00956CE7">
              <w:rPr>
                <w:rFonts w:ascii="Arial" w:eastAsia="Times New Roman" w:hAnsi="Arial" w:cs="Arial"/>
                <w:b/>
                <w:bCs/>
                <w:color w:val="000000"/>
                <w:lang w:eastAsia="en-GB"/>
              </w:rPr>
              <w:t> </w:t>
            </w:r>
          </w:p>
        </w:tc>
        <w:tc>
          <w:tcPr>
            <w:tcW w:w="1440" w:type="dxa"/>
            <w:tcBorders>
              <w:top w:val="nil"/>
              <w:left w:val="nil"/>
              <w:bottom w:val="nil"/>
              <w:right w:val="nil"/>
            </w:tcBorders>
            <w:shd w:val="clear" w:color="000000" w:fill="EDFFB7"/>
            <w:noWrap/>
            <w:vAlign w:val="center"/>
            <w:hideMark/>
          </w:tcPr>
          <w:p w14:paraId="6FE53090" w14:textId="77777777" w:rsidR="0021298F" w:rsidRPr="00956CE7" w:rsidRDefault="0021298F" w:rsidP="00760009">
            <w:pPr>
              <w:jc w:val="right"/>
              <w:rPr>
                <w:rFonts w:ascii="Arial" w:eastAsia="Times New Roman" w:hAnsi="Arial" w:cs="Arial"/>
                <w:b/>
                <w:bCs/>
                <w:color w:val="000000"/>
                <w:lang w:eastAsia="en-GB"/>
              </w:rPr>
            </w:pPr>
            <w:r w:rsidRPr="00956CE7">
              <w:rPr>
                <w:rFonts w:ascii="Arial" w:eastAsia="Times New Roman" w:hAnsi="Arial" w:cs="Arial"/>
                <w:b/>
                <w:bCs/>
                <w:color w:val="000000"/>
                <w:lang w:eastAsia="en-GB"/>
              </w:rPr>
              <w:t> </w:t>
            </w:r>
          </w:p>
        </w:tc>
        <w:tc>
          <w:tcPr>
            <w:tcW w:w="1440" w:type="dxa"/>
            <w:tcBorders>
              <w:top w:val="nil"/>
              <w:left w:val="nil"/>
              <w:bottom w:val="nil"/>
              <w:right w:val="nil"/>
            </w:tcBorders>
            <w:shd w:val="clear" w:color="000000" w:fill="EDFFB7"/>
            <w:noWrap/>
            <w:vAlign w:val="center"/>
            <w:hideMark/>
          </w:tcPr>
          <w:p w14:paraId="4684FD66" w14:textId="77777777" w:rsidR="0021298F" w:rsidRPr="00956CE7" w:rsidRDefault="0021298F" w:rsidP="00760009">
            <w:pPr>
              <w:jc w:val="right"/>
              <w:rPr>
                <w:rFonts w:ascii="Arial" w:eastAsia="Times New Roman" w:hAnsi="Arial" w:cs="Arial"/>
                <w:b/>
                <w:bCs/>
                <w:color w:val="000000"/>
                <w:lang w:eastAsia="en-GB"/>
              </w:rPr>
            </w:pPr>
            <w:r w:rsidRPr="00956CE7">
              <w:rPr>
                <w:rFonts w:ascii="Arial" w:eastAsia="Times New Roman" w:hAnsi="Arial" w:cs="Arial"/>
                <w:b/>
                <w:bCs/>
                <w:color w:val="000000"/>
                <w:lang w:eastAsia="en-GB"/>
              </w:rPr>
              <w:t> </w:t>
            </w:r>
          </w:p>
        </w:tc>
      </w:tr>
      <w:tr w:rsidR="0021298F" w:rsidRPr="00956CE7" w14:paraId="4B00DB39" w14:textId="77777777" w:rsidTr="00760009">
        <w:trPr>
          <w:trHeight w:val="300"/>
        </w:trPr>
        <w:tc>
          <w:tcPr>
            <w:tcW w:w="3261" w:type="dxa"/>
            <w:tcBorders>
              <w:top w:val="nil"/>
              <w:left w:val="nil"/>
              <w:bottom w:val="nil"/>
              <w:right w:val="nil"/>
            </w:tcBorders>
            <w:shd w:val="clear" w:color="000000" w:fill="FFFFFF"/>
            <w:vAlign w:val="center"/>
            <w:hideMark/>
          </w:tcPr>
          <w:p w14:paraId="6EF540E6" w14:textId="77777777" w:rsidR="0021298F" w:rsidRPr="00956CE7" w:rsidRDefault="0021298F" w:rsidP="00760009">
            <w:pPr>
              <w:jc w:val="both"/>
              <w:rPr>
                <w:rFonts w:ascii="Arial" w:eastAsia="Times New Roman" w:hAnsi="Arial" w:cs="Arial"/>
                <w:color w:val="000000"/>
                <w:lang w:eastAsia="en-GB"/>
              </w:rPr>
            </w:pPr>
            <w:r w:rsidRPr="00956CE7">
              <w:rPr>
                <w:rFonts w:ascii="Arial" w:eastAsia="Times New Roman" w:hAnsi="Arial" w:cs="Arial"/>
                <w:color w:val="000000"/>
                <w:lang w:eastAsia="en-GB"/>
              </w:rPr>
              <w:t>Other receivables (note 11)</w:t>
            </w:r>
          </w:p>
        </w:tc>
        <w:tc>
          <w:tcPr>
            <w:tcW w:w="1440" w:type="dxa"/>
            <w:tcBorders>
              <w:top w:val="nil"/>
              <w:left w:val="nil"/>
              <w:bottom w:val="nil"/>
              <w:right w:val="nil"/>
            </w:tcBorders>
            <w:shd w:val="clear" w:color="000000" w:fill="EDFFB7"/>
            <w:noWrap/>
            <w:vAlign w:val="center"/>
            <w:hideMark/>
          </w:tcPr>
          <w:p w14:paraId="51C7AF11" w14:textId="77777777" w:rsidR="0021298F" w:rsidRPr="00956CE7" w:rsidRDefault="0021298F" w:rsidP="00760009">
            <w:pPr>
              <w:jc w:val="right"/>
              <w:rPr>
                <w:rFonts w:ascii="Arial" w:eastAsia="Times New Roman" w:hAnsi="Arial" w:cs="Arial"/>
                <w:color w:val="000000"/>
                <w:lang w:eastAsia="en-GB"/>
              </w:rPr>
            </w:pPr>
            <w:r w:rsidRPr="00956CE7">
              <w:rPr>
                <w:rFonts w:ascii="Arial" w:eastAsia="Times New Roman" w:hAnsi="Arial" w:cs="Arial"/>
                <w:color w:val="000000"/>
                <w:lang w:eastAsia="en-GB"/>
              </w:rPr>
              <w:t>4,095</w:t>
            </w:r>
          </w:p>
        </w:tc>
        <w:tc>
          <w:tcPr>
            <w:tcW w:w="1831" w:type="dxa"/>
            <w:tcBorders>
              <w:top w:val="nil"/>
              <w:left w:val="nil"/>
              <w:bottom w:val="nil"/>
              <w:right w:val="nil"/>
            </w:tcBorders>
            <w:shd w:val="clear" w:color="000000" w:fill="EDFFB7"/>
            <w:noWrap/>
            <w:vAlign w:val="center"/>
            <w:hideMark/>
          </w:tcPr>
          <w:p w14:paraId="7493EE39" w14:textId="77777777" w:rsidR="0021298F" w:rsidRPr="00956CE7" w:rsidRDefault="0021298F" w:rsidP="00760009">
            <w:pPr>
              <w:jc w:val="right"/>
              <w:rPr>
                <w:rFonts w:ascii="Arial" w:eastAsia="Times New Roman" w:hAnsi="Arial" w:cs="Arial"/>
                <w:color w:val="000000"/>
                <w:lang w:eastAsia="en-GB"/>
              </w:rPr>
            </w:pPr>
            <w:r w:rsidRPr="00956CE7">
              <w:rPr>
                <w:rFonts w:ascii="Arial" w:eastAsia="Times New Roman" w:hAnsi="Arial" w:cs="Arial"/>
                <w:color w:val="000000"/>
                <w:lang w:eastAsia="en-GB"/>
              </w:rPr>
              <w:t>-</w:t>
            </w:r>
          </w:p>
        </w:tc>
        <w:tc>
          <w:tcPr>
            <w:tcW w:w="1440" w:type="dxa"/>
            <w:tcBorders>
              <w:top w:val="nil"/>
              <w:left w:val="nil"/>
              <w:bottom w:val="nil"/>
              <w:right w:val="nil"/>
            </w:tcBorders>
            <w:shd w:val="clear" w:color="000000" w:fill="EDFFB7"/>
            <w:noWrap/>
            <w:vAlign w:val="center"/>
            <w:hideMark/>
          </w:tcPr>
          <w:p w14:paraId="6A26F2BF" w14:textId="77777777" w:rsidR="0021298F" w:rsidRPr="00956CE7" w:rsidRDefault="0021298F" w:rsidP="00760009">
            <w:pPr>
              <w:jc w:val="right"/>
              <w:rPr>
                <w:rFonts w:ascii="Arial" w:eastAsia="Times New Roman" w:hAnsi="Arial" w:cs="Arial"/>
                <w:color w:val="000000"/>
                <w:lang w:eastAsia="en-GB"/>
              </w:rPr>
            </w:pPr>
            <w:r w:rsidRPr="00956CE7">
              <w:rPr>
                <w:rFonts w:ascii="Arial" w:eastAsia="Times New Roman" w:hAnsi="Arial" w:cs="Arial"/>
                <w:color w:val="000000"/>
                <w:lang w:eastAsia="en-GB"/>
              </w:rPr>
              <w:t>-</w:t>
            </w:r>
          </w:p>
        </w:tc>
        <w:tc>
          <w:tcPr>
            <w:tcW w:w="1440" w:type="dxa"/>
            <w:tcBorders>
              <w:top w:val="nil"/>
              <w:left w:val="nil"/>
              <w:bottom w:val="nil"/>
              <w:right w:val="nil"/>
            </w:tcBorders>
            <w:shd w:val="clear" w:color="000000" w:fill="EDFFB7"/>
            <w:noWrap/>
            <w:vAlign w:val="center"/>
            <w:hideMark/>
          </w:tcPr>
          <w:p w14:paraId="733B74E8" w14:textId="77777777" w:rsidR="0021298F" w:rsidRPr="00956CE7" w:rsidRDefault="0021298F" w:rsidP="00760009">
            <w:pPr>
              <w:jc w:val="right"/>
              <w:rPr>
                <w:rFonts w:ascii="Arial" w:eastAsia="Times New Roman" w:hAnsi="Arial" w:cs="Arial"/>
                <w:b/>
                <w:bCs/>
                <w:color w:val="000000"/>
                <w:lang w:eastAsia="en-GB"/>
              </w:rPr>
            </w:pPr>
            <w:r w:rsidRPr="00956CE7">
              <w:rPr>
                <w:rFonts w:ascii="Arial" w:eastAsia="Times New Roman" w:hAnsi="Arial" w:cs="Arial"/>
                <w:b/>
                <w:bCs/>
                <w:color w:val="000000"/>
                <w:lang w:eastAsia="en-GB"/>
              </w:rPr>
              <w:t>4,095</w:t>
            </w:r>
          </w:p>
        </w:tc>
      </w:tr>
      <w:tr w:rsidR="0021298F" w:rsidRPr="00956CE7" w14:paraId="5246C73C" w14:textId="77777777" w:rsidTr="00760009">
        <w:trPr>
          <w:trHeight w:val="300"/>
        </w:trPr>
        <w:tc>
          <w:tcPr>
            <w:tcW w:w="3261" w:type="dxa"/>
            <w:tcBorders>
              <w:top w:val="nil"/>
              <w:left w:val="nil"/>
              <w:bottom w:val="nil"/>
              <w:right w:val="nil"/>
            </w:tcBorders>
            <w:shd w:val="clear" w:color="000000" w:fill="FFFFFF"/>
            <w:vAlign w:val="center"/>
            <w:hideMark/>
          </w:tcPr>
          <w:p w14:paraId="7AE6E5C2" w14:textId="77777777" w:rsidR="0021298F" w:rsidRPr="00956CE7" w:rsidRDefault="0021298F" w:rsidP="00760009">
            <w:pPr>
              <w:jc w:val="both"/>
              <w:rPr>
                <w:rFonts w:ascii="Arial" w:eastAsia="Times New Roman" w:hAnsi="Arial" w:cs="Arial"/>
                <w:color w:val="000000"/>
                <w:lang w:eastAsia="en-GB"/>
              </w:rPr>
            </w:pPr>
            <w:r w:rsidRPr="00956CE7">
              <w:rPr>
                <w:rFonts w:ascii="Arial" w:eastAsia="Times New Roman" w:hAnsi="Arial" w:cs="Arial"/>
                <w:color w:val="000000"/>
                <w:lang w:eastAsia="en-GB"/>
              </w:rPr>
              <w:t>Cash at bank</w:t>
            </w:r>
          </w:p>
        </w:tc>
        <w:tc>
          <w:tcPr>
            <w:tcW w:w="1440" w:type="dxa"/>
            <w:tcBorders>
              <w:top w:val="nil"/>
              <w:left w:val="nil"/>
              <w:bottom w:val="nil"/>
              <w:right w:val="nil"/>
            </w:tcBorders>
            <w:shd w:val="clear" w:color="000000" w:fill="EDFFB7"/>
            <w:noWrap/>
            <w:vAlign w:val="center"/>
            <w:hideMark/>
          </w:tcPr>
          <w:p w14:paraId="07092B55" w14:textId="77777777" w:rsidR="0021298F" w:rsidRPr="00956CE7" w:rsidRDefault="0021298F" w:rsidP="00760009">
            <w:pPr>
              <w:jc w:val="right"/>
              <w:rPr>
                <w:rFonts w:ascii="Arial" w:eastAsia="Times New Roman" w:hAnsi="Arial" w:cs="Arial"/>
                <w:color w:val="000000"/>
                <w:lang w:eastAsia="en-GB"/>
              </w:rPr>
            </w:pPr>
            <w:r w:rsidRPr="00956CE7">
              <w:rPr>
                <w:rFonts w:ascii="Arial" w:eastAsia="Times New Roman" w:hAnsi="Arial" w:cs="Arial"/>
                <w:color w:val="000000"/>
                <w:lang w:eastAsia="en-GB"/>
              </w:rPr>
              <w:t>16,517</w:t>
            </w:r>
          </w:p>
        </w:tc>
        <w:tc>
          <w:tcPr>
            <w:tcW w:w="1831" w:type="dxa"/>
            <w:tcBorders>
              <w:top w:val="nil"/>
              <w:left w:val="nil"/>
              <w:bottom w:val="nil"/>
              <w:right w:val="nil"/>
            </w:tcBorders>
            <w:shd w:val="clear" w:color="000000" w:fill="EDFFB7"/>
            <w:noWrap/>
            <w:vAlign w:val="center"/>
            <w:hideMark/>
          </w:tcPr>
          <w:p w14:paraId="05D00611" w14:textId="77777777" w:rsidR="0021298F" w:rsidRPr="00956CE7" w:rsidRDefault="0021298F" w:rsidP="00760009">
            <w:pPr>
              <w:jc w:val="right"/>
              <w:rPr>
                <w:rFonts w:ascii="Arial" w:eastAsia="Times New Roman" w:hAnsi="Arial" w:cs="Arial"/>
                <w:color w:val="000000"/>
                <w:lang w:eastAsia="en-GB"/>
              </w:rPr>
            </w:pPr>
            <w:r w:rsidRPr="00956CE7">
              <w:rPr>
                <w:rFonts w:ascii="Arial" w:eastAsia="Times New Roman" w:hAnsi="Arial" w:cs="Arial"/>
                <w:color w:val="000000"/>
                <w:lang w:eastAsia="en-GB"/>
              </w:rPr>
              <w:t>-</w:t>
            </w:r>
          </w:p>
        </w:tc>
        <w:tc>
          <w:tcPr>
            <w:tcW w:w="1440" w:type="dxa"/>
            <w:tcBorders>
              <w:top w:val="nil"/>
              <w:left w:val="nil"/>
              <w:bottom w:val="nil"/>
              <w:right w:val="nil"/>
            </w:tcBorders>
            <w:shd w:val="clear" w:color="000000" w:fill="EDFFB7"/>
            <w:noWrap/>
            <w:vAlign w:val="center"/>
            <w:hideMark/>
          </w:tcPr>
          <w:p w14:paraId="188577C5" w14:textId="77777777" w:rsidR="0021298F" w:rsidRPr="00956CE7" w:rsidRDefault="0021298F" w:rsidP="00760009">
            <w:pPr>
              <w:jc w:val="right"/>
              <w:rPr>
                <w:rFonts w:ascii="Arial" w:eastAsia="Times New Roman" w:hAnsi="Arial" w:cs="Arial"/>
                <w:color w:val="000000"/>
                <w:lang w:eastAsia="en-GB"/>
              </w:rPr>
            </w:pPr>
            <w:r w:rsidRPr="00956CE7">
              <w:rPr>
                <w:rFonts w:ascii="Arial" w:eastAsia="Times New Roman" w:hAnsi="Arial" w:cs="Arial"/>
                <w:color w:val="000000"/>
                <w:lang w:eastAsia="en-GB"/>
              </w:rPr>
              <w:t>-</w:t>
            </w:r>
          </w:p>
        </w:tc>
        <w:tc>
          <w:tcPr>
            <w:tcW w:w="1440" w:type="dxa"/>
            <w:tcBorders>
              <w:top w:val="nil"/>
              <w:left w:val="nil"/>
              <w:bottom w:val="nil"/>
              <w:right w:val="nil"/>
            </w:tcBorders>
            <w:shd w:val="clear" w:color="000000" w:fill="EDFFB7"/>
            <w:noWrap/>
            <w:vAlign w:val="center"/>
            <w:hideMark/>
          </w:tcPr>
          <w:p w14:paraId="53507FE1" w14:textId="77777777" w:rsidR="0021298F" w:rsidRPr="00956CE7" w:rsidRDefault="0021298F" w:rsidP="00760009">
            <w:pPr>
              <w:jc w:val="right"/>
              <w:rPr>
                <w:rFonts w:ascii="Arial" w:eastAsia="Times New Roman" w:hAnsi="Arial" w:cs="Arial"/>
                <w:b/>
                <w:bCs/>
                <w:color w:val="000000"/>
                <w:lang w:eastAsia="en-GB"/>
              </w:rPr>
            </w:pPr>
            <w:r w:rsidRPr="00956CE7">
              <w:rPr>
                <w:rFonts w:ascii="Arial" w:eastAsia="Times New Roman" w:hAnsi="Arial" w:cs="Arial"/>
                <w:b/>
                <w:bCs/>
                <w:color w:val="000000"/>
                <w:lang w:eastAsia="en-GB"/>
              </w:rPr>
              <w:t>16,517</w:t>
            </w:r>
          </w:p>
        </w:tc>
      </w:tr>
      <w:tr w:rsidR="0021298F" w:rsidRPr="00956CE7" w14:paraId="3FA7DA5B" w14:textId="77777777" w:rsidTr="00760009">
        <w:trPr>
          <w:trHeight w:val="300"/>
        </w:trPr>
        <w:tc>
          <w:tcPr>
            <w:tcW w:w="3261" w:type="dxa"/>
            <w:tcBorders>
              <w:top w:val="nil"/>
              <w:left w:val="nil"/>
              <w:bottom w:val="nil"/>
              <w:right w:val="nil"/>
            </w:tcBorders>
            <w:shd w:val="clear" w:color="000000" w:fill="FFFFFF"/>
            <w:vAlign w:val="center"/>
            <w:hideMark/>
          </w:tcPr>
          <w:p w14:paraId="0056233D" w14:textId="77777777" w:rsidR="0021298F" w:rsidRPr="00956CE7" w:rsidRDefault="0021298F" w:rsidP="00760009">
            <w:pPr>
              <w:jc w:val="both"/>
              <w:rPr>
                <w:rFonts w:ascii="Arial" w:eastAsia="Times New Roman" w:hAnsi="Arial" w:cs="Arial"/>
                <w:color w:val="000000"/>
                <w:lang w:eastAsia="en-GB"/>
              </w:rPr>
            </w:pPr>
            <w:r w:rsidRPr="00956CE7">
              <w:rPr>
                <w:rFonts w:ascii="Arial" w:eastAsia="Times New Roman" w:hAnsi="Arial" w:cs="Arial"/>
                <w:color w:val="000000"/>
                <w:lang w:eastAsia="en-GB"/>
              </w:rPr>
              <w:t>Loan investments</w:t>
            </w:r>
          </w:p>
        </w:tc>
        <w:tc>
          <w:tcPr>
            <w:tcW w:w="1440" w:type="dxa"/>
            <w:tcBorders>
              <w:top w:val="nil"/>
              <w:left w:val="nil"/>
              <w:bottom w:val="nil"/>
              <w:right w:val="nil"/>
            </w:tcBorders>
            <w:shd w:val="clear" w:color="000000" w:fill="EDFFB7"/>
            <w:noWrap/>
            <w:vAlign w:val="center"/>
            <w:hideMark/>
          </w:tcPr>
          <w:p w14:paraId="039297DB" w14:textId="77777777" w:rsidR="0021298F" w:rsidRPr="00956CE7" w:rsidRDefault="0021298F" w:rsidP="00760009">
            <w:pPr>
              <w:jc w:val="right"/>
              <w:rPr>
                <w:rFonts w:ascii="Arial" w:eastAsia="Times New Roman" w:hAnsi="Arial" w:cs="Arial"/>
                <w:color w:val="000000"/>
                <w:lang w:eastAsia="en-GB"/>
              </w:rPr>
            </w:pPr>
            <w:r w:rsidRPr="00956CE7">
              <w:rPr>
                <w:rFonts w:ascii="Arial" w:eastAsia="Times New Roman" w:hAnsi="Arial" w:cs="Arial"/>
                <w:color w:val="000000"/>
                <w:lang w:eastAsia="en-GB"/>
              </w:rPr>
              <w:t>16,201</w:t>
            </w:r>
          </w:p>
        </w:tc>
        <w:tc>
          <w:tcPr>
            <w:tcW w:w="1831" w:type="dxa"/>
            <w:tcBorders>
              <w:top w:val="nil"/>
              <w:left w:val="nil"/>
              <w:bottom w:val="nil"/>
              <w:right w:val="nil"/>
            </w:tcBorders>
            <w:shd w:val="clear" w:color="000000" w:fill="EDFFB7"/>
            <w:noWrap/>
            <w:vAlign w:val="center"/>
            <w:hideMark/>
          </w:tcPr>
          <w:p w14:paraId="29D864FC" w14:textId="77777777" w:rsidR="0021298F" w:rsidRPr="00956CE7" w:rsidRDefault="0021298F" w:rsidP="00760009">
            <w:pPr>
              <w:jc w:val="right"/>
              <w:rPr>
                <w:rFonts w:ascii="Arial" w:eastAsia="Times New Roman" w:hAnsi="Arial" w:cs="Arial"/>
                <w:color w:val="000000"/>
                <w:lang w:eastAsia="en-GB"/>
              </w:rPr>
            </w:pPr>
            <w:r w:rsidRPr="00956CE7">
              <w:rPr>
                <w:rFonts w:ascii="Arial" w:eastAsia="Times New Roman" w:hAnsi="Arial" w:cs="Arial"/>
                <w:color w:val="000000"/>
                <w:lang w:eastAsia="en-GB"/>
              </w:rPr>
              <w:t>48,418</w:t>
            </w:r>
          </w:p>
        </w:tc>
        <w:tc>
          <w:tcPr>
            <w:tcW w:w="1440" w:type="dxa"/>
            <w:tcBorders>
              <w:top w:val="nil"/>
              <w:left w:val="nil"/>
              <w:bottom w:val="nil"/>
              <w:right w:val="nil"/>
            </w:tcBorders>
            <w:shd w:val="clear" w:color="000000" w:fill="EDFFB7"/>
            <w:noWrap/>
            <w:vAlign w:val="center"/>
            <w:hideMark/>
          </w:tcPr>
          <w:p w14:paraId="6DA6D0C7" w14:textId="77777777" w:rsidR="0021298F" w:rsidRPr="00956CE7" w:rsidRDefault="0021298F" w:rsidP="00760009">
            <w:pPr>
              <w:jc w:val="right"/>
              <w:rPr>
                <w:rFonts w:ascii="Arial" w:eastAsia="Times New Roman" w:hAnsi="Arial" w:cs="Arial"/>
                <w:color w:val="000000"/>
                <w:lang w:eastAsia="en-GB"/>
              </w:rPr>
            </w:pPr>
            <w:r w:rsidRPr="00956CE7">
              <w:rPr>
                <w:rFonts w:ascii="Arial" w:eastAsia="Times New Roman" w:hAnsi="Arial" w:cs="Arial"/>
                <w:color w:val="000000"/>
                <w:lang w:eastAsia="en-GB"/>
              </w:rPr>
              <w:t>505,552</w:t>
            </w:r>
          </w:p>
        </w:tc>
        <w:tc>
          <w:tcPr>
            <w:tcW w:w="1440" w:type="dxa"/>
            <w:tcBorders>
              <w:top w:val="nil"/>
              <w:left w:val="nil"/>
              <w:bottom w:val="nil"/>
              <w:right w:val="nil"/>
            </w:tcBorders>
            <w:shd w:val="clear" w:color="000000" w:fill="EDFFB7"/>
            <w:noWrap/>
            <w:vAlign w:val="center"/>
            <w:hideMark/>
          </w:tcPr>
          <w:p w14:paraId="33A442EA" w14:textId="77777777" w:rsidR="0021298F" w:rsidRPr="00956CE7" w:rsidRDefault="0021298F" w:rsidP="00760009">
            <w:pPr>
              <w:jc w:val="right"/>
              <w:rPr>
                <w:rFonts w:ascii="Arial" w:eastAsia="Times New Roman" w:hAnsi="Arial" w:cs="Arial"/>
                <w:b/>
                <w:bCs/>
                <w:color w:val="000000"/>
                <w:lang w:eastAsia="en-GB"/>
              </w:rPr>
            </w:pPr>
            <w:r w:rsidRPr="00956CE7">
              <w:rPr>
                <w:rFonts w:ascii="Arial" w:eastAsia="Times New Roman" w:hAnsi="Arial" w:cs="Arial"/>
                <w:b/>
                <w:bCs/>
                <w:color w:val="000000"/>
                <w:lang w:eastAsia="en-GB"/>
              </w:rPr>
              <w:t>570,171</w:t>
            </w:r>
          </w:p>
        </w:tc>
      </w:tr>
      <w:tr w:rsidR="0021298F" w:rsidRPr="00956CE7" w14:paraId="4E8C9BD0" w14:textId="77777777" w:rsidTr="00760009">
        <w:trPr>
          <w:trHeight w:val="300"/>
        </w:trPr>
        <w:tc>
          <w:tcPr>
            <w:tcW w:w="3261" w:type="dxa"/>
            <w:tcBorders>
              <w:top w:val="nil"/>
              <w:left w:val="nil"/>
              <w:bottom w:val="nil"/>
              <w:right w:val="nil"/>
            </w:tcBorders>
            <w:shd w:val="clear" w:color="000000" w:fill="FFFFFF"/>
            <w:vAlign w:val="center"/>
            <w:hideMark/>
          </w:tcPr>
          <w:p w14:paraId="2570BC9D" w14:textId="77777777" w:rsidR="0021298F" w:rsidRPr="00956CE7" w:rsidRDefault="0021298F" w:rsidP="00760009">
            <w:pPr>
              <w:rPr>
                <w:rFonts w:ascii="Calibri" w:eastAsia="Times New Roman" w:hAnsi="Calibri" w:cs="Calibri"/>
                <w:color w:val="000000"/>
                <w:lang w:eastAsia="en-GB"/>
              </w:rPr>
            </w:pPr>
            <w:r w:rsidRPr="00956CE7">
              <w:rPr>
                <w:rFonts w:ascii="Calibri" w:eastAsia="Times New Roman" w:hAnsi="Calibri" w:cs="Calibri"/>
                <w:color w:val="000000"/>
                <w:lang w:eastAsia="en-GB"/>
              </w:rPr>
              <w:t> </w:t>
            </w:r>
          </w:p>
        </w:tc>
        <w:tc>
          <w:tcPr>
            <w:tcW w:w="1440" w:type="dxa"/>
            <w:tcBorders>
              <w:top w:val="nil"/>
              <w:left w:val="nil"/>
              <w:bottom w:val="nil"/>
              <w:right w:val="nil"/>
            </w:tcBorders>
            <w:shd w:val="clear" w:color="000000" w:fill="EDFFB7"/>
            <w:noWrap/>
            <w:vAlign w:val="center"/>
            <w:hideMark/>
          </w:tcPr>
          <w:p w14:paraId="7100878F" w14:textId="77777777" w:rsidR="0021298F" w:rsidRPr="00956CE7" w:rsidRDefault="0021298F" w:rsidP="00760009">
            <w:pPr>
              <w:jc w:val="right"/>
              <w:rPr>
                <w:rFonts w:ascii="Arial" w:eastAsia="Times New Roman" w:hAnsi="Arial" w:cs="Arial"/>
                <w:color w:val="000000"/>
                <w:lang w:eastAsia="en-GB"/>
              </w:rPr>
            </w:pPr>
            <w:r w:rsidRPr="00956CE7">
              <w:rPr>
                <w:rFonts w:ascii="Arial" w:eastAsia="Times New Roman" w:hAnsi="Arial" w:cs="Arial"/>
                <w:color w:val="000000"/>
                <w:lang w:eastAsia="en-GB"/>
              </w:rPr>
              <w:t> </w:t>
            </w:r>
          </w:p>
        </w:tc>
        <w:tc>
          <w:tcPr>
            <w:tcW w:w="1831" w:type="dxa"/>
            <w:tcBorders>
              <w:top w:val="nil"/>
              <w:left w:val="nil"/>
              <w:bottom w:val="nil"/>
              <w:right w:val="nil"/>
            </w:tcBorders>
            <w:shd w:val="clear" w:color="000000" w:fill="EDFFB7"/>
            <w:noWrap/>
            <w:vAlign w:val="center"/>
            <w:hideMark/>
          </w:tcPr>
          <w:p w14:paraId="3C5D5F74" w14:textId="77777777" w:rsidR="0021298F" w:rsidRPr="00956CE7" w:rsidRDefault="0021298F" w:rsidP="00760009">
            <w:pPr>
              <w:jc w:val="right"/>
              <w:rPr>
                <w:rFonts w:ascii="Arial" w:eastAsia="Times New Roman" w:hAnsi="Arial" w:cs="Arial"/>
                <w:color w:val="000000"/>
                <w:lang w:eastAsia="en-GB"/>
              </w:rPr>
            </w:pPr>
            <w:r w:rsidRPr="00956CE7">
              <w:rPr>
                <w:rFonts w:ascii="Arial" w:eastAsia="Times New Roman" w:hAnsi="Arial" w:cs="Arial"/>
                <w:color w:val="000000"/>
                <w:lang w:eastAsia="en-GB"/>
              </w:rPr>
              <w:t> </w:t>
            </w:r>
          </w:p>
        </w:tc>
        <w:tc>
          <w:tcPr>
            <w:tcW w:w="1440" w:type="dxa"/>
            <w:tcBorders>
              <w:top w:val="nil"/>
              <w:left w:val="nil"/>
              <w:bottom w:val="nil"/>
              <w:right w:val="nil"/>
            </w:tcBorders>
            <w:shd w:val="clear" w:color="000000" w:fill="EDFFB7"/>
            <w:noWrap/>
            <w:vAlign w:val="center"/>
            <w:hideMark/>
          </w:tcPr>
          <w:p w14:paraId="6523AB32" w14:textId="77777777" w:rsidR="0021298F" w:rsidRPr="00956CE7" w:rsidRDefault="0021298F" w:rsidP="00760009">
            <w:pPr>
              <w:jc w:val="right"/>
              <w:rPr>
                <w:rFonts w:ascii="Arial" w:eastAsia="Times New Roman" w:hAnsi="Arial" w:cs="Arial"/>
                <w:color w:val="000000"/>
                <w:lang w:eastAsia="en-GB"/>
              </w:rPr>
            </w:pPr>
            <w:r w:rsidRPr="00956CE7">
              <w:rPr>
                <w:rFonts w:ascii="Arial" w:eastAsia="Times New Roman" w:hAnsi="Arial" w:cs="Arial"/>
                <w:color w:val="000000"/>
                <w:lang w:eastAsia="en-GB"/>
              </w:rPr>
              <w:t> </w:t>
            </w:r>
          </w:p>
        </w:tc>
        <w:tc>
          <w:tcPr>
            <w:tcW w:w="1440" w:type="dxa"/>
            <w:tcBorders>
              <w:top w:val="nil"/>
              <w:left w:val="nil"/>
              <w:bottom w:val="nil"/>
              <w:right w:val="nil"/>
            </w:tcBorders>
            <w:shd w:val="clear" w:color="000000" w:fill="EDFFB7"/>
            <w:noWrap/>
            <w:vAlign w:val="center"/>
            <w:hideMark/>
          </w:tcPr>
          <w:p w14:paraId="246B9700" w14:textId="77777777" w:rsidR="0021298F" w:rsidRPr="00956CE7" w:rsidRDefault="0021298F" w:rsidP="00760009">
            <w:pPr>
              <w:jc w:val="right"/>
              <w:rPr>
                <w:rFonts w:ascii="Arial" w:eastAsia="Times New Roman" w:hAnsi="Arial" w:cs="Arial"/>
                <w:b/>
                <w:bCs/>
                <w:color w:val="000000"/>
                <w:lang w:eastAsia="en-GB"/>
              </w:rPr>
            </w:pPr>
            <w:r w:rsidRPr="00956CE7">
              <w:rPr>
                <w:rFonts w:ascii="Arial" w:eastAsia="Times New Roman" w:hAnsi="Arial" w:cs="Arial"/>
                <w:b/>
                <w:bCs/>
                <w:color w:val="000000"/>
                <w:lang w:eastAsia="en-GB"/>
              </w:rPr>
              <w:t> </w:t>
            </w:r>
          </w:p>
        </w:tc>
      </w:tr>
      <w:tr w:rsidR="0021298F" w:rsidRPr="00956CE7" w14:paraId="1B90AA17" w14:textId="77777777" w:rsidTr="00760009">
        <w:trPr>
          <w:trHeight w:val="300"/>
        </w:trPr>
        <w:tc>
          <w:tcPr>
            <w:tcW w:w="3261" w:type="dxa"/>
            <w:tcBorders>
              <w:top w:val="nil"/>
              <w:left w:val="nil"/>
              <w:bottom w:val="nil"/>
              <w:right w:val="nil"/>
            </w:tcBorders>
            <w:shd w:val="clear" w:color="000000" w:fill="FFFFFF"/>
            <w:vAlign w:val="center"/>
            <w:hideMark/>
          </w:tcPr>
          <w:p w14:paraId="034258FA" w14:textId="77777777" w:rsidR="0021298F" w:rsidRPr="00956CE7" w:rsidRDefault="0021298F" w:rsidP="00760009">
            <w:pPr>
              <w:jc w:val="both"/>
              <w:rPr>
                <w:rFonts w:ascii="Arial" w:eastAsia="Times New Roman" w:hAnsi="Arial" w:cs="Arial"/>
                <w:b/>
                <w:bCs/>
                <w:color w:val="000000"/>
                <w:lang w:eastAsia="en-GB"/>
              </w:rPr>
            </w:pPr>
            <w:r w:rsidRPr="00956CE7">
              <w:rPr>
                <w:rFonts w:ascii="Arial" w:eastAsia="Times New Roman" w:hAnsi="Arial" w:cs="Arial"/>
                <w:b/>
                <w:bCs/>
                <w:color w:val="000000"/>
                <w:lang w:eastAsia="en-GB"/>
              </w:rPr>
              <w:t>Liabilities</w:t>
            </w:r>
          </w:p>
        </w:tc>
        <w:tc>
          <w:tcPr>
            <w:tcW w:w="1440" w:type="dxa"/>
            <w:tcBorders>
              <w:top w:val="nil"/>
              <w:left w:val="nil"/>
              <w:bottom w:val="nil"/>
              <w:right w:val="nil"/>
            </w:tcBorders>
            <w:shd w:val="clear" w:color="000000" w:fill="EDFFB7"/>
            <w:noWrap/>
            <w:vAlign w:val="center"/>
            <w:hideMark/>
          </w:tcPr>
          <w:p w14:paraId="235C1D34" w14:textId="77777777" w:rsidR="0021298F" w:rsidRPr="00956CE7" w:rsidRDefault="0021298F" w:rsidP="00760009">
            <w:pPr>
              <w:jc w:val="right"/>
              <w:rPr>
                <w:rFonts w:ascii="Arial" w:eastAsia="Times New Roman" w:hAnsi="Arial" w:cs="Arial"/>
                <w:color w:val="000000"/>
                <w:lang w:eastAsia="en-GB"/>
              </w:rPr>
            </w:pPr>
            <w:r w:rsidRPr="00956CE7">
              <w:rPr>
                <w:rFonts w:ascii="Arial" w:eastAsia="Times New Roman" w:hAnsi="Arial" w:cs="Arial"/>
                <w:color w:val="000000"/>
                <w:lang w:eastAsia="en-GB"/>
              </w:rPr>
              <w:t> </w:t>
            </w:r>
          </w:p>
        </w:tc>
        <w:tc>
          <w:tcPr>
            <w:tcW w:w="1831" w:type="dxa"/>
            <w:tcBorders>
              <w:top w:val="nil"/>
              <w:left w:val="nil"/>
              <w:bottom w:val="nil"/>
              <w:right w:val="nil"/>
            </w:tcBorders>
            <w:shd w:val="clear" w:color="000000" w:fill="EDFFB7"/>
            <w:noWrap/>
            <w:vAlign w:val="center"/>
            <w:hideMark/>
          </w:tcPr>
          <w:p w14:paraId="1FD91814" w14:textId="77777777" w:rsidR="0021298F" w:rsidRPr="00956CE7" w:rsidRDefault="0021298F" w:rsidP="00760009">
            <w:pPr>
              <w:jc w:val="right"/>
              <w:rPr>
                <w:rFonts w:ascii="Arial" w:eastAsia="Times New Roman" w:hAnsi="Arial" w:cs="Arial"/>
                <w:color w:val="000000"/>
                <w:lang w:eastAsia="en-GB"/>
              </w:rPr>
            </w:pPr>
            <w:r w:rsidRPr="00956CE7">
              <w:rPr>
                <w:rFonts w:ascii="Arial" w:eastAsia="Times New Roman" w:hAnsi="Arial" w:cs="Arial"/>
                <w:color w:val="000000"/>
                <w:lang w:eastAsia="en-GB"/>
              </w:rPr>
              <w:t> </w:t>
            </w:r>
          </w:p>
        </w:tc>
        <w:tc>
          <w:tcPr>
            <w:tcW w:w="1440" w:type="dxa"/>
            <w:tcBorders>
              <w:top w:val="nil"/>
              <w:left w:val="nil"/>
              <w:bottom w:val="nil"/>
              <w:right w:val="nil"/>
            </w:tcBorders>
            <w:shd w:val="clear" w:color="000000" w:fill="EDFFB7"/>
            <w:noWrap/>
            <w:vAlign w:val="center"/>
            <w:hideMark/>
          </w:tcPr>
          <w:p w14:paraId="667D8CFB" w14:textId="77777777" w:rsidR="0021298F" w:rsidRPr="00956CE7" w:rsidRDefault="0021298F" w:rsidP="00760009">
            <w:pPr>
              <w:jc w:val="right"/>
              <w:rPr>
                <w:rFonts w:ascii="Arial" w:eastAsia="Times New Roman" w:hAnsi="Arial" w:cs="Arial"/>
                <w:color w:val="000000"/>
                <w:lang w:eastAsia="en-GB"/>
              </w:rPr>
            </w:pPr>
            <w:r w:rsidRPr="00956CE7">
              <w:rPr>
                <w:rFonts w:ascii="Arial" w:eastAsia="Times New Roman" w:hAnsi="Arial" w:cs="Arial"/>
                <w:color w:val="000000"/>
                <w:lang w:eastAsia="en-GB"/>
              </w:rPr>
              <w:t> </w:t>
            </w:r>
          </w:p>
        </w:tc>
        <w:tc>
          <w:tcPr>
            <w:tcW w:w="1440" w:type="dxa"/>
            <w:tcBorders>
              <w:top w:val="nil"/>
              <w:left w:val="nil"/>
              <w:bottom w:val="nil"/>
              <w:right w:val="nil"/>
            </w:tcBorders>
            <w:shd w:val="clear" w:color="000000" w:fill="EDFFB7"/>
            <w:noWrap/>
            <w:vAlign w:val="center"/>
            <w:hideMark/>
          </w:tcPr>
          <w:p w14:paraId="79967197" w14:textId="77777777" w:rsidR="0021298F" w:rsidRPr="00956CE7" w:rsidRDefault="0021298F" w:rsidP="00760009">
            <w:pPr>
              <w:jc w:val="right"/>
              <w:rPr>
                <w:rFonts w:ascii="Arial" w:eastAsia="Times New Roman" w:hAnsi="Arial" w:cs="Arial"/>
                <w:b/>
                <w:bCs/>
                <w:color w:val="000000"/>
                <w:lang w:eastAsia="en-GB"/>
              </w:rPr>
            </w:pPr>
            <w:r w:rsidRPr="00956CE7">
              <w:rPr>
                <w:rFonts w:ascii="Arial" w:eastAsia="Times New Roman" w:hAnsi="Arial" w:cs="Arial"/>
                <w:b/>
                <w:bCs/>
                <w:color w:val="000000"/>
                <w:lang w:eastAsia="en-GB"/>
              </w:rPr>
              <w:t> </w:t>
            </w:r>
          </w:p>
        </w:tc>
      </w:tr>
      <w:tr w:rsidR="0021298F" w:rsidRPr="00956CE7" w14:paraId="61ABF556" w14:textId="77777777" w:rsidTr="00760009">
        <w:trPr>
          <w:trHeight w:val="300"/>
        </w:trPr>
        <w:tc>
          <w:tcPr>
            <w:tcW w:w="3261" w:type="dxa"/>
            <w:tcBorders>
              <w:top w:val="nil"/>
              <w:left w:val="nil"/>
              <w:bottom w:val="nil"/>
              <w:right w:val="nil"/>
            </w:tcBorders>
            <w:shd w:val="clear" w:color="000000" w:fill="FFFFFF"/>
            <w:vAlign w:val="center"/>
            <w:hideMark/>
          </w:tcPr>
          <w:p w14:paraId="17D9EE21" w14:textId="77777777" w:rsidR="0021298F" w:rsidRPr="00956CE7" w:rsidRDefault="0021298F" w:rsidP="00760009">
            <w:pPr>
              <w:jc w:val="both"/>
              <w:rPr>
                <w:rFonts w:ascii="Arial" w:eastAsia="Times New Roman" w:hAnsi="Arial" w:cs="Arial"/>
                <w:color w:val="000000"/>
                <w:lang w:eastAsia="en-GB"/>
              </w:rPr>
            </w:pPr>
            <w:r w:rsidRPr="00956CE7">
              <w:rPr>
                <w:rFonts w:ascii="Arial" w:eastAsia="Times New Roman" w:hAnsi="Arial" w:cs="Arial"/>
                <w:color w:val="000000"/>
                <w:lang w:eastAsia="en-GB"/>
              </w:rPr>
              <w:t>Other payables (note 12)</w:t>
            </w:r>
          </w:p>
        </w:tc>
        <w:tc>
          <w:tcPr>
            <w:tcW w:w="1440" w:type="dxa"/>
            <w:tcBorders>
              <w:top w:val="nil"/>
              <w:left w:val="nil"/>
              <w:bottom w:val="nil"/>
              <w:right w:val="nil"/>
            </w:tcBorders>
            <w:shd w:val="clear" w:color="000000" w:fill="EDFFB7"/>
            <w:noWrap/>
            <w:vAlign w:val="center"/>
            <w:hideMark/>
          </w:tcPr>
          <w:p w14:paraId="1E911D31" w14:textId="77777777" w:rsidR="0021298F" w:rsidRPr="00956CE7" w:rsidRDefault="0021298F" w:rsidP="00760009">
            <w:pPr>
              <w:jc w:val="right"/>
              <w:rPr>
                <w:rFonts w:ascii="Arial" w:eastAsia="Times New Roman" w:hAnsi="Arial" w:cs="Arial"/>
                <w:color w:val="000000"/>
                <w:lang w:eastAsia="en-GB"/>
              </w:rPr>
            </w:pPr>
            <w:r w:rsidRPr="00956CE7">
              <w:rPr>
                <w:rFonts w:ascii="Arial" w:eastAsia="Times New Roman" w:hAnsi="Arial" w:cs="Arial"/>
                <w:color w:val="000000"/>
                <w:lang w:eastAsia="en-GB"/>
              </w:rPr>
              <w:t>(5,343)</w:t>
            </w:r>
          </w:p>
        </w:tc>
        <w:tc>
          <w:tcPr>
            <w:tcW w:w="1831" w:type="dxa"/>
            <w:tcBorders>
              <w:top w:val="nil"/>
              <w:left w:val="nil"/>
              <w:bottom w:val="nil"/>
              <w:right w:val="nil"/>
            </w:tcBorders>
            <w:shd w:val="clear" w:color="000000" w:fill="EDFFB7"/>
            <w:noWrap/>
            <w:vAlign w:val="center"/>
            <w:hideMark/>
          </w:tcPr>
          <w:p w14:paraId="401992EE" w14:textId="77777777" w:rsidR="0021298F" w:rsidRPr="00956CE7" w:rsidRDefault="0021298F" w:rsidP="00760009">
            <w:pPr>
              <w:jc w:val="right"/>
              <w:rPr>
                <w:rFonts w:ascii="Arial" w:eastAsia="Times New Roman" w:hAnsi="Arial" w:cs="Arial"/>
                <w:color w:val="000000"/>
                <w:lang w:eastAsia="en-GB"/>
              </w:rPr>
            </w:pPr>
            <w:r w:rsidRPr="00956CE7">
              <w:rPr>
                <w:rFonts w:ascii="Arial" w:eastAsia="Times New Roman" w:hAnsi="Arial" w:cs="Arial"/>
                <w:color w:val="000000"/>
                <w:lang w:eastAsia="en-GB"/>
              </w:rPr>
              <w:t>-</w:t>
            </w:r>
          </w:p>
        </w:tc>
        <w:tc>
          <w:tcPr>
            <w:tcW w:w="1440" w:type="dxa"/>
            <w:tcBorders>
              <w:top w:val="nil"/>
              <w:left w:val="nil"/>
              <w:bottom w:val="nil"/>
              <w:right w:val="nil"/>
            </w:tcBorders>
            <w:shd w:val="clear" w:color="000000" w:fill="EDFFB7"/>
            <w:noWrap/>
            <w:vAlign w:val="center"/>
            <w:hideMark/>
          </w:tcPr>
          <w:p w14:paraId="30267BCB" w14:textId="77777777" w:rsidR="0021298F" w:rsidRPr="00956CE7" w:rsidRDefault="0021298F" w:rsidP="00760009">
            <w:pPr>
              <w:jc w:val="right"/>
              <w:rPr>
                <w:rFonts w:ascii="Arial" w:eastAsia="Times New Roman" w:hAnsi="Arial" w:cs="Arial"/>
                <w:color w:val="000000"/>
                <w:lang w:eastAsia="en-GB"/>
              </w:rPr>
            </w:pPr>
            <w:r w:rsidRPr="00956CE7">
              <w:rPr>
                <w:rFonts w:ascii="Arial" w:eastAsia="Times New Roman" w:hAnsi="Arial" w:cs="Arial"/>
                <w:color w:val="000000"/>
                <w:lang w:eastAsia="en-GB"/>
              </w:rPr>
              <w:t>-</w:t>
            </w:r>
          </w:p>
        </w:tc>
        <w:tc>
          <w:tcPr>
            <w:tcW w:w="1440" w:type="dxa"/>
            <w:tcBorders>
              <w:top w:val="nil"/>
              <w:left w:val="nil"/>
              <w:bottom w:val="nil"/>
              <w:right w:val="nil"/>
            </w:tcBorders>
            <w:shd w:val="clear" w:color="000000" w:fill="EDFFB7"/>
            <w:noWrap/>
            <w:vAlign w:val="center"/>
            <w:hideMark/>
          </w:tcPr>
          <w:p w14:paraId="4F67F196" w14:textId="77777777" w:rsidR="0021298F" w:rsidRPr="00956CE7" w:rsidRDefault="0021298F" w:rsidP="00760009">
            <w:pPr>
              <w:jc w:val="right"/>
              <w:rPr>
                <w:rFonts w:ascii="Arial" w:eastAsia="Times New Roman" w:hAnsi="Arial" w:cs="Arial"/>
                <w:b/>
                <w:bCs/>
                <w:color w:val="000000"/>
                <w:lang w:eastAsia="en-GB"/>
              </w:rPr>
            </w:pPr>
            <w:r w:rsidRPr="00956CE7">
              <w:rPr>
                <w:rFonts w:ascii="Arial" w:eastAsia="Times New Roman" w:hAnsi="Arial" w:cs="Arial"/>
                <w:b/>
                <w:bCs/>
                <w:color w:val="000000"/>
                <w:lang w:eastAsia="en-GB"/>
              </w:rPr>
              <w:t xml:space="preserve"> (5,343)</w:t>
            </w:r>
          </w:p>
        </w:tc>
      </w:tr>
      <w:tr w:rsidR="0021298F" w:rsidRPr="00956CE7" w14:paraId="087E82CA" w14:textId="77777777" w:rsidTr="00760009">
        <w:trPr>
          <w:trHeight w:val="300"/>
        </w:trPr>
        <w:tc>
          <w:tcPr>
            <w:tcW w:w="3261" w:type="dxa"/>
            <w:tcBorders>
              <w:top w:val="nil"/>
              <w:left w:val="nil"/>
              <w:bottom w:val="single" w:sz="4" w:space="0" w:color="auto"/>
              <w:right w:val="nil"/>
            </w:tcBorders>
            <w:shd w:val="clear" w:color="000000" w:fill="FFFFFF"/>
            <w:vAlign w:val="center"/>
            <w:hideMark/>
          </w:tcPr>
          <w:p w14:paraId="1CEFC906" w14:textId="77777777" w:rsidR="0021298F" w:rsidRPr="00956CE7" w:rsidRDefault="0021298F" w:rsidP="00760009">
            <w:pPr>
              <w:jc w:val="both"/>
              <w:rPr>
                <w:rFonts w:ascii="Arial" w:eastAsia="Times New Roman" w:hAnsi="Arial" w:cs="Arial"/>
                <w:color w:val="000000"/>
                <w:lang w:eastAsia="en-GB"/>
              </w:rPr>
            </w:pPr>
            <w:r w:rsidRPr="00956CE7">
              <w:rPr>
                <w:rFonts w:ascii="Arial" w:eastAsia="Times New Roman" w:hAnsi="Arial" w:cs="Arial"/>
                <w:color w:val="000000"/>
                <w:lang w:eastAsia="en-GB"/>
              </w:rPr>
              <w:t>Loan and borrowings</w:t>
            </w:r>
          </w:p>
        </w:tc>
        <w:tc>
          <w:tcPr>
            <w:tcW w:w="1440" w:type="dxa"/>
            <w:tcBorders>
              <w:top w:val="nil"/>
              <w:left w:val="nil"/>
              <w:bottom w:val="single" w:sz="4" w:space="0" w:color="auto"/>
              <w:right w:val="nil"/>
            </w:tcBorders>
            <w:shd w:val="clear" w:color="000000" w:fill="EDFFB7"/>
            <w:noWrap/>
            <w:vAlign w:val="center"/>
            <w:hideMark/>
          </w:tcPr>
          <w:p w14:paraId="35FFAA6C" w14:textId="77777777" w:rsidR="0021298F" w:rsidRPr="00956CE7" w:rsidRDefault="0021298F" w:rsidP="00760009">
            <w:pPr>
              <w:jc w:val="right"/>
              <w:rPr>
                <w:rFonts w:ascii="Arial" w:eastAsia="Times New Roman" w:hAnsi="Arial" w:cs="Arial"/>
                <w:color w:val="000000"/>
                <w:lang w:eastAsia="en-GB"/>
              </w:rPr>
            </w:pPr>
            <w:r w:rsidRPr="00956CE7">
              <w:rPr>
                <w:rFonts w:ascii="Arial" w:eastAsia="Times New Roman" w:hAnsi="Arial" w:cs="Arial"/>
                <w:color w:val="000000"/>
                <w:lang w:eastAsia="en-GB"/>
              </w:rPr>
              <w:t xml:space="preserve"> (3,2</w:t>
            </w:r>
            <w:r>
              <w:rPr>
                <w:rFonts w:ascii="Arial" w:eastAsia="Times New Roman" w:hAnsi="Arial" w:cs="Arial"/>
                <w:color w:val="000000"/>
                <w:lang w:eastAsia="en-GB"/>
              </w:rPr>
              <w:t>95</w:t>
            </w:r>
            <w:r w:rsidRPr="00956CE7">
              <w:rPr>
                <w:rFonts w:ascii="Arial" w:eastAsia="Times New Roman" w:hAnsi="Arial" w:cs="Arial"/>
                <w:color w:val="000000"/>
                <w:lang w:eastAsia="en-GB"/>
              </w:rPr>
              <w:t>)</w:t>
            </w:r>
          </w:p>
        </w:tc>
        <w:tc>
          <w:tcPr>
            <w:tcW w:w="1831" w:type="dxa"/>
            <w:tcBorders>
              <w:top w:val="nil"/>
              <w:left w:val="nil"/>
              <w:bottom w:val="single" w:sz="4" w:space="0" w:color="auto"/>
              <w:right w:val="nil"/>
            </w:tcBorders>
            <w:shd w:val="clear" w:color="000000" w:fill="EDFFB7"/>
            <w:noWrap/>
            <w:vAlign w:val="center"/>
            <w:hideMark/>
          </w:tcPr>
          <w:p w14:paraId="2C39B067" w14:textId="77777777" w:rsidR="0021298F" w:rsidRPr="00956CE7" w:rsidRDefault="0021298F" w:rsidP="00760009">
            <w:pPr>
              <w:jc w:val="right"/>
              <w:rPr>
                <w:rFonts w:ascii="Arial" w:eastAsia="Times New Roman" w:hAnsi="Arial" w:cs="Arial"/>
                <w:color w:val="000000"/>
                <w:lang w:eastAsia="en-GB"/>
              </w:rPr>
            </w:pPr>
            <w:r w:rsidRPr="00956CE7">
              <w:rPr>
                <w:rFonts w:ascii="Arial" w:eastAsia="Times New Roman" w:hAnsi="Arial" w:cs="Arial"/>
                <w:color w:val="000000"/>
                <w:lang w:eastAsia="en-GB"/>
              </w:rPr>
              <w:t xml:space="preserve"> (2</w:t>
            </w:r>
            <w:r>
              <w:rPr>
                <w:rFonts w:ascii="Arial" w:eastAsia="Times New Roman" w:hAnsi="Arial" w:cs="Arial"/>
                <w:color w:val="000000"/>
                <w:lang w:eastAsia="en-GB"/>
              </w:rPr>
              <w:t>26,922</w:t>
            </w:r>
            <w:r w:rsidRPr="00956CE7">
              <w:rPr>
                <w:rFonts w:ascii="Arial" w:eastAsia="Times New Roman" w:hAnsi="Arial" w:cs="Arial"/>
                <w:color w:val="000000"/>
                <w:lang w:eastAsia="en-GB"/>
              </w:rPr>
              <w:t>)</w:t>
            </w:r>
          </w:p>
        </w:tc>
        <w:tc>
          <w:tcPr>
            <w:tcW w:w="1440" w:type="dxa"/>
            <w:tcBorders>
              <w:top w:val="nil"/>
              <w:left w:val="nil"/>
              <w:bottom w:val="single" w:sz="4" w:space="0" w:color="auto"/>
              <w:right w:val="nil"/>
            </w:tcBorders>
            <w:shd w:val="clear" w:color="000000" w:fill="EDFFB7"/>
            <w:noWrap/>
            <w:vAlign w:val="center"/>
            <w:hideMark/>
          </w:tcPr>
          <w:p w14:paraId="3C31179D" w14:textId="77777777" w:rsidR="0021298F" w:rsidRPr="00956CE7" w:rsidRDefault="0021298F" w:rsidP="00760009">
            <w:pPr>
              <w:jc w:val="right"/>
              <w:rPr>
                <w:rFonts w:ascii="Arial" w:eastAsia="Times New Roman" w:hAnsi="Arial" w:cs="Arial"/>
                <w:color w:val="000000"/>
                <w:lang w:eastAsia="en-GB"/>
              </w:rPr>
            </w:pPr>
            <w:r w:rsidRPr="00956CE7">
              <w:rPr>
                <w:rFonts w:ascii="Arial" w:eastAsia="Times New Roman" w:hAnsi="Arial" w:cs="Arial"/>
                <w:color w:val="000000"/>
                <w:lang w:eastAsia="en-GB"/>
              </w:rPr>
              <w:t>-</w:t>
            </w:r>
          </w:p>
        </w:tc>
        <w:tc>
          <w:tcPr>
            <w:tcW w:w="1440" w:type="dxa"/>
            <w:tcBorders>
              <w:top w:val="nil"/>
              <w:left w:val="nil"/>
              <w:bottom w:val="single" w:sz="4" w:space="0" w:color="auto"/>
              <w:right w:val="nil"/>
            </w:tcBorders>
            <w:shd w:val="clear" w:color="000000" w:fill="EDFFB7"/>
            <w:noWrap/>
            <w:vAlign w:val="center"/>
            <w:hideMark/>
          </w:tcPr>
          <w:p w14:paraId="4263C4B7" w14:textId="77777777" w:rsidR="0021298F" w:rsidRPr="00956CE7" w:rsidRDefault="0021298F" w:rsidP="00760009">
            <w:pPr>
              <w:jc w:val="right"/>
              <w:rPr>
                <w:rFonts w:ascii="Arial" w:eastAsia="Times New Roman" w:hAnsi="Arial" w:cs="Arial"/>
                <w:b/>
                <w:bCs/>
                <w:color w:val="000000"/>
                <w:lang w:eastAsia="en-GB"/>
              </w:rPr>
            </w:pPr>
            <w:r w:rsidRPr="00956CE7">
              <w:rPr>
                <w:rFonts w:ascii="Arial" w:eastAsia="Times New Roman" w:hAnsi="Arial" w:cs="Arial"/>
                <w:b/>
                <w:bCs/>
                <w:color w:val="000000"/>
                <w:lang w:eastAsia="en-GB"/>
              </w:rPr>
              <w:t xml:space="preserve"> (</w:t>
            </w:r>
            <w:r>
              <w:rPr>
                <w:rFonts w:ascii="Arial" w:eastAsia="Times New Roman" w:hAnsi="Arial" w:cs="Arial"/>
                <w:b/>
                <w:bCs/>
                <w:color w:val="000000"/>
                <w:lang w:eastAsia="en-GB"/>
              </w:rPr>
              <w:t>230,217</w:t>
            </w:r>
            <w:r w:rsidRPr="00956CE7">
              <w:rPr>
                <w:rFonts w:ascii="Arial" w:eastAsia="Times New Roman" w:hAnsi="Arial" w:cs="Arial"/>
                <w:b/>
                <w:bCs/>
                <w:color w:val="000000"/>
                <w:lang w:eastAsia="en-GB"/>
              </w:rPr>
              <w:t>)</w:t>
            </w:r>
          </w:p>
        </w:tc>
      </w:tr>
      <w:tr w:rsidR="0021298F" w:rsidRPr="00956CE7" w14:paraId="713455E0" w14:textId="77777777" w:rsidTr="00760009">
        <w:trPr>
          <w:trHeight w:val="300"/>
        </w:trPr>
        <w:tc>
          <w:tcPr>
            <w:tcW w:w="3261" w:type="dxa"/>
            <w:tcBorders>
              <w:top w:val="nil"/>
              <w:left w:val="nil"/>
              <w:bottom w:val="single" w:sz="8" w:space="0" w:color="auto"/>
              <w:right w:val="nil"/>
            </w:tcBorders>
            <w:shd w:val="clear" w:color="000000" w:fill="FFFFFF"/>
            <w:vAlign w:val="center"/>
            <w:hideMark/>
          </w:tcPr>
          <w:p w14:paraId="786C3ED8" w14:textId="77777777" w:rsidR="0021298F" w:rsidRPr="00956CE7" w:rsidRDefault="0021298F" w:rsidP="00760009">
            <w:pPr>
              <w:jc w:val="both"/>
              <w:rPr>
                <w:rFonts w:ascii="Arial" w:eastAsia="Times New Roman" w:hAnsi="Arial" w:cs="Arial"/>
                <w:b/>
                <w:bCs/>
                <w:color w:val="000000"/>
                <w:lang w:eastAsia="en-GB"/>
              </w:rPr>
            </w:pPr>
            <w:r w:rsidRPr="00956CE7">
              <w:rPr>
                <w:rFonts w:ascii="Arial" w:eastAsia="Times New Roman" w:hAnsi="Arial" w:cs="Arial"/>
                <w:b/>
                <w:bCs/>
                <w:color w:val="000000"/>
                <w:lang w:eastAsia="en-GB"/>
              </w:rPr>
              <w:t> </w:t>
            </w:r>
          </w:p>
        </w:tc>
        <w:tc>
          <w:tcPr>
            <w:tcW w:w="1440" w:type="dxa"/>
            <w:tcBorders>
              <w:top w:val="nil"/>
              <w:left w:val="nil"/>
              <w:bottom w:val="single" w:sz="8" w:space="0" w:color="auto"/>
              <w:right w:val="nil"/>
            </w:tcBorders>
            <w:shd w:val="clear" w:color="000000" w:fill="EDFFB7"/>
            <w:noWrap/>
            <w:vAlign w:val="center"/>
            <w:hideMark/>
          </w:tcPr>
          <w:p w14:paraId="6BB3DEE6" w14:textId="77777777" w:rsidR="0021298F" w:rsidRPr="00956CE7" w:rsidRDefault="0021298F" w:rsidP="00760009">
            <w:pPr>
              <w:jc w:val="right"/>
              <w:rPr>
                <w:rFonts w:ascii="Arial" w:eastAsia="Times New Roman" w:hAnsi="Arial" w:cs="Arial"/>
                <w:b/>
                <w:bCs/>
                <w:color w:val="000000"/>
                <w:lang w:eastAsia="en-GB"/>
              </w:rPr>
            </w:pPr>
            <w:r w:rsidRPr="00956CE7">
              <w:rPr>
                <w:rFonts w:ascii="Arial" w:eastAsia="Times New Roman" w:hAnsi="Arial" w:cs="Arial"/>
                <w:b/>
                <w:bCs/>
                <w:color w:val="000000"/>
                <w:lang w:eastAsia="en-GB"/>
              </w:rPr>
              <w:t>28,</w:t>
            </w:r>
            <w:r>
              <w:rPr>
                <w:rFonts w:ascii="Arial" w:eastAsia="Times New Roman" w:hAnsi="Arial" w:cs="Arial"/>
                <w:b/>
                <w:bCs/>
                <w:color w:val="000000"/>
                <w:lang w:eastAsia="en-GB"/>
              </w:rPr>
              <w:t>175</w:t>
            </w:r>
            <w:r w:rsidRPr="00956CE7">
              <w:rPr>
                <w:rFonts w:ascii="Arial" w:eastAsia="Times New Roman" w:hAnsi="Arial" w:cs="Arial"/>
                <w:b/>
                <w:bCs/>
                <w:color w:val="000000"/>
                <w:lang w:eastAsia="en-GB"/>
              </w:rPr>
              <w:t xml:space="preserve"> </w:t>
            </w:r>
          </w:p>
        </w:tc>
        <w:tc>
          <w:tcPr>
            <w:tcW w:w="1831" w:type="dxa"/>
            <w:tcBorders>
              <w:top w:val="nil"/>
              <w:left w:val="nil"/>
              <w:bottom w:val="single" w:sz="8" w:space="0" w:color="auto"/>
              <w:right w:val="nil"/>
            </w:tcBorders>
            <w:shd w:val="clear" w:color="000000" w:fill="EDFFB7"/>
            <w:noWrap/>
            <w:vAlign w:val="center"/>
            <w:hideMark/>
          </w:tcPr>
          <w:p w14:paraId="6E7B1643" w14:textId="77777777" w:rsidR="0021298F" w:rsidRPr="00956CE7" w:rsidRDefault="0021298F" w:rsidP="00760009">
            <w:pPr>
              <w:jc w:val="right"/>
              <w:rPr>
                <w:rFonts w:ascii="Arial" w:eastAsia="Times New Roman" w:hAnsi="Arial" w:cs="Arial"/>
                <w:b/>
                <w:bCs/>
                <w:color w:val="000000"/>
                <w:lang w:eastAsia="en-GB"/>
              </w:rPr>
            </w:pPr>
            <w:r w:rsidRPr="00956CE7">
              <w:rPr>
                <w:rFonts w:ascii="Arial" w:eastAsia="Times New Roman" w:hAnsi="Arial" w:cs="Arial"/>
                <w:b/>
                <w:bCs/>
                <w:color w:val="000000"/>
                <w:lang w:eastAsia="en-GB"/>
              </w:rPr>
              <w:t xml:space="preserve"> (</w:t>
            </w:r>
            <w:r>
              <w:rPr>
                <w:rFonts w:ascii="Arial" w:eastAsia="Times New Roman" w:hAnsi="Arial" w:cs="Arial"/>
                <w:b/>
                <w:bCs/>
                <w:color w:val="000000"/>
                <w:lang w:eastAsia="en-GB"/>
              </w:rPr>
              <w:t>178,504</w:t>
            </w:r>
            <w:r w:rsidRPr="00956CE7">
              <w:rPr>
                <w:rFonts w:ascii="Arial" w:eastAsia="Times New Roman" w:hAnsi="Arial" w:cs="Arial"/>
                <w:b/>
                <w:bCs/>
                <w:color w:val="000000"/>
                <w:lang w:eastAsia="en-GB"/>
              </w:rPr>
              <w:t>)</w:t>
            </w:r>
          </w:p>
        </w:tc>
        <w:tc>
          <w:tcPr>
            <w:tcW w:w="1440" w:type="dxa"/>
            <w:tcBorders>
              <w:top w:val="nil"/>
              <w:left w:val="nil"/>
              <w:bottom w:val="single" w:sz="8" w:space="0" w:color="auto"/>
              <w:right w:val="nil"/>
            </w:tcBorders>
            <w:shd w:val="clear" w:color="000000" w:fill="EDFFB7"/>
            <w:noWrap/>
            <w:vAlign w:val="center"/>
            <w:hideMark/>
          </w:tcPr>
          <w:p w14:paraId="0311FA29" w14:textId="77777777" w:rsidR="0021298F" w:rsidRPr="00956CE7" w:rsidRDefault="0021298F" w:rsidP="00760009">
            <w:pPr>
              <w:jc w:val="right"/>
              <w:rPr>
                <w:rFonts w:ascii="Arial" w:eastAsia="Times New Roman" w:hAnsi="Arial" w:cs="Arial"/>
                <w:b/>
                <w:bCs/>
                <w:color w:val="000000"/>
                <w:lang w:eastAsia="en-GB"/>
              </w:rPr>
            </w:pPr>
            <w:r w:rsidRPr="00956CE7">
              <w:rPr>
                <w:rFonts w:ascii="Arial" w:eastAsia="Times New Roman" w:hAnsi="Arial" w:cs="Arial"/>
                <w:b/>
                <w:bCs/>
                <w:color w:val="000000"/>
                <w:lang w:eastAsia="en-GB"/>
              </w:rPr>
              <w:t xml:space="preserve">505,552 </w:t>
            </w:r>
          </w:p>
        </w:tc>
        <w:tc>
          <w:tcPr>
            <w:tcW w:w="1440" w:type="dxa"/>
            <w:tcBorders>
              <w:top w:val="nil"/>
              <w:left w:val="nil"/>
              <w:bottom w:val="single" w:sz="8" w:space="0" w:color="auto"/>
              <w:right w:val="nil"/>
            </w:tcBorders>
            <w:shd w:val="clear" w:color="000000" w:fill="EDFFB7"/>
            <w:noWrap/>
            <w:vAlign w:val="center"/>
            <w:hideMark/>
          </w:tcPr>
          <w:p w14:paraId="63B6A712" w14:textId="77777777" w:rsidR="0021298F" w:rsidRPr="00956CE7" w:rsidRDefault="0021298F" w:rsidP="00760009">
            <w:pPr>
              <w:jc w:val="right"/>
              <w:rPr>
                <w:rFonts w:ascii="Arial" w:eastAsia="Times New Roman" w:hAnsi="Arial" w:cs="Arial"/>
                <w:b/>
                <w:bCs/>
                <w:color w:val="000000"/>
                <w:lang w:eastAsia="en-GB"/>
              </w:rPr>
            </w:pPr>
            <w:r>
              <w:rPr>
                <w:rFonts w:ascii="Arial" w:eastAsia="Times New Roman" w:hAnsi="Arial" w:cs="Arial"/>
                <w:b/>
                <w:bCs/>
                <w:color w:val="000000"/>
                <w:lang w:eastAsia="en-GB"/>
              </w:rPr>
              <w:t>355,223</w:t>
            </w:r>
          </w:p>
        </w:tc>
      </w:tr>
    </w:tbl>
    <w:p w14:paraId="7FCF5846" w14:textId="77777777" w:rsidR="0021298F" w:rsidRDefault="0021298F" w:rsidP="0021298F">
      <w:pPr>
        <w:jc w:val="both"/>
        <w:rPr>
          <w:rFonts w:ascii="Arial" w:hAnsi="Arial" w:cs="Arial"/>
        </w:rPr>
      </w:pPr>
    </w:p>
    <w:tbl>
      <w:tblPr>
        <w:tblW w:w="8960" w:type="dxa"/>
        <w:tblLook w:val="04A0" w:firstRow="1" w:lastRow="0" w:firstColumn="1" w:lastColumn="0" w:noHBand="0" w:noVBand="1"/>
      </w:tblPr>
      <w:tblGrid>
        <w:gridCol w:w="3200"/>
        <w:gridCol w:w="1440"/>
        <w:gridCol w:w="1440"/>
        <w:gridCol w:w="1440"/>
        <w:gridCol w:w="1440"/>
      </w:tblGrid>
      <w:tr w:rsidR="0021298F" w:rsidRPr="00956CE7" w14:paraId="703ED9DA" w14:textId="77777777" w:rsidTr="00760009">
        <w:trPr>
          <w:trHeight w:val="300"/>
        </w:trPr>
        <w:tc>
          <w:tcPr>
            <w:tcW w:w="3200" w:type="dxa"/>
            <w:tcBorders>
              <w:top w:val="nil"/>
              <w:left w:val="nil"/>
              <w:bottom w:val="nil"/>
              <w:right w:val="nil"/>
            </w:tcBorders>
            <w:shd w:val="clear" w:color="000000" w:fill="FFFFFF"/>
            <w:vAlign w:val="center"/>
            <w:hideMark/>
          </w:tcPr>
          <w:p w14:paraId="507A76D5" w14:textId="77777777" w:rsidR="0021298F" w:rsidRPr="00956CE7" w:rsidRDefault="0021298F" w:rsidP="00760009">
            <w:pPr>
              <w:rPr>
                <w:rFonts w:ascii="Arial" w:eastAsia="Times New Roman" w:hAnsi="Arial" w:cs="Arial"/>
                <w:b/>
                <w:bCs/>
                <w:color w:val="000000"/>
                <w:lang w:eastAsia="en-GB"/>
              </w:rPr>
            </w:pPr>
            <w:r w:rsidRPr="00956CE7">
              <w:rPr>
                <w:rFonts w:ascii="Arial" w:eastAsia="Times New Roman" w:hAnsi="Arial" w:cs="Arial"/>
                <w:b/>
                <w:bCs/>
                <w:color w:val="000000"/>
                <w:lang w:eastAsia="en-GB"/>
              </w:rPr>
              <w:t>Group - 31 December 2019</w:t>
            </w:r>
          </w:p>
        </w:tc>
        <w:tc>
          <w:tcPr>
            <w:tcW w:w="1440" w:type="dxa"/>
            <w:vMerge w:val="restart"/>
            <w:tcBorders>
              <w:top w:val="nil"/>
              <w:left w:val="nil"/>
              <w:bottom w:val="nil"/>
              <w:right w:val="nil"/>
            </w:tcBorders>
            <w:shd w:val="clear" w:color="000000" w:fill="FFFFFF"/>
            <w:vAlign w:val="bottom"/>
            <w:hideMark/>
          </w:tcPr>
          <w:p w14:paraId="052D9788" w14:textId="77777777" w:rsidR="0021298F" w:rsidRPr="00956CE7" w:rsidRDefault="0021298F" w:rsidP="00760009">
            <w:pPr>
              <w:jc w:val="right"/>
              <w:rPr>
                <w:rFonts w:ascii="Arial" w:eastAsia="Times New Roman" w:hAnsi="Arial" w:cs="Arial"/>
                <w:b/>
                <w:bCs/>
                <w:color w:val="000000"/>
                <w:lang w:eastAsia="en-GB"/>
              </w:rPr>
            </w:pPr>
            <w:r w:rsidRPr="00956CE7">
              <w:rPr>
                <w:rFonts w:ascii="Arial" w:eastAsia="Times New Roman" w:hAnsi="Arial" w:cs="Arial"/>
                <w:b/>
                <w:bCs/>
                <w:color w:val="000000"/>
                <w:lang w:eastAsia="en-GB"/>
              </w:rPr>
              <w:t>Less than 1 year</w:t>
            </w:r>
          </w:p>
        </w:tc>
        <w:tc>
          <w:tcPr>
            <w:tcW w:w="1440" w:type="dxa"/>
            <w:vMerge w:val="restart"/>
            <w:tcBorders>
              <w:top w:val="nil"/>
              <w:left w:val="nil"/>
              <w:bottom w:val="nil"/>
              <w:right w:val="nil"/>
            </w:tcBorders>
            <w:shd w:val="clear" w:color="000000" w:fill="FFFFFF"/>
            <w:vAlign w:val="bottom"/>
            <w:hideMark/>
          </w:tcPr>
          <w:p w14:paraId="411B0131" w14:textId="77777777" w:rsidR="0021298F" w:rsidRPr="00956CE7" w:rsidRDefault="0021298F" w:rsidP="00760009">
            <w:pPr>
              <w:jc w:val="right"/>
              <w:rPr>
                <w:rFonts w:ascii="Arial" w:eastAsia="Times New Roman" w:hAnsi="Arial" w:cs="Arial"/>
                <w:b/>
                <w:bCs/>
                <w:color w:val="000000"/>
                <w:lang w:eastAsia="en-GB"/>
              </w:rPr>
            </w:pPr>
            <w:r w:rsidRPr="00956CE7">
              <w:rPr>
                <w:rFonts w:ascii="Arial" w:eastAsia="Times New Roman" w:hAnsi="Arial" w:cs="Arial"/>
                <w:b/>
                <w:bCs/>
                <w:color w:val="000000"/>
                <w:lang w:eastAsia="en-GB"/>
              </w:rPr>
              <w:t>1 - 5 years</w:t>
            </w:r>
          </w:p>
        </w:tc>
        <w:tc>
          <w:tcPr>
            <w:tcW w:w="1440" w:type="dxa"/>
            <w:vMerge w:val="restart"/>
            <w:tcBorders>
              <w:top w:val="nil"/>
              <w:left w:val="nil"/>
              <w:bottom w:val="nil"/>
              <w:right w:val="nil"/>
            </w:tcBorders>
            <w:shd w:val="clear" w:color="000000" w:fill="FFFFFF"/>
            <w:vAlign w:val="bottom"/>
            <w:hideMark/>
          </w:tcPr>
          <w:p w14:paraId="440984E6" w14:textId="77777777" w:rsidR="0021298F" w:rsidRPr="00956CE7" w:rsidRDefault="0021298F" w:rsidP="00760009">
            <w:pPr>
              <w:jc w:val="right"/>
              <w:rPr>
                <w:rFonts w:ascii="Arial" w:eastAsia="Times New Roman" w:hAnsi="Arial" w:cs="Arial"/>
                <w:b/>
                <w:bCs/>
                <w:color w:val="000000"/>
                <w:lang w:eastAsia="en-GB"/>
              </w:rPr>
            </w:pPr>
            <w:r w:rsidRPr="00956CE7">
              <w:rPr>
                <w:rFonts w:ascii="Arial" w:eastAsia="Times New Roman" w:hAnsi="Arial" w:cs="Arial"/>
                <w:b/>
                <w:bCs/>
                <w:color w:val="000000"/>
                <w:lang w:eastAsia="en-GB"/>
              </w:rPr>
              <w:t>5+ years</w:t>
            </w:r>
          </w:p>
        </w:tc>
        <w:tc>
          <w:tcPr>
            <w:tcW w:w="1440" w:type="dxa"/>
            <w:vMerge w:val="restart"/>
            <w:tcBorders>
              <w:top w:val="nil"/>
              <w:left w:val="nil"/>
              <w:bottom w:val="nil"/>
              <w:right w:val="nil"/>
            </w:tcBorders>
            <w:shd w:val="clear" w:color="000000" w:fill="FFFFFF"/>
            <w:vAlign w:val="bottom"/>
            <w:hideMark/>
          </w:tcPr>
          <w:p w14:paraId="3C3C4C10" w14:textId="77777777" w:rsidR="0021298F" w:rsidRPr="00956CE7" w:rsidRDefault="0021298F" w:rsidP="00760009">
            <w:pPr>
              <w:jc w:val="right"/>
              <w:rPr>
                <w:rFonts w:ascii="Arial" w:eastAsia="Times New Roman" w:hAnsi="Arial" w:cs="Arial"/>
                <w:b/>
                <w:bCs/>
                <w:color w:val="000000"/>
                <w:lang w:eastAsia="en-GB"/>
              </w:rPr>
            </w:pPr>
            <w:r w:rsidRPr="00956CE7">
              <w:rPr>
                <w:rFonts w:ascii="Arial" w:eastAsia="Times New Roman" w:hAnsi="Arial" w:cs="Arial"/>
                <w:b/>
                <w:bCs/>
                <w:color w:val="000000"/>
                <w:lang w:eastAsia="en-GB"/>
              </w:rPr>
              <w:t>Total</w:t>
            </w:r>
          </w:p>
        </w:tc>
      </w:tr>
      <w:tr w:rsidR="0021298F" w:rsidRPr="00956CE7" w14:paraId="6980D695" w14:textId="77777777" w:rsidTr="00760009">
        <w:trPr>
          <w:trHeight w:val="300"/>
        </w:trPr>
        <w:tc>
          <w:tcPr>
            <w:tcW w:w="3200" w:type="dxa"/>
            <w:tcBorders>
              <w:top w:val="nil"/>
              <w:left w:val="nil"/>
              <w:bottom w:val="nil"/>
              <w:right w:val="nil"/>
            </w:tcBorders>
            <w:shd w:val="clear" w:color="000000" w:fill="FFFFFF"/>
            <w:vAlign w:val="center"/>
            <w:hideMark/>
          </w:tcPr>
          <w:p w14:paraId="36386A72" w14:textId="77777777" w:rsidR="0021298F" w:rsidRPr="00956CE7" w:rsidRDefault="0021298F" w:rsidP="00760009">
            <w:pPr>
              <w:rPr>
                <w:rFonts w:ascii="Arial" w:eastAsia="Times New Roman" w:hAnsi="Arial" w:cs="Arial"/>
                <w:b/>
                <w:bCs/>
                <w:color w:val="000000"/>
                <w:lang w:eastAsia="en-GB"/>
              </w:rPr>
            </w:pPr>
            <w:r w:rsidRPr="00956CE7">
              <w:rPr>
                <w:rFonts w:ascii="Arial" w:eastAsia="Times New Roman" w:hAnsi="Arial" w:cs="Arial"/>
                <w:b/>
                <w:bCs/>
                <w:color w:val="000000"/>
                <w:lang w:eastAsia="en-GB"/>
              </w:rPr>
              <w:t> </w:t>
            </w:r>
          </w:p>
        </w:tc>
        <w:tc>
          <w:tcPr>
            <w:tcW w:w="1440" w:type="dxa"/>
            <w:vMerge/>
            <w:tcBorders>
              <w:top w:val="nil"/>
              <w:left w:val="nil"/>
              <w:bottom w:val="nil"/>
              <w:right w:val="nil"/>
            </w:tcBorders>
            <w:vAlign w:val="center"/>
            <w:hideMark/>
          </w:tcPr>
          <w:p w14:paraId="2D5860C5" w14:textId="77777777" w:rsidR="0021298F" w:rsidRPr="00956CE7" w:rsidRDefault="0021298F" w:rsidP="00760009">
            <w:pPr>
              <w:rPr>
                <w:rFonts w:ascii="Arial" w:eastAsia="Times New Roman" w:hAnsi="Arial" w:cs="Arial"/>
                <w:b/>
                <w:bCs/>
                <w:color w:val="000000"/>
                <w:lang w:eastAsia="en-GB"/>
              </w:rPr>
            </w:pPr>
          </w:p>
        </w:tc>
        <w:tc>
          <w:tcPr>
            <w:tcW w:w="1440" w:type="dxa"/>
            <w:vMerge/>
            <w:tcBorders>
              <w:top w:val="nil"/>
              <w:left w:val="nil"/>
              <w:bottom w:val="nil"/>
              <w:right w:val="nil"/>
            </w:tcBorders>
            <w:vAlign w:val="center"/>
            <w:hideMark/>
          </w:tcPr>
          <w:p w14:paraId="328538BD" w14:textId="77777777" w:rsidR="0021298F" w:rsidRPr="00956CE7" w:rsidRDefault="0021298F" w:rsidP="00760009">
            <w:pPr>
              <w:rPr>
                <w:rFonts w:ascii="Arial" w:eastAsia="Times New Roman" w:hAnsi="Arial" w:cs="Arial"/>
                <w:b/>
                <w:bCs/>
                <w:color w:val="000000"/>
                <w:lang w:eastAsia="en-GB"/>
              </w:rPr>
            </w:pPr>
          </w:p>
        </w:tc>
        <w:tc>
          <w:tcPr>
            <w:tcW w:w="1440" w:type="dxa"/>
            <w:vMerge/>
            <w:tcBorders>
              <w:top w:val="nil"/>
              <w:left w:val="nil"/>
              <w:bottom w:val="nil"/>
              <w:right w:val="nil"/>
            </w:tcBorders>
            <w:vAlign w:val="center"/>
            <w:hideMark/>
          </w:tcPr>
          <w:p w14:paraId="3BDE75F7" w14:textId="77777777" w:rsidR="0021298F" w:rsidRPr="00956CE7" w:rsidRDefault="0021298F" w:rsidP="00760009">
            <w:pPr>
              <w:rPr>
                <w:rFonts w:ascii="Arial" w:eastAsia="Times New Roman" w:hAnsi="Arial" w:cs="Arial"/>
                <w:b/>
                <w:bCs/>
                <w:color w:val="000000"/>
                <w:lang w:eastAsia="en-GB"/>
              </w:rPr>
            </w:pPr>
          </w:p>
        </w:tc>
        <w:tc>
          <w:tcPr>
            <w:tcW w:w="1440" w:type="dxa"/>
            <w:vMerge/>
            <w:tcBorders>
              <w:top w:val="nil"/>
              <w:left w:val="nil"/>
              <w:bottom w:val="nil"/>
              <w:right w:val="nil"/>
            </w:tcBorders>
            <w:vAlign w:val="center"/>
            <w:hideMark/>
          </w:tcPr>
          <w:p w14:paraId="60604D42" w14:textId="77777777" w:rsidR="0021298F" w:rsidRPr="00956CE7" w:rsidRDefault="0021298F" w:rsidP="00760009">
            <w:pPr>
              <w:rPr>
                <w:rFonts w:ascii="Arial" w:eastAsia="Times New Roman" w:hAnsi="Arial" w:cs="Arial"/>
                <w:b/>
                <w:bCs/>
                <w:color w:val="000000"/>
                <w:lang w:eastAsia="en-GB"/>
              </w:rPr>
            </w:pPr>
          </w:p>
        </w:tc>
      </w:tr>
      <w:tr w:rsidR="0021298F" w:rsidRPr="00956CE7" w14:paraId="6EE1F425" w14:textId="77777777" w:rsidTr="00760009">
        <w:trPr>
          <w:trHeight w:val="300"/>
        </w:trPr>
        <w:tc>
          <w:tcPr>
            <w:tcW w:w="3200" w:type="dxa"/>
            <w:tcBorders>
              <w:top w:val="nil"/>
              <w:left w:val="nil"/>
              <w:bottom w:val="single" w:sz="4" w:space="0" w:color="auto"/>
              <w:right w:val="nil"/>
            </w:tcBorders>
            <w:shd w:val="clear" w:color="000000" w:fill="FFFFFF"/>
            <w:vAlign w:val="center"/>
            <w:hideMark/>
          </w:tcPr>
          <w:p w14:paraId="0EB50AC4" w14:textId="77777777" w:rsidR="0021298F" w:rsidRPr="00956CE7" w:rsidRDefault="0021298F" w:rsidP="00760009">
            <w:pPr>
              <w:jc w:val="both"/>
              <w:rPr>
                <w:rFonts w:ascii="Arial" w:eastAsia="Times New Roman" w:hAnsi="Arial" w:cs="Arial"/>
                <w:color w:val="000000"/>
                <w:lang w:eastAsia="en-GB"/>
              </w:rPr>
            </w:pPr>
            <w:r w:rsidRPr="00956CE7">
              <w:rPr>
                <w:rFonts w:ascii="Arial" w:eastAsia="Times New Roman" w:hAnsi="Arial" w:cs="Arial"/>
                <w:color w:val="000000"/>
                <w:lang w:eastAsia="en-GB"/>
              </w:rPr>
              <w:t> </w:t>
            </w:r>
          </w:p>
        </w:tc>
        <w:tc>
          <w:tcPr>
            <w:tcW w:w="1440" w:type="dxa"/>
            <w:tcBorders>
              <w:top w:val="nil"/>
              <w:left w:val="nil"/>
              <w:bottom w:val="single" w:sz="4" w:space="0" w:color="auto"/>
              <w:right w:val="nil"/>
            </w:tcBorders>
            <w:shd w:val="clear" w:color="000000" w:fill="FFFFFF"/>
            <w:noWrap/>
            <w:vAlign w:val="center"/>
            <w:hideMark/>
          </w:tcPr>
          <w:p w14:paraId="526AC59D" w14:textId="77777777" w:rsidR="0021298F" w:rsidRPr="00956CE7" w:rsidRDefault="0021298F" w:rsidP="00760009">
            <w:pPr>
              <w:jc w:val="right"/>
              <w:rPr>
                <w:rFonts w:ascii="Arial" w:eastAsia="Times New Roman" w:hAnsi="Arial" w:cs="Arial"/>
                <w:b/>
                <w:bCs/>
                <w:color w:val="000000"/>
                <w:lang w:eastAsia="en-GB"/>
              </w:rPr>
            </w:pPr>
            <w:r w:rsidRPr="00956CE7">
              <w:rPr>
                <w:rFonts w:ascii="Arial" w:eastAsia="Times New Roman" w:hAnsi="Arial" w:cs="Arial"/>
                <w:b/>
                <w:bCs/>
                <w:color w:val="000000"/>
                <w:lang w:eastAsia="en-GB"/>
              </w:rPr>
              <w:t>€’000</w:t>
            </w:r>
          </w:p>
        </w:tc>
        <w:tc>
          <w:tcPr>
            <w:tcW w:w="1440" w:type="dxa"/>
            <w:tcBorders>
              <w:top w:val="nil"/>
              <w:left w:val="nil"/>
              <w:bottom w:val="single" w:sz="4" w:space="0" w:color="auto"/>
              <w:right w:val="nil"/>
            </w:tcBorders>
            <w:shd w:val="clear" w:color="000000" w:fill="FFFFFF"/>
            <w:noWrap/>
            <w:vAlign w:val="center"/>
            <w:hideMark/>
          </w:tcPr>
          <w:p w14:paraId="652BEBA7" w14:textId="77777777" w:rsidR="0021298F" w:rsidRPr="00956CE7" w:rsidRDefault="0021298F" w:rsidP="00760009">
            <w:pPr>
              <w:jc w:val="right"/>
              <w:rPr>
                <w:rFonts w:ascii="Arial" w:eastAsia="Times New Roman" w:hAnsi="Arial" w:cs="Arial"/>
                <w:b/>
                <w:bCs/>
                <w:color w:val="000000"/>
                <w:lang w:eastAsia="en-GB"/>
              </w:rPr>
            </w:pPr>
            <w:r w:rsidRPr="00956CE7">
              <w:rPr>
                <w:rFonts w:ascii="Arial" w:eastAsia="Times New Roman" w:hAnsi="Arial" w:cs="Arial"/>
                <w:b/>
                <w:bCs/>
                <w:color w:val="000000"/>
                <w:lang w:eastAsia="en-GB"/>
              </w:rPr>
              <w:t>€’000</w:t>
            </w:r>
          </w:p>
        </w:tc>
        <w:tc>
          <w:tcPr>
            <w:tcW w:w="1440" w:type="dxa"/>
            <w:tcBorders>
              <w:top w:val="nil"/>
              <w:left w:val="nil"/>
              <w:bottom w:val="single" w:sz="4" w:space="0" w:color="auto"/>
              <w:right w:val="nil"/>
            </w:tcBorders>
            <w:shd w:val="clear" w:color="000000" w:fill="FFFFFF"/>
            <w:noWrap/>
            <w:vAlign w:val="center"/>
            <w:hideMark/>
          </w:tcPr>
          <w:p w14:paraId="60FC5AC7" w14:textId="77777777" w:rsidR="0021298F" w:rsidRPr="00956CE7" w:rsidRDefault="0021298F" w:rsidP="00760009">
            <w:pPr>
              <w:jc w:val="right"/>
              <w:rPr>
                <w:rFonts w:ascii="Arial" w:eastAsia="Times New Roman" w:hAnsi="Arial" w:cs="Arial"/>
                <w:b/>
                <w:bCs/>
                <w:color w:val="000000"/>
                <w:lang w:eastAsia="en-GB"/>
              </w:rPr>
            </w:pPr>
            <w:r w:rsidRPr="00956CE7">
              <w:rPr>
                <w:rFonts w:ascii="Arial" w:eastAsia="Times New Roman" w:hAnsi="Arial" w:cs="Arial"/>
                <w:b/>
                <w:bCs/>
                <w:color w:val="000000"/>
                <w:lang w:eastAsia="en-GB"/>
              </w:rPr>
              <w:t>€’000</w:t>
            </w:r>
          </w:p>
        </w:tc>
        <w:tc>
          <w:tcPr>
            <w:tcW w:w="1440" w:type="dxa"/>
            <w:tcBorders>
              <w:top w:val="nil"/>
              <w:left w:val="nil"/>
              <w:bottom w:val="single" w:sz="4" w:space="0" w:color="auto"/>
              <w:right w:val="nil"/>
            </w:tcBorders>
            <w:shd w:val="clear" w:color="000000" w:fill="FFFFFF"/>
            <w:noWrap/>
            <w:vAlign w:val="center"/>
            <w:hideMark/>
          </w:tcPr>
          <w:p w14:paraId="4C3380D3" w14:textId="77777777" w:rsidR="0021298F" w:rsidRPr="00956CE7" w:rsidRDefault="0021298F" w:rsidP="00760009">
            <w:pPr>
              <w:jc w:val="right"/>
              <w:rPr>
                <w:rFonts w:ascii="Arial" w:eastAsia="Times New Roman" w:hAnsi="Arial" w:cs="Arial"/>
                <w:b/>
                <w:bCs/>
                <w:color w:val="000000"/>
                <w:lang w:eastAsia="en-GB"/>
              </w:rPr>
            </w:pPr>
            <w:r w:rsidRPr="00956CE7">
              <w:rPr>
                <w:rFonts w:ascii="Arial" w:eastAsia="Times New Roman" w:hAnsi="Arial" w:cs="Arial"/>
                <w:b/>
                <w:bCs/>
                <w:color w:val="000000"/>
                <w:lang w:eastAsia="en-GB"/>
              </w:rPr>
              <w:t>€’000</w:t>
            </w:r>
          </w:p>
        </w:tc>
      </w:tr>
      <w:tr w:rsidR="0021298F" w:rsidRPr="00956CE7" w14:paraId="3BD98ACC" w14:textId="77777777" w:rsidTr="00760009">
        <w:trPr>
          <w:trHeight w:val="300"/>
        </w:trPr>
        <w:tc>
          <w:tcPr>
            <w:tcW w:w="3200" w:type="dxa"/>
            <w:tcBorders>
              <w:top w:val="nil"/>
              <w:left w:val="nil"/>
              <w:bottom w:val="nil"/>
              <w:right w:val="nil"/>
            </w:tcBorders>
            <w:shd w:val="clear" w:color="000000" w:fill="FFFFFF"/>
            <w:vAlign w:val="center"/>
            <w:hideMark/>
          </w:tcPr>
          <w:p w14:paraId="6D6012F2" w14:textId="77777777" w:rsidR="0021298F" w:rsidRPr="00956CE7" w:rsidRDefault="0021298F" w:rsidP="00760009">
            <w:pPr>
              <w:jc w:val="both"/>
              <w:rPr>
                <w:rFonts w:ascii="Arial" w:eastAsia="Times New Roman" w:hAnsi="Arial" w:cs="Arial"/>
                <w:b/>
                <w:bCs/>
                <w:color w:val="000000"/>
                <w:lang w:eastAsia="en-GB"/>
              </w:rPr>
            </w:pPr>
            <w:r w:rsidRPr="00956CE7">
              <w:rPr>
                <w:rFonts w:ascii="Arial" w:eastAsia="Times New Roman" w:hAnsi="Arial" w:cs="Arial"/>
                <w:b/>
                <w:bCs/>
                <w:color w:val="000000"/>
                <w:lang w:eastAsia="en-GB"/>
              </w:rPr>
              <w:t>Assets</w:t>
            </w:r>
          </w:p>
        </w:tc>
        <w:tc>
          <w:tcPr>
            <w:tcW w:w="1440" w:type="dxa"/>
            <w:tcBorders>
              <w:top w:val="nil"/>
              <w:left w:val="nil"/>
              <w:bottom w:val="nil"/>
              <w:right w:val="nil"/>
            </w:tcBorders>
            <w:shd w:val="clear" w:color="000000" w:fill="FFFFFF"/>
            <w:noWrap/>
            <w:vAlign w:val="center"/>
            <w:hideMark/>
          </w:tcPr>
          <w:p w14:paraId="19C3B026" w14:textId="77777777" w:rsidR="0021298F" w:rsidRPr="00956CE7" w:rsidRDefault="0021298F" w:rsidP="00760009">
            <w:pPr>
              <w:jc w:val="right"/>
              <w:rPr>
                <w:rFonts w:ascii="Arial" w:eastAsia="Times New Roman" w:hAnsi="Arial" w:cs="Arial"/>
                <w:b/>
                <w:bCs/>
                <w:color w:val="000000"/>
                <w:lang w:eastAsia="en-GB"/>
              </w:rPr>
            </w:pPr>
            <w:r w:rsidRPr="00956CE7">
              <w:rPr>
                <w:rFonts w:ascii="Arial" w:eastAsia="Times New Roman" w:hAnsi="Arial" w:cs="Arial"/>
                <w:b/>
                <w:bCs/>
                <w:color w:val="000000"/>
                <w:lang w:eastAsia="en-GB"/>
              </w:rPr>
              <w:t> </w:t>
            </w:r>
          </w:p>
        </w:tc>
        <w:tc>
          <w:tcPr>
            <w:tcW w:w="1440" w:type="dxa"/>
            <w:tcBorders>
              <w:top w:val="nil"/>
              <w:left w:val="nil"/>
              <w:bottom w:val="nil"/>
              <w:right w:val="nil"/>
            </w:tcBorders>
            <w:shd w:val="clear" w:color="000000" w:fill="FFFFFF"/>
            <w:noWrap/>
            <w:vAlign w:val="center"/>
            <w:hideMark/>
          </w:tcPr>
          <w:p w14:paraId="03495A61" w14:textId="77777777" w:rsidR="0021298F" w:rsidRPr="00956CE7" w:rsidRDefault="0021298F" w:rsidP="00760009">
            <w:pPr>
              <w:jc w:val="right"/>
              <w:rPr>
                <w:rFonts w:ascii="Arial" w:eastAsia="Times New Roman" w:hAnsi="Arial" w:cs="Arial"/>
                <w:b/>
                <w:bCs/>
                <w:color w:val="000000"/>
                <w:lang w:eastAsia="en-GB"/>
              </w:rPr>
            </w:pPr>
            <w:r w:rsidRPr="00956CE7">
              <w:rPr>
                <w:rFonts w:ascii="Arial" w:eastAsia="Times New Roman" w:hAnsi="Arial" w:cs="Arial"/>
                <w:b/>
                <w:bCs/>
                <w:color w:val="000000"/>
                <w:lang w:eastAsia="en-GB"/>
              </w:rPr>
              <w:t> </w:t>
            </w:r>
          </w:p>
        </w:tc>
        <w:tc>
          <w:tcPr>
            <w:tcW w:w="1440" w:type="dxa"/>
            <w:tcBorders>
              <w:top w:val="nil"/>
              <w:left w:val="nil"/>
              <w:bottom w:val="nil"/>
              <w:right w:val="nil"/>
            </w:tcBorders>
            <w:shd w:val="clear" w:color="000000" w:fill="FFFFFF"/>
            <w:noWrap/>
            <w:vAlign w:val="center"/>
            <w:hideMark/>
          </w:tcPr>
          <w:p w14:paraId="301CF409" w14:textId="77777777" w:rsidR="0021298F" w:rsidRPr="00956CE7" w:rsidRDefault="0021298F" w:rsidP="00760009">
            <w:pPr>
              <w:jc w:val="right"/>
              <w:rPr>
                <w:rFonts w:ascii="Arial" w:eastAsia="Times New Roman" w:hAnsi="Arial" w:cs="Arial"/>
                <w:b/>
                <w:bCs/>
                <w:color w:val="000000"/>
                <w:lang w:eastAsia="en-GB"/>
              </w:rPr>
            </w:pPr>
            <w:r w:rsidRPr="00956CE7">
              <w:rPr>
                <w:rFonts w:ascii="Arial" w:eastAsia="Times New Roman" w:hAnsi="Arial" w:cs="Arial"/>
                <w:b/>
                <w:bCs/>
                <w:color w:val="000000"/>
                <w:lang w:eastAsia="en-GB"/>
              </w:rPr>
              <w:t> </w:t>
            </w:r>
          </w:p>
        </w:tc>
        <w:tc>
          <w:tcPr>
            <w:tcW w:w="1440" w:type="dxa"/>
            <w:tcBorders>
              <w:top w:val="nil"/>
              <w:left w:val="nil"/>
              <w:bottom w:val="nil"/>
              <w:right w:val="nil"/>
            </w:tcBorders>
            <w:shd w:val="clear" w:color="000000" w:fill="FFFFFF"/>
            <w:noWrap/>
            <w:vAlign w:val="center"/>
            <w:hideMark/>
          </w:tcPr>
          <w:p w14:paraId="61CACAF9" w14:textId="77777777" w:rsidR="0021298F" w:rsidRPr="00956CE7" w:rsidRDefault="0021298F" w:rsidP="00760009">
            <w:pPr>
              <w:jc w:val="right"/>
              <w:rPr>
                <w:rFonts w:ascii="Arial" w:eastAsia="Times New Roman" w:hAnsi="Arial" w:cs="Arial"/>
                <w:b/>
                <w:bCs/>
                <w:color w:val="000000"/>
                <w:lang w:eastAsia="en-GB"/>
              </w:rPr>
            </w:pPr>
            <w:r w:rsidRPr="00956CE7">
              <w:rPr>
                <w:rFonts w:ascii="Arial" w:eastAsia="Times New Roman" w:hAnsi="Arial" w:cs="Arial"/>
                <w:b/>
                <w:bCs/>
                <w:color w:val="000000"/>
                <w:lang w:eastAsia="en-GB"/>
              </w:rPr>
              <w:t> </w:t>
            </w:r>
          </w:p>
        </w:tc>
      </w:tr>
      <w:tr w:rsidR="0021298F" w:rsidRPr="00956CE7" w14:paraId="1BEC7895" w14:textId="77777777" w:rsidTr="00760009">
        <w:trPr>
          <w:trHeight w:val="300"/>
        </w:trPr>
        <w:tc>
          <w:tcPr>
            <w:tcW w:w="3200" w:type="dxa"/>
            <w:tcBorders>
              <w:top w:val="nil"/>
              <w:left w:val="nil"/>
              <w:bottom w:val="nil"/>
              <w:right w:val="nil"/>
            </w:tcBorders>
            <w:shd w:val="clear" w:color="000000" w:fill="FFFFFF"/>
            <w:vAlign w:val="center"/>
            <w:hideMark/>
          </w:tcPr>
          <w:p w14:paraId="23AE93DF" w14:textId="77777777" w:rsidR="0021298F" w:rsidRPr="00956CE7" w:rsidRDefault="0021298F" w:rsidP="00760009">
            <w:pPr>
              <w:jc w:val="both"/>
              <w:rPr>
                <w:rFonts w:ascii="Arial" w:eastAsia="Times New Roman" w:hAnsi="Arial" w:cs="Arial"/>
                <w:color w:val="000000"/>
                <w:lang w:eastAsia="en-GB"/>
              </w:rPr>
            </w:pPr>
            <w:r w:rsidRPr="00956CE7">
              <w:rPr>
                <w:rFonts w:ascii="Arial" w:eastAsia="Times New Roman" w:hAnsi="Arial" w:cs="Arial"/>
                <w:color w:val="000000"/>
                <w:lang w:eastAsia="en-GB"/>
              </w:rPr>
              <w:t>Other receivables (note 11)</w:t>
            </w:r>
          </w:p>
        </w:tc>
        <w:tc>
          <w:tcPr>
            <w:tcW w:w="1440" w:type="dxa"/>
            <w:tcBorders>
              <w:top w:val="nil"/>
              <w:left w:val="nil"/>
              <w:bottom w:val="nil"/>
              <w:right w:val="nil"/>
            </w:tcBorders>
            <w:shd w:val="clear" w:color="000000" w:fill="FFFFFF"/>
            <w:noWrap/>
            <w:vAlign w:val="center"/>
            <w:hideMark/>
          </w:tcPr>
          <w:p w14:paraId="7B6B8ABB" w14:textId="77777777" w:rsidR="0021298F" w:rsidRPr="00956CE7" w:rsidRDefault="0021298F" w:rsidP="00760009">
            <w:pPr>
              <w:jc w:val="right"/>
              <w:rPr>
                <w:rFonts w:ascii="Arial" w:eastAsia="Times New Roman" w:hAnsi="Arial" w:cs="Arial"/>
                <w:color w:val="000000"/>
                <w:lang w:eastAsia="en-GB"/>
              </w:rPr>
            </w:pPr>
            <w:r w:rsidRPr="00956CE7">
              <w:rPr>
                <w:rFonts w:ascii="Arial" w:eastAsia="Times New Roman" w:hAnsi="Arial" w:cs="Arial"/>
                <w:color w:val="000000"/>
                <w:lang w:eastAsia="en-GB"/>
              </w:rPr>
              <w:t>3,266</w:t>
            </w:r>
          </w:p>
        </w:tc>
        <w:tc>
          <w:tcPr>
            <w:tcW w:w="1440" w:type="dxa"/>
            <w:tcBorders>
              <w:top w:val="nil"/>
              <w:left w:val="nil"/>
              <w:bottom w:val="nil"/>
              <w:right w:val="nil"/>
            </w:tcBorders>
            <w:shd w:val="clear" w:color="000000" w:fill="FFFFFF"/>
            <w:noWrap/>
            <w:vAlign w:val="center"/>
            <w:hideMark/>
          </w:tcPr>
          <w:p w14:paraId="67B61507" w14:textId="77777777" w:rsidR="0021298F" w:rsidRPr="00956CE7" w:rsidRDefault="0021298F" w:rsidP="00760009">
            <w:pPr>
              <w:jc w:val="right"/>
              <w:rPr>
                <w:rFonts w:ascii="Arial" w:eastAsia="Times New Roman" w:hAnsi="Arial" w:cs="Arial"/>
                <w:color w:val="000000"/>
                <w:lang w:eastAsia="en-GB"/>
              </w:rPr>
            </w:pPr>
            <w:r w:rsidRPr="00956CE7">
              <w:rPr>
                <w:rFonts w:ascii="Arial" w:eastAsia="Times New Roman" w:hAnsi="Arial" w:cs="Arial"/>
                <w:color w:val="000000"/>
                <w:lang w:eastAsia="en-GB"/>
              </w:rPr>
              <w:t>-</w:t>
            </w:r>
          </w:p>
        </w:tc>
        <w:tc>
          <w:tcPr>
            <w:tcW w:w="1440" w:type="dxa"/>
            <w:tcBorders>
              <w:top w:val="nil"/>
              <w:left w:val="nil"/>
              <w:bottom w:val="nil"/>
              <w:right w:val="nil"/>
            </w:tcBorders>
            <w:shd w:val="clear" w:color="000000" w:fill="FFFFFF"/>
            <w:noWrap/>
            <w:vAlign w:val="center"/>
            <w:hideMark/>
          </w:tcPr>
          <w:p w14:paraId="4F51995D" w14:textId="77777777" w:rsidR="0021298F" w:rsidRPr="00956CE7" w:rsidRDefault="0021298F" w:rsidP="00760009">
            <w:pPr>
              <w:jc w:val="right"/>
              <w:rPr>
                <w:rFonts w:ascii="Arial" w:eastAsia="Times New Roman" w:hAnsi="Arial" w:cs="Arial"/>
                <w:color w:val="000000"/>
                <w:lang w:eastAsia="en-GB"/>
              </w:rPr>
            </w:pPr>
            <w:r w:rsidRPr="00956CE7">
              <w:rPr>
                <w:rFonts w:ascii="Arial" w:eastAsia="Times New Roman" w:hAnsi="Arial" w:cs="Arial"/>
                <w:color w:val="000000"/>
                <w:lang w:eastAsia="en-GB"/>
              </w:rPr>
              <w:t>-</w:t>
            </w:r>
          </w:p>
        </w:tc>
        <w:tc>
          <w:tcPr>
            <w:tcW w:w="1440" w:type="dxa"/>
            <w:tcBorders>
              <w:top w:val="nil"/>
              <w:left w:val="nil"/>
              <w:bottom w:val="nil"/>
              <w:right w:val="nil"/>
            </w:tcBorders>
            <w:shd w:val="clear" w:color="000000" w:fill="FFFFFF"/>
            <w:noWrap/>
            <w:vAlign w:val="center"/>
            <w:hideMark/>
          </w:tcPr>
          <w:p w14:paraId="08756D3D" w14:textId="77777777" w:rsidR="0021298F" w:rsidRPr="00956CE7" w:rsidRDefault="0021298F" w:rsidP="00760009">
            <w:pPr>
              <w:jc w:val="right"/>
              <w:rPr>
                <w:rFonts w:ascii="Arial" w:eastAsia="Times New Roman" w:hAnsi="Arial" w:cs="Arial"/>
                <w:b/>
                <w:bCs/>
                <w:color w:val="000000"/>
                <w:lang w:eastAsia="en-GB"/>
              </w:rPr>
            </w:pPr>
            <w:r w:rsidRPr="00956CE7">
              <w:rPr>
                <w:rFonts w:ascii="Arial" w:eastAsia="Times New Roman" w:hAnsi="Arial" w:cs="Arial"/>
                <w:b/>
                <w:bCs/>
                <w:color w:val="000000"/>
                <w:lang w:eastAsia="en-GB"/>
              </w:rPr>
              <w:t>3,266</w:t>
            </w:r>
          </w:p>
        </w:tc>
      </w:tr>
      <w:tr w:rsidR="0021298F" w:rsidRPr="00956CE7" w14:paraId="60B7E87B" w14:textId="77777777" w:rsidTr="00760009">
        <w:trPr>
          <w:trHeight w:val="300"/>
        </w:trPr>
        <w:tc>
          <w:tcPr>
            <w:tcW w:w="3200" w:type="dxa"/>
            <w:tcBorders>
              <w:top w:val="nil"/>
              <w:left w:val="nil"/>
              <w:bottom w:val="nil"/>
              <w:right w:val="nil"/>
            </w:tcBorders>
            <w:shd w:val="clear" w:color="000000" w:fill="FFFFFF"/>
            <w:vAlign w:val="center"/>
            <w:hideMark/>
          </w:tcPr>
          <w:p w14:paraId="59DAA12D" w14:textId="77777777" w:rsidR="0021298F" w:rsidRPr="00956CE7" w:rsidRDefault="0021298F" w:rsidP="00760009">
            <w:pPr>
              <w:jc w:val="both"/>
              <w:rPr>
                <w:rFonts w:ascii="Arial" w:eastAsia="Times New Roman" w:hAnsi="Arial" w:cs="Arial"/>
                <w:color w:val="000000"/>
                <w:lang w:eastAsia="en-GB"/>
              </w:rPr>
            </w:pPr>
            <w:r w:rsidRPr="00956CE7">
              <w:rPr>
                <w:rFonts w:ascii="Arial" w:eastAsia="Times New Roman" w:hAnsi="Arial" w:cs="Arial"/>
                <w:color w:val="000000"/>
                <w:lang w:eastAsia="en-GB"/>
              </w:rPr>
              <w:t>Cash at bank</w:t>
            </w:r>
          </w:p>
        </w:tc>
        <w:tc>
          <w:tcPr>
            <w:tcW w:w="1440" w:type="dxa"/>
            <w:tcBorders>
              <w:top w:val="nil"/>
              <w:left w:val="nil"/>
              <w:bottom w:val="nil"/>
              <w:right w:val="nil"/>
            </w:tcBorders>
            <w:shd w:val="clear" w:color="000000" w:fill="FFFFFF"/>
            <w:noWrap/>
            <w:vAlign w:val="center"/>
            <w:hideMark/>
          </w:tcPr>
          <w:p w14:paraId="33662C44" w14:textId="77777777" w:rsidR="0021298F" w:rsidRPr="00956CE7" w:rsidRDefault="0021298F" w:rsidP="00760009">
            <w:pPr>
              <w:jc w:val="right"/>
              <w:rPr>
                <w:rFonts w:ascii="Arial" w:eastAsia="Times New Roman" w:hAnsi="Arial" w:cs="Arial"/>
                <w:color w:val="000000"/>
                <w:lang w:eastAsia="en-GB"/>
              </w:rPr>
            </w:pPr>
            <w:r w:rsidRPr="00956CE7">
              <w:rPr>
                <w:rFonts w:ascii="Arial" w:eastAsia="Times New Roman" w:hAnsi="Arial" w:cs="Arial"/>
                <w:color w:val="000000"/>
                <w:lang w:eastAsia="en-GB"/>
              </w:rPr>
              <w:t>6,020</w:t>
            </w:r>
          </w:p>
        </w:tc>
        <w:tc>
          <w:tcPr>
            <w:tcW w:w="1440" w:type="dxa"/>
            <w:tcBorders>
              <w:top w:val="nil"/>
              <w:left w:val="nil"/>
              <w:bottom w:val="nil"/>
              <w:right w:val="nil"/>
            </w:tcBorders>
            <w:shd w:val="clear" w:color="000000" w:fill="FFFFFF"/>
            <w:noWrap/>
            <w:vAlign w:val="center"/>
            <w:hideMark/>
          </w:tcPr>
          <w:p w14:paraId="71BCFC46" w14:textId="77777777" w:rsidR="0021298F" w:rsidRPr="00956CE7" w:rsidRDefault="0021298F" w:rsidP="00760009">
            <w:pPr>
              <w:jc w:val="right"/>
              <w:rPr>
                <w:rFonts w:ascii="Arial" w:eastAsia="Times New Roman" w:hAnsi="Arial" w:cs="Arial"/>
                <w:color w:val="000000"/>
                <w:lang w:eastAsia="en-GB"/>
              </w:rPr>
            </w:pPr>
            <w:r w:rsidRPr="00956CE7">
              <w:rPr>
                <w:rFonts w:ascii="Arial" w:eastAsia="Times New Roman" w:hAnsi="Arial" w:cs="Arial"/>
                <w:color w:val="000000"/>
                <w:lang w:eastAsia="en-GB"/>
              </w:rPr>
              <w:t>-</w:t>
            </w:r>
          </w:p>
        </w:tc>
        <w:tc>
          <w:tcPr>
            <w:tcW w:w="1440" w:type="dxa"/>
            <w:tcBorders>
              <w:top w:val="nil"/>
              <w:left w:val="nil"/>
              <w:bottom w:val="nil"/>
              <w:right w:val="nil"/>
            </w:tcBorders>
            <w:shd w:val="clear" w:color="000000" w:fill="FFFFFF"/>
            <w:noWrap/>
            <w:vAlign w:val="center"/>
            <w:hideMark/>
          </w:tcPr>
          <w:p w14:paraId="7A2705E2" w14:textId="77777777" w:rsidR="0021298F" w:rsidRPr="00956CE7" w:rsidRDefault="0021298F" w:rsidP="00760009">
            <w:pPr>
              <w:jc w:val="right"/>
              <w:rPr>
                <w:rFonts w:ascii="Arial" w:eastAsia="Times New Roman" w:hAnsi="Arial" w:cs="Arial"/>
                <w:color w:val="000000"/>
                <w:lang w:eastAsia="en-GB"/>
              </w:rPr>
            </w:pPr>
            <w:r w:rsidRPr="00956CE7">
              <w:rPr>
                <w:rFonts w:ascii="Arial" w:eastAsia="Times New Roman" w:hAnsi="Arial" w:cs="Arial"/>
                <w:color w:val="000000"/>
                <w:lang w:eastAsia="en-GB"/>
              </w:rPr>
              <w:t>-</w:t>
            </w:r>
          </w:p>
        </w:tc>
        <w:tc>
          <w:tcPr>
            <w:tcW w:w="1440" w:type="dxa"/>
            <w:tcBorders>
              <w:top w:val="nil"/>
              <w:left w:val="nil"/>
              <w:bottom w:val="nil"/>
              <w:right w:val="nil"/>
            </w:tcBorders>
            <w:shd w:val="clear" w:color="000000" w:fill="FFFFFF"/>
            <w:noWrap/>
            <w:vAlign w:val="center"/>
            <w:hideMark/>
          </w:tcPr>
          <w:p w14:paraId="4619A411" w14:textId="77777777" w:rsidR="0021298F" w:rsidRPr="00956CE7" w:rsidRDefault="0021298F" w:rsidP="00760009">
            <w:pPr>
              <w:jc w:val="right"/>
              <w:rPr>
                <w:rFonts w:ascii="Arial" w:eastAsia="Times New Roman" w:hAnsi="Arial" w:cs="Arial"/>
                <w:b/>
                <w:bCs/>
                <w:color w:val="000000"/>
                <w:lang w:eastAsia="en-GB"/>
              </w:rPr>
            </w:pPr>
            <w:r w:rsidRPr="00956CE7">
              <w:rPr>
                <w:rFonts w:ascii="Arial" w:eastAsia="Times New Roman" w:hAnsi="Arial" w:cs="Arial"/>
                <w:b/>
                <w:bCs/>
                <w:color w:val="000000"/>
                <w:lang w:eastAsia="en-GB"/>
              </w:rPr>
              <w:t>6,020</w:t>
            </w:r>
          </w:p>
        </w:tc>
      </w:tr>
      <w:tr w:rsidR="0021298F" w:rsidRPr="00956CE7" w14:paraId="2C0A0E7F" w14:textId="77777777" w:rsidTr="00760009">
        <w:trPr>
          <w:trHeight w:val="300"/>
        </w:trPr>
        <w:tc>
          <w:tcPr>
            <w:tcW w:w="3200" w:type="dxa"/>
            <w:tcBorders>
              <w:top w:val="nil"/>
              <w:left w:val="nil"/>
              <w:bottom w:val="nil"/>
              <w:right w:val="nil"/>
            </w:tcBorders>
            <w:shd w:val="clear" w:color="000000" w:fill="FFFFFF"/>
            <w:vAlign w:val="center"/>
            <w:hideMark/>
          </w:tcPr>
          <w:p w14:paraId="0A5E9B64" w14:textId="77777777" w:rsidR="0021298F" w:rsidRPr="00956CE7" w:rsidRDefault="0021298F" w:rsidP="00760009">
            <w:pPr>
              <w:jc w:val="both"/>
              <w:rPr>
                <w:rFonts w:ascii="Arial" w:eastAsia="Times New Roman" w:hAnsi="Arial" w:cs="Arial"/>
                <w:color w:val="000000"/>
                <w:lang w:eastAsia="en-GB"/>
              </w:rPr>
            </w:pPr>
            <w:r w:rsidRPr="00956CE7">
              <w:rPr>
                <w:rFonts w:ascii="Arial" w:eastAsia="Times New Roman" w:hAnsi="Arial" w:cs="Arial"/>
                <w:color w:val="000000"/>
                <w:lang w:eastAsia="en-GB"/>
              </w:rPr>
              <w:t>Loan investments</w:t>
            </w:r>
          </w:p>
        </w:tc>
        <w:tc>
          <w:tcPr>
            <w:tcW w:w="1440" w:type="dxa"/>
            <w:tcBorders>
              <w:top w:val="nil"/>
              <w:left w:val="nil"/>
              <w:bottom w:val="nil"/>
              <w:right w:val="nil"/>
            </w:tcBorders>
            <w:shd w:val="clear" w:color="000000" w:fill="FFFFFF"/>
            <w:noWrap/>
            <w:vAlign w:val="center"/>
            <w:hideMark/>
          </w:tcPr>
          <w:p w14:paraId="6A7C0399" w14:textId="77777777" w:rsidR="0021298F" w:rsidRPr="00956CE7" w:rsidRDefault="0021298F" w:rsidP="00760009">
            <w:pPr>
              <w:jc w:val="right"/>
              <w:rPr>
                <w:rFonts w:ascii="Arial" w:eastAsia="Times New Roman" w:hAnsi="Arial" w:cs="Arial"/>
                <w:color w:val="000000"/>
                <w:lang w:eastAsia="en-GB"/>
              </w:rPr>
            </w:pPr>
            <w:r w:rsidRPr="00956CE7">
              <w:rPr>
                <w:rFonts w:ascii="Arial" w:eastAsia="Times New Roman" w:hAnsi="Arial" w:cs="Arial"/>
                <w:color w:val="000000"/>
                <w:lang w:eastAsia="en-GB"/>
              </w:rPr>
              <w:t>12,802</w:t>
            </w:r>
          </w:p>
        </w:tc>
        <w:tc>
          <w:tcPr>
            <w:tcW w:w="1440" w:type="dxa"/>
            <w:tcBorders>
              <w:top w:val="nil"/>
              <w:left w:val="nil"/>
              <w:bottom w:val="nil"/>
              <w:right w:val="nil"/>
            </w:tcBorders>
            <w:shd w:val="clear" w:color="000000" w:fill="FFFFFF"/>
            <w:noWrap/>
            <w:vAlign w:val="center"/>
            <w:hideMark/>
          </w:tcPr>
          <w:p w14:paraId="32A2EE3B" w14:textId="77777777" w:rsidR="0021298F" w:rsidRPr="00956CE7" w:rsidRDefault="0021298F" w:rsidP="00760009">
            <w:pPr>
              <w:jc w:val="right"/>
              <w:rPr>
                <w:rFonts w:ascii="Arial" w:eastAsia="Times New Roman" w:hAnsi="Arial" w:cs="Arial"/>
                <w:color w:val="000000"/>
                <w:lang w:eastAsia="en-GB"/>
              </w:rPr>
            </w:pPr>
            <w:r w:rsidRPr="00956CE7">
              <w:rPr>
                <w:rFonts w:ascii="Arial" w:eastAsia="Times New Roman" w:hAnsi="Arial" w:cs="Arial"/>
                <w:color w:val="000000"/>
                <w:lang w:eastAsia="en-GB"/>
              </w:rPr>
              <w:t>51,105</w:t>
            </w:r>
          </w:p>
        </w:tc>
        <w:tc>
          <w:tcPr>
            <w:tcW w:w="1440" w:type="dxa"/>
            <w:tcBorders>
              <w:top w:val="nil"/>
              <w:left w:val="nil"/>
              <w:bottom w:val="nil"/>
              <w:right w:val="nil"/>
            </w:tcBorders>
            <w:shd w:val="clear" w:color="000000" w:fill="FFFFFF"/>
            <w:noWrap/>
            <w:vAlign w:val="center"/>
            <w:hideMark/>
          </w:tcPr>
          <w:p w14:paraId="2F9A2B9F" w14:textId="77777777" w:rsidR="0021298F" w:rsidRPr="00956CE7" w:rsidRDefault="0021298F" w:rsidP="00760009">
            <w:pPr>
              <w:jc w:val="right"/>
              <w:rPr>
                <w:rFonts w:ascii="Arial" w:eastAsia="Times New Roman" w:hAnsi="Arial" w:cs="Arial"/>
                <w:color w:val="000000"/>
                <w:lang w:eastAsia="en-GB"/>
              </w:rPr>
            </w:pPr>
            <w:r w:rsidRPr="00956CE7">
              <w:rPr>
                <w:rFonts w:ascii="Arial" w:eastAsia="Times New Roman" w:hAnsi="Arial" w:cs="Arial"/>
                <w:color w:val="000000"/>
                <w:lang w:eastAsia="en-GB"/>
              </w:rPr>
              <w:t>435,336</w:t>
            </w:r>
          </w:p>
        </w:tc>
        <w:tc>
          <w:tcPr>
            <w:tcW w:w="1440" w:type="dxa"/>
            <w:tcBorders>
              <w:top w:val="nil"/>
              <w:left w:val="nil"/>
              <w:bottom w:val="nil"/>
              <w:right w:val="nil"/>
            </w:tcBorders>
            <w:shd w:val="clear" w:color="000000" w:fill="FFFFFF"/>
            <w:noWrap/>
            <w:vAlign w:val="center"/>
            <w:hideMark/>
          </w:tcPr>
          <w:p w14:paraId="4888329A" w14:textId="77777777" w:rsidR="0021298F" w:rsidRPr="00956CE7" w:rsidRDefault="0021298F" w:rsidP="00760009">
            <w:pPr>
              <w:jc w:val="right"/>
              <w:rPr>
                <w:rFonts w:ascii="Arial" w:eastAsia="Times New Roman" w:hAnsi="Arial" w:cs="Arial"/>
                <w:b/>
                <w:bCs/>
                <w:color w:val="000000"/>
                <w:lang w:eastAsia="en-GB"/>
              </w:rPr>
            </w:pPr>
            <w:r w:rsidRPr="00956CE7">
              <w:rPr>
                <w:rFonts w:ascii="Arial" w:eastAsia="Times New Roman" w:hAnsi="Arial" w:cs="Arial"/>
                <w:b/>
                <w:bCs/>
                <w:color w:val="000000"/>
                <w:lang w:eastAsia="en-GB"/>
              </w:rPr>
              <w:t>499,243</w:t>
            </w:r>
          </w:p>
        </w:tc>
      </w:tr>
      <w:tr w:rsidR="0021298F" w:rsidRPr="00956CE7" w14:paraId="1582AEBA" w14:textId="77777777" w:rsidTr="00760009">
        <w:trPr>
          <w:trHeight w:val="300"/>
        </w:trPr>
        <w:tc>
          <w:tcPr>
            <w:tcW w:w="3200" w:type="dxa"/>
            <w:tcBorders>
              <w:top w:val="nil"/>
              <w:left w:val="nil"/>
              <w:bottom w:val="nil"/>
              <w:right w:val="nil"/>
            </w:tcBorders>
            <w:shd w:val="clear" w:color="000000" w:fill="FFFFFF"/>
            <w:vAlign w:val="center"/>
            <w:hideMark/>
          </w:tcPr>
          <w:p w14:paraId="18DADBBB" w14:textId="77777777" w:rsidR="0021298F" w:rsidRPr="00956CE7" w:rsidRDefault="0021298F" w:rsidP="00760009">
            <w:pPr>
              <w:rPr>
                <w:rFonts w:ascii="Calibri" w:eastAsia="Times New Roman" w:hAnsi="Calibri" w:cs="Calibri"/>
                <w:color w:val="000000"/>
                <w:lang w:eastAsia="en-GB"/>
              </w:rPr>
            </w:pPr>
            <w:r w:rsidRPr="00956CE7">
              <w:rPr>
                <w:rFonts w:ascii="Calibri" w:eastAsia="Times New Roman" w:hAnsi="Calibri" w:cs="Calibri"/>
                <w:color w:val="000000"/>
                <w:lang w:eastAsia="en-GB"/>
              </w:rPr>
              <w:t> </w:t>
            </w:r>
          </w:p>
        </w:tc>
        <w:tc>
          <w:tcPr>
            <w:tcW w:w="1440" w:type="dxa"/>
            <w:tcBorders>
              <w:top w:val="nil"/>
              <w:left w:val="nil"/>
              <w:bottom w:val="nil"/>
              <w:right w:val="nil"/>
            </w:tcBorders>
            <w:shd w:val="clear" w:color="000000" w:fill="FFFFFF"/>
            <w:noWrap/>
            <w:vAlign w:val="center"/>
            <w:hideMark/>
          </w:tcPr>
          <w:p w14:paraId="1F2C5440" w14:textId="77777777" w:rsidR="0021298F" w:rsidRPr="00956CE7" w:rsidRDefault="0021298F" w:rsidP="00760009">
            <w:pPr>
              <w:jc w:val="right"/>
              <w:rPr>
                <w:rFonts w:ascii="Arial" w:eastAsia="Times New Roman" w:hAnsi="Arial" w:cs="Arial"/>
                <w:color w:val="000000"/>
                <w:lang w:eastAsia="en-GB"/>
              </w:rPr>
            </w:pPr>
            <w:r w:rsidRPr="00956CE7">
              <w:rPr>
                <w:rFonts w:ascii="Arial" w:eastAsia="Times New Roman" w:hAnsi="Arial" w:cs="Arial"/>
                <w:color w:val="000000"/>
                <w:lang w:eastAsia="en-GB"/>
              </w:rPr>
              <w:t> </w:t>
            </w:r>
          </w:p>
        </w:tc>
        <w:tc>
          <w:tcPr>
            <w:tcW w:w="1440" w:type="dxa"/>
            <w:tcBorders>
              <w:top w:val="nil"/>
              <w:left w:val="nil"/>
              <w:bottom w:val="nil"/>
              <w:right w:val="nil"/>
            </w:tcBorders>
            <w:shd w:val="clear" w:color="000000" w:fill="FFFFFF"/>
            <w:noWrap/>
            <w:vAlign w:val="center"/>
            <w:hideMark/>
          </w:tcPr>
          <w:p w14:paraId="02A8E163" w14:textId="77777777" w:rsidR="0021298F" w:rsidRPr="00956CE7" w:rsidRDefault="0021298F" w:rsidP="00760009">
            <w:pPr>
              <w:jc w:val="right"/>
              <w:rPr>
                <w:rFonts w:ascii="Arial" w:eastAsia="Times New Roman" w:hAnsi="Arial" w:cs="Arial"/>
                <w:color w:val="000000"/>
                <w:lang w:eastAsia="en-GB"/>
              </w:rPr>
            </w:pPr>
            <w:r w:rsidRPr="00956CE7">
              <w:rPr>
                <w:rFonts w:ascii="Arial" w:eastAsia="Times New Roman" w:hAnsi="Arial" w:cs="Arial"/>
                <w:color w:val="000000"/>
                <w:lang w:eastAsia="en-GB"/>
              </w:rPr>
              <w:t> </w:t>
            </w:r>
          </w:p>
        </w:tc>
        <w:tc>
          <w:tcPr>
            <w:tcW w:w="1440" w:type="dxa"/>
            <w:tcBorders>
              <w:top w:val="nil"/>
              <w:left w:val="nil"/>
              <w:bottom w:val="nil"/>
              <w:right w:val="nil"/>
            </w:tcBorders>
            <w:shd w:val="clear" w:color="000000" w:fill="FFFFFF"/>
            <w:noWrap/>
            <w:vAlign w:val="center"/>
            <w:hideMark/>
          </w:tcPr>
          <w:p w14:paraId="23DB470B" w14:textId="77777777" w:rsidR="0021298F" w:rsidRPr="00956CE7" w:rsidRDefault="0021298F" w:rsidP="00760009">
            <w:pPr>
              <w:jc w:val="right"/>
              <w:rPr>
                <w:rFonts w:ascii="Arial" w:eastAsia="Times New Roman" w:hAnsi="Arial" w:cs="Arial"/>
                <w:color w:val="000000"/>
                <w:lang w:eastAsia="en-GB"/>
              </w:rPr>
            </w:pPr>
            <w:r w:rsidRPr="00956CE7">
              <w:rPr>
                <w:rFonts w:ascii="Arial" w:eastAsia="Times New Roman" w:hAnsi="Arial" w:cs="Arial"/>
                <w:color w:val="000000"/>
                <w:lang w:eastAsia="en-GB"/>
              </w:rPr>
              <w:t> </w:t>
            </w:r>
          </w:p>
        </w:tc>
        <w:tc>
          <w:tcPr>
            <w:tcW w:w="1440" w:type="dxa"/>
            <w:tcBorders>
              <w:top w:val="nil"/>
              <w:left w:val="nil"/>
              <w:bottom w:val="nil"/>
              <w:right w:val="nil"/>
            </w:tcBorders>
            <w:shd w:val="clear" w:color="000000" w:fill="FFFFFF"/>
            <w:noWrap/>
            <w:vAlign w:val="center"/>
            <w:hideMark/>
          </w:tcPr>
          <w:p w14:paraId="2E412DB1" w14:textId="77777777" w:rsidR="0021298F" w:rsidRPr="00956CE7" w:rsidRDefault="0021298F" w:rsidP="00760009">
            <w:pPr>
              <w:jc w:val="right"/>
              <w:rPr>
                <w:rFonts w:ascii="Arial" w:eastAsia="Times New Roman" w:hAnsi="Arial" w:cs="Arial"/>
                <w:b/>
                <w:bCs/>
                <w:color w:val="000000"/>
                <w:lang w:eastAsia="en-GB"/>
              </w:rPr>
            </w:pPr>
            <w:r w:rsidRPr="00956CE7">
              <w:rPr>
                <w:rFonts w:ascii="Arial" w:eastAsia="Times New Roman" w:hAnsi="Arial" w:cs="Arial"/>
                <w:b/>
                <w:bCs/>
                <w:color w:val="000000"/>
                <w:lang w:eastAsia="en-GB"/>
              </w:rPr>
              <w:t> </w:t>
            </w:r>
          </w:p>
        </w:tc>
      </w:tr>
      <w:tr w:rsidR="0021298F" w:rsidRPr="00956CE7" w14:paraId="0774074C" w14:textId="77777777" w:rsidTr="00760009">
        <w:trPr>
          <w:trHeight w:val="300"/>
        </w:trPr>
        <w:tc>
          <w:tcPr>
            <w:tcW w:w="3200" w:type="dxa"/>
            <w:tcBorders>
              <w:top w:val="nil"/>
              <w:left w:val="nil"/>
              <w:bottom w:val="nil"/>
              <w:right w:val="nil"/>
            </w:tcBorders>
            <w:shd w:val="clear" w:color="000000" w:fill="FFFFFF"/>
            <w:vAlign w:val="center"/>
            <w:hideMark/>
          </w:tcPr>
          <w:p w14:paraId="5175DDBA" w14:textId="77777777" w:rsidR="0021298F" w:rsidRPr="00956CE7" w:rsidRDefault="0021298F" w:rsidP="00760009">
            <w:pPr>
              <w:jc w:val="both"/>
              <w:rPr>
                <w:rFonts w:ascii="Arial" w:eastAsia="Times New Roman" w:hAnsi="Arial" w:cs="Arial"/>
                <w:b/>
                <w:bCs/>
                <w:color w:val="000000"/>
                <w:lang w:eastAsia="en-GB"/>
              </w:rPr>
            </w:pPr>
            <w:r w:rsidRPr="00956CE7">
              <w:rPr>
                <w:rFonts w:ascii="Arial" w:eastAsia="Times New Roman" w:hAnsi="Arial" w:cs="Arial"/>
                <w:b/>
                <w:bCs/>
                <w:color w:val="000000"/>
                <w:lang w:eastAsia="en-GB"/>
              </w:rPr>
              <w:t>Liabilities</w:t>
            </w:r>
          </w:p>
        </w:tc>
        <w:tc>
          <w:tcPr>
            <w:tcW w:w="1440" w:type="dxa"/>
            <w:tcBorders>
              <w:top w:val="nil"/>
              <w:left w:val="nil"/>
              <w:bottom w:val="nil"/>
              <w:right w:val="nil"/>
            </w:tcBorders>
            <w:shd w:val="clear" w:color="000000" w:fill="FFFFFF"/>
            <w:noWrap/>
            <w:vAlign w:val="center"/>
            <w:hideMark/>
          </w:tcPr>
          <w:p w14:paraId="31C7FF57" w14:textId="77777777" w:rsidR="0021298F" w:rsidRPr="00956CE7" w:rsidRDefault="0021298F" w:rsidP="00760009">
            <w:pPr>
              <w:jc w:val="right"/>
              <w:rPr>
                <w:rFonts w:ascii="Arial" w:eastAsia="Times New Roman" w:hAnsi="Arial" w:cs="Arial"/>
                <w:color w:val="000000"/>
                <w:lang w:eastAsia="en-GB"/>
              </w:rPr>
            </w:pPr>
            <w:r w:rsidRPr="00956CE7">
              <w:rPr>
                <w:rFonts w:ascii="Arial" w:eastAsia="Times New Roman" w:hAnsi="Arial" w:cs="Arial"/>
                <w:color w:val="000000"/>
                <w:lang w:eastAsia="en-GB"/>
              </w:rPr>
              <w:t> </w:t>
            </w:r>
          </w:p>
        </w:tc>
        <w:tc>
          <w:tcPr>
            <w:tcW w:w="1440" w:type="dxa"/>
            <w:tcBorders>
              <w:top w:val="nil"/>
              <w:left w:val="nil"/>
              <w:bottom w:val="nil"/>
              <w:right w:val="nil"/>
            </w:tcBorders>
            <w:shd w:val="clear" w:color="000000" w:fill="FFFFFF"/>
            <w:noWrap/>
            <w:vAlign w:val="center"/>
            <w:hideMark/>
          </w:tcPr>
          <w:p w14:paraId="609B6D1E" w14:textId="77777777" w:rsidR="0021298F" w:rsidRPr="00956CE7" w:rsidRDefault="0021298F" w:rsidP="00760009">
            <w:pPr>
              <w:jc w:val="right"/>
              <w:rPr>
                <w:rFonts w:ascii="Arial" w:eastAsia="Times New Roman" w:hAnsi="Arial" w:cs="Arial"/>
                <w:color w:val="000000"/>
                <w:lang w:eastAsia="en-GB"/>
              </w:rPr>
            </w:pPr>
            <w:r w:rsidRPr="00956CE7">
              <w:rPr>
                <w:rFonts w:ascii="Arial" w:eastAsia="Times New Roman" w:hAnsi="Arial" w:cs="Arial"/>
                <w:color w:val="000000"/>
                <w:lang w:eastAsia="en-GB"/>
              </w:rPr>
              <w:t> </w:t>
            </w:r>
          </w:p>
        </w:tc>
        <w:tc>
          <w:tcPr>
            <w:tcW w:w="1440" w:type="dxa"/>
            <w:tcBorders>
              <w:top w:val="nil"/>
              <w:left w:val="nil"/>
              <w:bottom w:val="nil"/>
              <w:right w:val="nil"/>
            </w:tcBorders>
            <w:shd w:val="clear" w:color="000000" w:fill="FFFFFF"/>
            <w:noWrap/>
            <w:vAlign w:val="center"/>
            <w:hideMark/>
          </w:tcPr>
          <w:p w14:paraId="45B600CC" w14:textId="77777777" w:rsidR="0021298F" w:rsidRPr="00956CE7" w:rsidRDefault="0021298F" w:rsidP="00760009">
            <w:pPr>
              <w:jc w:val="right"/>
              <w:rPr>
                <w:rFonts w:ascii="Arial" w:eastAsia="Times New Roman" w:hAnsi="Arial" w:cs="Arial"/>
                <w:color w:val="000000"/>
                <w:lang w:eastAsia="en-GB"/>
              </w:rPr>
            </w:pPr>
            <w:r w:rsidRPr="00956CE7">
              <w:rPr>
                <w:rFonts w:ascii="Arial" w:eastAsia="Times New Roman" w:hAnsi="Arial" w:cs="Arial"/>
                <w:color w:val="000000"/>
                <w:lang w:eastAsia="en-GB"/>
              </w:rPr>
              <w:t> </w:t>
            </w:r>
          </w:p>
        </w:tc>
        <w:tc>
          <w:tcPr>
            <w:tcW w:w="1440" w:type="dxa"/>
            <w:tcBorders>
              <w:top w:val="nil"/>
              <w:left w:val="nil"/>
              <w:bottom w:val="nil"/>
              <w:right w:val="nil"/>
            </w:tcBorders>
            <w:shd w:val="clear" w:color="000000" w:fill="FFFFFF"/>
            <w:noWrap/>
            <w:vAlign w:val="center"/>
            <w:hideMark/>
          </w:tcPr>
          <w:p w14:paraId="72497756" w14:textId="77777777" w:rsidR="0021298F" w:rsidRPr="00956CE7" w:rsidRDefault="0021298F" w:rsidP="00760009">
            <w:pPr>
              <w:jc w:val="right"/>
              <w:rPr>
                <w:rFonts w:ascii="Arial" w:eastAsia="Times New Roman" w:hAnsi="Arial" w:cs="Arial"/>
                <w:b/>
                <w:bCs/>
                <w:color w:val="000000"/>
                <w:lang w:eastAsia="en-GB"/>
              </w:rPr>
            </w:pPr>
            <w:r w:rsidRPr="00956CE7">
              <w:rPr>
                <w:rFonts w:ascii="Arial" w:eastAsia="Times New Roman" w:hAnsi="Arial" w:cs="Arial"/>
                <w:b/>
                <w:bCs/>
                <w:color w:val="000000"/>
                <w:lang w:eastAsia="en-GB"/>
              </w:rPr>
              <w:t> </w:t>
            </w:r>
          </w:p>
        </w:tc>
      </w:tr>
      <w:tr w:rsidR="0021298F" w:rsidRPr="00956CE7" w14:paraId="68E13776" w14:textId="77777777" w:rsidTr="00760009">
        <w:trPr>
          <w:trHeight w:val="300"/>
        </w:trPr>
        <w:tc>
          <w:tcPr>
            <w:tcW w:w="3200" w:type="dxa"/>
            <w:tcBorders>
              <w:top w:val="nil"/>
              <w:left w:val="nil"/>
              <w:bottom w:val="nil"/>
              <w:right w:val="nil"/>
            </w:tcBorders>
            <w:shd w:val="clear" w:color="000000" w:fill="FFFFFF"/>
            <w:vAlign w:val="center"/>
            <w:hideMark/>
          </w:tcPr>
          <w:p w14:paraId="09489533" w14:textId="77777777" w:rsidR="0021298F" w:rsidRPr="00956CE7" w:rsidRDefault="0021298F" w:rsidP="00760009">
            <w:pPr>
              <w:jc w:val="both"/>
              <w:rPr>
                <w:rFonts w:ascii="Arial" w:eastAsia="Times New Roman" w:hAnsi="Arial" w:cs="Arial"/>
                <w:color w:val="000000"/>
                <w:lang w:eastAsia="en-GB"/>
              </w:rPr>
            </w:pPr>
            <w:r w:rsidRPr="00956CE7">
              <w:rPr>
                <w:rFonts w:ascii="Arial" w:eastAsia="Times New Roman" w:hAnsi="Arial" w:cs="Arial"/>
                <w:color w:val="000000"/>
                <w:lang w:eastAsia="en-GB"/>
              </w:rPr>
              <w:t>Other payables (note 12)</w:t>
            </w:r>
          </w:p>
        </w:tc>
        <w:tc>
          <w:tcPr>
            <w:tcW w:w="1440" w:type="dxa"/>
            <w:tcBorders>
              <w:top w:val="nil"/>
              <w:left w:val="nil"/>
              <w:bottom w:val="nil"/>
              <w:right w:val="nil"/>
            </w:tcBorders>
            <w:shd w:val="clear" w:color="000000" w:fill="FFFFFF"/>
            <w:noWrap/>
            <w:vAlign w:val="center"/>
            <w:hideMark/>
          </w:tcPr>
          <w:p w14:paraId="40908DE9" w14:textId="77777777" w:rsidR="0021298F" w:rsidRPr="00956CE7" w:rsidRDefault="0021298F" w:rsidP="00760009">
            <w:pPr>
              <w:jc w:val="right"/>
              <w:rPr>
                <w:rFonts w:ascii="Arial" w:eastAsia="Times New Roman" w:hAnsi="Arial" w:cs="Arial"/>
                <w:color w:val="000000"/>
                <w:lang w:eastAsia="en-GB"/>
              </w:rPr>
            </w:pPr>
            <w:r w:rsidRPr="00956CE7">
              <w:rPr>
                <w:rFonts w:ascii="Arial" w:eastAsia="Times New Roman" w:hAnsi="Arial" w:cs="Arial"/>
                <w:color w:val="000000"/>
                <w:lang w:eastAsia="en-GB"/>
              </w:rPr>
              <w:t xml:space="preserve"> (3,470)</w:t>
            </w:r>
          </w:p>
        </w:tc>
        <w:tc>
          <w:tcPr>
            <w:tcW w:w="1440" w:type="dxa"/>
            <w:tcBorders>
              <w:top w:val="nil"/>
              <w:left w:val="nil"/>
              <w:bottom w:val="nil"/>
              <w:right w:val="nil"/>
            </w:tcBorders>
            <w:shd w:val="clear" w:color="000000" w:fill="FFFFFF"/>
            <w:noWrap/>
            <w:vAlign w:val="center"/>
            <w:hideMark/>
          </w:tcPr>
          <w:p w14:paraId="04A0E8F5" w14:textId="77777777" w:rsidR="0021298F" w:rsidRPr="00956CE7" w:rsidRDefault="0021298F" w:rsidP="00760009">
            <w:pPr>
              <w:jc w:val="right"/>
              <w:rPr>
                <w:rFonts w:ascii="Arial" w:eastAsia="Times New Roman" w:hAnsi="Arial" w:cs="Arial"/>
                <w:color w:val="000000"/>
                <w:lang w:eastAsia="en-GB"/>
              </w:rPr>
            </w:pPr>
            <w:r w:rsidRPr="00956CE7">
              <w:rPr>
                <w:rFonts w:ascii="Arial" w:eastAsia="Times New Roman" w:hAnsi="Arial" w:cs="Arial"/>
                <w:color w:val="000000"/>
                <w:lang w:eastAsia="en-GB"/>
              </w:rPr>
              <w:t>-</w:t>
            </w:r>
          </w:p>
        </w:tc>
        <w:tc>
          <w:tcPr>
            <w:tcW w:w="1440" w:type="dxa"/>
            <w:tcBorders>
              <w:top w:val="nil"/>
              <w:left w:val="nil"/>
              <w:bottom w:val="nil"/>
              <w:right w:val="nil"/>
            </w:tcBorders>
            <w:shd w:val="clear" w:color="000000" w:fill="FFFFFF"/>
            <w:noWrap/>
            <w:vAlign w:val="center"/>
            <w:hideMark/>
          </w:tcPr>
          <w:p w14:paraId="2C15B328" w14:textId="77777777" w:rsidR="0021298F" w:rsidRPr="00956CE7" w:rsidRDefault="0021298F" w:rsidP="00760009">
            <w:pPr>
              <w:jc w:val="right"/>
              <w:rPr>
                <w:rFonts w:ascii="Arial" w:eastAsia="Times New Roman" w:hAnsi="Arial" w:cs="Arial"/>
                <w:color w:val="000000"/>
                <w:lang w:eastAsia="en-GB"/>
              </w:rPr>
            </w:pPr>
            <w:r w:rsidRPr="00956CE7">
              <w:rPr>
                <w:rFonts w:ascii="Arial" w:eastAsia="Times New Roman" w:hAnsi="Arial" w:cs="Arial"/>
                <w:color w:val="000000"/>
                <w:lang w:eastAsia="en-GB"/>
              </w:rPr>
              <w:t>-</w:t>
            </w:r>
          </w:p>
        </w:tc>
        <w:tc>
          <w:tcPr>
            <w:tcW w:w="1440" w:type="dxa"/>
            <w:tcBorders>
              <w:top w:val="nil"/>
              <w:left w:val="nil"/>
              <w:bottom w:val="nil"/>
              <w:right w:val="nil"/>
            </w:tcBorders>
            <w:shd w:val="clear" w:color="000000" w:fill="FFFFFF"/>
            <w:noWrap/>
            <w:vAlign w:val="center"/>
            <w:hideMark/>
          </w:tcPr>
          <w:p w14:paraId="5786C931" w14:textId="77777777" w:rsidR="0021298F" w:rsidRPr="00956CE7" w:rsidRDefault="0021298F" w:rsidP="00760009">
            <w:pPr>
              <w:jc w:val="right"/>
              <w:rPr>
                <w:rFonts w:ascii="Arial" w:eastAsia="Times New Roman" w:hAnsi="Arial" w:cs="Arial"/>
                <w:b/>
                <w:bCs/>
                <w:color w:val="000000"/>
                <w:lang w:eastAsia="en-GB"/>
              </w:rPr>
            </w:pPr>
            <w:r w:rsidRPr="00956CE7">
              <w:rPr>
                <w:rFonts w:ascii="Arial" w:eastAsia="Times New Roman" w:hAnsi="Arial" w:cs="Arial"/>
                <w:b/>
                <w:bCs/>
                <w:color w:val="000000"/>
                <w:lang w:eastAsia="en-GB"/>
              </w:rPr>
              <w:t xml:space="preserve"> (3,470)</w:t>
            </w:r>
          </w:p>
        </w:tc>
      </w:tr>
      <w:tr w:rsidR="0021298F" w:rsidRPr="00956CE7" w14:paraId="434EDFF6" w14:textId="77777777" w:rsidTr="00760009">
        <w:trPr>
          <w:trHeight w:val="300"/>
        </w:trPr>
        <w:tc>
          <w:tcPr>
            <w:tcW w:w="3200" w:type="dxa"/>
            <w:tcBorders>
              <w:top w:val="nil"/>
              <w:left w:val="nil"/>
              <w:bottom w:val="single" w:sz="4" w:space="0" w:color="auto"/>
              <w:right w:val="nil"/>
            </w:tcBorders>
            <w:shd w:val="clear" w:color="000000" w:fill="FFFFFF"/>
            <w:vAlign w:val="center"/>
            <w:hideMark/>
          </w:tcPr>
          <w:p w14:paraId="2319A1D4" w14:textId="77777777" w:rsidR="0021298F" w:rsidRPr="00956CE7" w:rsidRDefault="0021298F" w:rsidP="00760009">
            <w:pPr>
              <w:jc w:val="both"/>
              <w:rPr>
                <w:rFonts w:ascii="Arial" w:eastAsia="Times New Roman" w:hAnsi="Arial" w:cs="Arial"/>
                <w:color w:val="000000"/>
                <w:lang w:eastAsia="en-GB"/>
              </w:rPr>
            </w:pPr>
            <w:r w:rsidRPr="00956CE7">
              <w:rPr>
                <w:rFonts w:ascii="Arial" w:eastAsia="Times New Roman" w:hAnsi="Arial" w:cs="Arial"/>
                <w:color w:val="000000"/>
                <w:lang w:eastAsia="en-GB"/>
              </w:rPr>
              <w:t>Loan and borrowings</w:t>
            </w:r>
          </w:p>
        </w:tc>
        <w:tc>
          <w:tcPr>
            <w:tcW w:w="1440" w:type="dxa"/>
            <w:tcBorders>
              <w:top w:val="nil"/>
              <w:left w:val="nil"/>
              <w:bottom w:val="single" w:sz="4" w:space="0" w:color="auto"/>
              <w:right w:val="nil"/>
            </w:tcBorders>
            <w:shd w:val="clear" w:color="000000" w:fill="FFFFFF"/>
            <w:noWrap/>
            <w:vAlign w:val="center"/>
            <w:hideMark/>
          </w:tcPr>
          <w:p w14:paraId="29621470" w14:textId="77777777" w:rsidR="0021298F" w:rsidRPr="00956CE7" w:rsidRDefault="0021298F" w:rsidP="00760009">
            <w:pPr>
              <w:jc w:val="right"/>
              <w:rPr>
                <w:rFonts w:ascii="Arial" w:eastAsia="Times New Roman" w:hAnsi="Arial" w:cs="Arial"/>
                <w:color w:val="000000"/>
                <w:lang w:eastAsia="en-GB"/>
              </w:rPr>
            </w:pPr>
            <w:r w:rsidRPr="00956CE7">
              <w:rPr>
                <w:rFonts w:ascii="Arial" w:eastAsia="Times New Roman" w:hAnsi="Arial" w:cs="Arial"/>
                <w:color w:val="000000"/>
                <w:lang w:eastAsia="en-GB"/>
              </w:rPr>
              <w:t xml:space="preserve"> (209,708)</w:t>
            </w:r>
          </w:p>
        </w:tc>
        <w:tc>
          <w:tcPr>
            <w:tcW w:w="1440" w:type="dxa"/>
            <w:tcBorders>
              <w:top w:val="nil"/>
              <w:left w:val="nil"/>
              <w:bottom w:val="single" w:sz="4" w:space="0" w:color="auto"/>
              <w:right w:val="nil"/>
            </w:tcBorders>
            <w:shd w:val="clear" w:color="000000" w:fill="FFFFFF"/>
            <w:noWrap/>
            <w:vAlign w:val="center"/>
            <w:hideMark/>
          </w:tcPr>
          <w:p w14:paraId="32B6DF09" w14:textId="77777777" w:rsidR="0021298F" w:rsidRPr="00956CE7" w:rsidRDefault="0021298F" w:rsidP="00760009">
            <w:pPr>
              <w:jc w:val="right"/>
              <w:rPr>
                <w:rFonts w:ascii="Arial" w:eastAsia="Times New Roman" w:hAnsi="Arial" w:cs="Arial"/>
                <w:color w:val="000000"/>
                <w:lang w:eastAsia="en-GB"/>
              </w:rPr>
            </w:pPr>
            <w:r w:rsidRPr="00956CE7">
              <w:rPr>
                <w:rFonts w:ascii="Arial" w:eastAsia="Times New Roman" w:hAnsi="Arial" w:cs="Arial"/>
                <w:color w:val="000000"/>
                <w:lang w:eastAsia="en-GB"/>
              </w:rPr>
              <w:t xml:space="preserve"> - </w:t>
            </w:r>
          </w:p>
        </w:tc>
        <w:tc>
          <w:tcPr>
            <w:tcW w:w="1440" w:type="dxa"/>
            <w:tcBorders>
              <w:top w:val="nil"/>
              <w:left w:val="nil"/>
              <w:bottom w:val="single" w:sz="4" w:space="0" w:color="auto"/>
              <w:right w:val="nil"/>
            </w:tcBorders>
            <w:shd w:val="clear" w:color="000000" w:fill="FFFFFF"/>
            <w:noWrap/>
            <w:vAlign w:val="center"/>
            <w:hideMark/>
          </w:tcPr>
          <w:p w14:paraId="2C9727A6" w14:textId="77777777" w:rsidR="0021298F" w:rsidRPr="00956CE7" w:rsidRDefault="0021298F" w:rsidP="00760009">
            <w:pPr>
              <w:jc w:val="right"/>
              <w:rPr>
                <w:rFonts w:ascii="Arial" w:eastAsia="Times New Roman" w:hAnsi="Arial" w:cs="Arial"/>
                <w:color w:val="000000"/>
                <w:lang w:eastAsia="en-GB"/>
              </w:rPr>
            </w:pPr>
            <w:r w:rsidRPr="00956CE7">
              <w:rPr>
                <w:rFonts w:ascii="Arial" w:eastAsia="Times New Roman" w:hAnsi="Arial" w:cs="Arial"/>
                <w:color w:val="000000"/>
                <w:lang w:eastAsia="en-GB"/>
              </w:rPr>
              <w:t>-</w:t>
            </w:r>
          </w:p>
        </w:tc>
        <w:tc>
          <w:tcPr>
            <w:tcW w:w="1440" w:type="dxa"/>
            <w:tcBorders>
              <w:top w:val="nil"/>
              <w:left w:val="nil"/>
              <w:bottom w:val="single" w:sz="4" w:space="0" w:color="auto"/>
              <w:right w:val="nil"/>
            </w:tcBorders>
            <w:shd w:val="clear" w:color="000000" w:fill="FFFFFF"/>
            <w:noWrap/>
            <w:vAlign w:val="center"/>
            <w:hideMark/>
          </w:tcPr>
          <w:p w14:paraId="3DD8DACE" w14:textId="77777777" w:rsidR="0021298F" w:rsidRPr="00956CE7" w:rsidRDefault="0021298F" w:rsidP="00760009">
            <w:pPr>
              <w:jc w:val="right"/>
              <w:rPr>
                <w:rFonts w:ascii="Arial" w:eastAsia="Times New Roman" w:hAnsi="Arial" w:cs="Arial"/>
                <w:b/>
                <w:bCs/>
                <w:color w:val="000000"/>
                <w:lang w:eastAsia="en-GB"/>
              </w:rPr>
            </w:pPr>
            <w:r w:rsidRPr="00956CE7">
              <w:rPr>
                <w:rFonts w:ascii="Arial" w:eastAsia="Times New Roman" w:hAnsi="Arial" w:cs="Arial"/>
                <w:b/>
                <w:bCs/>
                <w:color w:val="000000"/>
                <w:lang w:eastAsia="en-GB"/>
              </w:rPr>
              <w:t xml:space="preserve"> (209,708)</w:t>
            </w:r>
          </w:p>
        </w:tc>
      </w:tr>
      <w:tr w:rsidR="0021298F" w:rsidRPr="00956CE7" w14:paraId="647E2D0D" w14:textId="77777777" w:rsidTr="00760009">
        <w:trPr>
          <w:trHeight w:val="300"/>
        </w:trPr>
        <w:tc>
          <w:tcPr>
            <w:tcW w:w="3200" w:type="dxa"/>
            <w:tcBorders>
              <w:top w:val="nil"/>
              <w:left w:val="nil"/>
              <w:bottom w:val="single" w:sz="4" w:space="0" w:color="auto"/>
              <w:right w:val="nil"/>
            </w:tcBorders>
            <w:shd w:val="clear" w:color="000000" w:fill="FFFFFF"/>
            <w:vAlign w:val="center"/>
            <w:hideMark/>
          </w:tcPr>
          <w:p w14:paraId="43F2B303" w14:textId="77777777" w:rsidR="0021298F" w:rsidRPr="00F365DF" w:rsidRDefault="0021298F" w:rsidP="00760009">
            <w:pPr>
              <w:jc w:val="both"/>
              <w:rPr>
                <w:rFonts w:ascii="Arial" w:eastAsia="Times New Roman" w:hAnsi="Arial" w:cs="Arial"/>
                <w:color w:val="000000"/>
                <w:lang w:eastAsia="en-GB"/>
              </w:rPr>
            </w:pPr>
            <w:r w:rsidRPr="00F365DF">
              <w:rPr>
                <w:rFonts w:ascii="Arial" w:eastAsia="Times New Roman" w:hAnsi="Arial" w:cs="Arial"/>
                <w:color w:val="000000"/>
                <w:lang w:eastAsia="en-GB"/>
              </w:rPr>
              <w:t> </w:t>
            </w:r>
          </w:p>
        </w:tc>
        <w:tc>
          <w:tcPr>
            <w:tcW w:w="1440" w:type="dxa"/>
            <w:tcBorders>
              <w:top w:val="nil"/>
              <w:left w:val="nil"/>
              <w:bottom w:val="single" w:sz="4" w:space="0" w:color="auto"/>
              <w:right w:val="nil"/>
            </w:tcBorders>
            <w:shd w:val="clear" w:color="000000" w:fill="FFFFFF"/>
            <w:noWrap/>
            <w:vAlign w:val="center"/>
            <w:hideMark/>
          </w:tcPr>
          <w:p w14:paraId="50CA6157" w14:textId="77777777" w:rsidR="0021298F" w:rsidRPr="00F365DF" w:rsidRDefault="0021298F" w:rsidP="00760009">
            <w:pPr>
              <w:jc w:val="right"/>
              <w:rPr>
                <w:rFonts w:ascii="Arial" w:eastAsia="Times New Roman" w:hAnsi="Arial" w:cs="Arial"/>
                <w:color w:val="000000"/>
                <w:lang w:eastAsia="en-GB"/>
              </w:rPr>
            </w:pPr>
            <w:r w:rsidRPr="00F365DF">
              <w:rPr>
                <w:rFonts w:ascii="Arial" w:eastAsia="Times New Roman" w:hAnsi="Arial" w:cs="Arial"/>
                <w:color w:val="000000"/>
                <w:lang w:eastAsia="en-GB"/>
              </w:rPr>
              <w:t xml:space="preserve"> (191,090)</w:t>
            </w:r>
          </w:p>
        </w:tc>
        <w:tc>
          <w:tcPr>
            <w:tcW w:w="1440" w:type="dxa"/>
            <w:tcBorders>
              <w:top w:val="nil"/>
              <w:left w:val="nil"/>
              <w:bottom w:val="single" w:sz="4" w:space="0" w:color="auto"/>
              <w:right w:val="nil"/>
            </w:tcBorders>
            <w:shd w:val="clear" w:color="000000" w:fill="FFFFFF"/>
            <w:noWrap/>
            <w:vAlign w:val="center"/>
            <w:hideMark/>
          </w:tcPr>
          <w:p w14:paraId="7F052BFB" w14:textId="77777777" w:rsidR="0021298F" w:rsidRPr="00F365DF" w:rsidRDefault="0021298F" w:rsidP="00760009">
            <w:pPr>
              <w:jc w:val="right"/>
              <w:rPr>
                <w:rFonts w:ascii="Arial" w:eastAsia="Times New Roman" w:hAnsi="Arial" w:cs="Arial"/>
                <w:color w:val="000000"/>
                <w:lang w:eastAsia="en-GB"/>
              </w:rPr>
            </w:pPr>
            <w:r w:rsidRPr="00F365DF">
              <w:rPr>
                <w:rFonts w:ascii="Arial" w:eastAsia="Times New Roman" w:hAnsi="Arial" w:cs="Arial"/>
                <w:color w:val="000000"/>
                <w:lang w:eastAsia="en-GB"/>
              </w:rPr>
              <w:t xml:space="preserve">51,105 </w:t>
            </w:r>
          </w:p>
        </w:tc>
        <w:tc>
          <w:tcPr>
            <w:tcW w:w="1440" w:type="dxa"/>
            <w:tcBorders>
              <w:top w:val="nil"/>
              <w:left w:val="nil"/>
              <w:bottom w:val="single" w:sz="4" w:space="0" w:color="auto"/>
              <w:right w:val="nil"/>
            </w:tcBorders>
            <w:shd w:val="clear" w:color="000000" w:fill="FFFFFF"/>
            <w:noWrap/>
            <w:vAlign w:val="center"/>
            <w:hideMark/>
          </w:tcPr>
          <w:p w14:paraId="0475332C" w14:textId="77777777" w:rsidR="0021298F" w:rsidRPr="00F365DF" w:rsidRDefault="0021298F" w:rsidP="00760009">
            <w:pPr>
              <w:jc w:val="right"/>
              <w:rPr>
                <w:rFonts w:ascii="Arial" w:eastAsia="Times New Roman" w:hAnsi="Arial" w:cs="Arial"/>
                <w:color w:val="000000"/>
                <w:lang w:eastAsia="en-GB"/>
              </w:rPr>
            </w:pPr>
            <w:r w:rsidRPr="00F365DF">
              <w:rPr>
                <w:rFonts w:ascii="Arial" w:eastAsia="Times New Roman" w:hAnsi="Arial" w:cs="Arial"/>
                <w:color w:val="000000"/>
                <w:lang w:eastAsia="en-GB"/>
              </w:rPr>
              <w:t xml:space="preserve">435,336 </w:t>
            </w:r>
          </w:p>
        </w:tc>
        <w:tc>
          <w:tcPr>
            <w:tcW w:w="1440" w:type="dxa"/>
            <w:tcBorders>
              <w:top w:val="nil"/>
              <w:left w:val="nil"/>
              <w:bottom w:val="single" w:sz="4" w:space="0" w:color="auto"/>
              <w:right w:val="nil"/>
            </w:tcBorders>
            <w:shd w:val="clear" w:color="000000" w:fill="FFFFFF"/>
            <w:noWrap/>
            <w:vAlign w:val="center"/>
            <w:hideMark/>
          </w:tcPr>
          <w:p w14:paraId="1F38E38C" w14:textId="77777777" w:rsidR="0021298F" w:rsidRPr="00956CE7" w:rsidRDefault="0021298F" w:rsidP="00760009">
            <w:pPr>
              <w:jc w:val="right"/>
              <w:rPr>
                <w:rFonts w:ascii="Arial" w:eastAsia="Times New Roman" w:hAnsi="Arial" w:cs="Arial"/>
                <w:b/>
                <w:bCs/>
                <w:color w:val="000000"/>
                <w:lang w:eastAsia="en-GB"/>
              </w:rPr>
            </w:pPr>
            <w:r w:rsidRPr="00956CE7">
              <w:rPr>
                <w:rFonts w:ascii="Arial" w:eastAsia="Times New Roman" w:hAnsi="Arial" w:cs="Arial"/>
                <w:b/>
                <w:bCs/>
                <w:color w:val="000000"/>
                <w:lang w:eastAsia="en-GB"/>
              </w:rPr>
              <w:t xml:space="preserve">295,351 </w:t>
            </w:r>
          </w:p>
        </w:tc>
      </w:tr>
    </w:tbl>
    <w:p w14:paraId="57933898" w14:textId="77777777" w:rsidR="0021298F" w:rsidRDefault="0021298F" w:rsidP="0021298F">
      <w:pPr>
        <w:jc w:val="both"/>
        <w:rPr>
          <w:rFonts w:ascii="Arial" w:hAnsi="Arial" w:cs="Arial"/>
        </w:rPr>
      </w:pPr>
    </w:p>
    <w:p w14:paraId="45EEF623" w14:textId="77777777" w:rsidR="0021298F" w:rsidRDefault="0021298F" w:rsidP="0021298F">
      <w:pPr>
        <w:jc w:val="both"/>
        <w:rPr>
          <w:rFonts w:ascii="Arial" w:hAnsi="Arial" w:cs="Arial"/>
        </w:rPr>
      </w:pPr>
      <w:r>
        <w:rPr>
          <w:rFonts w:ascii="Arial" w:hAnsi="Arial" w:cs="Arial"/>
        </w:rPr>
        <w:t>The following tables detail the Company’s expected maturity for its financial assets (excluding equity) and liabilities together with the contractual undiscounted cash flow amounts as at 31 December 2020 and 31 December 2019:</w:t>
      </w:r>
    </w:p>
    <w:tbl>
      <w:tblPr>
        <w:tblW w:w="8960" w:type="dxa"/>
        <w:tblLook w:val="04A0" w:firstRow="1" w:lastRow="0" w:firstColumn="1" w:lastColumn="0" w:noHBand="0" w:noVBand="1"/>
      </w:tblPr>
      <w:tblGrid>
        <w:gridCol w:w="3200"/>
        <w:gridCol w:w="1440"/>
        <w:gridCol w:w="1440"/>
        <w:gridCol w:w="1440"/>
        <w:gridCol w:w="1440"/>
      </w:tblGrid>
      <w:tr w:rsidR="0021298F" w:rsidRPr="00956CE7" w14:paraId="38064F22" w14:textId="77777777" w:rsidTr="00760009">
        <w:trPr>
          <w:trHeight w:val="509"/>
        </w:trPr>
        <w:tc>
          <w:tcPr>
            <w:tcW w:w="3200" w:type="dxa"/>
            <w:vMerge w:val="restart"/>
            <w:tcBorders>
              <w:top w:val="nil"/>
              <w:left w:val="nil"/>
              <w:bottom w:val="nil"/>
              <w:right w:val="nil"/>
            </w:tcBorders>
            <w:shd w:val="clear" w:color="000000" w:fill="FFFFFF"/>
            <w:vAlign w:val="center"/>
            <w:hideMark/>
          </w:tcPr>
          <w:p w14:paraId="7B656B29" w14:textId="77777777" w:rsidR="0021298F" w:rsidRPr="00956CE7" w:rsidRDefault="0021298F" w:rsidP="00760009">
            <w:pPr>
              <w:rPr>
                <w:rFonts w:ascii="Arial" w:eastAsia="Times New Roman" w:hAnsi="Arial" w:cs="Arial"/>
                <w:b/>
                <w:bCs/>
                <w:color w:val="000000"/>
                <w:lang w:eastAsia="en-GB"/>
              </w:rPr>
            </w:pPr>
            <w:r w:rsidRPr="00956CE7">
              <w:rPr>
                <w:rFonts w:ascii="Arial" w:eastAsia="Times New Roman" w:hAnsi="Arial" w:cs="Arial"/>
                <w:b/>
                <w:bCs/>
                <w:color w:val="000000"/>
                <w:lang w:eastAsia="en-GB"/>
              </w:rPr>
              <w:t>Company - 31 December 2020</w:t>
            </w:r>
          </w:p>
        </w:tc>
        <w:tc>
          <w:tcPr>
            <w:tcW w:w="1440" w:type="dxa"/>
            <w:vMerge w:val="restart"/>
            <w:tcBorders>
              <w:top w:val="nil"/>
              <w:left w:val="nil"/>
              <w:bottom w:val="nil"/>
              <w:right w:val="nil"/>
            </w:tcBorders>
            <w:shd w:val="clear" w:color="000000" w:fill="FFFFFF"/>
            <w:vAlign w:val="bottom"/>
            <w:hideMark/>
          </w:tcPr>
          <w:p w14:paraId="7CCD0AE9" w14:textId="77777777" w:rsidR="0021298F" w:rsidRPr="00956CE7" w:rsidRDefault="0021298F" w:rsidP="00760009">
            <w:pPr>
              <w:jc w:val="right"/>
              <w:rPr>
                <w:rFonts w:ascii="Arial" w:eastAsia="Times New Roman" w:hAnsi="Arial" w:cs="Arial"/>
                <w:b/>
                <w:bCs/>
                <w:color w:val="000000"/>
                <w:lang w:eastAsia="en-GB"/>
              </w:rPr>
            </w:pPr>
            <w:r w:rsidRPr="00956CE7">
              <w:rPr>
                <w:rFonts w:ascii="Arial" w:eastAsia="Times New Roman" w:hAnsi="Arial" w:cs="Arial"/>
                <w:b/>
                <w:bCs/>
                <w:color w:val="000000"/>
                <w:lang w:eastAsia="en-GB"/>
              </w:rPr>
              <w:t>Less than 1 year</w:t>
            </w:r>
          </w:p>
        </w:tc>
        <w:tc>
          <w:tcPr>
            <w:tcW w:w="1440" w:type="dxa"/>
            <w:vMerge w:val="restart"/>
            <w:tcBorders>
              <w:top w:val="nil"/>
              <w:left w:val="nil"/>
              <w:bottom w:val="nil"/>
              <w:right w:val="nil"/>
            </w:tcBorders>
            <w:shd w:val="clear" w:color="000000" w:fill="FFFFFF"/>
            <w:vAlign w:val="bottom"/>
            <w:hideMark/>
          </w:tcPr>
          <w:p w14:paraId="61289922" w14:textId="77777777" w:rsidR="0021298F" w:rsidRPr="00956CE7" w:rsidRDefault="0021298F" w:rsidP="00760009">
            <w:pPr>
              <w:jc w:val="right"/>
              <w:rPr>
                <w:rFonts w:ascii="Arial" w:eastAsia="Times New Roman" w:hAnsi="Arial" w:cs="Arial"/>
                <w:b/>
                <w:bCs/>
                <w:color w:val="000000"/>
                <w:lang w:eastAsia="en-GB"/>
              </w:rPr>
            </w:pPr>
            <w:r w:rsidRPr="00956CE7">
              <w:rPr>
                <w:rFonts w:ascii="Arial" w:eastAsia="Times New Roman" w:hAnsi="Arial" w:cs="Arial"/>
                <w:b/>
                <w:bCs/>
                <w:color w:val="000000"/>
                <w:lang w:eastAsia="en-GB"/>
              </w:rPr>
              <w:t>1 - 5 years</w:t>
            </w:r>
          </w:p>
        </w:tc>
        <w:tc>
          <w:tcPr>
            <w:tcW w:w="1440" w:type="dxa"/>
            <w:vMerge w:val="restart"/>
            <w:tcBorders>
              <w:top w:val="nil"/>
              <w:left w:val="nil"/>
              <w:bottom w:val="nil"/>
              <w:right w:val="nil"/>
            </w:tcBorders>
            <w:shd w:val="clear" w:color="000000" w:fill="FFFFFF"/>
            <w:vAlign w:val="bottom"/>
            <w:hideMark/>
          </w:tcPr>
          <w:p w14:paraId="6D879D5E" w14:textId="77777777" w:rsidR="0021298F" w:rsidRPr="00956CE7" w:rsidRDefault="0021298F" w:rsidP="00760009">
            <w:pPr>
              <w:jc w:val="right"/>
              <w:rPr>
                <w:rFonts w:ascii="Arial" w:eastAsia="Times New Roman" w:hAnsi="Arial" w:cs="Arial"/>
                <w:b/>
                <w:bCs/>
                <w:color w:val="000000"/>
                <w:lang w:eastAsia="en-GB"/>
              </w:rPr>
            </w:pPr>
            <w:r w:rsidRPr="00956CE7">
              <w:rPr>
                <w:rFonts w:ascii="Arial" w:eastAsia="Times New Roman" w:hAnsi="Arial" w:cs="Arial"/>
                <w:b/>
                <w:bCs/>
                <w:color w:val="000000"/>
                <w:lang w:eastAsia="en-GB"/>
              </w:rPr>
              <w:t>5+ years</w:t>
            </w:r>
          </w:p>
        </w:tc>
        <w:tc>
          <w:tcPr>
            <w:tcW w:w="1440" w:type="dxa"/>
            <w:vMerge w:val="restart"/>
            <w:tcBorders>
              <w:top w:val="nil"/>
              <w:left w:val="nil"/>
              <w:bottom w:val="nil"/>
              <w:right w:val="nil"/>
            </w:tcBorders>
            <w:shd w:val="clear" w:color="000000" w:fill="FFFFFF"/>
            <w:vAlign w:val="bottom"/>
            <w:hideMark/>
          </w:tcPr>
          <w:p w14:paraId="06AD0E32" w14:textId="77777777" w:rsidR="0021298F" w:rsidRPr="00956CE7" w:rsidRDefault="0021298F" w:rsidP="00760009">
            <w:pPr>
              <w:jc w:val="right"/>
              <w:rPr>
                <w:rFonts w:ascii="Arial" w:eastAsia="Times New Roman" w:hAnsi="Arial" w:cs="Arial"/>
                <w:b/>
                <w:bCs/>
                <w:color w:val="000000"/>
                <w:lang w:eastAsia="en-GB"/>
              </w:rPr>
            </w:pPr>
            <w:r w:rsidRPr="00956CE7">
              <w:rPr>
                <w:rFonts w:ascii="Arial" w:eastAsia="Times New Roman" w:hAnsi="Arial" w:cs="Arial"/>
                <w:b/>
                <w:bCs/>
                <w:color w:val="000000"/>
                <w:lang w:eastAsia="en-GB"/>
              </w:rPr>
              <w:t>Total</w:t>
            </w:r>
          </w:p>
        </w:tc>
      </w:tr>
      <w:tr w:rsidR="0021298F" w:rsidRPr="00956CE7" w14:paraId="3AF456B5" w14:textId="77777777" w:rsidTr="00760009">
        <w:trPr>
          <w:trHeight w:val="509"/>
        </w:trPr>
        <w:tc>
          <w:tcPr>
            <w:tcW w:w="3200" w:type="dxa"/>
            <w:vMerge/>
            <w:tcBorders>
              <w:top w:val="nil"/>
              <w:left w:val="nil"/>
              <w:bottom w:val="nil"/>
              <w:right w:val="nil"/>
            </w:tcBorders>
            <w:vAlign w:val="center"/>
            <w:hideMark/>
          </w:tcPr>
          <w:p w14:paraId="6516A351" w14:textId="77777777" w:rsidR="0021298F" w:rsidRPr="00956CE7" w:rsidRDefault="0021298F" w:rsidP="00760009">
            <w:pPr>
              <w:rPr>
                <w:rFonts w:ascii="Arial" w:eastAsia="Times New Roman" w:hAnsi="Arial" w:cs="Arial"/>
                <w:b/>
                <w:bCs/>
                <w:color w:val="000000"/>
                <w:lang w:eastAsia="en-GB"/>
              </w:rPr>
            </w:pPr>
          </w:p>
        </w:tc>
        <w:tc>
          <w:tcPr>
            <w:tcW w:w="1440" w:type="dxa"/>
            <w:vMerge/>
            <w:tcBorders>
              <w:top w:val="nil"/>
              <w:left w:val="nil"/>
              <w:bottom w:val="nil"/>
              <w:right w:val="nil"/>
            </w:tcBorders>
            <w:vAlign w:val="center"/>
            <w:hideMark/>
          </w:tcPr>
          <w:p w14:paraId="30843DB5" w14:textId="77777777" w:rsidR="0021298F" w:rsidRPr="00956CE7" w:rsidRDefault="0021298F" w:rsidP="00760009">
            <w:pPr>
              <w:rPr>
                <w:rFonts w:ascii="Arial" w:eastAsia="Times New Roman" w:hAnsi="Arial" w:cs="Arial"/>
                <w:b/>
                <w:bCs/>
                <w:color w:val="000000"/>
                <w:lang w:eastAsia="en-GB"/>
              </w:rPr>
            </w:pPr>
          </w:p>
        </w:tc>
        <w:tc>
          <w:tcPr>
            <w:tcW w:w="1440" w:type="dxa"/>
            <w:vMerge/>
            <w:tcBorders>
              <w:top w:val="nil"/>
              <w:left w:val="nil"/>
              <w:bottom w:val="nil"/>
              <w:right w:val="nil"/>
            </w:tcBorders>
            <w:vAlign w:val="center"/>
            <w:hideMark/>
          </w:tcPr>
          <w:p w14:paraId="5C401614" w14:textId="77777777" w:rsidR="0021298F" w:rsidRPr="00956CE7" w:rsidRDefault="0021298F" w:rsidP="00760009">
            <w:pPr>
              <w:rPr>
                <w:rFonts w:ascii="Arial" w:eastAsia="Times New Roman" w:hAnsi="Arial" w:cs="Arial"/>
                <w:b/>
                <w:bCs/>
                <w:color w:val="000000"/>
                <w:lang w:eastAsia="en-GB"/>
              </w:rPr>
            </w:pPr>
          </w:p>
        </w:tc>
        <w:tc>
          <w:tcPr>
            <w:tcW w:w="1440" w:type="dxa"/>
            <w:vMerge/>
            <w:tcBorders>
              <w:top w:val="nil"/>
              <w:left w:val="nil"/>
              <w:bottom w:val="nil"/>
              <w:right w:val="nil"/>
            </w:tcBorders>
            <w:vAlign w:val="center"/>
            <w:hideMark/>
          </w:tcPr>
          <w:p w14:paraId="219BE87D" w14:textId="77777777" w:rsidR="0021298F" w:rsidRPr="00956CE7" w:rsidRDefault="0021298F" w:rsidP="00760009">
            <w:pPr>
              <w:rPr>
                <w:rFonts w:ascii="Arial" w:eastAsia="Times New Roman" w:hAnsi="Arial" w:cs="Arial"/>
                <w:b/>
                <w:bCs/>
                <w:color w:val="000000"/>
                <w:lang w:eastAsia="en-GB"/>
              </w:rPr>
            </w:pPr>
          </w:p>
        </w:tc>
        <w:tc>
          <w:tcPr>
            <w:tcW w:w="1440" w:type="dxa"/>
            <w:vMerge/>
            <w:tcBorders>
              <w:top w:val="nil"/>
              <w:left w:val="nil"/>
              <w:bottom w:val="nil"/>
              <w:right w:val="nil"/>
            </w:tcBorders>
            <w:vAlign w:val="center"/>
            <w:hideMark/>
          </w:tcPr>
          <w:p w14:paraId="7532DA79" w14:textId="77777777" w:rsidR="0021298F" w:rsidRPr="00956CE7" w:rsidRDefault="0021298F" w:rsidP="00760009">
            <w:pPr>
              <w:rPr>
                <w:rFonts w:ascii="Arial" w:eastAsia="Times New Roman" w:hAnsi="Arial" w:cs="Arial"/>
                <w:b/>
                <w:bCs/>
                <w:color w:val="000000"/>
                <w:lang w:eastAsia="en-GB"/>
              </w:rPr>
            </w:pPr>
          </w:p>
        </w:tc>
      </w:tr>
      <w:tr w:rsidR="0021298F" w:rsidRPr="00956CE7" w14:paraId="78855868" w14:textId="77777777" w:rsidTr="00760009">
        <w:trPr>
          <w:trHeight w:val="300"/>
        </w:trPr>
        <w:tc>
          <w:tcPr>
            <w:tcW w:w="3200" w:type="dxa"/>
            <w:tcBorders>
              <w:top w:val="nil"/>
              <w:left w:val="nil"/>
              <w:bottom w:val="single" w:sz="4" w:space="0" w:color="auto"/>
              <w:right w:val="nil"/>
            </w:tcBorders>
            <w:shd w:val="clear" w:color="000000" w:fill="FFFFFF"/>
            <w:noWrap/>
            <w:vAlign w:val="center"/>
            <w:hideMark/>
          </w:tcPr>
          <w:p w14:paraId="4AAF363E" w14:textId="77777777" w:rsidR="0021298F" w:rsidRPr="00956CE7" w:rsidRDefault="0021298F" w:rsidP="00760009">
            <w:pPr>
              <w:jc w:val="right"/>
              <w:rPr>
                <w:rFonts w:ascii="Arial" w:eastAsia="Times New Roman" w:hAnsi="Arial" w:cs="Arial"/>
                <w:b/>
                <w:bCs/>
                <w:color w:val="000000"/>
                <w:lang w:eastAsia="en-GB"/>
              </w:rPr>
            </w:pPr>
            <w:r w:rsidRPr="00956CE7">
              <w:rPr>
                <w:rFonts w:ascii="Arial" w:eastAsia="Times New Roman" w:hAnsi="Arial" w:cs="Arial"/>
                <w:b/>
                <w:bCs/>
                <w:color w:val="000000"/>
                <w:lang w:eastAsia="en-GB"/>
              </w:rPr>
              <w:t> </w:t>
            </w:r>
          </w:p>
        </w:tc>
        <w:tc>
          <w:tcPr>
            <w:tcW w:w="1440" w:type="dxa"/>
            <w:tcBorders>
              <w:top w:val="nil"/>
              <w:left w:val="nil"/>
              <w:bottom w:val="single" w:sz="4" w:space="0" w:color="auto"/>
              <w:right w:val="nil"/>
            </w:tcBorders>
            <w:shd w:val="clear" w:color="000000" w:fill="FFFFFF"/>
            <w:noWrap/>
            <w:vAlign w:val="center"/>
            <w:hideMark/>
          </w:tcPr>
          <w:p w14:paraId="3EC0D638" w14:textId="77777777" w:rsidR="0021298F" w:rsidRPr="00956CE7" w:rsidRDefault="0021298F" w:rsidP="00760009">
            <w:pPr>
              <w:jc w:val="right"/>
              <w:rPr>
                <w:rFonts w:ascii="Arial" w:eastAsia="Times New Roman" w:hAnsi="Arial" w:cs="Arial"/>
                <w:b/>
                <w:bCs/>
                <w:color w:val="000000"/>
                <w:lang w:eastAsia="en-GB"/>
              </w:rPr>
            </w:pPr>
            <w:r w:rsidRPr="00956CE7">
              <w:rPr>
                <w:rFonts w:ascii="Arial" w:eastAsia="Times New Roman" w:hAnsi="Arial" w:cs="Arial"/>
                <w:b/>
                <w:bCs/>
                <w:color w:val="000000"/>
                <w:lang w:eastAsia="en-GB"/>
              </w:rPr>
              <w:t>€’000</w:t>
            </w:r>
          </w:p>
        </w:tc>
        <w:tc>
          <w:tcPr>
            <w:tcW w:w="1440" w:type="dxa"/>
            <w:tcBorders>
              <w:top w:val="nil"/>
              <w:left w:val="nil"/>
              <w:bottom w:val="single" w:sz="4" w:space="0" w:color="auto"/>
              <w:right w:val="nil"/>
            </w:tcBorders>
            <w:shd w:val="clear" w:color="000000" w:fill="FFFFFF"/>
            <w:noWrap/>
            <w:vAlign w:val="center"/>
            <w:hideMark/>
          </w:tcPr>
          <w:p w14:paraId="06E6F930" w14:textId="77777777" w:rsidR="0021298F" w:rsidRPr="00956CE7" w:rsidRDefault="0021298F" w:rsidP="00760009">
            <w:pPr>
              <w:jc w:val="right"/>
              <w:rPr>
                <w:rFonts w:ascii="Arial" w:eastAsia="Times New Roman" w:hAnsi="Arial" w:cs="Arial"/>
                <w:b/>
                <w:bCs/>
                <w:color w:val="000000"/>
                <w:lang w:eastAsia="en-GB"/>
              </w:rPr>
            </w:pPr>
            <w:r w:rsidRPr="00956CE7">
              <w:rPr>
                <w:rFonts w:ascii="Arial" w:eastAsia="Times New Roman" w:hAnsi="Arial" w:cs="Arial"/>
                <w:b/>
                <w:bCs/>
                <w:color w:val="000000"/>
                <w:lang w:eastAsia="en-GB"/>
              </w:rPr>
              <w:t>€’000</w:t>
            </w:r>
          </w:p>
        </w:tc>
        <w:tc>
          <w:tcPr>
            <w:tcW w:w="1440" w:type="dxa"/>
            <w:tcBorders>
              <w:top w:val="nil"/>
              <w:left w:val="nil"/>
              <w:bottom w:val="single" w:sz="4" w:space="0" w:color="auto"/>
              <w:right w:val="nil"/>
            </w:tcBorders>
            <w:shd w:val="clear" w:color="000000" w:fill="FFFFFF"/>
            <w:noWrap/>
            <w:vAlign w:val="center"/>
            <w:hideMark/>
          </w:tcPr>
          <w:p w14:paraId="65F26DEB" w14:textId="77777777" w:rsidR="0021298F" w:rsidRPr="00956CE7" w:rsidRDefault="0021298F" w:rsidP="00760009">
            <w:pPr>
              <w:jc w:val="right"/>
              <w:rPr>
                <w:rFonts w:ascii="Arial" w:eastAsia="Times New Roman" w:hAnsi="Arial" w:cs="Arial"/>
                <w:b/>
                <w:bCs/>
                <w:color w:val="000000"/>
                <w:lang w:eastAsia="en-GB"/>
              </w:rPr>
            </w:pPr>
            <w:r w:rsidRPr="00956CE7">
              <w:rPr>
                <w:rFonts w:ascii="Arial" w:eastAsia="Times New Roman" w:hAnsi="Arial" w:cs="Arial"/>
                <w:b/>
                <w:bCs/>
                <w:color w:val="000000"/>
                <w:lang w:eastAsia="en-GB"/>
              </w:rPr>
              <w:t>€’000</w:t>
            </w:r>
          </w:p>
        </w:tc>
        <w:tc>
          <w:tcPr>
            <w:tcW w:w="1440" w:type="dxa"/>
            <w:tcBorders>
              <w:top w:val="nil"/>
              <w:left w:val="nil"/>
              <w:bottom w:val="single" w:sz="4" w:space="0" w:color="auto"/>
              <w:right w:val="nil"/>
            </w:tcBorders>
            <w:shd w:val="clear" w:color="000000" w:fill="FFFFFF"/>
            <w:noWrap/>
            <w:vAlign w:val="center"/>
            <w:hideMark/>
          </w:tcPr>
          <w:p w14:paraId="206FB527" w14:textId="77777777" w:rsidR="0021298F" w:rsidRPr="00956CE7" w:rsidRDefault="0021298F" w:rsidP="00760009">
            <w:pPr>
              <w:jc w:val="right"/>
              <w:rPr>
                <w:rFonts w:ascii="Arial" w:eastAsia="Times New Roman" w:hAnsi="Arial" w:cs="Arial"/>
                <w:b/>
                <w:bCs/>
                <w:color w:val="000000"/>
                <w:lang w:eastAsia="en-GB"/>
              </w:rPr>
            </w:pPr>
            <w:r w:rsidRPr="00956CE7">
              <w:rPr>
                <w:rFonts w:ascii="Arial" w:eastAsia="Times New Roman" w:hAnsi="Arial" w:cs="Arial"/>
                <w:b/>
                <w:bCs/>
                <w:color w:val="000000"/>
                <w:lang w:eastAsia="en-GB"/>
              </w:rPr>
              <w:t>€’000</w:t>
            </w:r>
          </w:p>
        </w:tc>
      </w:tr>
      <w:tr w:rsidR="0021298F" w:rsidRPr="00956CE7" w14:paraId="0F3143FB" w14:textId="77777777" w:rsidTr="00760009">
        <w:trPr>
          <w:trHeight w:val="300"/>
        </w:trPr>
        <w:tc>
          <w:tcPr>
            <w:tcW w:w="3200" w:type="dxa"/>
            <w:tcBorders>
              <w:top w:val="nil"/>
              <w:left w:val="nil"/>
              <w:bottom w:val="nil"/>
              <w:right w:val="nil"/>
            </w:tcBorders>
            <w:shd w:val="clear" w:color="000000" w:fill="FFFFFF"/>
            <w:vAlign w:val="center"/>
            <w:hideMark/>
          </w:tcPr>
          <w:p w14:paraId="2E9D734F" w14:textId="77777777" w:rsidR="0021298F" w:rsidRPr="00956CE7" w:rsidRDefault="0021298F" w:rsidP="00760009">
            <w:pPr>
              <w:jc w:val="both"/>
              <w:rPr>
                <w:rFonts w:ascii="Arial" w:eastAsia="Times New Roman" w:hAnsi="Arial" w:cs="Arial"/>
                <w:b/>
                <w:bCs/>
                <w:color w:val="000000"/>
                <w:lang w:eastAsia="en-GB"/>
              </w:rPr>
            </w:pPr>
            <w:r w:rsidRPr="00956CE7">
              <w:rPr>
                <w:rFonts w:ascii="Arial" w:eastAsia="Times New Roman" w:hAnsi="Arial" w:cs="Arial"/>
                <w:b/>
                <w:bCs/>
                <w:color w:val="000000"/>
                <w:lang w:eastAsia="en-GB"/>
              </w:rPr>
              <w:t>Assets</w:t>
            </w:r>
          </w:p>
        </w:tc>
        <w:tc>
          <w:tcPr>
            <w:tcW w:w="1440" w:type="dxa"/>
            <w:tcBorders>
              <w:top w:val="nil"/>
              <w:left w:val="nil"/>
              <w:bottom w:val="nil"/>
              <w:right w:val="nil"/>
            </w:tcBorders>
            <w:shd w:val="clear" w:color="000000" w:fill="EDFFB7"/>
            <w:noWrap/>
            <w:vAlign w:val="center"/>
            <w:hideMark/>
          </w:tcPr>
          <w:p w14:paraId="695D7C55" w14:textId="77777777" w:rsidR="0021298F" w:rsidRPr="00956CE7" w:rsidRDefault="0021298F" w:rsidP="00760009">
            <w:pPr>
              <w:jc w:val="right"/>
              <w:rPr>
                <w:rFonts w:ascii="Arial" w:eastAsia="Times New Roman" w:hAnsi="Arial" w:cs="Arial"/>
                <w:b/>
                <w:bCs/>
                <w:color w:val="000000"/>
                <w:lang w:eastAsia="en-GB"/>
              </w:rPr>
            </w:pPr>
            <w:r w:rsidRPr="00956CE7">
              <w:rPr>
                <w:rFonts w:ascii="Arial" w:eastAsia="Times New Roman" w:hAnsi="Arial" w:cs="Arial"/>
                <w:b/>
                <w:bCs/>
                <w:color w:val="000000"/>
                <w:lang w:eastAsia="en-GB"/>
              </w:rPr>
              <w:t> </w:t>
            </w:r>
          </w:p>
        </w:tc>
        <w:tc>
          <w:tcPr>
            <w:tcW w:w="1440" w:type="dxa"/>
            <w:tcBorders>
              <w:top w:val="nil"/>
              <w:left w:val="nil"/>
              <w:bottom w:val="nil"/>
              <w:right w:val="nil"/>
            </w:tcBorders>
            <w:shd w:val="clear" w:color="000000" w:fill="EDFFB7"/>
            <w:noWrap/>
            <w:vAlign w:val="center"/>
            <w:hideMark/>
          </w:tcPr>
          <w:p w14:paraId="4277B287" w14:textId="77777777" w:rsidR="0021298F" w:rsidRPr="00956CE7" w:rsidRDefault="0021298F" w:rsidP="00760009">
            <w:pPr>
              <w:jc w:val="right"/>
              <w:rPr>
                <w:rFonts w:ascii="Arial" w:eastAsia="Times New Roman" w:hAnsi="Arial" w:cs="Arial"/>
                <w:b/>
                <w:bCs/>
                <w:color w:val="000000"/>
                <w:lang w:eastAsia="en-GB"/>
              </w:rPr>
            </w:pPr>
            <w:r w:rsidRPr="00956CE7">
              <w:rPr>
                <w:rFonts w:ascii="Arial" w:eastAsia="Times New Roman" w:hAnsi="Arial" w:cs="Arial"/>
                <w:b/>
                <w:bCs/>
                <w:color w:val="000000"/>
                <w:lang w:eastAsia="en-GB"/>
              </w:rPr>
              <w:t> </w:t>
            </w:r>
          </w:p>
        </w:tc>
        <w:tc>
          <w:tcPr>
            <w:tcW w:w="1440" w:type="dxa"/>
            <w:tcBorders>
              <w:top w:val="nil"/>
              <w:left w:val="nil"/>
              <w:bottom w:val="nil"/>
              <w:right w:val="nil"/>
            </w:tcBorders>
            <w:shd w:val="clear" w:color="000000" w:fill="EDFFB7"/>
            <w:noWrap/>
            <w:vAlign w:val="center"/>
            <w:hideMark/>
          </w:tcPr>
          <w:p w14:paraId="0508C33B" w14:textId="77777777" w:rsidR="0021298F" w:rsidRPr="00956CE7" w:rsidRDefault="0021298F" w:rsidP="00760009">
            <w:pPr>
              <w:jc w:val="right"/>
              <w:rPr>
                <w:rFonts w:ascii="Arial" w:eastAsia="Times New Roman" w:hAnsi="Arial" w:cs="Arial"/>
                <w:b/>
                <w:bCs/>
                <w:color w:val="000000"/>
                <w:lang w:eastAsia="en-GB"/>
              </w:rPr>
            </w:pPr>
            <w:r w:rsidRPr="00956CE7">
              <w:rPr>
                <w:rFonts w:ascii="Arial" w:eastAsia="Times New Roman" w:hAnsi="Arial" w:cs="Arial"/>
                <w:b/>
                <w:bCs/>
                <w:color w:val="000000"/>
                <w:lang w:eastAsia="en-GB"/>
              </w:rPr>
              <w:t> </w:t>
            </w:r>
          </w:p>
        </w:tc>
        <w:tc>
          <w:tcPr>
            <w:tcW w:w="1440" w:type="dxa"/>
            <w:tcBorders>
              <w:top w:val="nil"/>
              <w:left w:val="nil"/>
              <w:bottom w:val="nil"/>
              <w:right w:val="nil"/>
            </w:tcBorders>
            <w:shd w:val="clear" w:color="000000" w:fill="EDFFB7"/>
            <w:noWrap/>
            <w:vAlign w:val="center"/>
            <w:hideMark/>
          </w:tcPr>
          <w:p w14:paraId="3C366E46" w14:textId="77777777" w:rsidR="0021298F" w:rsidRPr="00956CE7" w:rsidRDefault="0021298F" w:rsidP="00760009">
            <w:pPr>
              <w:jc w:val="right"/>
              <w:rPr>
                <w:rFonts w:ascii="Arial" w:eastAsia="Times New Roman" w:hAnsi="Arial" w:cs="Arial"/>
                <w:b/>
                <w:bCs/>
                <w:color w:val="000000"/>
                <w:lang w:eastAsia="en-GB"/>
              </w:rPr>
            </w:pPr>
            <w:r w:rsidRPr="00956CE7">
              <w:rPr>
                <w:rFonts w:ascii="Arial" w:eastAsia="Times New Roman" w:hAnsi="Arial" w:cs="Arial"/>
                <w:b/>
                <w:bCs/>
                <w:color w:val="000000"/>
                <w:lang w:eastAsia="en-GB"/>
              </w:rPr>
              <w:t> </w:t>
            </w:r>
          </w:p>
        </w:tc>
      </w:tr>
      <w:tr w:rsidR="0021298F" w:rsidRPr="00956CE7" w14:paraId="3C83E11C" w14:textId="77777777" w:rsidTr="00760009">
        <w:trPr>
          <w:trHeight w:val="300"/>
        </w:trPr>
        <w:tc>
          <w:tcPr>
            <w:tcW w:w="3200" w:type="dxa"/>
            <w:tcBorders>
              <w:top w:val="nil"/>
              <w:left w:val="nil"/>
              <w:bottom w:val="nil"/>
              <w:right w:val="nil"/>
            </w:tcBorders>
            <w:shd w:val="clear" w:color="000000" w:fill="FFFFFF"/>
            <w:vAlign w:val="center"/>
            <w:hideMark/>
          </w:tcPr>
          <w:p w14:paraId="7009B1C6" w14:textId="77777777" w:rsidR="0021298F" w:rsidRPr="00956CE7" w:rsidRDefault="0021298F" w:rsidP="00760009">
            <w:pPr>
              <w:jc w:val="both"/>
              <w:rPr>
                <w:rFonts w:ascii="Arial" w:eastAsia="Times New Roman" w:hAnsi="Arial" w:cs="Arial"/>
                <w:color w:val="000000"/>
                <w:lang w:eastAsia="en-GB"/>
              </w:rPr>
            </w:pPr>
            <w:r w:rsidRPr="00956CE7">
              <w:rPr>
                <w:rFonts w:ascii="Arial" w:eastAsia="Times New Roman" w:hAnsi="Arial" w:cs="Arial"/>
                <w:color w:val="000000"/>
                <w:lang w:eastAsia="en-GB"/>
              </w:rPr>
              <w:t>Other receivables</w:t>
            </w:r>
          </w:p>
        </w:tc>
        <w:tc>
          <w:tcPr>
            <w:tcW w:w="1440" w:type="dxa"/>
            <w:tcBorders>
              <w:top w:val="nil"/>
              <w:left w:val="nil"/>
              <w:bottom w:val="nil"/>
              <w:right w:val="nil"/>
            </w:tcBorders>
            <w:shd w:val="clear" w:color="000000" w:fill="EDFFB7"/>
            <w:noWrap/>
            <w:vAlign w:val="center"/>
            <w:hideMark/>
          </w:tcPr>
          <w:p w14:paraId="3EF5DE9C" w14:textId="77777777" w:rsidR="0021298F" w:rsidRPr="00956CE7" w:rsidRDefault="0021298F" w:rsidP="00760009">
            <w:pPr>
              <w:jc w:val="right"/>
              <w:rPr>
                <w:rFonts w:ascii="Arial" w:eastAsia="Times New Roman" w:hAnsi="Arial" w:cs="Arial"/>
                <w:color w:val="000000"/>
                <w:lang w:eastAsia="en-GB"/>
              </w:rPr>
            </w:pPr>
            <w:r w:rsidRPr="00956CE7">
              <w:rPr>
                <w:rFonts w:ascii="Arial" w:eastAsia="Times New Roman" w:hAnsi="Arial" w:cs="Arial"/>
                <w:color w:val="000000"/>
                <w:lang w:eastAsia="en-GB"/>
              </w:rPr>
              <w:t xml:space="preserve">3,772 </w:t>
            </w:r>
          </w:p>
        </w:tc>
        <w:tc>
          <w:tcPr>
            <w:tcW w:w="1440" w:type="dxa"/>
            <w:tcBorders>
              <w:top w:val="nil"/>
              <w:left w:val="nil"/>
              <w:bottom w:val="nil"/>
              <w:right w:val="nil"/>
            </w:tcBorders>
            <w:shd w:val="clear" w:color="000000" w:fill="EDFFB7"/>
            <w:noWrap/>
            <w:vAlign w:val="center"/>
            <w:hideMark/>
          </w:tcPr>
          <w:p w14:paraId="7969CCE0" w14:textId="77777777" w:rsidR="0021298F" w:rsidRPr="00956CE7" w:rsidRDefault="0021298F" w:rsidP="00760009">
            <w:pPr>
              <w:jc w:val="right"/>
              <w:rPr>
                <w:rFonts w:ascii="Arial" w:eastAsia="Times New Roman" w:hAnsi="Arial" w:cs="Arial"/>
                <w:color w:val="000000"/>
                <w:lang w:eastAsia="en-GB"/>
              </w:rPr>
            </w:pPr>
            <w:r w:rsidRPr="00956CE7">
              <w:rPr>
                <w:rFonts w:ascii="Arial" w:eastAsia="Times New Roman" w:hAnsi="Arial" w:cs="Arial"/>
                <w:color w:val="000000"/>
                <w:lang w:eastAsia="en-GB"/>
              </w:rPr>
              <w:t xml:space="preserve"> - </w:t>
            </w:r>
          </w:p>
        </w:tc>
        <w:tc>
          <w:tcPr>
            <w:tcW w:w="1440" w:type="dxa"/>
            <w:tcBorders>
              <w:top w:val="nil"/>
              <w:left w:val="nil"/>
              <w:bottom w:val="nil"/>
              <w:right w:val="nil"/>
            </w:tcBorders>
            <w:shd w:val="clear" w:color="000000" w:fill="EDFFB7"/>
            <w:noWrap/>
            <w:vAlign w:val="center"/>
            <w:hideMark/>
          </w:tcPr>
          <w:p w14:paraId="6AE5B525" w14:textId="77777777" w:rsidR="0021298F" w:rsidRPr="00956CE7" w:rsidRDefault="0021298F" w:rsidP="00760009">
            <w:pPr>
              <w:jc w:val="right"/>
              <w:rPr>
                <w:rFonts w:ascii="Arial" w:eastAsia="Times New Roman" w:hAnsi="Arial" w:cs="Arial"/>
                <w:color w:val="000000"/>
                <w:lang w:eastAsia="en-GB"/>
              </w:rPr>
            </w:pPr>
            <w:r w:rsidRPr="00956CE7">
              <w:rPr>
                <w:rFonts w:ascii="Arial" w:eastAsia="Times New Roman" w:hAnsi="Arial" w:cs="Arial"/>
                <w:color w:val="000000"/>
                <w:lang w:eastAsia="en-GB"/>
              </w:rPr>
              <w:t xml:space="preserve"> - </w:t>
            </w:r>
          </w:p>
        </w:tc>
        <w:tc>
          <w:tcPr>
            <w:tcW w:w="1440" w:type="dxa"/>
            <w:tcBorders>
              <w:top w:val="nil"/>
              <w:left w:val="nil"/>
              <w:bottom w:val="nil"/>
              <w:right w:val="nil"/>
            </w:tcBorders>
            <w:shd w:val="clear" w:color="000000" w:fill="EDFFB7"/>
            <w:noWrap/>
            <w:vAlign w:val="center"/>
            <w:hideMark/>
          </w:tcPr>
          <w:p w14:paraId="09632B61" w14:textId="77777777" w:rsidR="0021298F" w:rsidRPr="00956CE7" w:rsidRDefault="0021298F" w:rsidP="00760009">
            <w:pPr>
              <w:jc w:val="right"/>
              <w:rPr>
                <w:rFonts w:ascii="Arial" w:eastAsia="Times New Roman" w:hAnsi="Arial" w:cs="Arial"/>
                <w:b/>
                <w:bCs/>
                <w:color w:val="000000"/>
                <w:lang w:eastAsia="en-GB"/>
              </w:rPr>
            </w:pPr>
            <w:r w:rsidRPr="00956CE7">
              <w:rPr>
                <w:rFonts w:ascii="Arial" w:eastAsia="Times New Roman" w:hAnsi="Arial" w:cs="Arial"/>
                <w:b/>
                <w:bCs/>
                <w:color w:val="000000"/>
                <w:lang w:eastAsia="en-GB"/>
              </w:rPr>
              <w:t xml:space="preserve">3,772 </w:t>
            </w:r>
          </w:p>
        </w:tc>
      </w:tr>
      <w:tr w:rsidR="0021298F" w:rsidRPr="00956CE7" w14:paraId="4F213863" w14:textId="77777777" w:rsidTr="00760009">
        <w:trPr>
          <w:trHeight w:val="300"/>
        </w:trPr>
        <w:tc>
          <w:tcPr>
            <w:tcW w:w="3200" w:type="dxa"/>
            <w:tcBorders>
              <w:top w:val="nil"/>
              <w:left w:val="nil"/>
              <w:bottom w:val="nil"/>
              <w:right w:val="nil"/>
            </w:tcBorders>
            <w:shd w:val="clear" w:color="000000" w:fill="FFFFFF"/>
            <w:vAlign w:val="center"/>
            <w:hideMark/>
          </w:tcPr>
          <w:p w14:paraId="2A5FC3D8" w14:textId="77777777" w:rsidR="0021298F" w:rsidRPr="00956CE7" w:rsidRDefault="0021298F" w:rsidP="00760009">
            <w:pPr>
              <w:jc w:val="both"/>
              <w:rPr>
                <w:rFonts w:ascii="Arial" w:eastAsia="Times New Roman" w:hAnsi="Arial" w:cs="Arial"/>
                <w:color w:val="000000"/>
                <w:lang w:eastAsia="en-GB"/>
              </w:rPr>
            </w:pPr>
            <w:r w:rsidRPr="00956CE7">
              <w:rPr>
                <w:rFonts w:ascii="Arial" w:eastAsia="Times New Roman" w:hAnsi="Arial" w:cs="Arial"/>
                <w:color w:val="000000"/>
                <w:lang w:eastAsia="en-GB"/>
              </w:rPr>
              <w:t>Cash at bank</w:t>
            </w:r>
          </w:p>
        </w:tc>
        <w:tc>
          <w:tcPr>
            <w:tcW w:w="1440" w:type="dxa"/>
            <w:tcBorders>
              <w:top w:val="nil"/>
              <w:left w:val="nil"/>
              <w:bottom w:val="nil"/>
              <w:right w:val="nil"/>
            </w:tcBorders>
            <w:shd w:val="clear" w:color="000000" w:fill="EDFFB7"/>
            <w:noWrap/>
            <w:vAlign w:val="center"/>
            <w:hideMark/>
          </w:tcPr>
          <w:p w14:paraId="36E8F2B0" w14:textId="77777777" w:rsidR="0021298F" w:rsidRPr="00956CE7" w:rsidRDefault="0021298F" w:rsidP="00760009">
            <w:pPr>
              <w:jc w:val="right"/>
              <w:rPr>
                <w:rFonts w:ascii="Arial" w:eastAsia="Times New Roman" w:hAnsi="Arial" w:cs="Arial"/>
                <w:color w:val="000000"/>
                <w:lang w:eastAsia="en-GB"/>
              </w:rPr>
            </w:pPr>
            <w:r w:rsidRPr="00956CE7">
              <w:rPr>
                <w:rFonts w:ascii="Arial" w:eastAsia="Times New Roman" w:hAnsi="Arial" w:cs="Arial"/>
                <w:color w:val="000000"/>
                <w:lang w:eastAsia="en-GB"/>
              </w:rPr>
              <w:t xml:space="preserve">1,545 </w:t>
            </w:r>
          </w:p>
        </w:tc>
        <w:tc>
          <w:tcPr>
            <w:tcW w:w="1440" w:type="dxa"/>
            <w:tcBorders>
              <w:top w:val="nil"/>
              <w:left w:val="nil"/>
              <w:bottom w:val="nil"/>
              <w:right w:val="nil"/>
            </w:tcBorders>
            <w:shd w:val="clear" w:color="000000" w:fill="EDFFB7"/>
            <w:noWrap/>
            <w:vAlign w:val="center"/>
            <w:hideMark/>
          </w:tcPr>
          <w:p w14:paraId="21B30CC7" w14:textId="77777777" w:rsidR="0021298F" w:rsidRPr="00956CE7" w:rsidRDefault="0021298F" w:rsidP="00760009">
            <w:pPr>
              <w:jc w:val="right"/>
              <w:rPr>
                <w:rFonts w:ascii="Arial" w:eastAsia="Times New Roman" w:hAnsi="Arial" w:cs="Arial"/>
                <w:color w:val="000000"/>
                <w:lang w:eastAsia="en-GB"/>
              </w:rPr>
            </w:pPr>
            <w:r w:rsidRPr="00956CE7">
              <w:rPr>
                <w:rFonts w:ascii="Arial" w:eastAsia="Times New Roman" w:hAnsi="Arial" w:cs="Arial"/>
                <w:color w:val="000000"/>
                <w:lang w:eastAsia="en-GB"/>
              </w:rPr>
              <w:t xml:space="preserve"> - </w:t>
            </w:r>
          </w:p>
        </w:tc>
        <w:tc>
          <w:tcPr>
            <w:tcW w:w="1440" w:type="dxa"/>
            <w:tcBorders>
              <w:top w:val="nil"/>
              <w:left w:val="nil"/>
              <w:bottom w:val="nil"/>
              <w:right w:val="nil"/>
            </w:tcBorders>
            <w:shd w:val="clear" w:color="000000" w:fill="EDFFB7"/>
            <w:noWrap/>
            <w:vAlign w:val="center"/>
            <w:hideMark/>
          </w:tcPr>
          <w:p w14:paraId="6CFDE2AA" w14:textId="77777777" w:rsidR="0021298F" w:rsidRPr="00956CE7" w:rsidRDefault="0021298F" w:rsidP="00760009">
            <w:pPr>
              <w:jc w:val="right"/>
              <w:rPr>
                <w:rFonts w:ascii="Arial" w:eastAsia="Times New Roman" w:hAnsi="Arial" w:cs="Arial"/>
                <w:color w:val="000000"/>
                <w:lang w:eastAsia="en-GB"/>
              </w:rPr>
            </w:pPr>
            <w:r w:rsidRPr="00956CE7">
              <w:rPr>
                <w:rFonts w:ascii="Arial" w:eastAsia="Times New Roman" w:hAnsi="Arial" w:cs="Arial"/>
                <w:color w:val="000000"/>
                <w:lang w:eastAsia="en-GB"/>
              </w:rPr>
              <w:t xml:space="preserve"> - </w:t>
            </w:r>
          </w:p>
        </w:tc>
        <w:tc>
          <w:tcPr>
            <w:tcW w:w="1440" w:type="dxa"/>
            <w:tcBorders>
              <w:top w:val="nil"/>
              <w:left w:val="nil"/>
              <w:bottom w:val="nil"/>
              <w:right w:val="nil"/>
            </w:tcBorders>
            <w:shd w:val="clear" w:color="000000" w:fill="EDFFB7"/>
            <w:noWrap/>
            <w:vAlign w:val="center"/>
            <w:hideMark/>
          </w:tcPr>
          <w:p w14:paraId="62ED92AF" w14:textId="77777777" w:rsidR="0021298F" w:rsidRPr="00956CE7" w:rsidRDefault="0021298F" w:rsidP="00760009">
            <w:pPr>
              <w:jc w:val="right"/>
              <w:rPr>
                <w:rFonts w:ascii="Arial" w:eastAsia="Times New Roman" w:hAnsi="Arial" w:cs="Arial"/>
                <w:b/>
                <w:bCs/>
                <w:color w:val="000000"/>
                <w:lang w:eastAsia="en-GB"/>
              </w:rPr>
            </w:pPr>
            <w:r w:rsidRPr="00956CE7">
              <w:rPr>
                <w:rFonts w:ascii="Arial" w:eastAsia="Times New Roman" w:hAnsi="Arial" w:cs="Arial"/>
                <w:b/>
                <w:bCs/>
                <w:color w:val="000000"/>
                <w:lang w:eastAsia="en-GB"/>
              </w:rPr>
              <w:t xml:space="preserve">1,545 </w:t>
            </w:r>
          </w:p>
        </w:tc>
      </w:tr>
      <w:tr w:rsidR="0021298F" w:rsidRPr="00956CE7" w14:paraId="24EE7B5A" w14:textId="77777777" w:rsidTr="00760009">
        <w:trPr>
          <w:trHeight w:val="300"/>
        </w:trPr>
        <w:tc>
          <w:tcPr>
            <w:tcW w:w="3200" w:type="dxa"/>
            <w:tcBorders>
              <w:top w:val="nil"/>
              <w:left w:val="nil"/>
              <w:bottom w:val="nil"/>
              <w:right w:val="nil"/>
            </w:tcBorders>
            <w:shd w:val="clear" w:color="000000" w:fill="FFFFFF"/>
            <w:vAlign w:val="center"/>
            <w:hideMark/>
          </w:tcPr>
          <w:p w14:paraId="487D0E9F" w14:textId="77777777" w:rsidR="0021298F" w:rsidRPr="00956CE7" w:rsidRDefault="0021298F" w:rsidP="00760009">
            <w:pPr>
              <w:jc w:val="both"/>
              <w:rPr>
                <w:rFonts w:ascii="Arial" w:eastAsia="Times New Roman" w:hAnsi="Arial" w:cs="Arial"/>
                <w:color w:val="000000"/>
                <w:lang w:eastAsia="en-GB"/>
              </w:rPr>
            </w:pPr>
            <w:r w:rsidRPr="00956CE7">
              <w:rPr>
                <w:rFonts w:ascii="Arial" w:eastAsia="Times New Roman" w:hAnsi="Arial" w:cs="Arial"/>
                <w:color w:val="000000"/>
                <w:lang w:eastAsia="en-GB"/>
              </w:rPr>
              <w:t>Loan investments</w:t>
            </w:r>
          </w:p>
        </w:tc>
        <w:tc>
          <w:tcPr>
            <w:tcW w:w="1440" w:type="dxa"/>
            <w:tcBorders>
              <w:top w:val="nil"/>
              <w:left w:val="nil"/>
              <w:bottom w:val="nil"/>
              <w:right w:val="nil"/>
            </w:tcBorders>
            <w:shd w:val="clear" w:color="000000" w:fill="EDFFB7"/>
            <w:noWrap/>
            <w:vAlign w:val="center"/>
            <w:hideMark/>
          </w:tcPr>
          <w:p w14:paraId="00A6CFBE" w14:textId="77777777" w:rsidR="0021298F" w:rsidRPr="00956CE7" w:rsidRDefault="0021298F" w:rsidP="00760009">
            <w:pPr>
              <w:jc w:val="right"/>
              <w:rPr>
                <w:rFonts w:ascii="Arial" w:eastAsia="Times New Roman" w:hAnsi="Arial" w:cs="Arial"/>
                <w:color w:val="000000"/>
                <w:lang w:eastAsia="en-GB"/>
              </w:rPr>
            </w:pPr>
            <w:r w:rsidRPr="00956CE7">
              <w:rPr>
                <w:rFonts w:ascii="Arial" w:eastAsia="Times New Roman" w:hAnsi="Arial" w:cs="Arial"/>
                <w:color w:val="000000"/>
                <w:lang w:eastAsia="en-GB"/>
              </w:rPr>
              <w:t xml:space="preserve"> - </w:t>
            </w:r>
          </w:p>
        </w:tc>
        <w:tc>
          <w:tcPr>
            <w:tcW w:w="1440" w:type="dxa"/>
            <w:tcBorders>
              <w:top w:val="nil"/>
              <w:left w:val="nil"/>
              <w:bottom w:val="nil"/>
              <w:right w:val="nil"/>
            </w:tcBorders>
            <w:shd w:val="clear" w:color="000000" w:fill="EDFFB7"/>
            <w:noWrap/>
            <w:vAlign w:val="center"/>
            <w:hideMark/>
          </w:tcPr>
          <w:p w14:paraId="1A7C67AB" w14:textId="77777777" w:rsidR="0021298F" w:rsidRPr="00956CE7" w:rsidRDefault="0021298F" w:rsidP="00760009">
            <w:pPr>
              <w:jc w:val="right"/>
              <w:rPr>
                <w:rFonts w:ascii="Arial" w:eastAsia="Times New Roman" w:hAnsi="Arial" w:cs="Arial"/>
                <w:color w:val="000000"/>
                <w:lang w:eastAsia="en-GB"/>
              </w:rPr>
            </w:pPr>
            <w:r w:rsidRPr="00956CE7">
              <w:rPr>
                <w:rFonts w:ascii="Arial" w:eastAsia="Times New Roman" w:hAnsi="Arial" w:cs="Arial"/>
                <w:color w:val="000000"/>
                <w:lang w:eastAsia="en-GB"/>
              </w:rPr>
              <w:t xml:space="preserve"> - </w:t>
            </w:r>
          </w:p>
        </w:tc>
        <w:tc>
          <w:tcPr>
            <w:tcW w:w="1440" w:type="dxa"/>
            <w:tcBorders>
              <w:top w:val="nil"/>
              <w:left w:val="nil"/>
              <w:bottom w:val="nil"/>
              <w:right w:val="nil"/>
            </w:tcBorders>
            <w:shd w:val="clear" w:color="000000" w:fill="EDFFB7"/>
            <w:noWrap/>
            <w:vAlign w:val="center"/>
            <w:hideMark/>
          </w:tcPr>
          <w:p w14:paraId="31A1D514" w14:textId="77777777" w:rsidR="0021298F" w:rsidRPr="00956CE7" w:rsidRDefault="0021298F" w:rsidP="00760009">
            <w:pPr>
              <w:jc w:val="right"/>
              <w:rPr>
                <w:rFonts w:ascii="Arial" w:eastAsia="Times New Roman" w:hAnsi="Arial" w:cs="Arial"/>
                <w:color w:val="000000"/>
                <w:lang w:eastAsia="en-GB"/>
              </w:rPr>
            </w:pPr>
            <w:r w:rsidRPr="00956CE7">
              <w:rPr>
                <w:rFonts w:ascii="Arial" w:eastAsia="Times New Roman" w:hAnsi="Arial" w:cs="Arial"/>
                <w:color w:val="000000"/>
                <w:lang w:eastAsia="en-GB"/>
              </w:rPr>
              <w:t xml:space="preserve">630,765 </w:t>
            </w:r>
          </w:p>
        </w:tc>
        <w:tc>
          <w:tcPr>
            <w:tcW w:w="1440" w:type="dxa"/>
            <w:tcBorders>
              <w:top w:val="nil"/>
              <w:left w:val="nil"/>
              <w:bottom w:val="nil"/>
              <w:right w:val="nil"/>
            </w:tcBorders>
            <w:shd w:val="clear" w:color="000000" w:fill="EDFFB7"/>
            <w:noWrap/>
            <w:vAlign w:val="center"/>
            <w:hideMark/>
          </w:tcPr>
          <w:p w14:paraId="287829F6" w14:textId="77777777" w:rsidR="0021298F" w:rsidRPr="00956CE7" w:rsidRDefault="0021298F" w:rsidP="00760009">
            <w:pPr>
              <w:jc w:val="right"/>
              <w:rPr>
                <w:rFonts w:ascii="Arial" w:eastAsia="Times New Roman" w:hAnsi="Arial" w:cs="Arial"/>
                <w:b/>
                <w:bCs/>
                <w:color w:val="000000"/>
                <w:lang w:eastAsia="en-GB"/>
              </w:rPr>
            </w:pPr>
            <w:r w:rsidRPr="00956CE7">
              <w:rPr>
                <w:rFonts w:ascii="Arial" w:eastAsia="Times New Roman" w:hAnsi="Arial" w:cs="Arial"/>
                <w:b/>
                <w:bCs/>
                <w:color w:val="000000"/>
                <w:lang w:eastAsia="en-GB"/>
              </w:rPr>
              <w:t xml:space="preserve">630,765 </w:t>
            </w:r>
          </w:p>
        </w:tc>
      </w:tr>
      <w:tr w:rsidR="0021298F" w:rsidRPr="00956CE7" w14:paraId="7B7BADFE" w14:textId="77777777" w:rsidTr="00760009">
        <w:trPr>
          <w:trHeight w:val="300"/>
        </w:trPr>
        <w:tc>
          <w:tcPr>
            <w:tcW w:w="3200" w:type="dxa"/>
            <w:tcBorders>
              <w:top w:val="nil"/>
              <w:left w:val="nil"/>
              <w:bottom w:val="nil"/>
              <w:right w:val="nil"/>
            </w:tcBorders>
            <w:shd w:val="clear" w:color="000000" w:fill="FFFFFF"/>
            <w:vAlign w:val="center"/>
            <w:hideMark/>
          </w:tcPr>
          <w:p w14:paraId="6BFEF7A2" w14:textId="77777777" w:rsidR="0021298F" w:rsidRPr="00956CE7" w:rsidRDefault="0021298F" w:rsidP="00760009">
            <w:pPr>
              <w:rPr>
                <w:rFonts w:ascii="Calibri" w:eastAsia="Times New Roman" w:hAnsi="Calibri" w:cs="Calibri"/>
                <w:color w:val="000000"/>
                <w:lang w:eastAsia="en-GB"/>
              </w:rPr>
            </w:pPr>
            <w:r w:rsidRPr="00956CE7">
              <w:rPr>
                <w:rFonts w:ascii="Calibri" w:eastAsia="Times New Roman" w:hAnsi="Calibri" w:cs="Calibri"/>
                <w:color w:val="000000"/>
                <w:lang w:eastAsia="en-GB"/>
              </w:rPr>
              <w:t> </w:t>
            </w:r>
          </w:p>
        </w:tc>
        <w:tc>
          <w:tcPr>
            <w:tcW w:w="1440" w:type="dxa"/>
            <w:tcBorders>
              <w:top w:val="nil"/>
              <w:left w:val="nil"/>
              <w:bottom w:val="nil"/>
              <w:right w:val="nil"/>
            </w:tcBorders>
            <w:shd w:val="clear" w:color="000000" w:fill="EDFFB7"/>
            <w:noWrap/>
            <w:vAlign w:val="center"/>
            <w:hideMark/>
          </w:tcPr>
          <w:p w14:paraId="2F6EF26F" w14:textId="77777777" w:rsidR="0021298F" w:rsidRPr="00956CE7" w:rsidRDefault="0021298F" w:rsidP="00760009">
            <w:pPr>
              <w:jc w:val="right"/>
              <w:rPr>
                <w:rFonts w:ascii="Arial" w:eastAsia="Times New Roman" w:hAnsi="Arial" w:cs="Arial"/>
                <w:color w:val="000000"/>
                <w:lang w:eastAsia="en-GB"/>
              </w:rPr>
            </w:pPr>
            <w:r w:rsidRPr="00956CE7">
              <w:rPr>
                <w:rFonts w:ascii="Arial" w:eastAsia="Times New Roman" w:hAnsi="Arial" w:cs="Arial"/>
                <w:color w:val="000000"/>
                <w:lang w:eastAsia="en-GB"/>
              </w:rPr>
              <w:t> </w:t>
            </w:r>
          </w:p>
        </w:tc>
        <w:tc>
          <w:tcPr>
            <w:tcW w:w="1440" w:type="dxa"/>
            <w:tcBorders>
              <w:top w:val="nil"/>
              <w:left w:val="nil"/>
              <w:bottom w:val="nil"/>
              <w:right w:val="nil"/>
            </w:tcBorders>
            <w:shd w:val="clear" w:color="000000" w:fill="EDFFB7"/>
            <w:noWrap/>
            <w:vAlign w:val="center"/>
            <w:hideMark/>
          </w:tcPr>
          <w:p w14:paraId="4E574FD6" w14:textId="77777777" w:rsidR="0021298F" w:rsidRPr="00956CE7" w:rsidRDefault="0021298F" w:rsidP="00760009">
            <w:pPr>
              <w:jc w:val="right"/>
              <w:rPr>
                <w:rFonts w:ascii="Arial" w:eastAsia="Times New Roman" w:hAnsi="Arial" w:cs="Arial"/>
                <w:color w:val="000000"/>
                <w:lang w:eastAsia="en-GB"/>
              </w:rPr>
            </w:pPr>
            <w:r w:rsidRPr="00956CE7">
              <w:rPr>
                <w:rFonts w:ascii="Arial" w:eastAsia="Times New Roman" w:hAnsi="Arial" w:cs="Arial"/>
                <w:color w:val="000000"/>
                <w:lang w:eastAsia="en-GB"/>
              </w:rPr>
              <w:t> </w:t>
            </w:r>
          </w:p>
        </w:tc>
        <w:tc>
          <w:tcPr>
            <w:tcW w:w="1440" w:type="dxa"/>
            <w:tcBorders>
              <w:top w:val="nil"/>
              <w:left w:val="nil"/>
              <w:bottom w:val="nil"/>
              <w:right w:val="nil"/>
            </w:tcBorders>
            <w:shd w:val="clear" w:color="000000" w:fill="EDFFB7"/>
            <w:noWrap/>
            <w:vAlign w:val="center"/>
            <w:hideMark/>
          </w:tcPr>
          <w:p w14:paraId="069E9179" w14:textId="77777777" w:rsidR="0021298F" w:rsidRPr="00956CE7" w:rsidRDefault="0021298F" w:rsidP="00760009">
            <w:pPr>
              <w:jc w:val="right"/>
              <w:rPr>
                <w:rFonts w:ascii="Arial" w:eastAsia="Times New Roman" w:hAnsi="Arial" w:cs="Arial"/>
                <w:b/>
                <w:bCs/>
                <w:color w:val="000000"/>
                <w:lang w:eastAsia="en-GB"/>
              </w:rPr>
            </w:pPr>
            <w:r w:rsidRPr="00956CE7">
              <w:rPr>
                <w:rFonts w:ascii="Arial" w:eastAsia="Times New Roman" w:hAnsi="Arial" w:cs="Arial"/>
                <w:b/>
                <w:bCs/>
                <w:color w:val="000000"/>
                <w:lang w:eastAsia="en-GB"/>
              </w:rPr>
              <w:t> </w:t>
            </w:r>
          </w:p>
        </w:tc>
        <w:tc>
          <w:tcPr>
            <w:tcW w:w="1440" w:type="dxa"/>
            <w:tcBorders>
              <w:top w:val="nil"/>
              <w:left w:val="nil"/>
              <w:bottom w:val="nil"/>
              <w:right w:val="nil"/>
            </w:tcBorders>
            <w:shd w:val="clear" w:color="000000" w:fill="EDFFB7"/>
            <w:noWrap/>
            <w:vAlign w:val="center"/>
            <w:hideMark/>
          </w:tcPr>
          <w:p w14:paraId="0C3F8270" w14:textId="77777777" w:rsidR="0021298F" w:rsidRPr="00956CE7" w:rsidRDefault="0021298F" w:rsidP="00760009">
            <w:pPr>
              <w:jc w:val="right"/>
              <w:rPr>
                <w:rFonts w:ascii="Arial" w:eastAsia="Times New Roman" w:hAnsi="Arial" w:cs="Arial"/>
                <w:b/>
                <w:bCs/>
                <w:color w:val="000000"/>
                <w:lang w:eastAsia="en-GB"/>
              </w:rPr>
            </w:pPr>
            <w:r w:rsidRPr="00956CE7">
              <w:rPr>
                <w:rFonts w:ascii="Arial" w:eastAsia="Times New Roman" w:hAnsi="Arial" w:cs="Arial"/>
                <w:b/>
                <w:bCs/>
                <w:color w:val="000000"/>
                <w:lang w:eastAsia="en-GB"/>
              </w:rPr>
              <w:t> </w:t>
            </w:r>
          </w:p>
        </w:tc>
      </w:tr>
      <w:tr w:rsidR="0021298F" w:rsidRPr="00956CE7" w14:paraId="7986F8E1" w14:textId="77777777" w:rsidTr="00760009">
        <w:trPr>
          <w:trHeight w:val="300"/>
        </w:trPr>
        <w:tc>
          <w:tcPr>
            <w:tcW w:w="3200" w:type="dxa"/>
            <w:tcBorders>
              <w:top w:val="nil"/>
              <w:left w:val="nil"/>
              <w:bottom w:val="nil"/>
              <w:right w:val="nil"/>
            </w:tcBorders>
            <w:shd w:val="clear" w:color="000000" w:fill="FFFFFF"/>
            <w:vAlign w:val="center"/>
            <w:hideMark/>
          </w:tcPr>
          <w:p w14:paraId="52CEE906" w14:textId="77777777" w:rsidR="0021298F" w:rsidRPr="00956CE7" w:rsidRDefault="0021298F" w:rsidP="00760009">
            <w:pPr>
              <w:jc w:val="both"/>
              <w:rPr>
                <w:rFonts w:ascii="Arial" w:eastAsia="Times New Roman" w:hAnsi="Arial" w:cs="Arial"/>
                <w:b/>
                <w:bCs/>
                <w:color w:val="000000"/>
                <w:lang w:eastAsia="en-GB"/>
              </w:rPr>
            </w:pPr>
            <w:r w:rsidRPr="00956CE7">
              <w:rPr>
                <w:rFonts w:ascii="Arial" w:eastAsia="Times New Roman" w:hAnsi="Arial" w:cs="Arial"/>
                <w:b/>
                <w:bCs/>
                <w:color w:val="000000"/>
                <w:lang w:eastAsia="en-GB"/>
              </w:rPr>
              <w:lastRenderedPageBreak/>
              <w:t>Liabilities</w:t>
            </w:r>
          </w:p>
        </w:tc>
        <w:tc>
          <w:tcPr>
            <w:tcW w:w="1440" w:type="dxa"/>
            <w:tcBorders>
              <w:top w:val="nil"/>
              <w:left w:val="nil"/>
              <w:bottom w:val="nil"/>
              <w:right w:val="nil"/>
            </w:tcBorders>
            <w:shd w:val="clear" w:color="000000" w:fill="EDFFB7"/>
            <w:noWrap/>
            <w:vAlign w:val="center"/>
            <w:hideMark/>
          </w:tcPr>
          <w:p w14:paraId="66CE7FD7" w14:textId="77777777" w:rsidR="0021298F" w:rsidRPr="00956CE7" w:rsidRDefault="0021298F" w:rsidP="00760009">
            <w:pPr>
              <w:jc w:val="right"/>
              <w:rPr>
                <w:rFonts w:ascii="Arial" w:eastAsia="Times New Roman" w:hAnsi="Arial" w:cs="Arial"/>
                <w:color w:val="000000"/>
                <w:lang w:eastAsia="en-GB"/>
              </w:rPr>
            </w:pPr>
            <w:r w:rsidRPr="00956CE7">
              <w:rPr>
                <w:rFonts w:ascii="Arial" w:eastAsia="Times New Roman" w:hAnsi="Arial" w:cs="Arial"/>
                <w:color w:val="000000"/>
                <w:lang w:eastAsia="en-GB"/>
              </w:rPr>
              <w:t> </w:t>
            </w:r>
          </w:p>
        </w:tc>
        <w:tc>
          <w:tcPr>
            <w:tcW w:w="1440" w:type="dxa"/>
            <w:tcBorders>
              <w:top w:val="nil"/>
              <w:left w:val="nil"/>
              <w:bottom w:val="nil"/>
              <w:right w:val="nil"/>
            </w:tcBorders>
            <w:shd w:val="clear" w:color="000000" w:fill="EDFFB7"/>
            <w:noWrap/>
            <w:vAlign w:val="center"/>
            <w:hideMark/>
          </w:tcPr>
          <w:p w14:paraId="1B0B5431" w14:textId="77777777" w:rsidR="0021298F" w:rsidRPr="00956CE7" w:rsidRDefault="0021298F" w:rsidP="00760009">
            <w:pPr>
              <w:jc w:val="right"/>
              <w:rPr>
                <w:rFonts w:ascii="Arial" w:eastAsia="Times New Roman" w:hAnsi="Arial" w:cs="Arial"/>
                <w:color w:val="000000"/>
                <w:lang w:eastAsia="en-GB"/>
              </w:rPr>
            </w:pPr>
            <w:r w:rsidRPr="00956CE7">
              <w:rPr>
                <w:rFonts w:ascii="Arial" w:eastAsia="Times New Roman" w:hAnsi="Arial" w:cs="Arial"/>
                <w:color w:val="000000"/>
                <w:lang w:eastAsia="en-GB"/>
              </w:rPr>
              <w:t> </w:t>
            </w:r>
          </w:p>
        </w:tc>
        <w:tc>
          <w:tcPr>
            <w:tcW w:w="1440" w:type="dxa"/>
            <w:tcBorders>
              <w:top w:val="nil"/>
              <w:left w:val="nil"/>
              <w:bottom w:val="nil"/>
              <w:right w:val="nil"/>
            </w:tcBorders>
            <w:shd w:val="clear" w:color="000000" w:fill="EDFFB7"/>
            <w:noWrap/>
            <w:vAlign w:val="center"/>
            <w:hideMark/>
          </w:tcPr>
          <w:p w14:paraId="1CA9A3A9" w14:textId="77777777" w:rsidR="0021298F" w:rsidRPr="00956CE7" w:rsidRDefault="0021298F" w:rsidP="00760009">
            <w:pPr>
              <w:jc w:val="right"/>
              <w:rPr>
                <w:rFonts w:ascii="Arial" w:eastAsia="Times New Roman" w:hAnsi="Arial" w:cs="Arial"/>
                <w:b/>
                <w:bCs/>
                <w:color w:val="000000"/>
                <w:lang w:eastAsia="en-GB"/>
              </w:rPr>
            </w:pPr>
            <w:r w:rsidRPr="00956CE7">
              <w:rPr>
                <w:rFonts w:ascii="Arial" w:eastAsia="Times New Roman" w:hAnsi="Arial" w:cs="Arial"/>
                <w:b/>
                <w:bCs/>
                <w:color w:val="000000"/>
                <w:lang w:eastAsia="en-GB"/>
              </w:rPr>
              <w:t> </w:t>
            </w:r>
          </w:p>
        </w:tc>
        <w:tc>
          <w:tcPr>
            <w:tcW w:w="1440" w:type="dxa"/>
            <w:tcBorders>
              <w:top w:val="nil"/>
              <w:left w:val="nil"/>
              <w:bottom w:val="nil"/>
              <w:right w:val="nil"/>
            </w:tcBorders>
            <w:shd w:val="clear" w:color="000000" w:fill="EDFFB7"/>
            <w:noWrap/>
            <w:vAlign w:val="center"/>
            <w:hideMark/>
          </w:tcPr>
          <w:p w14:paraId="32F8454A" w14:textId="77777777" w:rsidR="0021298F" w:rsidRPr="00956CE7" w:rsidRDefault="0021298F" w:rsidP="00760009">
            <w:pPr>
              <w:jc w:val="right"/>
              <w:rPr>
                <w:rFonts w:ascii="Arial" w:eastAsia="Times New Roman" w:hAnsi="Arial" w:cs="Arial"/>
                <w:b/>
                <w:bCs/>
                <w:color w:val="000000"/>
                <w:lang w:eastAsia="en-GB"/>
              </w:rPr>
            </w:pPr>
            <w:r w:rsidRPr="00956CE7">
              <w:rPr>
                <w:rFonts w:ascii="Arial" w:eastAsia="Times New Roman" w:hAnsi="Arial" w:cs="Arial"/>
                <w:b/>
                <w:bCs/>
                <w:color w:val="000000"/>
                <w:lang w:eastAsia="en-GB"/>
              </w:rPr>
              <w:t> </w:t>
            </w:r>
          </w:p>
        </w:tc>
      </w:tr>
      <w:tr w:rsidR="0021298F" w:rsidRPr="00956CE7" w14:paraId="2D81C4DE" w14:textId="77777777" w:rsidTr="00760009">
        <w:trPr>
          <w:trHeight w:val="315"/>
        </w:trPr>
        <w:tc>
          <w:tcPr>
            <w:tcW w:w="3200" w:type="dxa"/>
            <w:tcBorders>
              <w:top w:val="nil"/>
              <w:left w:val="nil"/>
              <w:bottom w:val="single" w:sz="8" w:space="0" w:color="auto"/>
              <w:right w:val="nil"/>
            </w:tcBorders>
            <w:shd w:val="clear" w:color="000000" w:fill="FFFFFF"/>
            <w:vAlign w:val="center"/>
            <w:hideMark/>
          </w:tcPr>
          <w:p w14:paraId="4A06B724" w14:textId="77777777" w:rsidR="0021298F" w:rsidRPr="00956CE7" w:rsidRDefault="0021298F" w:rsidP="00760009">
            <w:pPr>
              <w:jc w:val="both"/>
              <w:rPr>
                <w:rFonts w:ascii="Arial" w:eastAsia="Times New Roman" w:hAnsi="Arial" w:cs="Arial"/>
                <w:color w:val="000000"/>
                <w:lang w:eastAsia="en-GB"/>
              </w:rPr>
            </w:pPr>
            <w:r w:rsidRPr="00956CE7">
              <w:rPr>
                <w:rFonts w:ascii="Arial" w:eastAsia="Times New Roman" w:hAnsi="Arial" w:cs="Arial"/>
                <w:color w:val="000000"/>
                <w:lang w:eastAsia="en-GB"/>
              </w:rPr>
              <w:t>Other payables</w:t>
            </w:r>
          </w:p>
        </w:tc>
        <w:tc>
          <w:tcPr>
            <w:tcW w:w="1440" w:type="dxa"/>
            <w:tcBorders>
              <w:top w:val="nil"/>
              <w:left w:val="nil"/>
              <w:bottom w:val="single" w:sz="8" w:space="0" w:color="auto"/>
              <w:right w:val="nil"/>
            </w:tcBorders>
            <w:shd w:val="clear" w:color="000000" w:fill="EDFFB7"/>
            <w:noWrap/>
            <w:vAlign w:val="center"/>
            <w:hideMark/>
          </w:tcPr>
          <w:p w14:paraId="7EACAD07" w14:textId="77777777" w:rsidR="0021298F" w:rsidRPr="00956CE7" w:rsidRDefault="0021298F" w:rsidP="00760009">
            <w:pPr>
              <w:jc w:val="right"/>
              <w:rPr>
                <w:rFonts w:ascii="Arial" w:eastAsia="Times New Roman" w:hAnsi="Arial" w:cs="Arial"/>
                <w:color w:val="000000"/>
                <w:lang w:eastAsia="en-GB"/>
              </w:rPr>
            </w:pPr>
            <w:r w:rsidRPr="00956CE7">
              <w:rPr>
                <w:rFonts w:ascii="Arial" w:eastAsia="Times New Roman" w:hAnsi="Arial" w:cs="Arial"/>
                <w:color w:val="000000"/>
                <w:lang w:eastAsia="en-GB"/>
              </w:rPr>
              <w:t xml:space="preserve"> (2,411)</w:t>
            </w:r>
          </w:p>
        </w:tc>
        <w:tc>
          <w:tcPr>
            <w:tcW w:w="1440" w:type="dxa"/>
            <w:tcBorders>
              <w:top w:val="nil"/>
              <w:left w:val="nil"/>
              <w:bottom w:val="single" w:sz="8" w:space="0" w:color="auto"/>
              <w:right w:val="nil"/>
            </w:tcBorders>
            <w:shd w:val="clear" w:color="000000" w:fill="EDFFB7"/>
            <w:noWrap/>
            <w:vAlign w:val="center"/>
            <w:hideMark/>
          </w:tcPr>
          <w:p w14:paraId="4176D44A" w14:textId="77777777" w:rsidR="0021298F" w:rsidRPr="00956CE7" w:rsidRDefault="0021298F" w:rsidP="00760009">
            <w:pPr>
              <w:jc w:val="right"/>
              <w:rPr>
                <w:rFonts w:ascii="Arial" w:eastAsia="Times New Roman" w:hAnsi="Arial" w:cs="Arial"/>
                <w:color w:val="000000"/>
                <w:lang w:eastAsia="en-GB"/>
              </w:rPr>
            </w:pPr>
            <w:r w:rsidRPr="00956CE7">
              <w:rPr>
                <w:rFonts w:ascii="Arial" w:eastAsia="Times New Roman" w:hAnsi="Arial" w:cs="Arial"/>
                <w:color w:val="000000"/>
                <w:lang w:eastAsia="en-GB"/>
              </w:rPr>
              <w:t xml:space="preserve"> - </w:t>
            </w:r>
          </w:p>
        </w:tc>
        <w:tc>
          <w:tcPr>
            <w:tcW w:w="1440" w:type="dxa"/>
            <w:tcBorders>
              <w:top w:val="nil"/>
              <w:left w:val="nil"/>
              <w:bottom w:val="single" w:sz="8" w:space="0" w:color="auto"/>
              <w:right w:val="nil"/>
            </w:tcBorders>
            <w:shd w:val="clear" w:color="000000" w:fill="EDFFB7"/>
            <w:noWrap/>
            <w:vAlign w:val="center"/>
            <w:hideMark/>
          </w:tcPr>
          <w:p w14:paraId="06BAE058" w14:textId="77777777" w:rsidR="0021298F" w:rsidRPr="00956CE7" w:rsidRDefault="0021298F" w:rsidP="00760009">
            <w:pPr>
              <w:jc w:val="right"/>
              <w:rPr>
                <w:rFonts w:ascii="Arial" w:eastAsia="Times New Roman" w:hAnsi="Arial" w:cs="Arial"/>
                <w:color w:val="000000"/>
                <w:lang w:eastAsia="en-GB"/>
              </w:rPr>
            </w:pPr>
            <w:r w:rsidRPr="00956CE7">
              <w:rPr>
                <w:rFonts w:ascii="Arial" w:eastAsia="Times New Roman" w:hAnsi="Arial" w:cs="Arial"/>
                <w:color w:val="000000"/>
                <w:lang w:eastAsia="en-GB"/>
              </w:rPr>
              <w:t xml:space="preserve"> - </w:t>
            </w:r>
          </w:p>
        </w:tc>
        <w:tc>
          <w:tcPr>
            <w:tcW w:w="1440" w:type="dxa"/>
            <w:tcBorders>
              <w:top w:val="nil"/>
              <w:left w:val="nil"/>
              <w:bottom w:val="single" w:sz="8" w:space="0" w:color="auto"/>
              <w:right w:val="nil"/>
            </w:tcBorders>
            <w:shd w:val="clear" w:color="000000" w:fill="EDFFB7"/>
            <w:noWrap/>
            <w:vAlign w:val="center"/>
            <w:hideMark/>
          </w:tcPr>
          <w:p w14:paraId="4A3D520E" w14:textId="77777777" w:rsidR="0021298F" w:rsidRPr="00956CE7" w:rsidRDefault="0021298F" w:rsidP="00760009">
            <w:pPr>
              <w:jc w:val="right"/>
              <w:rPr>
                <w:rFonts w:ascii="Arial" w:eastAsia="Times New Roman" w:hAnsi="Arial" w:cs="Arial"/>
                <w:b/>
                <w:bCs/>
                <w:color w:val="000000"/>
                <w:lang w:eastAsia="en-GB"/>
              </w:rPr>
            </w:pPr>
            <w:r w:rsidRPr="00956CE7">
              <w:rPr>
                <w:rFonts w:ascii="Arial" w:eastAsia="Times New Roman" w:hAnsi="Arial" w:cs="Arial"/>
                <w:b/>
                <w:bCs/>
                <w:color w:val="000000"/>
                <w:lang w:eastAsia="en-GB"/>
              </w:rPr>
              <w:t xml:space="preserve"> (2,411)</w:t>
            </w:r>
          </w:p>
        </w:tc>
      </w:tr>
      <w:tr w:rsidR="0021298F" w:rsidRPr="00956CE7" w14:paraId="00B79BC4" w14:textId="77777777" w:rsidTr="00760009">
        <w:trPr>
          <w:trHeight w:val="315"/>
        </w:trPr>
        <w:tc>
          <w:tcPr>
            <w:tcW w:w="3200" w:type="dxa"/>
            <w:tcBorders>
              <w:top w:val="nil"/>
              <w:left w:val="nil"/>
              <w:bottom w:val="single" w:sz="8" w:space="0" w:color="auto"/>
              <w:right w:val="nil"/>
            </w:tcBorders>
            <w:shd w:val="clear" w:color="000000" w:fill="FFFFFF"/>
            <w:vAlign w:val="center"/>
            <w:hideMark/>
          </w:tcPr>
          <w:p w14:paraId="666A540F" w14:textId="77777777" w:rsidR="0021298F" w:rsidRPr="00956CE7" w:rsidRDefault="0021298F" w:rsidP="00760009">
            <w:pPr>
              <w:jc w:val="both"/>
              <w:rPr>
                <w:rFonts w:ascii="Arial" w:eastAsia="Times New Roman" w:hAnsi="Arial" w:cs="Arial"/>
                <w:b/>
                <w:bCs/>
                <w:color w:val="000000"/>
                <w:lang w:eastAsia="en-GB"/>
              </w:rPr>
            </w:pPr>
            <w:r w:rsidRPr="00956CE7">
              <w:rPr>
                <w:rFonts w:ascii="Arial" w:eastAsia="Times New Roman" w:hAnsi="Arial" w:cs="Arial"/>
                <w:b/>
                <w:bCs/>
                <w:color w:val="000000"/>
                <w:lang w:eastAsia="en-GB"/>
              </w:rPr>
              <w:t> </w:t>
            </w:r>
          </w:p>
        </w:tc>
        <w:tc>
          <w:tcPr>
            <w:tcW w:w="1440" w:type="dxa"/>
            <w:tcBorders>
              <w:top w:val="nil"/>
              <w:left w:val="nil"/>
              <w:bottom w:val="single" w:sz="8" w:space="0" w:color="auto"/>
              <w:right w:val="nil"/>
            </w:tcBorders>
            <w:shd w:val="clear" w:color="000000" w:fill="EDFFB7"/>
            <w:noWrap/>
            <w:vAlign w:val="center"/>
            <w:hideMark/>
          </w:tcPr>
          <w:p w14:paraId="1827B45E" w14:textId="77777777" w:rsidR="0021298F" w:rsidRPr="00956CE7" w:rsidRDefault="0021298F" w:rsidP="00760009">
            <w:pPr>
              <w:jc w:val="right"/>
              <w:rPr>
                <w:rFonts w:ascii="Arial" w:eastAsia="Times New Roman" w:hAnsi="Arial" w:cs="Arial"/>
                <w:b/>
                <w:bCs/>
                <w:color w:val="000000"/>
                <w:lang w:eastAsia="en-GB"/>
              </w:rPr>
            </w:pPr>
            <w:r w:rsidRPr="00956CE7">
              <w:rPr>
                <w:rFonts w:ascii="Arial" w:eastAsia="Times New Roman" w:hAnsi="Arial" w:cs="Arial"/>
                <w:b/>
                <w:bCs/>
                <w:color w:val="000000"/>
                <w:lang w:eastAsia="en-GB"/>
              </w:rPr>
              <w:t xml:space="preserve">2,906 </w:t>
            </w:r>
          </w:p>
        </w:tc>
        <w:tc>
          <w:tcPr>
            <w:tcW w:w="1440" w:type="dxa"/>
            <w:tcBorders>
              <w:top w:val="nil"/>
              <w:left w:val="nil"/>
              <w:bottom w:val="single" w:sz="8" w:space="0" w:color="auto"/>
              <w:right w:val="nil"/>
            </w:tcBorders>
            <w:shd w:val="clear" w:color="000000" w:fill="EDFFB7"/>
            <w:noWrap/>
            <w:vAlign w:val="center"/>
            <w:hideMark/>
          </w:tcPr>
          <w:p w14:paraId="463F49B9" w14:textId="77777777" w:rsidR="0021298F" w:rsidRPr="00956CE7" w:rsidRDefault="0021298F" w:rsidP="00760009">
            <w:pPr>
              <w:jc w:val="right"/>
              <w:rPr>
                <w:rFonts w:ascii="Arial" w:eastAsia="Times New Roman" w:hAnsi="Arial" w:cs="Arial"/>
                <w:b/>
                <w:bCs/>
                <w:color w:val="000000"/>
                <w:lang w:eastAsia="en-GB"/>
              </w:rPr>
            </w:pPr>
            <w:r w:rsidRPr="00956CE7">
              <w:rPr>
                <w:rFonts w:ascii="Arial" w:eastAsia="Times New Roman" w:hAnsi="Arial" w:cs="Arial"/>
                <w:b/>
                <w:bCs/>
                <w:color w:val="000000"/>
                <w:lang w:eastAsia="en-GB"/>
              </w:rPr>
              <w:t xml:space="preserve"> - </w:t>
            </w:r>
          </w:p>
        </w:tc>
        <w:tc>
          <w:tcPr>
            <w:tcW w:w="1440" w:type="dxa"/>
            <w:tcBorders>
              <w:top w:val="nil"/>
              <w:left w:val="nil"/>
              <w:bottom w:val="single" w:sz="8" w:space="0" w:color="auto"/>
              <w:right w:val="nil"/>
            </w:tcBorders>
            <w:shd w:val="clear" w:color="000000" w:fill="EDFFB7"/>
            <w:noWrap/>
            <w:vAlign w:val="center"/>
            <w:hideMark/>
          </w:tcPr>
          <w:p w14:paraId="04FC144E" w14:textId="77777777" w:rsidR="0021298F" w:rsidRPr="00956CE7" w:rsidRDefault="0021298F" w:rsidP="00760009">
            <w:pPr>
              <w:jc w:val="right"/>
              <w:rPr>
                <w:rFonts w:ascii="Arial" w:eastAsia="Times New Roman" w:hAnsi="Arial" w:cs="Arial"/>
                <w:b/>
                <w:bCs/>
                <w:color w:val="000000"/>
                <w:lang w:eastAsia="en-GB"/>
              </w:rPr>
            </w:pPr>
            <w:r w:rsidRPr="00956CE7">
              <w:rPr>
                <w:rFonts w:ascii="Arial" w:eastAsia="Times New Roman" w:hAnsi="Arial" w:cs="Arial"/>
                <w:b/>
                <w:bCs/>
                <w:color w:val="000000"/>
                <w:lang w:eastAsia="en-GB"/>
              </w:rPr>
              <w:t xml:space="preserve">630,765 </w:t>
            </w:r>
          </w:p>
        </w:tc>
        <w:tc>
          <w:tcPr>
            <w:tcW w:w="1440" w:type="dxa"/>
            <w:tcBorders>
              <w:top w:val="nil"/>
              <w:left w:val="nil"/>
              <w:bottom w:val="single" w:sz="8" w:space="0" w:color="auto"/>
              <w:right w:val="nil"/>
            </w:tcBorders>
            <w:shd w:val="clear" w:color="000000" w:fill="EDFFB7"/>
            <w:noWrap/>
            <w:vAlign w:val="center"/>
            <w:hideMark/>
          </w:tcPr>
          <w:p w14:paraId="55A39C7F" w14:textId="77777777" w:rsidR="0021298F" w:rsidRPr="00956CE7" w:rsidRDefault="0021298F" w:rsidP="00760009">
            <w:pPr>
              <w:jc w:val="right"/>
              <w:rPr>
                <w:rFonts w:ascii="Arial" w:eastAsia="Times New Roman" w:hAnsi="Arial" w:cs="Arial"/>
                <w:b/>
                <w:bCs/>
                <w:color w:val="000000"/>
                <w:lang w:eastAsia="en-GB"/>
              </w:rPr>
            </w:pPr>
            <w:r w:rsidRPr="00956CE7">
              <w:rPr>
                <w:rFonts w:ascii="Arial" w:eastAsia="Times New Roman" w:hAnsi="Arial" w:cs="Arial"/>
                <w:b/>
                <w:bCs/>
                <w:color w:val="000000"/>
                <w:lang w:eastAsia="en-GB"/>
              </w:rPr>
              <w:t xml:space="preserve">633,671 </w:t>
            </w:r>
          </w:p>
        </w:tc>
      </w:tr>
    </w:tbl>
    <w:p w14:paraId="1EDF69B3" w14:textId="77777777" w:rsidR="0021298F" w:rsidRDefault="0021298F" w:rsidP="0021298F">
      <w:pPr>
        <w:jc w:val="both"/>
        <w:rPr>
          <w:rFonts w:ascii="Arial" w:hAnsi="Arial" w:cs="Arial"/>
        </w:rPr>
      </w:pPr>
    </w:p>
    <w:tbl>
      <w:tblPr>
        <w:tblW w:w="8960" w:type="dxa"/>
        <w:tblLook w:val="04A0" w:firstRow="1" w:lastRow="0" w:firstColumn="1" w:lastColumn="0" w:noHBand="0" w:noVBand="1"/>
      </w:tblPr>
      <w:tblGrid>
        <w:gridCol w:w="3200"/>
        <w:gridCol w:w="1440"/>
        <w:gridCol w:w="1440"/>
        <w:gridCol w:w="1440"/>
        <w:gridCol w:w="1440"/>
      </w:tblGrid>
      <w:tr w:rsidR="0021298F" w:rsidRPr="00956CE7" w14:paraId="432AA503" w14:textId="77777777" w:rsidTr="00760009">
        <w:trPr>
          <w:trHeight w:val="509"/>
        </w:trPr>
        <w:tc>
          <w:tcPr>
            <w:tcW w:w="3200" w:type="dxa"/>
            <w:vMerge w:val="restart"/>
            <w:tcBorders>
              <w:top w:val="nil"/>
              <w:left w:val="nil"/>
              <w:bottom w:val="nil"/>
              <w:right w:val="nil"/>
            </w:tcBorders>
            <w:shd w:val="clear" w:color="000000" w:fill="FFFFFF"/>
            <w:vAlign w:val="center"/>
            <w:hideMark/>
          </w:tcPr>
          <w:p w14:paraId="7BE6B40B" w14:textId="77777777" w:rsidR="0021298F" w:rsidRPr="00956CE7" w:rsidRDefault="0021298F" w:rsidP="00760009">
            <w:pPr>
              <w:rPr>
                <w:rFonts w:ascii="Arial" w:eastAsia="Times New Roman" w:hAnsi="Arial" w:cs="Arial"/>
                <w:b/>
                <w:bCs/>
                <w:color w:val="000000"/>
                <w:lang w:eastAsia="en-GB"/>
              </w:rPr>
            </w:pPr>
            <w:r w:rsidRPr="00956CE7">
              <w:rPr>
                <w:rFonts w:ascii="Arial" w:eastAsia="Times New Roman" w:hAnsi="Arial" w:cs="Arial"/>
                <w:b/>
                <w:bCs/>
                <w:color w:val="000000"/>
                <w:lang w:eastAsia="en-GB"/>
              </w:rPr>
              <w:t>Company - 31 December 2019</w:t>
            </w:r>
          </w:p>
        </w:tc>
        <w:tc>
          <w:tcPr>
            <w:tcW w:w="1440" w:type="dxa"/>
            <w:vMerge w:val="restart"/>
            <w:tcBorders>
              <w:top w:val="nil"/>
              <w:left w:val="nil"/>
              <w:bottom w:val="nil"/>
              <w:right w:val="nil"/>
            </w:tcBorders>
            <w:shd w:val="clear" w:color="000000" w:fill="FFFFFF"/>
            <w:vAlign w:val="bottom"/>
            <w:hideMark/>
          </w:tcPr>
          <w:p w14:paraId="5C96024B" w14:textId="77777777" w:rsidR="0021298F" w:rsidRPr="00956CE7" w:rsidRDefault="0021298F" w:rsidP="00760009">
            <w:pPr>
              <w:jc w:val="right"/>
              <w:rPr>
                <w:rFonts w:ascii="Arial" w:eastAsia="Times New Roman" w:hAnsi="Arial" w:cs="Arial"/>
                <w:b/>
                <w:bCs/>
                <w:color w:val="000000"/>
                <w:lang w:eastAsia="en-GB"/>
              </w:rPr>
            </w:pPr>
            <w:r w:rsidRPr="00956CE7">
              <w:rPr>
                <w:rFonts w:ascii="Arial" w:eastAsia="Times New Roman" w:hAnsi="Arial" w:cs="Arial"/>
                <w:b/>
                <w:bCs/>
                <w:color w:val="000000"/>
                <w:lang w:eastAsia="en-GB"/>
              </w:rPr>
              <w:t>Less than 1 year</w:t>
            </w:r>
          </w:p>
        </w:tc>
        <w:tc>
          <w:tcPr>
            <w:tcW w:w="1440" w:type="dxa"/>
            <w:vMerge w:val="restart"/>
            <w:tcBorders>
              <w:top w:val="nil"/>
              <w:left w:val="nil"/>
              <w:bottom w:val="nil"/>
              <w:right w:val="nil"/>
            </w:tcBorders>
            <w:shd w:val="clear" w:color="000000" w:fill="FFFFFF"/>
            <w:vAlign w:val="bottom"/>
            <w:hideMark/>
          </w:tcPr>
          <w:p w14:paraId="01E2D5E2" w14:textId="77777777" w:rsidR="0021298F" w:rsidRPr="00956CE7" w:rsidRDefault="0021298F" w:rsidP="00760009">
            <w:pPr>
              <w:jc w:val="right"/>
              <w:rPr>
                <w:rFonts w:ascii="Arial" w:eastAsia="Times New Roman" w:hAnsi="Arial" w:cs="Arial"/>
                <w:b/>
                <w:bCs/>
                <w:color w:val="000000"/>
                <w:lang w:eastAsia="en-GB"/>
              </w:rPr>
            </w:pPr>
            <w:r w:rsidRPr="00956CE7">
              <w:rPr>
                <w:rFonts w:ascii="Arial" w:eastAsia="Times New Roman" w:hAnsi="Arial" w:cs="Arial"/>
                <w:b/>
                <w:bCs/>
                <w:color w:val="000000"/>
                <w:lang w:eastAsia="en-GB"/>
              </w:rPr>
              <w:t>1 - 5 years</w:t>
            </w:r>
          </w:p>
        </w:tc>
        <w:tc>
          <w:tcPr>
            <w:tcW w:w="1440" w:type="dxa"/>
            <w:vMerge w:val="restart"/>
            <w:tcBorders>
              <w:top w:val="nil"/>
              <w:left w:val="nil"/>
              <w:bottom w:val="nil"/>
              <w:right w:val="nil"/>
            </w:tcBorders>
            <w:shd w:val="clear" w:color="000000" w:fill="FFFFFF"/>
            <w:vAlign w:val="bottom"/>
            <w:hideMark/>
          </w:tcPr>
          <w:p w14:paraId="76340262" w14:textId="77777777" w:rsidR="0021298F" w:rsidRPr="00956CE7" w:rsidRDefault="0021298F" w:rsidP="00760009">
            <w:pPr>
              <w:jc w:val="right"/>
              <w:rPr>
                <w:rFonts w:ascii="Arial" w:eastAsia="Times New Roman" w:hAnsi="Arial" w:cs="Arial"/>
                <w:b/>
                <w:bCs/>
                <w:color w:val="000000"/>
                <w:lang w:eastAsia="en-GB"/>
              </w:rPr>
            </w:pPr>
            <w:r w:rsidRPr="00956CE7">
              <w:rPr>
                <w:rFonts w:ascii="Arial" w:eastAsia="Times New Roman" w:hAnsi="Arial" w:cs="Arial"/>
                <w:b/>
                <w:bCs/>
                <w:color w:val="000000"/>
                <w:lang w:eastAsia="en-GB"/>
              </w:rPr>
              <w:t>5+ years</w:t>
            </w:r>
          </w:p>
        </w:tc>
        <w:tc>
          <w:tcPr>
            <w:tcW w:w="1440" w:type="dxa"/>
            <w:vMerge w:val="restart"/>
            <w:tcBorders>
              <w:top w:val="nil"/>
              <w:left w:val="nil"/>
              <w:bottom w:val="nil"/>
              <w:right w:val="nil"/>
            </w:tcBorders>
            <w:shd w:val="clear" w:color="000000" w:fill="FFFFFF"/>
            <w:vAlign w:val="bottom"/>
            <w:hideMark/>
          </w:tcPr>
          <w:p w14:paraId="444C6E27" w14:textId="77777777" w:rsidR="0021298F" w:rsidRPr="00956CE7" w:rsidRDefault="0021298F" w:rsidP="00760009">
            <w:pPr>
              <w:jc w:val="right"/>
              <w:rPr>
                <w:rFonts w:ascii="Arial" w:eastAsia="Times New Roman" w:hAnsi="Arial" w:cs="Arial"/>
                <w:b/>
                <w:bCs/>
                <w:color w:val="000000"/>
                <w:lang w:eastAsia="en-GB"/>
              </w:rPr>
            </w:pPr>
            <w:r w:rsidRPr="00956CE7">
              <w:rPr>
                <w:rFonts w:ascii="Arial" w:eastAsia="Times New Roman" w:hAnsi="Arial" w:cs="Arial"/>
                <w:b/>
                <w:bCs/>
                <w:color w:val="000000"/>
                <w:lang w:eastAsia="en-GB"/>
              </w:rPr>
              <w:t>Total</w:t>
            </w:r>
          </w:p>
        </w:tc>
      </w:tr>
      <w:tr w:rsidR="0021298F" w:rsidRPr="00956CE7" w14:paraId="094B0A44" w14:textId="77777777" w:rsidTr="00760009">
        <w:trPr>
          <w:trHeight w:val="509"/>
        </w:trPr>
        <w:tc>
          <w:tcPr>
            <w:tcW w:w="3200" w:type="dxa"/>
            <w:vMerge/>
            <w:tcBorders>
              <w:top w:val="nil"/>
              <w:left w:val="nil"/>
              <w:bottom w:val="nil"/>
              <w:right w:val="nil"/>
            </w:tcBorders>
            <w:vAlign w:val="center"/>
            <w:hideMark/>
          </w:tcPr>
          <w:p w14:paraId="56092B92" w14:textId="77777777" w:rsidR="0021298F" w:rsidRPr="00956CE7" w:rsidRDefault="0021298F" w:rsidP="00760009">
            <w:pPr>
              <w:rPr>
                <w:rFonts w:ascii="Arial" w:eastAsia="Times New Roman" w:hAnsi="Arial" w:cs="Arial"/>
                <w:b/>
                <w:bCs/>
                <w:color w:val="000000"/>
                <w:lang w:eastAsia="en-GB"/>
              </w:rPr>
            </w:pPr>
          </w:p>
        </w:tc>
        <w:tc>
          <w:tcPr>
            <w:tcW w:w="1440" w:type="dxa"/>
            <w:vMerge/>
            <w:tcBorders>
              <w:top w:val="nil"/>
              <w:left w:val="nil"/>
              <w:bottom w:val="nil"/>
              <w:right w:val="nil"/>
            </w:tcBorders>
            <w:vAlign w:val="center"/>
            <w:hideMark/>
          </w:tcPr>
          <w:p w14:paraId="38D964D2" w14:textId="77777777" w:rsidR="0021298F" w:rsidRPr="00956CE7" w:rsidRDefault="0021298F" w:rsidP="00760009">
            <w:pPr>
              <w:rPr>
                <w:rFonts w:ascii="Arial" w:eastAsia="Times New Roman" w:hAnsi="Arial" w:cs="Arial"/>
                <w:b/>
                <w:bCs/>
                <w:color w:val="000000"/>
                <w:lang w:eastAsia="en-GB"/>
              </w:rPr>
            </w:pPr>
          </w:p>
        </w:tc>
        <w:tc>
          <w:tcPr>
            <w:tcW w:w="1440" w:type="dxa"/>
            <w:vMerge/>
            <w:tcBorders>
              <w:top w:val="nil"/>
              <w:left w:val="nil"/>
              <w:bottom w:val="nil"/>
              <w:right w:val="nil"/>
            </w:tcBorders>
            <w:vAlign w:val="center"/>
            <w:hideMark/>
          </w:tcPr>
          <w:p w14:paraId="06FD8B88" w14:textId="77777777" w:rsidR="0021298F" w:rsidRPr="00956CE7" w:rsidRDefault="0021298F" w:rsidP="00760009">
            <w:pPr>
              <w:rPr>
                <w:rFonts w:ascii="Arial" w:eastAsia="Times New Roman" w:hAnsi="Arial" w:cs="Arial"/>
                <w:b/>
                <w:bCs/>
                <w:color w:val="000000"/>
                <w:lang w:eastAsia="en-GB"/>
              </w:rPr>
            </w:pPr>
          </w:p>
        </w:tc>
        <w:tc>
          <w:tcPr>
            <w:tcW w:w="1440" w:type="dxa"/>
            <w:vMerge/>
            <w:tcBorders>
              <w:top w:val="nil"/>
              <w:left w:val="nil"/>
              <w:bottom w:val="nil"/>
              <w:right w:val="nil"/>
            </w:tcBorders>
            <w:vAlign w:val="center"/>
            <w:hideMark/>
          </w:tcPr>
          <w:p w14:paraId="47DE9F92" w14:textId="77777777" w:rsidR="0021298F" w:rsidRPr="00956CE7" w:rsidRDefault="0021298F" w:rsidP="00760009">
            <w:pPr>
              <w:rPr>
                <w:rFonts w:ascii="Arial" w:eastAsia="Times New Roman" w:hAnsi="Arial" w:cs="Arial"/>
                <w:b/>
                <w:bCs/>
                <w:color w:val="000000"/>
                <w:lang w:eastAsia="en-GB"/>
              </w:rPr>
            </w:pPr>
          </w:p>
        </w:tc>
        <w:tc>
          <w:tcPr>
            <w:tcW w:w="1440" w:type="dxa"/>
            <w:vMerge/>
            <w:tcBorders>
              <w:top w:val="nil"/>
              <w:left w:val="nil"/>
              <w:bottom w:val="nil"/>
              <w:right w:val="nil"/>
            </w:tcBorders>
            <w:vAlign w:val="center"/>
            <w:hideMark/>
          </w:tcPr>
          <w:p w14:paraId="429C8299" w14:textId="77777777" w:rsidR="0021298F" w:rsidRPr="00956CE7" w:rsidRDefault="0021298F" w:rsidP="00760009">
            <w:pPr>
              <w:rPr>
                <w:rFonts w:ascii="Arial" w:eastAsia="Times New Roman" w:hAnsi="Arial" w:cs="Arial"/>
                <w:b/>
                <w:bCs/>
                <w:color w:val="000000"/>
                <w:lang w:eastAsia="en-GB"/>
              </w:rPr>
            </w:pPr>
          </w:p>
        </w:tc>
      </w:tr>
      <w:tr w:rsidR="0021298F" w:rsidRPr="00956CE7" w14:paraId="116CF665" w14:textId="77777777" w:rsidTr="00760009">
        <w:trPr>
          <w:trHeight w:val="300"/>
        </w:trPr>
        <w:tc>
          <w:tcPr>
            <w:tcW w:w="3200" w:type="dxa"/>
            <w:tcBorders>
              <w:top w:val="nil"/>
              <w:left w:val="nil"/>
              <w:bottom w:val="single" w:sz="4" w:space="0" w:color="auto"/>
              <w:right w:val="nil"/>
            </w:tcBorders>
            <w:shd w:val="clear" w:color="000000" w:fill="FFFFFF"/>
            <w:noWrap/>
            <w:vAlign w:val="center"/>
            <w:hideMark/>
          </w:tcPr>
          <w:p w14:paraId="1ED58EA6" w14:textId="77777777" w:rsidR="0021298F" w:rsidRPr="00956CE7" w:rsidRDefault="0021298F" w:rsidP="00760009">
            <w:pPr>
              <w:jc w:val="right"/>
              <w:rPr>
                <w:rFonts w:ascii="Arial" w:eastAsia="Times New Roman" w:hAnsi="Arial" w:cs="Arial"/>
                <w:b/>
                <w:bCs/>
                <w:color w:val="000000"/>
                <w:lang w:eastAsia="en-GB"/>
              </w:rPr>
            </w:pPr>
            <w:r w:rsidRPr="00956CE7">
              <w:rPr>
                <w:rFonts w:ascii="Arial" w:eastAsia="Times New Roman" w:hAnsi="Arial" w:cs="Arial"/>
                <w:b/>
                <w:bCs/>
                <w:color w:val="000000"/>
                <w:lang w:eastAsia="en-GB"/>
              </w:rPr>
              <w:t> </w:t>
            </w:r>
          </w:p>
        </w:tc>
        <w:tc>
          <w:tcPr>
            <w:tcW w:w="1440" w:type="dxa"/>
            <w:tcBorders>
              <w:top w:val="nil"/>
              <w:left w:val="nil"/>
              <w:bottom w:val="single" w:sz="4" w:space="0" w:color="auto"/>
              <w:right w:val="nil"/>
            </w:tcBorders>
            <w:shd w:val="clear" w:color="000000" w:fill="FFFFFF"/>
            <w:noWrap/>
            <w:vAlign w:val="center"/>
            <w:hideMark/>
          </w:tcPr>
          <w:p w14:paraId="01CE35C6" w14:textId="77777777" w:rsidR="0021298F" w:rsidRPr="00956CE7" w:rsidRDefault="0021298F" w:rsidP="00760009">
            <w:pPr>
              <w:jc w:val="right"/>
              <w:rPr>
                <w:rFonts w:ascii="Arial" w:eastAsia="Times New Roman" w:hAnsi="Arial" w:cs="Arial"/>
                <w:b/>
                <w:bCs/>
                <w:color w:val="000000"/>
                <w:lang w:eastAsia="en-GB"/>
              </w:rPr>
            </w:pPr>
            <w:r w:rsidRPr="00956CE7">
              <w:rPr>
                <w:rFonts w:ascii="Arial" w:eastAsia="Times New Roman" w:hAnsi="Arial" w:cs="Arial"/>
                <w:b/>
                <w:bCs/>
                <w:color w:val="000000"/>
                <w:lang w:eastAsia="en-GB"/>
              </w:rPr>
              <w:t>€’000</w:t>
            </w:r>
          </w:p>
        </w:tc>
        <w:tc>
          <w:tcPr>
            <w:tcW w:w="1440" w:type="dxa"/>
            <w:tcBorders>
              <w:top w:val="nil"/>
              <w:left w:val="nil"/>
              <w:bottom w:val="single" w:sz="4" w:space="0" w:color="auto"/>
              <w:right w:val="nil"/>
            </w:tcBorders>
            <w:shd w:val="clear" w:color="000000" w:fill="FFFFFF"/>
            <w:noWrap/>
            <w:vAlign w:val="center"/>
            <w:hideMark/>
          </w:tcPr>
          <w:p w14:paraId="5EF19AA2" w14:textId="77777777" w:rsidR="0021298F" w:rsidRPr="00956CE7" w:rsidRDefault="0021298F" w:rsidP="00760009">
            <w:pPr>
              <w:jc w:val="right"/>
              <w:rPr>
                <w:rFonts w:ascii="Arial" w:eastAsia="Times New Roman" w:hAnsi="Arial" w:cs="Arial"/>
                <w:b/>
                <w:bCs/>
                <w:color w:val="000000"/>
                <w:lang w:eastAsia="en-GB"/>
              </w:rPr>
            </w:pPr>
            <w:r w:rsidRPr="00956CE7">
              <w:rPr>
                <w:rFonts w:ascii="Arial" w:eastAsia="Times New Roman" w:hAnsi="Arial" w:cs="Arial"/>
                <w:b/>
                <w:bCs/>
                <w:color w:val="000000"/>
                <w:lang w:eastAsia="en-GB"/>
              </w:rPr>
              <w:t>€’000</w:t>
            </w:r>
          </w:p>
        </w:tc>
        <w:tc>
          <w:tcPr>
            <w:tcW w:w="1440" w:type="dxa"/>
            <w:tcBorders>
              <w:top w:val="nil"/>
              <w:left w:val="nil"/>
              <w:bottom w:val="single" w:sz="4" w:space="0" w:color="auto"/>
              <w:right w:val="nil"/>
            </w:tcBorders>
            <w:shd w:val="clear" w:color="000000" w:fill="FFFFFF"/>
            <w:noWrap/>
            <w:vAlign w:val="center"/>
            <w:hideMark/>
          </w:tcPr>
          <w:p w14:paraId="75C63169" w14:textId="77777777" w:rsidR="0021298F" w:rsidRPr="00956CE7" w:rsidRDefault="0021298F" w:rsidP="00760009">
            <w:pPr>
              <w:jc w:val="right"/>
              <w:rPr>
                <w:rFonts w:ascii="Arial" w:eastAsia="Times New Roman" w:hAnsi="Arial" w:cs="Arial"/>
                <w:b/>
                <w:bCs/>
                <w:color w:val="000000"/>
                <w:lang w:eastAsia="en-GB"/>
              </w:rPr>
            </w:pPr>
            <w:r w:rsidRPr="00956CE7">
              <w:rPr>
                <w:rFonts w:ascii="Arial" w:eastAsia="Times New Roman" w:hAnsi="Arial" w:cs="Arial"/>
                <w:b/>
                <w:bCs/>
                <w:color w:val="000000"/>
                <w:lang w:eastAsia="en-GB"/>
              </w:rPr>
              <w:t>€’000</w:t>
            </w:r>
          </w:p>
        </w:tc>
        <w:tc>
          <w:tcPr>
            <w:tcW w:w="1440" w:type="dxa"/>
            <w:tcBorders>
              <w:top w:val="nil"/>
              <w:left w:val="nil"/>
              <w:bottom w:val="single" w:sz="4" w:space="0" w:color="auto"/>
              <w:right w:val="nil"/>
            </w:tcBorders>
            <w:shd w:val="clear" w:color="000000" w:fill="FFFFFF"/>
            <w:noWrap/>
            <w:vAlign w:val="center"/>
            <w:hideMark/>
          </w:tcPr>
          <w:p w14:paraId="4F6283F4" w14:textId="77777777" w:rsidR="0021298F" w:rsidRPr="00956CE7" w:rsidRDefault="0021298F" w:rsidP="00760009">
            <w:pPr>
              <w:jc w:val="right"/>
              <w:rPr>
                <w:rFonts w:ascii="Arial" w:eastAsia="Times New Roman" w:hAnsi="Arial" w:cs="Arial"/>
                <w:b/>
                <w:bCs/>
                <w:color w:val="000000"/>
                <w:lang w:eastAsia="en-GB"/>
              </w:rPr>
            </w:pPr>
            <w:r w:rsidRPr="00956CE7">
              <w:rPr>
                <w:rFonts w:ascii="Arial" w:eastAsia="Times New Roman" w:hAnsi="Arial" w:cs="Arial"/>
                <w:b/>
                <w:bCs/>
                <w:color w:val="000000"/>
                <w:lang w:eastAsia="en-GB"/>
              </w:rPr>
              <w:t>€’000</w:t>
            </w:r>
          </w:p>
        </w:tc>
      </w:tr>
      <w:tr w:rsidR="0021298F" w:rsidRPr="00956CE7" w14:paraId="11940667" w14:textId="77777777" w:rsidTr="00760009">
        <w:trPr>
          <w:trHeight w:val="300"/>
        </w:trPr>
        <w:tc>
          <w:tcPr>
            <w:tcW w:w="3200" w:type="dxa"/>
            <w:tcBorders>
              <w:top w:val="nil"/>
              <w:left w:val="nil"/>
              <w:bottom w:val="nil"/>
              <w:right w:val="nil"/>
            </w:tcBorders>
            <w:shd w:val="clear" w:color="000000" w:fill="FFFFFF"/>
            <w:vAlign w:val="center"/>
            <w:hideMark/>
          </w:tcPr>
          <w:p w14:paraId="1C353080" w14:textId="77777777" w:rsidR="0021298F" w:rsidRPr="00956CE7" w:rsidRDefault="0021298F" w:rsidP="00760009">
            <w:pPr>
              <w:jc w:val="both"/>
              <w:rPr>
                <w:rFonts w:ascii="Arial" w:eastAsia="Times New Roman" w:hAnsi="Arial" w:cs="Arial"/>
                <w:b/>
                <w:bCs/>
                <w:color w:val="000000"/>
                <w:lang w:eastAsia="en-GB"/>
              </w:rPr>
            </w:pPr>
            <w:r w:rsidRPr="00956CE7">
              <w:rPr>
                <w:rFonts w:ascii="Arial" w:eastAsia="Times New Roman" w:hAnsi="Arial" w:cs="Arial"/>
                <w:b/>
                <w:bCs/>
                <w:color w:val="000000"/>
                <w:lang w:eastAsia="en-GB"/>
              </w:rPr>
              <w:t>Assets</w:t>
            </w:r>
          </w:p>
        </w:tc>
        <w:tc>
          <w:tcPr>
            <w:tcW w:w="1440" w:type="dxa"/>
            <w:tcBorders>
              <w:top w:val="nil"/>
              <w:left w:val="nil"/>
              <w:bottom w:val="nil"/>
              <w:right w:val="nil"/>
            </w:tcBorders>
            <w:shd w:val="clear" w:color="000000" w:fill="FFFFFF"/>
            <w:noWrap/>
            <w:vAlign w:val="center"/>
            <w:hideMark/>
          </w:tcPr>
          <w:p w14:paraId="3F924DA1" w14:textId="77777777" w:rsidR="0021298F" w:rsidRPr="00956CE7" w:rsidRDefault="0021298F" w:rsidP="00760009">
            <w:pPr>
              <w:jc w:val="right"/>
              <w:rPr>
                <w:rFonts w:ascii="Arial" w:eastAsia="Times New Roman" w:hAnsi="Arial" w:cs="Arial"/>
                <w:b/>
                <w:bCs/>
                <w:color w:val="000000"/>
                <w:lang w:eastAsia="en-GB"/>
              </w:rPr>
            </w:pPr>
            <w:r w:rsidRPr="00956CE7">
              <w:rPr>
                <w:rFonts w:ascii="Arial" w:eastAsia="Times New Roman" w:hAnsi="Arial" w:cs="Arial"/>
                <w:b/>
                <w:bCs/>
                <w:color w:val="000000"/>
                <w:lang w:eastAsia="en-GB"/>
              </w:rPr>
              <w:t> </w:t>
            </w:r>
          </w:p>
        </w:tc>
        <w:tc>
          <w:tcPr>
            <w:tcW w:w="1440" w:type="dxa"/>
            <w:tcBorders>
              <w:top w:val="nil"/>
              <w:left w:val="nil"/>
              <w:bottom w:val="nil"/>
              <w:right w:val="nil"/>
            </w:tcBorders>
            <w:shd w:val="clear" w:color="000000" w:fill="FFFFFF"/>
            <w:noWrap/>
            <w:vAlign w:val="center"/>
            <w:hideMark/>
          </w:tcPr>
          <w:p w14:paraId="6AB8FCFE" w14:textId="77777777" w:rsidR="0021298F" w:rsidRPr="00956CE7" w:rsidRDefault="0021298F" w:rsidP="00760009">
            <w:pPr>
              <w:jc w:val="right"/>
              <w:rPr>
                <w:rFonts w:ascii="Arial" w:eastAsia="Times New Roman" w:hAnsi="Arial" w:cs="Arial"/>
                <w:b/>
                <w:bCs/>
                <w:color w:val="000000"/>
                <w:lang w:eastAsia="en-GB"/>
              </w:rPr>
            </w:pPr>
            <w:r w:rsidRPr="00956CE7">
              <w:rPr>
                <w:rFonts w:ascii="Arial" w:eastAsia="Times New Roman" w:hAnsi="Arial" w:cs="Arial"/>
                <w:b/>
                <w:bCs/>
                <w:color w:val="000000"/>
                <w:lang w:eastAsia="en-GB"/>
              </w:rPr>
              <w:t> </w:t>
            </w:r>
          </w:p>
        </w:tc>
        <w:tc>
          <w:tcPr>
            <w:tcW w:w="1440" w:type="dxa"/>
            <w:tcBorders>
              <w:top w:val="nil"/>
              <w:left w:val="nil"/>
              <w:bottom w:val="nil"/>
              <w:right w:val="nil"/>
            </w:tcBorders>
            <w:shd w:val="clear" w:color="000000" w:fill="FFFFFF"/>
            <w:noWrap/>
            <w:vAlign w:val="center"/>
            <w:hideMark/>
          </w:tcPr>
          <w:p w14:paraId="55CE7E81" w14:textId="77777777" w:rsidR="0021298F" w:rsidRPr="00956CE7" w:rsidRDefault="0021298F" w:rsidP="00760009">
            <w:pPr>
              <w:jc w:val="right"/>
              <w:rPr>
                <w:rFonts w:ascii="Arial" w:eastAsia="Times New Roman" w:hAnsi="Arial" w:cs="Arial"/>
                <w:b/>
                <w:bCs/>
                <w:color w:val="000000"/>
                <w:lang w:eastAsia="en-GB"/>
              </w:rPr>
            </w:pPr>
            <w:r w:rsidRPr="00956CE7">
              <w:rPr>
                <w:rFonts w:ascii="Arial" w:eastAsia="Times New Roman" w:hAnsi="Arial" w:cs="Arial"/>
                <w:b/>
                <w:bCs/>
                <w:color w:val="000000"/>
                <w:lang w:eastAsia="en-GB"/>
              </w:rPr>
              <w:t> </w:t>
            </w:r>
          </w:p>
        </w:tc>
        <w:tc>
          <w:tcPr>
            <w:tcW w:w="1440" w:type="dxa"/>
            <w:tcBorders>
              <w:top w:val="nil"/>
              <w:left w:val="nil"/>
              <w:bottom w:val="nil"/>
              <w:right w:val="nil"/>
            </w:tcBorders>
            <w:shd w:val="clear" w:color="000000" w:fill="FFFFFF"/>
            <w:noWrap/>
            <w:vAlign w:val="center"/>
            <w:hideMark/>
          </w:tcPr>
          <w:p w14:paraId="6DD7F9B8" w14:textId="77777777" w:rsidR="0021298F" w:rsidRPr="00956CE7" w:rsidRDefault="0021298F" w:rsidP="00760009">
            <w:pPr>
              <w:jc w:val="right"/>
              <w:rPr>
                <w:rFonts w:ascii="Arial" w:eastAsia="Times New Roman" w:hAnsi="Arial" w:cs="Arial"/>
                <w:b/>
                <w:bCs/>
                <w:color w:val="000000"/>
                <w:lang w:eastAsia="en-GB"/>
              </w:rPr>
            </w:pPr>
            <w:r w:rsidRPr="00956CE7">
              <w:rPr>
                <w:rFonts w:ascii="Arial" w:eastAsia="Times New Roman" w:hAnsi="Arial" w:cs="Arial"/>
                <w:b/>
                <w:bCs/>
                <w:color w:val="000000"/>
                <w:lang w:eastAsia="en-GB"/>
              </w:rPr>
              <w:t> </w:t>
            </w:r>
          </w:p>
        </w:tc>
      </w:tr>
      <w:tr w:rsidR="0021298F" w:rsidRPr="00956CE7" w14:paraId="1CAB50EE" w14:textId="77777777" w:rsidTr="00760009">
        <w:trPr>
          <w:trHeight w:val="300"/>
        </w:trPr>
        <w:tc>
          <w:tcPr>
            <w:tcW w:w="3200" w:type="dxa"/>
            <w:tcBorders>
              <w:top w:val="nil"/>
              <w:left w:val="nil"/>
              <w:bottom w:val="nil"/>
              <w:right w:val="nil"/>
            </w:tcBorders>
            <w:shd w:val="clear" w:color="000000" w:fill="FFFFFF"/>
            <w:vAlign w:val="center"/>
            <w:hideMark/>
          </w:tcPr>
          <w:p w14:paraId="76C648F3" w14:textId="77777777" w:rsidR="0021298F" w:rsidRPr="00956CE7" w:rsidRDefault="0021298F" w:rsidP="00760009">
            <w:pPr>
              <w:jc w:val="both"/>
              <w:rPr>
                <w:rFonts w:ascii="Arial" w:eastAsia="Times New Roman" w:hAnsi="Arial" w:cs="Arial"/>
                <w:color w:val="000000"/>
                <w:lang w:eastAsia="en-GB"/>
              </w:rPr>
            </w:pPr>
            <w:r w:rsidRPr="00956CE7">
              <w:rPr>
                <w:rFonts w:ascii="Arial" w:eastAsia="Times New Roman" w:hAnsi="Arial" w:cs="Arial"/>
                <w:color w:val="000000"/>
                <w:lang w:eastAsia="en-GB"/>
              </w:rPr>
              <w:t>Other receivables</w:t>
            </w:r>
          </w:p>
        </w:tc>
        <w:tc>
          <w:tcPr>
            <w:tcW w:w="1440" w:type="dxa"/>
            <w:tcBorders>
              <w:top w:val="nil"/>
              <w:left w:val="nil"/>
              <w:bottom w:val="nil"/>
              <w:right w:val="nil"/>
            </w:tcBorders>
            <w:shd w:val="clear" w:color="000000" w:fill="FFFFFF"/>
            <w:noWrap/>
            <w:vAlign w:val="center"/>
            <w:hideMark/>
          </w:tcPr>
          <w:p w14:paraId="2FE98093" w14:textId="77777777" w:rsidR="0021298F" w:rsidRPr="00956CE7" w:rsidRDefault="0021298F" w:rsidP="00760009">
            <w:pPr>
              <w:jc w:val="right"/>
              <w:rPr>
                <w:rFonts w:ascii="Arial" w:eastAsia="Times New Roman" w:hAnsi="Arial" w:cs="Arial"/>
                <w:color w:val="000000"/>
                <w:lang w:eastAsia="en-GB"/>
              </w:rPr>
            </w:pPr>
            <w:r w:rsidRPr="00956CE7">
              <w:rPr>
                <w:rFonts w:ascii="Arial" w:eastAsia="Times New Roman" w:hAnsi="Arial" w:cs="Arial"/>
                <w:color w:val="000000"/>
                <w:lang w:eastAsia="en-GB"/>
              </w:rPr>
              <w:t xml:space="preserve">2,987 </w:t>
            </w:r>
          </w:p>
        </w:tc>
        <w:tc>
          <w:tcPr>
            <w:tcW w:w="1440" w:type="dxa"/>
            <w:tcBorders>
              <w:top w:val="nil"/>
              <w:left w:val="nil"/>
              <w:bottom w:val="nil"/>
              <w:right w:val="nil"/>
            </w:tcBorders>
            <w:shd w:val="clear" w:color="000000" w:fill="FFFFFF"/>
            <w:noWrap/>
            <w:vAlign w:val="center"/>
            <w:hideMark/>
          </w:tcPr>
          <w:p w14:paraId="2BF64944" w14:textId="77777777" w:rsidR="0021298F" w:rsidRPr="00956CE7" w:rsidRDefault="0021298F" w:rsidP="00760009">
            <w:pPr>
              <w:jc w:val="right"/>
              <w:rPr>
                <w:rFonts w:ascii="Arial" w:eastAsia="Times New Roman" w:hAnsi="Arial" w:cs="Arial"/>
                <w:color w:val="000000"/>
                <w:lang w:eastAsia="en-GB"/>
              </w:rPr>
            </w:pPr>
            <w:r w:rsidRPr="00956CE7">
              <w:rPr>
                <w:rFonts w:ascii="Arial" w:eastAsia="Times New Roman" w:hAnsi="Arial" w:cs="Arial"/>
                <w:color w:val="000000"/>
                <w:lang w:eastAsia="en-GB"/>
              </w:rPr>
              <w:t xml:space="preserve"> - </w:t>
            </w:r>
          </w:p>
        </w:tc>
        <w:tc>
          <w:tcPr>
            <w:tcW w:w="1440" w:type="dxa"/>
            <w:tcBorders>
              <w:top w:val="nil"/>
              <w:left w:val="nil"/>
              <w:bottom w:val="nil"/>
              <w:right w:val="nil"/>
            </w:tcBorders>
            <w:shd w:val="clear" w:color="000000" w:fill="FFFFFF"/>
            <w:noWrap/>
            <w:vAlign w:val="center"/>
            <w:hideMark/>
          </w:tcPr>
          <w:p w14:paraId="22658295" w14:textId="77777777" w:rsidR="0021298F" w:rsidRPr="00956CE7" w:rsidRDefault="0021298F" w:rsidP="00760009">
            <w:pPr>
              <w:jc w:val="right"/>
              <w:rPr>
                <w:rFonts w:ascii="Arial" w:eastAsia="Times New Roman" w:hAnsi="Arial" w:cs="Arial"/>
                <w:color w:val="000000"/>
                <w:lang w:eastAsia="en-GB"/>
              </w:rPr>
            </w:pPr>
            <w:r w:rsidRPr="00956CE7">
              <w:rPr>
                <w:rFonts w:ascii="Arial" w:eastAsia="Times New Roman" w:hAnsi="Arial" w:cs="Arial"/>
                <w:color w:val="000000"/>
                <w:lang w:eastAsia="en-GB"/>
              </w:rPr>
              <w:t xml:space="preserve"> - </w:t>
            </w:r>
          </w:p>
        </w:tc>
        <w:tc>
          <w:tcPr>
            <w:tcW w:w="1440" w:type="dxa"/>
            <w:tcBorders>
              <w:top w:val="nil"/>
              <w:left w:val="nil"/>
              <w:bottom w:val="nil"/>
              <w:right w:val="nil"/>
            </w:tcBorders>
            <w:shd w:val="clear" w:color="000000" w:fill="FFFFFF"/>
            <w:noWrap/>
            <w:vAlign w:val="center"/>
            <w:hideMark/>
          </w:tcPr>
          <w:p w14:paraId="2B4F4F8B" w14:textId="77777777" w:rsidR="0021298F" w:rsidRPr="00956CE7" w:rsidRDefault="0021298F" w:rsidP="00760009">
            <w:pPr>
              <w:jc w:val="right"/>
              <w:rPr>
                <w:rFonts w:ascii="Arial" w:eastAsia="Times New Roman" w:hAnsi="Arial" w:cs="Arial"/>
                <w:b/>
                <w:bCs/>
                <w:color w:val="000000"/>
                <w:lang w:eastAsia="en-GB"/>
              </w:rPr>
            </w:pPr>
            <w:r w:rsidRPr="00956CE7">
              <w:rPr>
                <w:rFonts w:ascii="Arial" w:eastAsia="Times New Roman" w:hAnsi="Arial" w:cs="Arial"/>
                <w:b/>
                <w:bCs/>
                <w:color w:val="000000"/>
                <w:lang w:eastAsia="en-GB"/>
              </w:rPr>
              <w:t xml:space="preserve">2,987 </w:t>
            </w:r>
          </w:p>
        </w:tc>
      </w:tr>
      <w:tr w:rsidR="0021298F" w:rsidRPr="00956CE7" w14:paraId="0D2BA83A" w14:textId="77777777" w:rsidTr="00760009">
        <w:trPr>
          <w:trHeight w:val="300"/>
        </w:trPr>
        <w:tc>
          <w:tcPr>
            <w:tcW w:w="3200" w:type="dxa"/>
            <w:tcBorders>
              <w:top w:val="nil"/>
              <w:left w:val="nil"/>
              <w:bottom w:val="nil"/>
              <w:right w:val="nil"/>
            </w:tcBorders>
            <w:shd w:val="clear" w:color="000000" w:fill="FFFFFF"/>
            <w:vAlign w:val="center"/>
            <w:hideMark/>
          </w:tcPr>
          <w:p w14:paraId="734C6E3C" w14:textId="77777777" w:rsidR="0021298F" w:rsidRPr="00956CE7" w:rsidRDefault="0021298F" w:rsidP="00760009">
            <w:pPr>
              <w:jc w:val="both"/>
              <w:rPr>
                <w:rFonts w:ascii="Arial" w:eastAsia="Times New Roman" w:hAnsi="Arial" w:cs="Arial"/>
                <w:color w:val="000000"/>
                <w:lang w:eastAsia="en-GB"/>
              </w:rPr>
            </w:pPr>
            <w:r w:rsidRPr="00956CE7">
              <w:rPr>
                <w:rFonts w:ascii="Arial" w:eastAsia="Times New Roman" w:hAnsi="Arial" w:cs="Arial"/>
                <w:color w:val="000000"/>
                <w:lang w:eastAsia="en-GB"/>
              </w:rPr>
              <w:t>Cash at bank</w:t>
            </w:r>
          </w:p>
        </w:tc>
        <w:tc>
          <w:tcPr>
            <w:tcW w:w="1440" w:type="dxa"/>
            <w:tcBorders>
              <w:top w:val="nil"/>
              <w:left w:val="nil"/>
              <w:bottom w:val="nil"/>
              <w:right w:val="nil"/>
            </w:tcBorders>
            <w:shd w:val="clear" w:color="000000" w:fill="FFFFFF"/>
            <w:noWrap/>
            <w:vAlign w:val="center"/>
            <w:hideMark/>
          </w:tcPr>
          <w:p w14:paraId="562DE157" w14:textId="77777777" w:rsidR="0021298F" w:rsidRPr="00956CE7" w:rsidRDefault="0021298F" w:rsidP="00760009">
            <w:pPr>
              <w:jc w:val="right"/>
              <w:rPr>
                <w:rFonts w:ascii="Arial" w:eastAsia="Times New Roman" w:hAnsi="Arial" w:cs="Arial"/>
                <w:color w:val="000000"/>
                <w:lang w:eastAsia="en-GB"/>
              </w:rPr>
            </w:pPr>
            <w:r w:rsidRPr="00956CE7">
              <w:rPr>
                <w:rFonts w:ascii="Arial" w:eastAsia="Times New Roman" w:hAnsi="Arial" w:cs="Arial"/>
                <w:color w:val="000000"/>
                <w:lang w:eastAsia="en-GB"/>
              </w:rPr>
              <w:t xml:space="preserve">188 </w:t>
            </w:r>
          </w:p>
        </w:tc>
        <w:tc>
          <w:tcPr>
            <w:tcW w:w="1440" w:type="dxa"/>
            <w:tcBorders>
              <w:top w:val="nil"/>
              <w:left w:val="nil"/>
              <w:bottom w:val="nil"/>
              <w:right w:val="nil"/>
            </w:tcBorders>
            <w:shd w:val="clear" w:color="000000" w:fill="FFFFFF"/>
            <w:noWrap/>
            <w:vAlign w:val="center"/>
            <w:hideMark/>
          </w:tcPr>
          <w:p w14:paraId="392AB606" w14:textId="77777777" w:rsidR="0021298F" w:rsidRPr="00956CE7" w:rsidRDefault="0021298F" w:rsidP="00760009">
            <w:pPr>
              <w:jc w:val="right"/>
              <w:rPr>
                <w:rFonts w:ascii="Arial" w:eastAsia="Times New Roman" w:hAnsi="Arial" w:cs="Arial"/>
                <w:color w:val="000000"/>
                <w:lang w:eastAsia="en-GB"/>
              </w:rPr>
            </w:pPr>
            <w:r w:rsidRPr="00956CE7">
              <w:rPr>
                <w:rFonts w:ascii="Arial" w:eastAsia="Times New Roman" w:hAnsi="Arial" w:cs="Arial"/>
                <w:color w:val="000000"/>
                <w:lang w:eastAsia="en-GB"/>
              </w:rPr>
              <w:t xml:space="preserve"> - </w:t>
            </w:r>
          </w:p>
        </w:tc>
        <w:tc>
          <w:tcPr>
            <w:tcW w:w="1440" w:type="dxa"/>
            <w:tcBorders>
              <w:top w:val="nil"/>
              <w:left w:val="nil"/>
              <w:bottom w:val="nil"/>
              <w:right w:val="nil"/>
            </w:tcBorders>
            <w:shd w:val="clear" w:color="000000" w:fill="FFFFFF"/>
            <w:noWrap/>
            <w:vAlign w:val="center"/>
            <w:hideMark/>
          </w:tcPr>
          <w:p w14:paraId="3695E1D7" w14:textId="77777777" w:rsidR="0021298F" w:rsidRPr="00956CE7" w:rsidRDefault="0021298F" w:rsidP="00760009">
            <w:pPr>
              <w:jc w:val="right"/>
              <w:rPr>
                <w:rFonts w:ascii="Arial" w:eastAsia="Times New Roman" w:hAnsi="Arial" w:cs="Arial"/>
                <w:color w:val="000000"/>
                <w:lang w:eastAsia="en-GB"/>
              </w:rPr>
            </w:pPr>
            <w:r w:rsidRPr="00956CE7">
              <w:rPr>
                <w:rFonts w:ascii="Arial" w:eastAsia="Times New Roman" w:hAnsi="Arial" w:cs="Arial"/>
                <w:color w:val="000000"/>
                <w:lang w:eastAsia="en-GB"/>
              </w:rPr>
              <w:t xml:space="preserve"> - </w:t>
            </w:r>
          </w:p>
        </w:tc>
        <w:tc>
          <w:tcPr>
            <w:tcW w:w="1440" w:type="dxa"/>
            <w:tcBorders>
              <w:top w:val="nil"/>
              <w:left w:val="nil"/>
              <w:bottom w:val="nil"/>
              <w:right w:val="nil"/>
            </w:tcBorders>
            <w:shd w:val="clear" w:color="000000" w:fill="FFFFFF"/>
            <w:noWrap/>
            <w:vAlign w:val="center"/>
            <w:hideMark/>
          </w:tcPr>
          <w:p w14:paraId="2F05D0E5" w14:textId="77777777" w:rsidR="0021298F" w:rsidRPr="00956CE7" w:rsidRDefault="0021298F" w:rsidP="00760009">
            <w:pPr>
              <w:jc w:val="right"/>
              <w:rPr>
                <w:rFonts w:ascii="Arial" w:eastAsia="Times New Roman" w:hAnsi="Arial" w:cs="Arial"/>
                <w:b/>
                <w:bCs/>
                <w:color w:val="000000"/>
                <w:lang w:eastAsia="en-GB"/>
              </w:rPr>
            </w:pPr>
            <w:r w:rsidRPr="00956CE7">
              <w:rPr>
                <w:rFonts w:ascii="Arial" w:eastAsia="Times New Roman" w:hAnsi="Arial" w:cs="Arial"/>
                <w:b/>
                <w:bCs/>
                <w:color w:val="000000"/>
                <w:lang w:eastAsia="en-GB"/>
              </w:rPr>
              <w:t xml:space="preserve">188 </w:t>
            </w:r>
          </w:p>
        </w:tc>
      </w:tr>
      <w:tr w:rsidR="0021298F" w:rsidRPr="00956CE7" w14:paraId="5ADE6542" w14:textId="77777777" w:rsidTr="00760009">
        <w:trPr>
          <w:trHeight w:val="300"/>
        </w:trPr>
        <w:tc>
          <w:tcPr>
            <w:tcW w:w="3200" w:type="dxa"/>
            <w:tcBorders>
              <w:top w:val="nil"/>
              <w:left w:val="nil"/>
              <w:bottom w:val="nil"/>
              <w:right w:val="nil"/>
            </w:tcBorders>
            <w:shd w:val="clear" w:color="000000" w:fill="FFFFFF"/>
            <w:vAlign w:val="center"/>
            <w:hideMark/>
          </w:tcPr>
          <w:p w14:paraId="5EE1740A" w14:textId="77777777" w:rsidR="0021298F" w:rsidRPr="00956CE7" w:rsidRDefault="0021298F" w:rsidP="00760009">
            <w:pPr>
              <w:jc w:val="both"/>
              <w:rPr>
                <w:rFonts w:ascii="Arial" w:eastAsia="Times New Roman" w:hAnsi="Arial" w:cs="Arial"/>
                <w:color w:val="000000"/>
                <w:lang w:eastAsia="en-GB"/>
              </w:rPr>
            </w:pPr>
            <w:r w:rsidRPr="00956CE7">
              <w:rPr>
                <w:rFonts w:ascii="Arial" w:eastAsia="Times New Roman" w:hAnsi="Arial" w:cs="Arial"/>
                <w:color w:val="000000"/>
                <w:lang w:eastAsia="en-GB"/>
              </w:rPr>
              <w:t>Loan investments</w:t>
            </w:r>
          </w:p>
        </w:tc>
        <w:tc>
          <w:tcPr>
            <w:tcW w:w="1440" w:type="dxa"/>
            <w:tcBorders>
              <w:top w:val="nil"/>
              <w:left w:val="nil"/>
              <w:bottom w:val="nil"/>
              <w:right w:val="nil"/>
            </w:tcBorders>
            <w:shd w:val="clear" w:color="000000" w:fill="FFFFFF"/>
            <w:noWrap/>
            <w:vAlign w:val="center"/>
            <w:hideMark/>
          </w:tcPr>
          <w:p w14:paraId="0A2D7B9A" w14:textId="77777777" w:rsidR="0021298F" w:rsidRPr="00956CE7" w:rsidRDefault="0021298F" w:rsidP="00760009">
            <w:pPr>
              <w:jc w:val="right"/>
              <w:rPr>
                <w:rFonts w:ascii="Arial" w:eastAsia="Times New Roman" w:hAnsi="Arial" w:cs="Arial"/>
                <w:color w:val="000000"/>
                <w:lang w:eastAsia="en-GB"/>
              </w:rPr>
            </w:pPr>
            <w:r w:rsidRPr="00956CE7">
              <w:rPr>
                <w:rFonts w:ascii="Arial" w:eastAsia="Times New Roman" w:hAnsi="Arial" w:cs="Arial"/>
                <w:color w:val="000000"/>
                <w:lang w:eastAsia="en-GB"/>
              </w:rPr>
              <w:t xml:space="preserve"> - </w:t>
            </w:r>
          </w:p>
        </w:tc>
        <w:tc>
          <w:tcPr>
            <w:tcW w:w="1440" w:type="dxa"/>
            <w:tcBorders>
              <w:top w:val="nil"/>
              <w:left w:val="nil"/>
              <w:bottom w:val="nil"/>
              <w:right w:val="nil"/>
            </w:tcBorders>
            <w:shd w:val="clear" w:color="000000" w:fill="FFFFFF"/>
            <w:noWrap/>
            <w:vAlign w:val="center"/>
            <w:hideMark/>
          </w:tcPr>
          <w:p w14:paraId="0DEB7FDE" w14:textId="77777777" w:rsidR="0021298F" w:rsidRPr="00956CE7" w:rsidRDefault="0021298F" w:rsidP="00760009">
            <w:pPr>
              <w:jc w:val="right"/>
              <w:rPr>
                <w:rFonts w:ascii="Arial" w:eastAsia="Times New Roman" w:hAnsi="Arial" w:cs="Arial"/>
                <w:color w:val="000000"/>
                <w:lang w:eastAsia="en-GB"/>
              </w:rPr>
            </w:pPr>
            <w:r w:rsidRPr="00956CE7">
              <w:rPr>
                <w:rFonts w:ascii="Arial" w:eastAsia="Times New Roman" w:hAnsi="Arial" w:cs="Arial"/>
                <w:color w:val="000000"/>
                <w:lang w:eastAsia="en-GB"/>
              </w:rPr>
              <w:t xml:space="preserve"> - </w:t>
            </w:r>
          </w:p>
        </w:tc>
        <w:tc>
          <w:tcPr>
            <w:tcW w:w="1440" w:type="dxa"/>
            <w:tcBorders>
              <w:top w:val="nil"/>
              <w:left w:val="nil"/>
              <w:bottom w:val="nil"/>
              <w:right w:val="nil"/>
            </w:tcBorders>
            <w:shd w:val="clear" w:color="000000" w:fill="FFFFFF"/>
            <w:noWrap/>
            <w:vAlign w:val="center"/>
            <w:hideMark/>
          </w:tcPr>
          <w:p w14:paraId="1E950E9D" w14:textId="77777777" w:rsidR="0021298F" w:rsidRPr="00956CE7" w:rsidRDefault="0021298F" w:rsidP="00760009">
            <w:pPr>
              <w:jc w:val="right"/>
              <w:rPr>
                <w:rFonts w:ascii="Arial" w:eastAsia="Times New Roman" w:hAnsi="Arial" w:cs="Arial"/>
                <w:color w:val="000000"/>
                <w:lang w:eastAsia="en-GB"/>
              </w:rPr>
            </w:pPr>
            <w:r w:rsidRPr="00956CE7">
              <w:rPr>
                <w:rFonts w:ascii="Arial" w:eastAsia="Times New Roman" w:hAnsi="Arial" w:cs="Arial"/>
                <w:color w:val="000000"/>
                <w:lang w:eastAsia="en-GB"/>
              </w:rPr>
              <w:t xml:space="preserve">551,968 </w:t>
            </w:r>
          </w:p>
        </w:tc>
        <w:tc>
          <w:tcPr>
            <w:tcW w:w="1440" w:type="dxa"/>
            <w:tcBorders>
              <w:top w:val="nil"/>
              <w:left w:val="nil"/>
              <w:bottom w:val="nil"/>
              <w:right w:val="nil"/>
            </w:tcBorders>
            <w:shd w:val="clear" w:color="000000" w:fill="FFFFFF"/>
            <w:noWrap/>
            <w:vAlign w:val="center"/>
            <w:hideMark/>
          </w:tcPr>
          <w:p w14:paraId="575E61E5" w14:textId="77777777" w:rsidR="0021298F" w:rsidRPr="00956CE7" w:rsidRDefault="0021298F" w:rsidP="00760009">
            <w:pPr>
              <w:jc w:val="right"/>
              <w:rPr>
                <w:rFonts w:ascii="Arial" w:eastAsia="Times New Roman" w:hAnsi="Arial" w:cs="Arial"/>
                <w:b/>
                <w:bCs/>
                <w:color w:val="000000"/>
                <w:lang w:eastAsia="en-GB"/>
              </w:rPr>
            </w:pPr>
            <w:r w:rsidRPr="00956CE7">
              <w:rPr>
                <w:rFonts w:ascii="Arial" w:eastAsia="Times New Roman" w:hAnsi="Arial" w:cs="Arial"/>
                <w:b/>
                <w:bCs/>
                <w:color w:val="000000"/>
                <w:lang w:eastAsia="en-GB"/>
              </w:rPr>
              <w:t xml:space="preserve">551,968 </w:t>
            </w:r>
          </w:p>
        </w:tc>
      </w:tr>
      <w:tr w:rsidR="0021298F" w:rsidRPr="00956CE7" w14:paraId="623A0250" w14:textId="77777777" w:rsidTr="00760009">
        <w:trPr>
          <w:trHeight w:val="300"/>
        </w:trPr>
        <w:tc>
          <w:tcPr>
            <w:tcW w:w="3200" w:type="dxa"/>
            <w:tcBorders>
              <w:top w:val="nil"/>
              <w:left w:val="nil"/>
              <w:bottom w:val="nil"/>
              <w:right w:val="nil"/>
            </w:tcBorders>
            <w:shd w:val="clear" w:color="000000" w:fill="FFFFFF"/>
            <w:vAlign w:val="center"/>
            <w:hideMark/>
          </w:tcPr>
          <w:p w14:paraId="20DF715E" w14:textId="77777777" w:rsidR="0021298F" w:rsidRPr="00956CE7" w:rsidRDefault="0021298F" w:rsidP="00760009">
            <w:pPr>
              <w:rPr>
                <w:rFonts w:ascii="Calibri" w:eastAsia="Times New Roman" w:hAnsi="Calibri" w:cs="Calibri"/>
                <w:color w:val="000000"/>
                <w:lang w:eastAsia="en-GB"/>
              </w:rPr>
            </w:pPr>
            <w:r w:rsidRPr="00956CE7">
              <w:rPr>
                <w:rFonts w:ascii="Calibri" w:eastAsia="Times New Roman" w:hAnsi="Calibri" w:cs="Calibri"/>
                <w:color w:val="000000"/>
                <w:lang w:eastAsia="en-GB"/>
              </w:rPr>
              <w:t> </w:t>
            </w:r>
          </w:p>
        </w:tc>
        <w:tc>
          <w:tcPr>
            <w:tcW w:w="1440" w:type="dxa"/>
            <w:tcBorders>
              <w:top w:val="nil"/>
              <w:left w:val="nil"/>
              <w:bottom w:val="nil"/>
              <w:right w:val="nil"/>
            </w:tcBorders>
            <w:shd w:val="clear" w:color="000000" w:fill="FFFFFF"/>
            <w:noWrap/>
            <w:vAlign w:val="center"/>
            <w:hideMark/>
          </w:tcPr>
          <w:p w14:paraId="370CD534" w14:textId="77777777" w:rsidR="0021298F" w:rsidRPr="00956CE7" w:rsidRDefault="0021298F" w:rsidP="00760009">
            <w:pPr>
              <w:jc w:val="right"/>
              <w:rPr>
                <w:rFonts w:ascii="Arial" w:eastAsia="Times New Roman" w:hAnsi="Arial" w:cs="Arial"/>
                <w:color w:val="000000"/>
                <w:lang w:eastAsia="en-GB"/>
              </w:rPr>
            </w:pPr>
            <w:r w:rsidRPr="00956CE7">
              <w:rPr>
                <w:rFonts w:ascii="Arial" w:eastAsia="Times New Roman" w:hAnsi="Arial" w:cs="Arial"/>
                <w:color w:val="000000"/>
                <w:lang w:eastAsia="en-GB"/>
              </w:rPr>
              <w:t> </w:t>
            </w:r>
          </w:p>
        </w:tc>
        <w:tc>
          <w:tcPr>
            <w:tcW w:w="1440" w:type="dxa"/>
            <w:tcBorders>
              <w:top w:val="nil"/>
              <w:left w:val="nil"/>
              <w:bottom w:val="nil"/>
              <w:right w:val="nil"/>
            </w:tcBorders>
            <w:shd w:val="clear" w:color="000000" w:fill="FFFFFF"/>
            <w:noWrap/>
            <w:vAlign w:val="center"/>
            <w:hideMark/>
          </w:tcPr>
          <w:p w14:paraId="025BEC42" w14:textId="77777777" w:rsidR="0021298F" w:rsidRPr="00956CE7" w:rsidRDefault="0021298F" w:rsidP="00760009">
            <w:pPr>
              <w:jc w:val="right"/>
              <w:rPr>
                <w:rFonts w:ascii="Arial" w:eastAsia="Times New Roman" w:hAnsi="Arial" w:cs="Arial"/>
                <w:color w:val="000000"/>
                <w:lang w:eastAsia="en-GB"/>
              </w:rPr>
            </w:pPr>
            <w:r w:rsidRPr="00956CE7">
              <w:rPr>
                <w:rFonts w:ascii="Arial" w:eastAsia="Times New Roman" w:hAnsi="Arial" w:cs="Arial"/>
                <w:color w:val="000000"/>
                <w:lang w:eastAsia="en-GB"/>
              </w:rPr>
              <w:t> </w:t>
            </w:r>
          </w:p>
        </w:tc>
        <w:tc>
          <w:tcPr>
            <w:tcW w:w="1440" w:type="dxa"/>
            <w:tcBorders>
              <w:top w:val="nil"/>
              <w:left w:val="nil"/>
              <w:bottom w:val="nil"/>
              <w:right w:val="nil"/>
            </w:tcBorders>
            <w:shd w:val="clear" w:color="000000" w:fill="FFFFFF"/>
            <w:noWrap/>
            <w:vAlign w:val="center"/>
            <w:hideMark/>
          </w:tcPr>
          <w:p w14:paraId="1B835494" w14:textId="77777777" w:rsidR="0021298F" w:rsidRPr="00956CE7" w:rsidRDefault="0021298F" w:rsidP="00760009">
            <w:pPr>
              <w:jc w:val="right"/>
              <w:rPr>
                <w:rFonts w:ascii="Arial" w:eastAsia="Times New Roman" w:hAnsi="Arial" w:cs="Arial"/>
                <w:b/>
                <w:bCs/>
                <w:color w:val="000000"/>
                <w:lang w:eastAsia="en-GB"/>
              </w:rPr>
            </w:pPr>
            <w:r w:rsidRPr="00956CE7">
              <w:rPr>
                <w:rFonts w:ascii="Arial" w:eastAsia="Times New Roman" w:hAnsi="Arial" w:cs="Arial"/>
                <w:b/>
                <w:bCs/>
                <w:color w:val="000000"/>
                <w:lang w:eastAsia="en-GB"/>
              </w:rPr>
              <w:t> </w:t>
            </w:r>
          </w:p>
        </w:tc>
        <w:tc>
          <w:tcPr>
            <w:tcW w:w="1440" w:type="dxa"/>
            <w:tcBorders>
              <w:top w:val="nil"/>
              <w:left w:val="nil"/>
              <w:bottom w:val="nil"/>
              <w:right w:val="nil"/>
            </w:tcBorders>
            <w:shd w:val="clear" w:color="000000" w:fill="FFFFFF"/>
            <w:noWrap/>
            <w:vAlign w:val="center"/>
            <w:hideMark/>
          </w:tcPr>
          <w:p w14:paraId="185078E1" w14:textId="77777777" w:rsidR="0021298F" w:rsidRPr="00956CE7" w:rsidRDefault="0021298F" w:rsidP="00760009">
            <w:pPr>
              <w:jc w:val="right"/>
              <w:rPr>
                <w:rFonts w:ascii="Arial" w:eastAsia="Times New Roman" w:hAnsi="Arial" w:cs="Arial"/>
                <w:b/>
                <w:bCs/>
                <w:color w:val="000000"/>
                <w:lang w:eastAsia="en-GB"/>
              </w:rPr>
            </w:pPr>
            <w:r w:rsidRPr="00956CE7">
              <w:rPr>
                <w:rFonts w:ascii="Arial" w:eastAsia="Times New Roman" w:hAnsi="Arial" w:cs="Arial"/>
                <w:b/>
                <w:bCs/>
                <w:color w:val="000000"/>
                <w:lang w:eastAsia="en-GB"/>
              </w:rPr>
              <w:t> </w:t>
            </w:r>
          </w:p>
        </w:tc>
      </w:tr>
      <w:tr w:rsidR="0021298F" w:rsidRPr="00956CE7" w14:paraId="20B406C4" w14:textId="77777777" w:rsidTr="00760009">
        <w:trPr>
          <w:trHeight w:val="300"/>
        </w:trPr>
        <w:tc>
          <w:tcPr>
            <w:tcW w:w="3200" w:type="dxa"/>
            <w:tcBorders>
              <w:top w:val="nil"/>
              <w:left w:val="nil"/>
              <w:bottom w:val="nil"/>
              <w:right w:val="nil"/>
            </w:tcBorders>
            <w:shd w:val="clear" w:color="000000" w:fill="FFFFFF"/>
            <w:vAlign w:val="center"/>
            <w:hideMark/>
          </w:tcPr>
          <w:p w14:paraId="6677A834" w14:textId="77777777" w:rsidR="0021298F" w:rsidRPr="00956CE7" w:rsidRDefault="0021298F" w:rsidP="00760009">
            <w:pPr>
              <w:jc w:val="both"/>
              <w:rPr>
                <w:rFonts w:ascii="Arial" w:eastAsia="Times New Roman" w:hAnsi="Arial" w:cs="Arial"/>
                <w:b/>
                <w:bCs/>
                <w:color w:val="000000"/>
                <w:lang w:eastAsia="en-GB"/>
              </w:rPr>
            </w:pPr>
            <w:r w:rsidRPr="00956CE7">
              <w:rPr>
                <w:rFonts w:ascii="Arial" w:eastAsia="Times New Roman" w:hAnsi="Arial" w:cs="Arial"/>
                <w:b/>
                <w:bCs/>
                <w:color w:val="000000"/>
                <w:lang w:eastAsia="en-GB"/>
              </w:rPr>
              <w:t>Liabilities</w:t>
            </w:r>
          </w:p>
        </w:tc>
        <w:tc>
          <w:tcPr>
            <w:tcW w:w="1440" w:type="dxa"/>
            <w:tcBorders>
              <w:top w:val="nil"/>
              <w:left w:val="nil"/>
              <w:bottom w:val="nil"/>
              <w:right w:val="nil"/>
            </w:tcBorders>
            <w:shd w:val="clear" w:color="000000" w:fill="FFFFFF"/>
            <w:noWrap/>
            <w:vAlign w:val="center"/>
            <w:hideMark/>
          </w:tcPr>
          <w:p w14:paraId="177CB75F" w14:textId="77777777" w:rsidR="0021298F" w:rsidRPr="00956CE7" w:rsidRDefault="0021298F" w:rsidP="00760009">
            <w:pPr>
              <w:jc w:val="right"/>
              <w:rPr>
                <w:rFonts w:ascii="Arial" w:eastAsia="Times New Roman" w:hAnsi="Arial" w:cs="Arial"/>
                <w:color w:val="000000"/>
                <w:lang w:eastAsia="en-GB"/>
              </w:rPr>
            </w:pPr>
            <w:r w:rsidRPr="00956CE7">
              <w:rPr>
                <w:rFonts w:ascii="Arial" w:eastAsia="Times New Roman" w:hAnsi="Arial" w:cs="Arial"/>
                <w:color w:val="000000"/>
                <w:lang w:eastAsia="en-GB"/>
              </w:rPr>
              <w:t> </w:t>
            </w:r>
          </w:p>
        </w:tc>
        <w:tc>
          <w:tcPr>
            <w:tcW w:w="1440" w:type="dxa"/>
            <w:tcBorders>
              <w:top w:val="nil"/>
              <w:left w:val="nil"/>
              <w:bottom w:val="nil"/>
              <w:right w:val="nil"/>
            </w:tcBorders>
            <w:shd w:val="clear" w:color="000000" w:fill="FFFFFF"/>
            <w:noWrap/>
            <w:vAlign w:val="center"/>
            <w:hideMark/>
          </w:tcPr>
          <w:p w14:paraId="2693813E" w14:textId="77777777" w:rsidR="0021298F" w:rsidRPr="00956CE7" w:rsidRDefault="0021298F" w:rsidP="00760009">
            <w:pPr>
              <w:jc w:val="right"/>
              <w:rPr>
                <w:rFonts w:ascii="Arial" w:eastAsia="Times New Roman" w:hAnsi="Arial" w:cs="Arial"/>
                <w:color w:val="000000"/>
                <w:lang w:eastAsia="en-GB"/>
              </w:rPr>
            </w:pPr>
            <w:r w:rsidRPr="00956CE7">
              <w:rPr>
                <w:rFonts w:ascii="Arial" w:eastAsia="Times New Roman" w:hAnsi="Arial" w:cs="Arial"/>
                <w:color w:val="000000"/>
                <w:lang w:eastAsia="en-GB"/>
              </w:rPr>
              <w:t> </w:t>
            </w:r>
          </w:p>
        </w:tc>
        <w:tc>
          <w:tcPr>
            <w:tcW w:w="1440" w:type="dxa"/>
            <w:tcBorders>
              <w:top w:val="nil"/>
              <w:left w:val="nil"/>
              <w:bottom w:val="nil"/>
              <w:right w:val="nil"/>
            </w:tcBorders>
            <w:shd w:val="clear" w:color="000000" w:fill="FFFFFF"/>
            <w:noWrap/>
            <w:vAlign w:val="center"/>
            <w:hideMark/>
          </w:tcPr>
          <w:p w14:paraId="03D1F72D" w14:textId="77777777" w:rsidR="0021298F" w:rsidRPr="00956CE7" w:rsidRDefault="0021298F" w:rsidP="00760009">
            <w:pPr>
              <w:jc w:val="right"/>
              <w:rPr>
                <w:rFonts w:ascii="Arial" w:eastAsia="Times New Roman" w:hAnsi="Arial" w:cs="Arial"/>
                <w:b/>
                <w:bCs/>
                <w:color w:val="000000"/>
                <w:lang w:eastAsia="en-GB"/>
              </w:rPr>
            </w:pPr>
            <w:r w:rsidRPr="00956CE7">
              <w:rPr>
                <w:rFonts w:ascii="Arial" w:eastAsia="Times New Roman" w:hAnsi="Arial" w:cs="Arial"/>
                <w:b/>
                <w:bCs/>
                <w:color w:val="000000"/>
                <w:lang w:eastAsia="en-GB"/>
              </w:rPr>
              <w:t> </w:t>
            </w:r>
          </w:p>
        </w:tc>
        <w:tc>
          <w:tcPr>
            <w:tcW w:w="1440" w:type="dxa"/>
            <w:tcBorders>
              <w:top w:val="nil"/>
              <w:left w:val="nil"/>
              <w:bottom w:val="nil"/>
              <w:right w:val="nil"/>
            </w:tcBorders>
            <w:shd w:val="clear" w:color="000000" w:fill="FFFFFF"/>
            <w:noWrap/>
            <w:vAlign w:val="center"/>
            <w:hideMark/>
          </w:tcPr>
          <w:p w14:paraId="2904300C" w14:textId="77777777" w:rsidR="0021298F" w:rsidRPr="00956CE7" w:rsidRDefault="0021298F" w:rsidP="00760009">
            <w:pPr>
              <w:jc w:val="right"/>
              <w:rPr>
                <w:rFonts w:ascii="Arial" w:eastAsia="Times New Roman" w:hAnsi="Arial" w:cs="Arial"/>
                <w:b/>
                <w:bCs/>
                <w:color w:val="000000"/>
                <w:lang w:eastAsia="en-GB"/>
              </w:rPr>
            </w:pPr>
            <w:r w:rsidRPr="00956CE7">
              <w:rPr>
                <w:rFonts w:ascii="Arial" w:eastAsia="Times New Roman" w:hAnsi="Arial" w:cs="Arial"/>
                <w:b/>
                <w:bCs/>
                <w:color w:val="000000"/>
                <w:lang w:eastAsia="en-GB"/>
              </w:rPr>
              <w:t> </w:t>
            </w:r>
          </w:p>
        </w:tc>
      </w:tr>
      <w:tr w:rsidR="0021298F" w:rsidRPr="00956CE7" w14:paraId="513F0368" w14:textId="77777777" w:rsidTr="00760009">
        <w:trPr>
          <w:trHeight w:val="315"/>
        </w:trPr>
        <w:tc>
          <w:tcPr>
            <w:tcW w:w="3200" w:type="dxa"/>
            <w:tcBorders>
              <w:top w:val="nil"/>
              <w:left w:val="nil"/>
              <w:bottom w:val="single" w:sz="8" w:space="0" w:color="auto"/>
              <w:right w:val="nil"/>
            </w:tcBorders>
            <w:shd w:val="clear" w:color="000000" w:fill="FFFFFF"/>
            <w:vAlign w:val="center"/>
            <w:hideMark/>
          </w:tcPr>
          <w:p w14:paraId="35744ED7" w14:textId="77777777" w:rsidR="0021298F" w:rsidRPr="00956CE7" w:rsidRDefault="0021298F" w:rsidP="00760009">
            <w:pPr>
              <w:jc w:val="both"/>
              <w:rPr>
                <w:rFonts w:ascii="Arial" w:eastAsia="Times New Roman" w:hAnsi="Arial" w:cs="Arial"/>
                <w:color w:val="000000"/>
                <w:lang w:eastAsia="en-GB"/>
              </w:rPr>
            </w:pPr>
            <w:r w:rsidRPr="00956CE7">
              <w:rPr>
                <w:rFonts w:ascii="Arial" w:eastAsia="Times New Roman" w:hAnsi="Arial" w:cs="Arial"/>
                <w:color w:val="000000"/>
                <w:lang w:eastAsia="en-GB"/>
              </w:rPr>
              <w:t>Other payables</w:t>
            </w:r>
          </w:p>
        </w:tc>
        <w:tc>
          <w:tcPr>
            <w:tcW w:w="1440" w:type="dxa"/>
            <w:tcBorders>
              <w:top w:val="nil"/>
              <w:left w:val="nil"/>
              <w:bottom w:val="single" w:sz="8" w:space="0" w:color="auto"/>
              <w:right w:val="nil"/>
            </w:tcBorders>
            <w:shd w:val="clear" w:color="000000" w:fill="FFFFFF"/>
            <w:noWrap/>
            <w:vAlign w:val="center"/>
            <w:hideMark/>
          </w:tcPr>
          <w:p w14:paraId="4A016C71" w14:textId="77777777" w:rsidR="0021298F" w:rsidRPr="00956CE7" w:rsidRDefault="0021298F" w:rsidP="00760009">
            <w:pPr>
              <w:jc w:val="right"/>
              <w:rPr>
                <w:rFonts w:ascii="Arial" w:eastAsia="Times New Roman" w:hAnsi="Arial" w:cs="Arial"/>
                <w:color w:val="000000"/>
                <w:lang w:eastAsia="en-GB"/>
              </w:rPr>
            </w:pPr>
            <w:r w:rsidRPr="00956CE7">
              <w:rPr>
                <w:rFonts w:ascii="Arial" w:eastAsia="Times New Roman" w:hAnsi="Arial" w:cs="Arial"/>
                <w:color w:val="000000"/>
                <w:lang w:eastAsia="en-GB"/>
              </w:rPr>
              <w:t xml:space="preserve"> (2,000)</w:t>
            </w:r>
          </w:p>
        </w:tc>
        <w:tc>
          <w:tcPr>
            <w:tcW w:w="1440" w:type="dxa"/>
            <w:tcBorders>
              <w:top w:val="nil"/>
              <w:left w:val="nil"/>
              <w:bottom w:val="single" w:sz="8" w:space="0" w:color="auto"/>
              <w:right w:val="nil"/>
            </w:tcBorders>
            <w:shd w:val="clear" w:color="000000" w:fill="FFFFFF"/>
            <w:noWrap/>
            <w:vAlign w:val="center"/>
            <w:hideMark/>
          </w:tcPr>
          <w:p w14:paraId="33A9F8D4" w14:textId="77777777" w:rsidR="0021298F" w:rsidRPr="00956CE7" w:rsidRDefault="0021298F" w:rsidP="00760009">
            <w:pPr>
              <w:jc w:val="right"/>
              <w:rPr>
                <w:rFonts w:ascii="Arial" w:eastAsia="Times New Roman" w:hAnsi="Arial" w:cs="Arial"/>
                <w:color w:val="000000"/>
                <w:lang w:eastAsia="en-GB"/>
              </w:rPr>
            </w:pPr>
            <w:r w:rsidRPr="00956CE7">
              <w:rPr>
                <w:rFonts w:ascii="Arial" w:eastAsia="Times New Roman" w:hAnsi="Arial" w:cs="Arial"/>
                <w:color w:val="000000"/>
                <w:lang w:eastAsia="en-GB"/>
              </w:rPr>
              <w:t xml:space="preserve"> - </w:t>
            </w:r>
          </w:p>
        </w:tc>
        <w:tc>
          <w:tcPr>
            <w:tcW w:w="1440" w:type="dxa"/>
            <w:tcBorders>
              <w:top w:val="nil"/>
              <w:left w:val="nil"/>
              <w:bottom w:val="single" w:sz="8" w:space="0" w:color="auto"/>
              <w:right w:val="nil"/>
            </w:tcBorders>
            <w:shd w:val="clear" w:color="000000" w:fill="FFFFFF"/>
            <w:noWrap/>
            <w:vAlign w:val="center"/>
            <w:hideMark/>
          </w:tcPr>
          <w:p w14:paraId="1ABBA553" w14:textId="77777777" w:rsidR="0021298F" w:rsidRPr="00956CE7" w:rsidRDefault="0021298F" w:rsidP="00760009">
            <w:pPr>
              <w:jc w:val="right"/>
              <w:rPr>
                <w:rFonts w:ascii="Arial" w:eastAsia="Times New Roman" w:hAnsi="Arial" w:cs="Arial"/>
                <w:color w:val="000000"/>
                <w:lang w:eastAsia="en-GB"/>
              </w:rPr>
            </w:pPr>
            <w:r w:rsidRPr="00956CE7">
              <w:rPr>
                <w:rFonts w:ascii="Arial" w:eastAsia="Times New Roman" w:hAnsi="Arial" w:cs="Arial"/>
                <w:color w:val="000000"/>
                <w:lang w:eastAsia="en-GB"/>
              </w:rPr>
              <w:t xml:space="preserve"> - </w:t>
            </w:r>
          </w:p>
        </w:tc>
        <w:tc>
          <w:tcPr>
            <w:tcW w:w="1440" w:type="dxa"/>
            <w:tcBorders>
              <w:top w:val="nil"/>
              <w:left w:val="nil"/>
              <w:bottom w:val="single" w:sz="8" w:space="0" w:color="auto"/>
              <w:right w:val="nil"/>
            </w:tcBorders>
            <w:shd w:val="clear" w:color="000000" w:fill="FFFFFF"/>
            <w:noWrap/>
            <w:vAlign w:val="center"/>
            <w:hideMark/>
          </w:tcPr>
          <w:p w14:paraId="2BC21F7F" w14:textId="77777777" w:rsidR="0021298F" w:rsidRPr="00956CE7" w:rsidRDefault="0021298F" w:rsidP="00760009">
            <w:pPr>
              <w:jc w:val="right"/>
              <w:rPr>
                <w:rFonts w:ascii="Arial" w:eastAsia="Times New Roman" w:hAnsi="Arial" w:cs="Arial"/>
                <w:b/>
                <w:bCs/>
                <w:color w:val="000000"/>
                <w:lang w:eastAsia="en-GB"/>
              </w:rPr>
            </w:pPr>
            <w:r w:rsidRPr="00956CE7">
              <w:rPr>
                <w:rFonts w:ascii="Arial" w:eastAsia="Times New Roman" w:hAnsi="Arial" w:cs="Arial"/>
                <w:b/>
                <w:bCs/>
                <w:color w:val="000000"/>
                <w:lang w:eastAsia="en-GB"/>
              </w:rPr>
              <w:t xml:space="preserve"> (2,000)</w:t>
            </w:r>
          </w:p>
        </w:tc>
      </w:tr>
      <w:tr w:rsidR="0021298F" w:rsidRPr="00956CE7" w14:paraId="75E6CFAA" w14:textId="77777777" w:rsidTr="00760009">
        <w:trPr>
          <w:trHeight w:val="315"/>
        </w:trPr>
        <w:tc>
          <w:tcPr>
            <w:tcW w:w="3200" w:type="dxa"/>
            <w:tcBorders>
              <w:top w:val="nil"/>
              <w:left w:val="nil"/>
              <w:bottom w:val="single" w:sz="8" w:space="0" w:color="auto"/>
              <w:right w:val="nil"/>
            </w:tcBorders>
            <w:shd w:val="clear" w:color="000000" w:fill="FFFFFF"/>
            <w:vAlign w:val="center"/>
            <w:hideMark/>
          </w:tcPr>
          <w:p w14:paraId="7972966D" w14:textId="77777777" w:rsidR="0021298F" w:rsidRPr="00956CE7" w:rsidRDefault="0021298F" w:rsidP="00760009">
            <w:pPr>
              <w:jc w:val="both"/>
              <w:rPr>
                <w:rFonts w:ascii="Arial" w:eastAsia="Times New Roman" w:hAnsi="Arial" w:cs="Arial"/>
                <w:b/>
                <w:bCs/>
                <w:color w:val="000000"/>
                <w:lang w:eastAsia="en-GB"/>
              </w:rPr>
            </w:pPr>
            <w:r w:rsidRPr="00956CE7">
              <w:rPr>
                <w:rFonts w:ascii="Arial" w:eastAsia="Times New Roman" w:hAnsi="Arial" w:cs="Arial"/>
                <w:b/>
                <w:bCs/>
                <w:color w:val="000000"/>
                <w:lang w:eastAsia="en-GB"/>
              </w:rPr>
              <w:t> </w:t>
            </w:r>
          </w:p>
        </w:tc>
        <w:tc>
          <w:tcPr>
            <w:tcW w:w="1440" w:type="dxa"/>
            <w:tcBorders>
              <w:top w:val="nil"/>
              <w:left w:val="nil"/>
              <w:bottom w:val="single" w:sz="8" w:space="0" w:color="auto"/>
              <w:right w:val="nil"/>
            </w:tcBorders>
            <w:shd w:val="clear" w:color="000000" w:fill="FFFFFF"/>
            <w:noWrap/>
            <w:vAlign w:val="center"/>
            <w:hideMark/>
          </w:tcPr>
          <w:p w14:paraId="3C01D825" w14:textId="77777777" w:rsidR="0021298F" w:rsidRPr="00956CE7" w:rsidRDefault="0021298F" w:rsidP="00760009">
            <w:pPr>
              <w:jc w:val="right"/>
              <w:rPr>
                <w:rFonts w:ascii="Arial" w:eastAsia="Times New Roman" w:hAnsi="Arial" w:cs="Arial"/>
                <w:b/>
                <w:bCs/>
                <w:color w:val="000000"/>
                <w:lang w:eastAsia="en-GB"/>
              </w:rPr>
            </w:pPr>
            <w:r w:rsidRPr="00956CE7">
              <w:rPr>
                <w:rFonts w:ascii="Arial" w:eastAsia="Times New Roman" w:hAnsi="Arial" w:cs="Arial"/>
                <w:b/>
                <w:bCs/>
                <w:color w:val="000000"/>
                <w:lang w:eastAsia="en-GB"/>
              </w:rPr>
              <w:t xml:space="preserve">1,175 </w:t>
            </w:r>
          </w:p>
        </w:tc>
        <w:tc>
          <w:tcPr>
            <w:tcW w:w="1440" w:type="dxa"/>
            <w:tcBorders>
              <w:top w:val="nil"/>
              <w:left w:val="nil"/>
              <w:bottom w:val="single" w:sz="8" w:space="0" w:color="auto"/>
              <w:right w:val="nil"/>
            </w:tcBorders>
            <w:shd w:val="clear" w:color="000000" w:fill="FFFFFF"/>
            <w:noWrap/>
            <w:vAlign w:val="center"/>
            <w:hideMark/>
          </w:tcPr>
          <w:p w14:paraId="2DCDE9B8" w14:textId="77777777" w:rsidR="0021298F" w:rsidRPr="00956CE7" w:rsidRDefault="0021298F" w:rsidP="00760009">
            <w:pPr>
              <w:jc w:val="right"/>
              <w:rPr>
                <w:rFonts w:ascii="Arial" w:eastAsia="Times New Roman" w:hAnsi="Arial" w:cs="Arial"/>
                <w:b/>
                <w:bCs/>
                <w:color w:val="000000"/>
                <w:lang w:eastAsia="en-GB"/>
              </w:rPr>
            </w:pPr>
            <w:r w:rsidRPr="00956CE7">
              <w:rPr>
                <w:rFonts w:ascii="Arial" w:eastAsia="Times New Roman" w:hAnsi="Arial" w:cs="Arial"/>
                <w:b/>
                <w:bCs/>
                <w:color w:val="000000"/>
                <w:lang w:eastAsia="en-GB"/>
              </w:rPr>
              <w:t xml:space="preserve">-   </w:t>
            </w:r>
          </w:p>
        </w:tc>
        <w:tc>
          <w:tcPr>
            <w:tcW w:w="1440" w:type="dxa"/>
            <w:tcBorders>
              <w:top w:val="nil"/>
              <w:left w:val="nil"/>
              <w:bottom w:val="single" w:sz="8" w:space="0" w:color="auto"/>
              <w:right w:val="nil"/>
            </w:tcBorders>
            <w:shd w:val="clear" w:color="000000" w:fill="FFFFFF"/>
            <w:noWrap/>
            <w:vAlign w:val="center"/>
            <w:hideMark/>
          </w:tcPr>
          <w:p w14:paraId="4F8C0F5C" w14:textId="77777777" w:rsidR="0021298F" w:rsidRPr="00956CE7" w:rsidRDefault="0021298F" w:rsidP="00760009">
            <w:pPr>
              <w:jc w:val="right"/>
              <w:rPr>
                <w:rFonts w:ascii="Arial" w:eastAsia="Times New Roman" w:hAnsi="Arial" w:cs="Arial"/>
                <w:b/>
                <w:bCs/>
                <w:color w:val="000000"/>
                <w:lang w:eastAsia="en-GB"/>
              </w:rPr>
            </w:pPr>
            <w:r w:rsidRPr="00956CE7">
              <w:rPr>
                <w:rFonts w:ascii="Arial" w:eastAsia="Times New Roman" w:hAnsi="Arial" w:cs="Arial"/>
                <w:b/>
                <w:bCs/>
                <w:color w:val="000000"/>
                <w:lang w:eastAsia="en-GB"/>
              </w:rPr>
              <w:t xml:space="preserve">551,968 </w:t>
            </w:r>
          </w:p>
        </w:tc>
        <w:tc>
          <w:tcPr>
            <w:tcW w:w="1440" w:type="dxa"/>
            <w:tcBorders>
              <w:top w:val="nil"/>
              <w:left w:val="nil"/>
              <w:bottom w:val="single" w:sz="8" w:space="0" w:color="auto"/>
              <w:right w:val="nil"/>
            </w:tcBorders>
            <w:shd w:val="clear" w:color="000000" w:fill="FFFFFF"/>
            <w:noWrap/>
            <w:vAlign w:val="center"/>
            <w:hideMark/>
          </w:tcPr>
          <w:p w14:paraId="4B361C41" w14:textId="77777777" w:rsidR="0021298F" w:rsidRPr="00956CE7" w:rsidRDefault="0021298F" w:rsidP="00760009">
            <w:pPr>
              <w:jc w:val="right"/>
              <w:rPr>
                <w:rFonts w:ascii="Arial" w:eastAsia="Times New Roman" w:hAnsi="Arial" w:cs="Arial"/>
                <w:b/>
                <w:bCs/>
                <w:color w:val="000000"/>
                <w:lang w:eastAsia="en-GB"/>
              </w:rPr>
            </w:pPr>
            <w:r w:rsidRPr="00956CE7">
              <w:rPr>
                <w:rFonts w:ascii="Arial" w:eastAsia="Times New Roman" w:hAnsi="Arial" w:cs="Arial"/>
                <w:b/>
                <w:bCs/>
                <w:color w:val="000000"/>
                <w:lang w:eastAsia="en-GB"/>
              </w:rPr>
              <w:t xml:space="preserve">553,143 </w:t>
            </w:r>
          </w:p>
        </w:tc>
      </w:tr>
    </w:tbl>
    <w:p w14:paraId="32B995BC" w14:textId="77777777" w:rsidR="0021298F" w:rsidRDefault="0021298F" w:rsidP="0021298F">
      <w:pPr>
        <w:jc w:val="both"/>
        <w:rPr>
          <w:rFonts w:ascii="Arial" w:hAnsi="Arial" w:cs="Arial"/>
        </w:rPr>
      </w:pPr>
    </w:p>
    <w:p w14:paraId="14B21335" w14:textId="77777777" w:rsidR="0021298F" w:rsidRDefault="0021298F" w:rsidP="0021298F">
      <w:pPr>
        <w:jc w:val="both"/>
        <w:rPr>
          <w:rFonts w:ascii="Arial" w:hAnsi="Arial" w:cs="Arial"/>
        </w:rPr>
      </w:pPr>
      <w:r>
        <w:rPr>
          <w:rFonts w:ascii="Arial" w:hAnsi="Arial" w:cs="Arial"/>
        </w:rPr>
        <w:t>The Group and Company will use cash flow generation, equity raisings, debt refinancing or disposal of assets to manage liabilities as they fall due in the longer term.</w:t>
      </w:r>
    </w:p>
    <w:p w14:paraId="0E979DCA" w14:textId="77777777" w:rsidR="0021298F" w:rsidRDefault="0021298F" w:rsidP="0021298F">
      <w:pPr>
        <w:jc w:val="both"/>
        <w:rPr>
          <w:rFonts w:ascii="Arial" w:hAnsi="Arial" w:cs="Arial"/>
          <w:b/>
        </w:rPr>
      </w:pPr>
    </w:p>
    <w:p w14:paraId="698D1770" w14:textId="77777777" w:rsidR="0021298F" w:rsidRPr="00A74867" w:rsidRDefault="0021298F" w:rsidP="0021298F">
      <w:pPr>
        <w:jc w:val="both"/>
        <w:rPr>
          <w:rFonts w:ascii="Arial" w:hAnsi="Arial" w:cs="Arial"/>
          <w:b/>
        </w:rPr>
      </w:pPr>
      <w:r w:rsidRPr="00A74867">
        <w:rPr>
          <w:rFonts w:ascii="Arial" w:hAnsi="Arial" w:cs="Arial"/>
          <w:b/>
        </w:rPr>
        <w:t xml:space="preserve">Capital </w:t>
      </w:r>
      <w:r>
        <w:rPr>
          <w:rFonts w:ascii="Arial" w:hAnsi="Arial" w:cs="Arial"/>
          <w:b/>
        </w:rPr>
        <w:t>r</w:t>
      </w:r>
      <w:r w:rsidRPr="00A74867">
        <w:rPr>
          <w:rFonts w:ascii="Arial" w:hAnsi="Arial" w:cs="Arial"/>
          <w:b/>
        </w:rPr>
        <w:t xml:space="preserve">isk </w:t>
      </w:r>
      <w:r>
        <w:rPr>
          <w:rFonts w:ascii="Arial" w:hAnsi="Arial" w:cs="Arial"/>
          <w:b/>
        </w:rPr>
        <w:t>m</w:t>
      </w:r>
      <w:r w:rsidRPr="00A74867">
        <w:rPr>
          <w:rFonts w:ascii="Arial" w:hAnsi="Arial" w:cs="Arial"/>
          <w:b/>
        </w:rPr>
        <w:t>anagement</w:t>
      </w:r>
    </w:p>
    <w:p w14:paraId="64C90159" w14:textId="77777777" w:rsidR="0021298F" w:rsidRDefault="0021298F" w:rsidP="0021298F">
      <w:pPr>
        <w:jc w:val="both"/>
        <w:rPr>
          <w:rFonts w:ascii="Arial" w:eastAsia="Times New Roman" w:hAnsi="Arial" w:cs="Arial"/>
        </w:rPr>
      </w:pPr>
      <w:r w:rsidRPr="000535C5">
        <w:rPr>
          <w:rFonts w:ascii="Arial" w:eastAsia="Times New Roman" w:hAnsi="Arial" w:cs="Arial"/>
        </w:rPr>
        <w:t>The Company considers its capital to comprise ordinary share capital, distributable reserves and retained earnings. The Company is not subject to any externally imposed capital requirements.</w:t>
      </w:r>
    </w:p>
    <w:p w14:paraId="0E458F1F" w14:textId="77777777" w:rsidR="0021298F" w:rsidRDefault="0021298F" w:rsidP="0021298F">
      <w:pPr>
        <w:jc w:val="both"/>
        <w:rPr>
          <w:rFonts w:ascii="Arial" w:hAnsi="Arial" w:cs="Arial"/>
        </w:rPr>
      </w:pPr>
    </w:p>
    <w:p w14:paraId="1D905F4C" w14:textId="77777777" w:rsidR="0021298F" w:rsidRDefault="0021298F" w:rsidP="0021298F">
      <w:pPr>
        <w:jc w:val="both"/>
        <w:rPr>
          <w:rFonts w:ascii="Arial" w:hAnsi="Arial" w:cs="Arial"/>
        </w:rPr>
      </w:pPr>
      <w:r>
        <w:rPr>
          <w:rFonts w:ascii="Arial" w:hAnsi="Arial" w:cs="Arial"/>
        </w:rPr>
        <w:t>The Group’s and the Company’s primary capital management objectives are to ensure the sustainability of its capital to support continuing operations, meet its financial obligations and allow for growth opportunities. Generally, acquisitions are anticipated to be funded by a combination of current cash, debt and equity.</w:t>
      </w:r>
    </w:p>
    <w:p w14:paraId="46A4A194" w14:textId="77777777" w:rsidR="0021298F" w:rsidRDefault="0021298F" w:rsidP="0021298F">
      <w:pPr>
        <w:jc w:val="both"/>
        <w:rPr>
          <w:rFonts w:ascii="Arial" w:hAnsi="Arial" w:cs="Arial"/>
          <w:color w:val="FF0000"/>
        </w:rPr>
      </w:pPr>
    </w:p>
    <w:p w14:paraId="34D782BC" w14:textId="77777777" w:rsidR="0021298F" w:rsidRPr="005328C7" w:rsidRDefault="0021298F" w:rsidP="0021298F">
      <w:pPr>
        <w:pStyle w:val="Heading2"/>
        <w:keepNext w:val="0"/>
        <w:keepLines w:val="0"/>
        <w:spacing w:before="0" w:line="240" w:lineRule="auto"/>
        <w:jc w:val="both"/>
        <w:rPr>
          <w:rFonts w:ascii="Arial" w:hAnsi="Arial" w:cs="Arial"/>
          <w:color w:val="auto"/>
          <w:sz w:val="24"/>
          <w:szCs w:val="22"/>
          <w:lang w:eastAsia="en-GB"/>
        </w:rPr>
      </w:pPr>
      <w:r>
        <w:rPr>
          <w:rFonts w:ascii="Arial" w:hAnsi="Arial" w:cs="Arial"/>
          <w:color w:val="auto"/>
          <w:sz w:val="24"/>
          <w:szCs w:val="22"/>
          <w:lang w:eastAsia="en-GB"/>
        </w:rPr>
        <w:t xml:space="preserve">19. </w:t>
      </w:r>
      <w:r w:rsidRPr="005328C7">
        <w:rPr>
          <w:rFonts w:ascii="Arial" w:hAnsi="Arial" w:cs="Arial"/>
          <w:color w:val="auto"/>
          <w:sz w:val="24"/>
          <w:szCs w:val="22"/>
          <w:lang w:eastAsia="en-GB"/>
        </w:rPr>
        <w:t xml:space="preserve">Related </w:t>
      </w:r>
      <w:r>
        <w:rPr>
          <w:rFonts w:ascii="Arial" w:hAnsi="Arial" w:cs="Arial"/>
          <w:color w:val="auto"/>
          <w:sz w:val="24"/>
          <w:szCs w:val="22"/>
          <w:lang w:eastAsia="en-GB"/>
        </w:rPr>
        <w:t>p</w:t>
      </w:r>
      <w:r w:rsidRPr="005328C7">
        <w:rPr>
          <w:rFonts w:ascii="Arial" w:hAnsi="Arial" w:cs="Arial"/>
          <w:color w:val="auto"/>
          <w:sz w:val="24"/>
          <w:szCs w:val="22"/>
          <w:lang w:eastAsia="en-GB"/>
        </w:rPr>
        <w:t xml:space="preserve">arty </w:t>
      </w:r>
      <w:r>
        <w:rPr>
          <w:rFonts w:ascii="Arial" w:hAnsi="Arial" w:cs="Arial"/>
          <w:color w:val="auto"/>
          <w:sz w:val="24"/>
          <w:szCs w:val="22"/>
          <w:lang w:eastAsia="en-GB"/>
        </w:rPr>
        <w:t>t</w:t>
      </w:r>
      <w:r w:rsidRPr="005328C7">
        <w:rPr>
          <w:rFonts w:ascii="Arial" w:hAnsi="Arial" w:cs="Arial"/>
          <w:color w:val="auto"/>
          <w:sz w:val="24"/>
          <w:szCs w:val="22"/>
          <w:lang w:eastAsia="en-GB"/>
        </w:rPr>
        <w:t>ransactions</w:t>
      </w:r>
    </w:p>
    <w:p w14:paraId="4ABF2337" w14:textId="77777777" w:rsidR="0021298F" w:rsidRDefault="0021298F" w:rsidP="0021298F">
      <w:pPr>
        <w:jc w:val="both"/>
        <w:rPr>
          <w:rFonts w:ascii="Arial" w:hAnsi="Arial" w:cs="Arial"/>
        </w:rPr>
      </w:pPr>
    </w:p>
    <w:p w14:paraId="21B6C24F" w14:textId="77777777" w:rsidR="0021298F" w:rsidRDefault="0021298F" w:rsidP="0021298F">
      <w:pPr>
        <w:jc w:val="both"/>
        <w:rPr>
          <w:rFonts w:ascii="Arial" w:eastAsia="Times New Roman" w:hAnsi="Arial" w:cs="Arial"/>
          <w:lang w:eastAsia="en-GB"/>
        </w:rPr>
      </w:pPr>
      <w:r w:rsidRPr="00CB1AC5">
        <w:rPr>
          <w:rFonts w:ascii="Arial" w:eastAsia="Times New Roman" w:hAnsi="Arial" w:cs="Arial"/>
          <w:lang w:eastAsia="en-GB"/>
        </w:rPr>
        <w:t>During the year, the Company advanced interest-free loans to Holdco of €</w:t>
      </w:r>
      <w:r>
        <w:rPr>
          <w:rFonts w:ascii="Arial" w:eastAsia="Times New Roman" w:hAnsi="Arial" w:cs="Arial"/>
          <w:lang w:eastAsia="en-GB"/>
        </w:rPr>
        <w:t>6,900,000</w:t>
      </w:r>
      <w:r w:rsidRPr="00CB1AC5">
        <w:rPr>
          <w:rFonts w:ascii="Arial" w:eastAsia="Times New Roman" w:hAnsi="Arial" w:cs="Arial"/>
          <w:lang w:eastAsia="en-GB"/>
        </w:rPr>
        <w:t xml:space="preserve"> (2019: €268,446,764), and Holdco made repayments of €38,520,000 (2019: €29,450,000). </w:t>
      </w:r>
      <w:r>
        <w:rPr>
          <w:rFonts w:ascii="Arial" w:eastAsia="Times New Roman" w:hAnsi="Arial" w:cs="Arial"/>
          <w:lang w:eastAsia="en-GB"/>
        </w:rPr>
        <w:t xml:space="preserve">The Company also provided a capital contribution to Holdco 2 of €113,074,417 (2019: nil). </w:t>
      </w:r>
      <w:r w:rsidRPr="00CB1AC5">
        <w:rPr>
          <w:rFonts w:ascii="Arial" w:eastAsia="Times New Roman" w:hAnsi="Arial" w:cs="Arial"/>
          <w:lang w:eastAsia="en-GB"/>
        </w:rPr>
        <w:t>During the year, the Company also received shareholder loan repayments from Knockacummer of €</w:t>
      </w:r>
      <w:r w:rsidRPr="00AE47CC">
        <w:rPr>
          <w:rFonts w:ascii="Arial" w:eastAsia="Times New Roman" w:hAnsi="Arial" w:cs="Arial"/>
          <w:lang w:eastAsia="en-GB"/>
        </w:rPr>
        <w:t>1,994,445</w:t>
      </w:r>
      <w:r w:rsidRPr="00CB1AC5">
        <w:rPr>
          <w:rFonts w:ascii="Arial" w:eastAsia="Times New Roman" w:hAnsi="Arial" w:cs="Arial"/>
          <w:lang w:eastAsia="en-GB"/>
        </w:rPr>
        <w:t xml:space="preserve"> (2019: €1,846,867) and Killhills of €663,187 (2019: €1,447,246).</w:t>
      </w:r>
    </w:p>
    <w:p w14:paraId="7B49158E" w14:textId="77777777" w:rsidR="0021298F" w:rsidRDefault="0021298F" w:rsidP="0021298F">
      <w:pPr>
        <w:jc w:val="both"/>
        <w:rPr>
          <w:rFonts w:ascii="Arial" w:eastAsia="Times New Roman" w:hAnsi="Arial" w:cs="Arial"/>
          <w:lang w:eastAsia="en-GB"/>
        </w:rPr>
      </w:pPr>
      <w:r>
        <w:rPr>
          <w:rFonts w:ascii="Arial" w:eastAsia="Times New Roman" w:hAnsi="Arial" w:cs="Arial"/>
          <w:lang w:eastAsia="en-GB"/>
        </w:rPr>
        <w:t>During the year, the Company also paid remuneration to the Directors as disclosed in the Directors’ Remuneration Report</w:t>
      </w:r>
      <w:r w:rsidRPr="001D4315">
        <w:rPr>
          <w:rFonts w:ascii="Arial" w:eastAsia="Times New Roman" w:hAnsi="Arial" w:cs="Arial"/>
          <w:lang w:eastAsia="en-GB"/>
        </w:rPr>
        <w:t>.</w:t>
      </w:r>
      <w:r>
        <w:rPr>
          <w:rFonts w:ascii="Arial" w:eastAsia="Times New Roman" w:hAnsi="Arial" w:cs="Arial"/>
          <w:lang w:eastAsia="en-GB"/>
        </w:rPr>
        <w:t xml:space="preserve"> The Directors’ interests in Company Shares as at 31 December 2020 are also disclosed in the Directors’ Report. The table below shows the number of Company shares acquired by the Directors:</w:t>
      </w:r>
    </w:p>
    <w:p w14:paraId="3DCCE604" w14:textId="77777777" w:rsidR="0021298F" w:rsidRDefault="0021298F" w:rsidP="0021298F">
      <w:pPr>
        <w:jc w:val="both"/>
        <w:rPr>
          <w:rFonts w:ascii="Arial" w:eastAsia="Times New Roman" w:hAnsi="Arial" w:cs="Arial"/>
          <w:lang w:eastAsia="en-GB"/>
        </w:rPr>
      </w:pPr>
    </w:p>
    <w:tbl>
      <w:tblPr>
        <w:tblW w:w="5001" w:type="pct"/>
        <w:tblLook w:val="04A0" w:firstRow="1" w:lastRow="0" w:firstColumn="1" w:lastColumn="0" w:noHBand="0" w:noVBand="1"/>
      </w:tblPr>
      <w:tblGrid>
        <w:gridCol w:w="4216"/>
        <w:gridCol w:w="2407"/>
        <w:gridCol w:w="2405"/>
      </w:tblGrid>
      <w:tr w:rsidR="0021298F" w:rsidRPr="00500322" w14:paraId="05E6E11C" w14:textId="77777777" w:rsidTr="00760009">
        <w:trPr>
          <w:trHeight w:val="285"/>
        </w:trPr>
        <w:tc>
          <w:tcPr>
            <w:tcW w:w="2335" w:type="pct"/>
            <w:tcBorders>
              <w:top w:val="nil"/>
              <w:left w:val="nil"/>
              <w:bottom w:val="single" w:sz="4" w:space="0" w:color="000000"/>
              <w:right w:val="nil"/>
            </w:tcBorders>
            <w:shd w:val="clear" w:color="auto" w:fill="auto"/>
            <w:vAlign w:val="center"/>
            <w:hideMark/>
          </w:tcPr>
          <w:p w14:paraId="78A103FD" w14:textId="77777777" w:rsidR="0021298F" w:rsidRPr="00586153" w:rsidRDefault="0021298F" w:rsidP="00760009">
            <w:pPr>
              <w:jc w:val="both"/>
              <w:rPr>
                <w:rFonts w:ascii="Arial" w:eastAsia="Times New Roman" w:hAnsi="Arial" w:cs="Arial"/>
                <w:b/>
                <w:bCs/>
                <w:lang w:eastAsia="en-GB"/>
              </w:rPr>
            </w:pPr>
          </w:p>
        </w:tc>
        <w:tc>
          <w:tcPr>
            <w:tcW w:w="1333" w:type="pct"/>
            <w:tcBorders>
              <w:top w:val="nil"/>
              <w:left w:val="nil"/>
              <w:bottom w:val="nil"/>
              <w:right w:val="nil"/>
            </w:tcBorders>
            <w:shd w:val="clear" w:color="auto" w:fill="auto"/>
            <w:vAlign w:val="center"/>
            <w:hideMark/>
          </w:tcPr>
          <w:p w14:paraId="5422E743" w14:textId="77777777" w:rsidR="0021298F" w:rsidRPr="00586153" w:rsidRDefault="0021298F" w:rsidP="00760009">
            <w:pPr>
              <w:jc w:val="right"/>
              <w:rPr>
                <w:rFonts w:ascii="Arial" w:eastAsia="Times New Roman" w:hAnsi="Arial" w:cs="Arial"/>
                <w:b/>
                <w:bCs/>
                <w:lang w:eastAsia="en-GB"/>
              </w:rPr>
            </w:pPr>
            <w:r>
              <w:rPr>
                <w:rFonts w:ascii="Arial" w:eastAsia="Times New Roman" w:hAnsi="Arial" w:cs="Arial"/>
                <w:b/>
                <w:bCs/>
                <w:lang w:eastAsia="en-GB"/>
              </w:rPr>
              <w:t>For the year ending 31 December 2020</w:t>
            </w:r>
          </w:p>
        </w:tc>
        <w:tc>
          <w:tcPr>
            <w:tcW w:w="1332" w:type="pct"/>
            <w:tcBorders>
              <w:top w:val="nil"/>
              <w:left w:val="nil"/>
              <w:bottom w:val="nil"/>
              <w:right w:val="nil"/>
            </w:tcBorders>
            <w:vAlign w:val="center"/>
          </w:tcPr>
          <w:p w14:paraId="5A0ED3F9" w14:textId="77777777" w:rsidR="0021298F" w:rsidRPr="00586153" w:rsidRDefault="0021298F" w:rsidP="00760009">
            <w:pPr>
              <w:jc w:val="right"/>
              <w:rPr>
                <w:rFonts w:ascii="Arial" w:eastAsia="Times New Roman" w:hAnsi="Arial" w:cs="Arial"/>
                <w:b/>
                <w:bCs/>
                <w:lang w:eastAsia="en-GB"/>
              </w:rPr>
            </w:pPr>
            <w:r>
              <w:rPr>
                <w:rFonts w:ascii="Arial" w:eastAsia="Times New Roman" w:hAnsi="Arial" w:cs="Arial"/>
                <w:b/>
                <w:bCs/>
                <w:lang w:eastAsia="en-GB"/>
              </w:rPr>
              <w:t>For the year ending 31 December 2019</w:t>
            </w:r>
          </w:p>
        </w:tc>
      </w:tr>
      <w:tr w:rsidR="0021298F" w:rsidRPr="00500322" w14:paraId="360C449B" w14:textId="77777777" w:rsidTr="00760009">
        <w:trPr>
          <w:trHeight w:val="285"/>
        </w:trPr>
        <w:tc>
          <w:tcPr>
            <w:tcW w:w="2335" w:type="pct"/>
            <w:tcBorders>
              <w:top w:val="single" w:sz="8" w:space="0" w:color="auto"/>
              <w:left w:val="nil"/>
              <w:bottom w:val="nil"/>
              <w:right w:val="nil"/>
            </w:tcBorders>
            <w:shd w:val="clear" w:color="auto" w:fill="auto"/>
            <w:noWrap/>
            <w:vAlign w:val="bottom"/>
            <w:hideMark/>
          </w:tcPr>
          <w:p w14:paraId="0556A6FF" w14:textId="77777777" w:rsidR="0021298F" w:rsidRPr="00586153" w:rsidRDefault="0021298F" w:rsidP="00760009">
            <w:pPr>
              <w:jc w:val="both"/>
              <w:rPr>
                <w:rFonts w:ascii="Arial" w:eastAsia="Times New Roman" w:hAnsi="Arial" w:cs="Arial"/>
                <w:lang w:eastAsia="en-GB"/>
              </w:rPr>
            </w:pPr>
            <w:r w:rsidRPr="00500322">
              <w:rPr>
                <w:rFonts w:ascii="Arial" w:eastAsiaTheme="majorEastAsia" w:hAnsi="Arial" w:cs="Arial"/>
                <w:bCs/>
              </w:rPr>
              <w:t>Rónán Murphy</w:t>
            </w:r>
          </w:p>
        </w:tc>
        <w:tc>
          <w:tcPr>
            <w:tcW w:w="1333" w:type="pct"/>
            <w:tcBorders>
              <w:top w:val="single" w:sz="8" w:space="0" w:color="auto"/>
              <w:left w:val="nil"/>
              <w:bottom w:val="nil"/>
              <w:right w:val="nil"/>
            </w:tcBorders>
            <w:shd w:val="clear" w:color="000000" w:fill="EDFFB7"/>
            <w:noWrap/>
            <w:vAlign w:val="bottom"/>
          </w:tcPr>
          <w:p w14:paraId="68514479" w14:textId="77777777" w:rsidR="0021298F" w:rsidRPr="001E34C8" w:rsidRDefault="0021298F" w:rsidP="00760009">
            <w:pPr>
              <w:jc w:val="right"/>
              <w:rPr>
                <w:rFonts w:ascii="Arial" w:eastAsia="Times New Roman" w:hAnsi="Arial" w:cs="Arial"/>
                <w:lang w:eastAsia="en-GB"/>
              </w:rPr>
            </w:pPr>
            <w:r w:rsidRPr="001E34C8">
              <w:rPr>
                <w:rFonts w:ascii="Arial" w:eastAsia="Times New Roman" w:hAnsi="Arial" w:cs="Arial"/>
                <w:lang w:eastAsia="en-GB"/>
              </w:rPr>
              <w:t>22,123</w:t>
            </w:r>
          </w:p>
        </w:tc>
        <w:tc>
          <w:tcPr>
            <w:tcW w:w="1332" w:type="pct"/>
            <w:tcBorders>
              <w:top w:val="single" w:sz="8" w:space="0" w:color="auto"/>
              <w:left w:val="nil"/>
              <w:bottom w:val="nil"/>
              <w:right w:val="nil"/>
            </w:tcBorders>
            <w:shd w:val="clear" w:color="auto" w:fill="auto"/>
            <w:vAlign w:val="bottom"/>
          </w:tcPr>
          <w:p w14:paraId="10BCCCDF" w14:textId="77777777" w:rsidR="0021298F" w:rsidRPr="00586153" w:rsidRDefault="0021298F" w:rsidP="00760009">
            <w:pPr>
              <w:jc w:val="right"/>
              <w:rPr>
                <w:rFonts w:ascii="Arial" w:eastAsia="Times New Roman" w:hAnsi="Arial" w:cs="Arial"/>
                <w:lang w:eastAsia="en-GB"/>
              </w:rPr>
            </w:pPr>
            <w:r>
              <w:rPr>
                <w:rFonts w:ascii="Arial" w:eastAsia="Times New Roman" w:hAnsi="Arial" w:cs="Arial"/>
                <w:lang w:eastAsia="en-GB"/>
              </w:rPr>
              <w:t>45,819</w:t>
            </w:r>
          </w:p>
        </w:tc>
      </w:tr>
      <w:tr w:rsidR="0021298F" w:rsidRPr="00500322" w14:paraId="70C9EC8F" w14:textId="77777777" w:rsidTr="00760009">
        <w:trPr>
          <w:trHeight w:val="285"/>
        </w:trPr>
        <w:tc>
          <w:tcPr>
            <w:tcW w:w="2335" w:type="pct"/>
            <w:tcBorders>
              <w:top w:val="nil"/>
              <w:left w:val="nil"/>
              <w:right w:val="nil"/>
            </w:tcBorders>
            <w:shd w:val="clear" w:color="auto" w:fill="auto"/>
            <w:noWrap/>
            <w:vAlign w:val="bottom"/>
            <w:hideMark/>
          </w:tcPr>
          <w:p w14:paraId="0FB0ADA0" w14:textId="77777777" w:rsidR="0021298F" w:rsidRPr="00586153" w:rsidRDefault="0021298F" w:rsidP="00760009">
            <w:pPr>
              <w:jc w:val="both"/>
              <w:rPr>
                <w:rFonts w:ascii="Arial" w:eastAsia="Times New Roman" w:hAnsi="Arial" w:cs="Arial"/>
                <w:lang w:eastAsia="en-GB"/>
              </w:rPr>
            </w:pPr>
            <w:r w:rsidRPr="00500322">
              <w:rPr>
                <w:rFonts w:ascii="Arial" w:eastAsiaTheme="majorEastAsia" w:hAnsi="Arial" w:cs="Arial"/>
                <w:bCs/>
              </w:rPr>
              <w:lastRenderedPageBreak/>
              <w:t xml:space="preserve">Kevin McNamara </w:t>
            </w:r>
          </w:p>
        </w:tc>
        <w:tc>
          <w:tcPr>
            <w:tcW w:w="1333" w:type="pct"/>
            <w:tcBorders>
              <w:top w:val="nil"/>
              <w:left w:val="nil"/>
              <w:right w:val="nil"/>
            </w:tcBorders>
            <w:shd w:val="clear" w:color="000000" w:fill="EDFFB7"/>
            <w:noWrap/>
            <w:vAlign w:val="bottom"/>
          </w:tcPr>
          <w:p w14:paraId="08019943" w14:textId="77777777" w:rsidR="0021298F" w:rsidRPr="001E34C8" w:rsidRDefault="0021298F" w:rsidP="00760009">
            <w:pPr>
              <w:jc w:val="right"/>
              <w:rPr>
                <w:rFonts w:ascii="Arial" w:eastAsia="Times New Roman" w:hAnsi="Arial" w:cs="Arial"/>
                <w:lang w:eastAsia="en-GB"/>
              </w:rPr>
            </w:pPr>
            <w:r w:rsidRPr="001E34C8">
              <w:rPr>
                <w:rFonts w:ascii="Arial" w:eastAsia="Times New Roman" w:hAnsi="Arial" w:cs="Arial"/>
                <w:lang w:eastAsia="en-GB"/>
              </w:rPr>
              <w:t>-</w:t>
            </w:r>
          </w:p>
        </w:tc>
        <w:tc>
          <w:tcPr>
            <w:tcW w:w="1332" w:type="pct"/>
            <w:tcBorders>
              <w:top w:val="nil"/>
              <w:left w:val="nil"/>
              <w:right w:val="nil"/>
            </w:tcBorders>
            <w:shd w:val="clear" w:color="auto" w:fill="auto"/>
            <w:vAlign w:val="bottom"/>
          </w:tcPr>
          <w:p w14:paraId="4061536A" w14:textId="77777777" w:rsidR="0021298F" w:rsidRPr="00586153" w:rsidRDefault="0021298F" w:rsidP="00760009">
            <w:pPr>
              <w:jc w:val="right"/>
              <w:rPr>
                <w:rFonts w:ascii="Arial" w:eastAsia="Times New Roman" w:hAnsi="Arial" w:cs="Arial"/>
                <w:lang w:eastAsia="en-GB"/>
              </w:rPr>
            </w:pPr>
            <w:r>
              <w:rPr>
                <w:rFonts w:ascii="Arial" w:eastAsia="Times New Roman" w:hAnsi="Arial" w:cs="Arial"/>
                <w:lang w:eastAsia="en-GB"/>
              </w:rPr>
              <w:t>18,327</w:t>
            </w:r>
          </w:p>
        </w:tc>
      </w:tr>
      <w:tr w:rsidR="0021298F" w:rsidRPr="00500322" w14:paraId="7CCD9DA2" w14:textId="77777777" w:rsidTr="00760009">
        <w:trPr>
          <w:trHeight w:val="285"/>
        </w:trPr>
        <w:tc>
          <w:tcPr>
            <w:tcW w:w="2335" w:type="pct"/>
            <w:tcBorders>
              <w:top w:val="nil"/>
              <w:left w:val="nil"/>
              <w:right w:val="nil"/>
            </w:tcBorders>
            <w:shd w:val="clear" w:color="auto" w:fill="auto"/>
            <w:noWrap/>
            <w:vAlign w:val="bottom"/>
          </w:tcPr>
          <w:p w14:paraId="0D852F1A" w14:textId="77777777" w:rsidR="0021298F" w:rsidRPr="00500322" w:rsidRDefault="0021298F" w:rsidP="00760009">
            <w:pPr>
              <w:jc w:val="both"/>
              <w:rPr>
                <w:rFonts w:ascii="Arial" w:eastAsiaTheme="majorEastAsia" w:hAnsi="Arial" w:cs="Arial"/>
                <w:bCs/>
              </w:rPr>
            </w:pPr>
            <w:r w:rsidRPr="00500322">
              <w:rPr>
                <w:rFonts w:ascii="Arial" w:eastAsiaTheme="majorEastAsia" w:hAnsi="Arial" w:cs="Arial"/>
                <w:bCs/>
              </w:rPr>
              <w:t>Emer Gilvarry</w:t>
            </w:r>
          </w:p>
        </w:tc>
        <w:tc>
          <w:tcPr>
            <w:tcW w:w="1333" w:type="pct"/>
            <w:tcBorders>
              <w:top w:val="nil"/>
              <w:left w:val="nil"/>
              <w:right w:val="nil"/>
            </w:tcBorders>
            <w:shd w:val="clear" w:color="000000" w:fill="EDFFB7"/>
            <w:noWrap/>
            <w:vAlign w:val="bottom"/>
          </w:tcPr>
          <w:p w14:paraId="496CA361" w14:textId="77777777" w:rsidR="0021298F" w:rsidRPr="001E34C8" w:rsidRDefault="0021298F" w:rsidP="00760009">
            <w:pPr>
              <w:jc w:val="right"/>
              <w:rPr>
                <w:rFonts w:ascii="Arial" w:eastAsia="Times New Roman" w:hAnsi="Arial" w:cs="Arial"/>
                <w:lang w:eastAsia="en-GB"/>
              </w:rPr>
            </w:pPr>
            <w:r w:rsidRPr="001E34C8">
              <w:rPr>
                <w:rFonts w:ascii="Arial" w:eastAsia="Times New Roman" w:hAnsi="Arial" w:cs="Arial"/>
                <w:lang w:eastAsia="en-GB"/>
              </w:rPr>
              <w:t>-</w:t>
            </w:r>
          </w:p>
        </w:tc>
        <w:tc>
          <w:tcPr>
            <w:tcW w:w="1332" w:type="pct"/>
            <w:tcBorders>
              <w:top w:val="nil"/>
              <w:left w:val="nil"/>
              <w:right w:val="nil"/>
            </w:tcBorders>
            <w:shd w:val="clear" w:color="auto" w:fill="auto"/>
            <w:vAlign w:val="bottom"/>
          </w:tcPr>
          <w:p w14:paraId="67C49D26" w14:textId="77777777" w:rsidR="0021298F" w:rsidRPr="00586153" w:rsidRDefault="0021298F" w:rsidP="00760009">
            <w:pPr>
              <w:jc w:val="right"/>
              <w:rPr>
                <w:rFonts w:ascii="Arial" w:eastAsia="Times New Roman" w:hAnsi="Arial" w:cs="Arial"/>
                <w:lang w:eastAsia="en-GB"/>
              </w:rPr>
            </w:pPr>
            <w:r>
              <w:rPr>
                <w:rFonts w:ascii="Arial" w:eastAsia="Times New Roman" w:hAnsi="Arial" w:cs="Arial"/>
                <w:lang w:eastAsia="en-GB"/>
              </w:rPr>
              <w:t>18,327</w:t>
            </w:r>
          </w:p>
        </w:tc>
      </w:tr>
      <w:tr w:rsidR="0021298F" w:rsidRPr="00500322" w14:paraId="120DB46A" w14:textId="77777777" w:rsidTr="00760009">
        <w:trPr>
          <w:trHeight w:val="285"/>
        </w:trPr>
        <w:tc>
          <w:tcPr>
            <w:tcW w:w="2335" w:type="pct"/>
            <w:tcBorders>
              <w:top w:val="nil"/>
              <w:left w:val="nil"/>
              <w:bottom w:val="single" w:sz="4" w:space="0" w:color="auto"/>
              <w:right w:val="nil"/>
            </w:tcBorders>
            <w:shd w:val="clear" w:color="auto" w:fill="auto"/>
            <w:noWrap/>
            <w:vAlign w:val="bottom"/>
          </w:tcPr>
          <w:p w14:paraId="77254017" w14:textId="77777777" w:rsidR="0021298F" w:rsidRPr="00500322" w:rsidRDefault="0021298F" w:rsidP="00760009">
            <w:pPr>
              <w:jc w:val="both"/>
              <w:rPr>
                <w:rFonts w:ascii="Arial" w:eastAsiaTheme="majorEastAsia" w:hAnsi="Arial" w:cs="Arial"/>
                <w:bCs/>
              </w:rPr>
            </w:pPr>
            <w:r>
              <w:rPr>
                <w:rFonts w:ascii="Arial" w:eastAsiaTheme="majorEastAsia" w:hAnsi="Arial" w:cs="Arial"/>
                <w:bCs/>
              </w:rPr>
              <w:t>Marco Graziano</w:t>
            </w:r>
          </w:p>
        </w:tc>
        <w:tc>
          <w:tcPr>
            <w:tcW w:w="1333" w:type="pct"/>
            <w:tcBorders>
              <w:top w:val="nil"/>
              <w:left w:val="nil"/>
              <w:bottom w:val="single" w:sz="4" w:space="0" w:color="auto"/>
              <w:right w:val="nil"/>
            </w:tcBorders>
            <w:shd w:val="clear" w:color="000000" w:fill="EDFFB7"/>
            <w:noWrap/>
            <w:vAlign w:val="bottom"/>
          </w:tcPr>
          <w:p w14:paraId="6B18B674" w14:textId="77777777" w:rsidR="0021298F" w:rsidRPr="001E34C8" w:rsidRDefault="0021298F" w:rsidP="00760009">
            <w:pPr>
              <w:jc w:val="right"/>
              <w:rPr>
                <w:rFonts w:ascii="Arial" w:eastAsia="Times New Roman" w:hAnsi="Arial" w:cs="Arial"/>
                <w:lang w:eastAsia="en-GB"/>
              </w:rPr>
            </w:pPr>
            <w:r w:rsidRPr="001E34C8">
              <w:rPr>
                <w:rFonts w:ascii="Arial" w:eastAsia="Times New Roman" w:hAnsi="Arial" w:cs="Arial"/>
                <w:lang w:eastAsia="en-GB"/>
              </w:rPr>
              <w:t>65,000</w:t>
            </w:r>
          </w:p>
        </w:tc>
        <w:tc>
          <w:tcPr>
            <w:tcW w:w="1332" w:type="pct"/>
            <w:tcBorders>
              <w:top w:val="nil"/>
              <w:left w:val="nil"/>
              <w:bottom w:val="single" w:sz="4" w:space="0" w:color="auto"/>
              <w:right w:val="nil"/>
            </w:tcBorders>
            <w:shd w:val="clear" w:color="auto" w:fill="auto"/>
            <w:vAlign w:val="bottom"/>
          </w:tcPr>
          <w:p w14:paraId="2E1C62F9" w14:textId="77777777" w:rsidR="0021298F" w:rsidRPr="00586153" w:rsidRDefault="0021298F" w:rsidP="00760009">
            <w:pPr>
              <w:jc w:val="right"/>
              <w:rPr>
                <w:rFonts w:ascii="Arial" w:eastAsia="Times New Roman" w:hAnsi="Arial" w:cs="Arial"/>
                <w:lang w:eastAsia="en-GB"/>
              </w:rPr>
            </w:pPr>
            <w:r>
              <w:rPr>
                <w:rFonts w:ascii="Arial" w:eastAsia="Times New Roman" w:hAnsi="Arial" w:cs="Arial"/>
                <w:lang w:eastAsia="en-GB"/>
              </w:rPr>
              <w:t>n/a</w:t>
            </w:r>
          </w:p>
        </w:tc>
      </w:tr>
      <w:tr w:rsidR="0021298F" w:rsidRPr="00500322" w14:paraId="39D9CA85" w14:textId="77777777" w:rsidTr="00760009">
        <w:trPr>
          <w:trHeight w:val="285"/>
        </w:trPr>
        <w:tc>
          <w:tcPr>
            <w:tcW w:w="2335" w:type="pct"/>
            <w:tcBorders>
              <w:top w:val="single" w:sz="4" w:space="0" w:color="auto"/>
              <w:left w:val="nil"/>
              <w:bottom w:val="single" w:sz="4" w:space="0" w:color="auto"/>
              <w:right w:val="nil"/>
            </w:tcBorders>
            <w:shd w:val="clear" w:color="auto" w:fill="auto"/>
            <w:noWrap/>
            <w:vAlign w:val="bottom"/>
          </w:tcPr>
          <w:p w14:paraId="32CF04B3" w14:textId="77777777" w:rsidR="0021298F" w:rsidRPr="00500322" w:rsidRDefault="0021298F" w:rsidP="00760009">
            <w:pPr>
              <w:jc w:val="both"/>
              <w:rPr>
                <w:rFonts w:ascii="Arial" w:eastAsiaTheme="majorEastAsia" w:hAnsi="Arial" w:cs="Arial"/>
                <w:bCs/>
              </w:rPr>
            </w:pPr>
          </w:p>
        </w:tc>
        <w:tc>
          <w:tcPr>
            <w:tcW w:w="1333" w:type="pct"/>
            <w:tcBorders>
              <w:top w:val="single" w:sz="4" w:space="0" w:color="auto"/>
              <w:left w:val="nil"/>
              <w:bottom w:val="single" w:sz="4" w:space="0" w:color="auto"/>
              <w:right w:val="nil"/>
            </w:tcBorders>
            <w:shd w:val="clear" w:color="000000" w:fill="EDFFB7"/>
            <w:noWrap/>
            <w:vAlign w:val="bottom"/>
          </w:tcPr>
          <w:p w14:paraId="4AF417BA" w14:textId="77777777" w:rsidR="0021298F" w:rsidRPr="001E34C8" w:rsidRDefault="0021298F" w:rsidP="00760009">
            <w:pPr>
              <w:jc w:val="right"/>
              <w:rPr>
                <w:rFonts w:ascii="Arial" w:eastAsia="Times New Roman" w:hAnsi="Arial" w:cs="Arial"/>
                <w:b/>
                <w:bCs/>
                <w:lang w:eastAsia="en-GB"/>
              </w:rPr>
            </w:pPr>
            <w:r w:rsidRPr="001E34C8">
              <w:rPr>
                <w:rFonts w:ascii="Arial" w:eastAsia="Times New Roman" w:hAnsi="Arial" w:cs="Arial"/>
                <w:b/>
                <w:bCs/>
                <w:lang w:eastAsia="en-GB"/>
              </w:rPr>
              <w:t>8</w:t>
            </w:r>
            <w:r>
              <w:rPr>
                <w:rFonts w:ascii="Arial" w:eastAsia="Times New Roman" w:hAnsi="Arial" w:cs="Arial"/>
                <w:b/>
                <w:bCs/>
                <w:lang w:eastAsia="en-GB"/>
              </w:rPr>
              <w:t>7</w:t>
            </w:r>
            <w:r w:rsidRPr="001E34C8">
              <w:rPr>
                <w:rFonts w:ascii="Arial" w:eastAsia="Times New Roman" w:hAnsi="Arial" w:cs="Arial"/>
                <w:b/>
                <w:bCs/>
                <w:lang w:eastAsia="en-GB"/>
              </w:rPr>
              <w:t>,</w:t>
            </w:r>
            <w:r>
              <w:rPr>
                <w:rFonts w:ascii="Arial" w:eastAsia="Times New Roman" w:hAnsi="Arial" w:cs="Arial"/>
                <w:b/>
                <w:bCs/>
                <w:lang w:eastAsia="en-GB"/>
              </w:rPr>
              <w:t>12</w:t>
            </w:r>
            <w:r w:rsidRPr="001E34C8">
              <w:rPr>
                <w:rFonts w:ascii="Arial" w:eastAsia="Times New Roman" w:hAnsi="Arial" w:cs="Arial"/>
                <w:b/>
                <w:bCs/>
                <w:lang w:eastAsia="en-GB"/>
              </w:rPr>
              <w:t>3</w:t>
            </w:r>
          </w:p>
        </w:tc>
        <w:tc>
          <w:tcPr>
            <w:tcW w:w="1332" w:type="pct"/>
            <w:tcBorders>
              <w:top w:val="single" w:sz="4" w:space="0" w:color="auto"/>
              <w:left w:val="nil"/>
              <w:bottom w:val="single" w:sz="4" w:space="0" w:color="auto"/>
              <w:right w:val="nil"/>
            </w:tcBorders>
            <w:shd w:val="clear" w:color="auto" w:fill="auto"/>
            <w:vAlign w:val="bottom"/>
          </w:tcPr>
          <w:p w14:paraId="113F061A" w14:textId="77777777" w:rsidR="0021298F" w:rsidRPr="007F630F" w:rsidRDefault="0021298F" w:rsidP="00760009">
            <w:pPr>
              <w:jc w:val="right"/>
              <w:rPr>
                <w:rFonts w:ascii="Arial" w:eastAsia="Times New Roman" w:hAnsi="Arial" w:cs="Arial"/>
                <w:b/>
                <w:bCs/>
                <w:lang w:eastAsia="en-GB"/>
              </w:rPr>
            </w:pPr>
            <w:r>
              <w:rPr>
                <w:rFonts w:ascii="Arial" w:eastAsia="Times New Roman" w:hAnsi="Arial" w:cs="Arial"/>
                <w:b/>
                <w:bCs/>
                <w:lang w:eastAsia="en-GB"/>
              </w:rPr>
              <w:t>82,473</w:t>
            </w:r>
          </w:p>
        </w:tc>
      </w:tr>
    </w:tbl>
    <w:p w14:paraId="733B1732" w14:textId="77777777" w:rsidR="0021298F" w:rsidRDefault="0021298F" w:rsidP="0021298F">
      <w:pPr>
        <w:jc w:val="both"/>
        <w:rPr>
          <w:rFonts w:ascii="Arial" w:eastAsia="Times New Roman" w:hAnsi="Arial" w:cs="Arial"/>
          <w:highlight w:val="yellow"/>
        </w:rPr>
      </w:pPr>
    </w:p>
    <w:p w14:paraId="3CF5D2EC" w14:textId="77777777" w:rsidR="0021298F" w:rsidRDefault="0021298F" w:rsidP="0021298F">
      <w:pPr>
        <w:jc w:val="both"/>
        <w:rPr>
          <w:rFonts w:ascii="Arial" w:eastAsia="Times New Roman" w:hAnsi="Arial" w:cs="Arial"/>
          <w:lang w:eastAsia="en-GB"/>
        </w:rPr>
      </w:pPr>
      <w:r w:rsidRPr="00382C2F">
        <w:rPr>
          <w:rFonts w:ascii="Arial" w:eastAsia="Times New Roman" w:hAnsi="Arial" w:cs="Arial"/>
          <w:lang w:eastAsia="en-GB"/>
        </w:rPr>
        <w:t>The below tables shows the Group’s dividend and m</w:t>
      </w:r>
      <w:r w:rsidRPr="004549FD">
        <w:rPr>
          <w:rFonts w:ascii="Arial" w:eastAsia="Times New Roman" w:hAnsi="Arial" w:cs="Arial"/>
          <w:lang w:eastAsia="en-GB"/>
        </w:rPr>
        <w:t xml:space="preserve">anagement </w:t>
      </w:r>
      <w:r w:rsidRPr="00382C2F">
        <w:rPr>
          <w:rFonts w:ascii="Arial" w:eastAsia="Times New Roman" w:hAnsi="Arial" w:cs="Arial"/>
          <w:lang w:eastAsia="en-GB"/>
        </w:rPr>
        <w:t>f</w:t>
      </w:r>
      <w:r w:rsidRPr="004549FD">
        <w:rPr>
          <w:rFonts w:ascii="Arial" w:eastAsia="Times New Roman" w:hAnsi="Arial" w:cs="Arial"/>
          <w:lang w:eastAsia="en-GB"/>
        </w:rPr>
        <w:t xml:space="preserve">ee </w:t>
      </w:r>
      <w:r w:rsidRPr="00382C2F">
        <w:rPr>
          <w:rFonts w:ascii="Arial" w:eastAsia="Times New Roman" w:hAnsi="Arial" w:cs="Arial"/>
          <w:lang w:eastAsia="en-GB"/>
        </w:rPr>
        <w:t>i</w:t>
      </w:r>
      <w:r w:rsidRPr="004549FD">
        <w:rPr>
          <w:rFonts w:ascii="Arial" w:eastAsia="Times New Roman" w:hAnsi="Arial" w:cs="Arial"/>
          <w:lang w:eastAsia="en-GB"/>
        </w:rPr>
        <w:t>ncome</w:t>
      </w:r>
      <w:r>
        <w:rPr>
          <w:rFonts w:ascii="Arial" w:eastAsia="Times New Roman" w:hAnsi="Arial" w:cs="Arial"/>
          <w:lang w:eastAsia="en-GB"/>
        </w:rPr>
        <w:t xml:space="preserve"> from wind farm SPVs</w:t>
      </w:r>
      <w:r w:rsidRPr="00382C2F">
        <w:rPr>
          <w:rFonts w:ascii="Arial" w:eastAsia="Times New Roman" w:hAnsi="Arial" w:cs="Arial"/>
          <w:lang w:eastAsia="en-GB"/>
        </w:rPr>
        <w:t>:</w:t>
      </w:r>
    </w:p>
    <w:tbl>
      <w:tblPr>
        <w:tblW w:w="8880" w:type="dxa"/>
        <w:tblLook w:val="04A0" w:firstRow="1" w:lastRow="0" w:firstColumn="1" w:lastColumn="0" w:noHBand="0" w:noVBand="1"/>
      </w:tblPr>
      <w:tblGrid>
        <w:gridCol w:w="2835"/>
        <w:gridCol w:w="1701"/>
        <w:gridCol w:w="1391"/>
        <w:gridCol w:w="1683"/>
        <w:gridCol w:w="1391"/>
      </w:tblGrid>
      <w:tr w:rsidR="0021298F" w:rsidRPr="00956CE7" w14:paraId="43838CE9" w14:textId="77777777" w:rsidTr="00760009">
        <w:trPr>
          <w:trHeight w:val="702"/>
        </w:trPr>
        <w:tc>
          <w:tcPr>
            <w:tcW w:w="2835" w:type="dxa"/>
            <w:tcBorders>
              <w:top w:val="nil"/>
              <w:left w:val="nil"/>
              <w:bottom w:val="nil"/>
              <w:right w:val="nil"/>
            </w:tcBorders>
            <w:shd w:val="clear" w:color="000000" w:fill="FFFFFF"/>
            <w:vAlign w:val="center"/>
            <w:hideMark/>
          </w:tcPr>
          <w:p w14:paraId="3DA98805" w14:textId="77777777" w:rsidR="0021298F" w:rsidRPr="00956CE7" w:rsidRDefault="0021298F" w:rsidP="00760009">
            <w:pPr>
              <w:rPr>
                <w:rFonts w:ascii="Arial" w:eastAsia="Times New Roman" w:hAnsi="Arial" w:cs="Arial"/>
                <w:b/>
                <w:bCs/>
                <w:color w:val="000000"/>
                <w:lang w:eastAsia="en-GB"/>
              </w:rPr>
            </w:pPr>
            <w:r w:rsidRPr="00956CE7">
              <w:rPr>
                <w:rFonts w:ascii="Arial" w:eastAsia="Times New Roman" w:hAnsi="Arial" w:cs="Arial"/>
                <w:b/>
                <w:bCs/>
                <w:color w:val="000000"/>
                <w:lang w:eastAsia="en-GB"/>
              </w:rPr>
              <w:t> </w:t>
            </w:r>
          </w:p>
        </w:tc>
        <w:tc>
          <w:tcPr>
            <w:tcW w:w="3093" w:type="dxa"/>
            <w:gridSpan w:val="2"/>
            <w:tcBorders>
              <w:top w:val="nil"/>
              <w:left w:val="nil"/>
              <w:bottom w:val="nil"/>
              <w:right w:val="nil"/>
            </w:tcBorders>
            <w:shd w:val="clear" w:color="000000" w:fill="FFFFFF"/>
            <w:vAlign w:val="bottom"/>
            <w:hideMark/>
          </w:tcPr>
          <w:p w14:paraId="2BD3EAF4" w14:textId="77777777" w:rsidR="0021298F" w:rsidRPr="00956CE7" w:rsidRDefault="0021298F" w:rsidP="00760009">
            <w:pPr>
              <w:jc w:val="center"/>
              <w:rPr>
                <w:rFonts w:ascii="Arial" w:eastAsia="Times New Roman" w:hAnsi="Arial" w:cs="Arial"/>
                <w:b/>
                <w:bCs/>
                <w:color w:val="000000"/>
                <w:lang w:eastAsia="en-GB"/>
              </w:rPr>
            </w:pPr>
            <w:r w:rsidRPr="00956CE7">
              <w:rPr>
                <w:rFonts w:ascii="Arial" w:eastAsia="Times New Roman" w:hAnsi="Arial" w:cs="Arial"/>
                <w:b/>
                <w:bCs/>
                <w:color w:val="000000"/>
                <w:lang w:eastAsia="en-GB"/>
              </w:rPr>
              <w:t>For the year ending              31 December 2020</w:t>
            </w:r>
          </w:p>
        </w:tc>
        <w:tc>
          <w:tcPr>
            <w:tcW w:w="2952" w:type="dxa"/>
            <w:gridSpan w:val="2"/>
            <w:tcBorders>
              <w:top w:val="nil"/>
              <w:left w:val="nil"/>
              <w:bottom w:val="nil"/>
              <w:right w:val="nil"/>
            </w:tcBorders>
            <w:shd w:val="clear" w:color="000000" w:fill="FFFFFF"/>
            <w:vAlign w:val="bottom"/>
            <w:hideMark/>
          </w:tcPr>
          <w:p w14:paraId="7BE962E3" w14:textId="77777777" w:rsidR="0021298F" w:rsidRPr="00956CE7" w:rsidRDefault="0021298F" w:rsidP="00760009">
            <w:pPr>
              <w:jc w:val="center"/>
              <w:rPr>
                <w:rFonts w:ascii="Arial" w:eastAsia="Times New Roman" w:hAnsi="Arial" w:cs="Arial"/>
                <w:b/>
                <w:bCs/>
                <w:color w:val="000000"/>
                <w:lang w:eastAsia="en-GB"/>
              </w:rPr>
            </w:pPr>
            <w:r w:rsidRPr="00956CE7">
              <w:rPr>
                <w:rFonts w:ascii="Arial" w:eastAsia="Times New Roman" w:hAnsi="Arial" w:cs="Arial"/>
                <w:b/>
                <w:bCs/>
                <w:color w:val="000000"/>
                <w:lang w:eastAsia="en-GB"/>
              </w:rPr>
              <w:t>For the year ending               31 December 2019</w:t>
            </w:r>
          </w:p>
        </w:tc>
      </w:tr>
      <w:tr w:rsidR="0021298F" w:rsidRPr="00956CE7" w14:paraId="06061828" w14:textId="77777777" w:rsidTr="00760009">
        <w:trPr>
          <w:trHeight w:val="652"/>
        </w:trPr>
        <w:tc>
          <w:tcPr>
            <w:tcW w:w="2835" w:type="dxa"/>
            <w:tcBorders>
              <w:top w:val="nil"/>
              <w:left w:val="nil"/>
              <w:bottom w:val="nil"/>
              <w:right w:val="nil"/>
            </w:tcBorders>
            <w:shd w:val="clear" w:color="000000" w:fill="FFFFFF"/>
            <w:vAlign w:val="center"/>
            <w:hideMark/>
          </w:tcPr>
          <w:p w14:paraId="28C19698" w14:textId="77777777" w:rsidR="0021298F" w:rsidRPr="00956CE7" w:rsidRDefault="0021298F" w:rsidP="00760009">
            <w:pPr>
              <w:rPr>
                <w:rFonts w:ascii="Arial" w:eastAsia="Times New Roman" w:hAnsi="Arial" w:cs="Arial"/>
                <w:b/>
                <w:bCs/>
                <w:color w:val="000000"/>
                <w:lang w:eastAsia="en-GB"/>
              </w:rPr>
            </w:pPr>
            <w:r w:rsidRPr="00956CE7">
              <w:rPr>
                <w:rFonts w:ascii="Arial" w:eastAsia="Times New Roman" w:hAnsi="Arial" w:cs="Arial"/>
                <w:b/>
                <w:bCs/>
                <w:color w:val="000000"/>
                <w:lang w:eastAsia="en-GB"/>
              </w:rPr>
              <w:t> </w:t>
            </w:r>
          </w:p>
        </w:tc>
        <w:tc>
          <w:tcPr>
            <w:tcW w:w="1701" w:type="dxa"/>
            <w:tcBorders>
              <w:top w:val="nil"/>
              <w:left w:val="nil"/>
              <w:bottom w:val="nil"/>
              <w:right w:val="nil"/>
            </w:tcBorders>
            <w:shd w:val="clear" w:color="000000" w:fill="FFFFFF"/>
            <w:vAlign w:val="bottom"/>
            <w:hideMark/>
          </w:tcPr>
          <w:p w14:paraId="25BB17CB" w14:textId="77777777" w:rsidR="0021298F" w:rsidRPr="00956CE7" w:rsidRDefault="0021298F" w:rsidP="00760009">
            <w:pPr>
              <w:jc w:val="right"/>
              <w:rPr>
                <w:rFonts w:ascii="Arial" w:eastAsia="Times New Roman" w:hAnsi="Arial" w:cs="Arial"/>
                <w:b/>
                <w:bCs/>
                <w:color w:val="000000"/>
                <w:lang w:eastAsia="en-GB"/>
              </w:rPr>
            </w:pPr>
            <w:r w:rsidRPr="00956CE7">
              <w:rPr>
                <w:rFonts w:ascii="Arial" w:eastAsia="Times New Roman" w:hAnsi="Arial" w:cs="Arial"/>
                <w:b/>
                <w:bCs/>
                <w:color w:val="000000"/>
                <w:lang w:eastAsia="en-GB"/>
              </w:rPr>
              <w:t>Management Fee income</w:t>
            </w:r>
          </w:p>
        </w:tc>
        <w:tc>
          <w:tcPr>
            <w:tcW w:w="1391" w:type="dxa"/>
            <w:tcBorders>
              <w:top w:val="nil"/>
              <w:left w:val="nil"/>
              <w:bottom w:val="nil"/>
              <w:right w:val="nil"/>
            </w:tcBorders>
            <w:shd w:val="clear" w:color="000000" w:fill="FFFFFF"/>
            <w:vAlign w:val="bottom"/>
            <w:hideMark/>
          </w:tcPr>
          <w:p w14:paraId="158C80AB" w14:textId="77777777" w:rsidR="0021298F" w:rsidRPr="00956CE7" w:rsidRDefault="0021298F" w:rsidP="00760009">
            <w:pPr>
              <w:jc w:val="right"/>
              <w:rPr>
                <w:rFonts w:ascii="Arial" w:eastAsia="Times New Roman" w:hAnsi="Arial" w:cs="Arial"/>
                <w:b/>
                <w:bCs/>
                <w:color w:val="000000"/>
                <w:lang w:eastAsia="en-GB"/>
              </w:rPr>
            </w:pPr>
            <w:r w:rsidRPr="00956CE7">
              <w:rPr>
                <w:rFonts w:ascii="Arial" w:eastAsia="Times New Roman" w:hAnsi="Arial" w:cs="Arial"/>
                <w:b/>
                <w:bCs/>
                <w:color w:val="000000"/>
                <w:lang w:eastAsia="en-GB"/>
              </w:rPr>
              <w:t>Dividend Income</w:t>
            </w:r>
          </w:p>
        </w:tc>
        <w:tc>
          <w:tcPr>
            <w:tcW w:w="1561" w:type="dxa"/>
            <w:tcBorders>
              <w:top w:val="nil"/>
              <w:left w:val="nil"/>
              <w:bottom w:val="nil"/>
              <w:right w:val="nil"/>
            </w:tcBorders>
            <w:shd w:val="clear" w:color="000000" w:fill="FFFFFF"/>
            <w:vAlign w:val="bottom"/>
            <w:hideMark/>
          </w:tcPr>
          <w:p w14:paraId="4A30E342" w14:textId="77777777" w:rsidR="0021298F" w:rsidRPr="00956CE7" w:rsidRDefault="0021298F" w:rsidP="00760009">
            <w:pPr>
              <w:jc w:val="right"/>
              <w:rPr>
                <w:rFonts w:ascii="Arial" w:eastAsia="Times New Roman" w:hAnsi="Arial" w:cs="Arial"/>
                <w:b/>
                <w:bCs/>
                <w:color w:val="000000"/>
                <w:lang w:eastAsia="en-GB"/>
              </w:rPr>
            </w:pPr>
            <w:r w:rsidRPr="00956CE7">
              <w:rPr>
                <w:rFonts w:ascii="Arial" w:eastAsia="Times New Roman" w:hAnsi="Arial" w:cs="Arial"/>
                <w:b/>
                <w:bCs/>
                <w:color w:val="000000"/>
                <w:lang w:eastAsia="en-GB"/>
              </w:rPr>
              <w:t>Management Fee income</w:t>
            </w:r>
          </w:p>
        </w:tc>
        <w:tc>
          <w:tcPr>
            <w:tcW w:w="1391" w:type="dxa"/>
            <w:tcBorders>
              <w:top w:val="nil"/>
              <w:left w:val="nil"/>
              <w:bottom w:val="nil"/>
              <w:right w:val="nil"/>
            </w:tcBorders>
            <w:shd w:val="clear" w:color="000000" w:fill="FFFFFF"/>
            <w:vAlign w:val="bottom"/>
            <w:hideMark/>
          </w:tcPr>
          <w:p w14:paraId="508B2B39" w14:textId="77777777" w:rsidR="0021298F" w:rsidRPr="00956CE7" w:rsidRDefault="0021298F" w:rsidP="00760009">
            <w:pPr>
              <w:jc w:val="right"/>
              <w:rPr>
                <w:rFonts w:ascii="Arial" w:eastAsia="Times New Roman" w:hAnsi="Arial" w:cs="Arial"/>
                <w:b/>
                <w:bCs/>
                <w:color w:val="000000"/>
                <w:lang w:eastAsia="en-GB"/>
              </w:rPr>
            </w:pPr>
            <w:r w:rsidRPr="00956CE7">
              <w:rPr>
                <w:rFonts w:ascii="Arial" w:eastAsia="Times New Roman" w:hAnsi="Arial" w:cs="Arial"/>
                <w:b/>
                <w:bCs/>
                <w:color w:val="000000"/>
                <w:lang w:eastAsia="en-GB"/>
              </w:rPr>
              <w:t>Dividend Income</w:t>
            </w:r>
          </w:p>
        </w:tc>
      </w:tr>
      <w:tr w:rsidR="0021298F" w:rsidRPr="00956CE7" w14:paraId="44518B78" w14:textId="77777777" w:rsidTr="00760009">
        <w:trPr>
          <w:trHeight w:val="300"/>
        </w:trPr>
        <w:tc>
          <w:tcPr>
            <w:tcW w:w="2835" w:type="dxa"/>
            <w:tcBorders>
              <w:top w:val="nil"/>
              <w:left w:val="nil"/>
              <w:bottom w:val="single" w:sz="4" w:space="0" w:color="auto"/>
              <w:right w:val="nil"/>
            </w:tcBorders>
            <w:shd w:val="clear" w:color="000000" w:fill="FFFFFF"/>
            <w:vAlign w:val="center"/>
            <w:hideMark/>
          </w:tcPr>
          <w:p w14:paraId="32D95FF8" w14:textId="77777777" w:rsidR="0021298F" w:rsidRPr="00956CE7" w:rsidRDefault="0021298F" w:rsidP="00760009">
            <w:pPr>
              <w:rPr>
                <w:rFonts w:ascii="Arial" w:eastAsia="Times New Roman" w:hAnsi="Arial" w:cs="Arial"/>
                <w:b/>
                <w:bCs/>
                <w:color w:val="000000"/>
                <w:lang w:eastAsia="en-GB"/>
              </w:rPr>
            </w:pPr>
            <w:r w:rsidRPr="00956CE7">
              <w:rPr>
                <w:rFonts w:ascii="Arial" w:eastAsia="Times New Roman" w:hAnsi="Arial" w:cs="Arial"/>
                <w:b/>
                <w:bCs/>
                <w:color w:val="000000"/>
                <w:lang w:eastAsia="en-GB"/>
              </w:rPr>
              <w:t> </w:t>
            </w:r>
          </w:p>
        </w:tc>
        <w:tc>
          <w:tcPr>
            <w:tcW w:w="1701" w:type="dxa"/>
            <w:tcBorders>
              <w:top w:val="nil"/>
              <w:left w:val="nil"/>
              <w:bottom w:val="single" w:sz="4" w:space="0" w:color="auto"/>
              <w:right w:val="nil"/>
            </w:tcBorders>
            <w:shd w:val="clear" w:color="000000" w:fill="FFFFFF"/>
            <w:noWrap/>
            <w:vAlign w:val="center"/>
            <w:hideMark/>
          </w:tcPr>
          <w:p w14:paraId="584371BA" w14:textId="77777777" w:rsidR="0021298F" w:rsidRPr="00956CE7" w:rsidRDefault="0021298F" w:rsidP="00760009">
            <w:pPr>
              <w:jc w:val="right"/>
              <w:rPr>
                <w:rFonts w:ascii="Arial" w:eastAsia="Times New Roman" w:hAnsi="Arial" w:cs="Arial"/>
                <w:b/>
                <w:bCs/>
                <w:color w:val="000000"/>
                <w:lang w:eastAsia="en-GB"/>
              </w:rPr>
            </w:pPr>
            <w:r w:rsidRPr="00956CE7">
              <w:rPr>
                <w:rFonts w:ascii="Arial" w:eastAsia="Times New Roman" w:hAnsi="Arial" w:cs="Arial"/>
                <w:b/>
                <w:bCs/>
                <w:color w:val="000000"/>
                <w:lang w:eastAsia="en-GB"/>
              </w:rPr>
              <w:t>€’000</w:t>
            </w:r>
          </w:p>
        </w:tc>
        <w:tc>
          <w:tcPr>
            <w:tcW w:w="1391" w:type="dxa"/>
            <w:tcBorders>
              <w:top w:val="nil"/>
              <w:left w:val="nil"/>
              <w:bottom w:val="single" w:sz="4" w:space="0" w:color="auto"/>
              <w:right w:val="nil"/>
            </w:tcBorders>
            <w:shd w:val="clear" w:color="000000" w:fill="FFFFFF"/>
            <w:noWrap/>
            <w:vAlign w:val="center"/>
            <w:hideMark/>
          </w:tcPr>
          <w:p w14:paraId="2E6ED519" w14:textId="77777777" w:rsidR="0021298F" w:rsidRPr="00956CE7" w:rsidRDefault="0021298F" w:rsidP="00760009">
            <w:pPr>
              <w:jc w:val="right"/>
              <w:rPr>
                <w:rFonts w:ascii="Arial" w:eastAsia="Times New Roman" w:hAnsi="Arial" w:cs="Arial"/>
                <w:b/>
                <w:bCs/>
                <w:color w:val="000000"/>
                <w:lang w:eastAsia="en-GB"/>
              </w:rPr>
            </w:pPr>
            <w:r w:rsidRPr="00956CE7">
              <w:rPr>
                <w:rFonts w:ascii="Arial" w:eastAsia="Times New Roman" w:hAnsi="Arial" w:cs="Arial"/>
                <w:b/>
                <w:bCs/>
                <w:color w:val="000000"/>
                <w:lang w:eastAsia="en-GB"/>
              </w:rPr>
              <w:t>€’000</w:t>
            </w:r>
          </w:p>
        </w:tc>
        <w:tc>
          <w:tcPr>
            <w:tcW w:w="1561" w:type="dxa"/>
            <w:tcBorders>
              <w:top w:val="nil"/>
              <w:left w:val="nil"/>
              <w:bottom w:val="single" w:sz="4" w:space="0" w:color="auto"/>
              <w:right w:val="nil"/>
            </w:tcBorders>
            <w:shd w:val="clear" w:color="000000" w:fill="FFFFFF"/>
            <w:noWrap/>
            <w:vAlign w:val="center"/>
            <w:hideMark/>
          </w:tcPr>
          <w:p w14:paraId="6CF1E277" w14:textId="77777777" w:rsidR="0021298F" w:rsidRPr="00956CE7" w:rsidRDefault="0021298F" w:rsidP="00760009">
            <w:pPr>
              <w:jc w:val="right"/>
              <w:rPr>
                <w:rFonts w:ascii="Arial" w:eastAsia="Times New Roman" w:hAnsi="Arial" w:cs="Arial"/>
                <w:b/>
                <w:bCs/>
                <w:color w:val="000000"/>
                <w:lang w:eastAsia="en-GB"/>
              </w:rPr>
            </w:pPr>
            <w:r w:rsidRPr="00956CE7">
              <w:rPr>
                <w:rFonts w:ascii="Arial" w:eastAsia="Times New Roman" w:hAnsi="Arial" w:cs="Arial"/>
                <w:b/>
                <w:bCs/>
                <w:color w:val="000000"/>
                <w:lang w:eastAsia="en-GB"/>
              </w:rPr>
              <w:t>€’000</w:t>
            </w:r>
          </w:p>
        </w:tc>
        <w:tc>
          <w:tcPr>
            <w:tcW w:w="1391" w:type="dxa"/>
            <w:tcBorders>
              <w:top w:val="nil"/>
              <w:left w:val="nil"/>
              <w:bottom w:val="single" w:sz="4" w:space="0" w:color="auto"/>
              <w:right w:val="nil"/>
            </w:tcBorders>
            <w:shd w:val="clear" w:color="000000" w:fill="FFFFFF"/>
            <w:noWrap/>
            <w:vAlign w:val="center"/>
            <w:hideMark/>
          </w:tcPr>
          <w:p w14:paraId="1689ECE3" w14:textId="77777777" w:rsidR="0021298F" w:rsidRPr="00956CE7" w:rsidRDefault="0021298F" w:rsidP="00760009">
            <w:pPr>
              <w:jc w:val="right"/>
              <w:rPr>
                <w:rFonts w:ascii="Arial" w:eastAsia="Times New Roman" w:hAnsi="Arial" w:cs="Arial"/>
                <w:b/>
                <w:bCs/>
                <w:color w:val="000000"/>
                <w:lang w:eastAsia="en-GB"/>
              </w:rPr>
            </w:pPr>
            <w:r w:rsidRPr="00956CE7">
              <w:rPr>
                <w:rFonts w:ascii="Arial" w:eastAsia="Times New Roman" w:hAnsi="Arial" w:cs="Arial"/>
                <w:b/>
                <w:bCs/>
                <w:color w:val="000000"/>
                <w:lang w:eastAsia="en-GB"/>
              </w:rPr>
              <w:t>€’000</w:t>
            </w:r>
          </w:p>
        </w:tc>
      </w:tr>
      <w:tr w:rsidR="0021298F" w:rsidRPr="00956CE7" w14:paraId="45A3DB48" w14:textId="77777777" w:rsidTr="00760009">
        <w:trPr>
          <w:trHeight w:val="300"/>
        </w:trPr>
        <w:tc>
          <w:tcPr>
            <w:tcW w:w="2835" w:type="dxa"/>
            <w:tcBorders>
              <w:top w:val="nil"/>
              <w:left w:val="nil"/>
              <w:bottom w:val="nil"/>
              <w:right w:val="nil"/>
            </w:tcBorders>
            <w:shd w:val="clear" w:color="000000" w:fill="FFFFFF"/>
            <w:noWrap/>
            <w:vAlign w:val="center"/>
            <w:hideMark/>
          </w:tcPr>
          <w:p w14:paraId="07604D9E" w14:textId="77777777" w:rsidR="0021298F" w:rsidRPr="00956CE7" w:rsidRDefault="0021298F" w:rsidP="00760009">
            <w:pPr>
              <w:jc w:val="both"/>
              <w:rPr>
                <w:rFonts w:ascii="Arial" w:eastAsia="Times New Roman" w:hAnsi="Arial" w:cs="Arial"/>
                <w:color w:val="000000"/>
                <w:lang w:eastAsia="en-GB"/>
              </w:rPr>
            </w:pPr>
            <w:r w:rsidRPr="00956CE7">
              <w:rPr>
                <w:rFonts w:ascii="Arial" w:eastAsia="Times New Roman" w:hAnsi="Arial" w:cs="Arial"/>
                <w:color w:val="000000"/>
                <w:lang w:eastAsia="en-GB"/>
              </w:rPr>
              <w:t>Cloosh Valley</w:t>
            </w:r>
          </w:p>
        </w:tc>
        <w:tc>
          <w:tcPr>
            <w:tcW w:w="1701" w:type="dxa"/>
            <w:tcBorders>
              <w:top w:val="nil"/>
              <w:left w:val="nil"/>
              <w:bottom w:val="nil"/>
              <w:right w:val="nil"/>
            </w:tcBorders>
            <w:shd w:val="clear" w:color="000000" w:fill="EDFFB7"/>
            <w:noWrap/>
            <w:vAlign w:val="center"/>
            <w:hideMark/>
          </w:tcPr>
          <w:p w14:paraId="148E63C5" w14:textId="77777777" w:rsidR="0021298F" w:rsidRPr="00956CE7" w:rsidRDefault="0021298F" w:rsidP="00760009">
            <w:pPr>
              <w:jc w:val="right"/>
              <w:rPr>
                <w:rFonts w:ascii="Arial" w:eastAsia="Times New Roman" w:hAnsi="Arial" w:cs="Arial"/>
                <w:color w:val="000000"/>
                <w:lang w:eastAsia="en-GB"/>
              </w:rPr>
            </w:pPr>
            <w:r w:rsidRPr="00956CE7">
              <w:rPr>
                <w:rFonts w:ascii="Arial" w:eastAsia="Times New Roman" w:hAnsi="Arial" w:cs="Arial"/>
                <w:color w:val="000000"/>
                <w:lang w:eastAsia="en-GB"/>
              </w:rPr>
              <w:t xml:space="preserve"> - </w:t>
            </w:r>
          </w:p>
        </w:tc>
        <w:tc>
          <w:tcPr>
            <w:tcW w:w="1391" w:type="dxa"/>
            <w:tcBorders>
              <w:top w:val="nil"/>
              <w:left w:val="nil"/>
              <w:bottom w:val="nil"/>
              <w:right w:val="nil"/>
            </w:tcBorders>
            <w:shd w:val="clear" w:color="000000" w:fill="EDFFB7"/>
            <w:noWrap/>
            <w:vAlign w:val="center"/>
            <w:hideMark/>
          </w:tcPr>
          <w:p w14:paraId="359626FA" w14:textId="77777777" w:rsidR="0021298F" w:rsidRPr="00956CE7" w:rsidRDefault="0021298F" w:rsidP="00760009">
            <w:pPr>
              <w:jc w:val="right"/>
              <w:rPr>
                <w:rFonts w:ascii="Arial" w:eastAsia="Times New Roman" w:hAnsi="Arial" w:cs="Arial"/>
                <w:color w:val="000000"/>
                <w:lang w:eastAsia="en-GB"/>
              </w:rPr>
            </w:pPr>
            <w:r w:rsidRPr="00956CE7">
              <w:rPr>
                <w:rFonts w:ascii="Arial" w:eastAsia="Times New Roman" w:hAnsi="Arial" w:cs="Arial"/>
                <w:color w:val="000000"/>
                <w:lang w:eastAsia="en-GB"/>
              </w:rPr>
              <w:t xml:space="preserve">8,988 </w:t>
            </w:r>
          </w:p>
        </w:tc>
        <w:tc>
          <w:tcPr>
            <w:tcW w:w="1561" w:type="dxa"/>
            <w:tcBorders>
              <w:top w:val="nil"/>
              <w:left w:val="nil"/>
              <w:bottom w:val="nil"/>
              <w:right w:val="nil"/>
            </w:tcBorders>
            <w:shd w:val="clear" w:color="000000" w:fill="FFFFFF"/>
            <w:vAlign w:val="center"/>
            <w:hideMark/>
          </w:tcPr>
          <w:p w14:paraId="5C621751" w14:textId="77777777" w:rsidR="0021298F" w:rsidRPr="00956CE7" w:rsidRDefault="0021298F" w:rsidP="00760009">
            <w:pPr>
              <w:jc w:val="right"/>
              <w:rPr>
                <w:rFonts w:ascii="Arial" w:eastAsia="Times New Roman" w:hAnsi="Arial" w:cs="Arial"/>
                <w:color w:val="000000"/>
                <w:lang w:eastAsia="en-GB"/>
              </w:rPr>
            </w:pPr>
            <w:r w:rsidRPr="00956CE7">
              <w:rPr>
                <w:rFonts w:ascii="Arial" w:eastAsia="Times New Roman" w:hAnsi="Arial" w:cs="Arial"/>
                <w:color w:val="000000"/>
                <w:lang w:eastAsia="en-GB"/>
              </w:rPr>
              <w:t>-</w:t>
            </w:r>
          </w:p>
        </w:tc>
        <w:tc>
          <w:tcPr>
            <w:tcW w:w="1391" w:type="dxa"/>
            <w:tcBorders>
              <w:top w:val="nil"/>
              <w:left w:val="nil"/>
              <w:bottom w:val="nil"/>
              <w:right w:val="nil"/>
            </w:tcBorders>
            <w:shd w:val="clear" w:color="000000" w:fill="FFFFFF"/>
            <w:vAlign w:val="center"/>
            <w:hideMark/>
          </w:tcPr>
          <w:p w14:paraId="3A2557BE" w14:textId="77777777" w:rsidR="0021298F" w:rsidRPr="00956CE7" w:rsidRDefault="0021298F" w:rsidP="00760009">
            <w:pPr>
              <w:jc w:val="right"/>
              <w:rPr>
                <w:rFonts w:ascii="Arial" w:eastAsia="Times New Roman" w:hAnsi="Arial" w:cs="Arial"/>
                <w:color w:val="000000"/>
                <w:lang w:eastAsia="en-GB"/>
              </w:rPr>
            </w:pPr>
            <w:r w:rsidRPr="00956CE7">
              <w:rPr>
                <w:rFonts w:ascii="Arial" w:eastAsia="Times New Roman" w:hAnsi="Arial" w:cs="Arial"/>
                <w:color w:val="000000"/>
                <w:lang w:eastAsia="en-GB"/>
              </w:rPr>
              <w:t>3,950</w:t>
            </w:r>
          </w:p>
        </w:tc>
      </w:tr>
      <w:tr w:rsidR="0021298F" w:rsidRPr="00956CE7" w14:paraId="1DD28C65" w14:textId="77777777" w:rsidTr="00760009">
        <w:trPr>
          <w:trHeight w:val="300"/>
        </w:trPr>
        <w:tc>
          <w:tcPr>
            <w:tcW w:w="2835" w:type="dxa"/>
            <w:tcBorders>
              <w:top w:val="nil"/>
              <w:left w:val="nil"/>
              <w:bottom w:val="nil"/>
              <w:right w:val="nil"/>
            </w:tcBorders>
            <w:shd w:val="clear" w:color="000000" w:fill="FFFFFF"/>
            <w:noWrap/>
            <w:vAlign w:val="center"/>
            <w:hideMark/>
          </w:tcPr>
          <w:p w14:paraId="3A202908" w14:textId="77777777" w:rsidR="0021298F" w:rsidRPr="00956CE7" w:rsidRDefault="0021298F" w:rsidP="00760009">
            <w:pPr>
              <w:jc w:val="both"/>
              <w:rPr>
                <w:rFonts w:ascii="Arial" w:eastAsia="Times New Roman" w:hAnsi="Arial" w:cs="Arial"/>
                <w:color w:val="000000"/>
                <w:lang w:eastAsia="en-GB"/>
              </w:rPr>
            </w:pPr>
            <w:r w:rsidRPr="00956CE7">
              <w:rPr>
                <w:rFonts w:ascii="Arial" w:eastAsia="Times New Roman" w:hAnsi="Arial" w:cs="Arial"/>
                <w:color w:val="000000"/>
                <w:lang w:eastAsia="en-GB"/>
              </w:rPr>
              <w:t>Ballybane</w:t>
            </w:r>
          </w:p>
        </w:tc>
        <w:tc>
          <w:tcPr>
            <w:tcW w:w="1701" w:type="dxa"/>
            <w:tcBorders>
              <w:top w:val="nil"/>
              <w:left w:val="nil"/>
              <w:bottom w:val="nil"/>
              <w:right w:val="nil"/>
            </w:tcBorders>
            <w:shd w:val="clear" w:color="000000" w:fill="EDFFB7"/>
            <w:noWrap/>
            <w:vAlign w:val="center"/>
            <w:hideMark/>
          </w:tcPr>
          <w:p w14:paraId="7ED2E381" w14:textId="77777777" w:rsidR="0021298F" w:rsidRPr="00956CE7" w:rsidRDefault="0021298F" w:rsidP="00760009">
            <w:pPr>
              <w:jc w:val="right"/>
              <w:rPr>
                <w:rFonts w:ascii="Arial" w:eastAsia="Times New Roman" w:hAnsi="Arial" w:cs="Arial"/>
                <w:color w:val="000000"/>
                <w:lang w:eastAsia="en-GB"/>
              </w:rPr>
            </w:pPr>
            <w:r w:rsidRPr="00956CE7">
              <w:rPr>
                <w:rFonts w:ascii="Arial" w:eastAsia="Times New Roman" w:hAnsi="Arial" w:cs="Arial"/>
                <w:color w:val="000000"/>
                <w:lang w:eastAsia="en-GB"/>
              </w:rPr>
              <w:t xml:space="preserve">               494 </w:t>
            </w:r>
          </w:p>
        </w:tc>
        <w:tc>
          <w:tcPr>
            <w:tcW w:w="1391" w:type="dxa"/>
            <w:tcBorders>
              <w:top w:val="nil"/>
              <w:left w:val="nil"/>
              <w:bottom w:val="nil"/>
              <w:right w:val="nil"/>
            </w:tcBorders>
            <w:shd w:val="clear" w:color="000000" w:fill="EDFFB7"/>
            <w:noWrap/>
            <w:vAlign w:val="center"/>
            <w:hideMark/>
          </w:tcPr>
          <w:p w14:paraId="7B6ED6A1" w14:textId="77777777" w:rsidR="0021298F" w:rsidRPr="00956CE7" w:rsidRDefault="0021298F" w:rsidP="00760009">
            <w:pPr>
              <w:jc w:val="right"/>
              <w:rPr>
                <w:rFonts w:ascii="Arial" w:eastAsia="Times New Roman" w:hAnsi="Arial" w:cs="Arial"/>
                <w:color w:val="000000"/>
                <w:lang w:eastAsia="en-GB"/>
              </w:rPr>
            </w:pPr>
            <w:r w:rsidRPr="00956CE7">
              <w:rPr>
                <w:rFonts w:ascii="Arial" w:eastAsia="Times New Roman" w:hAnsi="Arial" w:cs="Arial"/>
                <w:color w:val="000000"/>
                <w:lang w:eastAsia="en-GB"/>
              </w:rPr>
              <w:t xml:space="preserve">2,750 </w:t>
            </w:r>
          </w:p>
        </w:tc>
        <w:tc>
          <w:tcPr>
            <w:tcW w:w="1561" w:type="dxa"/>
            <w:tcBorders>
              <w:top w:val="nil"/>
              <w:left w:val="nil"/>
              <w:bottom w:val="nil"/>
              <w:right w:val="nil"/>
            </w:tcBorders>
            <w:shd w:val="clear" w:color="000000" w:fill="FFFFFF"/>
            <w:vAlign w:val="center"/>
            <w:hideMark/>
          </w:tcPr>
          <w:p w14:paraId="662CC79C" w14:textId="77777777" w:rsidR="0021298F" w:rsidRPr="00956CE7" w:rsidRDefault="0021298F" w:rsidP="00760009">
            <w:pPr>
              <w:jc w:val="right"/>
              <w:rPr>
                <w:rFonts w:ascii="Arial" w:eastAsia="Times New Roman" w:hAnsi="Arial" w:cs="Arial"/>
                <w:color w:val="000000"/>
                <w:lang w:eastAsia="en-GB"/>
              </w:rPr>
            </w:pPr>
            <w:r w:rsidRPr="00956CE7">
              <w:rPr>
                <w:rFonts w:ascii="Arial" w:eastAsia="Times New Roman" w:hAnsi="Arial" w:cs="Arial"/>
                <w:color w:val="000000"/>
                <w:lang w:eastAsia="en-GB"/>
              </w:rPr>
              <w:t>434</w:t>
            </w:r>
          </w:p>
        </w:tc>
        <w:tc>
          <w:tcPr>
            <w:tcW w:w="1391" w:type="dxa"/>
            <w:tcBorders>
              <w:top w:val="nil"/>
              <w:left w:val="nil"/>
              <w:bottom w:val="nil"/>
              <w:right w:val="nil"/>
            </w:tcBorders>
            <w:shd w:val="clear" w:color="000000" w:fill="FFFFFF"/>
            <w:vAlign w:val="center"/>
            <w:hideMark/>
          </w:tcPr>
          <w:p w14:paraId="5EF2A5E1" w14:textId="77777777" w:rsidR="0021298F" w:rsidRPr="00956CE7" w:rsidRDefault="0021298F" w:rsidP="00760009">
            <w:pPr>
              <w:jc w:val="right"/>
              <w:rPr>
                <w:rFonts w:ascii="Arial" w:eastAsia="Times New Roman" w:hAnsi="Arial" w:cs="Arial"/>
                <w:color w:val="000000"/>
                <w:lang w:eastAsia="en-GB"/>
              </w:rPr>
            </w:pPr>
            <w:r w:rsidRPr="00956CE7">
              <w:rPr>
                <w:rFonts w:ascii="Arial" w:eastAsia="Times New Roman" w:hAnsi="Arial" w:cs="Arial"/>
                <w:color w:val="000000"/>
                <w:lang w:eastAsia="en-GB"/>
              </w:rPr>
              <w:t>-</w:t>
            </w:r>
          </w:p>
        </w:tc>
      </w:tr>
      <w:tr w:rsidR="0021298F" w:rsidRPr="00956CE7" w14:paraId="61FC5CEE" w14:textId="77777777" w:rsidTr="00760009">
        <w:trPr>
          <w:trHeight w:val="300"/>
        </w:trPr>
        <w:tc>
          <w:tcPr>
            <w:tcW w:w="2835" w:type="dxa"/>
            <w:tcBorders>
              <w:top w:val="nil"/>
              <w:left w:val="nil"/>
              <w:bottom w:val="nil"/>
              <w:right w:val="nil"/>
            </w:tcBorders>
            <w:shd w:val="clear" w:color="000000" w:fill="FFFFFF"/>
            <w:noWrap/>
            <w:vAlign w:val="center"/>
            <w:hideMark/>
          </w:tcPr>
          <w:p w14:paraId="3160C87F" w14:textId="77777777" w:rsidR="0021298F" w:rsidRPr="00956CE7" w:rsidRDefault="0021298F" w:rsidP="00760009">
            <w:pPr>
              <w:jc w:val="both"/>
              <w:rPr>
                <w:rFonts w:ascii="Arial" w:eastAsia="Times New Roman" w:hAnsi="Arial" w:cs="Arial"/>
                <w:color w:val="000000"/>
                <w:lang w:eastAsia="en-GB"/>
              </w:rPr>
            </w:pPr>
            <w:r w:rsidRPr="00956CE7">
              <w:rPr>
                <w:rFonts w:ascii="Arial" w:eastAsia="Times New Roman" w:hAnsi="Arial" w:cs="Arial"/>
                <w:color w:val="000000"/>
                <w:lang w:eastAsia="en-GB"/>
              </w:rPr>
              <w:t>Raheenleagh</w:t>
            </w:r>
          </w:p>
        </w:tc>
        <w:tc>
          <w:tcPr>
            <w:tcW w:w="1701" w:type="dxa"/>
            <w:tcBorders>
              <w:top w:val="nil"/>
              <w:left w:val="nil"/>
              <w:bottom w:val="nil"/>
              <w:right w:val="nil"/>
            </w:tcBorders>
            <w:shd w:val="clear" w:color="000000" w:fill="EDFFB7"/>
            <w:noWrap/>
            <w:vAlign w:val="center"/>
            <w:hideMark/>
          </w:tcPr>
          <w:p w14:paraId="68F886C0" w14:textId="77777777" w:rsidR="0021298F" w:rsidRPr="00956CE7" w:rsidRDefault="0021298F" w:rsidP="00760009">
            <w:pPr>
              <w:jc w:val="right"/>
              <w:rPr>
                <w:rFonts w:ascii="Arial" w:eastAsia="Times New Roman" w:hAnsi="Arial" w:cs="Arial"/>
                <w:color w:val="000000"/>
                <w:lang w:eastAsia="en-GB"/>
              </w:rPr>
            </w:pPr>
            <w:r w:rsidRPr="00956CE7">
              <w:rPr>
                <w:rFonts w:ascii="Arial" w:eastAsia="Times New Roman" w:hAnsi="Arial" w:cs="Arial"/>
                <w:color w:val="000000"/>
                <w:lang w:eastAsia="en-GB"/>
              </w:rPr>
              <w:t xml:space="preserve"> - </w:t>
            </w:r>
          </w:p>
        </w:tc>
        <w:tc>
          <w:tcPr>
            <w:tcW w:w="1391" w:type="dxa"/>
            <w:tcBorders>
              <w:top w:val="nil"/>
              <w:left w:val="nil"/>
              <w:bottom w:val="nil"/>
              <w:right w:val="nil"/>
            </w:tcBorders>
            <w:shd w:val="clear" w:color="000000" w:fill="EDFFB7"/>
            <w:noWrap/>
            <w:vAlign w:val="center"/>
            <w:hideMark/>
          </w:tcPr>
          <w:p w14:paraId="2156730E" w14:textId="77777777" w:rsidR="0021298F" w:rsidRPr="00956CE7" w:rsidRDefault="0021298F" w:rsidP="00760009">
            <w:pPr>
              <w:jc w:val="right"/>
              <w:rPr>
                <w:rFonts w:ascii="Arial" w:eastAsia="Times New Roman" w:hAnsi="Arial" w:cs="Arial"/>
                <w:color w:val="000000"/>
                <w:lang w:eastAsia="en-GB"/>
              </w:rPr>
            </w:pPr>
            <w:r w:rsidRPr="00956CE7">
              <w:rPr>
                <w:rFonts w:ascii="Arial" w:eastAsia="Times New Roman" w:hAnsi="Arial" w:cs="Arial"/>
                <w:color w:val="000000"/>
                <w:lang w:eastAsia="en-GB"/>
              </w:rPr>
              <w:t xml:space="preserve">1,100 </w:t>
            </w:r>
          </w:p>
        </w:tc>
        <w:tc>
          <w:tcPr>
            <w:tcW w:w="1561" w:type="dxa"/>
            <w:tcBorders>
              <w:top w:val="nil"/>
              <w:left w:val="nil"/>
              <w:bottom w:val="nil"/>
              <w:right w:val="nil"/>
            </w:tcBorders>
            <w:shd w:val="clear" w:color="000000" w:fill="FFFFFF"/>
            <w:vAlign w:val="center"/>
            <w:hideMark/>
          </w:tcPr>
          <w:p w14:paraId="0C88AADE" w14:textId="77777777" w:rsidR="0021298F" w:rsidRPr="00956CE7" w:rsidRDefault="0021298F" w:rsidP="00760009">
            <w:pPr>
              <w:jc w:val="right"/>
              <w:rPr>
                <w:rFonts w:ascii="Arial" w:eastAsia="Times New Roman" w:hAnsi="Arial" w:cs="Arial"/>
                <w:color w:val="000000"/>
                <w:lang w:eastAsia="en-GB"/>
              </w:rPr>
            </w:pPr>
            <w:r w:rsidRPr="00956CE7">
              <w:rPr>
                <w:rFonts w:ascii="Arial" w:eastAsia="Times New Roman" w:hAnsi="Arial" w:cs="Arial"/>
                <w:color w:val="000000"/>
                <w:lang w:eastAsia="en-GB"/>
              </w:rPr>
              <w:t>-</w:t>
            </w:r>
          </w:p>
        </w:tc>
        <w:tc>
          <w:tcPr>
            <w:tcW w:w="1391" w:type="dxa"/>
            <w:tcBorders>
              <w:top w:val="nil"/>
              <w:left w:val="nil"/>
              <w:bottom w:val="nil"/>
              <w:right w:val="nil"/>
            </w:tcBorders>
            <w:shd w:val="clear" w:color="000000" w:fill="FFFFFF"/>
            <w:vAlign w:val="center"/>
            <w:hideMark/>
          </w:tcPr>
          <w:p w14:paraId="720FC4C3" w14:textId="77777777" w:rsidR="0021298F" w:rsidRPr="00956CE7" w:rsidRDefault="0021298F" w:rsidP="00760009">
            <w:pPr>
              <w:jc w:val="right"/>
              <w:rPr>
                <w:rFonts w:ascii="Arial" w:eastAsia="Times New Roman" w:hAnsi="Arial" w:cs="Arial"/>
                <w:color w:val="000000"/>
                <w:lang w:eastAsia="en-GB"/>
              </w:rPr>
            </w:pPr>
            <w:r w:rsidRPr="00956CE7">
              <w:rPr>
                <w:rFonts w:ascii="Arial" w:eastAsia="Times New Roman" w:hAnsi="Arial" w:cs="Arial"/>
                <w:color w:val="000000"/>
                <w:lang w:eastAsia="en-GB"/>
              </w:rPr>
              <w:t>-</w:t>
            </w:r>
          </w:p>
        </w:tc>
      </w:tr>
      <w:tr w:rsidR="0021298F" w:rsidRPr="00956CE7" w14:paraId="625C3D1C" w14:textId="77777777" w:rsidTr="00760009">
        <w:trPr>
          <w:trHeight w:val="300"/>
        </w:trPr>
        <w:tc>
          <w:tcPr>
            <w:tcW w:w="2835" w:type="dxa"/>
            <w:tcBorders>
              <w:top w:val="nil"/>
              <w:left w:val="nil"/>
              <w:bottom w:val="nil"/>
              <w:right w:val="nil"/>
            </w:tcBorders>
            <w:shd w:val="clear" w:color="000000" w:fill="FFFFFF"/>
            <w:noWrap/>
            <w:vAlign w:val="center"/>
            <w:hideMark/>
          </w:tcPr>
          <w:p w14:paraId="29860C7A" w14:textId="77777777" w:rsidR="0021298F" w:rsidRPr="00956CE7" w:rsidRDefault="0021298F" w:rsidP="00760009">
            <w:pPr>
              <w:jc w:val="both"/>
              <w:rPr>
                <w:rFonts w:ascii="Arial" w:eastAsia="Times New Roman" w:hAnsi="Arial" w:cs="Arial"/>
                <w:color w:val="000000"/>
                <w:lang w:eastAsia="en-GB"/>
              </w:rPr>
            </w:pPr>
            <w:r w:rsidRPr="00956CE7">
              <w:rPr>
                <w:rFonts w:ascii="Arial" w:eastAsia="Times New Roman" w:hAnsi="Arial" w:cs="Arial"/>
                <w:color w:val="000000"/>
                <w:lang w:eastAsia="en-GB"/>
              </w:rPr>
              <w:t>Beam Hill</w:t>
            </w:r>
          </w:p>
        </w:tc>
        <w:tc>
          <w:tcPr>
            <w:tcW w:w="1701" w:type="dxa"/>
            <w:tcBorders>
              <w:top w:val="nil"/>
              <w:left w:val="nil"/>
              <w:bottom w:val="nil"/>
              <w:right w:val="nil"/>
            </w:tcBorders>
            <w:shd w:val="clear" w:color="000000" w:fill="EDFFB7"/>
            <w:noWrap/>
            <w:vAlign w:val="center"/>
            <w:hideMark/>
          </w:tcPr>
          <w:p w14:paraId="16995B05" w14:textId="77777777" w:rsidR="0021298F" w:rsidRPr="00956CE7" w:rsidRDefault="0021298F" w:rsidP="00760009">
            <w:pPr>
              <w:jc w:val="right"/>
              <w:rPr>
                <w:rFonts w:ascii="Arial" w:eastAsia="Times New Roman" w:hAnsi="Arial" w:cs="Arial"/>
                <w:color w:val="000000"/>
                <w:lang w:eastAsia="en-GB"/>
              </w:rPr>
            </w:pPr>
            <w:r w:rsidRPr="00956CE7">
              <w:rPr>
                <w:rFonts w:ascii="Arial" w:eastAsia="Times New Roman" w:hAnsi="Arial" w:cs="Arial"/>
                <w:color w:val="000000"/>
                <w:lang w:eastAsia="en-GB"/>
              </w:rPr>
              <w:t xml:space="preserve">               204 </w:t>
            </w:r>
          </w:p>
        </w:tc>
        <w:tc>
          <w:tcPr>
            <w:tcW w:w="1391" w:type="dxa"/>
            <w:tcBorders>
              <w:top w:val="nil"/>
              <w:left w:val="nil"/>
              <w:bottom w:val="nil"/>
              <w:right w:val="nil"/>
            </w:tcBorders>
            <w:shd w:val="clear" w:color="000000" w:fill="EDFFB7"/>
            <w:noWrap/>
            <w:vAlign w:val="center"/>
            <w:hideMark/>
          </w:tcPr>
          <w:p w14:paraId="14459939" w14:textId="77777777" w:rsidR="0021298F" w:rsidRPr="00956CE7" w:rsidRDefault="0021298F" w:rsidP="00760009">
            <w:pPr>
              <w:jc w:val="right"/>
              <w:rPr>
                <w:rFonts w:ascii="Arial" w:eastAsia="Times New Roman" w:hAnsi="Arial" w:cs="Arial"/>
                <w:color w:val="000000"/>
                <w:lang w:eastAsia="en-GB"/>
              </w:rPr>
            </w:pPr>
            <w:r w:rsidRPr="00956CE7">
              <w:rPr>
                <w:rFonts w:ascii="Arial" w:eastAsia="Times New Roman" w:hAnsi="Arial" w:cs="Arial"/>
                <w:color w:val="000000"/>
                <w:lang w:eastAsia="en-GB"/>
              </w:rPr>
              <w:t xml:space="preserve">773 </w:t>
            </w:r>
          </w:p>
        </w:tc>
        <w:tc>
          <w:tcPr>
            <w:tcW w:w="1561" w:type="dxa"/>
            <w:tcBorders>
              <w:top w:val="nil"/>
              <w:left w:val="nil"/>
              <w:bottom w:val="nil"/>
              <w:right w:val="nil"/>
            </w:tcBorders>
            <w:shd w:val="clear" w:color="000000" w:fill="FFFFFF"/>
            <w:vAlign w:val="center"/>
            <w:hideMark/>
          </w:tcPr>
          <w:p w14:paraId="4D13E158" w14:textId="77777777" w:rsidR="0021298F" w:rsidRPr="00956CE7" w:rsidRDefault="0021298F" w:rsidP="00760009">
            <w:pPr>
              <w:jc w:val="right"/>
              <w:rPr>
                <w:rFonts w:ascii="Arial" w:eastAsia="Times New Roman" w:hAnsi="Arial" w:cs="Arial"/>
                <w:color w:val="000000"/>
                <w:lang w:eastAsia="en-GB"/>
              </w:rPr>
            </w:pPr>
            <w:r w:rsidRPr="00956CE7">
              <w:rPr>
                <w:rFonts w:ascii="Arial" w:eastAsia="Times New Roman" w:hAnsi="Arial" w:cs="Arial"/>
                <w:color w:val="000000"/>
                <w:lang w:eastAsia="en-GB"/>
              </w:rPr>
              <w:t>118</w:t>
            </w:r>
          </w:p>
        </w:tc>
        <w:tc>
          <w:tcPr>
            <w:tcW w:w="1391" w:type="dxa"/>
            <w:tcBorders>
              <w:top w:val="nil"/>
              <w:left w:val="nil"/>
              <w:bottom w:val="nil"/>
              <w:right w:val="nil"/>
            </w:tcBorders>
            <w:shd w:val="clear" w:color="000000" w:fill="FFFFFF"/>
            <w:vAlign w:val="center"/>
            <w:hideMark/>
          </w:tcPr>
          <w:p w14:paraId="0EB8CB4F" w14:textId="77777777" w:rsidR="0021298F" w:rsidRPr="00956CE7" w:rsidRDefault="0021298F" w:rsidP="00760009">
            <w:pPr>
              <w:jc w:val="right"/>
              <w:rPr>
                <w:rFonts w:ascii="Arial" w:eastAsia="Times New Roman" w:hAnsi="Arial" w:cs="Arial"/>
                <w:color w:val="000000"/>
                <w:lang w:eastAsia="en-GB"/>
              </w:rPr>
            </w:pPr>
            <w:r w:rsidRPr="00956CE7">
              <w:rPr>
                <w:rFonts w:ascii="Arial" w:eastAsia="Times New Roman" w:hAnsi="Arial" w:cs="Arial"/>
                <w:color w:val="000000"/>
                <w:lang w:eastAsia="en-GB"/>
              </w:rPr>
              <w:t>-</w:t>
            </w:r>
          </w:p>
        </w:tc>
      </w:tr>
      <w:tr w:rsidR="0021298F" w:rsidRPr="00956CE7" w14:paraId="3A9EE4C6" w14:textId="77777777" w:rsidTr="00760009">
        <w:trPr>
          <w:trHeight w:val="300"/>
        </w:trPr>
        <w:tc>
          <w:tcPr>
            <w:tcW w:w="2835" w:type="dxa"/>
            <w:tcBorders>
              <w:top w:val="nil"/>
              <w:left w:val="nil"/>
              <w:bottom w:val="nil"/>
              <w:right w:val="nil"/>
            </w:tcBorders>
            <w:shd w:val="clear" w:color="000000" w:fill="FFFFFF"/>
            <w:noWrap/>
            <w:vAlign w:val="center"/>
            <w:hideMark/>
          </w:tcPr>
          <w:p w14:paraId="07A149D8" w14:textId="77777777" w:rsidR="0021298F" w:rsidRPr="00956CE7" w:rsidRDefault="0021298F" w:rsidP="00760009">
            <w:pPr>
              <w:jc w:val="both"/>
              <w:rPr>
                <w:rFonts w:ascii="Arial" w:eastAsia="Times New Roman" w:hAnsi="Arial" w:cs="Arial"/>
                <w:color w:val="000000"/>
                <w:lang w:eastAsia="en-GB"/>
              </w:rPr>
            </w:pPr>
            <w:r w:rsidRPr="00956CE7">
              <w:rPr>
                <w:rFonts w:ascii="Arial" w:eastAsia="Times New Roman" w:hAnsi="Arial" w:cs="Arial"/>
                <w:color w:val="000000"/>
                <w:lang w:eastAsia="en-GB"/>
              </w:rPr>
              <w:t>Lisdowney</w:t>
            </w:r>
          </w:p>
        </w:tc>
        <w:tc>
          <w:tcPr>
            <w:tcW w:w="1701" w:type="dxa"/>
            <w:tcBorders>
              <w:top w:val="nil"/>
              <w:left w:val="nil"/>
              <w:bottom w:val="nil"/>
              <w:right w:val="nil"/>
            </w:tcBorders>
            <w:shd w:val="clear" w:color="000000" w:fill="EDFFB7"/>
            <w:noWrap/>
            <w:vAlign w:val="center"/>
            <w:hideMark/>
          </w:tcPr>
          <w:p w14:paraId="519AA1CF" w14:textId="77777777" w:rsidR="0021298F" w:rsidRPr="00956CE7" w:rsidRDefault="0021298F" w:rsidP="00760009">
            <w:pPr>
              <w:jc w:val="right"/>
              <w:rPr>
                <w:rFonts w:ascii="Arial" w:eastAsia="Times New Roman" w:hAnsi="Arial" w:cs="Arial"/>
                <w:color w:val="000000"/>
                <w:lang w:eastAsia="en-GB"/>
              </w:rPr>
            </w:pPr>
            <w:r w:rsidRPr="00956CE7">
              <w:rPr>
                <w:rFonts w:ascii="Arial" w:eastAsia="Times New Roman" w:hAnsi="Arial" w:cs="Arial"/>
                <w:color w:val="000000"/>
                <w:lang w:eastAsia="en-GB"/>
              </w:rPr>
              <w:t xml:space="preserve">                 90 </w:t>
            </w:r>
          </w:p>
        </w:tc>
        <w:tc>
          <w:tcPr>
            <w:tcW w:w="1391" w:type="dxa"/>
            <w:tcBorders>
              <w:top w:val="nil"/>
              <w:left w:val="nil"/>
              <w:bottom w:val="nil"/>
              <w:right w:val="nil"/>
            </w:tcBorders>
            <w:shd w:val="clear" w:color="000000" w:fill="EDFFB7"/>
            <w:noWrap/>
            <w:vAlign w:val="center"/>
            <w:hideMark/>
          </w:tcPr>
          <w:p w14:paraId="343E60D6" w14:textId="77777777" w:rsidR="0021298F" w:rsidRPr="00956CE7" w:rsidRDefault="0021298F" w:rsidP="00760009">
            <w:pPr>
              <w:jc w:val="right"/>
              <w:rPr>
                <w:rFonts w:ascii="Arial" w:eastAsia="Times New Roman" w:hAnsi="Arial" w:cs="Arial"/>
                <w:color w:val="000000"/>
                <w:lang w:eastAsia="en-GB"/>
              </w:rPr>
            </w:pPr>
            <w:r w:rsidRPr="00956CE7">
              <w:rPr>
                <w:rFonts w:ascii="Arial" w:eastAsia="Times New Roman" w:hAnsi="Arial" w:cs="Arial"/>
                <w:color w:val="000000"/>
                <w:lang w:eastAsia="en-GB"/>
              </w:rPr>
              <w:t xml:space="preserve">600 </w:t>
            </w:r>
          </w:p>
        </w:tc>
        <w:tc>
          <w:tcPr>
            <w:tcW w:w="1561" w:type="dxa"/>
            <w:tcBorders>
              <w:top w:val="nil"/>
              <w:left w:val="nil"/>
              <w:bottom w:val="nil"/>
              <w:right w:val="nil"/>
            </w:tcBorders>
            <w:shd w:val="clear" w:color="000000" w:fill="FFFFFF"/>
            <w:vAlign w:val="center"/>
            <w:hideMark/>
          </w:tcPr>
          <w:p w14:paraId="5815B507" w14:textId="77777777" w:rsidR="0021298F" w:rsidRPr="00956CE7" w:rsidRDefault="0021298F" w:rsidP="00760009">
            <w:pPr>
              <w:jc w:val="right"/>
              <w:rPr>
                <w:rFonts w:ascii="Arial" w:eastAsia="Times New Roman" w:hAnsi="Arial" w:cs="Arial"/>
                <w:color w:val="000000"/>
                <w:lang w:eastAsia="en-GB"/>
              </w:rPr>
            </w:pPr>
            <w:r w:rsidRPr="00956CE7">
              <w:rPr>
                <w:rFonts w:ascii="Arial" w:eastAsia="Times New Roman" w:hAnsi="Arial" w:cs="Arial"/>
                <w:color w:val="000000"/>
                <w:lang w:eastAsia="en-GB"/>
              </w:rPr>
              <w:t>78</w:t>
            </w:r>
          </w:p>
        </w:tc>
        <w:tc>
          <w:tcPr>
            <w:tcW w:w="1391" w:type="dxa"/>
            <w:tcBorders>
              <w:top w:val="nil"/>
              <w:left w:val="nil"/>
              <w:bottom w:val="nil"/>
              <w:right w:val="nil"/>
            </w:tcBorders>
            <w:shd w:val="clear" w:color="000000" w:fill="FFFFFF"/>
            <w:vAlign w:val="center"/>
            <w:hideMark/>
          </w:tcPr>
          <w:p w14:paraId="53CEABBA" w14:textId="77777777" w:rsidR="0021298F" w:rsidRPr="00956CE7" w:rsidRDefault="0021298F" w:rsidP="00760009">
            <w:pPr>
              <w:jc w:val="right"/>
              <w:rPr>
                <w:rFonts w:ascii="Arial" w:eastAsia="Times New Roman" w:hAnsi="Arial" w:cs="Arial"/>
                <w:color w:val="000000"/>
                <w:lang w:eastAsia="en-GB"/>
              </w:rPr>
            </w:pPr>
            <w:r w:rsidRPr="00956CE7">
              <w:rPr>
                <w:rFonts w:ascii="Arial" w:eastAsia="Times New Roman" w:hAnsi="Arial" w:cs="Arial"/>
                <w:color w:val="000000"/>
                <w:lang w:eastAsia="en-GB"/>
              </w:rPr>
              <w:t>-</w:t>
            </w:r>
          </w:p>
        </w:tc>
      </w:tr>
      <w:tr w:rsidR="0021298F" w:rsidRPr="00956CE7" w14:paraId="6AB6B421" w14:textId="77777777" w:rsidTr="00760009">
        <w:trPr>
          <w:trHeight w:val="300"/>
        </w:trPr>
        <w:tc>
          <w:tcPr>
            <w:tcW w:w="2835" w:type="dxa"/>
            <w:tcBorders>
              <w:top w:val="nil"/>
              <w:left w:val="nil"/>
              <w:bottom w:val="nil"/>
              <w:right w:val="nil"/>
            </w:tcBorders>
            <w:shd w:val="clear" w:color="000000" w:fill="FFFFFF"/>
            <w:noWrap/>
            <w:vAlign w:val="center"/>
            <w:hideMark/>
          </w:tcPr>
          <w:p w14:paraId="7CBB5079" w14:textId="77777777" w:rsidR="0021298F" w:rsidRPr="00956CE7" w:rsidRDefault="0021298F" w:rsidP="00760009">
            <w:pPr>
              <w:jc w:val="both"/>
              <w:rPr>
                <w:rFonts w:ascii="Arial" w:eastAsia="Times New Roman" w:hAnsi="Arial" w:cs="Arial"/>
                <w:color w:val="000000"/>
                <w:lang w:eastAsia="en-GB"/>
              </w:rPr>
            </w:pPr>
            <w:r w:rsidRPr="00956CE7">
              <w:rPr>
                <w:rFonts w:ascii="Arial" w:eastAsia="Times New Roman" w:hAnsi="Arial" w:cs="Arial"/>
                <w:color w:val="000000"/>
                <w:lang w:eastAsia="en-GB"/>
              </w:rPr>
              <w:t>Carrickallen</w:t>
            </w:r>
          </w:p>
        </w:tc>
        <w:tc>
          <w:tcPr>
            <w:tcW w:w="1701" w:type="dxa"/>
            <w:tcBorders>
              <w:top w:val="nil"/>
              <w:left w:val="nil"/>
              <w:bottom w:val="nil"/>
              <w:right w:val="nil"/>
            </w:tcBorders>
            <w:shd w:val="clear" w:color="000000" w:fill="EDFFB7"/>
            <w:noWrap/>
            <w:vAlign w:val="center"/>
            <w:hideMark/>
          </w:tcPr>
          <w:p w14:paraId="390B3C47" w14:textId="77777777" w:rsidR="0021298F" w:rsidRPr="00956CE7" w:rsidRDefault="0021298F" w:rsidP="00760009">
            <w:pPr>
              <w:jc w:val="right"/>
              <w:rPr>
                <w:rFonts w:ascii="Arial" w:eastAsia="Times New Roman" w:hAnsi="Arial" w:cs="Arial"/>
                <w:color w:val="000000"/>
                <w:lang w:eastAsia="en-GB"/>
              </w:rPr>
            </w:pPr>
            <w:r w:rsidRPr="00956CE7">
              <w:rPr>
                <w:rFonts w:ascii="Arial" w:eastAsia="Times New Roman" w:hAnsi="Arial" w:cs="Arial"/>
                <w:color w:val="000000"/>
                <w:lang w:eastAsia="en-GB"/>
              </w:rPr>
              <w:t xml:space="preserve"> - </w:t>
            </w:r>
          </w:p>
        </w:tc>
        <w:tc>
          <w:tcPr>
            <w:tcW w:w="1391" w:type="dxa"/>
            <w:tcBorders>
              <w:top w:val="nil"/>
              <w:left w:val="nil"/>
              <w:bottom w:val="nil"/>
              <w:right w:val="nil"/>
            </w:tcBorders>
            <w:shd w:val="clear" w:color="000000" w:fill="EDFFB7"/>
            <w:noWrap/>
            <w:vAlign w:val="center"/>
            <w:hideMark/>
          </w:tcPr>
          <w:p w14:paraId="7F142F41" w14:textId="77777777" w:rsidR="0021298F" w:rsidRPr="00956CE7" w:rsidRDefault="0021298F" w:rsidP="00760009">
            <w:pPr>
              <w:jc w:val="right"/>
              <w:rPr>
                <w:rFonts w:ascii="Arial" w:eastAsia="Times New Roman" w:hAnsi="Arial" w:cs="Arial"/>
                <w:color w:val="000000"/>
                <w:lang w:eastAsia="en-GB"/>
              </w:rPr>
            </w:pPr>
            <w:r w:rsidRPr="00956CE7">
              <w:rPr>
                <w:rFonts w:ascii="Arial" w:eastAsia="Times New Roman" w:hAnsi="Arial" w:cs="Arial"/>
                <w:color w:val="000000"/>
                <w:lang w:eastAsia="en-GB"/>
              </w:rPr>
              <w:t xml:space="preserve">500 </w:t>
            </w:r>
          </w:p>
        </w:tc>
        <w:tc>
          <w:tcPr>
            <w:tcW w:w="1561" w:type="dxa"/>
            <w:tcBorders>
              <w:top w:val="nil"/>
              <w:left w:val="nil"/>
              <w:bottom w:val="nil"/>
              <w:right w:val="nil"/>
            </w:tcBorders>
            <w:shd w:val="clear" w:color="000000" w:fill="FFFFFF"/>
            <w:vAlign w:val="center"/>
            <w:hideMark/>
          </w:tcPr>
          <w:p w14:paraId="4465CB0C" w14:textId="77777777" w:rsidR="0021298F" w:rsidRPr="00956CE7" w:rsidRDefault="0021298F" w:rsidP="00760009">
            <w:pPr>
              <w:jc w:val="right"/>
              <w:rPr>
                <w:rFonts w:ascii="Arial" w:eastAsia="Times New Roman" w:hAnsi="Arial" w:cs="Arial"/>
                <w:color w:val="000000"/>
                <w:lang w:eastAsia="en-GB"/>
              </w:rPr>
            </w:pPr>
            <w:r w:rsidRPr="00956CE7">
              <w:rPr>
                <w:rFonts w:ascii="Arial" w:eastAsia="Times New Roman" w:hAnsi="Arial" w:cs="Arial"/>
                <w:color w:val="000000"/>
                <w:lang w:eastAsia="en-GB"/>
              </w:rPr>
              <w:t>-</w:t>
            </w:r>
          </w:p>
        </w:tc>
        <w:tc>
          <w:tcPr>
            <w:tcW w:w="1391" w:type="dxa"/>
            <w:tcBorders>
              <w:top w:val="nil"/>
              <w:left w:val="nil"/>
              <w:bottom w:val="nil"/>
              <w:right w:val="nil"/>
            </w:tcBorders>
            <w:shd w:val="clear" w:color="000000" w:fill="FFFFFF"/>
            <w:vAlign w:val="center"/>
            <w:hideMark/>
          </w:tcPr>
          <w:p w14:paraId="102B5DB5" w14:textId="77777777" w:rsidR="0021298F" w:rsidRPr="00956CE7" w:rsidRDefault="0021298F" w:rsidP="00760009">
            <w:pPr>
              <w:jc w:val="right"/>
              <w:rPr>
                <w:rFonts w:ascii="Arial" w:eastAsia="Times New Roman" w:hAnsi="Arial" w:cs="Arial"/>
                <w:color w:val="000000"/>
                <w:lang w:eastAsia="en-GB"/>
              </w:rPr>
            </w:pPr>
            <w:r w:rsidRPr="00956CE7">
              <w:rPr>
                <w:rFonts w:ascii="Arial" w:eastAsia="Times New Roman" w:hAnsi="Arial" w:cs="Arial"/>
                <w:color w:val="000000"/>
                <w:lang w:eastAsia="en-GB"/>
              </w:rPr>
              <w:t>-</w:t>
            </w:r>
          </w:p>
        </w:tc>
      </w:tr>
      <w:tr w:rsidR="0021298F" w:rsidRPr="00956CE7" w14:paraId="041AAB48" w14:textId="77777777" w:rsidTr="00760009">
        <w:trPr>
          <w:trHeight w:val="300"/>
        </w:trPr>
        <w:tc>
          <w:tcPr>
            <w:tcW w:w="2835" w:type="dxa"/>
            <w:tcBorders>
              <w:top w:val="nil"/>
              <w:left w:val="nil"/>
              <w:bottom w:val="nil"/>
              <w:right w:val="nil"/>
            </w:tcBorders>
            <w:shd w:val="clear" w:color="000000" w:fill="FFFFFF"/>
            <w:noWrap/>
            <w:vAlign w:val="center"/>
            <w:hideMark/>
          </w:tcPr>
          <w:p w14:paraId="7E294BD9" w14:textId="77777777" w:rsidR="0021298F" w:rsidRPr="00956CE7" w:rsidRDefault="0021298F" w:rsidP="00760009">
            <w:pPr>
              <w:jc w:val="both"/>
              <w:rPr>
                <w:rFonts w:ascii="Arial" w:eastAsia="Times New Roman" w:hAnsi="Arial" w:cs="Arial"/>
                <w:color w:val="000000"/>
                <w:lang w:eastAsia="en-GB"/>
              </w:rPr>
            </w:pPr>
            <w:r w:rsidRPr="00956CE7">
              <w:rPr>
                <w:rFonts w:ascii="Arial" w:eastAsia="Times New Roman" w:hAnsi="Arial" w:cs="Arial"/>
                <w:color w:val="000000"/>
                <w:lang w:eastAsia="en-GB"/>
              </w:rPr>
              <w:t>Monaincha</w:t>
            </w:r>
          </w:p>
        </w:tc>
        <w:tc>
          <w:tcPr>
            <w:tcW w:w="1701" w:type="dxa"/>
            <w:tcBorders>
              <w:top w:val="nil"/>
              <w:left w:val="nil"/>
              <w:bottom w:val="nil"/>
              <w:right w:val="nil"/>
            </w:tcBorders>
            <w:shd w:val="clear" w:color="000000" w:fill="EDFFB7"/>
            <w:noWrap/>
            <w:vAlign w:val="center"/>
            <w:hideMark/>
          </w:tcPr>
          <w:p w14:paraId="114FB953" w14:textId="77777777" w:rsidR="0021298F" w:rsidRPr="00956CE7" w:rsidRDefault="0021298F" w:rsidP="00760009">
            <w:pPr>
              <w:jc w:val="right"/>
              <w:rPr>
                <w:rFonts w:ascii="Arial" w:eastAsia="Times New Roman" w:hAnsi="Arial" w:cs="Arial"/>
                <w:color w:val="000000"/>
                <w:lang w:eastAsia="en-GB"/>
              </w:rPr>
            </w:pPr>
            <w:r w:rsidRPr="00956CE7">
              <w:rPr>
                <w:rFonts w:ascii="Arial" w:eastAsia="Times New Roman" w:hAnsi="Arial" w:cs="Arial"/>
                <w:color w:val="000000"/>
                <w:lang w:eastAsia="en-GB"/>
              </w:rPr>
              <w:t xml:space="preserve">               352 </w:t>
            </w:r>
          </w:p>
        </w:tc>
        <w:tc>
          <w:tcPr>
            <w:tcW w:w="1391" w:type="dxa"/>
            <w:tcBorders>
              <w:top w:val="nil"/>
              <w:left w:val="nil"/>
              <w:bottom w:val="nil"/>
              <w:right w:val="nil"/>
            </w:tcBorders>
            <w:shd w:val="clear" w:color="000000" w:fill="EDFFB7"/>
            <w:noWrap/>
            <w:vAlign w:val="center"/>
            <w:hideMark/>
          </w:tcPr>
          <w:p w14:paraId="3A855170" w14:textId="77777777" w:rsidR="0021298F" w:rsidRPr="00956CE7" w:rsidRDefault="0021298F" w:rsidP="00760009">
            <w:pPr>
              <w:jc w:val="right"/>
              <w:rPr>
                <w:rFonts w:ascii="Arial" w:eastAsia="Times New Roman" w:hAnsi="Arial" w:cs="Arial"/>
                <w:color w:val="000000"/>
                <w:lang w:eastAsia="en-GB"/>
              </w:rPr>
            </w:pPr>
            <w:r w:rsidRPr="00956CE7">
              <w:rPr>
                <w:rFonts w:ascii="Arial" w:eastAsia="Times New Roman" w:hAnsi="Arial" w:cs="Arial"/>
                <w:color w:val="000000"/>
                <w:lang w:eastAsia="en-GB"/>
              </w:rPr>
              <w:t xml:space="preserve">400 </w:t>
            </w:r>
          </w:p>
        </w:tc>
        <w:tc>
          <w:tcPr>
            <w:tcW w:w="1561" w:type="dxa"/>
            <w:tcBorders>
              <w:top w:val="nil"/>
              <w:left w:val="nil"/>
              <w:bottom w:val="nil"/>
              <w:right w:val="nil"/>
            </w:tcBorders>
            <w:shd w:val="clear" w:color="000000" w:fill="FFFFFF"/>
            <w:vAlign w:val="center"/>
            <w:hideMark/>
          </w:tcPr>
          <w:p w14:paraId="2791F694" w14:textId="77777777" w:rsidR="0021298F" w:rsidRPr="00956CE7" w:rsidRDefault="0021298F" w:rsidP="00760009">
            <w:pPr>
              <w:jc w:val="right"/>
              <w:rPr>
                <w:rFonts w:ascii="Arial" w:eastAsia="Times New Roman" w:hAnsi="Arial" w:cs="Arial"/>
                <w:color w:val="000000"/>
                <w:lang w:eastAsia="en-GB"/>
              </w:rPr>
            </w:pPr>
            <w:r w:rsidRPr="00956CE7">
              <w:rPr>
                <w:rFonts w:ascii="Arial" w:eastAsia="Times New Roman" w:hAnsi="Arial" w:cs="Arial"/>
                <w:color w:val="000000"/>
                <w:lang w:eastAsia="en-GB"/>
              </w:rPr>
              <w:t>305</w:t>
            </w:r>
          </w:p>
        </w:tc>
        <w:tc>
          <w:tcPr>
            <w:tcW w:w="1391" w:type="dxa"/>
            <w:tcBorders>
              <w:top w:val="nil"/>
              <w:left w:val="nil"/>
              <w:bottom w:val="nil"/>
              <w:right w:val="nil"/>
            </w:tcBorders>
            <w:shd w:val="clear" w:color="000000" w:fill="FFFFFF"/>
            <w:vAlign w:val="center"/>
            <w:hideMark/>
          </w:tcPr>
          <w:p w14:paraId="25AD4AC8" w14:textId="77777777" w:rsidR="0021298F" w:rsidRPr="00956CE7" w:rsidRDefault="0021298F" w:rsidP="00760009">
            <w:pPr>
              <w:jc w:val="right"/>
              <w:rPr>
                <w:rFonts w:ascii="Arial" w:eastAsia="Times New Roman" w:hAnsi="Arial" w:cs="Arial"/>
                <w:color w:val="000000"/>
                <w:lang w:eastAsia="en-GB"/>
              </w:rPr>
            </w:pPr>
            <w:r w:rsidRPr="00956CE7">
              <w:rPr>
                <w:rFonts w:ascii="Arial" w:eastAsia="Times New Roman" w:hAnsi="Arial" w:cs="Arial"/>
                <w:color w:val="000000"/>
                <w:lang w:eastAsia="en-GB"/>
              </w:rPr>
              <w:t>-</w:t>
            </w:r>
          </w:p>
        </w:tc>
      </w:tr>
      <w:tr w:rsidR="0021298F" w:rsidRPr="00956CE7" w14:paraId="0A5EEF8B" w14:textId="77777777" w:rsidTr="00760009">
        <w:trPr>
          <w:trHeight w:val="300"/>
        </w:trPr>
        <w:tc>
          <w:tcPr>
            <w:tcW w:w="2835" w:type="dxa"/>
            <w:tcBorders>
              <w:top w:val="nil"/>
              <w:left w:val="nil"/>
              <w:bottom w:val="nil"/>
              <w:right w:val="nil"/>
            </w:tcBorders>
            <w:shd w:val="clear" w:color="000000" w:fill="FFFFFF"/>
            <w:noWrap/>
            <w:vAlign w:val="center"/>
            <w:hideMark/>
          </w:tcPr>
          <w:p w14:paraId="0E29ADB8" w14:textId="77777777" w:rsidR="0021298F" w:rsidRPr="00956CE7" w:rsidRDefault="0021298F" w:rsidP="00760009">
            <w:pPr>
              <w:jc w:val="both"/>
              <w:rPr>
                <w:rFonts w:ascii="Arial" w:eastAsia="Times New Roman" w:hAnsi="Arial" w:cs="Arial"/>
                <w:color w:val="000000"/>
                <w:lang w:eastAsia="en-GB"/>
              </w:rPr>
            </w:pPr>
            <w:r w:rsidRPr="00956CE7">
              <w:rPr>
                <w:rFonts w:ascii="Arial" w:eastAsia="Times New Roman" w:hAnsi="Arial" w:cs="Arial"/>
                <w:color w:val="000000"/>
                <w:lang w:eastAsia="en-GB"/>
              </w:rPr>
              <w:t>Knocknalour</w:t>
            </w:r>
          </w:p>
        </w:tc>
        <w:tc>
          <w:tcPr>
            <w:tcW w:w="1701" w:type="dxa"/>
            <w:tcBorders>
              <w:top w:val="nil"/>
              <w:left w:val="nil"/>
              <w:bottom w:val="nil"/>
              <w:right w:val="nil"/>
            </w:tcBorders>
            <w:shd w:val="clear" w:color="000000" w:fill="EDFFB7"/>
            <w:noWrap/>
            <w:vAlign w:val="center"/>
            <w:hideMark/>
          </w:tcPr>
          <w:p w14:paraId="6FFA2709" w14:textId="77777777" w:rsidR="0021298F" w:rsidRPr="00956CE7" w:rsidRDefault="0021298F" w:rsidP="00760009">
            <w:pPr>
              <w:jc w:val="right"/>
              <w:rPr>
                <w:rFonts w:ascii="Arial" w:eastAsia="Times New Roman" w:hAnsi="Arial" w:cs="Arial"/>
                <w:color w:val="000000"/>
                <w:lang w:eastAsia="en-GB"/>
              </w:rPr>
            </w:pPr>
            <w:r w:rsidRPr="00956CE7">
              <w:rPr>
                <w:rFonts w:ascii="Arial" w:eastAsia="Times New Roman" w:hAnsi="Arial" w:cs="Arial"/>
                <w:color w:val="000000"/>
                <w:lang w:eastAsia="en-GB"/>
              </w:rPr>
              <w:t xml:space="preserve">                 90 </w:t>
            </w:r>
          </w:p>
        </w:tc>
        <w:tc>
          <w:tcPr>
            <w:tcW w:w="1391" w:type="dxa"/>
            <w:tcBorders>
              <w:top w:val="nil"/>
              <w:left w:val="nil"/>
              <w:bottom w:val="nil"/>
              <w:right w:val="nil"/>
            </w:tcBorders>
            <w:shd w:val="clear" w:color="000000" w:fill="EDFFB7"/>
            <w:noWrap/>
            <w:vAlign w:val="center"/>
            <w:hideMark/>
          </w:tcPr>
          <w:p w14:paraId="6AB87123" w14:textId="77777777" w:rsidR="0021298F" w:rsidRPr="00956CE7" w:rsidRDefault="0021298F" w:rsidP="00760009">
            <w:pPr>
              <w:jc w:val="right"/>
              <w:rPr>
                <w:rFonts w:ascii="Arial" w:eastAsia="Times New Roman" w:hAnsi="Arial" w:cs="Arial"/>
                <w:color w:val="000000"/>
                <w:lang w:eastAsia="en-GB"/>
              </w:rPr>
            </w:pPr>
            <w:r w:rsidRPr="00956CE7">
              <w:rPr>
                <w:rFonts w:ascii="Arial" w:eastAsia="Times New Roman" w:hAnsi="Arial" w:cs="Arial"/>
                <w:color w:val="000000"/>
                <w:lang w:eastAsia="en-GB"/>
              </w:rPr>
              <w:t xml:space="preserve">200 </w:t>
            </w:r>
          </w:p>
        </w:tc>
        <w:tc>
          <w:tcPr>
            <w:tcW w:w="1561" w:type="dxa"/>
            <w:tcBorders>
              <w:top w:val="nil"/>
              <w:left w:val="nil"/>
              <w:bottom w:val="nil"/>
              <w:right w:val="nil"/>
            </w:tcBorders>
            <w:shd w:val="clear" w:color="000000" w:fill="FFFFFF"/>
            <w:vAlign w:val="center"/>
            <w:hideMark/>
          </w:tcPr>
          <w:p w14:paraId="40D94912" w14:textId="77777777" w:rsidR="0021298F" w:rsidRPr="00956CE7" w:rsidRDefault="0021298F" w:rsidP="00760009">
            <w:pPr>
              <w:jc w:val="right"/>
              <w:rPr>
                <w:rFonts w:ascii="Arial" w:eastAsia="Times New Roman" w:hAnsi="Arial" w:cs="Arial"/>
                <w:color w:val="000000"/>
                <w:lang w:eastAsia="en-GB"/>
              </w:rPr>
            </w:pPr>
            <w:r w:rsidRPr="00956CE7">
              <w:rPr>
                <w:rFonts w:ascii="Arial" w:eastAsia="Times New Roman" w:hAnsi="Arial" w:cs="Arial"/>
                <w:color w:val="000000"/>
                <w:lang w:eastAsia="en-GB"/>
              </w:rPr>
              <w:t>78</w:t>
            </w:r>
          </w:p>
        </w:tc>
        <w:tc>
          <w:tcPr>
            <w:tcW w:w="1391" w:type="dxa"/>
            <w:tcBorders>
              <w:top w:val="nil"/>
              <w:left w:val="nil"/>
              <w:bottom w:val="nil"/>
              <w:right w:val="nil"/>
            </w:tcBorders>
            <w:shd w:val="clear" w:color="000000" w:fill="FFFFFF"/>
            <w:vAlign w:val="center"/>
            <w:hideMark/>
          </w:tcPr>
          <w:p w14:paraId="6AD50CF4" w14:textId="77777777" w:rsidR="0021298F" w:rsidRPr="00956CE7" w:rsidRDefault="0021298F" w:rsidP="00760009">
            <w:pPr>
              <w:jc w:val="right"/>
              <w:rPr>
                <w:rFonts w:ascii="Arial" w:eastAsia="Times New Roman" w:hAnsi="Arial" w:cs="Arial"/>
                <w:color w:val="000000"/>
                <w:lang w:eastAsia="en-GB"/>
              </w:rPr>
            </w:pPr>
            <w:r w:rsidRPr="00956CE7">
              <w:rPr>
                <w:rFonts w:ascii="Arial" w:eastAsia="Times New Roman" w:hAnsi="Arial" w:cs="Arial"/>
                <w:color w:val="000000"/>
                <w:lang w:eastAsia="en-GB"/>
              </w:rPr>
              <w:t>-</w:t>
            </w:r>
          </w:p>
        </w:tc>
      </w:tr>
      <w:tr w:rsidR="0021298F" w:rsidRPr="00956CE7" w14:paraId="07F2DBFB" w14:textId="77777777" w:rsidTr="00760009">
        <w:trPr>
          <w:trHeight w:val="300"/>
        </w:trPr>
        <w:tc>
          <w:tcPr>
            <w:tcW w:w="2835" w:type="dxa"/>
            <w:tcBorders>
              <w:top w:val="nil"/>
              <w:left w:val="nil"/>
              <w:bottom w:val="nil"/>
              <w:right w:val="nil"/>
            </w:tcBorders>
            <w:shd w:val="clear" w:color="000000" w:fill="FFFFFF"/>
            <w:noWrap/>
            <w:vAlign w:val="center"/>
            <w:hideMark/>
          </w:tcPr>
          <w:p w14:paraId="7718678F" w14:textId="77777777" w:rsidR="0021298F" w:rsidRPr="00956CE7" w:rsidRDefault="0021298F" w:rsidP="00760009">
            <w:pPr>
              <w:jc w:val="both"/>
              <w:rPr>
                <w:rFonts w:ascii="Arial" w:eastAsia="Times New Roman" w:hAnsi="Arial" w:cs="Arial"/>
                <w:color w:val="000000"/>
                <w:lang w:eastAsia="en-GB"/>
              </w:rPr>
            </w:pPr>
            <w:r w:rsidRPr="00956CE7">
              <w:rPr>
                <w:rFonts w:ascii="Arial" w:eastAsia="Times New Roman" w:hAnsi="Arial" w:cs="Arial"/>
                <w:color w:val="000000"/>
                <w:lang w:eastAsia="en-GB"/>
              </w:rPr>
              <w:t>Knockacummer</w:t>
            </w:r>
          </w:p>
        </w:tc>
        <w:tc>
          <w:tcPr>
            <w:tcW w:w="1701" w:type="dxa"/>
            <w:tcBorders>
              <w:top w:val="nil"/>
              <w:left w:val="nil"/>
              <w:bottom w:val="nil"/>
              <w:right w:val="nil"/>
            </w:tcBorders>
            <w:shd w:val="clear" w:color="000000" w:fill="EDFFB7"/>
            <w:noWrap/>
            <w:vAlign w:val="center"/>
            <w:hideMark/>
          </w:tcPr>
          <w:p w14:paraId="7E49BE66" w14:textId="77777777" w:rsidR="0021298F" w:rsidRPr="00956CE7" w:rsidRDefault="0021298F" w:rsidP="00760009">
            <w:pPr>
              <w:jc w:val="right"/>
              <w:rPr>
                <w:rFonts w:ascii="Arial" w:eastAsia="Times New Roman" w:hAnsi="Arial" w:cs="Arial"/>
                <w:color w:val="000000"/>
                <w:lang w:eastAsia="en-GB"/>
              </w:rPr>
            </w:pPr>
            <w:r w:rsidRPr="00956CE7">
              <w:rPr>
                <w:rFonts w:ascii="Arial" w:eastAsia="Times New Roman" w:hAnsi="Arial" w:cs="Arial"/>
                <w:color w:val="000000"/>
                <w:lang w:eastAsia="en-GB"/>
              </w:rPr>
              <w:t xml:space="preserve">            1,000 </w:t>
            </w:r>
          </w:p>
        </w:tc>
        <w:tc>
          <w:tcPr>
            <w:tcW w:w="1391" w:type="dxa"/>
            <w:tcBorders>
              <w:top w:val="nil"/>
              <w:left w:val="nil"/>
              <w:bottom w:val="nil"/>
              <w:right w:val="nil"/>
            </w:tcBorders>
            <w:shd w:val="clear" w:color="000000" w:fill="EDFFB7"/>
            <w:noWrap/>
            <w:vAlign w:val="center"/>
            <w:hideMark/>
          </w:tcPr>
          <w:p w14:paraId="6E1A4D28" w14:textId="77777777" w:rsidR="0021298F" w:rsidRPr="00956CE7" w:rsidRDefault="0021298F" w:rsidP="00760009">
            <w:pPr>
              <w:jc w:val="right"/>
              <w:rPr>
                <w:rFonts w:ascii="Arial" w:eastAsia="Times New Roman" w:hAnsi="Arial" w:cs="Arial"/>
                <w:color w:val="000000"/>
                <w:lang w:eastAsia="en-GB"/>
              </w:rPr>
            </w:pPr>
            <w:r w:rsidRPr="00956CE7">
              <w:rPr>
                <w:rFonts w:ascii="Arial" w:eastAsia="Times New Roman" w:hAnsi="Arial" w:cs="Arial"/>
                <w:color w:val="000000"/>
                <w:lang w:eastAsia="en-GB"/>
              </w:rPr>
              <w:t xml:space="preserve"> - </w:t>
            </w:r>
          </w:p>
        </w:tc>
        <w:tc>
          <w:tcPr>
            <w:tcW w:w="1561" w:type="dxa"/>
            <w:tcBorders>
              <w:top w:val="nil"/>
              <w:left w:val="nil"/>
              <w:bottom w:val="nil"/>
              <w:right w:val="nil"/>
            </w:tcBorders>
            <w:shd w:val="clear" w:color="000000" w:fill="FFFFFF"/>
            <w:vAlign w:val="center"/>
            <w:hideMark/>
          </w:tcPr>
          <w:p w14:paraId="020EEC59" w14:textId="77777777" w:rsidR="0021298F" w:rsidRPr="00956CE7" w:rsidRDefault="0021298F" w:rsidP="00760009">
            <w:pPr>
              <w:jc w:val="right"/>
              <w:rPr>
                <w:rFonts w:ascii="Arial" w:eastAsia="Times New Roman" w:hAnsi="Arial" w:cs="Arial"/>
                <w:color w:val="000000"/>
                <w:lang w:eastAsia="en-GB"/>
              </w:rPr>
            </w:pPr>
            <w:r w:rsidRPr="00956CE7">
              <w:rPr>
                <w:rFonts w:ascii="Arial" w:eastAsia="Times New Roman" w:hAnsi="Arial" w:cs="Arial"/>
                <w:color w:val="000000"/>
                <w:lang w:eastAsia="en-GB"/>
              </w:rPr>
              <w:t>871</w:t>
            </w:r>
          </w:p>
        </w:tc>
        <w:tc>
          <w:tcPr>
            <w:tcW w:w="1391" w:type="dxa"/>
            <w:tcBorders>
              <w:top w:val="nil"/>
              <w:left w:val="nil"/>
              <w:bottom w:val="nil"/>
              <w:right w:val="nil"/>
            </w:tcBorders>
            <w:shd w:val="clear" w:color="000000" w:fill="FFFFFF"/>
            <w:vAlign w:val="center"/>
            <w:hideMark/>
          </w:tcPr>
          <w:p w14:paraId="118DCCB4" w14:textId="77777777" w:rsidR="0021298F" w:rsidRPr="00956CE7" w:rsidRDefault="0021298F" w:rsidP="00760009">
            <w:pPr>
              <w:jc w:val="right"/>
              <w:rPr>
                <w:rFonts w:ascii="Arial" w:eastAsia="Times New Roman" w:hAnsi="Arial" w:cs="Arial"/>
                <w:color w:val="000000"/>
                <w:lang w:eastAsia="en-GB"/>
              </w:rPr>
            </w:pPr>
            <w:r w:rsidRPr="00956CE7">
              <w:rPr>
                <w:rFonts w:ascii="Arial" w:eastAsia="Times New Roman" w:hAnsi="Arial" w:cs="Arial"/>
                <w:color w:val="000000"/>
                <w:lang w:eastAsia="en-GB"/>
              </w:rPr>
              <w:t>-</w:t>
            </w:r>
          </w:p>
        </w:tc>
      </w:tr>
      <w:tr w:rsidR="0021298F" w:rsidRPr="00956CE7" w14:paraId="6560A996" w14:textId="77777777" w:rsidTr="00760009">
        <w:trPr>
          <w:trHeight w:val="300"/>
        </w:trPr>
        <w:tc>
          <w:tcPr>
            <w:tcW w:w="2835" w:type="dxa"/>
            <w:tcBorders>
              <w:top w:val="nil"/>
              <w:left w:val="nil"/>
              <w:bottom w:val="nil"/>
              <w:right w:val="nil"/>
            </w:tcBorders>
            <w:shd w:val="clear" w:color="000000" w:fill="FFFFFF"/>
            <w:noWrap/>
            <w:vAlign w:val="center"/>
            <w:hideMark/>
          </w:tcPr>
          <w:p w14:paraId="0AEDD459" w14:textId="77777777" w:rsidR="0021298F" w:rsidRPr="00956CE7" w:rsidRDefault="0021298F" w:rsidP="00760009">
            <w:pPr>
              <w:jc w:val="both"/>
              <w:rPr>
                <w:rFonts w:ascii="Arial" w:eastAsia="Times New Roman" w:hAnsi="Arial" w:cs="Arial"/>
                <w:color w:val="000000"/>
                <w:lang w:eastAsia="en-GB"/>
              </w:rPr>
            </w:pPr>
            <w:r w:rsidRPr="00956CE7">
              <w:rPr>
                <w:rFonts w:ascii="Arial" w:eastAsia="Times New Roman" w:hAnsi="Arial" w:cs="Arial"/>
                <w:color w:val="000000"/>
                <w:lang w:eastAsia="en-GB"/>
              </w:rPr>
              <w:t>Killhills</w:t>
            </w:r>
          </w:p>
        </w:tc>
        <w:tc>
          <w:tcPr>
            <w:tcW w:w="1701" w:type="dxa"/>
            <w:tcBorders>
              <w:top w:val="nil"/>
              <w:left w:val="nil"/>
              <w:bottom w:val="nil"/>
              <w:right w:val="nil"/>
            </w:tcBorders>
            <w:shd w:val="clear" w:color="000000" w:fill="EDFFB7"/>
            <w:noWrap/>
            <w:vAlign w:val="center"/>
            <w:hideMark/>
          </w:tcPr>
          <w:p w14:paraId="60F81B98" w14:textId="77777777" w:rsidR="0021298F" w:rsidRPr="00956CE7" w:rsidRDefault="0021298F" w:rsidP="00760009">
            <w:pPr>
              <w:jc w:val="right"/>
              <w:rPr>
                <w:rFonts w:ascii="Arial" w:eastAsia="Times New Roman" w:hAnsi="Arial" w:cs="Arial"/>
                <w:color w:val="000000"/>
                <w:lang w:eastAsia="en-GB"/>
              </w:rPr>
            </w:pPr>
            <w:r w:rsidRPr="00956CE7">
              <w:rPr>
                <w:rFonts w:ascii="Arial" w:eastAsia="Times New Roman" w:hAnsi="Arial" w:cs="Arial"/>
                <w:color w:val="000000"/>
                <w:lang w:eastAsia="en-GB"/>
              </w:rPr>
              <w:t xml:space="preserve">               381 </w:t>
            </w:r>
          </w:p>
        </w:tc>
        <w:tc>
          <w:tcPr>
            <w:tcW w:w="1391" w:type="dxa"/>
            <w:tcBorders>
              <w:top w:val="nil"/>
              <w:left w:val="nil"/>
              <w:bottom w:val="nil"/>
              <w:right w:val="nil"/>
            </w:tcBorders>
            <w:shd w:val="clear" w:color="000000" w:fill="EDFFB7"/>
            <w:noWrap/>
            <w:vAlign w:val="center"/>
            <w:hideMark/>
          </w:tcPr>
          <w:p w14:paraId="29477814" w14:textId="77777777" w:rsidR="0021298F" w:rsidRPr="00956CE7" w:rsidRDefault="0021298F" w:rsidP="00760009">
            <w:pPr>
              <w:jc w:val="right"/>
              <w:rPr>
                <w:rFonts w:ascii="Arial" w:eastAsia="Times New Roman" w:hAnsi="Arial" w:cs="Arial"/>
                <w:color w:val="000000"/>
                <w:lang w:eastAsia="en-GB"/>
              </w:rPr>
            </w:pPr>
            <w:r w:rsidRPr="00956CE7">
              <w:rPr>
                <w:rFonts w:ascii="Arial" w:eastAsia="Times New Roman" w:hAnsi="Arial" w:cs="Arial"/>
                <w:color w:val="000000"/>
                <w:lang w:eastAsia="en-GB"/>
              </w:rPr>
              <w:t xml:space="preserve"> - </w:t>
            </w:r>
          </w:p>
        </w:tc>
        <w:tc>
          <w:tcPr>
            <w:tcW w:w="1561" w:type="dxa"/>
            <w:tcBorders>
              <w:top w:val="nil"/>
              <w:left w:val="nil"/>
              <w:bottom w:val="nil"/>
              <w:right w:val="nil"/>
            </w:tcBorders>
            <w:shd w:val="clear" w:color="000000" w:fill="FFFFFF"/>
            <w:vAlign w:val="center"/>
            <w:hideMark/>
          </w:tcPr>
          <w:p w14:paraId="35D65349" w14:textId="77777777" w:rsidR="0021298F" w:rsidRPr="00956CE7" w:rsidRDefault="0021298F" w:rsidP="00760009">
            <w:pPr>
              <w:jc w:val="right"/>
              <w:rPr>
                <w:rFonts w:ascii="Arial" w:eastAsia="Times New Roman" w:hAnsi="Arial" w:cs="Arial"/>
                <w:color w:val="000000"/>
                <w:lang w:eastAsia="en-GB"/>
              </w:rPr>
            </w:pPr>
            <w:r w:rsidRPr="00956CE7">
              <w:rPr>
                <w:rFonts w:ascii="Arial" w:eastAsia="Times New Roman" w:hAnsi="Arial" w:cs="Arial"/>
                <w:color w:val="000000"/>
                <w:lang w:eastAsia="en-GB"/>
              </w:rPr>
              <w:t>336</w:t>
            </w:r>
          </w:p>
        </w:tc>
        <w:tc>
          <w:tcPr>
            <w:tcW w:w="1391" w:type="dxa"/>
            <w:tcBorders>
              <w:top w:val="nil"/>
              <w:left w:val="nil"/>
              <w:bottom w:val="nil"/>
              <w:right w:val="nil"/>
            </w:tcBorders>
            <w:shd w:val="clear" w:color="000000" w:fill="FFFFFF"/>
            <w:vAlign w:val="center"/>
            <w:hideMark/>
          </w:tcPr>
          <w:p w14:paraId="7A45DDF3" w14:textId="77777777" w:rsidR="0021298F" w:rsidRPr="00956CE7" w:rsidRDefault="0021298F" w:rsidP="00760009">
            <w:pPr>
              <w:jc w:val="right"/>
              <w:rPr>
                <w:rFonts w:ascii="Arial" w:eastAsia="Times New Roman" w:hAnsi="Arial" w:cs="Arial"/>
                <w:color w:val="000000"/>
                <w:lang w:eastAsia="en-GB"/>
              </w:rPr>
            </w:pPr>
            <w:r w:rsidRPr="00956CE7">
              <w:rPr>
                <w:rFonts w:ascii="Arial" w:eastAsia="Times New Roman" w:hAnsi="Arial" w:cs="Arial"/>
                <w:color w:val="000000"/>
                <w:lang w:eastAsia="en-GB"/>
              </w:rPr>
              <w:t>-</w:t>
            </w:r>
          </w:p>
        </w:tc>
      </w:tr>
      <w:tr w:rsidR="0021298F" w:rsidRPr="00956CE7" w14:paraId="38B2ADC7" w14:textId="77777777" w:rsidTr="00760009">
        <w:trPr>
          <w:trHeight w:val="300"/>
        </w:trPr>
        <w:tc>
          <w:tcPr>
            <w:tcW w:w="2835" w:type="dxa"/>
            <w:tcBorders>
              <w:top w:val="nil"/>
              <w:left w:val="nil"/>
              <w:bottom w:val="nil"/>
              <w:right w:val="nil"/>
            </w:tcBorders>
            <w:shd w:val="clear" w:color="000000" w:fill="FFFFFF"/>
            <w:noWrap/>
            <w:vAlign w:val="center"/>
            <w:hideMark/>
          </w:tcPr>
          <w:p w14:paraId="4856D880" w14:textId="77777777" w:rsidR="0021298F" w:rsidRPr="00956CE7" w:rsidRDefault="0021298F" w:rsidP="00760009">
            <w:pPr>
              <w:jc w:val="both"/>
              <w:rPr>
                <w:rFonts w:ascii="Arial" w:eastAsia="Times New Roman" w:hAnsi="Arial" w:cs="Arial"/>
                <w:color w:val="000000"/>
                <w:lang w:eastAsia="en-GB"/>
              </w:rPr>
            </w:pPr>
            <w:r w:rsidRPr="00956CE7">
              <w:rPr>
                <w:rFonts w:ascii="Arial" w:eastAsia="Times New Roman" w:hAnsi="Arial" w:cs="Arial"/>
                <w:color w:val="000000"/>
                <w:lang w:eastAsia="en-GB"/>
              </w:rPr>
              <w:t>Glanaruddery</w:t>
            </w:r>
          </w:p>
        </w:tc>
        <w:tc>
          <w:tcPr>
            <w:tcW w:w="1701" w:type="dxa"/>
            <w:tcBorders>
              <w:top w:val="nil"/>
              <w:left w:val="nil"/>
              <w:bottom w:val="nil"/>
              <w:right w:val="nil"/>
            </w:tcBorders>
            <w:shd w:val="clear" w:color="000000" w:fill="EDFFB7"/>
            <w:noWrap/>
            <w:vAlign w:val="center"/>
            <w:hideMark/>
          </w:tcPr>
          <w:p w14:paraId="46BC8DC0" w14:textId="77777777" w:rsidR="0021298F" w:rsidRPr="00956CE7" w:rsidRDefault="0021298F" w:rsidP="00760009">
            <w:pPr>
              <w:jc w:val="right"/>
              <w:rPr>
                <w:rFonts w:ascii="Arial" w:eastAsia="Times New Roman" w:hAnsi="Arial" w:cs="Arial"/>
                <w:color w:val="000000"/>
                <w:lang w:eastAsia="en-GB"/>
              </w:rPr>
            </w:pPr>
            <w:r w:rsidRPr="00956CE7">
              <w:rPr>
                <w:rFonts w:ascii="Arial" w:eastAsia="Times New Roman" w:hAnsi="Arial" w:cs="Arial"/>
                <w:color w:val="000000"/>
                <w:lang w:eastAsia="en-GB"/>
              </w:rPr>
              <w:t xml:space="preserve">               355 </w:t>
            </w:r>
          </w:p>
        </w:tc>
        <w:tc>
          <w:tcPr>
            <w:tcW w:w="1391" w:type="dxa"/>
            <w:tcBorders>
              <w:top w:val="nil"/>
              <w:left w:val="nil"/>
              <w:bottom w:val="nil"/>
              <w:right w:val="nil"/>
            </w:tcBorders>
            <w:shd w:val="clear" w:color="000000" w:fill="EDFFB7"/>
            <w:noWrap/>
            <w:vAlign w:val="center"/>
            <w:hideMark/>
          </w:tcPr>
          <w:p w14:paraId="4A96E421" w14:textId="77777777" w:rsidR="0021298F" w:rsidRPr="00956CE7" w:rsidRDefault="0021298F" w:rsidP="00760009">
            <w:pPr>
              <w:jc w:val="right"/>
              <w:rPr>
                <w:rFonts w:ascii="Arial" w:eastAsia="Times New Roman" w:hAnsi="Arial" w:cs="Arial"/>
                <w:color w:val="000000"/>
                <w:lang w:eastAsia="en-GB"/>
              </w:rPr>
            </w:pPr>
            <w:r w:rsidRPr="00956CE7">
              <w:rPr>
                <w:rFonts w:ascii="Arial" w:eastAsia="Times New Roman" w:hAnsi="Arial" w:cs="Arial"/>
                <w:color w:val="000000"/>
                <w:lang w:eastAsia="en-GB"/>
              </w:rPr>
              <w:t xml:space="preserve"> - </w:t>
            </w:r>
          </w:p>
        </w:tc>
        <w:tc>
          <w:tcPr>
            <w:tcW w:w="1561" w:type="dxa"/>
            <w:tcBorders>
              <w:top w:val="nil"/>
              <w:left w:val="nil"/>
              <w:bottom w:val="nil"/>
              <w:right w:val="nil"/>
            </w:tcBorders>
            <w:shd w:val="clear" w:color="000000" w:fill="FFFFFF"/>
            <w:vAlign w:val="center"/>
            <w:hideMark/>
          </w:tcPr>
          <w:p w14:paraId="19BA969D" w14:textId="77777777" w:rsidR="0021298F" w:rsidRPr="00956CE7" w:rsidRDefault="0021298F" w:rsidP="00760009">
            <w:pPr>
              <w:jc w:val="right"/>
              <w:rPr>
                <w:rFonts w:ascii="Arial" w:eastAsia="Times New Roman" w:hAnsi="Arial" w:cs="Arial"/>
                <w:color w:val="000000"/>
                <w:lang w:eastAsia="en-GB"/>
              </w:rPr>
            </w:pPr>
            <w:r w:rsidRPr="00956CE7">
              <w:rPr>
                <w:rFonts w:ascii="Arial" w:eastAsia="Times New Roman" w:hAnsi="Arial" w:cs="Arial"/>
                <w:color w:val="000000"/>
                <w:lang w:eastAsia="en-GB"/>
              </w:rPr>
              <w:t>307</w:t>
            </w:r>
          </w:p>
        </w:tc>
        <w:tc>
          <w:tcPr>
            <w:tcW w:w="1391" w:type="dxa"/>
            <w:tcBorders>
              <w:top w:val="nil"/>
              <w:left w:val="nil"/>
              <w:bottom w:val="nil"/>
              <w:right w:val="nil"/>
            </w:tcBorders>
            <w:shd w:val="clear" w:color="000000" w:fill="FFFFFF"/>
            <w:vAlign w:val="center"/>
            <w:hideMark/>
          </w:tcPr>
          <w:p w14:paraId="2630C999" w14:textId="77777777" w:rsidR="0021298F" w:rsidRPr="00956CE7" w:rsidRDefault="0021298F" w:rsidP="00760009">
            <w:pPr>
              <w:jc w:val="right"/>
              <w:rPr>
                <w:rFonts w:ascii="Arial" w:eastAsia="Times New Roman" w:hAnsi="Arial" w:cs="Arial"/>
                <w:color w:val="000000"/>
                <w:lang w:eastAsia="en-GB"/>
              </w:rPr>
            </w:pPr>
            <w:r w:rsidRPr="00956CE7">
              <w:rPr>
                <w:rFonts w:ascii="Arial" w:eastAsia="Times New Roman" w:hAnsi="Arial" w:cs="Arial"/>
                <w:color w:val="000000"/>
                <w:lang w:eastAsia="en-GB"/>
              </w:rPr>
              <w:t>-</w:t>
            </w:r>
          </w:p>
        </w:tc>
      </w:tr>
      <w:tr w:rsidR="0021298F" w:rsidRPr="00956CE7" w14:paraId="1B55BF9F" w14:textId="77777777" w:rsidTr="00760009">
        <w:trPr>
          <w:trHeight w:val="300"/>
        </w:trPr>
        <w:tc>
          <w:tcPr>
            <w:tcW w:w="2835" w:type="dxa"/>
            <w:tcBorders>
              <w:top w:val="nil"/>
              <w:left w:val="nil"/>
              <w:bottom w:val="nil"/>
              <w:right w:val="nil"/>
            </w:tcBorders>
            <w:shd w:val="clear" w:color="000000" w:fill="FFFFFF"/>
            <w:noWrap/>
            <w:vAlign w:val="center"/>
            <w:hideMark/>
          </w:tcPr>
          <w:p w14:paraId="39C171CD" w14:textId="77777777" w:rsidR="0021298F" w:rsidRPr="00956CE7" w:rsidRDefault="0021298F" w:rsidP="00760009">
            <w:pPr>
              <w:jc w:val="both"/>
              <w:rPr>
                <w:rFonts w:ascii="Arial" w:eastAsia="Times New Roman" w:hAnsi="Arial" w:cs="Arial"/>
                <w:color w:val="000000"/>
                <w:lang w:eastAsia="en-GB"/>
              </w:rPr>
            </w:pPr>
            <w:r w:rsidRPr="00956CE7">
              <w:rPr>
                <w:rFonts w:ascii="Arial" w:eastAsia="Times New Roman" w:hAnsi="Arial" w:cs="Arial"/>
                <w:color w:val="000000"/>
                <w:lang w:eastAsia="en-GB"/>
              </w:rPr>
              <w:t>Gortahile</w:t>
            </w:r>
          </w:p>
        </w:tc>
        <w:tc>
          <w:tcPr>
            <w:tcW w:w="1701" w:type="dxa"/>
            <w:tcBorders>
              <w:top w:val="nil"/>
              <w:left w:val="nil"/>
              <w:bottom w:val="nil"/>
              <w:right w:val="nil"/>
            </w:tcBorders>
            <w:shd w:val="clear" w:color="000000" w:fill="EDFFB7"/>
            <w:noWrap/>
            <w:vAlign w:val="center"/>
            <w:hideMark/>
          </w:tcPr>
          <w:p w14:paraId="4D379C64" w14:textId="77777777" w:rsidR="0021298F" w:rsidRPr="00956CE7" w:rsidRDefault="0021298F" w:rsidP="00760009">
            <w:pPr>
              <w:jc w:val="right"/>
              <w:rPr>
                <w:rFonts w:ascii="Arial" w:eastAsia="Times New Roman" w:hAnsi="Arial" w:cs="Arial"/>
                <w:color w:val="000000"/>
                <w:lang w:eastAsia="en-GB"/>
              </w:rPr>
            </w:pPr>
            <w:r w:rsidRPr="00956CE7">
              <w:rPr>
                <w:rFonts w:ascii="Arial" w:eastAsia="Times New Roman" w:hAnsi="Arial" w:cs="Arial"/>
                <w:color w:val="000000"/>
                <w:lang w:eastAsia="en-GB"/>
              </w:rPr>
              <w:t xml:space="preserve">               195 </w:t>
            </w:r>
          </w:p>
        </w:tc>
        <w:tc>
          <w:tcPr>
            <w:tcW w:w="1391" w:type="dxa"/>
            <w:tcBorders>
              <w:top w:val="nil"/>
              <w:left w:val="nil"/>
              <w:bottom w:val="nil"/>
              <w:right w:val="nil"/>
            </w:tcBorders>
            <w:shd w:val="clear" w:color="000000" w:fill="EDFFB7"/>
            <w:noWrap/>
            <w:vAlign w:val="center"/>
            <w:hideMark/>
          </w:tcPr>
          <w:p w14:paraId="697776C7" w14:textId="77777777" w:rsidR="0021298F" w:rsidRPr="00956CE7" w:rsidRDefault="0021298F" w:rsidP="00760009">
            <w:pPr>
              <w:jc w:val="right"/>
              <w:rPr>
                <w:rFonts w:ascii="Arial" w:eastAsia="Times New Roman" w:hAnsi="Arial" w:cs="Arial"/>
                <w:color w:val="000000"/>
                <w:lang w:eastAsia="en-GB"/>
              </w:rPr>
            </w:pPr>
            <w:r w:rsidRPr="00956CE7">
              <w:rPr>
                <w:rFonts w:ascii="Arial" w:eastAsia="Times New Roman" w:hAnsi="Arial" w:cs="Arial"/>
                <w:color w:val="000000"/>
                <w:lang w:eastAsia="en-GB"/>
              </w:rPr>
              <w:t xml:space="preserve"> - </w:t>
            </w:r>
          </w:p>
        </w:tc>
        <w:tc>
          <w:tcPr>
            <w:tcW w:w="1561" w:type="dxa"/>
            <w:tcBorders>
              <w:top w:val="nil"/>
              <w:left w:val="nil"/>
              <w:bottom w:val="nil"/>
              <w:right w:val="nil"/>
            </w:tcBorders>
            <w:shd w:val="clear" w:color="000000" w:fill="FFFFFF"/>
            <w:vAlign w:val="center"/>
            <w:hideMark/>
          </w:tcPr>
          <w:p w14:paraId="271490F4" w14:textId="77777777" w:rsidR="0021298F" w:rsidRPr="00956CE7" w:rsidRDefault="0021298F" w:rsidP="00760009">
            <w:pPr>
              <w:jc w:val="right"/>
              <w:rPr>
                <w:rFonts w:ascii="Arial" w:eastAsia="Times New Roman" w:hAnsi="Arial" w:cs="Arial"/>
                <w:color w:val="000000"/>
                <w:lang w:eastAsia="en-GB"/>
              </w:rPr>
            </w:pPr>
            <w:r w:rsidRPr="00956CE7">
              <w:rPr>
                <w:rFonts w:ascii="Arial" w:eastAsia="Times New Roman" w:hAnsi="Arial" w:cs="Arial"/>
                <w:color w:val="000000"/>
                <w:lang w:eastAsia="en-GB"/>
              </w:rPr>
              <w:t>169</w:t>
            </w:r>
          </w:p>
        </w:tc>
        <w:tc>
          <w:tcPr>
            <w:tcW w:w="1391" w:type="dxa"/>
            <w:tcBorders>
              <w:top w:val="nil"/>
              <w:left w:val="nil"/>
              <w:bottom w:val="nil"/>
              <w:right w:val="nil"/>
            </w:tcBorders>
            <w:shd w:val="clear" w:color="000000" w:fill="FFFFFF"/>
            <w:vAlign w:val="center"/>
            <w:hideMark/>
          </w:tcPr>
          <w:p w14:paraId="5B09A041" w14:textId="77777777" w:rsidR="0021298F" w:rsidRPr="00956CE7" w:rsidRDefault="0021298F" w:rsidP="00760009">
            <w:pPr>
              <w:jc w:val="right"/>
              <w:rPr>
                <w:rFonts w:ascii="Arial" w:eastAsia="Times New Roman" w:hAnsi="Arial" w:cs="Arial"/>
                <w:color w:val="000000"/>
                <w:lang w:eastAsia="en-GB"/>
              </w:rPr>
            </w:pPr>
            <w:r w:rsidRPr="00956CE7">
              <w:rPr>
                <w:rFonts w:ascii="Arial" w:eastAsia="Times New Roman" w:hAnsi="Arial" w:cs="Arial"/>
                <w:color w:val="000000"/>
                <w:lang w:eastAsia="en-GB"/>
              </w:rPr>
              <w:t>-</w:t>
            </w:r>
          </w:p>
        </w:tc>
      </w:tr>
      <w:tr w:rsidR="0021298F" w:rsidRPr="00956CE7" w14:paraId="235A0369" w14:textId="77777777" w:rsidTr="00760009">
        <w:trPr>
          <w:trHeight w:val="300"/>
        </w:trPr>
        <w:tc>
          <w:tcPr>
            <w:tcW w:w="2835" w:type="dxa"/>
            <w:tcBorders>
              <w:top w:val="nil"/>
              <w:left w:val="nil"/>
              <w:bottom w:val="nil"/>
              <w:right w:val="nil"/>
            </w:tcBorders>
            <w:shd w:val="clear" w:color="000000" w:fill="FFFFFF"/>
            <w:noWrap/>
            <w:vAlign w:val="center"/>
            <w:hideMark/>
          </w:tcPr>
          <w:p w14:paraId="43A500B7" w14:textId="77777777" w:rsidR="0021298F" w:rsidRPr="00956CE7" w:rsidRDefault="0021298F" w:rsidP="00760009">
            <w:pPr>
              <w:jc w:val="both"/>
              <w:rPr>
                <w:rFonts w:ascii="Arial" w:eastAsia="Times New Roman" w:hAnsi="Arial" w:cs="Arial"/>
                <w:color w:val="000000"/>
                <w:lang w:eastAsia="en-GB"/>
              </w:rPr>
            </w:pPr>
            <w:r w:rsidRPr="00956CE7">
              <w:rPr>
                <w:rFonts w:ascii="Arial" w:eastAsia="Times New Roman" w:hAnsi="Arial" w:cs="Arial"/>
                <w:color w:val="000000"/>
                <w:lang w:eastAsia="en-GB"/>
              </w:rPr>
              <w:t>Killala</w:t>
            </w:r>
          </w:p>
        </w:tc>
        <w:tc>
          <w:tcPr>
            <w:tcW w:w="1701" w:type="dxa"/>
            <w:tcBorders>
              <w:top w:val="nil"/>
              <w:left w:val="nil"/>
              <w:bottom w:val="nil"/>
              <w:right w:val="nil"/>
            </w:tcBorders>
            <w:shd w:val="clear" w:color="000000" w:fill="EDFFB7"/>
            <w:noWrap/>
            <w:vAlign w:val="center"/>
            <w:hideMark/>
          </w:tcPr>
          <w:p w14:paraId="2C195109" w14:textId="77777777" w:rsidR="0021298F" w:rsidRPr="00956CE7" w:rsidRDefault="0021298F" w:rsidP="00760009">
            <w:pPr>
              <w:jc w:val="right"/>
              <w:rPr>
                <w:rFonts w:ascii="Arial" w:eastAsia="Times New Roman" w:hAnsi="Arial" w:cs="Arial"/>
                <w:color w:val="000000"/>
                <w:lang w:eastAsia="en-GB"/>
              </w:rPr>
            </w:pPr>
            <w:r w:rsidRPr="00956CE7">
              <w:rPr>
                <w:rFonts w:ascii="Arial" w:eastAsia="Times New Roman" w:hAnsi="Arial" w:cs="Arial"/>
                <w:color w:val="000000"/>
                <w:lang w:eastAsia="en-GB"/>
              </w:rPr>
              <w:t xml:space="preserve">               166 </w:t>
            </w:r>
          </w:p>
        </w:tc>
        <w:tc>
          <w:tcPr>
            <w:tcW w:w="1391" w:type="dxa"/>
            <w:tcBorders>
              <w:top w:val="nil"/>
              <w:left w:val="nil"/>
              <w:bottom w:val="nil"/>
              <w:right w:val="nil"/>
            </w:tcBorders>
            <w:shd w:val="clear" w:color="000000" w:fill="EDFFB7"/>
            <w:noWrap/>
            <w:vAlign w:val="center"/>
            <w:hideMark/>
          </w:tcPr>
          <w:p w14:paraId="624696F7" w14:textId="77777777" w:rsidR="0021298F" w:rsidRPr="00956CE7" w:rsidRDefault="0021298F" w:rsidP="00760009">
            <w:pPr>
              <w:jc w:val="right"/>
              <w:rPr>
                <w:rFonts w:ascii="Arial" w:eastAsia="Times New Roman" w:hAnsi="Arial" w:cs="Arial"/>
                <w:color w:val="000000"/>
                <w:lang w:eastAsia="en-GB"/>
              </w:rPr>
            </w:pPr>
            <w:r w:rsidRPr="00956CE7">
              <w:rPr>
                <w:rFonts w:ascii="Arial" w:eastAsia="Times New Roman" w:hAnsi="Arial" w:cs="Arial"/>
                <w:color w:val="000000"/>
                <w:lang w:eastAsia="en-GB"/>
              </w:rPr>
              <w:t xml:space="preserve"> - </w:t>
            </w:r>
          </w:p>
        </w:tc>
        <w:tc>
          <w:tcPr>
            <w:tcW w:w="1561" w:type="dxa"/>
            <w:tcBorders>
              <w:top w:val="nil"/>
              <w:left w:val="nil"/>
              <w:bottom w:val="nil"/>
              <w:right w:val="nil"/>
            </w:tcBorders>
            <w:shd w:val="clear" w:color="000000" w:fill="FFFFFF"/>
            <w:vAlign w:val="center"/>
            <w:hideMark/>
          </w:tcPr>
          <w:p w14:paraId="491A739F" w14:textId="77777777" w:rsidR="0021298F" w:rsidRPr="00956CE7" w:rsidRDefault="0021298F" w:rsidP="00760009">
            <w:pPr>
              <w:jc w:val="right"/>
              <w:rPr>
                <w:rFonts w:ascii="Arial" w:eastAsia="Times New Roman" w:hAnsi="Arial" w:cs="Arial"/>
                <w:color w:val="000000"/>
                <w:lang w:eastAsia="en-GB"/>
              </w:rPr>
            </w:pPr>
            <w:r w:rsidRPr="00956CE7">
              <w:rPr>
                <w:rFonts w:ascii="Arial" w:eastAsia="Times New Roman" w:hAnsi="Arial" w:cs="Arial"/>
                <w:color w:val="000000"/>
                <w:lang w:eastAsia="en-GB"/>
              </w:rPr>
              <w:t>144</w:t>
            </w:r>
          </w:p>
        </w:tc>
        <w:tc>
          <w:tcPr>
            <w:tcW w:w="1391" w:type="dxa"/>
            <w:tcBorders>
              <w:top w:val="nil"/>
              <w:left w:val="nil"/>
              <w:bottom w:val="nil"/>
              <w:right w:val="nil"/>
            </w:tcBorders>
            <w:shd w:val="clear" w:color="000000" w:fill="FFFFFF"/>
            <w:vAlign w:val="center"/>
            <w:hideMark/>
          </w:tcPr>
          <w:p w14:paraId="16D27833" w14:textId="77777777" w:rsidR="0021298F" w:rsidRPr="00956CE7" w:rsidRDefault="0021298F" w:rsidP="00760009">
            <w:pPr>
              <w:jc w:val="right"/>
              <w:rPr>
                <w:rFonts w:ascii="Arial" w:eastAsia="Times New Roman" w:hAnsi="Arial" w:cs="Arial"/>
                <w:color w:val="000000"/>
                <w:lang w:eastAsia="en-GB"/>
              </w:rPr>
            </w:pPr>
            <w:r w:rsidRPr="00956CE7">
              <w:rPr>
                <w:rFonts w:ascii="Arial" w:eastAsia="Times New Roman" w:hAnsi="Arial" w:cs="Arial"/>
                <w:color w:val="000000"/>
                <w:lang w:eastAsia="en-GB"/>
              </w:rPr>
              <w:t>-</w:t>
            </w:r>
          </w:p>
        </w:tc>
      </w:tr>
      <w:tr w:rsidR="0021298F" w:rsidRPr="00956CE7" w14:paraId="3525702A" w14:textId="77777777" w:rsidTr="00760009">
        <w:trPr>
          <w:trHeight w:val="300"/>
        </w:trPr>
        <w:tc>
          <w:tcPr>
            <w:tcW w:w="2835" w:type="dxa"/>
            <w:tcBorders>
              <w:top w:val="nil"/>
              <w:left w:val="nil"/>
              <w:bottom w:val="nil"/>
              <w:right w:val="nil"/>
            </w:tcBorders>
            <w:shd w:val="clear" w:color="000000" w:fill="FFFFFF"/>
            <w:noWrap/>
            <w:vAlign w:val="center"/>
            <w:hideMark/>
          </w:tcPr>
          <w:p w14:paraId="4F41A68A" w14:textId="77777777" w:rsidR="0021298F" w:rsidRPr="00956CE7" w:rsidRDefault="0021298F" w:rsidP="00760009">
            <w:pPr>
              <w:jc w:val="both"/>
              <w:rPr>
                <w:rFonts w:ascii="Arial" w:eastAsia="Times New Roman" w:hAnsi="Arial" w:cs="Arial"/>
                <w:color w:val="000000"/>
                <w:lang w:eastAsia="en-GB"/>
              </w:rPr>
            </w:pPr>
            <w:r w:rsidRPr="00956CE7">
              <w:rPr>
                <w:rFonts w:ascii="Arial" w:eastAsia="Times New Roman" w:hAnsi="Arial" w:cs="Arial"/>
                <w:color w:val="000000"/>
                <w:lang w:eastAsia="en-GB"/>
              </w:rPr>
              <w:t>Letteragh</w:t>
            </w:r>
          </w:p>
        </w:tc>
        <w:tc>
          <w:tcPr>
            <w:tcW w:w="1701" w:type="dxa"/>
            <w:tcBorders>
              <w:top w:val="nil"/>
              <w:left w:val="nil"/>
              <w:bottom w:val="nil"/>
              <w:right w:val="nil"/>
            </w:tcBorders>
            <w:shd w:val="clear" w:color="000000" w:fill="EDFFB7"/>
            <w:noWrap/>
            <w:vAlign w:val="center"/>
            <w:hideMark/>
          </w:tcPr>
          <w:p w14:paraId="249EDC58" w14:textId="77777777" w:rsidR="0021298F" w:rsidRPr="00956CE7" w:rsidRDefault="0021298F" w:rsidP="00760009">
            <w:pPr>
              <w:jc w:val="right"/>
              <w:rPr>
                <w:rFonts w:ascii="Arial" w:eastAsia="Times New Roman" w:hAnsi="Arial" w:cs="Arial"/>
                <w:color w:val="000000"/>
                <w:lang w:eastAsia="en-GB"/>
              </w:rPr>
            </w:pPr>
            <w:r w:rsidRPr="00956CE7">
              <w:rPr>
                <w:rFonts w:ascii="Arial" w:eastAsia="Times New Roman" w:hAnsi="Arial" w:cs="Arial"/>
                <w:color w:val="000000"/>
                <w:lang w:eastAsia="en-GB"/>
              </w:rPr>
              <w:t xml:space="preserve">               138 </w:t>
            </w:r>
          </w:p>
        </w:tc>
        <w:tc>
          <w:tcPr>
            <w:tcW w:w="1391" w:type="dxa"/>
            <w:tcBorders>
              <w:top w:val="nil"/>
              <w:left w:val="nil"/>
              <w:bottom w:val="nil"/>
              <w:right w:val="nil"/>
            </w:tcBorders>
            <w:shd w:val="clear" w:color="000000" w:fill="EDFFB7"/>
            <w:noWrap/>
            <w:vAlign w:val="center"/>
            <w:hideMark/>
          </w:tcPr>
          <w:p w14:paraId="7D77D822" w14:textId="77777777" w:rsidR="0021298F" w:rsidRPr="00956CE7" w:rsidRDefault="0021298F" w:rsidP="00760009">
            <w:pPr>
              <w:jc w:val="right"/>
              <w:rPr>
                <w:rFonts w:ascii="Arial" w:eastAsia="Times New Roman" w:hAnsi="Arial" w:cs="Arial"/>
                <w:color w:val="000000"/>
                <w:lang w:eastAsia="en-GB"/>
              </w:rPr>
            </w:pPr>
            <w:r w:rsidRPr="00956CE7">
              <w:rPr>
                <w:rFonts w:ascii="Arial" w:eastAsia="Times New Roman" w:hAnsi="Arial" w:cs="Arial"/>
                <w:color w:val="000000"/>
                <w:lang w:eastAsia="en-GB"/>
              </w:rPr>
              <w:t xml:space="preserve"> - </w:t>
            </w:r>
          </w:p>
        </w:tc>
        <w:tc>
          <w:tcPr>
            <w:tcW w:w="1561" w:type="dxa"/>
            <w:tcBorders>
              <w:top w:val="nil"/>
              <w:left w:val="nil"/>
              <w:bottom w:val="nil"/>
              <w:right w:val="nil"/>
            </w:tcBorders>
            <w:shd w:val="clear" w:color="000000" w:fill="FFFFFF"/>
            <w:vAlign w:val="center"/>
            <w:hideMark/>
          </w:tcPr>
          <w:p w14:paraId="79AB8B15" w14:textId="77777777" w:rsidR="0021298F" w:rsidRPr="00956CE7" w:rsidRDefault="0021298F" w:rsidP="00760009">
            <w:pPr>
              <w:jc w:val="right"/>
              <w:rPr>
                <w:rFonts w:ascii="Arial" w:eastAsia="Times New Roman" w:hAnsi="Arial" w:cs="Arial"/>
                <w:color w:val="000000"/>
                <w:lang w:eastAsia="en-GB"/>
              </w:rPr>
            </w:pPr>
            <w:r w:rsidRPr="00956CE7">
              <w:rPr>
                <w:rFonts w:ascii="Arial" w:eastAsia="Times New Roman" w:hAnsi="Arial" w:cs="Arial"/>
                <w:color w:val="000000"/>
                <w:lang w:eastAsia="en-GB"/>
              </w:rPr>
              <w:t>-</w:t>
            </w:r>
          </w:p>
        </w:tc>
        <w:tc>
          <w:tcPr>
            <w:tcW w:w="1391" w:type="dxa"/>
            <w:tcBorders>
              <w:top w:val="nil"/>
              <w:left w:val="nil"/>
              <w:bottom w:val="nil"/>
              <w:right w:val="nil"/>
            </w:tcBorders>
            <w:shd w:val="clear" w:color="000000" w:fill="FFFFFF"/>
            <w:vAlign w:val="center"/>
            <w:hideMark/>
          </w:tcPr>
          <w:p w14:paraId="450392D9" w14:textId="77777777" w:rsidR="0021298F" w:rsidRPr="00956CE7" w:rsidRDefault="0021298F" w:rsidP="00760009">
            <w:pPr>
              <w:jc w:val="right"/>
              <w:rPr>
                <w:rFonts w:ascii="Arial" w:eastAsia="Times New Roman" w:hAnsi="Arial" w:cs="Arial"/>
                <w:color w:val="000000"/>
                <w:lang w:eastAsia="en-GB"/>
              </w:rPr>
            </w:pPr>
            <w:r w:rsidRPr="00956CE7">
              <w:rPr>
                <w:rFonts w:ascii="Arial" w:eastAsia="Times New Roman" w:hAnsi="Arial" w:cs="Arial"/>
                <w:color w:val="000000"/>
                <w:lang w:eastAsia="en-GB"/>
              </w:rPr>
              <w:t>-</w:t>
            </w:r>
          </w:p>
        </w:tc>
      </w:tr>
      <w:tr w:rsidR="0021298F" w:rsidRPr="00956CE7" w14:paraId="4A4960B1" w14:textId="77777777" w:rsidTr="00760009">
        <w:trPr>
          <w:trHeight w:val="300"/>
        </w:trPr>
        <w:tc>
          <w:tcPr>
            <w:tcW w:w="2835" w:type="dxa"/>
            <w:tcBorders>
              <w:top w:val="nil"/>
              <w:left w:val="nil"/>
              <w:bottom w:val="nil"/>
              <w:right w:val="nil"/>
            </w:tcBorders>
            <w:shd w:val="clear" w:color="000000" w:fill="FFFFFF"/>
            <w:noWrap/>
            <w:vAlign w:val="center"/>
            <w:hideMark/>
          </w:tcPr>
          <w:p w14:paraId="784CD338" w14:textId="77777777" w:rsidR="0021298F" w:rsidRPr="00956CE7" w:rsidRDefault="0021298F" w:rsidP="00760009">
            <w:pPr>
              <w:jc w:val="both"/>
              <w:rPr>
                <w:rFonts w:ascii="Arial" w:eastAsia="Times New Roman" w:hAnsi="Arial" w:cs="Arial"/>
                <w:color w:val="000000"/>
                <w:lang w:eastAsia="en-GB"/>
              </w:rPr>
            </w:pPr>
            <w:r w:rsidRPr="00956CE7">
              <w:rPr>
                <w:rFonts w:ascii="Arial" w:eastAsia="Times New Roman" w:hAnsi="Arial" w:cs="Arial"/>
                <w:color w:val="000000"/>
                <w:lang w:eastAsia="en-GB"/>
              </w:rPr>
              <w:t>An Cnoc</w:t>
            </w:r>
          </w:p>
        </w:tc>
        <w:tc>
          <w:tcPr>
            <w:tcW w:w="1701" w:type="dxa"/>
            <w:tcBorders>
              <w:top w:val="nil"/>
              <w:left w:val="nil"/>
              <w:bottom w:val="nil"/>
              <w:right w:val="nil"/>
            </w:tcBorders>
            <w:shd w:val="clear" w:color="000000" w:fill="EDFFB7"/>
            <w:noWrap/>
            <w:vAlign w:val="center"/>
            <w:hideMark/>
          </w:tcPr>
          <w:p w14:paraId="365014FD" w14:textId="77777777" w:rsidR="0021298F" w:rsidRPr="00956CE7" w:rsidRDefault="0021298F" w:rsidP="00760009">
            <w:pPr>
              <w:jc w:val="right"/>
              <w:rPr>
                <w:rFonts w:ascii="Arial" w:eastAsia="Times New Roman" w:hAnsi="Arial" w:cs="Arial"/>
                <w:color w:val="000000"/>
                <w:lang w:eastAsia="en-GB"/>
              </w:rPr>
            </w:pPr>
            <w:r w:rsidRPr="00956CE7">
              <w:rPr>
                <w:rFonts w:ascii="Arial" w:eastAsia="Times New Roman" w:hAnsi="Arial" w:cs="Arial"/>
                <w:color w:val="000000"/>
                <w:lang w:eastAsia="en-GB"/>
              </w:rPr>
              <w:t xml:space="preserve">               112 </w:t>
            </w:r>
          </w:p>
        </w:tc>
        <w:tc>
          <w:tcPr>
            <w:tcW w:w="1391" w:type="dxa"/>
            <w:tcBorders>
              <w:top w:val="nil"/>
              <w:left w:val="nil"/>
              <w:bottom w:val="nil"/>
              <w:right w:val="nil"/>
            </w:tcBorders>
            <w:shd w:val="clear" w:color="000000" w:fill="EDFFB7"/>
            <w:noWrap/>
            <w:vAlign w:val="center"/>
            <w:hideMark/>
          </w:tcPr>
          <w:p w14:paraId="3941FB50" w14:textId="77777777" w:rsidR="0021298F" w:rsidRPr="00956CE7" w:rsidRDefault="0021298F" w:rsidP="00760009">
            <w:pPr>
              <w:jc w:val="right"/>
              <w:rPr>
                <w:rFonts w:ascii="Arial" w:eastAsia="Times New Roman" w:hAnsi="Arial" w:cs="Arial"/>
                <w:color w:val="000000"/>
                <w:lang w:eastAsia="en-GB"/>
              </w:rPr>
            </w:pPr>
            <w:r w:rsidRPr="00956CE7">
              <w:rPr>
                <w:rFonts w:ascii="Arial" w:eastAsia="Times New Roman" w:hAnsi="Arial" w:cs="Arial"/>
                <w:color w:val="000000"/>
                <w:lang w:eastAsia="en-GB"/>
              </w:rPr>
              <w:t xml:space="preserve"> - </w:t>
            </w:r>
          </w:p>
        </w:tc>
        <w:tc>
          <w:tcPr>
            <w:tcW w:w="1561" w:type="dxa"/>
            <w:tcBorders>
              <w:top w:val="nil"/>
              <w:left w:val="nil"/>
              <w:bottom w:val="nil"/>
              <w:right w:val="nil"/>
            </w:tcBorders>
            <w:shd w:val="clear" w:color="000000" w:fill="FFFFFF"/>
            <w:vAlign w:val="center"/>
            <w:hideMark/>
          </w:tcPr>
          <w:p w14:paraId="3352F7E4" w14:textId="77777777" w:rsidR="0021298F" w:rsidRPr="00956CE7" w:rsidRDefault="0021298F" w:rsidP="00760009">
            <w:pPr>
              <w:jc w:val="right"/>
              <w:rPr>
                <w:rFonts w:ascii="Arial" w:eastAsia="Times New Roman" w:hAnsi="Arial" w:cs="Arial"/>
                <w:color w:val="000000"/>
                <w:lang w:eastAsia="en-GB"/>
              </w:rPr>
            </w:pPr>
            <w:r w:rsidRPr="00956CE7">
              <w:rPr>
                <w:rFonts w:ascii="Arial" w:eastAsia="Times New Roman" w:hAnsi="Arial" w:cs="Arial"/>
                <w:color w:val="000000"/>
                <w:lang w:eastAsia="en-GB"/>
              </w:rPr>
              <w:t>-</w:t>
            </w:r>
          </w:p>
        </w:tc>
        <w:tc>
          <w:tcPr>
            <w:tcW w:w="1391" w:type="dxa"/>
            <w:tcBorders>
              <w:top w:val="nil"/>
              <w:left w:val="nil"/>
              <w:bottom w:val="nil"/>
              <w:right w:val="nil"/>
            </w:tcBorders>
            <w:shd w:val="clear" w:color="000000" w:fill="FFFFFF"/>
            <w:vAlign w:val="center"/>
            <w:hideMark/>
          </w:tcPr>
          <w:p w14:paraId="10FCB8C7" w14:textId="77777777" w:rsidR="0021298F" w:rsidRPr="00956CE7" w:rsidRDefault="0021298F" w:rsidP="00760009">
            <w:pPr>
              <w:jc w:val="right"/>
              <w:rPr>
                <w:rFonts w:ascii="Arial" w:eastAsia="Times New Roman" w:hAnsi="Arial" w:cs="Arial"/>
                <w:color w:val="000000"/>
                <w:lang w:eastAsia="en-GB"/>
              </w:rPr>
            </w:pPr>
            <w:r w:rsidRPr="00956CE7">
              <w:rPr>
                <w:rFonts w:ascii="Arial" w:eastAsia="Times New Roman" w:hAnsi="Arial" w:cs="Arial"/>
                <w:color w:val="000000"/>
                <w:lang w:eastAsia="en-GB"/>
              </w:rPr>
              <w:t>-</w:t>
            </w:r>
          </w:p>
        </w:tc>
      </w:tr>
      <w:tr w:rsidR="0021298F" w:rsidRPr="00956CE7" w14:paraId="6AF5F065" w14:textId="77777777" w:rsidTr="00760009">
        <w:trPr>
          <w:trHeight w:val="300"/>
        </w:trPr>
        <w:tc>
          <w:tcPr>
            <w:tcW w:w="2835" w:type="dxa"/>
            <w:tcBorders>
              <w:top w:val="nil"/>
              <w:left w:val="nil"/>
              <w:bottom w:val="nil"/>
              <w:right w:val="nil"/>
            </w:tcBorders>
            <w:shd w:val="clear" w:color="000000" w:fill="FFFFFF"/>
            <w:noWrap/>
            <w:vAlign w:val="center"/>
            <w:hideMark/>
          </w:tcPr>
          <w:p w14:paraId="7C0F3B31" w14:textId="77777777" w:rsidR="0021298F" w:rsidRPr="00956CE7" w:rsidRDefault="0021298F" w:rsidP="00760009">
            <w:pPr>
              <w:jc w:val="both"/>
              <w:rPr>
                <w:rFonts w:ascii="Arial" w:eastAsia="Times New Roman" w:hAnsi="Arial" w:cs="Arial"/>
                <w:color w:val="000000"/>
                <w:lang w:eastAsia="en-GB"/>
              </w:rPr>
            </w:pPr>
            <w:r w:rsidRPr="00956CE7">
              <w:rPr>
                <w:rFonts w:ascii="Arial" w:eastAsia="Times New Roman" w:hAnsi="Arial" w:cs="Arial"/>
                <w:color w:val="000000"/>
                <w:lang w:eastAsia="en-GB"/>
              </w:rPr>
              <w:t>Tullynamoyle II</w:t>
            </w:r>
          </w:p>
        </w:tc>
        <w:tc>
          <w:tcPr>
            <w:tcW w:w="1701" w:type="dxa"/>
            <w:tcBorders>
              <w:top w:val="nil"/>
              <w:left w:val="nil"/>
              <w:bottom w:val="nil"/>
              <w:right w:val="nil"/>
            </w:tcBorders>
            <w:shd w:val="clear" w:color="000000" w:fill="EDFFB7"/>
            <w:noWrap/>
            <w:vAlign w:val="center"/>
            <w:hideMark/>
          </w:tcPr>
          <w:p w14:paraId="6F5EBF48" w14:textId="77777777" w:rsidR="0021298F" w:rsidRPr="00956CE7" w:rsidRDefault="0021298F" w:rsidP="00760009">
            <w:pPr>
              <w:jc w:val="right"/>
              <w:rPr>
                <w:rFonts w:ascii="Arial" w:eastAsia="Times New Roman" w:hAnsi="Arial" w:cs="Arial"/>
                <w:color w:val="000000"/>
                <w:lang w:eastAsia="en-GB"/>
              </w:rPr>
            </w:pPr>
            <w:r w:rsidRPr="00956CE7">
              <w:rPr>
                <w:rFonts w:ascii="Arial" w:eastAsia="Times New Roman" w:hAnsi="Arial" w:cs="Arial"/>
                <w:color w:val="000000"/>
                <w:lang w:eastAsia="en-GB"/>
              </w:rPr>
              <w:t xml:space="preserve">               112 </w:t>
            </w:r>
          </w:p>
        </w:tc>
        <w:tc>
          <w:tcPr>
            <w:tcW w:w="1391" w:type="dxa"/>
            <w:tcBorders>
              <w:top w:val="nil"/>
              <w:left w:val="nil"/>
              <w:bottom w:val="nil"/>
              <w:right w:val="nil"/>
            </w:tcBorders>
            <w:shd w:val="clear" w:color="000000" w:fill="EDFFB7"/>
            <w:noWrap/>
            <w:vAlign w:val="center"/>
            <w:hideMark/>
          </w:tcPr>
          <w:p w14:paraId="20DD305C" w14:textId="77777777" w:rsidR="0021298F" w:rsidRPr="00956CE7" w:rsidRDefault="0021298F" w:rsidP="00760009">
            <w:pPr>
              <w:jc w:val="right"/>
              <w:rPr>
                <w:rFonts w:ascii="Arial" w:eastAsia="Times New Roman" w:hAnsi="Arial" w:cs="Arial"/>
                <w:color w:val="000000"/>
                <w:lang w:eastAsia="en-GB"/>
              </w:rPr>
            </w:pPr>
            <w:r w:rsidRPr="00956CE7">
              <w:rPr>
                <w:rFonts w:ascii="Arial" w:eastAsia="Times New Roman" w:hAnsi="Arial" w:cs="Arial"/>
                <w:color w:val="000000"/>
                <w:lang w:eastAsia="en-GB"/>
              </w:rPr>
              <w:t xml:space="preserve"> - </w:t>
            </w:r>
          </w:p>
        </w:tc>
        <w:tc>
          <w:tcPr>
            <w:tcW w:w="1561" w:type="dxa"/>
            <w:tcBorders>
              <w:top w:val="nil"/>
              <w:left w:val="nil"/>
              <w:bottom w:val="nil"/>
              <w:right w:val="nil"/>
            </w:tcBorders>
            <w:shd w:val="clear" w:color="000000" w:fill="FFFFFF"/>
            <w:vAlign w:val="center"/>
            <w:hideMark/>
          </w:tcPr>
          <w:p w14:paraId="6094EEFE" w14:textId="77777777" w:rsidR="0021298F" w:rsidRPr="00956CE7" w:rsidRDefault="0021298F" w:rsidP="00760009">
            <w:pPr>
              <w:jc w:val="right"/>
              <w:rPr>
                <w:rFonts w:ascii="Arial" w:eastAsia="Times New Roman" w:hAnsi="Arial" w:cs="Arial"/>
                <w:color w:val="000000"/>
                <w:lang w:eastAsia="en-GB"/>
              </w:rPr>
            </w:pPr>
            <w:r w:rsidRPr="00956CE7">
              <w:rPr>
                <w:rFonts w:ascii="Arial" w:eastAsia="Times New Roman" w:hAnsi="Arial" w:cs="Arial"/>
                <w:color w:val="000000"/>
                <w:lang w:eastAsia="en-GB"/>
              </w:rPr>
              <w:t>97</w:t>
            </w:r>
          </w:p>
        </w:tc>
        <w:tc>
          <w:tcPr>
            <w:tcW w:w="1391" w:type="dxa"/>
            <w:tcBorders>
              <w:top w:val="nil"/>
              <w:left w:val="nil"/>
              <w:bottom w:val="nil"/>
              <w:right w:val="nil"/>
            </w:tcBorders>
            <w:shd w:val="clear" w:color="000000" w:fill="FFFFFF"/>
            <w:vAlign w:val="center"/>
            <w:hideMark/>
          </w:tcPr>
          <w:p w14:paraId="4CA1819B" w14:textId="77777777" w:rsidR="0021298F" w:rsidRPr="00956CE7" w:rsidRDefault="0021298F" w:rsidP="00760009">
            <w:pPr>
              <w:jc w:val="right"/>
              <w:rPr>
                <w:rFonts w:ascii="Arial" w:eastAsia="Times New Roman" w:hAnsi="Arial" w:cs="Arial"/>
                <w:color w:val="000000"/>
                <w:lang w:eastAsia="en-GB"/>
              </w:rPr>
            </w:pPr>
            <w:r w:rsidRPr="00956CE7">
              <w:rPr>
                <w:rFonts w:ascii="Arial" w:eastAsia="Times New Roman" w:hAnsi="Arial" w:cs="Arial"/>
                <w:color w:val="000000"/>
                <w:lang w:eastAsia="en-GB"/>
              </w:rPr>
              <w:t>-</w:t>
            </w:r>
          </w:p>
        </w:tc>
      </w:tr>
      <w:tr w:rsidR="0021298F" w:rsidRPr="00956CE7" w14:paraId="3707036F" w14:textId="77777777" w:rsidTr="00760009">
        <w:trPr>
          <w:trHeight w:val="300"/>
        </w:trPr>
        <w:tc>
          <w:tcPr>
            <w:tcW w:w="2835" w:type="dxa"/>
            <w:tcBorders>
              <w:top w:val="nil"/>
              <w:left w:val="nil"/>
              <w:bottom w:val="single" w:sz="4" w:space="0" w:color="auto"/>
              <w:right w:val="nil"/>
            </w:tcBorders>
            <w:shd w:val="clear" w:color="000000" w:fill="FFFFFF"/>
            <w:noWrap/>
            <w:vAlign w:val="center"/>
            <w:hideMark/>
          </w:tcPr>
          <w:p w14:paraId="781451C4" w14:textId="77777777" w:rsidR="0021298F" w:rsidRPr="00956CE7" w:rsidRDefault="0021298F" w:rsidP="00760009">
            <w:pPr>
              <w:jc w:val="both"/>
              <w:rPr>
                <w:rFonts w:ascii="Arial" w:eastAsia="Times New Roman" w:hAnsi="Arial" w:cs="Arial"/>
                <w:color w:val="000000"/>
                <w:lang w:eastAsia="en-GB"/>
              </w:rPr>
            </w:pPr>
            <w:r w:rsidRPr="00956CE7">
              <w:rPr>
                <w:rFonts w:ascii="Arial" w:eastAsia="Times New Roman" w:hAnsi="Arial" w:cs="Arial"/>
                <w:color w:val="000000"/>
                <w:lang w:eastAsia="en-GB"/>
              </w:rPr>
              <w:t>Garranereagh</w:t>
            </w:r>
          </w:p>
        </w:tc>
        <w:tc>
          <w:tcPr>
            <w:tcW w:w="1701" w:type="dxa"/>
            <w:tcBorders>
              <w:top w:val="nil"/>
              <w:left w:val="nil"/>
              <w:bottom w:val="single" w:sz="4" w:space="0" w:color="auto"/>
              <w:right w:val="nil"/>
            </w:tcBorders>
            <w:shd w:val="clear" w:color="000000" w:fill="EDFFB7"/>
            <w:noWrap/>
            <w:vAlign w:val="center"/>
            <w:hideMark/>
          </w:tcPr>
          <w:p w14:paraId="3E91CECE" w14:textId="77777777" w:rsidR="0021298F" w:rsidRPr="00956CE7" w:rsidRDefault="0021298F" w:rsidP="00760009">
            <w:pPr>
              <w:jc w:val="right"/>
              <w:rPr>
                <w:rFonts w:ascii="Arial" w:eastAsia="Times New Roman" w:hAnsi="Arial" w:cs="Arial"/>
                <w:color w:val="000000"/>
                <w:lang w:eastAsia="en-GB"/>
              </w:rPr>
            </w:pPr>
            <w:r w:rsidRPr="00956CE7">
              <w:rPr>
                <w:rFonts w:ascii="Arial" w:eastAsia="Times New Roman" w:hAnsi="Arial" w:cs="Arial"/>
                <w:color w:val="000000"/>
                <w:lang w:eastAsia="en-GB"/>
              </w:rPr>
              <w:t xml:space="preserve">                 90 </w:t>
            </w:r>
          </w:p>
        </w:tc>
        <w:tc>
          <w:tcPr>
            <w:tcW w:w="1391" w:type="dxa"/>
            <w:tcBorders>
              <w:top w:val="nil"/>
              <w:left w:val="nil"/>
              <w:bottom w:val="single" w:sz="4" w:space="0" w:color="auto"/>
              <w:right w:val="nil"/>
            </w:tcBorders>
            <w:shd w:val="clear" w:color="000000" w:fill="EDFFB7"/>
            <w:noWrap/>
            <w:vAlign w:val="center"/>
            <w:hideMark/>
          </w:tcPr>
          <w:p w14:paraId="7AB77F63" w14:textId="77777777" w:rsidR="0021298F" w:rsidRPr="00956CE7" w:rsidRDefault="0021298F" w:rsidP="00760009">
            <w:pPr>
              <w:jc w:val="right"/>
              <w:rPr>
                <w:rFonts w:ascii="Arial" w:eastAsia="Times New Roman" w:hAnsi="Arial" w:cs="Arial"/>
                <w:color w:val="000000"/>
                <w:lang w:eastAsia="en-GB"/>
              </w:rPr>
            </w:pPr>
            <w:r w:rsidRPr="00956CE7">
              <w:rPr>
                <w:rFonts w:ascii="Arial" w:eastAsia="Times New Roman" w:hAnsi="Arial" w:cs="Arial"/>
                <w:color w:val="000000"/>
                <w:lang w:eastAsia="en-GB"/>
              </w:rPr>
              <w:t xml:space="preserve"> - </w:t>
            </w:r>
          </w:p>
        </w:tc>
        <w:tc>
          <w:tcPr>
            <w:tcW w:w="1561" w:type="dxa"/>
            <w:tcBorders>
              <w:top w:val="nil"/>
              <w:left w:val="nil"/>
              <w:bottom w:val="single" w:sz="4" w:space="0" w:color="auto"/>
              <w:right w:val="nil"/>
            </w:tcBorders>
            <w:shd w:val="clear" w:color="000000" w:fill="FFFFFF"/>
            <w:vAlign w:val="center"/>
            <w:hideMark/>
          </w:tcPr>
          <w:p w14:paraId="6C9EEEE6" w14:textId="77777777" w:rsidR="0021298F" w:rsidRPr="00956CE7" w:rsidRDefault="0021298F" w:rsidP="00760009">
            <w:pPr>
              <w:jc w:val="right"/>
              <w:rPr>
                <w:rFonts w:ascii="Arial" w:eastAsia="Times New Roman" w:hAnsi="Arial" w:cs="Arial"/>
                <w:color w:val="000000"/>
                <w:lang w:eastAsia="en-GB"/>
              </w:rPr>
            </w:pPr>
            <w:r w:rsidRPr="00956CE7">
              <w:rPr>
                <w:rFonts w:ascii="Arial" w:eastAsia="Times New Roman" w:hAnsi="Arial" w:cs="Arial"/>
                <w:color w:val="000000"/>
                <w:lang w:eastAsia="en-GB"/>
              </w:rPr>
              <w:t>78</w:t>
            </w:r>
          </w:p>
        </w:tc>
        <w:tc>
          <w:tcPr>
            <w:tcW w:w="1391" w:type="dxa"/>
            <w:tcBorders>
              <w:top w:val="nil"/>
              <w:left w:val="nil"/>
              <w:bottom w:val="single" w:sz="4" w:space="0" w:color="auto"/>
              <w:right w:val="nil"/>
            </w:tcBorders>
            <w:shd w:val="clear" w:color="000000" w:fill="FFFFFF"/>
            <w:vAlign w:val="center"/>
            <w:hideMark/>
          </w:tcPr>
          <w:p w14:paraId="283FEA2A" w14:textId="77777777" w:rsidR="0021298F" w:rsidRPr="00956CE7" w:rsidRDefault="0021298F" w:rsidP="00760009">
            <w:pPr>
              <w:jc w:val="right"/>
              <w:rPr>
                <w:rFonts w:ascii="Arial" w:eastAsia="Times New Roman" w:hAnsi="Arial" w:cs="Arial"/>
                <w:color w:val="000000"/>
                <w:lang w:eastAsia="en-GB"/>
              </w:rPr>
            </w:pPr>
            <w:r w:rsidRPr="00956CE7">
              <w:rPr>
                <w:rFonts w:ascii="Arial" w:eastAsia="Times New Roman" w:hAnsi="Arial" w:cs="Arial"/>
                <w:color w:val="000000"/>
                <w:lang w:eastAsia="en-GB"/>
              </w:rPr>
              <w:t>-</w:t>
            </w:r>
          </w:p>
        </w:tc>
      </w:tr>
      <w:tr w:rsidR="0021298F" w:rsidRPr="00956CE7" w14:paraId="3CB1E02A" w14:textId="77777777" w:rsidTr="00760009">
        <w:trPr>
          <w:trHeight w:val="315"/>
        </w:trPr>
        <w:tc>
          <w:tcPr>
            <w:tcW w:w="2835" w:type="dxa"/>
            <w:tcBorders>
              <w:top w:val="nil"/>
              <w:left w:val="nil"/>
              <w:bottom w:val="single" w:sz="8" w:space="0" w:color="auto"/>
              <w:right w:val="nil"/>
            </w:tcBorders>
            <w:shd w:val="clear" w:color="000000" w:fill="FFFFFF"/>
            <w:noWrap/>
            <w:vAlign w:val="center"/>
            <w:hideMark/>
          </w:tcPr>
          <w:p w14:paraId="231B7951" w14:textId="77777777" w:rsidR="0021298F" w:rsidRPr="00956CE7" w:rsidRDefault="0021298F" w:rsidP="00760009">
            <w:pPr>
              <w:jc w:val="both"/>
              <w:rPr>
                <w:rFonts w:ascii="Arial" w:eastAsia="Times New Roman" w:hAnsi="Arial" w:cs="Arial"/>
                <w:color w:val="000000"/>
                <w:lang w:eastAsia="en-GB"/>
              </w:rPr>
            </w:pPr>
            <w:r w:rsidRPr="00956CE7">
              <w:rPr>
                <w:rFonts w:ascii="Arial" w:eastAsia="Times New Roman" w:hAnsi="Arial" w:cs="Arial"/>
                <w:color w:val="000000"/>
                <w:lang w:eastAsia="en-GB"/>
              </w:rPr>
              <w:t> </w:t>
            </w:r>
          </w:p>
        </w:tc>
        <w:tc>
          <w:tcPr>
            <w:tcW w:w="1701" w:type="dxa"/>
            <w:tcBorders>
              <w:top w:val="nil"/>
              <w:left w:val="nil"/>
              <w:bottom w:val="single" w:sz="8" w:space="0" w:color="auto"/>
              <w:right w:val="nil"/>
            </w:tcBorders>
            <w:shd w:val="clear" w:color="000000" w:fill="EDFFB7"/>
            <w:noWrap/>
            <w:vAlign w:val="center"/>
            <w:hideMark/>
          </w:tcPr>
          <w:p w14:paraId="7009D08B" w14:textId="77777777" w:rsidR="0021298F" w:rsidRPr="00956CE7" w:rsidRDefault="0021298F" w:rsidP="00760009">
            <w:pPr>
              <w:jc w:val="right"/>
              <w:rPr>
                <w:rFonts w:ascii="Arial" w:eastAsia="Times New Roman" w:hAnsi="Arial" w:cs="Arial"/>
                <w:b/>
                <w:bCs/>
                <w:color w:val="000000"/>
                <w:lang w:eastAsia="en-GB"/>
              </w:rPr>
            </w:pPr>
            <w:r w:rsidRPr="00956CE7">
              <w:rPr>
                <w:rFonts w:ascii="Arial" w:eastAsia="Times New Roman" w:hAnsi="Arial" w:cs="Arial"/>
                <w:b/>
                <w:bCs/>
                <w:color w:val="000000"/>
                <w:lang w:eastAsia="en-GB"/>
              </w:rPr>
              <w:t>3,779</w:t>
            </w:r>
          </w:p>
        </w:tc>
        <w:tc>
          <w:tcPr>
            <w:tcW w:w="1391" w:type="dxa"/>
            <w:tcBorders>
              <w:top w:val="nil"/>
              <w:left w:val="nil"/>
              <w:bottom w:val="single" w:sz="8" w:space="0" w:color="auto"/>
              <w:right w:val="nil"/>
            </w:tcBorders>
            <w:shd w:val="clear" w:color="000000" w:fill="EDFFB7"/>
            <w:noWrap/>
            <w:vAlign w:val="center"/>
            <w:hideMark/>
          </w:tcPr>
          <w:p w14:paraId="43926692" w14:textId="77777777" w:rsidR="0021298F" w:rsidRPr="00956CE7" w:rsidRDefault="0021298F" w:rsidP="00760009">
            <w:pPr>
              <w:jc w:val="right"/>
              <w:rPr>
                <w:rFonts w:ascii="Arial" w:eastAsia="Times New Roman" w:hAnsi="Arial" w:cs="Arial"/>
                <w:b/>
                <w:bCs/>
                <w:color w:val="000000"/>
                <w:lang w:eastAsia="en-GB"/>
              </w:rPr>
            </w:pPr>
            <w:r w:rsidRPr="00956CE7">
              <w:rPr>
                <w:rFonts w:ascii="Arial" w:eastAsia="Times New Roman" w:hAnsi="Arial" w:cs="Arial"/>
                <w:b/>
                <w:bCs/>
                <w:color w:val="000000"/>
                <w:lang w:eastAsia="en-GB"/>
              </w:rPr>
              <w:t>15,311</w:t>
            </w:r>
          </w:p>
        </w:tc>
        <w:tc>
          <w:tcPr>
            <w:tcW w:w="1561" w:type="dxa"/>
            <w:tcBorders>
              <w:top w:val="nil"/>
              <w:left w:val="nil"/>
              <w:bottom w:val="single" w:sz="8" w:space="0" w:color="auto"/>
              <w:right w:val="nil"/>
            </w:tcBorders>
            <w:shd w:val="clear" w:color="000000" w:fill="FFFFFF"/>
            <w:vAlign w:val="center"/>
            <w:hideMark/>
          </w:tcPr>
          <w:p w14:paraId="6275D577" w14:textId="77777777" w:rsidR="0021298F" w:rsidRPr="00956CE7" w:rsidRDefault="0021298F" w:rsidP="00760009">
            <w:pPr>
              <w:jc w:val="right"/>
              <w:rPr>
                <w:rFonts w:ascii="Arial" w:eastAsia="Times New Roman" w:hAnsi="Arial" w:cs="Arial"/>
                <w:b/>
                <w:bCs/>
                <w:color w:val="000000"/>
                <w:lang w:eastAsia="en-GB"/>
              </w:rPr>
            </w:pPr>
            <w:r w:rsidRPr="00956CE7">
              <w:rPr>
                <w:rFonts w:ascii="Arial" w:eastAsia="Times New Roman" w:hAnsi="Arial" w:cs="Arial"/>
                <w:b/>
                <w:bCs/>
                <w:color w:val="000000"/>
                <w:lang w:eastAsia="en-GB"/>
              </w:rPr>
              <w:t>3,015</w:t>
            </w:r>
          </w:p>
        </w:tc>
        <w:tc>
          <w:tcPr>
            <w:tcW w:w="1391" w:type="dxa"/>
            <w:tcBorders>
              <w:top w:val="nil"/>
              <w:left w:val="nil"/>
              <w:bottom w:val="single" w:sz="8" w:space="0" w:color="auto"/>
              <w:right w:val="nil"/>
            </w:tcBorders>
            <w:shd w:val="clear" w:color="000000" w:fill="FFFFFF"/>
            <w:vAlign w:val="center"/>
            <w:hideMark/>
          </w:tcPr>
          <w:p w14:paraId="5D8B1BAF" w14:textId="77777777" w:rsidR="0021298F" w:rsidRPr="00956CE7" w:rsidRDefault="0021298F" w:rsidP="00760009">
            <w:pPr>
              <w:jc w:val="right"/>
              <w:rPr>
                <w:rFonts w:ascii="Arial" w:eastAsia="Times New Roman" w:hAnsi="Arial" w:cs="Arial"/>
                <w:b/>
                <w:bCs/>
                <w:color w:val="000000"/>
                <w:lang w:eastAsia="en-GB"/>
              </w:rPr>
            </w:pPr>
            <w:r w:rsidRPr="00956CE7">
              <w:rPr>
                <w:rFonts w:ascii="Arial" w:eastAsia="Times New Roman" w:hAnsi="Arial" w:cs="Arial"/>
                <w:b/>
                <w:bCs/>
                <w:color w:val="000000"/>
                <w:lang w:eastAsia="en-GB"/>
              </w:rPr>
              <w:t>3,950</w:t>
            </w:r>
          </w:p>
        </w:tc>
      </w:tr>
    </w:tbl>
    <w:p w14:paraId="0EF19210" w14:textId="77777777" w:rsidR="0021298F" w:rsidRDefault="0021298F" w:rsidP="0021298F">
      <w:pPr>
        <w:jc w:val="both"/>
        <w:rPr>
          <w:rFonts w:ascii="Arial" w:eastAsia="Times New Roman" w:hAnsi="Arial" w:cs="Arial"/>
          <w:lang w:eastAsia="en-GB"/>
        </w:rPr>
      </w:pPr>
    </w:p>
    <w:p w14:paraId="647D2B61" w14:textId="77777777" w:rsidR="0021298F" w:rsidRDefault="0021298F" w:rsidP="0021298F">
      <w:pPr>
        <w:jc w:val="both"/>
        <w:rPr>
          <w:rFonts w:ascii="Arial" w:eastAsia="Times New Roman" w:hAnsi="Arial" w:cs="Arial"/>
          <w:lang w:eastAsia="en-GB"/>
        </w:rPr>
      </w:pPr>
      <w:r>
        <w:rPr>
          <w:rFonts w:ascii="Arial" w:eastAsia="Times New Roman" w:hAnsi="Arial" w:cs="Arial"/>
          <w:lang w:eastAsia="en-GB"/>
        </w:rPr>
        <w:t>The table below shows the Group’s shareholder loans with the wind farm investments</w:t>
      </w:r>
    </w:p>
    <w:tbl>
      <w:tblPr>
        <w:tblW w:w="11247" w:type="dxa"/>
        <w:tblInd w:w="-993" w:type="dxa"/>
        <w:tblLook w:val="04A0" w:firstRow="1" w:lastRow="0" w:firstColumn="1" w:lastColumn="0" w:noHBand="0" w:noVBand="1"/>
      </w:tblPr>
      <w:tblGrid>
        <w:gridCol w:w="1606"/>
        <w:gridCol w:w="1036"/>
        <w:gridCol w:w="1139"/>
        <w:gridCol w:w="1250"/>
        <w:gridCol w:w="1339"/>
        <w:gridCol w:w="1184"/>
        <w:gridCol w:w="1275"/>
        <w:gridCol w:w="1057"/>
        <w:gridCol w:w="1361"/>
      </w:tblGrid>
      <w:tr w:rsidR="0021298F" w:rsidRPr="00956CE7" w14:paraId="32F1D536" w14:textId="77777777" w:rsidTr="00760009">
        <w:trPr>
          <w:trHeight w:val="1485"/>
        </w:trPr>
        <w:tc>
          <w:tcPr>
            <w:tcW w:w="1606" w:type="dxa"/>
            <w:tcBorders>
              <w:top w:val="nil"/>
              <w:left w:val="nil"/>
              <w:bottom w:val="nil"/>
              <w:right w:val="nil"/>
            </w:tcBorders>
            <w:shd w:val="clear" w:color="000000" w:fill="FFFFFF"/>
            <w:hideMark/>
          </w:tcPr>
          <w:p w14:paraId="30F61197" w14:textId="77777777" w:rsidR="0021298F" w:rsidRPr="00956CE7" w:rsidRDefault="0021298F" w:rsidP="00760009">
            <w:pPr>
              <w:rPr>
                <w:rFonts w:ascii="Arial" w:eastAsia="Times New Roman" w:hAnsi="Arial" w:cs="Arial"/>
                <w:color w:val="000000"/>
                <w:sz w:val="20"/>
                <w:szCs w:val="20"/>
                <w:lang w:eastAsia="en-GB"/>
              </w:rPr>
            </w:pPr>
            <w:r w:rsidRPr="00956CE7">
              <w:rPr>
                <w:rFonts w:ascii="Arial" w:eastAsia="Times New Roman" w:hAnsi="Arial" w:cs="Arial"/>
                <w:color w:val="000000"/>
                <w:sz w:val="20"/>
                <w:szCs w:val="20"/>
                <w:lang w:eastAsia="en-GB"/>
              </w:rPr>
              <w:t> </w:t>
            </w:r>
          </w:p>
        </w:tc>
        <w:tc>
          <w:tcPr>
            <w:tcW w:w="1036" w:type="dxa"/>
            <w:tcBorders>
              <w:top w:val="nil"/>
              <w:left w:val="nil"/>
              <w:bottom w:val="nil"/>
              <w:right w:val="nil"/>
            </w:tcBorders>
            <w:shd w:val="clear" w:color="000000" w:fill="FFFFFF"/>
            <w:vAlign w:val="bottom"/>
            <w:hideMark/>
          </w:tcPr>
          <w:p w14:paraId="6B0D902A" w14:textId="77777777" w:rsidR="0021298F" w:rsidRPr="00956CE7" w:rsidRDefault="0021298F" w:rsidP="00760009">
            <w:pPr>
              <w:jc w:val="right"/>
              <w:rPr>
                <w:rFonts w:ascii="Arial" w:eastAsia="Times New Roman" w:hAnsi="Arial" w:cs="Arial"/>
                <w:b/>
                <w:bCs/>
                <w:color w:val="000000"/>
                <w:sz w:val="20"/>
                <w:szCs w:val="20"/>
                <w:lang w:eastAsia="en-GB"/>
              </w:rPr>
            </w:pPr>
            <w:r w:rsidRPr="00956CE7">
              <w:rPr>
                <w:rFonts w:ascii="Arial" w:eastAsia="Times New Roman" w:hAnsi="Arial" w:cs="Arial"/>
                <w:b/>
                <w:bCs/>
                <w:color w:val="000000"/>
                <w:sz w:val="20"/>
                <w:szCs w:val="20"/>
                <w:lang w:eastAsia="en-GB"/>
              </w:rPr>
              <w:t xml:space="preserve">Loans at 1 January 2020 </w:t>
            </w:r>
            <w:r w:rsidRPr="00956CE7">
              <w:rPr>
                <w:rFonts w:ascii="Arial" w:eastAsia="Times New Roman" w:hAnsi="Arial" w:cs="Arial"/>
                <w:b/>
                <w:bCs/>
                <w:color w:val="000000"/>
                <w:sz w:val="20"/>
                <w:szCs w:val="20"/>
                <w:vertAlign w:val="superscript"/>
                <w:lang w:eastAsia="en-GB"/>
              </w:rPr>
              <w:t>(1)</w:t>
            </w:r>
            <w:r w:rsidRPr="00956CE7">
              <w:rPr>
                <w:rFonts w:ascii="Arial" w:eastAsia="Times New Roman" w:hAnsi="Arial" w:cs="Arial"/>
                <w:b/>
                <w:bCs/>
                <w:color w:val="000000"/>
                <w:sz w:val="20"/>
                <w:szCs w:val="20"/>
                <w:lang w:eastAsia="en-GB"/>
              </w:rPr>
              <w:t xml:space="preserve"> </w:t>
            </w:r>
          </w:p>
        </w:tc>
        <w:tc>
          <w:tcPr>
            <w:tcW w:w="1139" w:type="dxa"/>
            <w:tcBorders>
              <w:top w:val="nil"/>
              <w:left w:val="nil"/>
              <w:bottom w:val="nil"/>
              <w:right w:val="nil"/>
            </w:tcBorders>
            <w:shd w:val="clear" w:color="000000" w:fill="FFFFFF"/>
            <w:vAlign w:val="bottom"/>
            <w:hideMark/>
          </w:tcPr>
          <w:p w14:paraId="026091F3" w14:textId="77777777" w:rsidR="0021298F" w:rsidRPr="00956CE7" w:rsidRDefault="0021298F" w:rsidP="00760009">
            <w:pPr>
              <w:jc w:val="right"/>
              <w:rPr>
                <w:rFonts w:ascii="Arial" w:eastAsia="Times New Roman" w:hAnsi="Arial" w:cs="Arial"/>
                <w:b/>
                <w:bCs/>
                <w:color w:val="000000"/>
                <w:sz w:val="20"/>
                <w:szCs w:val="20"/>
                <w:lang w:eastAsia="en-GB"/>
              </w:rPr>
            </w:pPr>
            <w:r w:rsidRPr="00956CE7">
              <w:rPr>
                <w:rFonts w:ascii="Arial" w:eastAsia="Times New Roman" w:hAnsi="Arial" w:cs="Arial"/>
                <w:b/>
                <w:bCs/>
                <w:color w:val="000000"/>
                <w:sz w:val="20"/>
                <w:szCs w:val="20"/>
                <w:lang w:eastAsia="en-GB"/>
              </w:rPr>
              <w:t>Loans advanced in the year</w:t>
            </w:r>
          </w:p>
        </w:tc>
        <w:tc>
          <w:tcPr>
            <w:tcW w:w="1250" w:type="dxa"/>
            <w:tcBorders>
              <w:top w:val="nil"/>
              <w:left w:val="nil"/>
              <w:bottom w:val="nil"/>
              <w:right w:val="nil"/>
            </w:tcBorders>
            <w:shd w:val="clear" w:color="000000" w:fill="FFFFFF"/>
            <w:vAlign w:val="bottom"/>
            <w:hideMark/>
          </w:tcPr>
          <w:p w14:paraId="4DCBBFF7" w14:textId="77777777" w:rsidR="0021298F" w:rsidRPr="00956CE7" w:rsidRDefault="0021298F" w:rsidP="00760009">
            <w:pPr>
              <w:jc w:val="right"/>
              <w:rPr>
                <w:rFonts w:ascii="Arial" w:eastAsia="Times New Roman" w:hAnsi="Arial" w:cs="Arial"/>
                <w:b/>
                <w:bCs/>
                <w:color w:val="000000"/>
                <w:sz w:val="20"/>
                <w:szCs w:val="20"/>
                <w:lang w:eastAsia="en-GB"/>
              </w:rPr>
            </w:pPr>
            <w:r w:rsidRPr="00956CE7">
              <w:rPr>
                <w:rFonts w:ascii="Arial" w:eastAsia="Times New Roman" w:hAnsi="Arial" w:cs="Arial"/>
                <w:b/>
                <w:bCs/>
                <w:color w:val="000000"/>
                <w:sz w:val="20"/>
                <w:szCs w:val="20"/>
                <w:lang w:eastAsia="en-GB"/>
              </w:rPr>
              <w:t>Loan interest capitalised</w:t>
            </w:r>
          </w:p>
        </w:tc>
        <w:tc>
          <w:tcPr>
            <w:tcW w:w="1339" w:type="dxa"/>
            <w:tcBorders>
              <w:top w:val="nil"/>
              <w:left w:val="nil"/>
              <w:bottom w:val="nil"/>
              <w:right w:val="nil"/>
            </w:tcBorders>
            <w:shd w:val="clear" w:color="000000" w:fill="FFFFFF"/>
            <w:vAlign w:val="bottom"/>
            <w:hideMark/>
          </w:tcPr>
          <w:p w14:paraId="1C90326A" w14:textId="77777777" w:rsidR="0021298F" w:rsidRPr="00956CE7" w:rsidRDefault="0021298F" w:rsidP="00760009">
            <w:pPr>
              <w:jc w:val="right"/>
              <w:rPr>
                <w:rFonts w:ascii="Arial" w:eastAsia="Times New Roman" w:hAnsi="Arial" w:cs="Arial"/>
                <w:b/>
                <w:bCs/>
                <w:color w:val="000000"/>
                <w:sz w:val="20"/>
                <w:szCs w:val="20"/>
                <w:lang w:eastAsia="en-GB"/>
              </w:rPr>
            </w:pPr>
            <w:r w:rsidRPr="00956CE7">
              <w:rPr>
                <w:rFonts w:ascii="Arial" w:eastAsia="Times New Roman" w:hAnsi="Arial" w:cs="Arial"/>
                <w:b/>
                <w:bCs/>
                <w:color w:val="000000"/>
                <w:sz w:val="20"/>
                <w:szCs w:val="20"/>
                <w:lang w:eastAsia="en-GB"/>
              </w:rPr>
              <w:t>Loan repayments</w:t>
            </w:r>
          </w:p>
        </w:tc>
        <w:tc>
          <w:tcPr>
            <w:tcW w:w="1184" w:type="dxa"/>
            <w:tcBorders>
              <w:top w:val="nil"/>
              <w:left w:val="nil"/>
              <w:bottom w:val="nil"/>
              <w:right w:val="nil"/>
            </w:tcBorders>
            <w:shd w:val="clear" w:color="000000" w:fill="FFFFFF"/>
            <w:vAlign w:val="bottom"/>
            <w:hideMark/>
          </w:tcPr>
          <w:p w14:paraId="62EAC228" w14:textId="77777777" w:rsidR="0021298F" w:rsidRPr="00956CE7" w:rsidRDefault="0021298F" w:rsidP="00760009">
            <w:pPr>
              <w:jc w:val="right"/>
              <w:rPr>
                <w:rFonts w:ascii="Arial" w:eastAsia="Times New Roman" w:hAnsi="Arial" w:cs="Arial"/>
                <w:b/>
                <w:bCs/>
                <w:color w:val="000000"/>
                <w:sz w:val="20"/>
                <w:szCs w:val="20"/>
                <w:lang w:eastAsia="en-GB"/>
              </w:rPr>
            </w:pPr>
            <w:r w:rsidRPr="00956CE7">
              <w:rPr>
                <w:rFonts w:ascii="Arial" w:eastAsia="Times New Roman" w:hAnsi="Arial" w:cs="Arial"/>
                <w:b/>
                <w:bCs/>
                <w:color w:val="000000"/>
                <w:sz w:val="20"/>
                <w:szCs w:val="20"/>
                <w:lang w:eastAsia="en-GB"/>
              </w:rPr>
              <w:t>Loans at 31 December 2020</w:t>
            </w:r>
          </w:p>
        </w:tc>
        <w:tc>
          <w:tcPr>
            <w:tcW w:w="1275" w:type="dxa"/>
            <w:tcBorders>
              <w:top w:val="nil"/>
              <w:left w:val="nil"/>
              <w:bottom w:val="nil"/>
              <w:right w:val="nil"/>
            </w:tcBorders>
            <w:shd w:val="clear" w:color="000000" w:fill="FFFFFF"/>
            <w:vAlign w:val="bottom"/>
            <w:hideMark/>
          </w:tcPr>
          <w:p w14:paraId="63275477" w14:textId="77777777" w:rsidR="0021298F" w:rsidRPr="00956CE7" w:rsidRDefault="0021298F" w:rsidP="00760009">
            <w:pPr>
              <w:jc w:val="right"/>
              <w:rPr>
                <w:rFonts w:ascii="Arial" w:eastAsia="Times New Roman" w:hAnsi="Arial" w:cs="Arial"/>
                <w:b/>
                <w:bCs/>
                <w:color w:val="000000"/>
                <w:sz w:val="20"/>
                <w:szCs w:val="20"/>
                <w:lang w:eastAsia="en-GB"/>
              </w:rPr>
            </w:pPr>
            <w:r w:rsidRPr="00956CE7">
              <w:rPr>
                <w:rFonts w:ascii="Arial" w:eastAsia="Times New Roman" w:hAnsi="Arial" w:cs="Arial"/>
                <w:b/>
                <w:bCs/>
                <w:color w:val="000000"/>
                <w:sz w:val="20"/>
                <w:szCs w:val="20"/>
                <w:lang w:eastAsia="en-GB"/>
              </w:rPr>
              <w:t>Accrued interest at 31 December 2020</w:t>
            </w:r>
          </w:p>
        </w:tc>
        <w:tc>
          <w:tcPr>
            <w:tcW w:w="1057" w:type="dxa"/>
            <w:tcBorders>
              <w:top w:val="nil"/>
              <w:left w:val="nil"/>
              <w:bottom w:val="nil"/>
              <w:right w:val="nil"/>
            </w:tcBorders>
            <w:shd w:val="clear" w:color="000000" w:fill="FFFFFF"/>
            <w:vAlign w:val="bottom"/>
            <w:hideMark/>
          </w:tcPr>
          <w:p w14:paraId="76E0548F" w14:textId="77777777" w:rsidR="0021298F" w:rsidRPr="00956CE7" w:rsidRDefault="0021298F" w:rsidP="00760009">
            <w:pPr>
              <w:jc w:val="right"/>
              <w:rPr>
                <w:rFonts w:ascii="Arial" w:eastAsia="Times New Roman" w:hAnsi="Arial" w:cs="Arial"/>
                <w:b/>
                <w:bCs/>
                <w:color w:val="000000"/>
                <w:sz w:val="20"/>
                <w:szCs w:val="20"/>
                <w:lang w:eastAsia="en-GB"/>
              </w:rPr>
            </w:pPr>
            <w:r w:rsidRPr="00956CE7">
              <w:rPr>
                <w:rFonts w:ascii="Arial" w:eastAsia="Times New Roman" w:hAnsi="Arial" w:cs="Arial"/>
                <w:b/>
                <w:bCs/>
                <w:color w:val="000000"/>
                <w:sz w:val="20"/>
                <w:szCs w:val="20"/>
                <w:lang w:eastAsia="en-GB"/>
              </w:rPr>
              <w:t>Total</w:t>
            </w:r>
          </w:p>
        </w:tc>
        <w:tc>
          <w:tcPr>
            <w:tcW w:w="1361" w:type="dxa"/>
            <w:tcBorders>
              <w:top w:val="nil"/>
              <w:left w:val="nil"/>
              <w:bottom w:val="nil"/>
              <w:right w:val="nil"/>
            </w:tcBorders>
            <w:shd w:val="clear" w:color="000000" w:fill="FFFFFF"/>
            <w:vAlign w:val="bottom"/>
            <w:hideMark/>
          </w:tcPr>
          <w:p w14:paraId="1718F168" w14:textId="77777777" w:rsidR="0021298F" w:rsidRPr="00956CE7" w:rsidRDefault="0021298F" w:rsidP="00760009">
            <w:pPr>
              <w:jc w:val="right"/>
              <w:rPr>
                <w:rFonts w:ascii="Arial" w:eastAsia="Times New Roman" w:hAnsi="Arial" w:cs="Arial"/>
                <w:b/>
                <w:bCs/>
                <w:color w:val="000000"/>
                <w:sz w:val="20"/>
                <w:szCs w:val="20"/>
                <w:lang w:eastAsia="en-GB"/>
              </w:rPr>
            </w:pPr>
            <w:r w:rsidRPr="00956CE7">
              <w:rPr>
                <w:rFonts w:ascii="Arial" w:eastAsia="Times New Roman" w:hAnsi="Arial" w:cs="Arial"/>
                <w:b/>
                <w:bCs/>
                <w:color w:val="000000"/>
                <w:sz w:val="20"/>
                <w:szCs w:val="20"/>
                <w:lang w:eastAsia="en-GB"/>
              </w:rPr>
              <w:t xml:space="preserve">2020 interest on shareholder loan investment </w:t>
            </w:r>
          </w:p>
        </w:tc>
      </w:tr>
      <w:tr w:rsidR="0021298F" w:rsidRPr="00956CE7" w14:paraId="0219F72E" w14:textId="77777777" w:rsidTr="00760009">
        <w:trPr>
          <w:trHeight w:val="315"/>
        </w:trPr>
        <w:tc>
          <w:tcPr>
            <w:tcW w:w="1606" w:type="dxa"/>
            <w:tcBorders>
              <w:top w:val="nil"/>
              <w:left w:val="nil"/>
              <w:bottom w:val="single" w:sz="8" w:space="0" w:color="auto"/>
              <w:right w:val="nil"/>
            </w:tcBorders>
            <w:shd w:val="clear" w:color="000000" w:fill="FFFFFF"/>
            <w:noWrap/>
            <w:vAlign w:val="center"/>
            <w:hideMark/>
          </w:tcPr>
          <w:p w14:paraId="028D3577" w14:textId="77777777" w:rsidR="0021298F" w:rsidRPr="00956CE7" w:rsidRDefault="0021298F" w:rsidP="00760009">
            <w:pPr>
              <w:rPr>
                <w:rFonts w:ascii="Arial" w:eastAsia="Times New Roman" w:hAnsi="Arial" w:cs="Arial"/>
                <w:color w:val="000000"/>
                <w:sz w:val="20"/>
                <w:szCs w:val="20"/>
                <w:lang w:eastAsia="en-GB"/>
              </w:rPr>
            </w:pPr>
            <w:r w:rsidRPr="00956CE7">
              <w:rPr>
                <w:rFonts w:ascii="Arial" w:eastAsia="Times New Roman" w:hAnsi="Arial" w:cs="Arial"/>
                <w:color w:val="000000"/>
                <w:sz w:val="20"/>
                <w:szCs w:val="20"/>
                <w:lang w:eastAsia="en-GB"/>
              </w:rPr>
              <w:t> </w:t>
            </w:r>
          </w:p>
        </w:tc>
        <w:tc>
          <w:tcPr>
            <w:tcW w:w="1036" w:type="dxa"/>
            <w:tcBorders>
              <w:top w:val="nil"/>
              <w:left w:val="nil"/>
              <w:bottom w:val="single" w:sz="8" w:space="0" w:color="auto"/>
              <w:right w:val="nil"/>
            </w:tcBorders>
            <w:shd w:val="clear" w:color="000000" w:fill="EDFFB7"/>
            <w:noWrap/>
            <w:vAlign w:val="center"/>
            <w:hideMark/>
          </w:tcPr>
          <w:p w14:paraId="7E48B639" w14:textId="77777777" w:rsidR="0021298F" w:rsidRPr="00956CE7" w:rsidRDefault="0021298F" w:rsidP="00760009">
            <w:pPr>
              <w:jc w:val="right"/>
              <w:rPr>
                <w:rFonts w:ascii="Arial" w:eastAsia="Times New Roman" w:hAnsi="Arial" w:cs="Arial"/>
                <w:b/>
                <w:bCs/>
                <w:color w:val="000000"/>
                <w:sz w:val="20"/>
                <w:szCs w:val="20"/>
                <w:lang w:eastAsia="en-GB"/>
              </w:rPr>
            </w:pPr>
            <w:r w:rsidRPr="00956CE7">
              <w:rPr>
                <w:rFonts w:ascii="Arial" w:eastAsia="Times New Roman" w:hAnsi="Arial" w:cs="Arial"/>
                <w:b/>
                <w:bCs/>
                <w:color w:val="000000"/>
                <w:sz w:val="20"/>
                <w:szCs w:val="20"/>
                <w:lang w:eastAsia="en-GB"/>
              </w:rPr>
              <w:t>€’000</w:t>
            </w:r>
          </w:p>
        </w:tc>
        <w:tc>
          <w:tcPr>
            <w:tcW w:w="1139" w:type="dxa"/>
            <w:tcBorders>
              <w:top w:val="nil"/>
              <w:left w:val="nil"/>
              <w:bottom w:val="single" w:sz="8" w:space="0" w:color="auto"/>
              <w:right w:val="nil"/>
            </w:tcBorders>
            <w:shd w:val="clear" w:color="000000" w:fill="EDFFB7"/>
            <w:noWrap/>
            <w:vAlign w:val="center"/>
            <w:hideMark/>
          </w:tcPr>
          <w:p w14:paraId="4683980E" w14:textId="77777777" w:rsidR="0021298F" w:rsidRPr="00956CE7" w:rsidRDefault="0021298F" w:rsidP="00760009">
            <w:pPr>
              <w:jc w:val="right"/>
              <w:rPr>
                <w:rFonts w:ascii="Arial" w:eastAsia="Times New Roman" w:hAnsi="Arial" w:cs="Arial"/>
                <w:b/>
                <w:bCs/>
                <w:color w:val="000000"/>
                <w:sz w:val="20"/>
                <w:szCs w:val="20"/>
                <w:lang w:eastAsia="en-GB"/>
              </w:rPr>
            </w:pPr>
            <w:r w:rsidRPr="00956CE7">
              <w:rPr>
                <w:rFonts w:ascii="Arial" w:eastAsia="Times New Roman" w:hAnsi="Arial" w:cs="Arial"/>
                <w:b/>
                <w:bCs/>
                <w:color w:val="000000"/>
                <w:sz w:val="20"/>
                <w:szCs w:val="20"/>
                <w:lang w:eastAsia="en-GB"/>
              </w:rPr>
              <w:t>€’000</w:t>
            </w:r>
          </w:p>
        </w:tc>
        <w:tc>
          <w:tcPr>
            <w:tcW w:w="1250" w:type="dxa"/>
            <w:tcBorders>
              <w:top w:val="nil"/>
              <w:left w:val="nil"/>
              <w:bottom w:val="single" w:sz="8" w:space="0" w:color="auto"/>
              <w:right w:val="nil"/>
            </w:tcBorders>
            <w:shd w:val="clear" w:color="000000" w:fill="EDFFB7"/>
            <w:noWrap/>
            <w:vAlign w:val="center"/>
            <w:hideMark/>
          </w:tcPr>
          <w:p w14:paraId="416D187E" w14:textId="77777777" w:rsidR="0021298F" w:rsidRPr="00956CE7" w:rsidRDefault="0021298F" w:rsidP="00760009">
            <w:pPr>
              <w:jc w:val="right"/>
              <w:rPr>
                <w:rFonts w:ascii="Arial" w:eastAsia="Times New Roman" w:hAnsi="Arial" w:cs="Arial"/>
                <w:b/>
                <w:bCs/>
                <w:color w:val="000000"/>
                <w:sz w:val="20"/>
                <w:szCs w:val="20"/>
                <w:lang w:eastAsia="en-GB"/>
              </w:rPr>
            </w:pPr>
            <w:r w:rsidRPr="00956CE7">
              <w:rPr>
                <w:rFonts w:ascii="Arial" w:eastAsia="Times New Roman" w:hAnsi="Arial" w:cs="Arial"/>
                <w:b/>
                <w:bCs/>
                <w:color w:val="000000"/>
                <w:sz w:val="20"/>
                <w:szCs w:val="20"/>
                <w:lang w:eastAsia="en-GB"/>
              </w:rPr>
              <w:t>€’000</w:t>
            </w:r>
          </w:p>
        </w:tc>
        <w:tc>
          <w:tcPr>
            <w:tcW w:w="1339" w:type="dxa"/>
            <w:tcBorders>
              <w:top w:val="nil"/>
              <w:left w:val="nil"/>
              <w:bottom w:val="single" w:sz="8" w:space="0" w:color="auto"/>
              <w:right w:val="nil"/>
            </w:tcBorders>
            <w:shd w:val="clear" w:color="000000" w:fill="EDFFB7"/>
            <w:noWrap/>
            <w:vAlign w:val="center"/>
            <w:hideMark/>
          </w:tcPr>
          <w:p w14:paraId="11517796" w14:textId="77777777" w:rsidR="0021298F" w:rsidRPr="00956CE7" w:rsidRDefault="0021298F" w:rsidP="00760009">
            <w:pPr>
              <w:jc w:val="right"/>
              <w:rPr>
                <w:rFonts w:ascii="Arial" w:eastAsia="Times New Roman" w:hAnsi="Arial" w:cs="Arial"/>
                <w:b/>
                <w:bCs/>
                <w:color w:val="000000"/>
                <w:sz w:val="20"/>
                <w:szCs w:val="20"/>
                <w:lang w:eastAsia="en-GB"/>
              </w:rPr>
            </w:pPr>
            <w:r w:rsidRPr="00956CE7">
              <w:rPr>
                <w:rFonts w:ascii="Arial" w:eastAsia="Times New Roman" w:hAnsi="Arial" w:cs="Arial"/>
                <w:b/>
                <w:bCs/>
                <w:color w:val="000000"/>
                <w:sz w:val="20"/>
                <w:szCs w:val="20"/>
                <w:lang w:eastAsia="en-GB"/>
              </w:rPr>
              <w:t>€’000</w:t>
            </w:r>
          </w:p>
        </w:tc>
        <w:tc>
          <w:tcPr>
            <w:tcW w:w="1184" w:type="dxa"/>
            <w:tcBorders>
              <w:top w:val="nil"/>
              <w:left w:val="nil"/>
              <w:bottom w:val="single" w:sz="8" w:space="0" w:color="auto"/>
              <w:right w:val="nil"/>
            </w:tcBorders>
            <w:shd w:val="clear" w:color="000000" w:fill="EDFFB7"/>
            <w:noWrap/>
            <w:vAlign w:val="center"/>
            <w:hideMark/>
          </w:tcPr>
          <w:p w14:paraId="7D6578D9" w14:textId="77777777" w:rsidR="0021298F" w:rsidRPr="00956CE7" w:rsidRDefault="0021298F" w:rsidP="00760009">
            <w:pPr>
              <w:jc w:val="right"/>
              <w:rPr>
                <w:rFonts w:ascii="Arial" w:eastAsia="Times New Roman" w:hAnsi="Arial" w:cs="Arial"/>
                <w:b/>
                <w:bCs/>
                <w:color w:val="000000"/>
                <w:sz w:val="20"/>
                <w:szCs w:val="20"/>
                <w:lang w:eastAsia="en-GB"/>
              </w:rPr>
            </w:pPr>
            <w:r w:rsidRPr="00956CE7">
              <w:rPr>
                <w:rFonts w:ascii="Arial" w:eastAsia="Times New Roman" w:hAnsi="Arial" w:cs="Arial"/>
                <w:b/>
                <w:bCs/>
                <w:color w:val="000000"/>
                <w:sz w:val="20"/>
                <w:szCs w:val="20"/>
                <w:lang w:eastAsia="en-GB"/>
              </w:rPr>
              <w:t>€’000</w:t>
            </w:r>
          </w:p>
        </w:tc>
        <w:tc>
          <w:tcPr>
            <w:tcW w:w="1275" w:type="dxa"/>
            <w:tcBorders>
              <w:top w:val="nil"/>
              <w:left w:val="nil"/>
              <w:bottom w:val="single" w:sz="8" w:space="0" w:color="auto"/>
              <w:right w:val="nil"/>
            </w:tcBorders>
            <w:shd w:val="clear" w:color="000000" w:fill="EDFFB7"/>
            <w:noWrap/>
            <w:vAlign w:val="center"/>
            <w:hideMark/>
          </w:tcPr>
          <w:p w14:paraId="38DA2859" w14:textId="77777777" w:rsidR="0021298F" w:rsidRPr="00956CE7" w:rsidRDefault="0021298F" w:rsidP="00760009">
            <w:pPr>
              <w:jc w:val="right"/>
              <w:rPr>
                <w:rFonts w:ascii="Arial" w:eastAsia="Times New Roman" w:hAnsi="Arial" w:cs="Arial"/>
                <w:b/>
                <w:bCs/>
                <w:color w:val="000000"/>
                <w:sz w:val="20"/>
                <w:szCs w:val="20"/>
                <w:lang w:eastAsia="en-GB"/>
              </w:rPr>
            </w:pPr>
            <w:r w:rsidRPr="00956CE7">
              <w:rPr>
                <w:rFonts w:ascii="Arial" w:eastAsia="Times New Roman" w:hAnsi="Arial" w:cs="Arial"/>
                <w:b/>
                <w:bCs/>
                <w:color w:val="000000"/>
                <w:sz w:val="20"/>
                <w:szCs w:val="20"/>
                <w:lang w:eastAsia="en-GB"/>
              </w:rPr>
              <w:t>€’000</w:t>
            </w:r>
          </w:p>
        </w:tc>
        <w:tc>
          <w:tcPr>
            <w:tcW w:w="1057" w:type="dxa"/>
            <w:tcBorders>
              <w:top w:val="nil"/>
              <w:left w:val="nil"/>
              <w:bottom w:val="single" w:sz="8" w:space="0" w:color="auto"/>
              <w:right w:val="nil"/>
            </w:tcBorders>
            <w:shd w:val="clear" w:color="000000" w:fill="EDFFB7"/>
            <w:noWrap/>
            <w:vAlign w:val="center"/>
            <w:hideMark/>
          </w:tcPr>
          <w:p w14:paraId="244AC091" w14:textId="77777777" w:rsidR="0021298F" w:rsidRPr="00956CE7" w:rsidRDefault="0021298F" w:rsidP="00760009">
            <w:pPr>
              <w:jc w:val="right"/>
              <w:rPr>
                <w:rFonts w:ascii="Arial" w:eastAsia="Times New Roman" w:hAnsi="Arial" w:cs="Arial"/>
                <w:b/>
                <w:bCs/>
                <w:color w:val="000000"/>
                <w:sz w:val="20"/>
                <w:szCs w:val="20"/>
                <w:lang w:eastAsia="en-GB"/>
              </w:rPr>
            </w:pPr>
            <w:r w:rsidRPr="00956CE7">
              <w:rPr>
                <w:rFonts w:ascii="Arial" w:eastAsia="Times New Roman" w:hAnsi="Arial" w:cs="Arial"/>
                <w:b/>
                <w:bCs/>
                <w:color w:val="000000"/>
                <w:sz w:val="20"/>
                <w:szCs w:val="20"/>
                <w:lang w:eastAsia="en-GB"/>
              </w:rPr>
              <w:t>€’000</w:t>
            </w:r>
          </w:p>
        </w:tc>
        <w:tc>
          <w:tcPr>
            <w:tcW w:w="1361" w:type="dxa"/>
            <w:tcBorders>
              <w:top w:val="nil"/>
              <w:left w:val="nil"/>
              <w:bottom w:val="single" w:sz="8" w:space="0" w:color="auto"/>
              <w:right w:val="nil"/>
            </w:tcBorders>
            <w:shd w:val="clear" w:color="000000" w:fill="EDFFB7"/>
            <w:noWrap/>
            <w:vAlign w:val="center"/>
            <w:hideMark/>
          </w:tcPr>
          <w:p w14:paraId="62CA332B" w14:textId="77777777" w:rsidR="0021298F" w:rsidRPr="00956CE7" w:rsidRDefault="0021298F" w:rsidP="00760009">
            <w:pPr>
              <w:jc w:val="right"/>
              <w:rPr>
                <w:rFonts w:ascii="Arial" w:eastAsia="Times New Roman" w:hAnsi="Arial" w:cs="Arial"/>
                <w:b/>
                <w:bCs/>
                <w:color w:val="000000"/>
                <w:sz w:val="20"/>
                <w:szCs w:val="20"/>
                <w:lang w:eastAsia="en-GB"/>
              </w:rPr>
            </w:pPr>
            <w:r w:rsidRPr="00956CE7">
              <w:rPr>
                <w:rFonts w:ascii="Arial" w:eastAsia="Times New Roman" w:hAnsi="Arial" w:cs="Arial"/>
                <w:b/>
                <w:bCs/>
                <w:color w:val="000000"/>
                <w:sz w:val="20"/>
                <w:szCs w:val="20"/>
                <w:lang w:eastAsia="en-GB"/>
              </w:rPr>
              <w:t>€’000</w:t>
            </w:r>
          </w:p>
        </w:tc>
      </w:tr>
      <w:tr w:rsidR="0021298F" w:rsidRPr="00956CE7" w14:paraId="133A1BCB" w14:textId="77777777" w:rsidTr="00760009">
        <w:trPr>
          <w:trHeight w:val="300"/>
        </w:trPr>
        <w:tc>
          <w:tcPr>
            <w:tcW w:w="1606" w:type="dxa"/>
            <w:tcBorders>
              <w:top w:val="nil"/>
              <w:left w:val="nil"/>
              <w:bottom w:val="nil"/>
              <w:right w:val="nil"/>
            </w:tcBorders>
            <w:shd w:val="clear" w:color="000000" w:fill="FFFFFF"/>
            <w:noWrap/>
            <w:vAlign w:val="center"/>
            <w:hideMark/>
          </w:tcPr>
          <w:p w14:paraId="392C4B2C" w14:textId="77777777" w:rsidR="0021298F" w:rsidRPr="00956CE7" w:rsidRDefault="0021298F" w:rsidP="00760009">
            <w:pPr>
              <w:rPr>
                <w:rFonts w:ascii="Arial" w:eastAsia="Times New Roman" w:hAnsi="Arial" w:cs="Arial"/>
                <w:color w:val="000000"/>
                <w:sz w:val="20"/>
                <w:szCs w:val="20"/>
                <w:lang w:eastAsia="en-GB"/>
              </w:rPr>
            </w:pPr>
            <w:r w:rsidRPr="00956CE7">
              <w:rPr>
                <w:rFonts w:ascii="Arial" w:eastAsia="Times New Roman" w:hAnsi="Arial" w:cs="Arial"/>
                <w:color w:val="000000"/>
                <w:sz w:val="20"/>
                <w:szCs w:val="20"/>
                <w:lang w:eastAsia="en-GB"/>
              </w:rPr>
              <w:t>Knockacummer</w:t>
            </w:r>
          </w:p>
        </w:tc>
        <w:tc>
          <w:tcPr>
            <w:tcW w:w="1036" w:type="dxa"/>
            <w:tcBorders>
              <w:top w:val="nil"/>
              <w:left w:val="nil"/>
              <w:bottom w:val="nil"/>
              <w:right w:val="nil"/>
            </w:tcBorders>
            <w:shd w:val="clear" w:color="000000" w:fill="EDFFB7"/>
            <w:noWrap/>
            <w:vAlign w:val="center"/>
            <w:hideMark/>
          </w:tcPr>
          <w:p w14:paraId="734C97F2" w14:textId="77777777" w:rsidR="0021298F" w:rsidRPr="00956CE7" w:rsidRDefault="0021298F" w:rsidP="00760009">
            <w:pPr>
              <w:jc w:val="right"/>
              <w:rPr>
                <w:rFonts w:ascii="Arial" w:eastAsia="Times New Roman" w:hAnsi="Arial" w:cs="Arial"/>
                <w:color w:val="000000"/>
                <w:sz w:val="20"/>
                <w:szCs w:val="20"/>
                <w:lang w:eastAsia="en-GB"/>
              </w:rPr>
            </w:pPr>
            <w:r w:rsidRPr="00956CE7">
              <w:rPr>
                <w:rFonts w:ascii="Arial" w:eastAsia="Times New Roman" w:hAnsi="Arial" w:cs="Arial"/>
                <w:color w:val="000000"/>
                <w:sz w:val="20"/>
                <w:szCs w:val="20"/>
                <w:lang w:eastAsia="en-GB"/>
              </w:rPr>
              <w:t xml:space="preserve">120,329 </w:t>
            </w:r>
          </w:p>
        </w:tc>
        <w:tc>
          <w:tcPr>
            <w:tcW w:w="1139" w:type="dxa"/>
            <w:tcBorders>
              <w:top w:val="nil"/>
              <w:left w:val="nil"/>
              <w:bottom w:val="nil"/>
              <w:right w:val="nil"/>
            </w:tcBorders>
            <w:shd w:val="clear" w:color="000000" w:fill="EDFFB7"/>
            <w:noWrap/>
            <w:vAlign w:val="center"/>
            <w:hideMark/>
          </w:tcPr>
          <w:p w14:paraId="5C6E2243" w14:textId="77777777" w:rsidR="0021298F" w:rsidRPr="00956CE7" w:rsidRDefault="0021298F" w:rsidP="00760009">
            <w:pPr>
              <w:jc w:val="right"/>
              <w:rPr>
                <w:rFonts w:ascii="Arial" w:eastAsia="Times New Roman" w:hAnsi="Arial" w:cs="Arial"/>
                <w:color w:val="000000"/>
                <w:sz w:val="20"/>
                <w:szCs w:val="20"/>
                <w:lang w:eastAsia="en-GB"/>
              </w:rPr>
            </w:pPr>
            <w:r w:rsidRPr="00956CE7">
              <w:rPr>
                <w:rFonts w:ascii="Arial" w:eastAsia="Times New Roman" w:hAnsi="Arial" w:cs="Arial"/>
                <w:color w:val="000000"/>
                <w:sz w:val="20"/>
                <w:szCs w:val="20"/>
                <w:lang w:eastAsia="en-GB"/>
              </w:rPr>
              <w:t xml:space="preserve"> - </w:t>
            </w:r>
          </w:p>
        </w:tc>
        <w:tc>
          <w:tcPr>
            <w:tcW w:w="1250" w:type="dxa"/>
            <w:tcBorders>
              <w:top w:val="nil"/>
              <w:left w:val="nil"/>
              <w:bottom w:val="nil"/>
              <w:right w:val="nil"/>
            </w:tcBorders>
            <w:shd w:val="clear" w:color="000000" w:fill="EDFFB7"/>
            <w:noWrap/>
            <w:vAlign w:val="center"/>
            <w:hideMark/>
          </w:tcPr>
          <w:p w14:paraId="08254E38" w14:textId="77777777" w:rsidR="0021298F" w:rsidRPr="00956CE7" w:rsidRDefault="0021298F" w:rsidP="00760009">
            <w:pPr>
              <w:jc w:val="right"/>
              <w:rPr>
                <w:rFonts w:ascii="Arial" w:eastAsia="Times New Roman" w:hAnsi="Arial" w:cs="Arial"/>
                <w:color w:val="000000"/>
                <w:sz w:val="20"/>
                <w:szCs w:val="20"/>
                <w:lang w:eastAsia="en-GB"/>
              </w:rPr>
            </w:pPr>
            <w:r w:rsidRPr="00956CE7">
              <w:rPr>
                <w:rFonts w:ascii="Arial" w:eastAsia="Times New Roman" w:hAnsi="Arial" w:cs="Arial"/>
                <w:color w:val="000000"/>
                <w:sz w:val="20"/>
                <w:szCs w:val="20"/>
                <w:lang w:eastAsia="en-GB"/>
              </w:rPr>
              <w:t xml:space="preserve"> - </w:t>
            </w:r>
          </w:p>
        </w:tc>
        <w:tc>
          <w:tcPr>
            <w:tcW w:w="1339" w:type="dxa"/>
            <w:tcBorders>
              <w:top w:val="nil"/>
              <w:left w:val="nil"/>
              <w:bottom w:val="nil"/>
              <w:right w:val="nil"/>
            </w:tcBorders>
            <w:shd w:val="clear" w:color="000000" w:fill="EDFFB7"/>
            <w:noWrap/>
            <w:vAlign w:val="center"/>
            <w:hideMark/>
          </w:tcPr>
          <w:p w14:paraId="1A3660B6" w14:textId="77777777" w:rsidR="0021298F" w:rsidRPr="00956CE7" w:rsidRDefault="0021298F" w:rsidP="00760009">
            <w:pPr>
              <w:jc w:val="right"/>
              <w:rPr>
                <w:rFonts w:ascii="Arial" w:eastAsia="Times New Roman" w:hAnsi="Arial" w:cs="Arial"/>
                <w:color w:val="000000"/>
                <w:sz w:val="20"/>
                <w:szCs w:val="20"/>
                <w:lang w:eastAsia="en-GB"/>
              </w:rPr>
            </w:pPr>
            <w:r w:rsidRPr="00956CE7">
              <w:rPr>
                <w:rFonts w:ascii="Arial" w:eastAsia="Times New Roman" w:hAnsi="Arial" w:cs="Arial"/>
                <w:color w:val="000000"/>
                <w:sz w:val="20"/>
                <w:szCs w:val="20"/>
                <w:lang w:eastAsia="en-GB"/>
              </w:rPr>
              <w:t xml:space="preserve"> (3,827)</w:t>
            </w:r>
          </w:p>
        </w:tc>
        <w:tc>
          <w:tcPr>
            <w:tcW w:w="1184" w:type="dxa"/>
            <w:tcBorders>
              <w:top w:val="nil"/>
              <w:left w:val="nil"/>
              <w:bottom w:val="nil"/>
              <w:right w:val="nil"/>
            </w:tcBorders>
            <w:shd w:val="clear" w:color="000000" w:fill="EDFFB7"/>
            <w:noWrap/>
            <w:vAlign w:val="center"/>
            <w:hideMark/>
          </w:tcPr>
          <w:p w14:paraId="3328D998" w14:textId="77777777" w:rsidR="0021298F" w:rsidRPr="00956CE7" w:rsidRDefault="0021298F" w:rsidP="00760009">
            <w:pPr>
              <w:jc w:val="right"/>
              <w:rPr>
                <w:rFonts w:ascii="Arial" w:eastAsia="Times New Roman" w:hAnsi="Arial" w:cs="Arial"/>
                <w:color w:val="000000"/>
                <w:sz w:val="20"/>
                <w:szCs w:val="20"/>
                <w:lang w:eastAsia="en-GB"/>
              </w:rPr>
            </w:pPr>
            <w:r w:rsidRPr="00956CE7">
              <w:rPr>
                <w:rFonts w:ascii="Arial" w:eastAsia="Times New Roman" w:hAnsi="Arial" w:cs="Arial"/>
                <w:color w:val="000000"/>
                <w:sz w:val="20"/>
                <w:szCs w:val="20"/>
                <w:lang w:eastAsia="en-GB"/>
              </w:rPr>
              <w:t xml:space="preserve">116,502 </w:t>
            </w:r>
          </w:p>
        </w:tc>
        <w:tc>
          <w:tcPr>
            <w:tcW w:w="1275" w:type="dxa"/>
            <w:tcBorders>
              <w:top w:val="nil"/>
              <w:left w:val="nil"/>
              <w:bottom w:val="nil"/>
              <w:right w:val="nil"/>
            </w:tcBorders>
            <w:shd w:val="clear" w:color="000000" w:fill="EDFFB7"/>
            <w:noWrap/>
            <w:vAlign w:val="center"/>
            <w:hideMark/>
          </w:tcPr>
          <w:p w14:paraId="41306DE4" w14:textId="77777777" w:rsidR="0021298F" w:rsidRPr="00956CE7" w:rsidRDefault="0021298F" w:rsidP="00760009">
            <w:pPr>
              <w:jc w:val="right"/>
              <w:rPr>
                <w:rFonts w:ascii="Arial" w:eastAsia="Times New Roman" w:hAnsi="Arial" w:cs="Arial"/>
                <w:color w:val="000000"/>
                <w:sz w:val="20"/>
                <w:szCs w:val="20"/>
                <w:lang w:eastAsia="en-GB"/>
              </w:rPr>
            </w:pPr>
            <w:r w:rsidRPr="00956CE7">
              <w:rPr>
                <w:rFonts w:ascii="Arial" w:eastAsia="Times New Roman" w:hAnsi="Arial" w:cs="Arial"/>
                <w:color w:val="000000"/>
                <w:sz w:val="20"/>
                <w:szCs w:val="20"/>
                <w:lang w:eastAsia="en-GB"/>
              </w:rPr>
              <w:t xml:space="preserve">2,061 </w:t>
            </w:r>
          </w:p>
        </w:tc>
        <w:tc>
          <w:tcPr>
            <w:tcW w:w="1057" w:type="dxa"/>
            <w:tcBorders>
              <w:top w:val="nil"/>
              <w:left w:val="nil"/>
              <w:bottom w:val="nil"/>
              <w:right w:val="nil"/>
            </w:tcBorders>
            <w:shd w:val="clear" w:color="000000" w:fill="EDFFB7"/>
            <w:noWrap/>
            <w:vAlign w:val="center"/>
            <w:hideMark/>
          </w:tcPr>
          <w:p w14:paraId="79F49D37" w14:textId="77777777" w:rsidR="0021298F" w:rsidRPr="00956CE7" w:rsidRDefault="0021298F" w:rsidP="00760009">
            <w:pPr>
              <w:jc w:val="right"/>
              <w:rPr>
                <w:rFonts w:ascii="Arial" w:eastAsia="Times New Roman" w:hAnsi="Arial" w:cs="Arial"/>
                <w:color w:val="000000"/>
                <w:sz w:val="20"/>
                <w:szCs w:val="20"/>
                <w:lang w:eastAsia="en-GB"/>
              </w:rPr>
            </w:pPr>
            <w:r w:rsidRPr="00956CE7">
              <w:rPr>
                <w:rFonts w:ascii="Arial" w:eastAsia="Times New Roman" w:hAnsi="Arial" w:cs="Arial"/>
                <w:color w:val="000000"/>
                <w:sz w:val="20"/>
                <w:szCs w:val="20"/>
                <w:lang w:eastAsia="en-GB"/>
              </w:rPr>
              <w:t xml:space="preserve">118,563 </w:t>
            </w:r>
          </w:p>
        </w:tc>
        <w:tc>
          <w:tcPr>
            <w:tcW w:w="1361" w:type="dxa"/>
            <w:tcBorders>
              <w:top w:val="nil"/>
              <w:left w:val="nil"/>
              <w:bottom w:val="nil"/>
              <w:right w:val="nil"/>
            </w:tcBorders>
            <w:shd w:val="clear" w:color="000000" w:fill="EDFFB7"/>
            <w:noWrap/>
            <w:vAlign w:val="center"/>
            <w:hideMark/>
          </w:tcPr>
          <w:p w14:paraId="38403B92" w14:textId="77777777" w:rsidR="0021298F" w:rsidRPr="00956CE7" w:rsidRDefault="0021298F" w:rsidP="00760009">
            <w:pPr>
              <w:jc w:val="right"/>
              <w:rPr>
                <w:rFonts w:ascii="Arial" w:eastAsia="Times New Roman" w:hAnsi="Arial" w:cs="Arial"/>
                <w:color w:val="000000"/>
                <w:sz w:val="20"/>
                <w:szCs w:val="20"/>
                <w:lang w:eastAsia="en-GB"/>
              </w:rPr>
            </w:pPr>
            <w:r w:rsidRPr="00956CE7">
              <w:rPr>
                <w:rFonts w:ascii="Arial" w:eastAsia="Times New Roman" w:hAnsi="Arial" w:cs="Arial"/>
                <w:color w:val="000000"/>
                <w:sz w:val="20"/>
                <w:szCs w:val="20"/>
                <w:lang w:eastAsia="en-GB"/>
              </w:rPr>
              <w:t xml:space="preserve">3,242 </w:t>
            </w:r>
          </w:p>
        </w:tc>
      </w:tr>
      <w:tr w:rsidR="0021298F" w:rsidRPr="00956CE7" w14:paraId="6021ADF8" w14:textId="77777777" w:rsidTr="00760009">
        <w:trPr>
          <w:trHeight w:val="300"/>
        </w:trPr>
        <w:tc>
          <w:tcPr>
            <w:tcW w:w="1606" w:type="dxa"/>
            <w:tcBorders>
              <w:top w:val="nil"/>
              <w:left w:val="nil"/>
              <w:bottom w:val="nil"/>
              <w:right w:val="nil"/>
            </w:tcBorders>
            <w:shd w:val="clear" w:color="000000" w:fill="FFFFFF"/>
            <w:noWrap/>
            <w:vAlign w:val="center"/>
            <w:hideMark/>
          </w:tcPr>
          <w:p w14:paraId="374906B9" w14:textId="77777777" w:rsidR="0021298F" w:rsidRPr="00956CE7" w:rsidRDefault="0021298F" w:rsidP="00760009">
            <w:pPr>
              <w:rPr>
                <w:rFonts w:ascii="Arial" w:eastAsia="Times New Roman" w:hAnsi="Arial" w:cs="Arial"/>
                <w:color w:val="000000"/>
                <w:sz w:val="20"/>
                <w:szCs w:val="20"/>
                <w:lang w:eastAsia="en-GB"/>
              </w:rPr>
            </w:pPr>
            <w:r w:rsidRPr="00956CE7">
              <w:rPr>
                <w:rFonts w:ascii="Arial" w:eastAsia="Times New Roman" w:hAnsi="Arial" w:cs="Arial"/>
                <w:color w:val="000000"/>
                <w:sz w:val="20"/>
                <w:szCs w:val="20"/>
                <w:lang w:eastAsia="en-GB"/>
              </w:rPr>
              <w:t>Monaincha</w:t>
            </w:r>
          </w:p>
        </w:tc>
        <w:tc>
          <w:tcPr>
            <w:tcW w:w="1036" w:type="dxa"/>
            <w:tcBorders>
              <w:top w:val="nil"/>
              <w:left w:val="nil"/>
              <w:bottom w:val="nil"/>
              <w:right w:val="nil"/>
            </w:tcBorders>
            <w:shd w:val="clear" w:color="000000" w:fill="EDFFB7"/>
            <w:noWrap/>
            <w:vAlign w:val="center"/>
            <w:hideMark/>
          </w:tcPr>
          <w:p w14:paraId="0793C818" w14:textId="77777777" w:rsidR="0021298F" w:rsidRPr="00956CE7" w:rsidRDefault="0021298F" w:rsidP="00760009">
            <w:pPr>
              <w:jc w:val="right"/>
              <w:rPr>
                <w:rFonts w:ascii="Arial" w:eastAsia="Times New Roman" w:hAnsi="Arial" w:cs="Arial"/>
                <w:color w:val="000000"/>
                <w:sz w:val="20"/>
                <w:szCs w:val="20"/>
                <w:lang w:eastAsia="en-GB"/>
              </w:rPr>
            </w:pPr>
            <w:r w:rsidRPr="00956CE7">
              <w:rPr>
                <w:rFonts w:ascii="Arial" w:eastAsia="Times New Roman" w:hAnsi="Arial" w:cs="Arial"/>
                <w:color w:val="000000"/>
                <w:sz w:val="20"/>
                <w:szCs w:val="20"/>
                <w:lang w:eastAsia="en-GB"/>
              </w:rPr>
              <w:t xml:space="preserve">69,668 </w:t>
            </w:r>
          </w:p>
        </w:tc>
        <w:tc>
          <w:tcPr>
            <w:tcW w:w="1139" w:type="dxa"/>
            <w:tcBorders>
              <w:top w:val="nil"/>
              <w:left w:val="nil"/>
              <w:bottom w:val="nil"/>
              <w:right w:val="nil"/>
            </w:tcBorders>
            <w:shd w:val="clear" w:color="000000" w:fill="EDFFB7"/>
            <w:noWrap/>
            <w:vAlign w:val="center"/>
            <w:hideMark/>
          </w:tcPr>
          <w:p w14:paraId="4B6FEEE0" w14:textId="77777777" w:rsidR="0021298F" w:rsidRPr="00956CE7" w:rsidRDefault="0021298F" w:rsidP="00760009">
            <w:pPr>
              <w:jc w:val="right"/>
              <w:rPr>
                <w:rFonts w:ascii="Arial" w:eastAsia="Times New Roman" w:hAnsi="Arial" w:cs="Arial"/>
                <w:color w:val="000000"/>
                <w:sz w:val="20"/>
                <w:szCs w:val="20"/>
                <w:lang w:eastAsia="en-GB"/>
              </w:rPr>
            </w:pPr>
            <w:r w:rsidRPr="00956CE7">
              <w:rPr>
                <w:rFonts w:ascii="Arial" w:eastAsia="Times New Roman" w:hAnsi="Arial" w:cs="Arial"/>
                <w:color w:val="000000"/>
                <w:sz w:val="20"/>
                <w:szCs w:val="20"/>
                <w:lang w:eastAsia="en-GB"/>
              </w:rPr>
              <w:t xml:space="preserve"> - </w:t>
            </w:r>
          </w:p>
        </w:tc>
        <w:tc>
          <w:tcPr>
            <w:tcW w:w="1250" w:type="dxa"/>
            <w:tcBorders>
              <w:top w:val="nil"/>
              <w:left w:val="nil"/>
              <w:bottom w:val="nil"/>
              <w:right w:val="nil"/>
            </w:tcBorders>
            <w:shd w:val="clear" w:color="000000" w:fill="EDFFB7"/>
            <w:noWrap/>
            <w:vAlign w:val="center"/>
            <w:hideMark/>
          </w:tcPr>
          <w:p w14:paraId="202BDD05" w14:textId="77777777" w:rsidR="0021298F" w:rsidRPr="00956CE7" w:rsidRDefault="0021298F" w:rsidP="00760009">
            <w:pPr>
              <w:jc w:val="right"/>
              <w:rPr>
                <w:rFonts w:ascii="Arial" w:eastAsia="Times New Roman" w:hAnsi="Arial" w:cs="Arial"/>
                <w:color w:val="000000"/>
                <w:sz w:val="20"/>
                <w:szCs w:val="20"/>
                <w:lang w:eastAsia="en-GB"/>
              </w:rPr>
            </w:pPr>
            <w:r w:rsidRPr="00956CE7">
              <w:rPr>
                <w:rFonts w:ascii="Arial" w:eastAsia="Times New Roman" w:hAnsi="Arial" w:cs="Arial"/>
                <w:color w:val="000000"/>
                <w:sz w:val="20"/>
                <w:szCs w:val="20"/>
                <w:lang w:eastAsia="en-GB"/>
              </w:rPr>
              <w:t xml:space="preserve">373 </w:t>
            </w:r>
          </w:p>
        </w:tc>
        <w:tc>
          <w:tcPr>
            <w:tcW w:w="1339" w:type="dxa"/>
            <w:tcBorders>
              <w:top w:val="nil"/>
              <w:left w:val="nil"/>
              <w:bottom w:val="nil"/>
              <w:right w:val="nil"/>
            </w:tcBorders>
            <w:shd w:val="clear" w:color="000000" w:fill="EDFFB7"/>
            <w:noWrap/>
            <w:vAlign w:val="center"/>
            <w:hideMark/>
          </w:tcPr>
          <w:p w14:paraId="4DCAD3E5" w14:textId="77777777" w:rsidR="0021298F" w:rsidRPr="00956CE7" w:rsidRDefault="0021298F" w:rsidP="00760009">
            <w:pPr>
              <w:jc w:val="right"/>
              <w:rPr>
                <w:rFonts w:ascii="Arial" w:eastAsia="Times New Roman" w:hAnsi="Arial" w:cs="Arial"/>
                <w:color w:val="000000"/>
                <w:sz w:val="20"/>
                <w:szCs w:val="20"/>
                <w:lang w:eastAsia="en-GB"/>
              </w:rPr>
            </w:pPr>
            <w:r w:rsidRPr="00956CE7">
              <w:rPr>
                <w:rFonts w:ascii="Arial" w:eastAsia="Times New Roman" w:hAnsi="Arial" w:cs="Arial"/>
                <w:color w:val="000000"/>
                <w:sz w:val="20"/>
                <w:szCs w:val="20"/>
                <w:lang w:eastAsia="en-GB"/>
              </w:rPr>
              <w:t xml:space="preserve"> (4,767)</w:t>
            </w:r>
          </w:p>
        </w:tc>
        <w:tc>
          <w:tcPr>
            <w:tcW w:w="1184" w:type="dxa"/>
            <w:tcBorders>
              <w:top w:val="nil"/>
              <w:left w:val="nil"/>
              <w:bottom w:val="nil"/>
              <w:right w:val="nil"/>
            </w:tcBorders>
            <w:shd w:val="clear" w:color="000000" w:fill="EDFFB7"/>
            <w:noWrap/>
            <w:vAlign w:val="center"/>
            <w:hideMark/>
          </w:tcPr>
          <w:p w14:paraId="792FD22D" w14:textId="77777777" w:rsidR="0021298F" w:rsidRPr="00956CE7" w:rsidRDefault="0021298F" w:rsidP="00760009">
            <w:pPr>
              <w:jc w:val="right"/>
              <w:rPr>
                <w:rFonts w:ascii="Arial" w:eastAsia="Times New Roman" w:hAnsi="Arial" w:cs="Arial"/>
                <w:color w:val="000000"/>
                <w:sz w:val="20"/>
                <w:szCs w:val="20"/>
                <w:lang w:eastAsia="en-GB"/>
              </w:rPr>
            </w:pPr>
            <w:r w:rsidRPr="00956CE7">
              <w:rPr>
                <w:rFonts w:ascii="Arial" w:eastAsia="Times New Roman" w:hAnsi="Arial" w:cs="Arial"/>
                <w:color w:val="000000"/>
                <w:sz w:val="20"/>
                <w:szCs w:val="20"/>
                <w:lang w:eastAsia="en-GB"/>
              </w:rPr>
              <w:t xml:space="preserve">65,274 </w:t>
            </w:r>
          </w:p>
        </w:tc>
        <w:tc>
          <w:tcPr>
            <w:tcW w:w="1275" w:type="dxa"/>
            <w:tcBorders>
              <w:top w:val="nil"/>
              <w:left w:val="nil"/>
              <w:bottom w:val="nil"/>
              <w:right w:val="nil"/>
            </w:tcBorders>
            <w:shd w:val="clear" w:color="000000" w:fill="EDFFB7"/>
            <w:noWrap/>
            <w:vAlign w:val="center"/>
            <w:hideMark/>
          </w:tcPr>
          <w:p w14:paraId="3A9F0E52" w14:textId="77777777" w:rsidR="0021298F" w:rsidRPr="00956CE7" w:rsidRDefault="0021298F" w:rsidP="00760009">
            <w:pPr>
              <w:jc w:val="right"/>
              <w:rPr>
                <w:rFonts w:ascii="Arial" w:eastAsia="Times New Roman" w:hAnsi="Arial" w:cs="Arial"/>
                <w:color w:val="000000"/>
                <w:sz w:val="20"/>
                <w:szCs w:val="20"/>
                <w:lang w:eastAsia="en-GB"/>
              </w:rPr>
            </w:pPr>
            <w:r w:rsidRPr="00956CE7">
              <w:rPr>
                <w:rFonts w:ascii="Arial" w:eastAsia="Times New Roman" w:hAnsi="Arial" w:cs="Arial"/>
                <w:color w:val="000000"/>
                <w:sz w:val="20"/>
                <w:szCs w:val="20"/>
                <w:lang w:eastAsia="en-GB"/>
              </w:rPr>
              <w:t xml:space="preserve"> - </w:t>
            </w:r>
          </w:p>
        </w:tc>
        <w:tc>
          <w:tcPr>
            <w:tcW w:w="1057" w:type="dxa"/>
            <w:tcBorders>
              <w:top w:val="nil"/>
              <w:left w:val="nil"/>
              <w:bottom w:val="nil"/>
              <w:right w:val="nil"/>
            </w:tcBorders>
            <w:shd w:val="clear" w:color="000000" w:fill="EDFFB7"/>
            <w:noWrap/>
            <w:vAlign w:val="center"/>
            <w:hideMark/>
          </w:tcPr>
          <w:p w14:paraId="02F530F1" w14:textId="77777777" w:rsidR="0021298F" w:rsidRPr="00956CE7" w:rsidRDefault="0021298F" w:rsidP="00760009">
            <w:pPr>
              <w:jc w:val="right"/>
              <w:rPr>
                <w:rFonts w:ascii="Arial" w:eastAsia="Times New Roman" w:hAnsi="Arial" w:cs="Arial"/>
                <w:color w:val="000000"/>
                <w:sz w:val="20"/>
                <w:szCs w:val="20"/>
                <w:lang w:eastAsia="en-GB"/>
              </w:rPr>
            </w:pPr>
            <w:r w:rsidRPr="00956CE7">
              <w:rPr>
                <w:rFonts w:ascii="Arial" w:eastAsia="Times New Roman" w:hAnsi="Arial" w:cs="Arial"/>
                <w:color w:val="000000"/>
                <w:sz w:val="20"/>
                <w:szCs w:val="20"/>
                <w:lang w:eastAsia="en-GB"/>
              </w:rPr>
              <w:t xml:space="preserve">65,274 </w:t>
            </w:r>
          </w:p>
        </w:tc>
        <w:tc>
          <w:tcPr>
            <w:tcW w:w="1361" w:type="dxa"/>
            <w:tcBorders>
              <w:top w:val="nil"/>
              <w:left w:val="nil"/>
              <w:bottom w:val="nil"/>
              <w:right w:val="nil"/>
            </w:tcBorders>
            <w:shd w:val="clear" w:color="000000" w:fill="EDFFB7"/>
            <w:noWrap/>
            <w:vAlign w:val="center"/>
            <w:hideMark/>
          </w:tcPr>
          <w:p w14:paraId="1363362A" w14:textId="77777777" w:rsidR="0021298F" w:rsidRPr="00956CE7" w:rsidRDefault="0021298F" w:rsidP="00760009">
            <w:pPr>
              <w:jc w:val="right"/>
              <w:rPr>
                <w:rFonts w:ascii="Arial" w:eastAsia="Times New Roman" w:hAnsi="Arial" w:cs="Arial"/>
                <w:color w:val="000000"/>
                <w:sz w:val="20"/>
                <w:szCs w:val="20"/>
                <w:lang w:eastAsia="en-GB"/>
              </w:rPr>
            </w:pPr>
            <w:r w:rsidRPr="00956CE7">
              <w:rPr>
                <w:rFonts w:ascii="Arial" w:eastAsia="Times New Roman" w:hAnsi="Arial" w:cs="Arial"/>
                <w:color w:val="000000"/>
                <w:sz w:val="20"/>
                <w:szCs w:val="20"/>
                <w:lang w:eastAsia="en-GB"/>
              </w:rPr>
              <w:t xml:space="preserve">1,596 </w:t>
            </w:r>
          </w:p>
        </w:tc>
      </w:tr>
      <w:tr w:rsidR="0021298F" w:rsidRPr="00956CE7" w14:paraId="5E8B354F" w14:textId="77777777" w:rsidTr="00760009">
        <w:trPr>
          <w:trHeight w:val="300"/>
        </w:trPr>
        <w:tc>
          <w:tcPr>
            <w:tcW w:w="1606" w:type="dxa"/>
            <w:tcBorders>
              <w:top w:val="nil"/>
              <w:left w:val="nil"/>
              <w:bottom w:val="nil"/>
              <w:right w:val="nil"/>
            </w:tcBorders>
            <w:shd w:val="clear" w:color="000000" w:fill="FFFFFF"/>
            <w:noWrap/>
            <w:vAlign w:val="center"/>
            <w:hideMark/>
          </w:tcPr>
          <w:p w14:paraId="071BE33B" w14:textId="77777777" w:rsidR="0021298F" w:rsidRPr="00956CE7" w:rsidRDefault="0021298F" w:rsidP="00760009">
            <w:pPr>
              <w:rPr>
                <w:rFonts w:ascii="Arial" w:eastAsia="Times New Roman" w:hAnsi="Arial" w:cs="Arial"/>
                <w:color w:val="000000"/>
                <w:sz w:val="20"/>
                <w:szCs w:val="20"/>
                <w:lang w:eastAsia="en-GB"/>
              </w:rPr>
            </w:pPr>
            <w:r w:rsidRPr="00956CE7">
              <w:rPr>
                <w:rFonts w:ascii="Arial" w:eastAsia="Times New Roman" w:hAnsi="Arial" w:cs="Arial"/>
                <w:color w:val="000000"/>
                <w:sz w:val="20"/>
                <w:szCs w:val="20"/>
                <w:lang w:eastAsia="en-GB"/>
              </w:rPr>
              <w:t>Glanaruddery</w:t>
            </w:r>
          </w:p>
        </w:tc>
        <w:tc>
          <w:tcPr>
            <w:tcW w:w="1036" w:type="dxa"/>
            <w:tcBorders>
              <w:top w:val="nil"/>
              <w:left w:val="nil"/>
              <w:bottom w:val="nil"/>
              <w:right w:val="nil"/>
            </w:tcBorders>
            <w:shd w:val="clear" w:color="000000" w:fill="EDFFB7"/>
            <w:noWrap/>
            <w:vAlign w:val="center"/>
            <w:hideMark/>
          </w:tcPr>
          <w:p w14:paraId="53E903A2" w14:textId="77777777" w:rsidR="0021298F" w:rsidRPr="00956CE7" w:rsidRDefault="0021298F" w:rsidP="00760009">
            <w:pPr>
              <w:jc w:val="right"/>
              <w:rPr>
                <w:rFonts w:ascii="Arial" w:eastAsia="Times New Roman" w:hAnsi="Arial" w:cs="Arial"/>
                <w:color w:val="000000"/>
                <w:sz w:val="20"/>
                <w:szCs w:val="20"/>
                <w:lang w:eastAsia="en-GB"/>
              </w:rPr>
            </w:pPr>
            <w:r w:rsidRPr="00956CE7">
              <w:rPr>
                <w:rFonts w:ascii="Arial" w:eastAsia="Times New Roman" w:hAnsi="Arial" w:cs="Arial"/>
                <w:color w:val="000000"/>
                <w:sz w:val="20"/>
                <w:szCs w:val="20"/>
                <w:lang w:eastAsia="en-GB"/>
              </w:rPr>
              <w:t xml:space="preserve">51,310 </w:t>
            </w:r>
          </w:p>
        </w:tc>
        <w:tc>
          <w:tcPr>
            <w:tcW w:w="1139" w:type="dxa"/>
            <w:tcBorders>
              <w:top w:val="nil"/>
              <w:left w:val="nil"/>
              <w:bottom w:val="nil"/>
              <w:right w:val="nil"/>
            </w:tcBorders>
            <w:shd w:val="clear" w:color="000000" w:fill="EDFFB7"/>
            <w:noWrap/>
            <w:vAlign w:val="center"/>
            <w:hideMark/>
          </w:tcPr>
          <w:p w14:paraId="2D3D3658" w14:textId="77777777" w:rsidR="0021298F" w:rsidRPr="00956CE7" w:rsidRDefault="0021298F" w:rsidP="00760009">
            <w:pPr>
              <w:jc w:val="right"/>
              <w:rPr>
                <w:rFonts w:ascii="Arial" w:eastAsia="Times New Roman" w:hAnsi="Arial" w:cs="Arial"/>
                <w:color w:val="000000"/>
                <w:sz w:val="20"/>
                <w:szCs w:val="20"/>
                <w:lang w:eastAsia="en-GB"/>
              </w:rPr>
            </w:pPr>
            <w:r w:rsidRPr="00956CE7">
              <w:rPr>
                <w:rFonts w:ascii="Arial" w:eastAsia="Times New Roman" w:hAnsi="Arial" w:cs="Arial"/>
                <w:color w:val="000000"/>
                <w:sz w:val="20"/>
                <w:szCs w:val="20"/>
                <w:lang w:eastAsia="en-GB"/>
              </w:rPr>
              <w:t xml:space="preserve"> - </w:t>
            </w:r>
          </w:p>
        </w:tc>
        <w:tc>
          <w:tcPr>
            <w:tcW w:w="1250" w:type="dxa"/>
            <w:tcBorders>
              <w:top w:val="nil"/>
              <w:left w:val="nil"/>
              <w:bottom w:val="nil"/>
              <w:right w:val="nil"/>
            </w:tcBorders>
            <w:shd w:val="clear" w:color="000000" w:fill="EDFFB7"/>
            <w:noWrap/>
            <w:vAlign w:val="center"/>
            <w:hideMark/>
          </w:tcPr>
          <w:p w14:paraId="205A954E" w14:textId="77777777" w:rsidR="0021298F" w:rsidRPr="00956CE7" w:rsidRDefault="0021298F" w:rsidP="00760009">
            <w:pPr>
              <w:jc w:val="right"/>
              <w:rPr>
                <w:rFonts w:ascii="Arial" w:eastAsia="Times New Roman" w:hAnsi="Arial" w:cs="Arial"/>
                <w:color w:val="000000"/>
                <w:sz w:val="20"/>
                <w:szCs w:val="20"/>
                <w:lang w:eastAsia="en-GB"/>
              </w:rPr>
            </w:pPr>
            <w:r w:rsidRPr="00956CE7">
              <w:rPr>
                <w:rFonts w:ascii="Arial" w:eastAsia="Times New Roman" w:hAnsi="Arial" w:cs="Arial"/>
                <w:color w:val="000000"/>
                <w:sz w:val="20"/>
                <w:szCs w:val="20"/>
                <w:lang w:eastAsia="en-GB"/>
              </w:rPr>
              <w:t xml:space="preserve">213 </w:t>
            </w:r>
          </w:p>
        </w:tc>
        <w:tc>
          <w:tcPr>
            <w:tcW w:w="1339" w:type="dxa"/>
            <w:tcBorders>
              <w:top w:val="nil"/>
              <w:left w:val="nil"/>
              <w:bottom w:val="nil"/>
              <w:right w:val="nil"/>
            </w:tcBorders>
            <w:shd w:val="clear" w:color="000000" w:fill="EDFFB7"/>
            <w:noWrap/>
            <w:vAlign w:val="center"/>
            <w:hideMark/>
          </w:tcPr>
          <w:p w14:paraId="4E1E81D0" w14:textId="77777777" w:rsidR="0021298F" w:rsidRPr="00956CE7" w:rsidRDefault="0021298F" w:rsidP="00760009">
            <w:pPr>
              <w:jc w:val="right"/>
              <w:rPr>
                <w:rFonts w:ascii="Arial" w:eastAsia="Times New Roman" w:hAnsi="Arial" w:cs="Arial"/>
                <w:color w:val="000000"/>
                <w:sz w:val="20"/>
                <w:szCs w:val="20"/>
                <w:lang w:eastAsia="en-GB"/>
              </w:rPr>
            </w:pPr>
            <w:r w:rsidRPr="00956CE7">
              <w:rPr>
                <w:rFonts w:ascii="Arial" w:eastAsia="Times New Roman" w:hAnsi="Arial" w:cs="Arial"/>
                <w:color w:val="000000"/>
                <w:sz w:val="20"/>
                <w:szCs w:val="20"/>
                <w:lang w:eastAsia="en-GB"/>
              </w:rPr>
              <w:t xml:space="preserve"> (3,490)</w:t>
            </w:r>
          </w:p>
        </w:tc>
        <w:tc>
          <w:tcPr>
            <w:tcW w:w="1184" w:type="dxa"/>
            <w:tcBorders>
              <w:top w:val="nil"/>
              <w:left w:val="nil"/>
              <w:bottom w:val="nil"/>
              <w:right w:val="nil"/>
            </w:tcBorders>
            <w:shd w:val="clear" w:color="000000" w:fill="EDFFB7"/>
            <w:noWrap/>
            <w:vAlign w:val="center"/>
            <w:hideMark/>
          </w:tcPr>
          <w:p w14:paraId="0366F669" w14:textId="77777777" w:rsidR="0021298F" w:rsidRPr="00956CE7" w:rsidRDefault="0021298F" w:rsidP="00760009">
            <w:pPr>
              <w:jc w:val="right"/>
              <w:rPr>
                <w:rFonts w:ascii="Arial" w:eastAsia="Times New Roman" w:hAnsi="Arial" w:cs="Arial"/>
                <w:color w:val="000000"/>
                <w:sz w:val="20"/>
                <w:szCs w:val="20"/>
                <w:lang w:eastAsia="en-GB"/>
              </w:rPr>
            </w:pPr>
            <w:r w:rsidRPr="00956CE7">
              <w:rPr>
                <w:rFonts w:ascii="Arial" w:eastAsia="Times New Roman" w:hAnsi="Arial" w:cs="Arial"/>
                <w:color w:val="000000"/>
                <w:sz w:val="20"/>
                <w:szCs w:val="20"/>
                <w:lang w:eastAsia="en-GB"/>
              </w:rPr>
              <w:t xml:space="preserve">8,033 </w:t>
            </w:r>
          </w:p>
        </w:tc>
        <w:tc>
          <w:tcPr>
            <w:tcW w:w="1275" w:type="dxa"/>
            <w:tcBorders>
              <w:top w:val="nil"/>
              <w:left w:val="nil"/>
              <w:bottom w:val="nil"/>
              <w:right w:val="nil"/>
            </w:tcBorders>
            <w:shd w:val="clear" w:color="000000" w:fill="EDFFB7"/>
            <w:noWrap/>
            <w:vAlign w:val="center"/>
            <w:hideMark/>
          </w:tcPr>
          <w:p w14:paraId="2007D890" w14:textId="77777777" w:rsidR="0021298F" w:rsidRPr="00956CE7" w:rsidRDefault="0021298F" w:rsidP="00760009">
            <w:pPr>
              <w:jc w:val="right"/>
              <w:rPr>
                <w:rFonts w:ascii="Arial" w:eastAsia="Times New Roman" w:hAnsi="Arial" w:cs="Arial"/>
                <w:color w:val="000000"/>
                <w:sz w:val="20"/>
                <w:szCs w:val="20"/>
                <w:lang w:eastAsia="en-GB"/>
              </w:rPr>
            </w:pPr>
            <w:r w:rsidRPr="00956CE7">
              <w:rPr>
                <w:rFonts w:ascii="Arial" w:eastAsia="Times New Roman" w:hAnsi="Arial" w:cs="Arial"/>
                <w:color w:val="000000"/>
                <w:sz w:val="20"/>
                <w:szCs w:val="20"/>
                <w:lang w:eastAsia="en-GB"/>
              </w:rPr>
              <w:t xml:space="preserve">163 </w:t>
            </w:r>
          </w:p>
        </w:tc>
        <w:tc>
          <w:tcPr>
            <w:tcW w:w="1057" w:type="dxa"/>
            <w:tcBorders>
              <w:top w:val="nil"/>
              <w:left w:val="nil"/>
              <w:bottom w:val="nil"/>
              <w:right w:val="nil"/>
            </w:tcBorders>
            <w:shd w:val="clear" w:color="000000" w:fill="EDFFB7"/>
            <w:noWrap/>
            <w:vAlign w:val="center"/>
            <w:hideMark/>
          </w:tcPr>
          <w:p w14:paraId="680BCB8D" w14:textId="77777777" w:rsidR="0021298F" w:rsidRPr="00956CE7" w:rsidRDefault="0021298F" w:rsidP="00760009">
            <w:pPr>
              <w:jc w:val="right"/>
              <w:rPr>
                <w:rFonts w:ascii="Arial" w:eastAsia="Times New Roman" w:hAnsi="Arial" w:cs="Arial"/>
                <w:color w:val="000000"/>
                <w:sz w:val="20"/>
                <w:szCs w:val="20"/>
                <w:lang w:eastAsia="en-GB"/>
              </w:rPr>
            </w:pPr>
            <w:r w:rsidRPr="00956CE7">
              <w:rPr>
                <w:rFonts w:ascii="Arial" w:eastAsia="Times New Roman" w:hAnsi="Arial" w:cs="Arial"/>
                <w:color w:val="000000"/>
                <w:sz w:val="20"/>
                <w:szCs w:val="20"/>
                <w:lang w:eastAsia="en-GB"/>
              </w:rPr>
              <w:t xml:space="preserve">48,196 </w:t>
            </w:r>
          </w:p>
        </w:tc>
        <w:tc>
          <w:tcPr>
            <w:tcW w:w="1361" w:type="dxa"/>
            <w:tcBorders>
              <w:top w:val="nil"/>
              <w:left w:val="nil"/>
              <w:bottom w:val="nil"/>
              <w:right w:val="nil"/>
            </w:tcBorders>
            <w:shd w:val="clear" w:color="000000" w:fill="EDFFB7"/>
            <w:noWrap/>
            <w:vAlign w:val="center"/>
            <w:hideMark/>
          </w:tcPr>
          <w:p w14:paraId="278CC5C1" w14:textId="77777777" w:rsidR="0021298F" w:rsidRPr="00956CE7" w:rsidRDefault="0021298F" w:rsidP="00760009">
            <w:pPr>
              <w:jc w:val="right"/>
              <w:rPr>
                <w:rFonts w:ascii="Arial" w:eastAsia="Times New Roman" w:hAnsi="Arial" w:cs="Arial"/>
                <w:color w:val="000000"/>
                <w:sz w:val="20"/>
                <w:szCs w:val="20"/>
                <w:lang w:eastAsia="en-GB"/>
              </w:rPr>
            </w:pPr>
            <w:r w:rsidRPr="00956CE7">
              <w:rPr>
                <w:rFonts w:ascii="Arial" w:eastAsia="Times New Roman" w:hAnsi="Arial" w:cs="Arial"/>
                <w:color w:val="000000"/>
                <w:sz w:val="20"/>
                <w:szCs w:val="20"/>
                <w:lang w:eastAsia="en-GB"/>
              </w:rPr>
              <w:t xml:space="preserve">1,077 </w:t>
            </w:r>
          </w:p>
        </w:tc>
      </w:tr>
      <w:tr w:rsidR="0021298F" w:rsidRPr="00956CE7" w14:paraId="39C5639B" w14:textId="77777777" w:rsidTr="00760009">
        <w:trPr>
          <w:trHeight w:val="300"/>
        </w:trPr>
        <w:tc>
          <w:tcPr>
            <w:tcW w:w="1606" w:type="dxa"/>
            <w:tcBorders>
              <w:top w:val="nil"/>
              <w:left w:val="nil"/>
              <w:bottom w:val="nil"/>
              <w:right w:val="nil"/>
            </w:tcBorders>
            <w:shd w:val="clear" w:color="000000" w:fill="FFFFFF"/>
            <w:noWrap/>
            <w:vAlign w:val="center"/>
            <w:hideMark/>
          </w:tcPr>
          <w:p w14:paraId="1D88FA62" w14:textId="77777777" w:rsidR="0021298F" w:rsidRPr="00956CE7" w:rsidRDefault="0021298F" w:rsidP="00760009">
            <w:pPr>
              <w:rPr>
                <w:rFonts w:ascii="Arial" w:eastAsia="Times New Roman" w:hAnsi="Arial" w:cs="Arial"/>
                <w:color w:val="000000"/>
                <w:sz w:val="20"/>
                <w:szCs w:val="20"/>
                <w:lang w:eastAsia="en-GB"/>
              </w:rPr>
            </w:pPr>
            <w:r w:rsidRPr="00956CE7">
              <w:rPr>
                <w:rFonts w:ascii="Arial" w:eastAsia="Times New Roman" w:hAnsi="Arial" w:cs="Arial"/>
                <w:color w:val="000000"/>
                <w:sz w:val="20"/>
                <w:szCs w:val="20"/>
                <w:lang w:eastAsia="en-GB"/>
              </w:rPr>
              <w:t>Ballybane</w:t>
            </w:r>
          </w:p>
        </w:tc>
        <w:tc>
          <w:tcPr>
            <w:tcW w:w="1036" w:type="dxa"/>
            <w:tcBorders>
              <w:top w:val="nil"/>
              <w:left w:val="nil"/>
              <w:bottom w:val="nil"/>
              <w:right w:val="nil"/>
            </w:tcBorders>
            <w:shd w:val="clear" w:color="000000" w:fill="EDFFB7"/>
            <w:noWrap/>
            <w:vAlign w:val="center"/>
            <w:hideMark/>
          </w:tcPr>
          <w:p w14:paraId="2AFA3D8C" w14:textId="77777777" w:rsidR="0021298F" w:rsidRPr="00956CE7" w:rsidRDefault="0021298F" w:rsidP="00760009">
            <w:pPr>
              <w:jc w:val="right"/>
              <w:rPr>
                <w:rFonts w:ascii="Arial" w:eastAsia="Times New Roman" w:hAnsi="Arial" w:cs="Arial"/>
                <w:color w:val="000000"/>
                <w:sz w:val="20"/>
                <w:szCs w:val="20"/>
                <w:lang w:eastAsia="en-GB"/>
              </w:rPr>
            </w:pPr>
            <w:r w:rsidRPr="00956CE7">
              <w:rPr>
                <w:rFonts w:ascii="Arial" w:eastAsia="Times New Roman" w:hAnsi="Arial" w:cs="Arial"/>
                <w:color w:val="000000"/>
                <w:sz w:val="20"/>
                <w:szCs w:val="20"/>
                <w:lang w:eastAsia="en-GB"/>
              </w:rPr>
              <w:t xml:space="preserve">41,773 </w:t>
            </w:r>
          </w:p>
        </w:tc>
        <w:tc>
          <w:tcPr>
            <w:tcW w:w="1139" w:type="dxa"/>
            <w:tcBorders>
              <w:top w:val="nil"/>
              <w:left w:val="nil"/>
              <w:bottom w:val="nil"/>
              <w:right w:val="nil"/>
            </w:tcBorders>
            <w:shd w:val="clear" w:color="000000" w:fill="EDFFB7"/>
            <w:noWrap/>
            <w:vAlign w:val="center"/>
            <w:hideMark/>
          </w:tcPr>
          <w:p w14:paraId="5D17E352" w14:textId="77777777" w:rsidR="0021298F" w:rsidRPr="00956CE7" w:rsidRDefault="0021298F" w:rsidP="00760009">
            <w:pPr>
              <w:jc w:val="right"/>
              <w:rPr>
                <w:rFonts w:ascii="Arial" w:eastAsia="Times New Roman" w:hAnsi="Arial" w:cs="Arial"/>
                <w:color w:val="000000"/>
                <w:sz w:val="20"/>
                <w:szCs w:val="20"/>
                <w:lang w:eastAsia="en-GB"/>
              </w:rPr>
            </w:pPr>
            <w:r w:rsidRPr="00956CE7">
              <w:rPr>
                <w:rFonts w:ascii="Arial" w:eastAsia="Times New Roman" w:hAnsi="Arial" w:cs="Arial"/>
                <w:color w:val="000000"/>
                <w:sz w:val="20"/>
                <w:szCs w:val="20"/>
                <w:lang w:eastAsia="en-GB"/>
              </w:rPr>
              <w:t xml:space="preserve"> - </w:t>
            </w:r>
          </w:p>
        </w:tc>
        <w:tc>
          <w:tcPr>
            <w:tcW w:w="1250" w:type="dxa"/>
            <w:tcBorders>
              <w:top w:val="nil"/>
              <w:left w:val="nil"/>
              <w:bottom w:val="nil"/>
              <w:right w:val="nil"/>
            </w:tcBorders>
            <w:shd w:val="clear" w:color="000000" w:fill="EDFFB7"/>
            <w:noWrap/>
            <w:vAlign w:val="center"/>
            <w:hideMark/>
          </w:tcPr>
          <w:p w14:paraId="7878BB38" w14:textId="77777777" w:rsidR="0021298F" w:rsidRPr="00956CE7" w:rsidRDefault="0021298F" w:rsidP="00760009">
            <w:pPr>
              <w:jc w:val="right"/>
              <w:rPr>
                <w:rFonts w:ascii="Arial" w:eastAsia="Times New Roman" w:hAnsi="Arial" w:cs="Arial"/>
                <w:color w:val="000000"/>
                <w:sz w:val="20"/>
                <w:szCs w:val="20"/>
                <w:lang w:eastAsia="en-GB"/>
              </w:rPr>
            </w:pPr>
            <w:r w:rsidRPr="00956CE7">
              <w:rPr>
                <w:rFonts w:ascii="Arial" w:eastAsia="Times New Roman" w:hAnsi="Arial" w:cs="Arial"/>
                <w:color w:val="000000"/>
                <w:sz w:val="20"/>
                <w:szCs w:val="20"/>
                <w:lang w:eastAsia="en-GB"/>
              </w:rPr>
              <w:t xml:space="preserve">218 </w:t>
            </w:r>
          </w:p>
        </w:tc>
        <w:tc>
          <w:tcPr>
            <w:tcW w:w="1339" w:type="dxa"/>
            <w:tcBorders>
              <w:top w:val="nil"/>
              <w:left w:val="nil"/>
              <w:bottom w:val="nil"/>
              <w:right w:val="nil"/>
            </w:tcBorders>
            <w:shd w:val="clear" w:color="000000" w:fill="EDFFB7"/>
            <w:noWrap/>
            <w:vAlign w:val="center"/>
            <w:hideMark/>
          </w:tcPr>
          <w:p w14:paraId="4AB34BE7" w14:textId="77777777" w:rsidR="0021298F" w:rsidRPr="00956CE7" w:rsidRDefault="0021298F" w:rsidP="00760009">
            <w:pPr>
              <w:jc w:val="right"/>
              <w:rPr>
                <w:rFonts w:ascii="Arial" w:eastAsia="Times New Roman" w:hAnsi="Arial" w:cs="Arial"/>
                <w:color w:val="000000"/>
                <w:sz w:val="20"/>
                <w:szCs w:val="20"/>
                <w:lang w:eastAsia="en-GB"/>
              </w:rPr>
            </w:pPr>
            <w:r w:rsidRPr="00956CE7">
              <w:rPr>
                <w:rFonts w:ascii="Arial" w:eastAsia="Times New Roman" w:hAnsi="Arial" w:cs="Arial"/>
                <w:color w:val="000000"/>
                <w:sz w:val="20"/>
                <w:szCs w:val="20"/>
                <w:lang w:eastAsia="en-GB"/>
              </w:rPr>
              <w:t xml:space="preserve"> (2,883)</w:t>
            </w:r>
          </w:p>
        </w:tc>
        <w:tc>
          <w:tcPr>
            <w:tcW w:w="1184" w:type="dxa"/>
            <w:tcBorders>
              <w:top w:val="nil"/>
              <w:left w:val="nil"/>
              <w:bottom w:val="nil"/>
              <w:right w:val="nil"/>
            </w:tcBorders>
            <w:shd w:val="clear" w:color="000000" w:fill="EDFFB7"/>
            <w:noWrap/>
            <w:vAlign w:val="center"/>
            <w:hideMark/>
          </w:tcPr>
          <w:p w14:paraId="5B73C0CC" w14:textId="77777777" w:rsidR="0021298F" w:rsidRPr="00956CE7" w:rsidRDefault="0021298F" w:rsidP="00760009">
            <w:pPr>
              <w:jc w:val="right"/>
              <w:rPr>
                <w:rFonts w:ascii="Arial" w:eastAsia="Times New Roman" w:hAnsi="Arial" w:cs="Arial"/>
                <w:color w:val="000000"/>
                <w:sz w:val="20"/>
                <w:szCs w:val="20"/>
                <w:lang w:eastAsia="en-GB"/>
              </w:rPr>
            </w:pPr>
            <w:r w:rsidRPr="00956CE7">
              <w:rPr>
                <w:rFonts w:ascii="Arial" w:eastAsia="Times New Roman" w:hAnsi="Arial" w:cs="Arial"/>
                <w:color w:val="000000"/>
                <w:sz w:val="20"/>
                <w:szCs w:val="20"/>
                <w:lang w:eastAsia="en-GB"/>
              </w:rPr>
              <w:t xml:space="preserve">39,108 </w:t>
            </w:r>
          </w:p>
        </w:tc>
        <w:tc>
          <w:tcPr>
            <w:tcW w:w="1275" w:type="dxa"/>
            <w:tcBorders>
              <w:top w:val="nil"/>
              <w:left w:val="nil"/>
              <w:bottom w:val="nil"/>
              <w:right w:val="nil"/>
            </w:tcBorders>
            <w:shd w:val="clear" w:color="000000" w:fill="EDFFB7"/>
            <w:noWrap/>
            <w:vAlign w:val="center"/>
            <w:hideMark/>
          </w:tcPr>
          <w:p w14:paraId="02B830D3" w14:textId="77777777" w:rsidR="0021298F" w:rsidRPr="00956CE7" w:rsidRDefault="0021298F" w:rsidP="00760009">
            <w:pPr>
              <w:jc w:val="right"/>
              <w:rPr>
                <w:rFonts w:ascii="Arial" w:eastAsia="Times New Roman" w:hAnsi="Arial" w:cs="Arial"/>
                <w:color w:val="000000"/>
                <w:sz w:val="20"/>
                <w:szCs w:val="20"/>
                <w:lang w:eastAsia="en-GB"/>
              </w:rPr>
            </w:pPr>
            <w:r w:rsidRPr="00956CE7">
              <w:rPr>
                <w:rFonts w:ascii="Arial" w:eastAsia="Times New Roman" w:hAnsi="Arial" w:cs="Arial"/>
                <w:color w:val="000000"/>
                <w:sz w:val="20"/>
                <w:szCs w:val="20"/>
                <w:lang w:eastAsia="en-GB"/>
              </w:rPr>
              <w:t xml:space="preserve"> - </w:t>
            </w:r>
          </w:p>
        </w:tc>
        <w:tc>
          <w:tcPr>
            <w:tcW w:w="1057" w:type="dxa"/>
            <w:tcBorders>
              <w:top w:val="nil"/>
              <w:left w:val="nil"/>
              <w:bottom w:val="nil"/>
              <w:right w:val="nil"/>
            </w:tcBorders>
            <w:shd w:val="clear" w:color="000000" w:fill="EDFFB7"/>
            <w:noWrap/>
            <w:vAlign w:val="center"/>
            <w:hideMark/>
          </w:tcPr>
          <w:p w14:paraId="6F35B28A" w14:textId="77777777" w:rsidR="0021298F" w:rsidRPr="00956CE7" w:rsidRDefault="0021298F" w:rsidP="00760009">
            <w:pPr>
              <w:jc w:val="right"/>
              <w:rPr>
                <w:rFonts w:ascii="Arial" w:eastAsia="Times New Roman" w:hAnsi="Arial" w:cs="Arial"/>
                <w:color w:val="000000"/>
                <w:sz w:val="20"/>
                <w:szCs w:val="20"/>
                <w:lang w:eastAsia="en-GB"/>
              </w:rPr>
            </w:pPr>
            <w:r w:rsidRPr="00956CE7">
              <w:rPr>
                <w:rFonts w:ascii="Arial" w:eastAsia="Times New Roman" w:hAnsi="Arial" w:cs="Arial"/>
                <w:color w:val="000000"/>
                <w:sz w:val="20"/>
                <w:szCs w:val="20"/>
                <w:lang w:eastAsia="en-GB"/>
              </w:rPr>
              <w:t xml:space="preserve">39,108 </w:t>
            </w:r>
          </w:p>
        </w:tc>
        <w:tc>
          <w:tcPr>
            <w:tcW w:w="1361" w:type="dxa"/>
            <w:tcBorders>
              <w:top w:val="nil"/>
              <w:left w:val="nil"/>
              <w:bottom w:val="nil"/>
              <w:right w:val="nil"/>
            </w:tcBorders>
            <w:shd w:val="clear" w:color="000000" w:fill="EDFFB7"/>
            <w:noWrap/>
            <w:vAlign w:val="center"/>
            <w:hideMark/>
          </w:tcPr>
          <w:p w14:paraId="7A0F588F" w14:textId="77777777" w:rsidR="0021298F" w:rsidRPr="00956CE7" w:rsidRDefault="0021298F" w:rsidP="00760009">
            <w:pPr>
              <w:jc w:val="right"/>
              <w:rPr>
                <w:rFonts w:ascii="Arial" w:eastAsia="Times New Roman" w:hAnsi="Arial" w:cs="Arial"/>
                <w:color w:val="000000"/>
                <w:sz w:val="20"/>
                <w:szCs w:val="20"/>
                <w:lang w:eastAsia="en-GB"/>
              </w:rPr>
            </w:pPr>
            <w:r w:rsidRPr="00956CE7">
              <w:rPr>
                <w:rFonts w:ascii="Arial" w:eastAsia="Times New Roman" w:hAnsi="Arial" w:cs="Arial"/>
                <w:color w:val="000000"/>
                <w:sz w:val="20"/>
                <w:szCs w:val="20"/>
                <w:lang w:eastAsia="en-GB"/>
              </w:rPr>
              <w:t xml:space="preserve">942 </w:t>
            </w:r>
          </w:p>
        </w:tc>
      </w:tr>
      <w:tr w:rsidR="0021298F" w:rsidRPr="00956CE7" w14:paraId="65C33019" w14:textId="77777777" w:rsidTr="00760009">
        <w:trPr>
          <w:trHeight w:val="300"/>
        </w:trPr>
        <w:tc>
          <w:tcPr>
            <w:tcW w:w="1606" w:type="dxa"/>
            <w:tcBorders>
              <w:top w:val="nil"/>
              <w:left w:val="nil"/>
              <w:bottom w:val="nil"/>
              <w:right w:val="nil"/>
            </w:tcBorders>
            <w:shd w:val="clear" w:color="000000" w:fill="FFFFFF"/>
            <w:noWrap/>
            <w:vAlign w:val="center"/>
            <w:hideMark/>
          </w:tcPr>
          <w:p w14:paraId="648AFC4F" w14:textId="77777777" w:rsidR="0021298F" w:rsidRPr="00956CE7" w:rsidRDefault="0021298F" w:rsidP="00760009">
            <w:pPr>
              <w:rPr>
                <w:rFonts w:ascii="Arial" w:eastAsia="Times New Roman" w:hAnsi="Arial" w:cs="Arial"/>
                <w:color w:val="000000"/>
                <w:sz w:val="20"/>
                <w:szCs w:val="20"/>
                <w:lang w:eastAsia="en-GB"/>
              </w:rPr>
            </w:pPr>
            <w:r w:rsidRPr="00956CE7">
              <w:rPr>
                <w:rFonts w:ascii="Arial" w:eastAsia="Times New Roman" w:hAnsi="Arial" w:cs="Arial"/>
                <w:color w:val="000000"/>
                <w:sz w:val="20"/>
                <w:szCs w:val="20"/>
                <w:lang w:eastAsia="en-GB"/>
              </w:rPr>
              <w:t>Killala</w:t>
            </w:r>
          </w:p>
        </w:tc>
        <w:tc>
          <w:tcPr>
            <w:tcW w:w="1036" w:type="dxa"/>
            <w:tcBorders>
              <w:top w:val="nil"/>
              <w:left w:val="nil"/>
              <w:bottom w:val="nil"/>
              <w:right w:val="nil"/>
            </w:tcBorders>
            <w:shd w:val="clear" w:color="000000" w:fill="EDFFB7"/>
            <w:noWrap/>
            <w:vAlign w:val="center"/>
            <w:hideMark/>
          </w:tcPr>
          <w:p w14:paraId="42FE5C15" w14:textId="77777777" w:rsidR="0021298F" w:rsidRPr="00956CE7" w:rsidRDefault="0021298F" w:rsidP="00760009">
            <w:pPr>
              <w:jc w:val="right"/>
              <w:rPr>
                <w:rFonts w:ascii="Arial" w:eastAsia="Times New Roman" w:hAnsi="Arial" w:cs="Arial"/>
                <w:color w:val="000000"/>
                <w:sz w:val="20"/>
                <w:szCs w:val="20"/>
                <w:lang w:eastAsia="en-GB"/>
              </w:rPr>
            </w:pPr>
            <w:r w:rsidRPr="00956CE7">
              <w:rPr>
                <w:rFonts w:ascii="Arial" w:eastAsia="Times New Roman" w:hAnsi="Arial" w:cs="Arial"/>
                <w:color w:val="000000"/>
                <w:sz w:val="20"/>
                <w:szCs w:val="20"/>
                <w:lang w:eastAsia="en-GB"/>
              </w:rPr>
              <w:t xml:space="preserve">27,006 </w:t>
            </w:r>
          </w:p>
        </w:tc>
        <w:tc>
          <w:tcPr>
            <w:tcW w:w="1139" w:type="dxa"/>
            <w:tcBorders>
              <w:top w:val="nil"/>
              <w:left w:val="nil"/>
              <w:bottom w:val="nil"/>
              <w:right w:val="nil"/>
            </w:tcBorders>
            <w:shd w:val="clear" w:color="000000" w:fill="EDFFB7"/>
            <w:noWrap/>
            <w:vAlign w:val="center"/>
            <w:hideMark/>
          </w:tcPr>
          <w:p w14:paraId="331F755C" w14:textId="77777777" w:rsidR="0021298F" w:rsidRPr="00956CE7" w:rsidRDefault="0021298F" w:rsidP="00760009">
            <w:pPr>
              <w:jc w:val="right"/>
              <w:rPr>
                <w:rFonts w:ascii="Arial" w:eastAsia="Times New Roman" w:hAnsi="Arial" w:cs="Arial"/>
                <w:color w:val="000000"/>
                <w:sz w:val="20"/>
                <w:szCs w:val="20"/>
                <w:lang w:eastAsia="en-GB"/>
              </w:rPr>
            </w:pPr>
            <w:r w:rsidRPr="00956CE7">
              <w:rPr>
                <w:rFonts w:ascii="Arial" w:eastAsia="Times New Roman" w:hAnsi="Arial" w:cs="Arial"/>
                <w:color w:val="000000"/>
                <w:sz w:val="20"/>
                <w:szCs w:val="20"/>
                <w:lang w:eastAsia="en-GB"/>
              </w:rPr>
              <w:t xml:space="preserve"> - </w:t>
            </w:r>
          </w:p>
        </w:tc>
        <w:tc>
          <w:tcPr>
            <w:tcW w:w="1250" w:type="dxa"/>
            <w:tcBorders>
              <w:top w:val="nil"/>
              <w:left w:val="nil"/>
              <w:bottom w:val="nil"/>
              <w:right w:val="nil"/>
            </w:tcBorders>
            <w:shd w:val="clear" w:color="000000" w:fill="EDFFB7"/>
            <w:noWrap/>
            <w:vAlign w:val="center"/>
            <w:hideMark/>
          </w:tcPr>
          <w:p w14:paraId="58E61B32" w14:textId="77777777" w:rsidR="0021298F" w:rsidRPr="00956CE7" w:rsidRDefault="0021298F" w:rsidP="00760009">
            <w:pPr>
              <w:jc w:val="right"/>
              <w:rPr>
                <w:rFonts w:ascii="Arial" w:eastAsia="Times New Roman" w:hAnsi="Arial" w:cs="Arial"/>
                <w:color w:val="000000"/>
                <w:sz w:val="20"/>
                <w:szCs w:val="20"/>
                <w:lang w:eastAsia="en-GB"/>
              </w:rPr>
            </w:pPr>
            <w:r w:rsidRPr="00956CE7">
              <w:rPr>
                <w:rFonts w:ascii="Arial" w:eastAsia="Times New Roman" w:hAnsi="Arial" w:cs="Arial"/>
                <w:color w:val="000000"/>
                <w:sz w:val="20"/>
                <w:szCs w:val="20"/>
                <w:lang w:eastAsia="en-GB"/>
              </w:rPr>
              <w:t xml:space="preserve"> - </w:t>
            </w:r>
          </w:p>
        </w:tc>
        <w:tc>
          <w:tcPr>
            <w:tcW w:w="1339" w:type="dxa"/>
            <w:tcBorders>
              <w:top w:val="nil"/>
              <w:left w:val="nil"/>
              <w:bottom w:val="nil"/>
              <w:right w:val="nil"/>
            </w:tcBorders>
            <w:shd w:val="clear" w:color="000000" w:fill="EDFFB7"/>
            <w:noWrap/>
            <w:vAlign w:val="center"/>
            <w:hideMark/>
          </w:tcPr>
          <w:p w14:paraId="0EAE1FAA" w14:textId="77777777" w:rsidR="0021298F" w:rsidRPr="00956CE7" w:rsidRDefault="0021298F" w:rsidP="00760009">
            <w:pPr>
              <w:jc w:val="right"/>
              <w:rPr>
                <w:rFonts w:ascii="Arial" w:eastAsia="Times New Roman" w:hAnsi="Arial" w:cs="Arial"/>
                <w:color w:val="000000"/>
                <w:sz w:val="20"/>
                <w:szCs w:val="20"/>
                <w:lang w:eastAsia="en-GB"/>
              </w:rPr>
            </w:pPr>
            <w:r w:rsidRPr="00956CE7">
              <w:rPr>
                <w:rFonts w:ascii="Arial" w:eastAsia="Times New Roman" w:hAnsi="Arial" w:cs="Arial"/>
                <w:color w:val="000000"/>
                <w:sz w:val="20"/>
                <w:szCs w:val="20"/>
                <w:lang w:eastAsia="en-GB"/>
              </w:rPr>
              <w:t xml:space="preserve"> (300)</w:t>
            </w:r>
          </w:p>
        </w:tc>
        <w:tc>
          <w:tcPr>
            <w:tcW w:w="1184" w:type="dxa"/>
            <w:tcBorders>
              <w:top w:val="nil"/>
              <w:left w:val="nil"/>
              <w:bottom w:val="nil"/>
              <w:right w:val="nil"/>
            </w:tcBorders>
            <w:shd w:val="clear" w:color="000000" w:fill="EDFFB7"/>
            <w:noWrap/>
            <w:vAlign w:val="center"/>
            <w:hideMark/>
          </w:tcPr>
          <w:p w14:paraId="49016FB5" w14:textId="77777777" w:rsidR="0021298F" w:rsidRPr="00956CE7" w:rsidRDefault="0021298F" w:rsidP="00760009">
            <w:pPr>
              <w:jc w:val="right"/>
              <w:rPr>
                <w:rFonts w:ascii="Arial" w:eastAsia="Times New Roman" w:hAnsi="Arial" w:cs="Arial"/>
                <w:color w:val="000000"/>
                <w:sz w:val="20"/>
                <w:szCs w:val="20"/>
                <w:lang w:eastAsia="en-GB"/>
              </w:rPr>
            </w:pPr>
            <w:r w:rsidRPr="00956CE7">
              <w:rPr>
                <w:rFonts w:ascii="Arial" w:eastAsia="Times New Roman" w:hAnsi="Arial" w:cs="Arial"/>
                <w:color w:val="000000"/>
                <w:sz w:val="20"/>
                <w:szCs w:val="20"/>
                <w:lang w:eastAsia="en-GB"/>
              </w:rPr>
              <w:t xml:space="preserve">26,706 </w:t>
            </w:r>
          </w:p>
        </w:tc>
        <w:tc>
          <w:tcPr>
            <w:tcW w:w="1275" w:type="dxa"/>
            <w:tcBorders>
              <w:top w:val="nil"/>
              <w:left w:val="nil"/>
              <w:bottom w:val="nil"/>
              <w:right w:val="nil"/>
            </w:tcBorders>
            <w:shd w:val="clear" w:color="000000" w:fill="EDFFB7"/>
            <w:noWrap/>
            <w:vAlign w:val="center"/>
            <w:hideMark/>
          </w:tcPr>
          <w:p w14:paraId="5727605F" w14:textId="77777777" w:rsidR="0021298F" w:rsidRPr="00956CE7" w:rsidRDefault="0021298F" w:rsidP="00760009">
            <w:pPr>
              <w:jc w:val="right"/>
              <w:rPr>
                <w:rFonts w:ascii="Arial" w:eastAsia="Times New Roman" w:hAnsi="Arial" w:cs="Arial"/>
                <w:color w:val="000000"/>
                <w:sz w:val="20"/>
                <w:szCs w:val="20"/>
                <w:lang w:eastAsia="en-GB"/>
              </w:rPr>
            </w:pPr>
            <w:r w:rsidRPr="00956CE7">
              <w:rPr>
                <w:rFonts w:ascii="Arial" w:eastAsia="Times New Roman" w:hAnsi="Arial" w:cs="Arial"/>
                <w:color w:val="000000"/>
                <w:sz w:val="20"/>
                <w:szCs w:val="20"/>
                <w:lang w:eastAsia="en-GB"/>
              </w:rPr>
              <w:t xml:space="preserve"> - </w:t>
            </w:r>
          </w:p>
        </w:tc>
        <w:tc>
          <w:tcPr>
            <w:tcW w:w="1057" w:type="dxa"/>
            <w:tcBorders>
              <w:top w:val="nil"/>
              <w:left w:val="nil"/>
              <w:bottom w:val="nil"/>
              <w:right w:val="nil"/>
            </w:tcBorders>
            <w:shd w:val="clear" w:color="000000" w:fill="EDFFB7"/>
            <w:noWrap/>
            <w:vAlign w:val="center"/>
            <w:hideMark/>
          </w:tcPr>
          <w:p w14:paraId="1CA912C0" w14:textId="77777777" w:rsidR="0021298F" w:rsidRPr="00956CE7" w:rsidRDefault="0021298F" w:rsidP="00760009">
            <w:pPr>
              <w:jc w:val="right"/>
              <w:rPr>
                <w:rFonts w:ascii="Arial" w:eastAsia="Times New Roman" w:hAnsi="Arial" w:cs="Arial"/>
                <w:color w:val="000000"/>
                <w:sz w:val="20"/>
                <w:szCs w:val="20"/>
                <w:lang w:eastAsia="en-GB"/>
              </w:rPr>
            </w:pPr>
            <w:r w:rsidRPr="00956CE7">
              <w:rPr>
                <w:rFonts w:ascii="Arial" w:eastAsia="Times New Roman" w:hAnsi="Arial" w:cs="Arial"/>
                <w:color w:val="000000"/>
                <w:sz w:val="20"/>
                <w:szCs w:val="20"/>
                <w:lang w:eastAsia="en-GB"/>
              </w:rPr>
              <w:t xml:space="preserve">26,706 </w:t>
            </w:r>
          </w:p>
        </w:tc>
        <w:tc>
          <w:tcPr>
            <w:tcW w:w="1361" w:type="dxa"/>
            <w:tcBorders>
              <w:top w:val="nil"/>
              <w:left w:val="nil"/>
              <w:bottom w:val="nil"/>
              <w:right w:val="nil"/>
            </w:tcBorders>
            <w:shd w:val="clear" w:color="000000" w:fill="EDFFB7"/>
            <w:noWrap/>
            <w:vAlign w:val="center"/>
            <w:hideMark/>
          </w:tcPr>
          <w:p w14:paraId="1D411B5B" w14:textId="77777777" w:rsidR="0021298F" w:rsidRPr="00956CE7" w:rsidRDefault="0021298F" w:rsidP="00760009">
            <w:pPr>
              <w:jc w:val="right"/>
              <w:rPr>
                <w:rFonts w:ascii="Arial" w:eastAsia="Times New Roman" w:hAnsi="Arial" w:cs="Arial"/>
                <w:color w:val="000000"/>
                <w:sz w:val="20"/>
                <w:szCs w:val="20"/>
                <w:lang w:eastAsia="en-GB"/>
              </w:rPr>
            </w:pPr>
            <w:r w:rsidRPr="00956CE7">
              <w:rPr>
                <w:rFonts w:ascii="Arial" w:eastAsia="Times New Roman" w:hAnsi="Arial" w:cs="Arial"/>
                <w:color w:val="000000"/>
                <w:sz w:val="20"/>
                <w:szCs w:val="20"/>
                <w:lang w:eastAsia="en-GB"/>
              </w:rPr>
              <w:t xml:space="preserve">834 </w:t>
            </w:r>
          </w:p>
        </w:tc>
      </w:tr>
      <w:tr w:rsidR="0021298F" w:rsidRPr="00956CE7" w14:paraId="25EEC0E5" w14:textId="77777777" w:rsidTr="00760009">
        <w:trPr>
          <w:trHeight w:val="300"/>
        </w:trPr>
        <w:tc>
          <w:tcPr>
            <w:tcW w:w="1606" w:type="dxa"/>
            <w:tcBorders>
              <w:top w:val="nil"/>
              <w:left w:val="nil"/>
              <w:bottom w:val="nil"/>
              <w:right w:val="nil"/>
            </w:tcBorders>
            <w:shd w:val="clear" w:color="000000" w:fill="FFFFFF"/>
            <w:noWrap/>
            <w:vAlign w:val="center"/>
            <w:hideMark/>
          </w:tcPr>
          <w:p w14:paraId="0C191836" w14:textId="77777777" w:rsidR="0021298F" w:rsidRPr="00956CE7" w:rsidRDefault="0021298F" w:rsidP="00760009">
            <w:pPr>
              <w:rPr>
                <w:rFonts w:ascii="Arial" w:eastAsia="Times New Roman" w:hAnsi="Arial" w:cs="Arial"/>
                <w:color w:val="000000"/>
                <w:sz w:val="20"/>
                <w:szCs w:val="20"/>
                <w:lang w:eastAsia="en-GB"/>
              </w:rPr>
            </w:pPr>
            <w:r w:rsidRPr="00956CE7">
              <w:rPr>
                <w:rFonts w:ascii="Arial" w:eastAsia="Times New Roman" w:hAnsi="Arial" w:cs="Arial"/>
                <w:color w:val="000000"/>
                <w:sz w:val="20"/>
                <w:szCs w:val="20"/>
                <w:lang w:eastAsia="en-GB"/>
              </w:rPr>
              <w:t>Letteragh</w:t>
            </w:r>
          </w:p>
        </w:tc>
        <w:tc>
          <w:tcPr>
            <w:tcW w:w="1036" w:type="dxa"/>
            <w:tcBorders>
              <w:top w:val="nil"/>
              <w:left w:val="nil"/>
              <w:bottom w:val="nil"/>
              <w:right w:val="nil"/>
            </w:tcBorders>
            <w:shd w:val="clear" w:color="000000" w:fill="EDFFB7"/>
            <w:noWrap/>
            <w:vAlign w:val="center"/>
            <w:hideMark/>
          </w:tcPr>
          <w:p w14:paraId="39C27D06" w14:textId="77777777" w:rsidR="0021298F" w:rsidRPr="00956CE7" w:rsidRDefault="0021298F" w:rsidP="00760009">
            <w:pPr>
              <w:jc w:val="right"/>
              <w:rPr>
                <w:rFonts w:ascii="Arial" w:eastAsia="Times New Roman" w:hAnsi="Arial" w:cs="Arial"/>
                <w:color w:val="000000"/>
                <w:sz w:val="20"/>
                <w:szCs w:val="20"/>
                <w:lang w:eastAsia="en-GB"/>
              </w:rPr>
            </w:pPr>
            <w:r w:rsidRPr="00956CE7">
              <w:rPr>
                <w:rFonts w:ascii="Arial" w:eastAsia="Times New Roman" w:hAnsi="Arial" w:cs="Arial"/>
                <w:color w:val="000000"/>
                <w:sz w:val="20"/>
                <w:szCs w:val="20"/>
                <w:lang w:eastAsia="en-GB"/>
              </w:rPr>
              <w:t xml:space="preserve"> - </w:t>
            </w:r>
          </w:p>
        </w:tc>
        <w:tc>
          <w:tcPr>
            <w:tcW w:w="1139" w:type="dxa"/>
            <w:tcBorders>
              <w:top w:val="nil"/>
              <w:left w:val="nil"/>
              <w:bottom w:val="nil"/>
              <w:right w:val="nil"/>
            </w:tcBorders>
            <w:shd w:val="clear" w:color="000000" w:fill="EDFFB7"/>
            <w:noWrap/>
            <w:vAlign w:val="center"/>
            <w:hideMark/>
          </w:tcPr>
          <w:p w14:paraId="75432BDD" w14:textId="77777777" w:rsidR="0021298F" w:rsidRPr="00956CE7" w:rsidRDefault="0021298F" w:rsidP="00760009">
            <w:pPr>
              <w:jc w:val="right"/>
              <w:rPr>
                <w:rFonts w:ascii="Arial" w:eastAsia="Times New Roman" w:hAnsi="Arial" w:cs="Arial"/>
                <w:color w:val="000000"/>
                <w:sz w:val="20"/>
                <w:szCs w:val="20"/>
                <w:lang w:eastAsia="en-GB"/>
              </w:rPr>
            </w:pPr>
            <w:r w:rsidRPr="00956CE7">
              <w:rPr>
                <w:rFonts w:ascii="Arial" w:eastAsia="Times New Roman" w:hAnsi="Arial" w:cs="Arial"/>
                <w:color w:val="000000"/>
                <w:sz w:val="20"/>
                <w:szCs w:val="20"/>
                <w:lang w:eastAsia="en-GB"/>
              </w:rPr>
              <w:t xml:space="preserve">29,979 </w:t>
            </w:r>
          </w:p>
        </w:tc>
        <w:tc>
          <w:tcPr>
            <w:tcW w:w="1250" w:type="dxa"/>
            <w:tcBorders>
              <w:top w:val="nil"/>
              <w:left w:val="nil"/>
              <w:bottom w:val="nil"/>
              <w:right w:val="nil"/>
            </w:tcBorders>
            <w:shd w:val="clear" w:color="000000" w:fill="EDFFB7"/>
            <w:noWrap/>
            <w:vAlign w:val="center"/>
            <w:hideMark/>
          </w:tcPr>
          <w:p w14:paraId="2CF6B193" w14:textId="77777777" w:rsidR="0021298F" w:rsidRPr="00956CE7" w:rsidRDefault="0021298F" w:rsidP="00760009">
            <w:pPr>
              <w:jc w:val="right"/>
              <w:rPr>
                <w:rFonts w:ascii="Arial" w:eastAsia="Times New Roman" w:hAnsi="Arial" w:cs="Arial"/>
                <w:color w:val="000000"/>
                <w:sz w:val="20"/>
                <w:szCs w:val="20"/>
                <w:lang w:eastAsia="en-GB"/>
              </w:rPr>
            </w:pPr>
            <w:r w:rsidRPr="00956CE7">
              <w:rPr>
                <w:rFonts w:ascii="Arial" w:eastAsia="Times New Roman" w:hAnsi="Arial" w:cs="Arial"/>
                <w:color w:val="000000"/>
                <w:sz w:val="20"/>
                <w:szCs w:val="20"/>
                <w:lang w:eastAsia="en-GB"/>
              </w:rPr>
              <w:t xml:space="preserve"> - </w:t>
            </w:r>
          </w:p>
        </w:tc>
        <w:tc>
          <w:tcPr>
            <w:tcW w:w="1339" w:type="dxa"/>
            <w:tcBorders>
              <w:top w:val="nil"/>
              <w:left w:val="nil"/>
              <w:bottom w:val="nil"/>
              <w:right w:val="nil"/>
            </w:tcBorders>
            <w:shd w:val="clear" w:color="000000" w:fill="EDFFB7"/>
            <w:noWrap/>
            <w:vAlign w:val="center"/>
            <w:hideMark/>
          </w:tcPr>
          <w:p w14:paraId="0F072AA6" w14:textId="77777777" w:rsidR="0021298F" w:rsidRPr="00956CE7" w:rsidRDefault="0021298F" w:rsidP="00760009">
            <w:pPr>
              <w:jc w:val="right"/>
              <w:rPr>
                <w:rFonts w:ascii="Arial" w:eastAsia="Times New Roman" w:hAnsi="Arial" w:cs="Arial"/>
                <w:color w:val="000000"/>
                <w:sz w:val="20"/>
                <w:szCs w:val="20"/>
                <w:lang w:eastAsia="en-GB"/>
              </w:rPr>
            </w:pPr>
            <w:r w:rsidRPr="00956CE7">
              <w:rPr>
                <w:rFonts w:ascii="Arial" w:eastAsia="Times New Roman" w:hAnsi="Arial" w:cs="Arial"/>
                <w:color w:val="000000"/>
                <w:sz w:val="20"/>
                <w:szCs w:val="20"/>
                <w:lang w:eastAsia="en-GB"/>
              </w:rPr>
              <w:t xml:space="preserve"> (4,629)</w:t>
            </w:r>
          </w:p>
        </w:tc>
        <w:tc>
          <w:tcPr>
            <w:tcW w:w="1184" w:type="dxa"/>
            <w:tcBorders>
              <w:top w:val="nil"/>
              <w:left w:val="nil"/>
              <w:bottom w:val="nil"/>
              <w:right w:val="nil"/>
            </w:tcBorders>
            <w:shd w:val="clear" w:color="000000" w:fill="EDFFB7"/>
            <w:noWrap/>
            <w:vAlign w:val="center"/>
            <w:hideMark/>
          </w:tcPr>
          <w:p w14:paraId="20FBD868" w14:textId="77777777" w:rsidR="0021298F" w:rsidRPr="00956CE7" w:rsidRDefault="0021298F" w:rsidP="00760009">
            <w:pPr>
              <w:jc w:val="right"/>
              <w:rPr>
                <w:rFonts w:ascii="Arial" w:eastAsia="Times New Roman" w:hAnsi="Arial" w:cs="Arial"/>
                <w:color w:val="000000"/>
                <w:sz w:val="20"/>
                <w:szCs w:val="20"/>
                <w:lang w:eastAsia="en-GB"/>
              </w:rPr>
            </w:pPr>
            <w:r w:rsidRPr="00956CE7">
              <w:rPr>
                <w:rFonts w:ascii="Arial" w:eastAsia="Times New Roman" w:hAnsi="Arial" w:cs="Arial"/>
                <w:color w:val="000000"/>
                <w:sz w:val="20"/>
                <w:szCs w:val="20"/>
                <w:lang w:eastAsia="en-GB"/>
              </w:rPr>
              <w:t xml:space="preserve">25,350 </w:t>
            </w:r>
          </w:p>
        </w:tc>
        <w:tc>
          <w:tcPr>
            <w:tcW w:w="1275" w:type="dxa"/>
            <w:tcBorders>
              <w:top w:val="nil"/>
              <w:left w:val="nil"/>
              <w:bottom w:val="nil"/>
              <w:right w:val="nil"/>
            </w:tcBorders>
            <w:shd w:val="clear" w:color="000000" w:fill="EDFFB7"/>
            <w:noWrap/>
            <w:vAlign w:val="center"/>
            <w:hideMark/>
          </w:tcPr>
          <w:p w14:paraId="78A9C6CC" w14:textId="77777777" w:rsidR="0021298F" w:rsidRPr="00956CE7" w:rsidRDefault="0021298F" w:rsidP="00760009">
            <w:pPr>
              <w:jc w:val="right"/>
              <w:rPr>
                <w:rFonts w:ascii="Arial" w:eastAsia="Times New Roman" w:hAnsi="Arial" w:cs="Arial"/>
                <w:color w:val="000000"/>
                <w:sz w:val="20"/>
                <w:szCs w:val="20"/>
                <w:lang w:eastAsia="en-GB"/>
              </w:rPr>
            </w:pPr>
            <w:r w:rsidRPr="00956CE7">
              <w:rPr>
                <w:rFonts w:ascii="Arial" w:eastAsia="Times New Roman" w:hAnsi="Arial" w:cs="Arial"/>
                <w:color w:val="000000"/>
                <w:sz w:val="20"/>
                <w:szCs w:val="20"/>
                <w:lang w:eastAsia="en-GB"/>
              </w:rPr>
              <w:t xml:space="preserve"> - </w:t>
            </w:r>
          </w:p>
        </w:tc>
        <w:tc>
          <w:tcPr>
            <w:tcW w:w="1057" w:type="dxa"/>
            <w:tcBorders>
              <w:top w:val="nil"/>
              <w:left w:val="nil"/>
              <w:bottom w:val="nil"/>
              <w:right w:val="nil"/>
            </w:tcBorders>
            <w:shd w:val="clear" w:color="000000" w:fill="EDFFB7"/>
            <w:noWrap/>
            <w:vAlign w:val="center"/>
            <w:hideMark/>
          </w:tcPr>
          <w:p w14:paraId="243C8915" w14:textId="77777777" w:rsidR="0021298F" w:rsidRPr="00956CE7" w:rsidRDefault="0021298F" w:rsidP="00760009">
            <w:pPr>
              <w:jc w:val="right"/>
              <w:rPr>
                <w:rFonts w:ascii="Arial" w:eastAsia="Times New Roman" w:hAnsi="Arial" w:cs="Arial"/>
                <w:color w:val="000000"/>
                <w:sz w:val="20"/>
                <w:szCs w:val="20"/>
                <w:lang w:eastAsia="en-GB"/>
              </w:rPr>
            </w:pPr>
            <w:r w:rsidRPr="00956CE7">
              <w:rPr>
                <w:rFonts w:ascii="Arial" w:eastAsia="Times New Roman" w:hAnsi="Arial" w:cs="Arial"/>
                <w:color w:val="000000"/>
                <w:sz w:val="20"/>
                <w:szCs w:val="20"/>
                <w:lang w:eastAsia="en-GB"/>
              </w:rPr>
              <w:t xml:space="preserve">25,350 </w:t>
            </w:r>
          </w:p>
        </w:tc>
        <w:tc>
          <w:tcPr>
            <w:tcW w:w="1361" w:type="dxa"/>
            <w:tcBorders>
              <w:top w:val="nil"/>
              <w:left w:val="nil"/>
              <w:bottom w:val="nil"/>
              <w:right w:val="nil"/>
            </w:tcBorders>
            <w:shd w:val="clear" w:color="000000" w:fill="EDFFB7"/>
            <w:noWrap/>
            <w:vAlign w:val="center"/>
            <w:hideMark/>
          </w:tcPr>
          <w:p w14:paraId="41639F9A" w14:textId="77777777" w:rsidR="0021298F" w:rsidRPr="00956CE7" w:rsidRDefault="0021298F" w:rsidP="00760009">
            <w:pPr>
              <w:jc w:val="right"/>
              <w:rPr>
                <w:rFonts w:ascii="Arial" w:eastAsia="Times New Roman" w:hAnsi="Arial" w:cs="Arial"/>
                <w:color w:val="000000"/>
                <w:sz w:val="20"/>
                <w:szCs w:val="20"/>
                <w:lang w:eastAsia="en-GB"/>
              </w:rPr>
            </w:pPr>
            <w:r w:rsidRPr="00956CE7">
              <w:rPr>
                <w:rFonts w:ascii="Arial" w:eastAsia="Times New Roman" w:hAnsi="Arial" w:cs="Arial"/>
                <w:color w:val="000000"/>
                <w:sz w:val="20"/>
                <w:szCs w:val="20"/>
                <w:lang w:eastAsia="en-GB"/>
              </w:rPr>
              <w:t xml:space="preserve">814 </w:t>
            </w:r>
          </w:p>
        </w:tc>
      </w:tr>
      <w:tr w:rsidR="0021298F" w:rsidRPr="00956CE7" w14:paraId="209CDE7D" w14:textId="77777777" w:rsidTr="00760009">
        <w:trPr>
          <w:trHeight w:val="300"/>
        </w:trPr>
        <w:tc>
          <w:tcPr>
            <w:tcW w:w="1606" w:type="dxa"/>
            <w:tcBorders>
              <w:top w:val="nil"/>
              <w:left w:val="nil"/>
              <w:bottom w:val="nil"/>
              <w:right w:val="nil"/>
            </w:tcBorders>
            <w:shd w:val="clear" w:color="000000" w:fill="FFFFFF"/>
            <w:noWrap/>
            <w:vAlign w:val="center"/>
            <w:hideMark/>
          </w:tcPr>
          <w:p w14:paraId="536AE4E3" w14:textId="77777777" w:rsidR="0021298F" w:rsidRPr="00956CE7" w:rsidRDefault="0021298F" w:rsidP="00760009">
            <w:pPr>
              <w:rPr>
                <w:rFonts w:ascii="Arial" w:eastAsia="Times New Roman" w:hAnsi="Arial" w:cs="Arial"/>
                <w:color w:val="000000"/>
                <w:sz w:val="20"/>
                <w:szCs w:val="20"/>
                <w:lang w:eastAsia="en-GB"/>
              </w:rPr>
            </w:pPr>
            <w:r w:rsidRPr="00956CE7">
              <w:rPr>
                <w:rFonts w:ascii="Arial" w:eastAsia="Times New Roman" w:hAnsi="Arial" w:cs="Arial"/>
                <w:color w:val="000000"/>
                <w:sz w:val="20"/>
                <w:szCs w:val="20"/>
                <w:lang w:eastAsia="en-GB"/>
              </w:rPr>
              <w:t>Killhills</w:t>
            </w:r>
          </w:p>
        </w:tc>
        <w:tc>
          <w:tcPr>
            <w:tcW w:w="1036" w:type="dxa"/>
            <w:tcBorders>
              <w:top w:val="nil"/>
              <w:left w:val="nil"/>
              <w:bottom w:val="nil"/>
              <w:right w:val="nil"/>
            </w:tcBorders>
            <w:shd w:val="clear" w:color="000000" w:fill="EDFFB7"/>
            <w:noWrap/>
            <w:vAlign w:val="center"/>
            <w:hideMark/>
          </w:tcPr>
          <w:p w14:paraId="46DBAE2F" w14:textId="77777777" w:rsidR="0021298F" w:rsidRPr="00956CE7" w:rsidRDefault="0021298F" w:rsidP="00760009">
            <w:pPr>
              <w:jc w:val="right"/>
              <w:rPr>
                <w:rFonts w:ascii="Arial" w:eastAsia="Times New Roman" w:hAnsi="Arial" w:cs="Arial"/>
                <w:color w:val="000000"/>
                <w:sz w:val="20"/>
                <w:szCs w:val="20"/>
                <w:lang w:eastAsia="en-GB"/>
              </w:rPr>
            </w:pPr>
            <w:r w:rsidRPr="00956CE7">
              <w:rPr>
                <w:rFonts w:ascii="Arial" w:eastAsia="Times New Roman" w:hAnsi="Arial" w:cs="Arial"/>
                <w:color w:val="000000"/>
                <w:sz w:val="20"/>
                <w:szCs w:val="20"/>
                <w:lang w:eastAsia="en-GB"/>
              </w:rPr>
              <w:t xml:space="preserve">24,946 </w:t>
            </w:r>
          </w:p>
        </w:tc>
        <w:tc>
          <w:tcPr>
            <w:tcW w:w="1139" w:type="dxa"/>
            <w:tcBorders>
              <w:top w:val="nil"/>
              <w:left w:val="nil"/>
              <w:bottom w:val="nil"/>
              <w:right w:val="nil"/>
            </w:tcBorders>
            <w:shd w:val="clear" w:color="000000" w:fill="EDFFB7"/>
            <w:noWrap/>
            <w:vAlign w:val="center"/>
            <w:hideMark/>
          </w:tcPr>
          <w:p w14:paraId="74B6131E" w14:textId="77777777" w:rsidR="0021298F" w:rsidRPr="00956CE7" w:rsidRDefault="0021298F" w:rsidP="00760009">
            <w:pPr>
              <w:jc w:val="right"/>
              <w:rPr>
                <w:rFonts w:ascii="Arial" w:eastAsia="Times New Roman" w:hAnsi="Arial" w:cs="Arial"/>
                <w:color w:val="000000"/>
                <w:sz w:val="20"/>
                <w:szCs w:val="20"/>
                <w:lang w:eastAsia="en-GB"/>
              </w:rPr>
            </w:pPr>
            <w:r w:rsidRPr="00956CE7">
              <w:rPr>
                <w:rFonts w:ascii="Arial" w:eastAsia="Times New Roman" w:hAnsi="Arial" w:cs="Arial"/>
                <w:color w:val="000000"/>
                <w:sz w:val="20"/>
                <w:szCs w:val="20"/>
                <w:lang w:eastAsia="en-GB"/>
              </w:rPr>
              <w:t xml:space="preserve"> - </w:t>
            </w:r>
          </w:p>
        </w:tc>
        <w:tc>
          <w:tcPr>
            <w:tcW w:w="1250" w:type="dxa"/>
            <w:tcBorders>
              <w:top w:val="nil"/>
              <w:left w:val="nil"/>
              <w:bottom w:val="nil"/>
              <w:right w:val="nil"/>
            </w:tcBorders>
            <w:shd w:val="clear" w:color="000000" w:fill="EDFFB7"/>
            <w:noWrap/>
            <w:vAlign w:val="center"/>
            <w:hideMark/>
          </w:tcPr>
          <w:p w14:paraId="08086222" w14:textId="77777777" w:rsidR="0021298F" w:rsidRPr="00956CE7" w:rsidRDefault="0021298F" w:rsidP="00760009">
            <w:pPr>
              <w:jc w:val="right"/>
              <w:rPr>
                <w:rFonts w:ascii="Arial" w:eastAsia="Times New Roman" w:hAnsi="Arial" w:cs="Arial"/>
                <w:color w:val="000000"/>
                <w:sz w:val="20"/>
                <w:szCs w:val="20"/>
                <w:lang w:eastAsia="en-GB"/>
              </w:rPr>
            </w:pPr>
            <w:r w:rsidRPr="00956CE7">
              <w:rPr>
                <w:rFonts w:ascii="Arial" w:eastAsia="Times New Roman" w:hAnsi="Arial" w:cs="Arial"/>
                <w:color w:val="000000"/>
                <w:sz w:val="20"/>
                <w:szCs w:val="20"/>
                <w:lang w:eastAsia="en-GB"/>
              </w:rPr>
              <w:t xml:space="preserve">175 </w:t>
            </w:r>
          </w:p>
        </w:tc>
        <w:tc>
          <w:tcPr>
            <w:tcW w:w="1339" w:type="dxa"/>
            <w:tcBorders>
              <w:top w:val="nil"/>
              <w:left w:val="nil"/>
              <w:bottom w:val="nil"/>
              <w:right w:val="nil"/>
            </w:tcBorders>
            <w:shd w:val="clear" w:color="000000" w:fill="EDFFB7"/>
            <w:noWrap/>
            <w:vAlign w:val="center"/>
            <w:hideMark/>
          </w:tcPr>
          <w:p w14:paraId="44A96C1F" w14:textId="77777777" w:rsidR="0021298F" w:rsidRPr="00956CE7" w:rsidRDefault="0021298F" w:rsidP="00760009">
            <w:pPr>
              <w:jc w:val="right"/>
              <w:rPr>
                <w:rFonts w:ascii="Arial" w:eastAsia="Times New Roman" w:hAnsi="Arial" w:cs="Arial"/>
                <w:color w:val="000000"/>
                <w:sz w:val="20"/>
                <w:szCs w:val="20"/>
                <w:lang w:eastAsia="en-GB"/>
              </w:rPr>
            </w:pPr>
            <w:r w:rsidRPr="00956CE7">
              <w:rPr>
                <w:rFonts w:ascii="Arial" w:eastAsia="Times New Roman" w:hAnsi="Arial" w:cs="Arial"/>
                <w:color w:val="000000"/>
                <w:sz w:val="20"/>
                <w:szCs w:val="20"/>
                <w:lang w:eastAsia="en-GB"/>
              </w:rPr>
              <w:t xml:space="preserve"> (50)</w:t>
            </w:r>
          </w:p>
        </w:tc>
        <w:tc>
          <w:tcPr>
            <w:tcW w:w="1184" w:type="dxa"/>
            <w:tcBorders>
              <w:top w:val="nil"/>
              <w:left w:val="nil"/>
              <w:bottom w:val="nil"/>
              <w:right w:val="nil"/>
            </w:tcBorders>
            <w:shd w:val="clear" w:color="000000" w:fill="EDFFB7"/>
            <w:noWrap/>
            <w:vAlign w:val="center"/>
            <w:hideMark/>
          </w:tcPr>
          <w:p w14:paraId="32A5BCD3" w14:textId="77777777" w:rsidR="0021298F" w:rsidRPr="00956CE7" w:rsidRDefault="0021298F" w:rsidP="00760009">
            <w:pPr>
              <w:jc w:val="right"/>
              <w:rPr>
                <w:rFonts w:ascii="Arial" w:eastAsia="Times New Roman" w:hAnsi="Arial" w:cs="Arial"/>
                <w:color w:val="000000"/>
                <w:sz w:val="20"/>
                <w:szCs w:val="20"/>
                <w:lang w:eastAsia="en-GB"/>
              </w:rPr>
            </w:pPr>
            <w:r w:rsidRPr="00956CE7">
              <w:rPr>
                <w:rFonts w:ascii="Arial" w:eastAsia="Times New Roman" w:hAnsi="Arial" w:cs="Arial"/>
                <w:color w:val="000000"/>
                <w:sz w:val="20"/>
                <w:szCs w:val="20"/>
                <w:lang w:eastAsia="en-GB"/>
              </w:rPr>
              <w:t xml:space="preserve">25,071 </w:t>
            </w:r>
          </w:p>
        </w:tc>
        <w:tc>
          <w:tcPr>
            <w:tcW w:w="1275" w:type="dxa"/>
            <w:tcBorders>
              <w:top w:val="nil"/>
              <w:left w:val="nil"/>
              <w:bottom w:val="nil"/>
              <w:right w:val="nil"/>
            </w:tcBorders>
            <w:shd w:val="clear" w:color="000000" w:fill="EDFFB7"/>
            <w:noWrap/>
            <w:vAlign w:val="center"/>
            <w:hideMark/>
          </w:tcPr>
          <w:p w14:paraId="1B49C325" w14:textId="77777777" w:rsidR="0021298F" w:rsidRPr="00956CE7" w:rsidRDefault="0021298F" w:rsidP="00760009">
            <w:pPr>
              <w:jc w:val="right"/>
              <w:rPr>
                <w:rFonts w:ascii="Arial" w:eastAsia="Times New Roman" w:hAnsi="Arial" w:cs="Arial"/>
                <w:color w:val="000000"/>
                <w:sz w:val="20"/>
                <w:szCs w:val="20"/>
                <w:lang w:eastAsia="en-GB"/>
              </w:rPr>
            </w:pPr>
            <w:r w:rsidRPr="00956CE7">
              <w:rPr>
                <w:rFonts w:ascii="Arial" w:eastAsia="Times New Roman" w:hAnsi="Arial" w:cs="Arial"/>
                <w:color w:val="000000"/>
                <w:sz w:val="20"/>
                <w:szCs w:val="20"/>
                <w:lang w:eastAsia="en-GB"/>
              </w:rPr>
              <w:t xml:space="preserve"> - </w:t>
            </w:r>
          </w:p>
        </w:tc>
        <w:tc>
          <w:tcPr>
            <w:tcW w:w="1057" w:type="dxa"/>
            <w:tcBorders>
              <w:top w:val="nil"/>
              <w:left w:val="nil"/>
              <w:bottom w:val="nil"/>
              <w:right w:val="nil"/>
            </w:tcBorders>
            <w:shd w:val="clear" w:color="000000" w:fill="EDFFB7"/>
            <w:noWrap/>
            <w:vAlign w:val="center"/>
            <w:hideMark/>
          </w:tcPr>
          <w:p w14:paraId="77D029C5" w14:textId="77777777" w:rsidR="0021298F" w:rsidRPr="00956CE7" w:rsidRDefault="0021298F" w:rsidP="00760009">
            <w:pPr>
              <w:jc w:val="right"/>
              <w:rPr>
                <w:rFonts w:ascii="Arial" w:eastAsia="Times New Roman" w:hAnsi="Arial" w:cs="Arial"/>
                <w:color w:val="000000"/>
                <w:sz w:val="20"/>
                <w:szCs w:val="20"/>
                <w:lang w:eastAsia="en-GB"/>
              </w:rPr>
            </w:pPr>
            <w:r w:rsidRPr="00956CE7">
              <w:rPr>
                <w:rFonts w:ascii="Arial" w:eastAsia="Times New Roman" w:hAnsi="Arial" w:cs="Arial"/>
                <w:color w:val="000000"/>
                <w:sz w:val="20"/>
                <w:szCs w:val="20"/>
                <w:lang w:eastAsia="en-GB"/>
              </w:rPr>
              <w:t xml:space="preserve">25,071 </w:t>
            </w:r>
          </w:p>
        </w:tc>
        <w:tc>
          <w:tcPr>
            <w:tcW w:w="1361" w:type="dxa"/>
            <w:tcBorders>
              <w:top w:val="nil"/>
              <w:left w:val="nil"/>
              <w:bottom w:val="nil"/>
              <w:right w:val="nil"/>
            </w:tcBorders>
            <w:shd w:val="clear" w:color="000000" w:fill="EDFFB7"/>
            <w:noWrap/>
            <w:vAlign w:val="center"/>
            <w:hideMark/>
          </w:tcPr>
          <w:p w14:paraId="07DF67C6" w14:textId="77777777" w:rsidR="0021298F" w:rsidRPr="00956CE7" w:rsidRDefault="0021298F" w:rsidP="00760009">
            <w:pPr>
              <w:jc w:val="right"/>
              <w:rPr>
                <w:rFonts w:ascii="Arial" w:eastAsia="Times New Roman" w:hAnsi="Arial" w:cs="Arial"/>
                <w:color w:val="000000"/>
                <w:sz w:val="20"/>
                <w:szCs w:val="20"/>
                <w:lang w:eastAsia="en-GB"/>
              </w:rPr>
            </w:pPr>
            <w:r w:rsidRPr="00956CE7">
              <w:rPr>
                <w:rFonts w:ascii="Arial" w:eastAsia="Times New Roman" w:hAnsi="Arial" w:cs="Arial"/>
                <w:color w:val="000000"/>
                <w:sz w:val="20"/>
                <w:szCs w:val="20"/>
                <w:lang w:eastAsia="en-GB"/>
              </w:rPr>
              <w:t xml:space="preserve">484 </w:t>
            </w:r>
          </w:p>
        </w:tc>
      </w:tr>
      <w:tr w:rsidR="0021298F" w:rsidRPr="00956CE7" w14:paraId="23E08558" w14:textId="77777777" w:rsidTr="00760009">
        <w:trPr>
          <w:trHeight w:val="300"/>
        </w:trPr>
        <w:tc>
          <w:tcPr>
            <w:tcW w:w="1606" w:type="dxa"/>
            <w:tcBorders>
              <w:top w:val="nil"/>
              <w:left w:val="nil"/>
              <w:bottom w:val="nil"/>
              <w:right w:val="nil"/>
            </w:tcBorders>
            <w:shd w:val="clear" w:color="000000" w:fill="FFFFFF"/>
            <w:noWrap/>
            <w:vAlign w:val="center"/>
            <w:hideMark/>
          </w:tcPr>
          <w:p w14:paraId="3D1026CB" w14:textId="77777777" w:rsidR="0021298F" w:rsidRPr="00956CE7" w:rsidRDefault="0021298F" w:rsidP="00760009">
            <w:pPr>
              <w:rPr>
                <w:rFonts w:ascii="Arial" w:eastAsia="Times New Roman" w:hAnsi="Arial" w:cs="Arial"/>
                <w:color w:val="000000"/>
                <w:sz w:val="20"/>
                <w:szCs w:val="20"/>
                <w:lang w:eastAsia="en-GB"/>
              </w:rPr>
            </w:pPr>
            <w:r w:rsidRPr="00956CE7">
              <w:rPr>
                <w:rFonts w:ascii="Arial" w:eastAsia="Times New Roman" w:hAnsi="Arial" w:cs="Arial"/>
                <w:color w:val="000000"/>
                <w:sz w:val="20"/>
                <w:szCs w:val="20"/>
                <w:lang w:eastAsia="en-GB"/>
              </w:rPr>
              <w:t>An Cnoc</w:t>
            </w:r>
          </w:p>
        </w:tc>
        <w:tc>
          <w:tcPr>
            <w:tcW w:w="1036" w:type="dxa"/>
            <w:tcBorders>
              <w:top w:val="nil"/>
              <w:left w:val="nil"/>
              <w:bottom w:val="nil"/>
              <w:right w:val="nil"/>
            </w:tcBorders>
            <w:shd w:val="clear" w:color="000000" w:fill="EDFFB7"/>
            <w:noWrap/>
            <w:vAlign w:val="center"/>
            <w:hideMark/>
          </w:tcPr>
          <w:p w14:paraId="2FAD1B3B" w14:textId="77777777" w:rsidR="0021298F" w:rsidRPr="00956CE7" w:rsidRDefault="0021298F" w:rsidP="00760009">
            <w:pPr>
              <w:jc w:val="right"/>
              <w:rPr>
                <w:rFonts w:ascii="Arial" w:eastAsia="Times New Roman" w:hAnsi="Arial" w:cs="Arial"/>
                <w:color w:val="000000"/>
                <w:sz w:val="20"/>
                <w:szCs w:val="20"/>
                <w:lang w:eastAsia="en-GB"/>
              </w:rPr>
            </w:pPr>
            <w:r w:rsidRPr="00956CE7">
              <w:rPr>
                <w:rFonts w:ascii="Arial" w:eastAsia="Times New Roman" w:hAnsi="Arial" w:cs="Arial"/>
                <w:color w:val="000000"/>
                <w:sz w:val="20"/>
                <w:szCs w:val="20"/>
                <w:lang w:eastAsia="en-GB"/>
              </w:rPr>
              <w:t xml:space="preserve"> - </w:t>
            </w:r>
          </w:p>
        </w:tc>
        <w:tc>
          <w:tcPr>
            <w:tcW w:w="1139" w:type="dxa"/>
            <w:tcBorders>
              <w:top w:val="nil"/>
              <w:left w:val="nil"/>
              <w:bottom w:val="nil"/>
              <w:right w:val="nil"/>
            </w:tcBorders>
            <w:shd w:val="clear" w:color="000000" w:fill="EDFFB7"/>
            <w:noWrap/>
            <w:vAlign w:val="center"/>
            <w:hideMark/>
          </w:tcPr>
          <w:p w14:paraId="1EFA65FA" w14:textId="77777777" w:rsidR="0021298F" w:rsidRPr="00956CE7" w:rsidRDefault="0021298F" w:rsidP="00760009">
            <w:pPr>
              <w:jc w:val="right"/>
              <w:rPr>
                <w:rFonts w:ascii="Arial" w:eastAsia="Times New Roman" w:hAnsi="Arial" w:cs="Arial"/>
                <w:color w:val="000000"/>
                <w:sz w:val="20"/>
                <w:szCs w:val="20"/>
                <w:lang w:eastAsia="en-GB"/>
              </w:rPr>
            </w:pPr>
            <w:r w:rsidRPr="00956CE7">
              <w:rPr>
                <w:rFonts w:ascii="Arial" w:eastAsia="Times New Roman" w:hAnsi="Arial" w:cs="Arial"/>
                <w:color w:val="000000"/>
                <w:sz w:val="20"/>
                <w:szCs w:val="20"/>
                <w:lang w:eastAsia="en-GB"/>
              </w:rPr>
              <w:t xml:space="preserve">17,547 </w:t>
            </w:r>
          </w:p>
        </w:tc>
        <w:tc>
          <w:tcPr>
            <w:tcW w:w="1250" w:type="dxa"/>
            <w:tcBorders>
              <w:top w:val="nil"/>
              <w:left w:val="nil"/>
              <w:bottom w:val="nil"/>
              <w:right w:val="nil"/>
            </w:tcBorders>
            <w:shd w:val="clear" w:color="000000" w:fill="EDFFB7"/>
            <w:noWrap/>
            <w:vAlign w:val="center"/>
            <w:hideMark/>
          </w:tcPr>
          <w:p w14:paraId="0726DC80" w14:textId="77777777" w:rsidR="0021298F" w:rsidRPr="00956CE7" w:rsidRDefault="0021298F" w:rsidP="00760009">
            <w:pPr>
              <w:jc w:val="right"/>
              <w:rPr>
                <w:rFonts w:ascii="Arial" w:eastAsia="Times New Roman" w:hAnsi="Arial" w:cs="Arial"/>
                <w:color w:val="000000"/>
                <w:sz w:val="20"/>
                <w:szCs w:val="20"/>
                <w:lang w:eastAsia="en-GB"/>
              </w:rPr>
            </w:pPr>
            <w:r w:rsidRPr="00956CE7">
              <w:rPr>
                <w:rFonts w:ascii="Arial" w:eastAsia="Times New Roman" w:hAnsi="Arial" w:cs="Arial"/>
                <w:color w:val="000000"/>
                <w:sz w:val="20"/>
                <w:szCs w:val="20"/>
                <w:lang w:eastAsia="en-GB"/>
              </w:rPr>
              <w:t xml:space="preserve"> - </w:t>
            </w:r>
          </w:p>
        </w:tc>
        <w:tc>
          <w:tcPr>
            <w:tcW w:w="1339" w:type="dxa"/>
            <w:tcBorders>
              <w:top w:val="nil"/>
              <w:left w:val="nil"/>
              <w:bottom w:val="nil"/>
              <w:right w:val="nil"/>
            </w:tcBorders>
            <w:shd w:val="clear" w:color="000000" w:fill="EDFFB7"/>
            <w:noWrap/>
            <w:vAlign w:val="center"/>
            <w:hideMark/>
          </w:tcPr>
          <w:p w14:paraId="78E5C235" w14:textId="77777777" w:rsidR="0021298F" w:rsidRPr="00956CE7" w:rsidRDefault="0021298F" w:rsidP="00760009">
            <w:pPr>
              <w:jc w:val="right"/>
              <w:rPr>
                <w:rFonts w:ascii="Arial" w:eastAsia="Times New Roman" w:hAnsi="Arial" w:cs="Arial"/>
                <w:color w:val="000000"/>
                <w:sz w:val="20"/>
                <w:szCs w:val="20"/>
                <w:lang w:eastAsia="en-GB"/>
              </w:rPr>
            </w:pPr>
            <w:r w:rsidRPr="00956CE7">
              <w:rPr>
                <w:rFonts w:ascii="Arial" w:eastAsia="Times New Roman" w:hAnsi="Arial" w:cs="Arial"/>
                <w:color w:val="000000"/>
                <w:sz w:val="20"/>
                <w:szCs w:val="20"/>
                <w:lang w:eastAsia="en-GB"/>
              </w:rPr>
              <w:t xml:space="preserve"> - </w:t>
            </w:r>
          </w:p>
        </w:tc>
        <w:tc>
          <w:tcPr>
            <w:tcW w:w="1184" w:type="dxa"/>
            <w:tcBorders>
              <w:top w:val="nil"/>
              <w:left w:val="nil"/>
              <w:bottom w:val="nil"/>
              <w:right w:val="nil"/>
            </w:tcBorders>
            <w:shd w:val="clear" w:color="000000" w:fill="EDFFB7"/>
            <w:noWrap/>
            <w:vAlign w:val="center"/>
            <w:hideMark/>
          </w:tcPr>
          <w:p w14:paraId="215875CC" w14:textId="77777777" w:rsidR="0021298F" w:rsidRPr="00956CE7" w:rsidRDefault="0021298F" w:rsidP="00760009">
            <w:pPr>
              <w:jc w:val="right"/>
              <w:rPr>
                <w:rFonts w:ascii="Arial" w:eastAsia="Times New Roman" w:hAnsi="Arial" w:cs="Arial"/>
                <w:color w:val="000000"/>
                <w:sz w:val="20"/>
                <w:szCs w:val="20"/>
                <w:lang w:eastAsia="en-GB"/>
              </w:rPr>
            </w:pPr>
            <w:r w:rsidRPr="00956CE7">
              <w:rPr>
                <w:rFonts w:ascii="Arial" w:eastAsia="Times New Roman" w:hAnsi="Arial" w:cs="Arial"/>
                <w:color w:val="000000"/>
                <w:sz w:val="20"/>
                <w:szCs w:val="20"/>
                <w:lang w:eastAsia="en-GB"/>
              </w:rPr>
              <w:t xml:space="preserve">17,547 </w:t>
            </w:r>
          </w:p>
        </w:tc>
        <w:tc>
          <w:tcPr>
            <w:tcW w:w="1275" w:type="dxa"/>
            <w:tcBorders>
              <w:top w:val="nil"/>
              <w:left w:val="nil"/>
              <w:bottom w:val="nil"/>
              <w:right w:val="nil"/>
            </w:tcBorders>
            <w:shd w:val="clear" w:color="000000" w:fill="EDFFB7"/>
            <w:noWrap/>
            <w:vAlign w:val="center"/>
            <w:hideMark/>
          </w:tcPr>
          <w:p w14:paraId="59ABE767" w14:textId="77777777" w:rsidR="0021298F" w:rsidRPr="00956CE7" w:rsidRDefault="0021298F" w:rsidP="00760009">
            <w:pPr>
              <w:jc w:val="right"/>
              <w:rPr>
                <w:rFonts w:ascii="Arial" w:eastAsia="Times New Roman" w:hAnsi="Arial" w:cs="Arial"/>
                <w:color w:val="000000"/>
                <w:sz w:val="20"/>
                <w:szCs w:val="20"/>
                <w:lang w:eastAsia="en-GB"/>
              </w:rPr>
            </w:pPr>
            <w:r w:rsidRPr="00956CE7">
              <w:rPr>
                <w:rFonts w:ascii="Arial" w:eastAsia="Times New Roman" w:hAnsi="Arial" w:cs="Arial"/>
                <w:color w:val="000000"/>
                <w:sz w:val="20"/>
                <w:szCs w:val="20"/>
                <w:lang w:eastAsia="en-GB"/>
              </w:rPr>
              <w:t xml:space="preserve">69 </w:t>
            </w:r>
          </w:p>
        </w:tc>
        <w:tc>
          <w:tcPr>
            <w:tcW w:w="1057" w:type="dxa"/>
            <w:tcBorders>
              <w:top w:val="nil"/>
              <w:left w:val="nil"/>
              <w:bottom w:val="nil"/>
              <w:right w:val="nil"/>
            </w:tcBorders>
            <w:shd w:val="clear" w:color="000000" w:fill="EDFFB7"/>
            <w:noWrap/>
            <w:vAlign w:val="center"/>
            <w:hideMark/>
          </w:tcPr>
          <w:p w14:paraId="32D94185" w14:textId="77777777" w:rsidR="0021298F" w:rsidRPr="00956CE7" w:rsidRDefault="0021298F" w:rsidP="00760009">
            <w:pPr>
              <w:jc w:val="right"/>
              <w:rPr>
                <w:rFonts w:ascii="Arial" w:eastAsia="Times New Roman" w:hAnsi="Arial" w:cs="Arial"/>
                <w:color w:val="000000"/>
                <w:sz w:val="20"/>
                <w:szCs w:val="20"/>
                <w:lang w:eastAsia="en-GB"/>
              </w:rPr>
            </w:pPr>
            <w:r w:rsidRPr="00956CE7">
              <w:rPr>
                <w:rFonts w:ascii="Arial" w:eastAsia="Times New Roman" w:hAnsi="Arial" w:cs="Arial"/>
                <w:color w:val="000000"/>
                <w:sz w:val="20"/>
                <w:szCs w:val="20"/>
                <w:lang w:eastAsia="en-GB"/>
              </w:rPr>
              <w:t xml:space="preserve">17,616 </w:t>
            </w:r>
          </w:p>
        </w:tc>
        <w:tc>
          <w:tcPr>
            <w:tcW w:w="1361" w:type="dxa"/>
            <w:tcBorders>
              <w:top w:val="nil"/>
              <w:left w:val="nil"/>
              <w:bottom w:val="nil"/>
              <w:right w:val="nil"/>
            </w:tcBorders>
            <w:shd w:val="clear" w:color="000000" w:fill="EDFFB7"/>
            <w:noWrap/>
            <w:vAlign w:val="center"/>
            <w:hideMark/>
          </w:tcPr>
          <w:p w14:paraId="53B362C2" w14:textId="77777777" w:rsidR="0021298F" w:rsidRPr="00956CE7" w:rsidRDefault="0021298F" w:rsidP="00760009">
            <w:pPr>
              <w:jc w:val="right"/>
              <w:rPr>
                <w:rFonts w:ascii="Arial" w:eastAsia="Times New Roman" w:hAnsi="Arial" w:cs="Arial"/>
                <w:color w:val="000000"/>
                <w:sz w:val="20"/>
                <w:szCs w:val="20"/>
                <w:lang w:eastAsia="en-GB"/>
              </w:rPr>
            </w:pPr>
            <w:r w:rsidRPr="00956CE7">
              <w:rPr>
                <w:rFonts w:ascii="Arial" w:eastAsia="Times New Roman" w:hAnsi="Arial" w:cs="Arial"/>
                <w:color w:val="000000"/>
                <w:sz w:val="20"/>
                <w:szCs w:val="20"/>
                <w:lang w:eastAsia="en-GB"/>
              </w:rPr>
              <w:t xml:space="preserve">69 </w:t>
            </w:r>
          </w:p>
        </w:tc>
      </w:tr>
      <w:tr w:rsidR="0021298F" w:rsidRPr="00956CE7" w14:paraId="650C2EDF" w14:textId="77777777" w:rsidTr="00760009">
        <w:trPr>
          <w:trHeight w:val="300"/>
        </w:trPr>
        <w:tc>
          <w:tcPr>
            <w:tcW w:w="1606" w:type="dxa"/>
            <w:tcBorders>
              <w:top w:val="nil"/>
              <w:left w:val="nil"/>
              <w:bottom w:val="nil"/>
              <w:right w:val="nil"/>
            </w:tcBorders>
            <w:shd w:val="clear" w:color="000000" w:fill="FFFFFF"/>
            <w:noWrap/>
            <w:vAlign w:val="center"/>
            <w:hideMark/>
          </w:tcPr>
          <w:p w14:paraId="776844C7" w14:textId="77777777" w:rsidR="0021298F" w:rsidRPr="00956CE7" w:rsidRDefault="0021298F" w:rsidP="00760009">
            <w:pPr>
              <w:rPr>
                <w:rFonts w:ascii="Arial" w:eastAsia="Times New Roman" w:hAnsi="Arial" w:cs="Arial"/>
                <w:color w:val="000000"/>
                <w:sz w:val="20"/>
                <w:szCs w:val="20"/>
                <w:lang w:eastAsia="en-GB"/>
              </w:rPr>
            </w:pPr>
            <w:r w:rsidRPr="00956CE7">
              <w:rPr>
                <w:rFonts w:ascii="Arial" w:eastAsia="Times New Roman" w:hAnsi="Arial" w:cs="Arial"/>
                <w:color w:val="000000"/>
                <w:sz w:val="20"/>
                <w:szCs w:val="20"/>
                <w:lang w:eastAsia="en-GB"/>
              </w:rPr>
              <w:lastRenderedPageBreak/>
              <w:t>Kostroma</w:t>
            </w:r>
          </w:p>
        </w:tc>
        <w:tc>
          <w:tcPr>
            <w:tcW w:w="1036" w:type="dxa"/>
            <w:tcBorders>
              <w:top w:val="nil"/>
              <w:left w:val="nil"/>
              <w:bottom w:val="nil"/>
              <w:right w:val="nil"/>
            </w:tcBorders>
            <w:shd w:val="clear" w:color="000000" w:fill="EDFFB7"/>
            <w:noWrap/>
            <w:vAlign w:val="center"/>
            <w:hideMark/>
          </w:tcPr>
          <w:p w14:paraId="76236EE4" w14:textId="77777777" w:rsidR="0021298F" w:rsidRPr="00956CE7" w:rsidRDefault="0021298F" w:rsidP="00760009">
            <w:pPr>
              <w:jc w:val="right"/>
              <w:rPr>
                <w:rFonts w:ascii="Arial" w:eastAsia="Times New Roman" w:hAnsi="Arial" w:cs="Arial"/>
                <w:color w:val="000000"/>
                <w:sz w:val="20"/>
                <w:szCs w:val="20"/>
                <w:lang w:eastAsia="en-GB"/>
              </w:rPr>
            </w:pPr>
            <w:r w:rsidRPr="00956CE7">
              <w:rPr>
                <w:rFonts w:ascii="Arial" w:eastAsia="Times New Roman" w:hAnsi="Arial" w:cs="Arial"/>
                <w:color w:val="000000"/>
                <w:sz w:val="20"/>
                <w:szCs w:val="20"/>
                <w:lang w:eastAsia="en-GB"/>
              </w:rPr>
              <w:t xml:space="preserve">16,473 </w:t>
            </w:r>
          </w:p>
        </w:tc>
        <w:tc>
          <w:tcPr>
            <w:tcW w:w="1139" w:type="dxa"/>
            <w:tcBorders>
              <w:top w:val="nil"/>
              <w:left w:val="nil"/>
              <w:bottom w:val="nil"/>
              <w:right w:val="nil"/>
            </w:tcBorders>
            <w:shd w:val="clear" w:color="000000" w:fill="EDFFB7"/>
            <w:noWrap/>
            <w:vAlign w:val="center"/>
            <w:hideMark/>
          </w:tcPr>
          <w:p w14:paraId="4862108C" w14:textId="77777777" w:rsidR="0021298F" w:rsidRPr="00956CE7" w:rsidRDefault="0021298F" w:rsidP="00760009">
            <w:pPr>
              <w:jc w:val="right"/>
              <w:rPr>
                <w:rFonts w:ascii="Arial" w:eastAsia="Times New Roman" w:hAnsi="Arial" w:cs="Arial"/>
                <w:color w:val="000000"/>
                <w:sz w:val="20"/>
                <w:szCs w:val="20"/>
                <w:lang w:eastAsia="en-GB"/>
              </w:rPr>
            </w:pPr>
            <w:r w:rsidRPr="00956CE7">
              <w:rPr>
                <w:rFonts w:ascii="Arial" w:eastAsia="Times New Roman" w:hAnsi="Arial" w:cs="Arial"/>
                <w:color w:val="000000"/>
                <w:sz w:val="20"/>
                <w:szCs w:val="20"/>
                <w:lang w:eastAsia="en-GB"/>
              </w:rPr>
              <w:t xml:space="preserve"> - </w:t>
            </w:r>
          </w:p>
        </w:tc>
        <w:tc>
          <w:tcPr>
            <w:tcW w:w="1250" w:type="dxa"/>
            <w:tcBorders>
              <w:top w:val="nil"/>
              <w:left w:val="nil"/>
              <w:bottom w:val="nil"/>
              <w:right w:val="nil"/>
            </w:tcBorders>
            <w:shd w:val="clear" w:color="000000" w:fill="EDFFB7"/>
            <w:noWrap/>
            <w:vAlign w:val="center"/>
            <w:hideMark/>
          </w:tcPr>
          <w:p w14:paraId="75219E1A" w14:textId="77777777" w:rsidR="0021298F" w:rsidRPr="00956CE7" w:rsidRDefault="0021298F" w:rsidP="00760009">
            <w:pPr>
              <w:jc w:val="right"/>
              <w:rPr>
                <w:rFonts w:ascii="Arial" w:eastAsia="Times New Roman" w:hAnsi="Arial" w:cs="Arial"/>
                <w:color w:val="000000"/>
                <w:sz w:val="20"/>
                <w:szCs w:val="20"/>
                <w:lang w:eastAsia="en-GB"/>
              </w:rPr>
            </w:pPr>
            <w:r w:rsidRPr="00956CE7">
              <w:rPr>
                <w:rFonts w:ascii="Arial" w:eastAsia="Times New Roman" w:hAnsi="Arial" w:cs="Arial"/>
                <w:color w:val="000000"/>
                <w:sz w:val="20"/>
                <w:szCs w:val="20"/>
                <w:lang w:eastAsia="en-GB"/>
              </w:rPr>
              <w:t xml:space="preserve">104 </w:t>
            </w:r>
          </w:p>
        </w:tc>
        <w:tc>
          <w:tcPr>
            <w:tcW w:w="1339" w:type="dxa"/>
            <w:tcBorders>
              <w:top w:val="nil"/>
              <w:left w:val="nil"/>
              <w:bottom w:val="nil"/>
              <w:right w:val="nil"/>
            </w:tcBorders>
            <w:shd w:val="clear" w:color="000000" w:fill="EDFFB7"/>
            <w:noWrap/>
            <w:vAlign w:val="center"/>
            <w:hideMark/>
          </w:tcPr>
          <w:p w14:paraId="25BB4415" w14:textId="77777777" w:rsidR="0021298F" w:rsidRPr="00956CE7" w:rsidRDefault="0021298F" w:rsidP="00760009">
            <w:pPr>
              <w:jc w:val="right"/>
              <w:rPr>
                <w:rFonts w:ascii="Arial" w:eastAsia="Times New Roman" w:hAnsi="Arial" w:cs="Arial"/>
                <w:color w:val="000000"/>
                <w:sz w:val="20"/>
                <w:szCs w:val="20"/>
                <w:lang w:eastAsia="en-GB"/>
              </w:rPr>
            </w:pPr>
            <w:r w:rsidRPr="00956CE7">
              <w:rPr>
                <w:rFonts w:ascii="Arial" w:eastAsia="Times New Roman" w:hAnsi="Arial" w:cs="Arial"/>
                <w:color w:val="000000"/>
                <w:sz w:val="20"/>
                <w:szCs w:val="20"/>
                <w:lang w:eastAsia="en-GB"/>
              </w:rPr>
              <w:t xml:space="preserve"> - </w:t>
            </w:r>
          </w:p>
        </w:tc>
        <w:tc>
          <w:tcPr>
            <w:tcW w:w="1184" w:type="dxa"/>
            <w:tcBorders>
              <w:top w:val="nil"/>
              <w:left w:val="nil"/>
              <w:bottom w:val="nil"/>
              <w:right w:val="nil"/>
            </w:tcBorders>
            <w:shd w:val="clear" w:color="000000" w:fill="EDFFB7"/>
            <w:noWrap/>
            <w:vAlign w:val="center"/>
            <w:hideMark/>
          </w:tcPr>
          <w:p w14:paraId="1C2F9E31" w14:textId="77777777" w:rsidR="0021298F" w:rsidRPr="00956CE7" w:rsidRDefault="0021298F" w:rsidP="00760009">
            <w:pPr>
              <w:jc w:val="right"/>
              <w:rPr>
                <w:rFonts w:ascii="Arial" w:eastAsia="Times New Roman" w:hAnsi="Arial" w:cs="Arial"/>
                <w:color w:val="000000"/>
                <w:sz w:val="20"/>
                <w:szCs w:val="20"/>
                <w:lang w:eastAsia="en-GB"/>
              </w:rPr>
            </w:pPr>
            <w:r w:rsidRPr="00956CE7">
              <w:rPr>
                <w:rFonts w:ascii="Arial" w:eastAsia="Times New Roman" w:hAnsi="Arial" w:cs="Arial"/>
                <w:color w:val="000000"/>
                <w:sz w:val="20"/>
                <w:szCs w:val="20"/>
                <w:lang w:eastAsia="en-GB"/>
              </w:rPr>
              <w:t xml:space="preserve">16,577 </w:t>
            </w:r>
          </w:p>
        </w:tc>
        <w:tc>
          <w:tcPr>
            <w:tcW w:w="1275" w:type="dxa"/>
            <w:tcBorders>
              <w:top w:val="nil"/>
              <w:left w:val="nil"/>
              <w:bottom w:val="nil"/>
              <w:right w:val="nil"/>
            </w:tcBorders>
            <w:shd w:val="clear" w:color="000000" w:fill="EDFFB7"/>
            <w:noWrap/>
            <w:vAlign w:val="center"/>
            <w:hideMark/>
          </w:tcPr>
          <w:p w14:paraId="69D478FE" w14:textId="77777777" w:rsidR="0021298F" w:rsidRPr="00956CE7" w:rsidRDefault="0021298F" w:rsidP="00760009">
            <w:pPr>
              <w:jc w:val="right"/>
              <w:rPr>
                <w:rFonts w:ascii="Arial" w:eastAsia="Times New Roman" w:hAnsi="Arial" w:cs="Arial"/>
                <w:color w:val="000000"/>
                <w:sz w:val="20"/>
                <w:szCs w:val="20"/>
                <w:lang w:eastAsia="en-GB"/>
              </w:rPr>
            </w:pPr>
            <w:r w:rsidRPr="00956CE7">
              <w:rPr>
                <w:rFonts w:ascii="Arial" w:eastAsia="Times New Roman" w:hAnsi="Arial" w:cs="Arial"/>
                <w:color w:val="000000"/>
                <w:sz w:val="20"/>
                <w:szCs w:val="20"/>
                <w:lang w:eastAsia="en-GB"/>
              </w:rPr>
              <w:t xml:space="preserve"> - </w:t>
            </w:r>
          </w:p>
        </w:tc>
        <w:tc>
          <w:tcPr>
            <w:tcW w:w="1057" w:type="dxa"/>
            <w:tcBorders>
              <w:top w:val="nil"/>
              <w:left w:val="nil"/>
              <w:bottom w:val="nil"/>
              <w:right w:val="nil"/>
            </w:tcBorders>
            <w:shd w:val="clear" w:color="000000" w:fill="EDFFB7"/>
            <w:noWrap/>
            <w:vAlign w:val="center"/>
            <w:hideMark/>
          </w:tcPr>
          <w:p w14:paraId="17329526" w14:textId="77777777" w:rsidR="0021298F" w:rsidRPr="00956CE7" w:rsidRDefault="0021298F" w:rsidP="00760009">
            <w:pPr>
              <w:jc w:val="right"/>
              <w:rPr>
                <w:rFonts w:ascii="Arial" w:eastAsia="Times New Roman" w:hAnsi="Arial" w:cs="Arial"/>
                <w:color w:val="000000"/>
                <w:sz w:val="20"/>
                <w:szCs w:val="20"/>
                <w:lang w:eastAsia="en-GB"/>
              </w:rPr>
            </w:pPr>
            <w:r w:rsidRPr="00956CE7">
              <w:rPr>
                <w:rFonts w:ascii="Arial" w:eastAsia="Times New Roman" w:hAnsi="Arial" w:cs="Arial"/>
                <w:color w:val="000000"/>
                <w:sz w:val="20"/>
                <w:szCs w:val="20"/>
                <w:lang w:eastAsia="en-GB"/>
              </w:rPr>
              <w:t xml:space="preserve">16,577 </w:t>
            </w:r>
          </w:p>
        </w:tc>
        <w:tc>
          <w:tcPr>
            <w:tcW w:w="1361" w:type="dxa"/>
            <w:tcBorders>
              <w:top w:val="nil"/>
              <w:left w:val="nil"/>
              <w:bottom w:val="nil"/>
              <w:right w:val="nil"/>
            </w:tcBorders>
            <w:shd w:val="clear" w:color="000000" w:fill="EDFFB7"/>
            <w:noWrap/>
            <w:vAlign w:val="center"/>
            <w:hideMark/>
          </w:tcPr>
          <w:p w14:paraId="0A90835D" w14:textId="77777777" w:rsidR="0021298F" w:rsidRPr="00956CE7" w:rsidRDefault="0021298F" w:rsidP="00760009">
            <w:pPr>
              <w:jc w:val="right"/>
              <w:rPr>
                <w:rFonts w:ascii="Arial" w:eastAsia="Times New Roman" w:hAnsi="Arial" w:cs="Arial"/>
                <w:color w:val="000000"/>
                <w:sz w:val="20"/>
                <w:szCs w:val="20"/>
                <w:lang w:eastAsia="en-GB"/>
              </w:rPr>
            </w:pPr>
            <w:r w:rsidRPr="00956CE7">
              <w:rPr>
                <w:rFonts w:ascii="Arial" w:eastAsia="Times New Roman" w:hAnsi="Arial" w:cs="Arial"/>
                <w:color w:val="000000"/>
                <w:sz w:val="20"/>
                <w:szCs w:val="20"/>
                <w:lang w:eastAsia="en-GB"/>
              </w:rPr>
              <w:t xml:space="preserve">360 </w:t>
            </w:r>
          </w:p>
        </w:tc>
      </w:tr>
      <w:tr w:rsidR="0021298F" w:rsidRPr="00956CE7" w14:paraId="0640A2D7" w14:textId="77777777" w:rsidTr="00760009">
        <w:trPr>
          <w:trHeight w:val="300"/>
        </w:trPr>
        <w:tc>
          <w:tcPr>
            <w:tcW w:w="1606" w:type="dxa"/>
            <w:tcBorders>
              <w:top w:val="nil"/>
              <w:left w:val="nil"/>
              <w:bottom w:val="nil"/>
              <w:right w:val="nil"/>
            </w:tcBorders>
            <w:shd w:val="clear" w:color="000000" w:fill="FFFFFF"/>
            <w:noWrap/>
            <w:vAlign w:val="center"/>
            <w:hideMark/>
          </w:tcPr>
          <w:p w14:paraId="1F6F01AC" w14:textId="77777777" w:rsidR="0021298F" w:rsidRPr="00956CE7" w:rsidRDefault="0021298F" w:rsidP="00760009">
            <w:pPr>
              <w:rPr>
                <w:rFonts w:ascii="Arial" w:eastAsia="Times New Roman" w:hAnsi="Arial" w:cs="Arial"/>
                <w:color w:val="000000"/>
                <w:sz w:val="20"/>
                <w:szCs w:val="20"/>
                <w:lang w:eastAsia="en-GB"/>
              </w:rPr>
            </w:pPr>
            <w:r w:rsidRPr="00956CE7">
              <w:rPr>
                <w:rFonts w:ascii="Arial" w:eastAsia="Times New Roman" w:hAnsi="Arial" w:cs="Arial"/>
                <w:color w:val="000000"/>
                <w:sz w:val="20"/>
                <w:szCs w:val="20"/>
                <w:lang w:eastAsia="en-GB"/>
              </w:rPr>
              <w:t>Gortahile</w:t>
            </w:r>
          </w:p>
        </w:tc>
        <w:tc>
          <w:tcPr>
            <w:tcW w:w="1036" w:type="dxa"/>
            <w:tcBorders>
              <w:top w:val="nil"/>
              <w:left w:val="nil"/>
              <w:bottom w:val="nil"/>
              <w:right w:val="nil"/>
            </w:tcBorders>
            <w:shd w:val="clear" w:color="000000" w:fill="EDFFB7"/>
            <w:noWrap/>
            <w:vAlign w:val="center"/>
            <w:hideMark/>
          </w:tcPr>
          <w:p w14:paraId="009FE31A" w14:textId="77777777" w:rsidR="0021298F" w:rsidRPr="00956CE7" w:rsidRDefault="0021298F" w:rsidP="00760009">
            <w:pPr>
              <w:jc w:val="right"/>
              <w:rPr>
                <w:rFonts w:ascii="Arial" w:eastAsia="Times New Roman" w:hAnsi="Arial" w:cs="Arial"/>
                <w:color w:val="000000"/>
                <w:sz w:val="20"/>
                <w:szCs w:val="20"/>
                <w:lang w:eastAsia="en-GB"/>
              </w:rPr>
            </w:pPr>
            <w:r w:rsidRPr="00956CE7">
              <w:rPr>
                <w:rFonts w:ascii="Arial" w:eastAsia="Times New Roman" w:hAnsi="Arial" w:cs="Arial"/>
                <w:color w:val="000000"/>
                <w:sz w:val="20"/>
                <w:szCs w:val="20"/>
                <w:lang w:eastAsia="en-GB"/>
              </w:rPr>
              <w:t xml:space="preserve">19,632 </w:t>
            </w:r>
          </w:p>
        </w:tc>
        <w:tc>
          <w:tcPr>
            <w:tcW w:w="1139" w:type="dxa"/>
            <w:tcBorders>
              <w:top w:val="nil"/>
              <w:left w:val="nil"/>
              <w:bottom w:val="nil"/>
              <w:right w:val="nil"/>
            </w:tcBorders>
            <w:shd w:val="clear" w:color="000000" w:fill="EDFFB7"/>
            <w:noWrap/>
            <w:vAlign w:val="center"/>
            <w:hideMark/>
          </w:tcPr>
          <w:p w14:paraId="10D81817" w14:textId="77777777" w:rsidR="0021298F" w:rsidRPr="00956CE7" w:rsidRDefault="0021298F" w:rsidP="00760009">
            <w:pPr>
              <w:jc w:val="right"/>
              <w:rPr>
                <w:rFonts w:ascii="Arial" w:eastAsia="Times New Roman" w:hAnsi="Arial" w:cs="Arial"/>
                <w:color w:val="000000"/>
                <w:sz w:val="20"/>
                <w:szCs w:val="20"/>
                <w:lang w:eastAsia="en-GB"/>
              </w:rPr>
            </w:pPr>
            <w:r w:rsidRPr="00956CE7">
              <w:rPr>
                <w:rFonts w:ascii="Arial" w:eastAsia="Times New Roman" w:hAnsi="Arial" w:cs="Arial"/>
                <w:color w:val="000000"/>
                <w:sz w:val="20"/>
                <w:szCs w:val="20"/>
                <w:lang w:eastAsia="en-GB"/>
              </w:rPr>
              <w:t xml:space="preserve"> - </w:t>
            </w:r>
          </w:p>
        </w:tc>
        <w:tc>
          <w:tcPr>
            <w:tcW w:w="1250" w:type="dxa"/>
            <w:tcBorders>
              <w:top w:val="nil"/>
              <w:left w:val="nil"/>
              <w:bottom w:val="nil"/>
              <w:right w:val="nil"/>
            </w:tcBorders>
            <w:shd w:val="clear" w:color="000000" w:fill="EDFFB7"/>
            <w:noWrap/>
            <w:vAlign w:val="center"/>
            <w:hideMark/>
          </w:tcPr>
          <w:p w14:paraId="4D20F44F" w14:textId="77777777" w:rsidR="0021298F" w:rsidRPr="00956CE7" w:rsidRDefault="0021298F" w:rsidP="00760009">
            <w:pPr>
              <w:jc w:val="right"/>
              <w:rPr>
                <w:rFonts w:ascii="Arial" w:eastAsia="Times New Roman" w:hAnsi="Arial" w:cs="Arial"/>
                <w:color w:val="000000"/>
                <w:sz w:val="20"/>
                <w:szCs w:val="20"/>
                <w:lang w:eastAsia="en-GB"/>
              </w:rPr>
            </w:pPr>
            <w:r w:rsidRPr="00956CE7">
              <w:rPr>
                <w:rFonts w:ascii="Arial" w:eastAsia="Times New Roman" w:hAnsi="Arial" w:cs="Arial"/>
                <w:color w:val="000000"/>
                <w:sz w:val="20"/>
                <w:szCs w:val="20"/>
                <w:lang w:eastAsia="en-GB"/>
              </w:rPr>
              <w:t xml:space="preserve">102 </w:t>
            </w:r>
          </w:p>
        </w:tc>
        <w:tc>
          <w:tcPr>
            <w:tcW w:w="1339" w:type="dxa"/>
            <w:tcBorders>
              <w:top w:val="nil"/>
              <w:left w:val="nil"/>
              <w:bottom w:val="nil"/>
              <w:right w:val="nil"/>
            </w:tcBorders>
            <w:shd w:val="clear" w:color="000000" w:fill="EDFFB7"/>
            <w:noWrap/>
            <w:vAlign w:val="center"/>
            <w:hideMark/>
          </w:tcPr>
          <w:p w14:paraId="04496AC2" w14:textId="77777777" w:rsidR="0021298F" w:rsidRPr="00956CE7" w:rsidRDefault="0021298F" w:rsidP="00760009">
            <w:pPr>
              <w:jc w:val="right"/>
              <w:rPr>
                <w:rFonts w:ascii="Arial" w:eastAsia="Times New Roman" w:hAnsi="Arial" w:cs="Arial"/>
                <w:color w:val="000000"/>
                <w:sz w:val="20"/>
                <w:szCs w:val="20"/>
                <w:lang w:eastAsia="en-GB"/>
              </w:rPr>
            </w:pPr>
            <w:r w:rsidRPr="00956CE7">
              <w:rPr>
                <w:rFonts w:ascii="Arial" w:eastAsia="Times New Roman" w:hAnsi="Arial" w:cs="Arial"/>
                <w:color w:val="000000"/>
                <w:sz w:val="20"/>
                <w:szCs w:val="20"/>
                <w:lang w:eastAsia="en-GB"/>
              </w:rPr>
              <w:t xml:space="preserve"> (3,395)</w:t>
            </w:r>
          </w:p>
        </w:tc>
        <w:tc>
          <w:tcPr>
            <w:tcW w:w="1184" w:type="dxa"/>
            <w:tcBorders>
              <w:top w:val="nil"/>
              <w:left w:val="nil"/>
              <w:bottom w:val="nil"/>
              <w:right w:val="nil"/>
            </w:tcBorders>
            <w:shd w:val="clear" w:color="000000" w:fill="EDFFB7"/>
            <w:noWrap/>
            <w:vAlign w:val="center"/>
            <w:hideMark/>
          </w:tcPr>
          <w:p w14:paraId="0F914D6D" w14:textId="77777777" w:rsidR="0021298F" w:rsidRPr="00956CE7" w:rsidRDefault="0021298F" w:rsidP="00760009">
            <w:pPr>
              <w:jc w:val="right"/>
              <w:rPr>
                <w:rFonts w:ascii="Arial" w:eastAsia="Times New Roman" w:hAnsi="Arial" w:cs="Arial"/>
                <w:color w:val="000000"/>
                <w:sz w:val="20"/>
                <w:szCs w:val="20"/>
                <w:lang w:eastAsia="en-GB"/>
              </w:rPr>
            </w:pPr>
            <w:r w:rsidRPr="00956CE7">
              <w:rPr>
                <w:rFonts w:ascii="Arial" w:eastAsia="Times New Roman" w:hAnsi="Arial" w:cs="Arial"/>
                <w:color w:val="000000"/>
                <w:sz w:val="20"/>
                <w:szCs w:val="20"/>
                <w:lang w:eastAsia="en-GB"/>
              </w:rPr>
              <w:t xml:space="preserve">16,339 </w:t>
            </w:r>
          </w:p>
        </w:tc>
        <w:tc>
          <w:tcPr>
            <w:tcW w:w="1275" w:type="dxa"/>
            <w:tcBorders>
              <w:top w:val="nil"/>
              <w:left w:val="nil"/>
              <w:bottom w:val="nil"/>
              <w:right w:val="nil"/>
            </w:tcBorders>
            <w:shd w:val="clear" w:color="000000" w:fill="EDFFB7"/>
            <w:noWrap/>
            <w:vAlign w:val="center"/>
            <w:hideMark/>
          </w:tcPr>
          <w:p w14:paraId="545403DF" w14:textId="77777777" w:rsidR="0021298F" w:rsidRPr="00956CE7" w:rsidRDefault="0021298F" w:rsidP="00760009">
            <w:pPr>
              <w:jc w:val="right"/>
              <w:rPr>
                <w:rFonts w:ascii="Arial" w:eastAsia="Times New Roman" w:hAnsi="Arial" w:cs="Arial"/>
                <w:color w:val="000000"/>
                <w:sz w:val="20"/>
                <w:szCs w:val="20"/>
                <w:lang w:eastAsia="en-GB"/>
              </w:rPr>
            </w:pPr>
            <w:r w:rsidRPr="00956CE7">
              <w:rPr>
                <w:rFonts w:ascii="Arial" w:eastAsia="Times New Roman" w:hAnsi="Arial" w:cs="Arial"/>
                <w:color w:val="000000"/>
                <w:sz w:val="20"/>
                <w:szCs w:val="20"/>
                <w:lang w:eastAsia="en-GB"/>
              </w:rPr>
              <w:t xml:space="preserve">1 </w:t>
            </w:r>
          </w:p>
        </w:tc>
        <w:tc>
          <w:tcPr>
            <w:tcW w:w="1057" w:type="dxa"/>
            <w:tcBorders>
              <w:top w:val="nil"/>
              <w:left w:val="nil"/>
              <w:bottom w:val="nil"/>
              <w:right w:val="nil"/>
            </w:tcBorders>
            <w:shd w:val="clear" w:color="000000" w:fill="EDFFB7"/>
            <w:noWrap/>
            <w:vAlign w:val="center"/>
            <w:hideMark/>
          </w:tcPr>
          <w:p w14:paraId="36256179" w14:textId="77777777" w:rsidR="0021298F" w:rsidRPr="00956CE7" w:rsidRDefault="0021298F" w:rsidP="00760009">
            <w:pPr>
              <w:jc w:val="right"/>
              <w:rPr>
                <w:rFonts w:ascii="Arial" w:eastAsia="Times New Roman" w:hAnsi="Arial" w:cs="Arial"/>
                <w:color w:val="000000"/>
                <w:sz w:val="20"/>
                <w:szCs w:val="20"/>
                <w:lang w:eastAsia="en-GB"/>
              </w:rPr>
            </w:pPr>
            <w:r w:rsidRPr="00956CE7">
              <w:rPr>
                <w:rFonts w:ascii="Arial" w:eastAsia="Times New Roman" w:hAnsi="Arial" w:cs="Arial"/>
                <w:color w:val="000000"/>
                <w:sz w:val="20"/>
                <w:szCs w:val="20"/>
                <w:lang w:eastAsia="en-GB"/>
              </w:rPr>
              <w:t xml:space="preserve">16,340 </w:t>
            </w:r>
          </w:p>
        </w:tc>
        <w:tc>
          <w:tcPr>
            <w:tcW w:w="1361" w:type="dxa"/>
            <w:tcBorders>
              <w:top w:val="nil"/>
              <w:left w:val="nil"/>
              <w:bottom w:val="nil"/>
              <w:right w:val="nil"/>
            </w:tcBorders>
            <w:shd w:val="clear" w:color="000000" w:fill="EDFFB7"/>
            <w:noWrap/>
            <w:vAlign w:val="center"/>
            <w:hideMark/>
          </w:tcPr>
          <w:p w14:paraId="5319222B" w14:textId="77777777" w:rsidR="0021298F" w:rsidRPr="00956CE7" w:rsidRDefault="0021298F" w:rsidP="00760009">
            <w:pPr>
              <w:jc w:val="right"/>
              <w:rPr>
                <w:rFonts w:ascii="Arial" w:eastAsia="Times New Roman" w:hAnsi="Arial" w:cs="Arial"/>
                <w:color w:val="000000"/>
                <w:sz w:val="20"/>
                <w:szCs w:val="20"/>
                <w:lang w:eastAsia="en-GB"/>
              </w:rPr>
            </w:pPr>
            <w:r w:rsidRPr="00956CE7">
              <w:rPr>
                <w:rFonts w:ascii="Arial" w:eastAsia="Times New Roman" w:hAnsi="Arial" w:cs="Arial"/>
                <w:color w:val="000000"/>
                <w:sz w:val="20"/>
                <w:szCs w:val="20"/>
                <w:lang w:eastAsia="en-GB"/>
              </w:rPr>
              <w:t xml:space="preserve">423 </w:t>
            </w:r>
          </w:p>
        </w:tc>
      </w:tr>
      <w:tr w:rsidR="0021298F" w:rsidRPr="00956CE7" w14:paraId="1B734893" w14:textId="77777777" w:rsidTr="00760009">
        <w:trPr>
          <w:trHeight w:val="300"/>
        </w:trPr>
        <w:tc>
          <w:tcPr>
            <w:tcW w:w="1606" w:type="dxa"/>
            <w:tcBorders>
              <w:top w:val="nil"/>
              <w:left w:val="nil"/>
              <w:bottom w:val="nil"/>
              <w:right w:val="nil"/>
            </w:tcBorders>
            <w:shd w:val="clear" w:color="000000" w:fill="FFFFFF"/>
            <w:noWrap/>
            <w:vAlign w:val="center"/>
            <w:hideMark/>
          </w:tcPr>
          <w:p w14:paraId="78B3D610" w14:textId="77777777" w:rsidR="0021298F" w:rsidRPr="00956CE7" w:rsidRDefault="0021298F" w:rsidP="00760009">
            <w:pPr>
              <w:rPr>
                <w:rFonts w:ascii="Arial" w:eastAsia="Times New Roman" w:hAnsi="Arial" w:cs="Arial"/>
                <w:color w:val="000000"/>
                <w:sz w:val="20"/>
                <w:szCs w:val="20"/>
                <w:lang w:eastAsia="en-GB"/>
              </w:rPr>
            </w:pPr>
            <w:r w:rsidRPr="00956CE7">
              <w:rPr>
                <w:rFonts w:ascii="Arial" w:eastAsia="Times New Roman" w:hAnsi="Arial" w:cs="Arial"/>
                <w:color w:val="000000"/>
                <w:sz w:val="20"/>
                <w:szCs w:val="20"/>
                <w:lang w:eastAsia="en-GB"/>
              </w:rPr>
              <w:t>Tullynamoyle II</w:t>
            </w:r>
          </w:p>
        </w:tc>
        <w:tc>
          <w:tcPr>
            <w:tcW w:w="1036" w:type="dxa"/>
            <w:tcBorders>
              <w:top w:val="nil"/>
              <w:left w:val="nil"/>
              <w:bottom w:val="nil"/>
              <w:right w:val="nil"/>
            </w:tcBorders>
            <w:shd w:val="clear" w:color="000000" w:fill="EDFFB7"/>
            <w:noWrap/>
            <w:vAlign w:val="center"/>
            <w:hideMark/>
          </w:tcPr>
          <w:p w14:paraId="26281A5A" w14:textId="77777777" w:rsidR="0021298F" w:rsidRPr="00956CE7" w:rsidRDefault="0021298F" w:rsidP="00760009">
            <w:pPr>
              <w:jc w:val="right"/>
              <w:rPr>
                <w:rFonts w:ascii="Arial" w:eastAsia="Times New Roman" w:hAnsi="Arial" w:cs="Arial"/>
                <w:color w:val="000000"/>
                <w:sz w:val="20"/>
                <w:szCs w:val="20"/>
                <w:lang w:eastAsia="en-GB"/>
              </w:rPr>
            </w:pPr>
            <w:r w:rsidRPr="00956CE7">
              <w:rPr>
                <w:rFonts w:ascii="Arial" w:eastAsia="Times New Roman" w:hAnsi="Arial" w:cs="Arial"/>
                <w:color w:val="000000"/>
                <w:sz w:val="20"/>
                <w:szCs w:val="20"/>
                <w:lang w:eastAsia="en-GB"/>
              </w:rPr>
              <w:t xml:space="preserve">16,239 </w:t>
            </w:r>
          </w:p>
        </w:tc>
        <w:tc>
          <w:tcPr>
            <w:tcW w:w="1139" w:type="dxa"/>
            <w:tcBorders>
              <w:top w:val="nil"/>
              <w:left w:val="nil"/>
              <w:bottom w:val="nil"/>
              <w:right w:val="nil"/>
            </w:tcBorders>
            <w:shd w:val="clear" w:color="000000" w:fill="EDFFB7"/>
            <w:noWrap/>
            <w:vAlign w:val="center"/>
            <w:hideMark/>
          </w:tcPr>
          <w:p w14:paraId="6B87AFF5" w14:textId="77777777" w:rsidR="0021298F" w:rsidRPr="00956CE7" w:rsidRDefault="0021298F" w:rsidP="00760009">
            <w:pPr>
              <w:jc w:val="right"/>
              <w:rPr>
                <w:rFonts w:ascii="Arial" w:eastAsia="Times New Roman" w:hAnsi="Arial" w:cs="Arial"/>
                <w:color w:val="000000"/>
                <w:sz w:val="20"/>
                <w:szCs w:val="20"/>
                <w:lang w:eastAsia="en-GB"/>
              </w:rPr>
            </w:pPr>
            <w:r w:rsidRPr="00956CE7">
              <w:rPr>
                <w:rFonts w:ascii="Arial" w:eastAsia="Times New Roman" w:hAnsi="Arial" w:cs="Arial"/>
                <w:color w:val="000000"/>
                <w:sz w:val="20"/>
                <w:szCs w:val="20"/>
                <w:lang w:eastAsia="en-GB"/>
              </w:rPr>
              <w:t xml:space="preserve"> - </w:t>
            </w:r>
          </w:p>
        </w:tc>
        <w:tc>
          <w:tcPr>
            <w:tcW w:w="1250" w:type="dxa"/>
            <w:tcBorders>
              <w:top w:val="nil"/>
              <w:left w:val="nil"/>
              <w:bottom w:val="nil"/>
              <w:right w:val="nil"/>
            </w:tcBorders>
            <w:shd w:val="clear" w:color="000000" w:fill="EDFFB7"/>
            <w:noWrap/>
            <w:vAlign w:val="center"/>
            <w:hideMark/>
          </w:tcPr>
          <w:p w14:paraId="4F762BDC" w14:textId="77777777" w:rsidR="0021298F" w:rsidRPr="00956CE7" w:rsidRDefault="0021298F" w:rsidP="00760009">
            <w:pPr>
              <w:jc w:val="right"/>
              <w:rPr>
                <w:rFonts w:ascii="Arial" w:eastAsia="Times New Roman" w:hAnsi="Arial" w:cs="Arial"/>
                <w:color w:val="000000"/>
                <w:sz w:val="20"/>
                <w:szCs w:val="20"/>
                <w:lang w:eastAsia="en-GB"/>
              </w:rPr>
            </w:pPr>
            <w:r w:rsidRPr="00956CE7">
              <w:rPr>
                <w:rFonts w:ascii="Arial" w:eastAsia="Times New Roman" w:hAnsi="Arial" w:cs="Arial"/>
                <w:color w:val="000000"/>
                <w:sz w:val="20"/>
                <w:szCs w:val="20"/>
                <w:lang w:eastAsia="en-GB"/>
              </w:rPr>
              <w:t xml:space="preserve">80 </w:t>
            </w:r>
          </w:p>
        </w:tc>
        <w:tc>
          <w:tcPr>
            <w:tcW w:w="1339" w:type="dxa"/>
            <w:tcBorders>
              <w:top w:val="nil"/>
              <w:left w:val="nil"/>
              <w:bottom w:val="nil"/>
              <w:right w:val="nil"/>
            </w:tcBorders>
            <w:shd w:val="clear" w:color="000000" w:fill="EDFFB7"/>
            <w:noWrap/>
            <w:vAlign w:val="center"/>
            <w:hideMark/>
          </w:tcPr>
          <w:p w14:paraId="037D7975" w14:textId="77777777" w:rsidR="0021298F" w:rsidRPr="00956CE7" w:rsidRDefault="0021298F" w:rsidP="00760009">
            <w:pPr>
              <w:jc w:val="right"/>
              <w:rPr>
                <w:rFonts w:ascii="Arial" w:eastAsia="Times New Roman" w:hAnsi="Arial" w:cs="Arial"/>
                <w:color w:val="000000"/>
                <w:sz w:val="20"/>
                <w:szCs w:val="20"/>
                <w:lang w:eastAsia="en-GB"/>
              </w:rPr>
            </w:pPr>
            <w:r w:rsidRPr="00956CE7">
              <w:rPr>
                <w:rFonts w:ascii="Arial" w:eastAsia="Times New Roman" w:hAnsi="Arial" w:cs="Arial"/>
                <w:color w:val="000000"/>
                <w:sz w:val="20"/>
                <w:szCs w:val="20"/>
                <w:lang w:eastAsia="en-GB"/>
              </w:rPr>
              <w:t xml:space="preserve"> (1,808)</w:t>
            </w:r>
          </w:p>
        </w:tc>
        <w:tc>
          <w:tcPr>
            <w:tcW w:w="1184" w:type="dxa"/>
            <w:tcBorders>
              <w:top w:val="nil"/>
              <w:left w:val="nil"/>
              <w:bottom w:val="nil"/>
              <w:right w:val="nil"/>
            </w:tcBorders>
            <w:shd w:val="clear" w:color="000000" w:fill="EDFFB7"/>
            <w:noWrap/>
            <w:vAlign w:val="center"/>
            <w:hideMark/>
          </w:tcPr>
          <w:p w14:paraId="7FA92B82" w14:textId="77777777" w:rsidR="0021298F" w:rsidRPr="00956CE7" w:rsidRDefault="0021298F" w:rsidP="00760009">
            <w:pPr>
              <w:jc w:val="right"/>
              <w:rPr>
                <w:rFonts w:ascii="Arial" w:eastAsia="Times New Roman" w:hAnsi="Arial" w:cs="Arial"/>
                <w:color w:val="000000"/>
                <w:sz w:val="20"/>
                <w:szCs w:val="20"/>
                <w:lang w:eastAsia="en-GB"/>
              </w:rPr>
            </w:pPr>
            <w:r w:rsidRPr="00956CE7">
              <w:rPr>
                <w:rFonts w:ascii="Arial" w:eastAsia="Times New Roman" w:hAnsi="Arial" w:cs="Arial"/>
                <w:color w:val="000000"/>
                <w:sz w:val="20"/>
                <w:szCs w:val="20"/>
                <w:lang w:eastAsia="en-GB"/>
              </w:rPr>
              <w:t xml:space="preserve">14,511 </w:t>
            </w:r>
          </w:p>
        </w:tc>
        <w:tc>
          <w:tcPr>
            <w:tcW w:w="1275" w:type="dxa"/>
            <w:tcBorders>
              <w:top w:val="nil"/>
              <w:left w:val="nil"/>
              <w:bottom w:val="nil"/>
              <w:right w:val="nil"/>
            </w:tcBorders>
            <w:shd w:val="clear" w:color="000000" w:fill="EDFFB7"/>
            <w:noWrap/>
            <w:vAlign w:val="center"/>
            <w:hideMark/>
          </w:tcPr>
          <w:p w14:paraId="17F7084D" w14:textId="77777777" w:rsidR="0021298F" w:rsidRPr="00956CE7" w:rsidRDefault="0021298F" w:rsidP="00760009">
            <w:pPr>
              <w:jc w:val="right"/>
              <w:rPr>
                <w:rFonts w:ascii="Arial" w:eastAsia="Times New Roman" w:hAnsi="Arial" w:cs="Arial"/>
                <w:color w:val="000000"/>
                <w:sz w:val="20"/>
                <w:szCs w:val="20"/>
                <w:lang w:eastAsia="en-GB"/>
              </w:rPr>
            </w:pPr>
            <w:r w:rsidRPr="00956CE7">
              <w:rPr>
                <w:rFonts w:ascii="Arial" w:eastAsia="Times New Roman" w:hAnsi="Arial" w:cs="Arial"/>
                <w:color w:val="000000"/>
                <w:sz w:val="20"/>
                <w:szCs w:val="20"/>
                <w:lang w:eastAsia="en-GB"/>
              </w:rPr>
              <w:t xml:space="preserve"> - </w:t>
            </w:r>
          </w:p>
        </w:tc>
        <w:tc>
          <w:tcPr>
            <w:tcW w:w="1057" w:type="dxa"/>
            <w:tcBorders>
              <w:top w:val="nil"/>
              <w:left w:val="nil"/>
              <w:bottom w:val="nil"/>
              <w:right w:val="nil"/>
            </w:tcBorders>
            <w:shd w:val="clear" w:color="000000" w:fill="EDFFB7"/>
            <w:noWrap/>
            <w:vAlign w:val="center"/>
            <w:hideMark/>
          </w:tcPr>
          <w:p w14:paraId="7B061F00" w14:textId="77777777" w:rsidR="0021298F" w:rsidRPr="00956CE7" w:rsidRDefault="0021298F" w:rsidP="00760009">
            <w:pPr>
              <w:jc w:val="right"/>
              <w:rPr>
                <w:rFonts w:ascii="Arial" w:eastAsia="Times New Roman" w:hAnsi="Arial" w:cs="Arial"/>
                <w:color w:val="000000"/>
                <w:sz w:val="20"/>
                <w:szCs w:val="20"/>
                <w:lang w:eastAsia="en-GB"/>
              </w:rPr>
            </w:pPr>
            <w:r w:rsidRPr="00956CE7">
              <w:rPr>
                <w:rFonts w:ascii="Arial" w:eastAsia="Times New Roman" w:hAnsi="Arial" w:cs="Arial"/>
                <w:color w:val="000000"/>
                <w:sz w:val="20"/>
                <w:szCs w:val="20"/>
                <w:lang w:eastAsia="en-GB"/>
              </w:rPr>
              <w:t xml:space="preserve">14,511 </w:t>
            </w:r>
          </w:p>
        </w:tc>
        <w:tc>
          <w:tcPr>
            <w:tcW w:w="1361" w:type="dxa"/>
            <w:tcBorders>
              <w:top w:val="nil"/>
              <w:left w:val="nil"/>
              <w:bottom w:val="nil"/>
              <w:right w:val="nil"/>
            </w:tcBorders>
            <w:shd w:val="clear" w:color="000000" w:fill="EDFFB7"/>
            <w:noWrap/>
            <w:vAlign w:val="center"/>
            <w:hideMark/>
          </w:tcPr>
          <w:p w14:paraId="34E04992" w14:textId="77777777" w:rsidR="0021298F" w:rsidRPr="00956CE7" w:rsidRDefault="0021298F" w:rsidP="00760009">
            <w:pPr>
              <w:jc w:val="right"/>
              <w:rPr>
                <w:rFonts w:ascii="Arial" w:eastAsia="Times New Roman" w:hAnsi="Arial" w:cs="Arial"/>
                <w:color w:val="000000"/>
                <w:sz w:val="20"/>
                <w:szCs w:val="20"/>
                <w:lang w:eastAsia="en-GB"/>
              </w:rPr>
            </w:pPr>
            <w:r w:rsidRPr="00956CE7">
              <w:rPr>
                <w:rFonts w:ascii="Arial" w:eastAsia="Times New Roman" w:hAnsi="Arial" w:cs="Arial"/>
                <w:color w:val="000000"/>
                <w:sz w:val="20"/>
                <w:szCs w:val="20"/>
                <w:lang w:eastAsia="en-GB"/>
              </w:rPr>
              <w:t xml:space="preserve">353 </w:t>
            </w:r>
          </w:p>
        </w:tc>
      </w:tr>
      <w:tr w:rsidR="0021298F" w:rsidRPr="00956CE7" w14:paraId="19A91493" w14:textId="77777777" w:rsidTr="00760009">
        <w:trPr>
          <w:trHeight w:val="300"/>
        </w:trPr>
        <w:tc>
          <w:tcPr>
            <w:tcW w:w="1606" w:type="dxa"/>
            <w:tcBorders>
              <w:top w:val="nil"/>
              <w:left w:val="nil"/>
              <w:bottom w:val="nil"/>
              <w:right w:val="nil"/>
            </w:tcBorders>
            <w:shd w:val="clear" w:color="000000" w:fill="FFFFFF"/>
            <w:noWrap/>
            <w:vAlign w:val="center"/>
            <w:hideMark/>
          </w:tcPr>
          <w:p w14:paraId="30B3DD69" w14:textId="77777777" w:rsidR="0021298F" w:rsidRPr="00956CE7" w:rsidRDefault="0021298F" w:rsidP="00760009">
            <w:pPr>
              <w:rPr>
                <w:rFonts w:ascii="Arial" w:eastAsia="Times New Roman" w:hAnsi="Arial" w:cs="Arial"/>
                <w:color w:val="000000"/>
                <w:sz w:val="20"/>
                <w:szCs w:val="20"/>
                <w:lang w:eastAsia="en-GB"/>
              </w:rPr>
            </w:pPr>
            <w:r w:rsidRPr="00956CE7">
              <w:rPr>
                <w:rFonts w:ascii="Arial" w:eastAsia="Times New Roman" w:hAnsi="Arial" w:cs="Arial"/>
                <w:color w:val="000000"/>
                <w:sz w:val="20"/>
                <w:szCs w:val="20"/>
                <w:lang w:eastAsia="en-GB"/>
              </w:rPr>
              <w:t>Garranereagh</w:t>
            </w:r>
          </w:p>
        </w:tc>
        <w:tc>
          <w:tcPr>
            <w:tcW w:w="1036" w:type="dxa"/>
            <w:tcBorders>
              <w:top w:val="nil"/>
              <w:left w:val="nil"/>
              <w:bottom w:val="nil"/>
              <w:right w:val="nil"/>
            </w:tcBorders>
            <w:shd w:val="clear" w:color="000000" w:fill="EDFFB7"/>
            <w:noWrap/>
            <w:vAlign w:val="center"/>
            <w:hideMark/>
          </w:tcPr>
          <w:p w14:paraId="7F41CCD9" w14:textId="77777777" w:rsidR="0021298F" w:rsidRPr="00956CE7" w:rsidRDefault="0021298F" w:rsidP="00760009">
            <w:pPr>
              <w:jc w:val="right"/>
              <w:rPr>
                <w:rFonts w:ascii="Arial" w:eastAsia="Times New Roman" w:hAnsi="Arial" w:cs="Arial"/>
                <w:color w:val="000000"/>
                <w:sz w:val="20"/>
                <w:szCs w:val="20"/>
                <w:lang w:eastAsia="en-GB"/>
              </w:rPr>
            </w:pPr>
            <w:r w:rsidRPr="00956CE7">
              <w:rPr>
                <w:rFonts w:ascii="Arial" w:eastAsia="Times New Roman" w:hAnsi="Arial" w:cs="Arial"/>
                <w:color w:val="000000"/>
                <w:sz w:val="20"/>
                <w:szCs w:val="20"/>
                <w:lang w:eastAsia="en-GB"/>
              </w:rPr>
              <w:t xml:space="preserve">13,659 </w:t>
            </w:r>
          </w:p>
        </w:tc>
        <w:tc>
          <w:tcPr>
            <w:tcW w:w="1139" w:type="dxa"/>
            <w:tcBorders>
              <w:top w:val="nil"/>
              <w:left w:val="nil"/>
              <w:bottom w:val="nil"/>
              <w:right w:val="nil"/>
            </w:tcBorders>
            <w:shd w:val="clear" w:color="000000" w:fill="EDFFB7"/>
            <w:noWrap/>
            <w:vAlign w:val="center"/>
            <w:hideMark/>
          </w:tcPr>
          <w:p w14:paraId="1A5C9A85" w14:textId="77777777" w:rsidR="0021298F" w:rsidRPr="00956CE7" w:rsidRDefault="0021298F" w:rsidP="00760009">
            <w:pPr>
              <w:jc w:val="right"/>
              <w:rPr>
                <w:rFonts w:ascii="Arial" w:eastAsia="Times New Roman" w:hAnsi="Arial" w:cs="Arial"/>
                <w:color w:val="000000"/>
                <w:sz w:val="20"/>
                <w:szCs w:val="20"/>
                <w:lang w:eastAsia="en-GB"/>
              </w:rPr>
            </w:pPr>
            <w:r w:rsidRPr="00956CE7">
              <w:rPr>
                <w:rFonts w:ascii="Arial" w:eastAsia="Times New Roman" w:hAnsi="Arial" w:cs="Arial"/>
                <w:color w:val="000000"/>
                <w:sz w:val="20"/>
                <w:szCs w:val="20"/>
                <w:lang w:eastAsia="en-GB"/>
              </w:rPr>
              <w:t xml:space="preserve"> - </w:t>
            </w:r>
          </w:p>
        </w:tc>
        <w:tc>
          <w:tcPr>
            <w:tcW w:w="1250" w:type="dxa"/>
            <w:tcBorders>
              <w:top w:val="nil"/>
              <w:left w:val="nil"/>
              <w:bottom w:val="nil"/>
              <w:right w:val="nil"/>
            </w:tcBorders>
            <w:shd w:val="clear" w:color="000000" w:fill="EDFFB7"/>
            <w:noWrap/>
            <w:vAlign w:val="center"/>
            <w:hideMark/>
          </w:tcPr>
          <w:p w14:paraId="6DA09331" w14:textId="77777777" w:rsidR="0021298F" w:rsidRPr="00956CE7" w:rsidRDefault="0021298F" w:rsidP="00760009">
            <w:pPr>
              <w:jc w:val="right"/>
              <w:rPr>
                <w:rFonts w:ascii="Arial" w:eastAsia="Times New Roman" w:hAnsi="Arial" w:cs="Arial"/>
                <w:color w:val="000000"/>
                <w:sz w:val="20"/>
                <w:szCs w:val="20"/>
                <w:lang w:eastAsia="en-GB"/>
              </w:rPr>
            </w:pPr>
            <w:r w:rsidRPr="00956CE7">
              <w:rPr>
                <w:rFonts w:ascii="Arial" w:eastAsia="Times New Roman" w:hAnsi="Arial" w:cs="Arial"/>
                <w:color w:val="000000"/>
                <w:sz w:val="20"/>
                <w:szCs w:val="20"/>
                <w:lang w:eastAsia="en-GB"/>
              </w:rPr>
              <w:t xml:space="preserve">74 </w:t>
            </w:r>
          </w:p>
        </w:tc>
        <w:tc>
          <w:tcPr>
            <w:tcW w:w="1339" w:type="dxa"/>
            <w:tcBorders>
              <w:top w:val="nil"/>
              <w:left w:val="nil"/>
              <w:bottom w:val="nil"/>
              <w:right w:val="nil"/>
            </w:tcBorders>
            <w:shd w:val="clear" w:color="000000" w:fill="EDFFB7"/>
            <w:noWrap/>
            <w:vAlign w:val="center"/>
            <w:hideMark/>
          </w:tcPr>
          <w:p w14:paraId="443BA574" w14:textId="77777777" w:rsidR="0021298F" w:rsidRPr="00956CE7" w:rsidRDefault="0021298F" w:rsidP="00760009">
            <w:pPr>
              <w:jc w:val="right"/>
              <w:rPr>
                <w:rFonts w:ascii="Arial" w:eastAsia="Times New Roman" w:hAnsi="Arial" w:cs="Arial"/>
                <w:color w:val="000000"/>
                <w:sz w:val="20"/>
                <w:szCs w:val="20"/>
                <w:lang w:eastAsia="en-GB"/>
              </w:rPr>
            </w:pPr>
            <w:r w:rsidRPr="00956CE7">
              <w:rPr>
                <w:rFonts w:ascii="Arial" w:eastAsia="Times New Roman" w:hAnsi="Arial" w:cs="Arial"/>
                <w:color w:val="000000"/>
                <w:sz w:val="20"/>
                <w:szCs w:val="20"/>
                <w:lang w:eastAsia="en-GB"/>
              </w:rPr>
              <w:t xml:space="preserve"> - </w:t>
            </w:r>
          </w:p>
        </w:tc>
        <w:tc>
          <w:tcPr>
            <w:tcW w:w="1184" w:type="dxa"/>
            <w:tcBorders>
              <w:top w:val="nil"/>
              <w:left w:val="nil"/>
              <w:bottom w:val="nil"/>
              <w:right w:val="nil"/>
            </w:tcBorders>
            <w:shd w:val="clear" w:color="000000" w:fill="EDFFB7"/>
            <w:noWrap/>
            <w:vAlign w:val="center"/>
            <w:hideMark/>
          </w:tcPr>
          <w:p w14:paraId="3F472749" w14:textId="77777777" w:rsidR="0021298F" w:rsidRPr="00956CE7" w:rsidRDefault="0021298F" w:rsidP="00760009">
            <w:pPr>
              <w:jc w:val="right"/>
              <w:rPr>
                <w:rFonts w:ascii="Arial" w:eastAsia="Times New Roman" w:hAnsi="Arial" w:cs="Arial"/>
                <w:color w:val="000000"/>
                <w:sz w:val="20"/>
                <w:szCs w:val="20"/>
                <w:lang w:eastAsia="en-GB"/>
              </w:rPr>
            </w:pPr>
            <w:r w:rsidRPr="00956CE7">
              <w:rPr>
                <w:rFonts w:ascii="Arial" w:eastAsia="Times New Roman" w:hAnsi="Arial" w:cs="Arial"/>
                <w:color w:val="000000"/>
                <w:sz w:val="20"/>
                <w:szCs w:val="20"/>
                <w:lang w:eastAsia="en-GB"/>
              </w:rPr>
              <w:t xml:space="preserve">13,733 </w:t>
            </w:r>
          </w:p>
        </w:tc>
        <w:tc>
          <w:tcPr>
            <w:tcW w:w="1275" w:type="dxa"/>
            <w:tcBorders>
              <w:top w:val="nil"/>
              <w:left w:val="nil"/>
              <w:bottom w:val="nil"/>
              <w:right w:val="nil"/>
            </w:tcBorders>
            <w:shd w:val="clear" w:color="000000" w:fill="EDFFB7"/>
            <w:noWrap/>
            <w:vAlign w:val="center"/>
            <w:hideMark/>
          </w:tcPr>
          <w:p w14:paraId="27BAF4B0" w14:textId="77777777" w:rsidR="0021298F" w:rsidRPr="00956CE7" w:rsidRDefault="0021298F" w:rsidP="00760009">
            <w:pPr>
              <w:jc w:val="right"/>
              <w:rPr>
                <w:rFonts w:ascii="Arial" w:eastAsia="Times New Roman" w:hAnsi="Arial" w:cs="Arial"/>
                <w:color w:val="000000"/>
                <w:sz w:val="20"/>
                <w:szCs w:val="20"/>
                <w:lang w:eastAsia="en-GB"/>
              </w:rPr>
            </w:pPr>
            <w:r w:rsidRPr="00956CE7">
              <w:rPr>
                <w:rFonts w:ascii="Arial" w:eastAsia="Times New Roman" w:hAnsi="Arial" w:cs="Arial"/>
                <w:color w:val="000000"/>
                <w:sz w:val="20"/>
                <w:szCs w:val="20"/>
                <w:lang w:eastAsia="en-GB"/>
              </w:rPr>
              <w:t xml:space="preserve"> - </w:t>
            </w:r>
          </w:p>
        </w:tc>
        <w:tc>
          <w:tcPr>
            <w:tcW w:w="1057" w:type="dxa"/>
            <w:tcBorders>
              <w:top w:val="nil"/>
              <w:left w:val="nil"/>
              <w:bottom w:val="nil"/>
              <w:right w:val="nil"/>
            </w:tcBorders>
            <w:shd w:val="clear" w:color="000000" w:fill="EDFFB7"/>
            <w:noWrap/>
            <w:vAlign w:val="center"/>
            <w:hideMark/>
          </w:tcPr>
          <w:p w14:paraId="4A49BD42" w14:textId="77777777" w:rsidR="0021298F" w:rsidRPr="00956CE7" w:rsidRDefault="0021298F" w:rsidP="00760009">
            <w:pPr>
              <w:jc w:val="right"/>
              <w:rPr>
                <w:rFonts w:ascii="Arial" w:eastAsia="Times New Roman" w:hAnsi="Arial" w:cs="Arial"/>
                <w:color w:val="000000"/>
                <w:sz w:val="20"/>
                <w:szCs w:val="20"/>
                <w:lang w:eastAsia="en-GB"/>
              </w:rPr>
            </w:pPr>
            <w:r w:rsidRPr="00956CE7">
              <w:rPr>
                <w:rFonts w:ascii="Arial" w:eastAsia="Times New Roman" w:hAnsi="Arial" w:cs="Arial"/>
                <w:color w:val="000000"/>
                <w:sz w:val="20"/>
                <w:szCs w:val="20"/>
                <w:lang w:eastAsia="en-GB"/>
              </w:rPr>
              <w:t xml:space="preserve">13,733 </w:t>
            </w:r>
          </w:p>
        </w:tc>
        <w:tc>
          <w:tcPr>
            <w:tcW w:w="1361" w:type="dxa"/>
            <w:tcBorders>
              <w:top w:val="nil"/>
              <w:left w:val="nil"/>
              <w:bottom w:val="nil"/>
              <w:right w:val="nil"/>
            </w:tcBorders>
            <w:shd w:val="clear" w:color="000000" w:fill="EDFFB7"/>
            <w:noWrap/>
            <w:vAlign w:val="center"/>
            <w:hideMark/>
          </w:tcPr>
          <w:p w14:paraId="09EE6519" w14:textId="77777777" w:rsidR="0021298F" w:rsidRPr="00956CE7" w:rsidRDefault="0021298F" w:rsidP="00760009">
            <w:pPr>
              <w:jc w:val="right"/>
              <w:rPr>
                <w:rFonts w:ascii="Arial" w:eastAsia="Times New Roman" w:hAnsi="Arial" w:cs="Arial"/>
                <w:color w:val="000000"/>
                <w:sz w:val="20"/>
                <w:szCs w:val="20"/>
                <w:lang w:eastAsia="en-GB"/>
              </w:rPr>
            </w:pPr>
            <w:r w:rsidRPr="00956CE7">
              <w:rPr>
                <w:rFonts w:ascii="Arial" w:eastAsia="Times New Roman" w:hAnsi="Arial" w:cs="Arial"/>
                <w:color w:val="000000"/>
                <w:sz w:val="20"/>
                <w:szCs w:val="20"/>
                <w:lang w:eastAsia="en-GB"/>
              </w:rPr>
              <w:t xml:space="preserve">312 </w:t>
            </w:r>
          </w:p>
        </w:tc>
      </w:tr>
      <w:tr w:rsidR="0021298F" w:rsidRPr="00956CE7" w14:paraId="258E146A" w14:textId="77777777" w:rsidTr="00760009">
        <w:trPr>
          <w:trHeight w:val="300"/>
        </w:trPr>
        <w:tc>
          <w:tcPr>
            <w:tcW w:w="1606" w:type="dxa"/>
            <w:tcBorders>
              <w:top w:val="nil"/>
              <w:left w:val="nil"/>
              <w:bottom w:val="nil"/>
              <w:right w:val="nil"/>
            </w:tcBorders>
            <w:shd w:val="clear" w:color="000000" w:fill="FFFFFF"/>
            <w:noWrap/>
            <w:vAlign w:val="center"/>
            <w:hideMark/>
          </w:tcPr>
          <w:p w14:paraId="0687107D" w14:textId="77777777" w:rsidR="0021298F" w:rsidRPr="00956CE7" w:rsidRDefault="0021298F" w:rsidP="00760009">
            <w:pPr>
              <w:rPr>
                <w:rFonts w:ascii="Arial" w:eastAsia="Times New Roman" w:hAnsi="Arial" w:cs="Arial"/>
                <w:color w:val="000000"/>
                <w:sz w:val="20"/>
                <w:szCs w:val="20"/>
                <w:lang w:eastAsia="en-GB"/>
              </w:rPr>
            </w:pPr>
            <w:r w:rsidRPr="00956CE7">
              <w:rPr>
                <w:rFonts w:ascii="Arial" w:eastAsia="Times New Roman" w:hAnsi="Arial" w:cs="Arial"/>
                <w:color w:val="000000"/>
                <w:sz w:val="20"/>
                <w:szCs w:val="20"/>
                <w:lang w:eastAsia="en-GB"/>
              </w:rPr>
              <w:t>Carrickallen</w:t>
            </w:r>
          </w:p>
        </w:tc>
        <w:tc>
          <w:tcPr>
            <w:tcW w:w="1036" w:type="dxa"/>
            <w:tcBorders>
              <w:top w:val="nil"/>
              <w:left w:val="nil"/>
              <w:bottom w:val="nil"/>
              <w:right w:val="nil"/>
            </w:tcBorders>
            <w:shd w:val="clear" w:color="000000" w:fill="EDFFB7"/>
            <w:noWrap/>
            <w:vAlign w:val="center"/>
            <w:hideMark/>
          </w:tcPr>
          <w:p w14:paraId="06905106" w14:textId="77777777" w:rsidR="0021298F" w:rsidRPr="00956CE7" w:rsidRDefault="0021298F" w:rsidP="00760009">
            <w:pPr>
              <w:jc w:val="right"/>
              <w:rPr>
                <w:rFonts w:ascii="Arial" w:eastAsia="Times New Roman" w:hAnsi="Arial" w:cs="Arial"/>
                <w:color w:val="000000"/>
                <w:sz w:val="20"/>
                <w:szCs w:val="20"/>
                <w:lang w:eastAsia="en-GB"/>
              </w:rPr>
            </w:pPr>
            <w:r w:rsidRPr="00956CE7">
              <w:rPr>
                <w:rFonts w:ascii="Arial" w:eastAsia="Times New Roman" w:hAnsi="Arial" w:cs="Arial"/>
                <w:color w:val="000000"/>
                <w:sz w:val="20"/>
                <w:szCs w:val="20"/>
                <w:lang w:eastAsia="en-GB"/>
              </w:rPr>
              <w:t xml:space="preserve"> - </w:t>
            </w:r>
          </w:p>
        </w:tc>
        <w:tc>
          <w:tcPr>
            <w:tcW w:w="1139" w:type="dxa"/>
            <w:tcBorders>
              <w:top w:val="nil"/>
              <w:left w:val="nil"/>
              <w:bottom w:val="nil"/>
              <w:right w:val="nil"/>
            </w:tcBorders>
            <w:shd w:val="clear" w:color="000000" w:fill="EDFFB7"/>
            <w:noWrap/>
            <w:vAlign w:val="center"/>
            <w:hideMark/>
          </w:tcPr>
          <w:p w14:paraId="6980FCD6" w14:textId="77777777" w:rsidR="0021298F" w:rsidRPr="00956CE7" w:rsidRDefault="0021298F" w:rsidP="00760009">
            <w:pPr>
              <w:jc w:val="right"/>
              <w:rPr>
                <w:rFonts w:ascii="Arial" w:eastAsia="Times New Roman" w:hAnsi="Arial" w:cs="Arial"/>
                <w:color w:val="000000"/>
                <w:sz w:val="20"/>
                <w:szCs w:val="20"/>
                <w:lang w:eastAsia="en-GB"/>
              </w:rPr>
            </w:pPr>
            <w:r w:rsidRPr="00956CE7">
              <w:rPr>
                <w:rFonts w:ascii="Arial" w:eastAsia="Times New Roman" w:hAnsi="Arial" w:cs="Arial"/>
                <w:color w:val="000000"/>
                <w:sz w:val="20"/>
                <w:szCs w:val="20"/>
                <w:lang w:eastAsia="en-GB"/>
              </w:rPr>
              <w:t xml:space="preserve">13,598 </w:t>
            </w:r>
          </w:p>
        </w:tc>
        <w:tc>
          <w:tcPr>
            <w:tcW w:w="1250" w:type="dxa"/>
            <w:tcBorders>
              <w:top w:val="nil"/>
              <w:left w:val="nil"/>
              <w:bottom w:val="nil"/>
              <w:right w:val="nil"/>
            </w:tcBorders>
            <w:shd w:val="clear" w:color="000000" w:fill="EDFFB7"/>
            <w:noWrap/>
            <w:vAlign w:val="center"/>
            <w:hideMark/>
          </w:tcPr>
          <w:p w14:paraId="14709DA6" w14:textId="77777777" w:rsidR="0021298F" w:rsidRPr="00956CE7" w:rsidRDefault="0021298F" w:rsidP="00760009">
            <w:pPr>
              <w:jc w:val="right"/>
              <w:rPr>
                <w:rFonts w:ascii="Arial" w:eastAsia="Times New Roman" w:hAnsi="Arial" w:cs="Arial"/>
                <w:color w:val="000000"/>
                <w:sz w:val="20"/>
                <w:szCs w:val="20"/>
                <w:lang w:eastAsia="en-GB"/>
              </w:rPr>
            </w:pPr>
            <w:r w:rsidRPr="00956CE7">
              <w:rPr>
                <w:rFonts w:ascii="Arial" w:eastAsia="Times New Roman" w:hAnsi="Arial" w:cs="Arial"/>
                <w:color w:val="000000"/>
                <w:sz w:val="20"/>
                <w:szCs w:val="20"/>
                <w:lang w:eastAsia="en-GB"/>
              </w:rPr>
              <w:t xml:space="preserve"> - </w:t>
            </w:r>
          </w:p>
        </w:tc>
        <w:tc>
          <w:tcPr>
            <w:tcW w:w="1339" w:type="dxa"/>
            <w:tcBorders>
              <w:top w:val="nil"/>
              <w:left w:val="nil"/>
              <w:bottom w:val="nil"/>
              <w:right w:val="nil"/>
            </w:tcBorders>
            <w:shd w:val="clear" w:color="000000" w:fill="EDFFB7"/>
            <w:noWrap/>
            <w:vAlign w:val="center"/>
            <w:hideMark/>
          </w:tcPr>
          <w:p w14:paraId="3F5C9F1B" w14:textId="77777777" w:rsidR="0021298F" w:rsidRPr="00956CE7" w:rsidRDefault="0021298F" w:rsidP="00760009">
            <w:pPr>
              <w:jc w:val="right"/>
              <w:rPr>
                <w:rFonts w:ascii="Arial" w:eastAsia="Times New Roman" w:hAnsi="Arial" w:cs="Arial"/>
                <w:color w:val="000000"/>
                <w:sz w:val="20"/>
                <w:szCs w:val="20"/>
                <w:lang w:eastAsia="en-GB"/>
              </w:rPr>
            </w:pPr>
            <w:r w:rsidRPr="00956CE7">
              <w:rPr>
                <w:rFonts w:ascii="Arial" w:eastAsia="Times New Roman" w:hAnsi="Arial" w:cs="Arial"/>
                <w:color w:val="000000"/>
                <w:sz w:val="20"/>
                <w:szCs w:val="20"/>
                <w:lang w:eastAsia="en-GB"/>
              </w:rPr>
              <w:t xml:space="preserve"> (100)</w:t>
            </w:r>
          </w:p>
        </w:tc>
        <w:tc>
          <w:tcPr>
            <w:tcW w:w="1184" w:type="dxa"/>
            <w:tcBorders>
              <w:top w:val="nil"/>
              <w:left w:val="nil"/>
              <w:bottom w:val="nil"/>
              <w:right w:val="nil"/>
            </w:tcBorders>
            <w:shd w:val="clear" w:color="000000" w:fill="EDFFB7"/>
            <w:noWrap/>
            <w:vAlign w:val="center"/>
            <w:hideMark/>
          </w:tcPr>
          <w:p w14:paraId="5F509251" w14:textId="77777777" w:rsidR="0021298F" w:rsidRPr="00956CE7" w:rsidRDefault="0021298F" w:rsidP="00760009">
            <w:pPr>
              <w:jc w:val="right"/>
              <w:rPr>
                <w:rFonts w:ascii="Arial" w:eastAsia="Times New Roman" w:hAnsi="Arial" w:cs="Arial"/>
                <w:color w:val="000000"/>
                <w:sz w:val="20"/>
                <w:szCs w:val="20"/>
                <w:lang w:eastAsia="en-GB"/>
              </w:rPr>
            </w:pPr>
            <w:r w:rsidRPr="00956CE7">
              <w:rPr>
                <w:rFonts w:ascii="Arial" w:eastAsia="Times New Roman" w:hAnsi="Arial" w:cs="Arial"/>
                <w:color w:val="000000"/>
                <w:sz w:val="20"/>
                <w:szCs w:val="20"/>
                <w:lang w:eastAsia="en-GB"/>
              </w:rPr>
              <w:t xml:space="preserve">13,498 </w:t>
            </w:r>
          </w:p>
        </w:tc>
        <w:tc>
          <w:tcPr>
            <w:tcW w:w="1275" w:type="dxa"/>
            <w:tcBorders>
              <w:top w:val="nil"/>
              <w:left w:val="nil"/>
              <w:bottom w:val="nil"/>
              <w:right w:val="nil"/>
            </w:tcBorders>
            <w:shd w:val="clear" w:color="000000" w:fill="EDFFB7"/>
            <w:noWrap/>
            <w:vAlign w:val="center"/>
            <w:hideMark/>
          </w:tcPr>
          <w:p w14:paraId="310A2084" w14:textId="77777777" w:rsidR="0021298F" w:rsidRPr="00956CE7" w:rsidRDefault="0021298F" w:rsidP="00760009">
            <w:pPr>
              <w:jc w:val="right"/>
              <w:rPr>
                <w:rFonts w:ascii="Arial" w:eastAsia="Times New Roman" w:hAnsi="Arial" w:cs="Arial"/>
                <w:color w:val="000000"/>
                <w:sz w:val="20"/>
                <w:szCs w:val="20"/>
                <w:lang w:eastAsia="en-GB"/>
              </w:rPr>
            </w:pPr>
            <w:r w:rsidRPr="00956CE7">
              <w:rPr>
                <w:rFonts w:ascii="Arial" w:eastAsia="Times New Roman" w:hAnsi="Arial" w:cs="Arial"/>
                <w:color w:val="000000"/>
                <w:sz w:val="20"/>
                <w:szCs w:val="20"/>
                <w:lang w:eastAsia="en-GB"/>
              </w:rPr>
              <w:t xml:space="preserve"> - </w:t>
            </w:r>
          </w:p>
        </w:tc>
        <w:tc>
          <w:tcPr>
            <w:tcW w:w="1057" w:type="dxa"/>
            <w:tcBorders>
              <w:top w:val="nil"/>
              <w:left w:val="nil"/>
              <w:bottom w:val="nil"/>
              <w:right w:val="nil"/>
            </w:tcBorders>
            <w:shd w:val="clear" w:color="000000" w:fill="EDFFB7"/>
            <w:noWrap/>
            <w:vAlign w:val="center"/>
            <w:hideMark/>
          </w:tcPr>
          <w:p w14:paraId="6C8E41CA" w14:textId="77777777" w:rsidR="0021298F" w:rsidRPr="00956CE7" w:rsidRDefault="0021298F" w:rsidP="00760009">
            <w:pPr>
              <w:jc w:val="right"/>
              <w:rPr>
                <w:rFonts w:ascii="Arial" w:eastAsia="Times New Roman" w:hAnsi="Arial" w:cs="Arial"/>
                <w:color w:val="000000"/>
                <w:sz w:val="20"/>
                <w:szCs w:val="20"/>
                <w:lang w:eastAsia="en-GB"/>
              </w:rPr>
            </w:pPr>
            <w:r w:rsidRPr="00956CE7">
              <w:rPr>
                <w:rFonts w:ascii="Arial" w:eastAsia="Times New Roman" w:hAnsi="Arial" w:cs="Arial"/>
                <w:color w:val="000000"/>
                <w:sz w:val="20"/>
                <w:szCs w:val="20"/>
                <w:lang w:eastAsia="en-GB"/>
              </w:rPr>
              <w:t xml:space="preserve">13,498 </w:t>
            </w:r>
          </w:p>
        </w:tc>
        <w:tc>
          <w:tcPr>
            <w:tcW w:w="1361" w:type="dxa"/>
            <w:tcBorders>
              <w:top w:val="nil"/>
              <w:left w:val="nil"/>
              <w:bottom w:val="nil"/>
              <w:right w:val="nil"/>
            </w:tcBorders>
            <w:shd w:val="clear" w:color="000000" w:fill="EDFFB7"/>
            <w:noWrap/>
            <w:vAlign w:val="center"/>
            <w:hideMark/>
          </w:tcPr>
          <w:p w14:paraId="287EDA6B" w14:textId="77777777" w:rsidR="0021298F" w:rsidRPr="00956CE7" w:rsidRDefault="0021298F" w:rsidP="00760009">
            <w:pPr>
              <w:jc w:val="right"/>
              <w:rPr>
                <w:rFonts w:ascii="Arial" w:eastAsia="Times New Roman" w:hAnsi="Arial" w:cs="Arial"/>
                <w:color w:val="000000"/>
                <w:sz w:val="20"/>
                <w:szCs w:val="20"/>
                <w:lang w:eastAsia="en-GB"/>
              </w:rPr>
            </w:pPr>
            <w:r w:rsidRPr="00956CE7">
              <w:rPr>
                <w:rFonts w:ascii="Arial" w:eastAsia="Times New Roman" w:hAnsi="Arial" w:cs="Arial"/>
                <w:color w:val="000000"/>
                <w:sz w:val="20"/>
                <w:szCs w:val="20"/>
                <w:lang w:eastAsia="en-GB"/>
              </w:rPr>
              <w:t xml:space="preserve">268 </w:t>
            </w:r>
          </w:p>
        </w:tc>
      </w:tr>
      <w:tr w:rsidR="0021298F" w:rsidRPr="00956CE7" w14:paraId="3787557F" w14:textId="77777777" w:rsidTr="00760009">
        <w:trPr>
          <w:trHeight w:val="300"/>
        </w:trPr>
        <w:tc>
          <w:tcPr>
            <w:tcW w:w="1606" w:type="dxa"/>
            <w:tcBorders>
              <w:top w:val="nil"/>
              <w:left w:val="nil"/>
              <w:bottom w:val="nil"/>
              <w:right w:val="nil"/>
            </w:tcBorders>
            <w:shd w:val="clear" w:color="000000" w:fill="FFFFFF"/>
            <w:noWrap/>
            <w:vAlign w:val="center"/>
            <w:hideMark/>
          </w:tcPr>
          <w:p w14:paraId="56B1DC4E" w14:textId="77777777" w:rsidR="0021298F" w:rsidRPr="00956CE7" w:rsidRDefault="0021298F" w:rsidP="00760009">
            <w:pPr>
              <w:rPr>
                <w:rFonts w:ascii="Arial" w:eastAsia="Times New Roman" w:hAnsi="Arial" w:cs="Arial"/>
                <w:color w:val="000000"/>
                <w:sz w:val="20"/>
                <w:szCs w:val="20"/>
                <w:lang w:eastAsia="en-GB"/>
              </w:rPr>
            </w:pPr>
            <w:r w:rsidRPr="00956CE7">
              <w:rPr>
                <w:rFonts w:ascii="Arial" w:eastAsia="Times New Roman" w:hAnsi="Arial" w:cs="Arial"/>
                <w:color w:val="000000"/>
                <w:sz w:val="20"/>
                <w:szCs w:val="20"/>
                <w:lang w:eastAsia="en-GB"/>
              </w:rPr>
              <w:t>Sommette</w:t>
            </w:r>
          </w:p>
        </w:tc>
        <w:tc>
          <w:tcPr>
            <w:tcW w:w="1036" w:type="dxa"/>
            <w:tcBorders>
              <w:top w:val="nil"/>
              <w:left w:val="nil"/>
              <w:bottom w:val="nil"/>
              <w:right w:val="nil"/>
            </w:tcBorders>
            <w:shd w:val="clear" w:color="000000" w:fill="EDFFB7"/>
            <w:noWrap/>
            <w:vAlign w:val="center"/>
            <w:hideMark/>
          </w:tcPr>
          <w:p w14:paraId="005D8637" w14:textId="77777777" w:rsidR="0021298F" w:rsidRPr="00956CE7" w:rsidRDefault="0021298F" w:rsidP="00760009">
            <w:pPr>
              <w:jc w:val="right"/>
              <w:rPr>
                <w:rFonts w:ascii="Arial" w:eastAsia="Times New Roman" w:hAnsi="Arial" w:cs="Arial"/>
                <w:color w:val="000000"/>
                <w:sz w:val="20"/>
                <w:szCs w:val="20"/>
                <w:lang w:eastAsia="en-GB"/>
              </w:rPr>
            </w:pPr>
            <w:r w:rsidRPr="00956CE7">
              <w:rPr>
                <w:rFonts w:ascii="Arial" w:eastAsia="Times New Roman" w:hAnsi="Arial" w:cs="Arial"/>
                <w:color w:val="000000"/>
                <w:sz w:val="20"/>
                <w:szCs w:val="20"/>
                <w:lang w:eastAsia="en-GB"/>
              </w:rPr>
              <w:t xml:space="preserve"> - </w:t>
            </w:r>
          </w:p>
        </w:tc>
        <w:tc>
          <w:tcPr>
            <w:tcW w:w="1139" w:type="dxa"/>
            <w:tcBorders>
              <w:top w:val="nil"/>
              <w:left w:val="nil"/>
              <w:bottom w:val="nil"/>
              <w:right w:val="nil"/>
            </w:tcBorders>
            <w:shd w:val="clear" w:color="000000" w:fill="EDFFB7"/>
            <w:noWrap/>
            <w:vAlign w:val="center"/>
            <w:hideMark/>
          </w:tcPr>
          <w:p w14:paraId="1EF29259" w14:textId="77777777" w:rsidR="0021298F" w:rsidRPr="00956CE7" w:rsidRDefault="0021298F" w:rsidP="00760009">
            <w:pPr>
              <w:jc w:val="right"/>
              <w:rPr>
                <w:rFonts w:ascii="Arial" w:eastAsia="Times New Roman" w:hAnsi="Arial" w:cs="Arial"/>
                <w:color w:val="000000"/>
                <w:sz w:val="20"/>
                <w:szCs w:val="20"/>
                <w:lang w:eastAsia="en-GB"/>
              </w:rPr>
            </w:pPr>
            <w:r w:rsidRPr="00956CE7">
              <w:rPr>
                <w:rFonts w:ascii="Arial" w:eastAsia="Times New Roman" w:hAnsi="Arial" w:cs="Arial"/>
                <w:color w:val="000000"/>
                <w:sz w:val="20"/>
                <w:szCs w:val="20"/>
                <w:lang w:eastAsia="en-GB"/>
              </w:rPr>
              <w:t xml:space="preserve">13,590 </w:t>
            </w:r>
          </w:p>
        </w:tc>
        <w:tc>
          <w:tcPr>
            <w:tcW w:w="1250" w:type="dxa"/>
            <w:tcBorders>
              <w:top w:val="nil"/>
              <w:left w:val="nil"/>
              <w:bottom w:val="nil"/>
              <w:right w:val="nil"/>
            </w:tcBorders>
            <w:shd w:val="clear" w:color="000000" w:fill="EDFFB7"/>
            <w:noWrap/>
            <w:vAlign w:val="center"/>
            <w:hideMark/>
          </w:tcPr>
          <w:p w14:paraId="5AE513CF" w14:textId="77777777" w:rsidR="0021298F" w:rsidRPr="00956CE7" w:rsidRDefault="0021298F" w:rsidP="00760009">
            <w:pPr>
              <w:jc w:val="right"/>
              <w:rPr>
                <w:rFonts w:ascii="Arial" w:eastAsia="Times New Roman" w:hAnsi="Arial" w:cs="Arial"/>
                <w:color w:val="000000"/>
                <w:sz w:val="20"/>
                <w:szCs w:val="20"/>
                <w:lang w:eastAsia="en-GB"/>
              </w:rPr>
            </w:pPr>
            <w:r w:rsidRPr="00956CE7">
              <w:rPr>
                <w:rFonts w:ascii="Arial" w:eastAsia="Times New Roman" w:hAnsi="Arial" w:cs="Arial"/>
                <w:color w:val="000000"/>
                <w:sz w:val="20"/>
                <w:szCs w:val="20"/>
                <w:lang w:eastAsia="en-GB"/>
              </w:rPr>
              <w:t xml:space="preserve"> - </w:t>
            </w:r>
          </w:p>
        </w:tc>
        <w:tc>
          <w:tcPr>
            <w:tcW w:w="1339" w:type="dxa"/>
            <w:tcBorders>
              <w:top w:val="nil"/>
              <w:left w:val="nil"/>
              <w:bottom w:val="nil"/>
              <w:right w:val="nil"/>
            </w:tcBorders>
            <w:shd w:val="clear" w:color="000000" w:fill="EDFFB7"/>
            <w:noWrap/>
            <w:vAlign w:val="center"/>
            <w:hideMark/>
          </w:tcPr>
          <w:p w14:paraId="2135CC42" w14:textId="77777777" w:rsidR="0021298F" w:rsidRPr="00956CE7" w:rsidRDefault="0021298F" w:rsidP="00760009">
            <w:pPr>
              <w:jc w:val="right"/>
              <w:rPr>
                <w:rFonts w:ascii="Arial" w:eastAsia="Times New Roman" w:hAnsi="Arial" w:cs="Arial"/>
                <w:color w:val="000000"/>
                <w:sz w:val="20"/>
                <w:szCs w:val="20"/>
                <w:lang w:eastAsia="en-GB"/>
              </w:rPr>
            </w:pPr>
            <w:r w:rsidRPr="00956CE7">
              <w:rPr>
                <w:rFonts w:ascii="Arial" w:eastAsia="Times New Roman" w:hAnsi="Arial" w:cs="Arial"/>
                <w:color w:val="000000"/>
                <w:sz w:val="20"/>
                <w:szCs w:val="20"/>
                <w:lang w:eastAsia="en-GB"/>
              </w:rPr>
              <w:t xml:space="preserve"> (983)</w:t>
            </w:r>
          </w:p>
        </w:tc>
        <w:tc>
          <w:tcPr>
            <w:tcW w:w="1184" w:type="dxa"/>
            <w:tcBorders>
              <w:top w:val="nil"/>
              <w:left w:val="nil"/>
              <w:bottom w:val="nil"/>
              <w:right w:val="nil"/>
            </w:tcBorders>
            <w:shd w:val="clear" w:color="000000" w:fill="EDFFB7"/>
            <w:noWrap/>
            <w:vAlign w:val="center"/>
            <w:hideMark/>
          </w:tcPr>
          <w:p w14:paraId="27E9D493" w14:textId="77777777" w:rsidR="0021298F" w:rsidRPr="00956CE7" w:rsidRDefault="0021298F" w:rsidP="00760009">
            <w:pPr>
              <w:jc w:val="right"/>
              <w:rPr>
                <w:rFonts w:ascii="Arial" w:eastAsia="Times New Roman" w:hAnsi="Arial" w:cs="Arial"/>
                <w:color w:val="000000"/>
                <w:sz w:val="20"/>
                <w:szCs w:val="20"/>
                <w:lang w:eastAsia="en-GB"/>
              </w:rPr>
            </w:pPr>
            <w:r w:rsidRPr="00956CE7">
              <w:rPr>
                <w:rFonts w:ascii="Arial" w:eastAsia="Times New Roman" w:hAnsi="Arial" w:cs="Arial"/>
                <w:color w:val="000000"/>
                <w:sz w:val="20"/>
                <w:szCs w:val="20"/>
                <w:lang w:eastAsia="en-GB"/>
              </w:rPr>
              <w:t xml:space="preserve">12,607 </w:t>
            </w:r>
          </w:p>
        </w:tc>
        <w:tc>
          <w:tcPr>
            <w:tcW w:w="1275" w:type="dxa"/>
            <w:tcBorders>
              <w:top w:val="nil"/>
              <w:left w:val="nil"/>
              <w:bottom w:val="nil"/>
              <w:right w:val="nil"/>
            </w:tcBorders>
            <w:shd w:val="clear" w:color="000000" w:fill="EDFFB7"/>
            <w:noWrap/>
            <w:vAlign w:val="center"/>
            <w:hideMark/>
          </w:tcPr>
          <w:p w14:paraId="508CC1A6" w14:textId="77777777" w:rsidR="0021298F" w:rsidRPr="00956CE7" w:rsidRDefault="0021298F" w:rsidP="00760009">
            <w:pPr>
              <w:jc w:val="right"/>
              <w:rPr>
                <w:rFonts w:ascii="Arial" w:eastAsia="Times New Roman" w:hAnsi="Arial" w:cs="Arial"/>
                <w:color w:val="000000"/>
                <w:sz w:val="20"/>
                <w:szCs w:val="20"/>
                <w:lang w:eastAsia="en-GB"/>
              </w:rPr>
            </w:pPr>
            <w:r w:rsidRPr="00956CE7">
              <w:rPr>
                <w:rFonts w:ascii="Arial" w:eastAsia="Times New Roman" w:hAnsi="Arial" w:cs="Arial"/>
                <w:color w:val="000000"/>
                <w:sz w:val="20"/>
                <w:szCs w:val="20"/>
                <w:lang w:eastAsia="en-GB"/>
              </w:rPr>
              <w:t xml:space="preserve">319 </w:t>
            </w:r>
          </w:p>
        </w:tc>
        <w:tc>
          <w:tcPr>
            <w:tcW w:w="1057" w:type="dxa"/>
            <w:tcBorders>
              <w:top w:val="nil"/>
              <w:left w:val="nil"/>
              <w:bottom w:val="nil"/>
              <w:right w:val="nil"/>
            </w:tcBorders>
            <w:shd w:val="clear" w:color="000000" w:fill="EDFFB7"/>
            <w:noWrap/>
            <w:vAlign w:val="center"/>
            <w:hideMark/>
          </w:tcPr>
          <w:p w14:paraId="42EDEAA0" w14:textId="77777777" w:rsidR="0021298F" w:rsidRPr="00956CE7" w:rsidRDefault="0021298F" w:rsidP="00760009">
            <w:pPr>
              <w:jc w:val="right"/>
              <w:rPr>
                <w:rFonts w:ascii="Arial" w:eastAsia="Times New Roman" w:hAnsi="Arial" w:cs="Arial"/>
                <w:color w:val="000000"/>
                <w:sz w:val="20"/>
                <w:szCs w:val="20"/>
                <w:lang w:eastAsia="en-GB"/>
              </w:rPr>
            </w:pPr>
            <w:r w:rsidRPr="00956CE7">
              <w:rPr>
                <w:rFonts w:ascii="Arial" w:eastAsia="Times New Roman" w:hAnsi="Arial" w:cs="Arial"/>
                <w:color w:val="000000"/>
                <w:sz w:val="20"/>
                <w:szCs w:val="20"/>
                <w:lang w:eastAsia="en-GB"/>
              </w:rPr>
              <w:t xml:space="preserve">12,926 </w:t>
            </w:r>
          </w:p>
        </w:tc>
        <w:tc>
          <w:tcPr>
            <w:tcW w:w="1361" w:type="dxa"/>
            <w:tcBorders>
              <w:top w:val="nil"/>
              <w:left w:val="nil"/>
              <w:bottom w:val="nil"/>
              <w:right w:val="nil"/>
            </w:tcBorders>
            <w:shd w:val="clear" w:color="000000" w:fill="EDFFB7"/>
            <w:noWrap/>
            <w:vAlign w:val="center"/>
            <w:hideMark/>
          </w:tcPr>
          <w:p w14:paraId="3C4ED67D" w14:textId="77777777" w:rsidR="0021298F" w:rsidRPr="00956CE7" w:rsidRDefault="0021298F" w:rsidP="00760009">
            <w:pPr>
              <w:jc w:val="right"/>
              <w:rPr>
                <w:rFonts w:ascii="Arial" w:eastAsia="Times New Roman" w:hAnsi="Arial" w:cs="Arial"/>
                <w:color w:val="000000"/>
                <w:sz w:val="20"/>
                <w:szCs w:val="20"/>
                <w:lang w:eastAsia="en-GB"/>
              </w:rPr>
            </w:pPr>
            <w:r w:rsidRPr="00956CE7">
              <w:rPr>
                <w:rFonts w:ascii="Arial" w:eastAsia="Times New Roman" w:hAnsi="Arial" w:cs="Arial"/>
                <w:color w:val="000000"/>
                <w:sz w:val="20"/>
                <w:szCs w:val="20"/>
                <w:lang w:eastAsia="en-GB"/>
              </w:rPr>
              <w:t xml:space="preserve">433 </w:t>
            </w:r>
          </w:p>
        </w:tc>
      </w:tr>
      <w:tr w:rsidR="0021298F" w:rsidRPr="00956CE7" w14:paraId="607AEE79" w14:textId="77777777" w:rsidTr="00760009">
        <w:trPr>
          <w:trHeight w:val="300"/>
        </w:trPr>
        <w:tc>
          <w:tcPr>
            <w:tcW w:w="1606" w:type="dxa"/>
            <w:tcBorders>
              <w:top w:val="nil"/>
              <w:left w:val="nil"/>
              <w:bottom w:val="nil"/>
              <w:right w:val="nil"/>
            </w:tcBorders>
            <w:shd w:val="clear" w:color="000000" w:fill="FFFFFF"/>
            <w:noWrap/>
            <w:vAlign w:val="center"/>
            <w:hideMark/>
          </w:tcPr>
          <w:p w14:paraId="5DE7CC0A" w14:textId="77777777" w:rsidR="0021298F" w:rsidRPr="00956CE7" w:rsidRDefault="0021298F" w:rsidP="00760009">
            <w:pPr>
              <w:rPr>
                <w:rFonts w:ascii="Arial" w:eastAsia="Times New Roman" w:hAnsi="Arial" w:cs="Arial"/>
                <w:color w:val="000000"/>
                <w:sz w:val="20"/>
                <w:szCs w:val="20"/>
                <w:lang w:eastAsia="en-GB"/>
              </w:rPr>
            </w:pPr>
            <w:r w:rsidRPr="00956CE7">
              <w:rPr>
                <w:rFonts w:ascii="Arial" w:eastAsia="Times New Roman" w:hAnsi="Arial" w:cs="Arial"/>
                <w:color w:val="000000"/>
                <w:sz w:val="20"/>
                <w:szCs w:val="20"/>
                <w:lang w:eastAsia="en-GB"/>
              </w:rPr>
              <w:t>Lisdowney</w:t>
            </w:r>
          </w:p>
        </w:tc>
        <w:tc>
          <w:tcPr>
            <w:tcW w:w="1036" w:type="dxa"/>
            <w:tcBorders>
              <w:top w:val="nil"/>
              <w:left w:val="nil"/>
              <w:bottom w:val="nil"/>
              <w:right w:val="nil"/>
            </w:tcBorders>
            <w:shd w:val="clear" w:color="000000" w:fill="EDFFB7"/>
            <w:noWrap/>
            <w:vAlign w:val="center"/>
            <w:hideMark/>
          </w:tcPr>
          <w:p w14:paraId="208B92D9" w14:textId="77777777" w:rsidR="0021298F" w:rsidRPr="00956CE7" w:rsidRDefault="0021298F" w:rsidP="00760009">
            <w:pPr>
              <w:jc w:val="right"/>
              <w:rPr>
                <w:rFonts w:ascii="Arial" w:eastAsia="Times New Roman" w:hAnsi="Arial" w:cs="Arial"/>
                <w:color w:val="000000"/>
                <w:sz w:val="20"/>
                <w:szCs w:val="20"/>
                <w:lang w:eastAsia="en-GB"/>
              </w:rPr>
            </w:pPr>
            <w:r w:rsidRPr="00956CE7">
              <w:rPr>
                <w:rFonts w:ascii="Arial" w:eastAsia="Times New Roman" w:hAnsi="Arial" w:cs="Arial"/>
                <w:color w:val="000000"/>
                <w:sz w:val="20"/>
                <w:szCs w:val="20"/>
                <w:lang w:eastAsia="en-GB"/>
              </w:rPr>
              <w:t xml:space="preserve">11,282 </w:t>
            </w:r>
          </w:p>
        </w:tc>
        <w:tc>
          <w:tcPr>
            <w:tcW w:w="1139" w:type="dxa"/>
            <w:tcBorders>
              <w:top w:val="nil"/>
              <w:left w:val="nil"/>
              <w:bottom w:val="nil"/>
              <w:right w:val="nil"/>
            </w:tcBorders>
            <w:shd w:val="clear" w:color="000000" w:fill="EDFFB7"/>
            <w:noWrap/>
            <w:vAlign w:val="center"/>
            <w:hideMark/>
          </w:tcPr>
          <w:p w14:paraId="258D41EF" w14:textId="77777777" w:rsidR="0021298F" w:rsidRPr="00956CE7" w:rsidRDefault="0021298F" w:rsidP="00760009">
            <w:pPr>
              <w:jc w:val="right"/>
              <w:rPr>
                <w:rFonts w:ascii="Arial" w:eastAsia="Times New Roman" w:hAnsi="Arial" w:cs="Arial"/>
                <w:color w:val="000000"/>
                <w:sz w:val="20"/>
                <w:szCs w:val="20"/>
                <w:lang w:eastAsia="en-GB"/>
              </w:rPr>
            </w:pPr>
            <w:r w:rsidRPr="00956CE7">
              <w:rPr>
                <w:rFonts w:ascii="Arial" w:eastAsia="Times New Roman" w:hAnsi="Arial" w:cs="Arial"/>
                <w:color w:val="000000"/>
                <w:sz w:val="20"/>
                <w:szCs w:val="20"/>
                <w:lang w:eastAsia="en-GB"/>
              </w:rPr>
              <w:t xml:space="preserve"> - </w:t>
            </w:r>
          </w:p>
        </w:tc>
        <w:tc>
          <w:tcPr>
            <w:tcW w:w="1250" w:type="dxa"/>
            <w:tcBorders>
              <w:top w:val="nil"/>
              <w:left w:val="nil"/>
              <w:bottom w:val="nil"/>
              <w:right w:val="nil"/>
            </w:tcBorders>
            <w:shd w:val="clear" w:color="000000" w:fill="EDFFB7"/>
            <w:noWrap/>
            <w:vAlign w:val="center"/>
            <w:hideMark/>
          </w:tcPr>
          <w:p w14:paraId="37274305" w14:textId="77777777" w:rsidR="0021298F" w:rsidRPr="00956CE7" w:rsidRDefault="0021298F" w:rsidP="00760009">
            <w:pPr>
              <w:jc w:val="right"/>
              <w:rPr>
                <w:rFonts w:ascii="Arial" w:eastAsia="Times New Roman" w:hAnsi="Arial" w:cs="Arial"/>
                <w:color w:val="000000"/>
                <w:sz w:val="20"/>
                <w:szCs w:val="20"/>
                <w:lang w:eastAsia="en-GB"/>
              </w:rPr>
            </w:pPr>
            <w:r w:rsidRPr="00956CE7">
              <w:rPr>
                <w:rFonts w:ascii="Arial" w:eastAsia="Times New Roman" w:hAnsi="Arial" w:cs="Arial"/>
                <w:color w:val="000000"/>
                <w:sz w:val="20"/>
                <w:szCs w:val="20"/>
                <w:lang w:eastAsia="en-GB"/>
              </w:rPr>
              <w:t xml:space="preserve"> - </w:t>
            </w:r>
          </w:p>
        </w:tc>
        <w:tc>
          <w:tcPr>
            <w:tcW w:w="1339" w:type="dxa"/>
            <w:tcBorders>
              <w:top w:val="nil"/>
              <w:left w:val="nil"/>
              <w:bottom w:val="nil"/>
              <w:right w:val="nil"/>
            </w:tcBorders>
            <w:shd w:val="clear" w:color="000000" w:fill="EDFFB7"/>
            <w:noWrap/>
            <w:vAlign w:val="center"/>
            <w:hideMark/>
          </w:tcPr>
          <w:p w14:paraId="7842DE72" w14:textId="77777777" w:rsidR="0021298F" w:rsidRPr="00956CE7" w:rsidRDefault="0021298F" w:rsidP="00760009">
            <w:pPr>
              <w:jc w:val="right"/>
              <w:rPr>
                <w:rFonts w:ascii="Arial" w:eastAsia="Times New Roman" w:hAnsi="Arial" w:cs="Arial"/>
                <w:color w:val="000000"/>
                <w:sz w:val="20"/>
                <w:szCs w:val="20"/>
                <w:lang w:eastAsia="en-GB"/>
              </w:rPr>
            </w:pPr>
            <w:r w:rsidRPr="00956CE7">
              <w:rPr>
                <w:rFonts w:ascii="Arial" w:eastAsia="Times New Roman" w:hAnsi="Arial" w:cs="Arial"/>
                <w:color w:val="000000"/>
                <w:sz w:val="20"/>
                <w:szCs w:val="20"/>
                <w:lang w:eastAsia="en-GB"/>
              </w:rPr>
              <w:t xml:space="preserve"> (659)</w:t>
            </w:r>
          </w:p>
        </w:tc>
        <w:tc>
          <w:tcPr>
            <w:tcW w:w="1184" w:type="dxa"/>
            <w:tcBorders>
              <w:top w:val="nil"/>
              <w:left w:val="nil"/>
              <w:bottom w:val="nil"/>
              <w:right w:val="nil"/>
            </w:tcBorders>
            <w:shd w:val="clear" w:color="000000" w:fill="EDFFB7"/>
            <w:noWrap/>
            <w:vAlign w:val="center"/>
            <w:hideMark/>
          </w:tcPr>
          <w:p w14:paraId="385CAE21" w14:textId="77777777" w:rsidR="0021298F" w:rsidRPr="00956CE7" w:rsidRDefault="0021298F" w:rsidP="00760009">
            <w:pPr>
              <w:jc w:val="right"/>
              <w:rPr>
                <w:rFonts w:ascii="Arial" w:eastAsia="Times New Roman" w:hAnsi="Arial" w:cs="Arial"/>
                <w:color w:val="000000"/>
                <w:sz w:val="20"/>
                <w:szCs w:val="20"/>
                <w:lang w:eastAsia="en-GB"/>
              </w:rPr>
            </w:pPr>
            <w:r w:rsidRPr="00956CE7">
              <w:rPr>
                <w:rFonts w:ascii="Arial" w:eastAsia="Times New Roman" w:hAnsi="Arial" w:cs="Arial"/>
                <w:color w:val="000000"/>
                <w:sz w:val="20"/>
                <w:szCs w:val="20"/>
                <w:lang w:eastAsia="en-GB"/>
              </w:rPr>
              <w:t xml:space="preserve">10,623 </w:t>
            </w:r>
          </w:p>
        </w:tc>
        <w:tc>
          <w:tcPr>
            <w:tcW w:w="1275" w:type="dxa"/>
            <w:tcBorders>
              <w:top w:val="nil"/>
              <w:left w:val="nil"/>
              <w:bottom w:val="nil"/>
              <w:right w:val="nil"/>
            </w:tcBorders>
            <w:shd w:val="clear" w:color="000000" w:fill="EDFFB7"/>
            <w:noWrap/>
            <w:vAlign w:val="center"/>
            <w:hideMark/>
          </w:tcPr>
          <w:p w14:paraId="5691056C" w14:textId="77777777" w:rsidR="0021298F" w:rsidRPr="00956CE7" w:rsidRDefault="0021298F" w:rsidP="00760009">
            <w:pPr>
              <w:jc w:val="right"/>
              <w:rPr>
                <w:rFonts w:ascii="Arial" w:eastAsia="Times New Roman" w:hAnsi="Arial" w:cs="Arial"/>
                <w:color w:val="000000"/>
                <w:sz w:val="20"/>
                <w:szCs w:val="20"/>
                <w:lang w:eastAsia="en-GB"/>
              </w:rPr>
            </w:pPr>
            <w:r w:rsidRPr="00956CE7">
              <w:rPr>
                <w:rFonts w:ascii="Arial" w:eastAsia="Times New Roman" w:hAnsi="Arial" w:cs="Arial"/>
                <w:color w:val="000000"/>
                <w:sz w:val="20"/>
                <w:szCs w:val="20"/>
                <w:lang w:eastAsia="en-GB"/>
              </w:rPr>
              <w:t xml:space="preserve"> - </w:t>
            </w:r>
          </w:p>
        </w:tc>
        <w:tc>
          <w:tcPr>
            <w:tcW w:w="1057" w:type="dxa"/>
            <w:tcBorders>
              <w:top w:val="nil"/>
              <w:left w:val="nil"/>
              <w:bottom w:val="nil"/>
              <w:right w:val="nil"/>
            </w:tcBorders>
            <w:shd w:val="clear" w:color="000000" w:fill="EDFFB7"/>
            <w:noWrap/>
            <w:vAlign w:val="center"/>
            <w:hideMark/>
          </w:tcPr>
          <w:p w14:paraId="1489ED7C" w14:textId="77777777" w:rsidR="0021298F" w:rsidRPr="00956CE7" w:rsidRDefault="0021298F" w:rsidP="00760009">
            <w:pPr>
              <w:jc w:val="right"/>
              <w:rPr>
                <w:rFonts w:ascii="Arial" w:eastAsia="Times New Roman" w:hAnsi="Arial" w:cs="Arial"/>
                <w:color w:val="000000"/>
                <w:sz w:val="20"/>
                <w:szCs w:val="20"/>
                <w:lang w:eastAsia="en-GB"/>
              </w:rPr>
            </w:pPr>
            <w:r w:rsidRPr="00956CE7">
              <w:rPr>
                <w:rFonts w:ascii="Arial" w:eastAsia="Times New Roman" w:hAnsi="Arial" w:cs="Arial"/>
                <w:color w:val="000000"/>
                <w:sz w:val="20"/>
                <w:szCs w:val="20"/>
                <w:lang w:eastAsia="en-GB"/>
              </w:rPr>
              <w:t xml:space="preserve">10,623 </w:t>
            </w:r>
          </w:p>
        </w:tc>
        <w:tc>
          <w:tcPr>
            <w:tcW w:w="1361" w:type="dxa"/>
            <w:tcBorders>
              <w:top w:val="nil"/>
              <w:left w:val="nil"/>
              <w:bottom w:val="nil"/>
              <w:right w:val="nil"/>
            </w:tcBorders>
            <w:shd w:val="clear" w:color="000000" w:fill="EDFFB7"/>
            <w:noWrap/>
            <w:vAlign w:val="center"/>
            <w:hideMark/>
          </w:tcPr>
          <w:p w14:paraId="0A685B15" w14:textId="77777777" w:rsidR="0021298F" w:rsidRPr="00956CE7" w:rsidRDefault="0021298F" w:rsidP="00760009">
            <w:pPr>
              <w:jc w:val="right"/>
              <w:rPr>
                <w:rFonts w:ascii="Arial" w:eastAsia="Times New Roman" w:hAnsi="Arial" w:cs="Arial"/>
                <w:color w:val="000000"/>
                <w:sz w:val="20"/>
                <w:szCs w:val="20"/>
                <w:lang w:eastAsia="en-GB"/>
              </w:rPr>
            </w:pPr>
            <w:r w:rsidRPr="00956CE7">
              <w:rPr>
                <w:rFonts w:ascii="Arial" w:eastAsia="Times New Roman" w:hAnsi="Arial" w:cs="Arial"/>
                <w:color w:val="000000"/>
                <w:sz w:val="20"/>
                <w:szCs w:val="20"/>
                <w:lang w:eastAsia="en-GB"/>
              </w:rPr>
              <w:t xml:space="preserve">325 </w:t>
            </w:r>
          </w:p>
        </w:tc>
      </w:tr>
      <w:tr w:rsidR="0021298F" w:rsidRPr="00956CE7" w14:paraId="28BBF632" w14:textId="77777777" w:rsidTr="00760009">
        <w:trPr>
          <w:trHeight w:val="300"/>
        </w:trPr>
        <w:tc>
          <w:tcPr>
            <w:tcW w:w="1606" w:type="dxa"/>
            <w:tcBorders>
              <w:top w:val="nil"/>
              <w:left w:val="nil"/>
              <w:bottom w:val="nil"/>
              <w:right w:val="nil"/>
            </w:tcBorders>
            <w:shd w:val="clear" w:color="000000" w:fill="FFFFFF"/>
            <w:noWrap/>
            <w:vAlign w:val="center"/>
            <w:hideMark/>
          </w:tcPr>
          <w:p w14:paraId="671B7A7C" w14:textId="77777777" w:rsidR="0021298F" w:rsidRPr="00956CE7" w:rsidRDefault="0021298F" w:rsidP="00760009">
            <w:pPr>
              <w:rPr>
                <w:rFonts w:ascii="Arial" w:eastAsia="Times New Roman" w:hAnsi="Arial" w:cs="Arial"/>
                <w:color w:val="000000"/>
                <w:sz w:val="20"/>
                <w:szCs w:val="20"/>
                <w:lang w:eastAsia="en-GB"/>
              </w:rPr>
            </w:pPr>
            <w:r w:rsidRPr="00956CE7">
              <w:rPr>
                <w:rFonts w:ascii="Arial" w:eastAsia="Times New Roman" w:hAnsi="Arial" w:cs="Arial"/>
                <w:color w:val="000000"/>
                <w:sz w:val="20"/>
                <w:szCs w:val="20"/>
                <w:lang w:eastAsia="en-GB"/>
              </w:rPr>
              <w:t>Beam Hill Extension</w:t>
            </w:r>
          </w:p>
        </w:tc>
        <w:tc>
          <w:tcPr>
            <w:tcW w:w="1036" w:type="dxa"/>
            <w:tcBorders>
              <w:top w:val="nil"/>
              <w:left w:val="nil"/>
              <w:bottom w:val="nil"/>
              <w:right w:val="nil"/>
            </w:tcBorders>
            <w:shd w:val="clear" w:color="000000" w:fill="EDFFB7"/>
            <w:noWrap/>
            <w:vAlign w:val="center"/>
            <w:hideMark/>
          </w:tcPr>
          <w:p w14:paraId="2436E1C8" w14:textId="77777777" w:rsidR="0021298F" w:rsidRPr="00956CE7" w:rsidRDefault="0021298F" w:rsidP="00760009">
            <w:pPr>
              <w:jc w:val="right"/>
              <w:rPr>
                <w:rFonts w:ascii="Arial" w:eastAsia="Times New Roman" w:hAnsi="Arial" w:cs="Arial"/>
                <w:color w:val="000000"/>
                <w:sz w:val="20"/>
                <w:szCs w:val="20"/>
                <w:lang w:eastAsia="en-GB"/>
              </w:rPr>
            </w:pPr>
            <w:r w:rsidRPr="00956CE7">
              <w:rPr>
                <w:rFonts w:ascii="Arial" w:eastAsia="Times New Roman" w:hAnsi="Arial" w:cs="Arial"/>
                <w:color w:val="000000"/>
                <w:sz w:val="20"/>
                <w:szCs w:val="20"/>
                <w:lang w:eastAsia="en-GB"/>
              </w:rPr>
              <w:t xml:space="preserve"> - </w:t>
            </w:r>
          </w:p>
        </w:tc>
        <w:tc>
          <w:tcPr>
            <w:tcW w:w="1139" w:type="dxa"/>
            <w:tcBorders>
              <w:top w:val="nil"/>
              <w:left w:val="nil"/>
              <w:bottom w:val="nil"/>
              <w:right w:val="nil"/>
            </w:tcBorders>
            <w:shd w:val="clear" w:color="000000" w:fill="EDFFB7"/>
            <w:noWrap/>
            <w:vAlign w:val="center"/>
            <w:hideMark/>
          </w:tcPr>
          <w:p w14:paraId="68807D5C" w14:textId="77777777" w:rsidR="0021298F" w:rsidRPr="00956CE7" w:rsidRDefault="0021298F" w:rsidP="00760009">
            <w:pPr>
              <w:jc w:val="right"/>
              <w:rPr>
                <w:rFonts w:ascii="Arial" w:eastAsia="Times New Roman" w:hAnsi="Arial" w:cs="Arial"/>
                <w:color w:val="000000"/>
                <w:sz w:val="20"/>
                <w:szCs w:val="20"/>
                <w:lang w:eastAsia="en-GB"/>
              </w:rPr>
            </w:pPr>
            <w:r w:rsidRPr="00956CE7">
              <w:rPr>
                <w:rFonts w:ascii="Arial" w:eastAsia="Times New Roman" w:hAnsi="Arial" w:cs="Arial"/>
                <w:color w:val="000000"/>
                <w:sz w:val="20"/>
                <w:szCs w:val="20"/>
                <w:lang w:eastAsia="en-GB"/>
              </w:rPr>
              <w:t xml:space="preserve">9,140 </w:t>
            </w:r>
          </w:p>
        </w:tc>
        <w:tc>
          <w:tcPr>
            <w:tcW w:w="1250" w:type="dxa"/>
            <w:tcBorders>
              <w:top w:val="nil"/>
              <w:left w:val="nil"/>
              <w:bottom w:val="nil"/>
              <w:right w:val="nil"/>
            </w:tcBorders>
            <w:shd w:val="clear" w:color="000000" w:fill="EDFFB7"/>
            <w:noWrap/>
            <w:vAlign w:val="center"/>
            <w:hideMark/>
          </w:tcPr>
          <w:p w14:paraId="24562C1C" w14:textId="77777777" w:rsidR="0021298F" w:rsidRPr="00956CE7" w:rsidRDefault="0021298F" w:rsidP="00760009">
            <w:pPr>
              <w:jc w:val="right"/>
              <w:rPr>
                <w:rFonts w:ascii="Arial" w:eastAsia="Times New Roman" w:hAnsi="Arial" w:cs="Arial"/>
                <w:color w:val="000000"/>
                <w:sz w:val="20"/>
                <w:szCs w:val="20"/>
                <w:lang w:eastAsia="en-GB"/>
              </w:rPr>
            </w:pPr>
            <w:r w:rsidRPr="00956CE7">
              <w:rPr>
                <w:rFonts w:ascii="Arial" w:eastAsia="Times New Roman" w:hAnsi="Arial" w:cs="Arial"/>
                <w:color w:val="000000"/>
                <w:sz w:val="20"/>
                <w:szCs w:val="20"/>
                <w:lang w:eastAsia="en-GB"/>
              </w:rPr>
              <w:t xml:space="preserve"> - </w:t>
            </w:r>
          </w:p>
        </w:tc>
        <w:tc>
          <w:tcPr>
            <w:tcW w:w="1339" w:type="dxa"/>
            <w:tcBorders>
              <w:top w:val="nil"/>
              <w:left w:val="nil"/>
              <w:bottom w:val="nil"/>
              <w:right w:val="nil"/>
            </w:tcBorders>
            <w:shd w:val="clear" w:color="000000" w:fill="EDFFB7"/>
            <w:noWrap/>
            <w:vAlign w:val="center"/>
            <w:hideMark/>
          </w:tcPr>
          <w:p w14:paraId="18E6E10D" w14:textId="77777777" w:rsidR="0021298F" w:rsidRPr="00956CE7" w:rsidRDefault="0021298F" w:rsidP="00760009">
            <w:pPr>
              <w:jc w:val="right"/>
              <w:rPr>
                <w:rFonts w:ascii="Arial" w:eastAsia="Times New Roman" w:hAnsi="Arial" w:cs="Arial"/>
                <w:color w:val="000000"/>
                <w:sz w:val="20"/>
                <w:szCs w:val="20"/>
                <w:lang w:eastAsia="en-GB"/>
              </w:rPr>
            </w:pPr>
            <w:r w:rsidRPr="00956CE7">
              <w:rPr>
                <w:rFonts w:ascii="Arial" w:eastAsia="Times New Roman" w:hAnsi="Arial" w:cs="Arial"/>
                <w:color w:val="000000"/>
                <w:sz w:val="20"/>
                <w:szCs w:val="20"/>
                <w:lang w:eastAsia="en-GB"/>
              </w:rPr>
              <w:t xml:space="preserve"> - </w:t>
            </w:r>
          </w:p>
        </w:tc>
        <w:tc>
          <w:tcPr>
            <w:tcW w:w="1184" w:type="dxa"/>
            <w:tcBorders>
              <w:top w:val="nil"/>
              <w:left w:val="nil"/>
              <w:bottom w:val="nil"/>
              <w:right w:val="nil"/>
            </w:tcBorders>
            <w:shd w:val="clear" w:color="000000" w:fill="EDFFB7"/>
            <w:noWrap/>
            <w:vAlign w:val="center"/>
            <w:hideMark/>
          </w:tcPr>
          <w:p w14:paraId="6C547002" w14:textId="77777777" w:rsidR="0021298F" w:rsidRPr="00956CE7" w:rsidRDefault="0021298F" w:rsidP="00760009">
            <w:pPr>
              <w:jc w:val="right"/>
              <w:rPr>
                <w:rFonts w:ascii="Arial" w:eastAsia="Times New Roman" w:hAnsi="Arial" w:cs="Arial"/>
                <w:color w:val="000000"/>
                <w:sz w:val="20"/>
                <w:szCs w:val="20"/>
                <w:lang w:eastAsia="en-GB"/>
              </w:rPr>
            </w:pPr>
            <w:r w:rsidRPr="00956CE7">
              <w:rPr>
                <w:rFonts w:ascii="Arial" w:eastAsia="Times New Roman" w:hAnsi="Arial" w:cs="Arial"/>
                <w:color w:val="000000"/>
                <w:sz w:val="20"/>
                <w:szCs w:val="20"/>
                <w:lang w:eastAsia="en-GB"/>
              </w:rPr>
              <w:t xml:space="preserve">9,140 </w:t>
            </w:r>
          </w:p>
        </w:tc>
        <w:tc>
          <w:tcPr>
            <w:tcW w:w="1275" w:type="dxa"/>
            <w:tcBorders>
              <w:top w:val="nil"/>
              <w:left w:val="nil"/>
              <w:bottom w:val="nil"/>
              <w:right w:val="nil"/>
            </w:tcBorders>
            <w:shd w:val="clear" w:color="000000" w:fill="EDFFB7"/>
            <w:noWrap/>
            <w:vAlign w:val="center"/>
            <w:hideMark/>
          </w:tcPr>
          <w:p w14:paraId="7E59F715" w14:textId="77777777" w:rsidR="0021298F" w:rsidRPr="00956CE7" w:rsidRDefault="0021298F" w:rsidP="00760009">
            <w:pPr>
              <w:jc w:val="right"/>
              <w:rPr>
                <w:rFonts w:ascii="Arial" w:eastAsia="Times New Roman" w:hAnsi="Arial" w:cs="Arial"/>
                <w:color w:val="000000"/>
                <w:sz w:val="20"/>
                <w:szCs w:val="20"/>
                <w:lang w:eastAsia="en-GB"/>
              </w:rPr>
            </w:pPr>
            <w:r w:rsidRPr="00956CE7">
              <w:rPr>
                <w:rFonts w:ascii="Arial" w:eastAsia="Times New Roman" w:hAnsi="Arial" w:cs="Arial"/>
                <w:color w:val="000000"/>
                <w:sz w:val="20"/>
                <w:szCs w:val="20"/>
                <w:lang w:eastAsia="en-GB"/>
              </w:rPr>
              <w:t xml:space="preserve">20 </w:t>
            </w:r>
          </w:p>
        </w:tc>
        <w:tc>
          <w:tcPr>
            <w:tcW w:w="1057" w:type="dxa"/>
            <w:tcBorders>
              <w:top w:val="nil"/>
              <w:left w:val="nil"/>
              <w:bottom w:val="nil"/>
              <w:right w:val="nil"/>
            </w:tcBorders>
            <w:shd w:val="clear" w:color="000000" w:fill="EDFFB7"/>
            <w:noWrap/>
            <w:vAlign w:val="center"/>
            <w:hideMark/>
          </w:tcPr>
          <w:p w14:paraId="5C68D24B" w14:textId="77777777" w:rsidR="0021298F" w:rsidRPr="00956CE7" w:rsidRDefault="0021298F" w:rsidP="00760009">
            <w:pPr>
              <w:jc w:val="right"/>
              <w:rPr>
                <w:rFonts w:ascii="Arial" w:eastAsia="Times New Roman" w:hAnsi="Arial" w:cs="Arial"/>
                <w:color w:val="000000"/>
                <w:sz w:val="20"/>
                <w:szCs w:val="20"/>
                <w:lang w:eastAsia="en-GB"/>
              </w:rPr>
            </w:pPr>
            <w:r w:rsidRPr="00956CE7">
              <w:rPr>
                <w:rFonts w:ascii="Arial" w:eastAsia="Times New Roman" w:hAnsi="Arial" w:cs="Arial"/>
                <w:color w:val="000000"/>
                <w:sz w:val="20"/>
                <w:szCs w:val="20"/>
                <w:lang w:eastAsia="en-GB"/>
              </w:rPr>
              <w:t xml:space="preserve">9,160 </w:t>
            </w:r>
          </w:p>
        </w:tc>
        <w:tc>
          <w:tcPr>
            <w:tcW w:w="1361" w:type="dxa"/>
            <w:tcBorders>
              <w:top w:val="nil"/>
              <w:left w:val="nil"/>
              <w:bottom w:val="nil"/>
              <w:right w:val="nil"/>
            </w:tcBorders>
            <w:shd w:val="clear" w:color="000000" w:fill="EDFFB7"/>
            <w:noWrap/>
            <w:vAlign w:val="center"/>
            <w:hideMark/>
          </w:tcPr>
          <w:p w14:paraId="3C587637" w14:textId="77777777" w:rsidR="0021298F" w:rsidRPr="00956CE7" w:rsidRDefault="0021298F" w:rsidP="00760009">
            <w:pPr>
              <w:jc w:val="right"/>
              <w:rPr>
                <w:rFonts w:ascii="Arial" w:eastAsia="Times New Roman" w:hAnsi="Arial" w:cs="Arial"/>
                <w:color w:val="000000"/>
                <w:sz w:val="20"/>
                <w:szCs w:val="20"/>
                <w:lang w:eastAsia="en-GB"/>
              </w:rPr>
            </w:pPr>
            <w:r w:rsidRPr="00956CE7">
              <w:rPr>
                <w:rFonts w:ascii="Arial" w:eastAsia="Times New Roman" w:hAnsi="Arial" w:cs="Arial"/>
                <w:color w:val="000000"/>
                <w:sz w:val="20"/>
                <w:szCs w:val="20"/>
                <w:lang w:eastAsia="en-GB"/>
              </w:rPr>
              <w:t xml:space="preserve">20 </w:t>
            </w:r>
          </w:p>
        </w:tc>
      </w:tr>
      <w:tr w:rsidR="0021298F" w:rsidRPr="00956CE7" w14:paraId="5CAF58A5" w14:textId="77777777" w:rsidTr="00760009">
        <w:trPr>
          <w:trHeight w:val="300"/>
        </w:trPr>
        <w:tc>
          <w:tcPr>
            <w:tcW w:w="1606" w:type="dxa"/>
            <w:tcBorders>
              <w:top w:val="nil"/>
              <w:left w:val="nil"/>
              <w:bottom w:val="nil"/>
              <w:right w:val="nil"/>
            </w:tcBorders>
            <w:shd w:val="clear" w:color="000000" w:fill="FFFFFF"/>
            <w:noWrap/>
            <w:vAlign w:val="center"/>
            <w:hideMark/>
          </w:tcPr>
          <w:p w14:paraId="4DE0AA50" w14:textId="77777777" w:rsidR="0021298F" w:rsidRPr="00956CE7" w:rsidRDefault="0021298F" w:rsidP="00760009">
            <w:pPr>
              <w:rPr>
                <w:rFonts w:ascii="Arial" w:eastAsia="Times New Roman" w:hAnsi="Arial" w:cs="Arial"/>
                <w:color w:val="000000"/>
                <w:sz w:val="20"/>
                <w:szCs w:val="20"/>
                <w:lang w:eastAsia="en-GB"/>
              </w:rPr>
            </w:pPr>
            <w:r w:rsidRPr="00956CE7">
              <w:rPr>
                <w:rFonts w:ascii="Arial" w:eastAsia="Times New Roman" w:hAnsi="Arial" w:cs="Arial"/>
                <w:color w:val="000000"/>
                <w:sz w:val="20"/>
                <w:szCs w:val="20"/>
                <w:lang w:eastAsia="en-GB"/>
              </w:rPr>
              <w:t>Pasilly</w:t>
            </w:r>
          </w:p>
        </w:tc>
        <w:tc>
          <w:tcPr>
            <w:tcW w:w="1036" w:type="dxa"/>
            <w:tcBorders>
              <w:top w:val="nil"/>
              <w:left w:val="nil"/>
              <w:bottom w:val="nil"/>
              <w:right w:val="nil"/>
            </w:tcBorders>
            <w:shd w:val="clear" w:color="000000" w:fill="EDFFB7"/>
            <w:noWrap/>
            <w:vAlign w:val="center"/>
            <w:hideMark/>
          </w:tcPr>
          <w:p w14:paraId="3EF2AA36" w14:textId="77777777" w:rsidR="0021298F" w:rsidRPr="00956CE7" w:rsidRDefault="0021298F" w:rsidP="00760009">
            <w:pPr>
              <w:jc w:val="right"/>
              <w:rPr>
                <w:rFonts w:ascii="Arial" w:eastAsia="Times New Roman" w:hAnsi="Arial" w:cs="Arial"/>
                <w:color w:val="000000"/>
                <w:sz w:val="20"/>
                <w:szCs w:val="20"/>
                <w:lang w:eastAsia="en-GB"/>
              </w:rPr>
            </w:pPr>
            <w:r w:rsidRPr="00956CE7">
              <w:rPr>
                <w:rFonts w:ascii="Arial" w:eastAsia="Times New Roman" w:hAnsi="Arial" w:cs="Arial"/>
                <w:color w:val="000000"/>
                <w:sz w:val="20"/>
                <w:szCs w:val="20"/>
                <w:lang w:eastAsia="en-GB"/>
              </w:rPr>
              <w:t xml:space="preserve"> - </w:t>
            </w:r>
          </w:p>
        </w:tc>
        <w:tc>
          <w:tcPr>
            <w:tcW w:w="1139" w:type="dxa"/>
            <w:tcBorders>
              <w:top w:val="nil"/>
              <w:left w:val="nil"/>
              <w:bottom w:val="nil"/>
              <w:right w:val="nil"/>
            </w:tcBorders>
            <w:shd w:val="clear" w:color="000000" w:fill="EDFFB7"/>
            <w:noWrap/>
            <w:vAlign w:val="center"/>
            <w:hideMark/>
          </w:tcPr>
          <w:p w14:paraId="7E78A9B6" w14:textId="77777777" w:rsidR="0021298F" w:rsidRPr="00956CE7" w:rsidRDefault="0021298F" w:rsidP="00760009">
            <w:pPr>
              <w:jc w:val="right"/>
              <w:rPr>
                <w:rFonts w:ascii="Arial" w:eastAsia="Times New Roman" w:hAnsi="Arial" w:cs="Arial"/>
                <w:color w:val="000000"/>
                <w:sz w:val="20"/>
                <w:szCs w:val="20"/>
                <w:lang w:eastAsia="en-GB"/>
              </w:rPr>
            </w:pPr>
            <w:r w:rsidRPr="00956CE7">
              <w:rPr>
                <w:rFonts w:ascii="Arial" w:eastAsia="Times New Roman" w:hAnsi="Arial" w:cs="Arial"/>
                <w:color w:val="000000"/>
                <w:sz w:val="20"/>
                <w:szCs w:val="20"/>
                <w:lang w:eastAsia="en-GB"/>
              </w:rPr>
              <w:t xml:space="preserve">9,020 </w:t>
            </w:r>
          </w:p>
        </w:tc>
        <w:tc>
          <w:tcPr>
            <w:tcW w:w="1250" w:type="dxa"/>
            <w:tcBorders>
              <w:top w:val="nil"/>
              <w:left w:val="nil"/>
              <w:bottom w:val="nil"/>
              <w:right w:val="nil"/>
            </w:tcBorders>
            <w:shd w:val="clear" w:color="000000" w:fill="EDFFB7"/>
            <w:noWrap/>
            <w:vAlign w:val="center"/>
            <w:hideMark/>
          </w:tcPr>
          <w:p w14:paraId="7613B1FC" w14:textId="77777777" w:rsidR="0021298F" w:rsidRPr="00956CE7" w:rsidRDefault="0021298F" w:rsidP="00760009">
            <w:pPr>
              <w:jc w:val="right"/>
              <w:rPr>
                <w:rFonts w:ascii="Arial" w:eastAsia="Times New Roman" w:hAnsi="Arial" w:cs="Arial"/>
                <w:color w:val="000000"/>
                <w:sz w:val="20"/>
                <w:szCs w:val="20"/>
                <w:lang w:eastAsia="en-GB"/>
              </w:rPr>
            </w:pPr>
            <w:r w:rsidRPr="00956CE7">
              <w:rPr>
                <w:rFonts w:ascii="Arial" w:eastAsia="Times New Roman" w:hAnsi="Arial" w:cs="Arial"/>
                <w:color w:val="000000"/>
                <w:sz w:val="20"/>
                <w:szCs w:val="20"/>
                <w:lang w:eastAsia="en-GB"/>
              </w:rPr>
              <w:t xml:space="preserve"> - </w:t>
            </w:r>
          </w:p>
        </w:tc>
        <w:tc>
          <w:tcPr>
            <w:tcW w:w="1339" w:type="dxa"/>
            <w:tcBorders>
              <w:top w:val="nil"/>
              <w:left w:val="nil"/>
              <w:bottom w:val="nil"/>
              <w:right w:val="nil"/>
            </w:tcBorders>
            <w:shd w:val="clear" w:color="000000" w:fill="EDFFB7"/>
            <w:noWrap/>
            <w:vAlign w:val="center"/>
            <w:hideMark/>
          </w:tcPr>
          <w:p w14:paraId="6CA00EF3" w14:textId="77777777" w:rsidR="0021298F" w:rsidRPr="00956CE7" w:rsidRDefault="0021298F" w:rsidP="00760009">
            <w:pPr>
              <w:jc w:val="right"/>
              <w:rPr>
                <w:rFonts w:ascii="Arial" w:eastAsia="Times New Roman" w:hAnsi="Arial" w:cs="Arial"/>
                <w:color w:val="000000"/>
                <w:sz w:val="20"/>
                <w:szCs w:val="20"/>
                <w:lang w:eastAsia="en-GB"/>
              </w:rPr>
            </w:pPr>
            <w:r w:rsidRPr="00956CE7">
              <w:rPr>
                <w:rFonts w:ascii="Arial" w:eastAsia="Times New Roman" w:hAnsi="Arial" w:cs="Arial"/>
                <w:color w:val="000000"/>
                <w:sz w:val="20"/>
                <w:szCs w:val="20"/>
                <w:lang w:eastAsia="en-GB"/>
              </w:rPr>
              <w:t xml:space="preserve"> (150)</w:t>
            </w:r>
          </w:p>
        </w:tc>
        <w:tc>
          <w:tcPr>
            <w:tcW w:w="1184" w:type="dxa"/>
            <w:tcBorders>
              <w:top w:val="nil"/>
              <w:left w:val="nil"/>
              <w:bottom w:val="nil"/>
              <w:right w:val="nil"/>
            </w:tcBorders>
            <w:shd w:val="clear" w:color="000000" w:fill="EDFFB7"/>
            <w:noWrap/>
            <w:vAlign w:val="center"/>
            <w:hideMark/>
          </w:tcPr>
          <w:p w14:paraId="536A6A9A" w14:textId="77777777" w:rsidR="0021298F" w:rsidRPr="00956CE7" w:rsidRDefault="0021298F" w:rsidP="00760009">
            <w:pPr>
              <w:jc w:val="right"/>
              <w:rPr>
                <w:rFonts w:ascii="Arial" w:eastAsia="Times New Roman" w:hAnsi="Arial" w:cs="Arial"/>
                <w:color w:val="000000"/>
                <w:sz w:val="20"/>
                <w:szCs w:val="20"/>
                <w:lang w:eastAsia="en-GB"/>
              </w:rPr>
            </w:pPr>
            <w:r w:rsidRPr="00956CE7">
              <w:rPr>
                <w:rFonts w:ascii="Arial" w:eastAsia="Times New Roman" w:hAnsi="Arial" w:cs="Arial"/>
                <w:color w:val="000000"/>
                <w:sz w:val="20"/>
                <w:szCs w:val="20"/>
                <w:lang w:eastAsia="en-GB"/>
              </w:rPr>
              <w:t xml:space="preserve">8,870 </w:t>
            </w:r>
          </w:p>
        </w:tc>
        <w:tc>
          <w:tcPr>
            <w:tcW w:w="1275" w:type="dxa"/>
            <w:tcBorders>
              <w:top w:val="nil"/>
              <w:left w:val="nil"/>
              <w:bottom w:val="nil"/>
              <w:right w:val="nil"/>
            </w:tcBorders>
            <w:shd w:val="clear" w:color="000000" w:fill="EDFFB7"/>
            <w:noWrap/>
            <w:vAlign w:val="center"/>
            <w:hideMark/>
          </w:tcPr>
          <w:p w14:paraId="34886632" w14:textId="77777777" w:rsidR="0021298F" w:rsidRPr="00956CE7" w:rsidRDefault="0021298F" w:rsidP="00760009">
            <w:pPr>
              <w:jc w:val="right"/>
              <w:rPr>
                <w:rFonts w:ascii="Arial" w:eastAsia="Times New Roman" w:hAnsi="Arial" w:cs="Arial"/>
                <w:color w:val="000000"/>
                <w:sz w:val="20"/>
                <w:szCs w:val="20"/>
                <w:lang w:eastAsia="en-GB"/>
              </w:rPr>
            </w:pPr>
            <w:r w:rsidRPr="00956CE7">
              <w:rPr>
                <w:rFonts w:ascii="Arial" w:eastAsia="Times New Roman" w:hAnsi="Arial" w:cs="Arial"/>
                <w:color w:val="000000"/>
                <w:sz w:val="20"/>
                <w:szCs w:val="20"/>
                <w:lang w:eastAsia="en-GB"/>
              </w:rPr>
              <w:t xml:space="preserve">89 </w:t>
            </w:r>
          </w:p>
        </w:tc>
        <w:tc>
          <w:tcPr>
            <w:tcW w:w="1057" w:type="dxa"/>
            <w:tcBorders>
              <w:top w:val="nil"/>
              <w:left w:val="nil"/>
              <w:bottom w:val="nil"/>
              <w:right w:val="nil"/>
            </w:tcBorders>
            <w:shd w:val="clear" w:color="000000" w:fill="EDFFB7"/>
            <w:noWrap/>
            <w:vAlign w:val="center"/>
            <w:hideMark/>
          </w:tcPr>
          <w:p w14:paraId="6FC5543E" w14:textId="77777777" w:rsidR="0021298F" w:rsidRPr="00956CE7" w:rsidRDefault="0021298F" w:rsidP="00760009">
            <w:pPr>
              <w:jc w:val="right"/>
              <w:rPr>
                <w:rFonts w:ascii="Arial" w:eastAsia="Times New Roman" w:hAnsi="Arial" w:cs="Arial"/>
                <w:color w:val="000000"/>
                <w:sz w:val="20"/>
                <w:szCs w:val="20"/>
                <w:lang w:eastAsia="en-GB"/>
              </w:rPr>
            </w:pPr>
            <w:r w:rsidRPr="00956CE7">
              <w:rPr>
                <w:rFonts w:ascii="Arial" w:eastAsia="Times New Roman" w:hAnsi="Arial" w:cs="Arial"/>
                <w:color w:val="000000"/>
                <w:sz w:val="20"/>
                <w:szCs w:val="20"/>
                <w:lang w:eastAsia="en-GB"/>
              </w:rPr>
              <w:t xml:space="preserve">8,959 </w:t>
            </w:r>
          </w:p>
        </w:tc>
        <w:tc>
          <w:tcPr>
            <w:tcW w:w="1361" w:type="dxa"/>
            <w:tcBorders>
              <w:top w:val="nil"/>
              <w:left w:val="nil"/>
              <w:bottom w:val="nil"/>
              <w:right w:val="nil"/>
            </w:tcBorders>
            <w:shd w:val="clear" w:color="000000" w:fill="EDFFB7"/>
            <w:noWrap/>
            <w:vAlign w:val="center"/>
            <w:hideMark/>
          </w:tcPr>
          <w:p w14:paraId="003DC4B1" w14:textId="77777777" w:rsidR="0021298F" w:rsidRPr="00956CE7" w:rsidRDefault="0021298F" w:rsidP="00760009">
            <w:pPr>
              <w:jc w:val="right"/>
              <w:rPr>
                <w:rFonts w:ascii="Arial" w:eastAsia="Times New Roman" w:hAnsi="Arial" w:cs="Arial"/>
                <w:color w:val="000000"/>
                <w:sz w:val="20"/>
                <w:szCs w:val="20"/>
                <w:lang w:eastAsia="en-GB"/>
              </w:rPr>
            </w:pPr>
            <w:r w:rsidRPr="00956CE7">
              <w:rPr>
                <w:rFonts w:ascii="Arial" w:eastAsia="Times New Roman" w:hAnsi="Arial" w:cs="Arial"/>
                <w:color w:val="000000"/>
                <w:sz w:val="20"/>
                <w:szCs w:val="20"/>
                <w:lang w:eastAsia="en-GB"/>
              </w:rPr>
              <w:t xml:space="preserve">301 </w:t>
            </w:r>
          </w:p>
        </w:tc>
      </w:tr>
      <w:tr w:rsidR="0021298F" w:rsidRPr="00956CE7" w14:paraId="623BE416" w14:textId="77777777" w:rsidTr="00760009">
        <w:trPr>
          <w:trHeight w:val="300"/>
        </w:trPr>
        <w:tc>
          <w:tcPr>
            <w:tcW w:w="1606" w:type="dxa"/>
            <w:tcBorders>
              <w:top w:val="nil"/>
              <w:left w:val="nil"/>
              <w:bottom w:val="nil"/>
              <w:right w:val="nil"/>
            </w:tcBorders>
            <w:shd w:val="clear" w:color="000000" w:fill="FFFFFF"/>
            <w:noWrap/>
            <w:vAlign w:val="center"/>
            <w:hideMark/>
          </w:tcPr>
          <w:p w14:paraId="4DE8A170" w14:textId="77777777" w:rsidR="0021298F" w:rsidRPr="00956CE7" w:rsidRDefault="0021298F" w:rsidP="00760009">
            <w:pPr>
              <w:rPr>
                <w:rFonts w:ascii="Arial" w:eastAsia="Times New Roman" w:hAnsi="Arial" w:cs="Arial"/>
                <w:color w:val="000000"/>
                <w:sz w:val="20"/>
                <w:szCs w:val="20"/>
                <w:lang w:eastAsia="en-GB"/>
              </w:rPr>
            </w:pPr>
            <w:r w:rsidRPr="00956CE7">
              <w:rPr>
                <w:rFonts w:ascii="Arial" w:eastAsia="Times New Roman" w:hAnsi="Arial" w:cs="Arial"/>
                <w:color w:val="000000"/>
                <w:sz w:val="20"/>
                <w:szCs w:val="20"/>
                <w:lang w:eastAsia="en-GB"/>
              </w:rPr>
              <w:t>Cloosh Valley</w:t>
            </w:r>
          </w:p>
        </w:tc>
        <w:tc>
          <w:tcPr>
            <w:tcW w:w="1036" w:type="dxa"/>
            <w:tcBorders>
              <w:top w:val="nil"/>
              <w:left w:val="nil"/>
              <w:bottom w:val="nil"/>
              <w:right w:val="nil"/>
            </w:tcBorders>
            <w:shd w:val="clear" w:color="000000" w:fill="EDFFB7"/>
            <w:noWrap/>
            <w:vAlign w:val="center"/>
            <w:hideMark/>
          </w:tcPr>
          <w:p w14:paraId="70861256" w14:textId="77777777" w:rsidR="0021298F" w:rsidRPr="00956CE7" w:rsidRDefault="0021298F" w:rsidP="00760009">
            <w:pPr>
              <w:jc w:val="right"/>
              <w:rPr>
                <w:rFonts w:ascii="Arial" w:eastAsia="Times New Roman" w:hAnsi="Arial" w:cs="Arial"/>
                <w:color w:val="000000"/>
                <w:sz w:val="20"/>
                <w:szCs w:val="20"/>
                <w:lang w:eastAsia="en-GB"/>
              </w:rPr>
            </w:pPr>
            <w:r w:rsidRPr="00956CE7">
              <w:rPr>
                <w:rFonts w:ascii="Arial" w:eastAsia="Times New Roman" w:hAnsi="Arial" w:cs="Arial"/>
                <w:color w:val="000000"/>
                <w:sz w:val="20"/>
                <w:szCs w:val="20"/>
                <w:lang w:eastAsia="en-GB"/>
              </w:rPr>
              <w:t xml:space="preserve">7,015 </w:t>
            </w:r>
          </w:p>
        </w:tc>
        <w:tc>
          <w:tcPr>
            <w:tcW w:w="1139" w:type="dxa"/>
            <w:tcBorders>
              <w:top w:val="nil"/>
              <w:left w:val="nil"/>
              <w:bottom w:val="nil"/>
              <w:right w:val="nil"/>
            </w:tcBorders>
            <w:shd w:val="clear" w:color="000000" w:fill="EDFFB7"/>
            <w:noWrap/>
            <w:vAlign w:val="center"/>
            <w:hideMark/>
          </w:tcPr>
          <w:p w14:paraId="627A6679" w14:textId="77777777" w:rsidR="0021298F" w:rsidRPr="00956CE7" w:rsidRDefault="0021298F" w:rsidP="00760009">
            <w:pPr>
              <w:jc w:val="right"/>
              <w:rPr>
                <w:rFonts w:ascii="Arial" w:eastAsia="Times New Roman" w:hAnsi="Arial" w:cs="Arial"/>
                <w:color w:val="000000"/>
                <w:sz w:val="20"/>
                <w:szCs w:val="20"/>
                <w:lang w:eastAsia="en-GB"/>
              </w:rPr>
            </w:pPr>
            <w:r w:rsidRPr="00956CE7">
              <w:rPr>
                <w:rFonts w:ascii="Arial" w:eastAsia="Times New Roman" w:hAnsi="Arial" w:cs="Arial"/>
                <w:color w:val="000000"/>
                <w:sz w:val="20"/>
                <w:szCs w:val="20"/>
                <w:lang w:eastAsia="en-GB"/>
              </w:rPr>
              <w:t xml:space="preserve"> - </w:t>
            </w:r>
          </w:p>
        </w:tc>
        <w:tc>
          <w:tcPr>
            <w:tcW w:w="1250" w:type="dxa"/>
            <w:tcBorders>
              <w:top w:val="nil"/>
              <w:left w:val="nil"/>
              <w:bottom w:val="nil"/>
              <w:right w:val="nil"/>
            </w:tcBorders>
            <w:shd w:val="clear" w:color="000000" w:fill="EDFFB7"/>
            <w:noWrap/>
            <w:vAlign w:val="center"/>
            <w:hideMark/>
          </w:tcPr>
          <w:p w14:paraId="0CBA2C44" w14:textId="77777777" w:rsidR="0021298F" w:rsidRPr="00956CE7" w:rsidRDefault="0021298F" w:rsidP="00760009">
            <w:pPr>
              <w:jc w:val="right"/>
              <w:rPr>
                <w:rFonts w:ascii="Arial" w:eastAsia="Times New Roman" w:hAnsi="Arial" w:cs="Arial"/>
                <w:color w:val="000000"/>
                <w:sz w:val="20"/>
                <w:szCs w:val="20"/>
                <w:lang w:eastAsia="en-GB"/>
              </w:rPr>
            </w:pPr>
            <w:r w:rsidRPr="00956CE7">
              <w:rPr>
                <w:rFonts w:ascii="Arial" w:eastAsia="Times New Roman" w:hAnsi="Arial" w:cs="Arial"/>
                <w:color w:val="000000"/>
                <w:sz w:val="20"/>
                <w:szCs w:val="20"/>
                <w:lang w:eastAsia="en-GB"/>
              </w:rPr>
              <w:t xml:space="preserve"> - </w:t>
            </w:r>
          </w:p>
        </w:tc>
        <w:tc>
          <w:tcPr>
            <w:tcW w:w="1339" w:type="dxa"/>
            <w:tcBorders>
              <w:top w:val="nil"/>
              <w:left w:val="nil"/>
              <w:bottom w:val="nil"/>
              <w:right w:val="nil"/>
            </w:tcBorders>
            <w:shd w:val="clear" w:color="000000" w:fill="EDFFB7"/>
            <w:noWrap/>
            <w:vAlign w:val="center"/>
            <w:hideMark/>
          </w:tcPr>
          <w:p w14:paraId="5D40ED4A" w14:textId="77777777" w:rsidR="0021298F" w:rsidRPr="00956CE7" w:rsidRDefault="0021298F" w:rsidP="00760009">
            <w:pPr>
              <w:jc w:val="right"/>
              <w:rPr>
                <w:rFonts w:ascii="Arial" w:eastAsia="Times New Roman" w:hAnsi="Arial" w:cs="Arial"/>
                <w:color w:val="000000"/>
                <w:sz w:val="20"/>
                <w:szCs w:val="20"/>
                <w:lang w:eastAsia="en-GB"/>
              </w:rPr>
            </w:pPr>
            <w:r w:rsidRPr="00956CE7">
              <w:rPr>
                <w:rFonts w:ascii="Arial" w:eastAsia="Times New Roman" w:hAnsi="Arial" w:cs="Arial"/>
                <w:color w:val="000000"/>
                <w:sz w:val="20"/>
                <w:szCs w:val="20"/>
                <w:lang w:eastAsia="en-GB"/>
              </w:rPr>
              <w:t xml:space="preserve"> - </w:t>
            </w:r>
          </w:p>
        </w:tc>
        <w:tc>
          <w:tcPr>
            <w:tcW w:w="1184" w:type="dxa"/>
            <w:tcBorders>
              <w:top w:val="nil"/>
              <w:left w:val="nil"/>
              <w:bottom w:val="nil"/>
              <w:right w:val="nil"/>
            </w:tcBorders>
            <w:shd w:val="clear" w:color="000000" w:fill="EDFFB7"/>
            <w:noWrap/>
            <w:vAlign w:val="center"/>
            <w:hideMark/>
          </w:tcPr>
          <w:p w14:paraId="1EDC1FC1" w14:textId="77777777" w:rsidR="0021298F" w:rsidRPr="00956CE7" w:rsidRDefault="0021298F" w:rsidP="00760009">
            <w:pPr>
              <w:jc w:val="right"/>
              <w:rPr>
                <w:rFonts w:ascii="Arial" w:eastAsia="Times New Roman" w:hAnsi="Arial" w:cs="Arial"/>
                <w:color w:val="000000"/>
                <w:sz w:val="20"/>
                <w:szCs w:val="20"/>
                <w:lang w:eastAsia="en-GB"/>
              </w:rPr>
            </w:pPr>
            <w:r w:rsidRPr="00956CE7">
              <w:rPr>
                <w:rFonts w:ascii="Arial" w:eastAsia="Times New Roman" w:hAnsi="Arial" w:cs="Arial"/>
                <w:color w:val="000000"/>
                <w:sz w:val="20"/>
                <w:szCs w:val="20"/>
                <w:lang w:eastAsia="en-GB"/>
              </w:rPr>
              <w:t xml:space="preserve">7,015 </w:t>
            </w:r>
          </w:p>
        </w:tc>
        <w:tc>
          <w:tcPr>
            <w:tcW w:w="1275" w:type="dxa"/>
            <w:tcBorders>
              <w:top w:val="nil"/>
              <w:left w:val="nil"/>
              <w:bottom w:val="nil"/>
              <w:right w:val="nil"/>
            </w:tcBorders>
            <w:shd w:val="clear" w:color="000000" w:fill="EDFFB7"/>
            <w:noWrap/>
            <w:vAlign w:val="center"/>
            <w:hideMark/>
          </w:tcPr>
          <w:p w14:paraId="7DBAE9DB" w14:textId="77777777" w:rsidR="0021298F" w:rsidRPr="00956CE7" w:rsidRDefault="0021298F" w:rsidP="00760009">
            <w:pPr>
              <w:jc w:val="right"/>
              <w:rPr>
                <w:rFonts w:ascii="Arial" w:eastAsia="Times New Roman" w:hAnsi="Arial" w:cs="Arial"/>
                <w:color w:val="000000"/>
                <w:sz w:val="20"/>
                <w:szCs w:val="20"/>
                <w:lang w:eastAsia="en-GB"/>
              </w:rPr>
            </w:pPr>
            <w:r w:rsidRPr="00956CE7">
              <w:rPr>
                <w:rFonts w:ascii="Arial" w:eastAsia="Times New Roman" w:hAnsi="Arial" w:cs="Arial"/>
                <w:color w:val="000000"/>
                <w:sz w:val="20"/>
                <w:szCs w:val="20"/>
                <w:lang w:eastAsia="en-GB"/>
              </w:rPr>
              <w:t xml:space="preserve"> - </w:t>
            </w:r>
          </w:p>
        </w:tc>
        <w:tc>
          <w:tcPr>
            <w:tcW w:w="1057" w:type="dxa"/>
            <w:tcBorders>
              <w:top w:val="nil"/>
              <w:left w:val="nil"/>
              <w:bottom w:val="nil"/>
              <w:right w:val="nil"/>
            </w:tcBorders>
            <w:shd w:val="clear" w:color="000000" w:fill="EDFFB7"/>
            <w:noWrap/>
            <w:vAlign w:val="center"/>
            <w:hideMark/>
          </w:tcPr>
          <w:p w14:paraId="06AA5FFD" w14:textId="77777777" w:rsidR="0021298F" w:rsidRPr="00956CE7" w:rsidRDefault="0021298F" w:rsidP="00760009">
            <w:pPr>
              <w:jc w:val="right"/>
              <w:rPr>
                <w:rFonts w:ascii="Arial" w:eastAsia="Times New Roman" w:hAnsi="Arial" w:cs="Arial"/>
                <w:color w:val="000000"/>
                <w:sz w:val="20"/>
                <w:szCs w:val="20"/>
                <w:lang w:eastAsia="en-GB"/>
              </w:rPr>
            </w:pPr>
            <w:r w:rsidRPr="00956CE7">
              <w:rPr>
                <w:rFonts w:ascii="Arial" w:eastAsia="Times New Roman" w:hAnsi="Arial" w:cs="Arial"/>
                <w:color w:val="000000"/>
                <w:sz w:val="20"/>
                <w:szCs w:val="20"/>
                <w:lang w:eastAsia="en-GB"/>
              </w:rPr>
              <w:t xml:space="preserve">7,015 </w:t>
            </w:r>
          </w:p>
        </w:tc>
        <w:tc>
          <w:tcPr>
            <w:tcW w:w="1361" w:type="dxa"/>
            <w:tcBorders>
              <w:top w:val="nil"/>
              <w:left w:val="nil"/>
              <w:bottom w:val="nil"/>
              <w:right w:val="nil"/>
            </w:tcBorders>
            <w:shd w:val="clear" w:color="000000" w:fill="EDFFB7"/>
            <w:noWrap/>
            <w:vAlign w:val="center"/>
            <w:hideMark/>
          </w:tcPr>
          <w:p w14:paraId="51310FE7" w14:textId="77777777" w:rsidR="0021298F" w:rsidRPr="00956CE7" w:rsidRDefault="0021298F" w:rsidP="00760009">
            <w:pPr>
              <w:jc w:val="right"/>
              <w:rPr>
                <w:rFonts w:ascii="Arial" w:eastAsia="Times New Roman" w:hAnsi="Arial" w:cs="Arial"/>
                <w:color w:val="000000"/>
                <w:sz w:val="20"/>
                <w:szCs w:val="20"/>
                <w:lang w:eastAsia="en-GB"/>
              </w:rPr>
            </w:pPr>
            <w:r w:rsidRPr="00956CE7">
              <w:rPr>
                <w:rFonts w:ascii="Arial" w:eastAsia="Times New Roman" w:hAnsi="Arial" w:cs="Arial"/>
                <w:color w:val="000000"/>
                <w:sz w:val="20"/>
                <w:szCs w:val="20"/>
                <w:lang w:eastAsia="en-GB"/>
              </w:rPr>
              <w:t xml:space="preserve">-   </w:t>
            </w:r>
          </w:p>
        </w:tc>
      </w:tr>
      <w:tr w:rsidR="0021298F" w:rsidRPr="00956CE7" w14:paraId="327A141B" w14:textId="77777777" w:rsidTr="00760009">
        <w:trPr>
          <w:trHeight w:val="300"/>
        </w:trPr>
        <w:tc>
          <w:tcPr>
            <w:tcW w:w="1606" w:type="dxa"/>
            <w:tcBorders>
              <w:top w:val="nil"/>
              <w:left w:val="nil"/>
              <w:bottom w:val="nil"/>
              <w:right w:val="nil"/>
            </w:tcBorders>
            <w:shd w:val="clear" w:color="000000" w:fill="FFFFFF"/>
            <w:noWrap/>
            <w:vAlign w:val="center"/>
            <w:hideMark/>
          </w:tcPr>
          <w:p w14:paraId="2EAA11A9" w14:textId="77777777" w:rsidR="0021298F" w:rsidRPr="00956CE7" w:rsidRDefault="0021298F" w:rsidP="00760009">
            <w:pPr>
              <w:rPr>
                <w:rFonts w:ascii="Arial" w:eastAsia="Times New Roman" w:hAnsi="Arial" w:cs="Arial"/>
                <w:color w:val="000000"/>
                <w:sz w:val="20"/>
                <w:szCs w:val="20"/>
                <w:lang w:eastAsia="en-GB"/>
              </w:rPr>
            </w:pPr>
            <w:r w:rsidRPr="00956CE7">
              <w:rPr>
                <w:rFonts w:ascii="Arial" w:eastAsia="Times New Roman" w:hAnsi="Arial" w:cs="Arial"/>
                <w:color w:val="000000"/>
                <w:sz w:val="20"/>
                <w:szCs w:val="20"/>
                <w:lang w:eastAsia="en-GB"/>
              </w:rPr>
              <w:t>Sliabh Bawn</w:t>
            </w:r>
          </w:p>
        </w:tc>
        <w:tc>
          <w:tcPr>
            <w:tcW w:w="1036" w:type="dxa"/>
            <w:tcBorders>
              <w:top w:val="nil"/>
              <w:left w:val="nil"/>
              <w:bottom w:val="nil"/>
              <w:right w:val="nil"/>
            </w:tcBorders>
            <w:shd w:val="clear" w:color="000000" w:fill="EDFFB7"/>
            <w:noWrap/>
            <w:vAlign w:val="center"/>
            <w:hideMark/>
          </w:tcPr>
          <w:p w14:paraId="4D7448ED" w14:textId="77777777" w:rsidR="0021298F" w:rsidRPr="00956CE7" w:rsidRDefault="0021298F" w:rsidP="00760009">
            <w:pPr>
              <w:jc w:val="right"/>
              <w:rPr>
                <w:rFonts w:ascii="Arial" w:eastAsia="Times New Roman" w:hAnsi="Arial" w:cs="Arial"/>
                <w:color w:val="000000"/>
                <w:sz w:val="20"/>
                <w:szCs w:val="20"/>
                <w:lang w:eastAsia="en-GB"/>
              </w:rPr>
            </w:pPr>
            <w:r w:rsidRPr="00956CE7">
              <w:rPr>
                <w:rFonts w:ascii="Arial" w:eastAsia="Times New Roman" w:hAnsi="Arial" w:cs="Arial"/>
                <w:color w:val="000000"/>
                <w:sz w:val="20"/>
                <w:szCs w:val="20"/>
                <w:lang w:eastAsia="en-GB"/>
              </w:rPr>
              <w:t xml:space="preserve">9,224 </w:t>
            </w:r>
          </w:p>
        </w:tc>
        <w:tc>
          <w:tcPr>
            <w:tcW w:w="1139" w:type="dxa"/>
            <w:tcBorders>
              <w:top w:val="nil"/>
              <w:left w:val="nil"/>
              <w:bottom w:val="nil"/>
              <w:right w:val="nil"/>
            </w:tcBorders>
            <w:shd w:val="clear" w:color="000000" w:fill="EDFFB7"/>
            <w:noWrap/>
            <w:vAlign w:val="center"/>
            <w:hideMark/>
          </w:tcPr>
          <w:p w14:paraId="011E7F59" w14:textId="77777777" w:rsidR="0021298F" w:rsidRPr="00956CE7" w:rsidRDefault="0021298F" w:rsidP="00760009">
            <w:pPr>
              <w:jc w:val="right"/>
              <w:rPr>
                <w:rFonts w:ascii="Arial" w:eastAsia="Times New Roman" w:hAnsi="Arial" w:cs="Arial"/>
                <w:color w:val="000000"/>
                <w:sz w:val="20"/>
                <w:szCs w:val="20"/>
                <w:lang w:eastAsia="en-GB"/>
              </w:rPr>
            </w:pPr>
            <w:r w:rsidRPr="00956CE7">
              <w:rPr>
                <w:rFonts w:ascii="Arial" w:eastAsia="Times New Roman" w:hAnsi="Arial" w:cs="Arial"/>
                <w:color w:val="000000"/>
                <w:sz w:val="20"/>
                <w:szCs w:val="20"/>
                <w:lang w:eastAsia="en-GB"/>
              </w:rPr>
              <w:t xml:space="preserve">2,161 </w:t>
            </w:r>
          </w:p>
        </w:tc>
        <w:tc>
          <w:tcPr>
            <w:tcW w:w="1250" w:type="dxa"/>
            <w:tcBorders>
              <w:top w:val="nil"/>
              <w:left w:val="nil"/>
              <w:bottom w:val="nil"/>
              <w:right w:val="nil"/>
            </w:tcBorders>
            <w:shd w:val="clear" w:color="000000" w:fill="EDFFB7"/>
            <w:noWrap/>
            <w:vAlign w:val="center"/>
            <w:hideMark/>
          </w:tcPr>
          <w:p w14:paraId="0A08253E" w14:textId="77777777" w:rsidR="0021298F" w:rsidRPr="00956CE7" w:rsidRDefault="0021298F" w:rsidP="00760009">
            <w:pPr>
              <w:jc w:val="right"/>
              <w:rPr>
                <w:rFonts w:ascii="Arial" w:eastAsia="Times New Roman" w:hAnsi="Arial" w:cs="Arial"/>
                <w:color w:val="000000"/>
                <w:sz w:val="20"/>
                <w:szCs w:val="20"/>
                <w:lang w:eastAsia="en-GB"/>
              </w:rPr>
            </w:pPr>
            <w:r w:rsidRPr="00956CE7">
              <w:rPr>
                <w:rFonts w:ascii="Arial" w:eastAsia="Times New Roman" w:hAnsi="Arial" w:cs="Arial"/>
                <w:color w:val="000000"/>
                <w:sz w:val="20"/>
                <w:szCs w:val="20"/>
                <w:lang w:eastAsia="en-GB"/>
              </w:rPr>
              <w:t xml:space="preserve"> - </w:t>
            </w:r>
          </w:p>
        </w:tc>
        <w:tc>
          <w:tcPr>
            <w:tcW w:w="1339" w:type="dxa"/>
            <w:tcBorders>
              <w:top w:val="nil"/>
              <w:left w:val="nil"/>
              <w:bottom w:val="nil"/>
              <w:right w:val="nil"/>
            </w:tcBorders>
            <w:shd w:val="clear" w:color="000000" w:fill="EDFFB7"/>
            <w:noWrap/>
            <w:vAlign w:val="center"/>
            <w:hideMark/>
          </w:tcPr>
          <w:p w14:paraId="75897FEE" w14:textId="77777777" w:rsidR="0021298F" w:rsidRPr="00956CE7" w:rsidRDefault="0021298F" w:rsidP="00760009">
            <w:pPr>
              <w:jc w:val="right"/>
              <w:rPr>
                <w:rFonts w:ascii="Arial" w:eastAsia="Times New Roman" w:hAnsi="Arial" w:cs="Arial"/>
                <w:color w:val="000000"/>
                <w:sz w:val="20"/>
                <w:szCs w:val="20"/>
                <w:lang w:eastAsia="en-GB"/>
              </w:rPr>
            </w:pPr>
            <w:r w:rsidRPr="00956CE7">
              <w:rPr>
                <w:rFonts w:ascii="Arial" w:eastAsia="Times New Roman" w:hAnsi="Arial" w:cs="Arial"/>
                <w:color w:val="000000"/>
                <w:sz w:val="20"/>
                <w:szCs w:val="20"/>
                <w:lang w:eastAsia="en-GB"/>
              </w:rPr>
              <w:t xml:space="preserve"> (4,506)</w:t>
            </w:r>
          </w:p>
        </w:tc>
        <w:tc>
          <w:tcPr>
            <w:tcW w:w="1184" w:type="dxa"/>
            <w:tcBorders>
              <w:top w:val="nil"/>
              <w:left w:val="nil"/>
              <w:bottom w:val="nil"/>
              <w:right w:val="nil"/>
            </w:tcBorders>
            <w:shd w:val="clear" w:color="000000" w:fill="EDFFB7"/>
            <w:noWrap/>
            <w:vAlign w:val="center"/>
            <w:hideMark/>
          </w:tcPr>
          <w:p w14:paraId="36FDD2F2" w14:textId="77777777" w:rsidR="0021298F" w:rsidRPr="00956CE7" w:rsidRDefault="0021298F" w:rsidP="00760009">
            <w:pPr>
              <w:jc w:val="right"/>
              <w:rPr>
                <w:rFonts w:ascii="Arial" w:eastAsia="Times New Roman" w:hAnsi="Arial" w:cs="Arial"/>
                <w:color w:val="000000"/>
                <w:sz w:val="20"/>
                <w:szCs w:val="20"/>
                <w:lang w:eastAsia="en-GB"/>
              </w:rPr>
            </w:pPr>
            <w:r w:rsidRPr="00956CE7">
              <w:rPr>
                <w:rFonts w:ascii="Arial" w:eastAsia="Times New Roman" w:hAnsi="Arial" w:cs="Arial"/>
                <w:color w:val="000000"/>
                <w:sz w:val="20"/>
                <w:szCs w:val="20"/>
                <w:lang w:eastAsia="en-GB"/>
              </w:rPr>
              <w:t xml:space="preserve">6,879 </w:t>
            </w:r>
          </w:p>
        </w:tc>
        <w:tc>
          <w:tcPr>
            <w:tcW w:w="1275" w:type="dxa"/>
            <w:tcBorders>
              <w:top w:val="nil"/>
              <w:left w:val="nil"/>
              <w:bottom w:val="nil"/>
              <w:right w:val="nil"/>
            </w:tcBorders>
            <w:shd w:val="clear" w:color="000000" w:fill="EDFFB7"/>
            <w:noWrap/>
            <w:vAlign w:val="center"/>
            <w:hideMark/>
          </w:tcPr>
          <w:p w14:paraId="42926B5A" w14:textId="77777777" w:rsidR="0021298F" w:rsidRPr="00956CE7" w:rsidRDefault="0021298F" w:rsidP="00760009">
            <w:pPr>
              <w:jc w:val="right"/>
              <w:rPr>
                <w:rFonts w:ascii="Arial" w:eastAsia="Times New Roman" w:hAnsi="Arial" w:cs="Arial"/>
                <w:color w:val="000000"/>
                <w:sz w:val="20"/>
                <w:szCs w:val="20"/>
                <w:lang w:eastAsia="en-GB"/>
              </w:rPr>
            </w:pPr>
            <w:r w:rsidRPr="00956CE7">
              <w:rPr>
                <w:rFonts w:ascii="Arial" w:eastAsia="Times New Roman" w:hAnsi="Arial" w:cs="Arial"/>
                <w:color w:val="000000"/>
                <w:sz w:val="20"/>
                <w:szCs w:val="20"/>
                <w:lang w:eastAsia="en-GB"/>
              </w:rPr>
              <w:t xml:space="preserve">27 </w:t>
            </w:r>
          </w:p>
        </w:tc>
        <w:tc>
          <w:tcPr>
            <w:tcW w:w="1057" w:type="dxa"/>
            <w:tcBorders>
              <w:top w:val="nil"/>
              <w:left w:val="nil"/>
              <w:bottom w:val="nil"/>
              <w:right w:val="nil"/>
            </w:tcBorders>
            <w:shd w:val="clear" w:color="000000" w:fill="EDFFB7"/>
            <w:noWrap/>
            <w:vAlign w:val="center"/>
            <w:hideMark/>
          </w:tcPr>
          <w:p w14:paraId="062D2295" w14:textId="77777777" w:rsidR="0021298F" w:rsidRPr="00956CE7" w:rsidRDefault="0021298F" w:rsidP="00760009">
            <w:pPr>
              <w:jc w:val="right"/>
              <w:rPr>
                <w:rFonts w:ascii="Arial" w:eastAsia="Times New Roman" w:hAnsi="Arial" w:cs="Arial"/>
                <w:color w:val="000000"/>
                <w:sz w:val="20"/>
                <w:szCs w:val="20"/>
                <w:lang w:eastAsia="en-GB"/>
              </w:rPr>
            </w:pPr>
            <w:r w:rsidRPr="00956CE7">
              <w:rPr>
                <w:rFonts w:ascii="Arial" w:eastAsia="Times New Roman" w:hAnsi="Arial" w:cs="Arial"/>
                <w:color w:val="000000"/>
                <w:sz w:val="20"/>
                <w:szCs w:val="20"/>
                <w:lang w:eastAsia="en-GB"/>
              </w:rPr>
              <w:t xml:space="preserve">6,906 </w:t>
            </w:r>
          </w:p>
        </w:tc>
        <w:tc>
          <w:tcPr>
            <w:tcW w:w="1361" w:type="dxa"/>
            <w:tcBorders>
              <w:top w:val="nil"/>
              <w:left w:val="nil"/>
              <w:bottom w:val="nil"/>
              <w:right w:val="nil"/>
            </w:tcBorders>
            <w:shd w:val="clear" w:color="000000" w:fill="EDFFB7"/>
            <w:noWrap/>
            <w:vAlign w:val="center"/>
            <w:hideMark/>
          </w:tcPr>
          <w:p w14:paraId="0C945B2A" w14:textId="77777777" w:rsidR="0021298F" w:rsidRPr="00956CE7" w:rsidRDefault="0021298F" w:rsidP="00760009">
            <w:pPr>
              <w:jc w:val="right"/>
              <w:rPr>
                <w:rFonts w:ascii="Arial" w:eastAsia="Times New Roman" w:hAnsi="Arial" w:cs="Arial"/>
                <w:color w:val="000000"/>
                <w:sz w:val="20"/>
                <w:szCs w:val="20"/>
                <w:lang w:eastAsia="en-GB"/>
              </w:rPr>
            </w:pPr>
            <w:r w:rsidRPr="00956CE7">
              <w:rPr>
                <w:rFonts w:ascii="Arial" w:eastAsia="Times New Roman" w:hAnsi="Arial" w:cs="Arial"/>
                <w:color w:val="000000"/>
                <w:sz w:val="20"/>
                <w:szCs w:val="20"/>
                <w:lang w:eastAsia="en-GB"/>
              </w:rPr>
              <w:t xml:space="preserve">27 </w:t>
            </w:r>
          </w:p>
        </w:tc>
      </w:tr>
      <w:tr w:rsidR="0021298F" w:rsidRPr="00956CE7" w14:paraId="7B68EE77" w14:textId="77777777" w:rsidTr="00760009">
        <w:trPr>
          <w:trHeight w:val="300"/>
        </w:trPr>
        <w:tc>
          <w:tcPr>
            <w:tcW w:w="1606" w:type="dxa"/>
            <w:tcBorders>
              <w:top w:val="nil"/>
              <w:left w:val="nil"/>
              <w:bottom w:val="nil"/>
              <w:right w:val="nil"/>
            </w:tcBorders>
            <w:shd w:val="clear" w:color="000000" w:fill="FFFFFF"/>
            <w:noWrap/>
            <w:vAlign w:val="center"/>
            <w:hideMark/>
          </w:tcPr>
          <w:p w14:paraId="10620BFB" w14:textId="77777777" w:rsidR="0021298F" w:rsidRPr="00956CE7" w:rsidRDefault="0021298F" w:rsidP="00760009">
            <w:pPr>
              <w:rPr>
                <w:rFonts w:ascii="Arial" w:eastAsia="Times New Roman" w:hAnsi="Arial" w:cs="Arial"/>
                <w:color w:val="000000"/>
                <w:sz w:val="20"/>
                <w:szCs w:val="20"/>
                <w:lang w:eastAsia="en-GB"/>
              </w:rPr>
            </w:pPr>
            <w:r w:rsidRPr="00956CE7">
              <w:rPr>
                <w:rFonts w:ascii="Arial" w:eastAsia="Times New Roman" w:hAnsi="Arial" w:cs="Arial"/>
                <w:color w:val="000000"/>
                <w:sz w:val="20"/>
                <w:szCs w:val="20"/>
                <w:lang w:eastAsia="en-GB"/>
              </w:rPr>
              <w:t>Knocknalour</w:t>
            </w:r>
          </w:p>
        </w:tc>
        <w:tc>
          <w:tcPr>
            <w:tcW w:w="1036" w:type="dxa"/>
            <w:tcBorders>
              <w:top w:val="nil"/>
              <w:left w:val="nil"/>
              <w:bottom w:val="nil"/>
              <w:right w:val="nil"/>
            </w:tcBorders>
            <w:shd w:val="clear" w:color="000000" w:fill="EDFFB7"/>
            <w:noWrap/>
            <w:vAlign w:val="center"/>
            <w:hideMark/>
          </w:tcPr>
          <w:p w14:paraId="1C724A31" w14:textId="77777777" w:rsidR="0021298F" w:rsidRPr="00956CE7" w:rsidRDefault="0021298F" w:rsidP="00760009">
            <w:pPr>
              <w:jc w:val="right"/>
              <w:rPr>
                <w:rFonts w:ascii="Arial" w:eastAsia="Times New Roman" w:hAnsi="Arial" w:cs="Arial"/>
                <w:color w:val="000000"/>
                <w:sz w:val="20"/>
                <w:szCs w:val="20"/>
                <w:lang w:eastAsia="en-GB"/>
              </w:rPr>
            </w:pPr>
            <w:r w:rsidRPr="00956CE7">
              <w:rPr>
                <w:rFonts w:ascii="Arial" w:eastAsia="Times New Roman" w:hAnsi="Arial" w:cs="Arial"/>
                <w:color w:val="000000"/>
                <w:sz w:val="20"/>
                <w:szCs w:val="20"/>
                <w:lang w:eastAsia="en-GB"/>
              </w:rPr>
              <w:t xml:space="preserve">6,522 </w:t>
            </w:r>
          </w:p>
        </w:tc>
        <w:tc>
          <w:tcPr>
            <w:tcW w:w="1139" w:type="dxa"/>
            <w:tcBorders>
              <w:top w:val="nil"/>
              <w:left w:val="nil"/>
              <w:bottom w:val="nil"/>
              <w:right w:val="nil"/>
            </w:tcBorders>
            <w:shd w:val="clear" w:color="000000" w:fill="EDFFB7"/>
            <w:noWrap/>
            <w:vAlign w:val="center"/>
            <w:hideMark/>
          </w:tcPr>
          <w:p w14:paraId="67950181" w14:textId="77777777" w:rsidR="0021298F" w:rsidRPr="00956CE7" w:rsidRDefault="0021298F" w:rsidP="00760009">
            <w:pPr>
              <w:jc w:val="right"/>
              <w:rPr>
                <w:rFonts w:ascii="Arial" w:eastAsia="Times New Roman" w:hAnsi="Arial" w:cs="Arial"/>
                <w:color w:val="000000"/>
                <w:sz w:val="20"/>
                <w:szCs w:val="20"/>
                <w:lang w:eastAsia="en-GB"/>
              </w:rPr>
            </w:pPr>
            <w:r w:rsidRPr="00956CE7">
              <w:rPr>
                <w:rFonts w:ascii="Arial" w:eastAsia="Times New Roman" w:hAnsi="Arial" w:cs="Arial"/>
                <w:color w:val="000000"/>
                <w:sz w:val="20"/>
                <w:szCs w:val="20"/>
                <w:lang w:eastAsia="en-GB"/>
              </w:rPr>
              <w:t xml:space="preserve"> - </w:t>
            </w:r>
          </w:p>
        </w:tc>
        <w:tc>
          <w:tcPr>
            <w:tcW w:w="1250" w:type="dxa"/>
            <w:tcBorders>
              <w:top w:val="nil"/>
              <w:left w:val="nil"/>
              <w:bottom w:val="nil"/>
              <w:right w:val="nil"/>
            </w:tcBorders>
            <w:shd w:val="clear" w:color="000000" w:fill="EDFFB7"/>
            <w:noWrap/>
            <w:vAlign w:val="center"/>
            <w:hideMark/>
          </w:tcPr>
          <w:p w14:paraId="5A67AB8C" w14:textId="77777777" w:rsidR="0021298F" w:rsidRPr="00956CE7" w:rsidRDefault="0021298F" w:rsidP="00760009">
            <w:pPr>
              <w:jc w:val="right"/>
              <w:rPr>
                <w:rFonts w:ascii="Arial" w:eastAsia="Times New Roman" w:hAnsi="Arial" w:cs="Arial"/>
                <w:color w:val="000000"/>
                <w:sz w:val="20"/>
                <w:szCs w:val="20"/>
                <w:lang w:eastAsia="en-GB"/>
              </w:rPr>
            </w:pPr>
            <w:r w:rsidRPr="00956CE7">
              <w:rPr>
                <w:rFonts w:ascii="Arial" w:eastAsia="Times New Roman" w:hAnsi="Arial" w:cs="Arial"/>
                <w:color w:val="000000"/>
                <w:sz w:val="20"/>
                <w:szCs w:val="20"/>
                <w:lang w:eastAsia="en-GB"/>
              </w:rPr>
              <w:t xml:space="preserve"> - </w:t>
            </w:r>
          </w:p>
        </w:tc>
        <w:tc>
          <w:tcPr>
            <w:tcW w:w="1339" w:type="dxa"/>
            <w:tcBorders>
              <w:top w:val="nil"/>
              <w:left w:val="nil"/>
              <w:bottom w:val="nil"/>
              <w:right w:val="nil"/>
            </w:tcBorders>
            <w:shd w:val="clear" w:color="000000" w:fill="EDFFB7"/>
            <w:noWrap/>
            <w:vAlign w:val="center"/>
            <w:hideMark/>
          </w:tcPr>
          <w:p w14:paraId="562CF319" w14:textId="77777777" w:rsidR="0021298F" w:rsidRPr="00956CE7" w:rsidRDefault="0021298F" w:rsidP="00760009">
            <w:pPr>
              <w:jc w:val="right"/>
              <w:rPr>
                <w:rFonts w:ascii="Arial" w:eastAsia="Times New Roman" w:hAnsi="Arial" w:cs="Arial"/>
                <w:color w:val="000000"/>
                <w:sz w:val="20"/>
                <w:szCs w:val="20"/>
                <w:lang w:eastAsia="en-GB"/>
              </w:rPr>
            </w:pPr>
            <w:r w:rsidRPr="00956CE7">
              <w:rPr>
                <w:rFonts w:ascii="Arial" w:eastAsia="Times New Roman" w:hAnsi="Arial" w:cs="Arial"/>
                <w:color w:val="000000"/>
                <w:sz w:val="20"/>
                <w:szCs w:val="20"/>
                <w:lang w:eastAsia="en-GB"/>
              </w:rPr>
              <w:t xml:space="preserve"> (727)</w:t>
            </w:r>
          </w:p>
        </w:tc>
        <w:tc>
          <w:tcPr>
            <w:tcW w:w="1184" w:type="dxa"/>
            <w:tcBorders>
              <w:top w:val="nil"/>
              <w:left w:val="nil"/>
              <w:bottom w:val="nil"/>
              <w:right w:val="nil"/>
            </w:tcBorders>
            <w:shd w:val="clear" w:color="000000" w:fill="EDFFB7"/>
            <w:noWrap/>
            <w:vAlign w:val="center"/>
            <w:hideMark/>
          </w:tcPr>
          <w:p w14:paraId="1576ECBD" w14:textId="77777777" w:rsidR="0021298F" w:rsidRPr="00956CE7" w:rsidRDefault="0021298F" w:rsidP="00760009">
            <w:pPr>
              <w:jc w:val="right"/>
              <w:rPr>
                <w:rFonts w:ascii="Arial" w:eastAsia="Times New Roman" w:hAnsi="Arial" w:cs="Arial"/>
                <w:color w:val="000000"/>
                <w:sz w:val="20"/>
                <w:szCs w:val="20"/>
                <w:lang w:eastAsia="en-GB"/>
              </w:rPr>
            </w:pPr>
            <w:r w:rsidRPr="00956CE7">
              <w:rPr>
                <w:rFonts w:ascii="Arial" w:eastAsia="Times New Roman" w:hAnsi="Arial" w:cs="Arial"/>
                <w:color w:val="000000"/>
                <w:sz w:val="20"/>
                <w:szCs w:val="20"/>
                <w:lang w:eastAsia="en-GB"/>
              </w:rPr>
              <w:t xml:space="preserve">5,795 </w:t>
            </w:r>
          </w:p>
        </w:tc>
        <w:tc>
          <w:tcPr>
            <w:tcW w:w="1275" w:type="dxa"/>
            <w:tcBorders>
              <w:top w:val="nil"/>
              <w:left w:val="nil"/>
              <w:bottom w:val="nil"/>
              <w:right w:val="nil"/>
            </w:tcBorders>
            <w:shd w:val="clear" w:color="000000" w:fill="EDFFB7"/>
            <w:noWrap/>
            <w:vAlign w:val="center"/>
            <w:hideMark/>
          </w:tcPr>
          <w:p w14:paraId="0E64BC4B" w14:textId="77777777" w:rsidR="0021298F" w:rsidRPr="00956CE7" w:rsidRDefault="0021298F" w:rsidP="00760009">
            <w:pPr>
              <w:jc w:val="right"/>
              <w:rPr>
                <w:rFonts w:ascii="Arial" w:eastAsia="Times New Roman" w:hAnsi="Arial" w:cs="Arial"/>
                <w:color w:val="000000"/>
                <w:sz w:val="20"/>
                <w:szCs w:val="20"/>
                <w:lang w:eastAsia="en-GB"/>
              </w:rPr>
            </w:pPr>
            <w:r w:rsidRPr="00956CE7">
              <w:rPr>
                <w:rFonts w:ascii="Arial" w:eastAsia="Times New Roman" w:hAnsi="Arial" w:cs="Arial"/>
                <w:color w:val="000000"/>
                <w:sz w:val="20"/>
                <w:szCs w:val="20"/>
                <w:lang w:eastAsia="en-GB"/>
              </w:rPr>
              <w:t xml:space="preserve"> - </w:t>
            </w:r>
          </w:p>
        </w:tc>
        <w:tc>
          <w:tcPr>
            <w:tcW w:w="1057" w:type="dxa"/>
            <w:tcBorders>
              <w:top w:val="nil"/>
              <w:left w:val="nil"/>
              <w:bottom w:val="nil"/>
              <w:right w:val="nil"/>
            </w:tcBorders>
            <w:shd w:val="clear" w:color="000000" w:fill="EDFFB7"/>
            <w:noWrap/>
            <w:vAlign w:val="center"/>
            <w:hideMark/>
          </w:tcPr>
          <w:p w14:paraId="49985479" w14:textId="77777777" w:rsidR="0021298F" w:rsidRPr="00956CE7" w:rsidRDefault="0021298F" w:rsidP="00760009">
            <w:pPr>
              <w:jc w:val="right"/>
              <w:rPr>
                <w:rFonts w:ascii="Arial" w:eastAsia="Times New Roman" w:hAnsi="Arial" w:cs="Arial"/>
                <w:color w:val="000000"/>
                <w:sz w:val="20"/>
                <w:szCs w:val="20"/>
                <w:lang w:eastAsia="en-GB"/>
              </w:rPr>
            </w:pPr>
            <w:r w:rsidRPr="00956CE7">
              <w:rPr>
                <w:rFonts w:ascii="Arial" w:eastAsia="Times New Roman" w:hAnsi="Arial" w:cs="Arial"/>
                <w:color w:val="000000"/>
                <w:sz w:val="20"/>
                <w:szCs w:val="20"/>
                <w:lang w:eastAsia="en-GB"/>
              </w:rPr>
              <w:t xml:space="preserve">5,795 </w:t>
            </w:r>
          </w:p>
        </w:tc>
        <w:tc>
          <w:tcPr>
            <w:tcW w:w="1361" w:type="dxa"/>
            <w:tcBorders>
              <w:top w:val="nil"/>
              <w:left w:val="nil"/>
              <w:bottom w:val="nil"/>
              <w:right w:val="nil"/>
            </w:tcBorders>
            <w:shd w:val="clear" w:color="000000" w:fill="EDFFB7"/>
            <w:noWrap/>
            <w:vAlign w:val="center"/>
            <w:hideMark/>
          </w:tcPr>
          <w:p w14:paraId="73ED8DE1" w14:textId="77777777" w:rsidR="0021298F" w:rsidRPr="00956CE7" w:rsidRDefault="0021298F" w:rsidP="00760009">
            <w:pPr>
              <w:jc w:val="right"/>
              <w:rPr>
                <w:rFonts w:ascii="Arial" w:eastAsia="Times New Roman" w:hAnsi="Arial" w:cs="Arial"/>
                <w:color w:val="000000"/>
                <w:sz w:val="20"/>
                <w:szCs w:val="20"/>
                <w:lang w:eastAsia="en-GB"/>
              </w:rPr>
            </w:pPr>
            <w:r w:rsidRPr="00956CE7">
              <w:rPr>
                <w:rFonts w:ascii="Arial" w:eastAsia="Times New Roman" w:hAnsi="Arial" w:cs="Arial"/>
                <w:color w:val="000000"/>
                <w:sz w:val="20"/>
                <w:szCs w:val="20"/>
                <w:lang w:eastAsia="en-GB"/>
              </w:rPr>
              <w:t xml:space="preserve">198 </w:t>
            </w:r>
          </w:p>
        </w:tc>
      </w:tr>
      <w:tr w:rsidR="0021298F" w:rsidRPr="00956CE7" w14:paraId="361A668A" w14:textId="77777777" w:rsidTr="00760009">
        <w:trPr>
          <w:trHeight w:val="300"/>
        </w:trPr>
        <w:tc>
          <w:tcPr>
            <w:tcW w:w="1606" w:type="dxa"/>
            <w:tcBorders>
              <w:top w:val="nil"/>
              <w:left w:val="nil"/>
              <w:bottom w:val="nil"/>
              <w:right w:val="nil"/>
            </w:tcBorders>
            <w:shd w:val="clear" w:color="000000" w:fill="FFFFFF"/>
            <w:noWrap/>
            <w:vAlign w:val="center"/>
            <w:hideMark/>
          </w:tcPr>
          <w:p w14:paraId="039143A5" w14:textId="77777777" w:rsidR="0021298F" w:rsidRPr="00956CE7" w:rsidRDefault="0021298F" w:rsidP="00760009">
            <w:pPr>
              <w:rPr>
                <w:rFonts w:ascii="Arial" w:eastAsia="Times New Roman" w:hAnsi="Arial" w:cs="Arial"/>
                <w:color w:val="000000"/>
                <w:sz w:val="20"/>
                <w:szCs w:val="20"/>
                <w:lang w:eastAsia="en-GB"/>
              </w:rPr>
            </w:pPr>
            <w:r w:rsidRPr="00956CE7">
              <w:rPr>
                <w:rFonts w:ascii="Arial" w:eastAsia="Times New Roman" w:hAnsi="Arial" w:cs="Arial"/>
                <w:color w:val="000000"/>
                <w:sz w:val="20"/>
                <w:szCs w:val="20"/>
                <w:lang w:eastAsia="en-GB"/>
              </w:rPr>
              <w:t>Saint Martin</w:t>
            </w:r>
          </w:p>
        </w:tc>
        <w:tc>
          <w:tcPr>
            <w:tcW w:w="1036" w:type="dxa"/>
            <w:tcBorders>
              <w:top w:val="nil"/>
              <w:left w:val="nil"/>
              <w:bottom w:val="nil"/>
              <w:right w:val="nil"/>
            </w:tcBorders>
            <w:shd w:val="clear" w:color="000000" w:fill="EDFFB7"/>
            <w:noWrap/>
            <w:vAlign w:val="center"/>
            <w:hideMark/>
          </w:tcPr>
          <w:p w14:paraId="76DCC085" w14:textId="77777777" w:rsidR="0021298F" w:rsidRPr="00956CE7" w:rsidRDefault="0021298F" w:rsidP="00760009">
            <w:pPr>
              <w:jc w:val="right"/>
              <w:rPr>
                <w:rFonts w:ascii="Arial" w:eastAsia="Times New Roman" w:hAnsi="Arial" w:cs="Arial"/>
                <w:color w:val="000000"/>
                <w:sz w:val="20"/>
                <w:szCs w:val="20"/>
                <w:lang w:eastAsia="en-GB"/>
              </w:rPr>
            </w:pPr>
            <w:r w:rsidRPr="00956CE7">
              <w:rPr>
                <w:rFonts w:ascii="Arial" w:eastAsia="Times New Roman" w:hAnsi="Arial" w:cs="Arial"/>
                <w:color w:val="000000"/>
                <w:sz w:val="20"/>
                <w:szCs w:val="20"/>
                <w:lang w:eastAsia="en-GB"/>
              </w:rPr>
              <w:t xml:space="preserve"> - </w:t>
            </w:r>
          </w:p>
        </w:tc>
        <w:tc>
          <w:tcPr>
            <w:tcW w:w="1139" w:type="dxa"/>
            <w:tcBorders>
              <w:top w:val="nil"/>
              <w:left w:val="nil"/>
              <w:bottom w:val="nil"/>
              <w:right w:val="nil"/>
            </w:tcBorders>
            <w:shd w:val="clear" w:color="000000" w:fill="EDFFB7"/>
            <w:noWrap/>
            <w:vAlign w:val="center"/>
            <w:hideMark/>
          </w:tcPr>
          <w:p w14:paraId="0DD29545" w14:textId="77777777" w:rsidR="0021298F" w:rsidRPr="00956CE7" w:rsidRDefault="0021298F" w:rsidP="00760009">
            <w:pPr>
              <w:jc w:val="right"/>
              <w:rPr>
                <w:rFonts w:ascii="Arial" w:eastAsia="Times New Roman" w:hAnsi="Arial" w:cs="Arial"/>
                <w:color w:val="000000"/>
                <w:sz w:val="20"/>
                <w:szCs w:val="20"/>
                <w:lang w:eastAsia="en-GB"/>
              </w:rPr>
            </w:pPr>
            <w:r w:rsidRPr="00956CE7">
              <w:rPr>
                <w:rFonts w:ascii="Arial" w:eastAsia="Times New Roman" w:hAnsi="Arial" w:cs="Arial"/>
                <w:color w:val="000000"/>
                <w:sz w:val="20"/>
                <w:szCs w:val="20"/>
                <w:lang w:eastAsia="en-GB"/>
              </w:rPr>
              <w:t xml:space="preserve">3,543 </w:t>
            </w:r>
          </w:p>
        </w:tc>
        <w:tc>
          <w:tcPr>
            <w:tcW w:w="1250" w:type="dxa"/>
            <w:tcBorders>
              <w:top w:val="nil"/>
              <w:left w:val="nil"/>
              <w:bottom w:val="nil"/>
              <w:right w:val="nil"/>
            </w:tcBorders>
            <w:shd w:val="clear" w:color="000000" w:fill="EDFFB7"/>
            <w:noWrap/>
            <w:vAlign w:val="center"/>
            <w:hideMark/>
          </w:tcPr>
          <w:p w14:paraId="62B541B8" w14:textId="77777777" w:rsidR="0021298F" w:rsidRPr="00956CE7" w:rsidRDefault="0021298F" w:rsidP="00760009">
            <w:pPr>
              <w:jc w:val="right"/>
              <w:rPr>
                <w:rFonts w:ascii="Arial" w:eastAsia="Times New Roman" w:hAnsi="Arial" w:cs="Arial"/>
                <w:color w:val="000000"/>
                <w:sz w:val="20"/>
                <w:szCs w:val="20"/>
                <w:lang w:eastAsia="en-GB"/>
              </w:rPr>
            </w:pPr>
            <w:r w:rsidRPr="00956CE7">
              <w:rPr>
                <w:rFonts w:ascii="Arial" w:eastAsia="Times New Roman" w:hAnsi="Arial" w:cs="Arial"/>
                <w:color w:val="000000"/>
                <w:sz w:val="20"/>
                <w:szCs w:val="20"/>
                <w:lang w:eastAsia="en-GB"/>
              </w:rPr>
              <w:t xml:space="preserve"> - </w:t>
            </w:r>
          </w:p>
        </w:tc>
        <w:tc>
          <w:tcPr>
            <w:tcW w:w="1339" w:type="dxa"/>
            <w:tcBorders>
              <w:top w:val="nil"/>
              <w:left w:val="nil"/>
              <w:bottom w:val="nil"/>
              <w:right w:val="nil"/>
            </w:tcBorders>
            <w:shd w:val="clear" w:color="000000" w:fill="EDFFB7"/>
            <w:noWrap/>
            <w:vAlign w:val="center"/>
            <w:hideMark/>
          </w:tcPr>
          <w:p w14:paraId="5EA71EE3" w14:textId="77777777" w:rsidR="0021298F" w:rsidRPr="00956CE7" w:rsidRDefault="0021298F" w:rsidP="00760009">
            <w:pPr>
              <w:jc w:val="right"/>
              <w:rPr>
                <w:rFonts w:ascii="Arial" w:eastAsia="Times New Roman" w:hAnsi="Arial" w:cs="Arial"/>
                <w:color w:val="000000"/>
                <w:sz w:val="20"/>
                <w:szCs w:val="20"/>
                <w:lang w:eastAsia="en-GB"/>
              </w:rPr>
            </w:pPr>
            <w:r w:rsidRPr="00956CE7">
              <w:rPr>
                <w:rFonts w:ascii="Arial" w:eastAsia="Times New Roman" w:hAnsi="Arial" w:cs="Arial"/>
                <w:color w:val="000000"/>
                <w:sz w:val="20"/>
                <w:szCs w:val="20"/>
                <w:lang w:eastAsia="en-GB"/>
              </w:rPr>
              <w:t xml:space="preserve"> - </w:t>
            </w:r>
          </w:p>
        </w:tc>
        <w:tc>
          <w:tcPr>
            <w:tcW w:w="1184" w:type="dxa"/>
            <w:tcBorders>
              <w:top w:val="nil"/>
              <w:left w:val="nil"/>
              <w:bottom w:val="nil"/>
              <w:right w:val="nil"/>
            </w:tcBorders>
            <w:shd w:val="clear" w:color="000000" w:fill="EDFFB7"/>
            <w:noWrap/>
            <w:vAlign w:val="center"/>
            <w:hideMark/>
          </w:tcPr>
          <w:p w14:paraId="4C58CBA5" w14:textId="77777777" w:rsidR="0021298F" w:rsidRPr="00956CE7" w:rsidRDefault="0021298F" w:rsidP="00760009">
            <w:pPr>
              <w:jc w:val="right"/>
              <w:rPr>
                <w:rFonts w:ascii="Arial" w:eastAsia="Times New Roman" w:hAnsi="Arial" w:cs="Arial"/>
                <w:color w:val="000000"/>
                <w:sz w:val="20"/>
                <w:szCs w:val="20"/>
                <w:lang w:eastAsia="en-GB"/>
              </w:rPr>
            </w:pPr>
            <w:r w:rsidRPr="00956CE7">
              <w:rPr>
                <w:rFonts w:ascii="Arial" w:eastAsia="Times New Roman" w:hAnsi="Arial" w:cs="Arial"/>
                <w:color w:val="000000"/>
                <w:sz w:val="20"/>
                <w:szCs w:val="20"/>
                <w:lang w:eastAsia="en-GB"/>
              </w:rPr>
              <w:t xml:space="preserve">3,543 </w:t>
            </w:r>
          </w:p>
        </w:tc>
        <w:tc>
          <w:tcPr>
            <w:tcW w:w="1275" w:type="dxa"/>
            <w:tcBorders>
              <w:top w:val="nil"/>
              <w:left w:val="nil"/>
              <w:bottom w:val="nil"/>
              <w:right w:val="nil"/>
            </w:tcBorders>
            <w:shd w:val="clear" w:color="000000" w:fill="EDFFB7"/>
            <w:noWrap/>
            <w:vAlign w:val="center"/>
            <w:hideMark/>
          </w:tcPr>
          <w:p w14:paraId="05896956" w14:textId="77777777" w:rsidR="0021298F" w:rsidRPr="00956CE7" w:rsidRDefault="0021298F" w:rsidP="00760009">
            <w:pPr>
              <w:jc w:val="right"/>
              <w:rPr>
                <w:rFonts w:ascii="Arial" w:eastAsia="Times New Roman" w:hAnsi="Arial" w:cs="Arial"/>
                <w:color w:val="000000"/>
                <w:sz w:val="20"/>
                <w:szCs w:val="20"/>
                <w:lang w:eastAsia="en-GB"/>
              </w:rPr>
            </w:pPr>
            <w:r w:rsidRPr="00956CE7">
              <w:rPr>
                <w:rFonts w:ascii="Arial" w:eastAsia="Times New Roman" w:hAnsi="Arial" w:cs="Arial"/>
                <w:color w:val="000000"/>
                <w:sz w:val="20"/>
                <w:szCs w:val="20"/>
                <w:lang w:eastAsia="en-GB"/>
              </w:rPr>
              <w:t xml:space="preserve">82 </w:t>
            </w:r>
          </w:p>
        </w:tc>
        <w:tc>
          <w:tcPr>
            <w:tcW w:w="1057" w:type="dxa"/>
            <w:tcBorders>
              <w:top w:val="nil"/>
              <w:left w:val="nil"/>
              <w:bottom w:val="nil"/>
              <w:right w:val="nil"/>
            </w:tcBorders>
            <w:shd w:val="clear" w:color="000000" w:fill="EDFFB7"/>
            <w:noWrap/>
            <w:vAlign w:val="center"/>
            <w:hideMark/>
          </w:tcPr>
          <w:p w14:paraId="039ACD68" w14:textId="77777777" w:rsidR="0021298F" w:rsidRPr="00956CE7" w:rsidRDefault="0021298F" w:rsidP="00760009">
            <w:pPr>
              <w:jc w:val="right"/>
              <w:rPr>
                <w:rFonts w:ascii="Arial" w:eastAsia="Times New Roman" w:hAnsi="Arial" w:cs="Arial"/>
                <w:color w:val="000000"/>
                <w:sz w:val="20"/>
                <w:szCs w:val="20"/>
                <w:lang w:eastAsia="en-GB"/>
              </w:rPr>
            </w:pPr>
            <w:r w:rsidRPr="00956CE7">
              <w:rPr>
                <w:rFonts w:ascii="Arial" w:eastAsia="Times New Roman" w:hAnsi="Arial" w:cs="Arial"/>
                <w:color w:val="000000"/>
                <w:sz w:val="20"/>
                <w:szCs w:val="20"/>
                <w:lang w:eastAsia="en-GB"/>
              </w:rPr>
              <w:t xml:space="preserve">3,625 </w:t>
            </w:r>
          </w:p>
        </w:tc>
        <w:tc>
          <w:tcPr>
            <w:tcW w:w="1361" w:type="dxa"/>
            <w:tcBorders>
              <w:top w:val="nil"/>
              <w:left w:val="nil"/>
              <w:bottom w:val="nil"/>
              <w:right w:val="nil"/>
            </w:tcBorders>
            <w:shd w:val="clear" w:color="000000" w:fill="EDFFB7"/>
            <w:noWrap/>
            <w:vAlign w:val="center"/>
            <w:hideMark/>
          </w:tcPr>
          <w:p w14:paraId="64C6B4FE" w14:textId="77777777" w:rsidR="0021298F" w:rsidRPr="00956CE7" w:rsidRDefault="0021298F" w:rsidP="00760009">
            <w:pPr>
              <w:jc w:val="right"/>
              <w:rPr>
                <w:rFonts w:ascii="Arial" w:eastAsia="Times New Roman" w:hAnsi="Arial" w:cs="Arial"/>
                <w:color w:val="000000"/>
                <w:sz w:val="20"/>
                <w:szCs w:val="20"/>
                <w:lang w:eastAsia="en-GB"/>
              </w:rPr>
            </w:pPr>
            <w:r w:rsidRPr="00956CE7">
              <w:rPr>
                <w:rFonts w:ascii="Arial" w:eastAsia="Times New Roman" w:hAnsi="Arial" w:cs="Arial"/>
                <w:color w:val="000000"/>
                <w:sz w:val="20"/>
                <w:szCs w:val="20"/>
                <w:lang w:eastAsia="en-GB"/>
              </w:rPr>
              <w:t xml:space="preserve">111 </w:t>
            </w:r>
          </w:p>
        </w:tc>
      </w:tr>
      <w:tr w:rsidR="0021298F" w:rsidRPr="00956CE7" w14:paraId="666ED028" w14:textId="77777777" w:rsidTr="00760009">
        <w:trPr>
          <w:trHeight w:val="315"/>
        </w:trPr>
        <w:tc>
          <w:tcPr>
            <w:tcW w:w="1606" w:type="dxa"/>
            <w:tcBorders>
              <w:top w:val="nil"/>
              <w:left w:val="nil"/>
              <w:bottom w:val="nil"/>
              <w:right w:val="nil"/>
            </w:tcBorders>
            <w:shd w:val="clear" w:color="000000" w:fill="FFFFFF"/>
            <w:noWrap/>
            <w:vAlign w:val="center"/>
            <w:hideMark/>
          </w:tcPr>
          <w:p w14:paraId="2DDC960C" w14:textId="77777777" w:rsidR="0021298F" w:rsidRPr="00956CE7" w:rsidRDefault="0021298F" w:rsidP="00760009">
            <w:pPr>
              <w:rPr>
                <w:rFonts w:ascii="Arial" w:eastAsia="Times New Roman" w:hAnsi="Arial" w:cs="Arial"/>
                <w:color w:val="000000"/>
                <w:sz w:val="20"/>
                <w:szCs w:val="20"/>
                <w:lang w:eastAsia="en-GB"/>
              </w:rPr>
            </w:pPr>
            <w:r w:rsidRPr="00956CE7">
              <w:rPr>
                <w:rFonts w:ascii="Arial" w:eastAsia="Times New Roman" w:hAnsi="Arial" w:cs="Arial"/>
                <w:color w:val="000000"/>
                <w:sz w:val="20"/>
                <w:szCs w:val="20"/>
                <w:lang w:eastAsia="en-GB"/>
              </w:rPr>
              <w:t>Raheenleagh</w:t>
            </w:r>
          </w:p>
        </w:tc>
        <w:tc>
          <w:tcPr>
            <w:tcW w:w="1036" w:type="dxa"/>
            <w:tcBorders>
              <w:top w:val="nil"/>
              <w:left w:val="nil"/>
              <w:bottom w:val="nil"/>
              <w:right w:val="nil"/>
            </w:tcBorders>
            <w:shd w:val="clear" w:color="000000" w:fill="EDFFB7"/>
            <w:noWrap/>
            <w:vAlign w:val="center"/>
            <w:hideMark/>
          </w:tcPr>
          <w:p w14:paraId="02752301" w14:textId="77777777" w:rsidR="0021298F" w:rsidRPr="00956CE7" w:rsidRDefault="0021298F" w:rsidP="00760009">
            <w:pPr>
              <w:jc w:val="right"/>
              <w:rPr>
                <w:rFonts w:ascii="Arial" w:eastAsia="Times New Roman" w:hAnsi="Arial" w:cs="Arial"/>
                <w:color w:val="000000"/>
                <w:sz w:val="20"/>
                <w:szCs w:val="20"/>
                <w:lang w:eastAsia="en-GB"/>
              </w:rPr>
            </w:pPr>
            <w:r w:rsidRPr="00956CE7">
              <w:rPr>
                <w:rFonts w:ascii="Arial" w:eastAsia="Times New Roman" w:hAnsi="Arial" w:cs="Arial"/>
                <w:color w:val="000000"/>
                <w:sz w:val="20"/>
                <w:szCs w:val="20"/>
                <w:lang w:eastAsia="en-GB"/>
              </w:rPr>
              <w:t xml:space="preserve">168 </w:t>
            </w:r>
          </w:p>
        </w:tc>
        <w:tc>
          <w:tcPr>
            <w:tcW w:w="1139" w:type="dxa"/>
            <w:tcBorders>
              <w:top w:val="nil"/>
              <w:left w:val="nil"/>
              <w:bottom w:val="nil"/>
              <w:right w:val="nil"/>
            </w:tcBorders>
            <w:shd w:val="clear" w:color="000000" w:fill="EDFFB7"/>
            <w:noWrap/>
            <w:vAlign w:val="center"/>
            <w:hideMark/>
          </w:tcPr>
          <w:p w14:paraId="62CC8C44" w14:textId="77777777" w:rsidR="0021298F" w:rsidRPr="00956CE7" w:rsidRDefault="0021298F" w:rsidP="00760009">
            <w:pPr>
              <w:jc w:val="right"/>
              <w:rPr>
                <w:rFonts w:ascii="Arial" w:eastAsia="Times New Roman" w:hAnsi="Arial" w:cs="Arial"/>
                <w:color w:val="000000"/>
                <w:sz w:val="20"/>
                <w:szCs w:val="20"/>
                <w:lang w:eastAsia="en-GB"/>
              </w:rPr>
            </w:pPr>
            <w:r w:rsidRPr="00956CE7">
              <w:rPr>
                <w:rFonts w:ascii="Arial" w:eastAsia="Times New Roman" w:hAnsi="Arial" w:cs="Arial"/>
                <w:color w:val="000000"/>
                <w:sz w:val="20"/>
                <w:szCs w:val="20"/>
                <w:lang w:eastAsia="en-GB"/>
              </w:rPr>
              <w:t xml:space="preserve"> - </w:t>
            </w:r>
          </w:p>
        </w:tc>
        <w:tc>
          <w:tcPr>
            <w:tcW w:w="1250" w:type="dxa"/>
            <w:tcBorders>
              <w:top w:val="nil"/>
              <w:left w:val="nil"/>
              <w:bottom w:val="nil"/>
              <w:right w:val="nil"/>
            </w:tcBorders>
            <w:shd w:val="clear" w:color="000000" w:fill="EDFFB7"/>
            <w:noWrap/>
            <w:vAlign w:val="center"/>
            <w:hideMark/>
          </w:tcPr>
          <w:p w14:paraId="5C2E01AB" w14:textId="77777777" w:rsidR="0021298F" w:rsidRPr="00956CE7" w:rsidRDefault="0021298F" w:rsidP="00760009">
            <w:pPr>
              <w:jc w:val="right"/>
              <w:rPr>
                <w:rFonts w:ascii="Arial" w:eastAsia="Times New Roman" w:hAnsi="Arial" w:cs="Arial"/>
                <w:color w:val="000000"/>
                <w:sz w:val="20"/>
                <w:szCs w:val="20"/>
                <w:lang w:eastAsia="en-GB"/>
              </w:rPr>
            </w:pPr>
            <w:r w:rsidRPr="00956CE7">
              <w:rPr>
                <w:rFonts w:ascii="Arial" w:eastAsia="Times New Roman" w:hAnsi="Arial" w:cs="Arial"/>
                <w:color w:val="000000"/>
                <w:sz w:val="20"/>
                <w:szCs w:val="20"/>
                <w:lang w:eastAsia="en-GB"/>
              </w:rPr>
              <w:t xml:space="preserve"> - </w:t>
            </w:r>
          </w:p>
        </w:tc>
        <w:tc>
          <w:tcPr>
            <w:tcW w:w="1339" w:type="dxa"/>
            <w:tcBorders>
              <w:top w:val="nil"/>
              <w:left w:val="nil"/>
              <w:bottom w:val="nil"/>
              <w:right w:val="nil"/>
            </w:tcBorders>
            <w:shd w:val="clear" w:color="000000" w:fill="EDFFB7"/>
            <w:noWrap/>
            <w:vAlign w:val="center"/>
            <w:hideMark/>
          </w:tcPr>
          <w:p w14:paraId="6C02DC5A" w14:textId="77777777" w:rsidR="0021298F" w:rsidRPr="00956CE7" w:rsidRDefault="0021298F" w:rsidP="00760009">
            <w:pPr>
              <w:jc w:val="right"/>
              <w:rPr>
                <w:rFonts w:ascii="Arial" w:eastAsia="Times New Roman" w:hAnsi="Arial" w:cs="Arial"/>
                <w:color w:val="000000"/>
                <w:sz w:val="20"/>
                <w:szCs w:val="20"/>
                <w:lang w:eastAsia="en-GB"/>
              </w:rPr>
            </w:pPr>
            <w:r w:rsidRPr="00956CE7">
              <w:rPr>
                <w:rFonts w:ascii="Arial" w:eastAsia="Times New Roman" w:hAnsi="Arial" w:cs="Arial"/>
                <w:color w:val="000000"/>
                <w:sz w:val="20"/>
                <w:szCs w:val="20"/>
                <w:lang w:eastAsia="en-GB"/>
              </w:rPr>
              <w:t xml:space="preserve"> (168)</w:t>
            </w:r>
          </w:p>
        </w:tc>
        <w:tc>
          <w:tcPr>
            <w:tcW w:w="1184" w:type="dxa"/>
            <w:tcBorders>
              <w:top w:val="nil"/>
              <w:left w:val="nil"/>
              <w:bottom w:val="nil"/>
              <w:right w:val="nil"/>
            </w:tcBorders>
            <w:shd w:val="clear" w:color="000000" w:fill="EDFFB7"/>
            <w:noWrap/>
            <w:vAlign w:val="center"/>
            <w:hideMark/>
          </w:tcPr>
          <w:p w14:paraId="44CC63BA" w14:textId="77777777" w:rsidR="0021298F" w:rsidRPr="00956CE7" w:rsidRDefault="0021298F" w:rsidP="00760009">
            <w:pPr>
              <w:jc w:val="right"/>
              <w:rPr>
                <w:rFonts w:ascii="Arial" w:eastAsia="Times New Roman" w:hAnsi="Arial" w:cs="Arial"/>
                <w:color w:val="000000"/>
                <w:sz w:val="20"/>
                <w:szCs w:val="20"/>
                <w:lang w:eastAsia="en-GB"/>
              </w:rPr>
            </w:pPr>
            <w:r w:rsidRPr="00956CE7">
              <w:rPr>
                <w:rFonts w:ascii="Arial" w:eastAsia="Times New Roman" w:hAnsi="Arial" w:cs="Arial"/>
                <w:color w:val="000000"/>
                <w:sz w:val="20"/>
                <w:szCs w:val="20"/>
                <w:lang w:eastAsia="en-GB"/>
              </w:rPr>
              <w:t xml:space="preserve"> - </w:t>
            </w:r>
          </w:p>
        </w:tc>
        <w:tc>
          <w:tcPr>
            <w:tcW w:w="1275" w:type="dxa"/>
            <w:tcBorders>
              <w:top w:val="nil"/>
              <w:left w:val="nil"/>
              <w:bottom w:val="nil"/>
              <w:right w:val="nil"/>
            </w:tcBorders>
            <w:shd w:val="clear" w:color="000000" w:fill="EDFFB7"/>
            <w:noWrap/>
            <w:vAlign w:val="center"/>
            <w:hideMark/>
          </w:tcPr>
          <w:p w14:paraId="701ABA4C" w14:textId="77777777" w:rsidR="0021298F" w:rsidRPr="00956CE7" w:rsidRDefault="0021298F" w:rsidP="00760009">
            <w:pPr>
              <w:jc w:val="right"/>
              <w:rPr>
                <w:rFonts w:ascii="Arial" w:eastAsia="Times New Roman" w:hAnsi="Arial" w:cs="Arial"/>
                <w:color w:val="000000"/>
                <w:sz w:val="20"/>
                <w:szCs w:val="20"/>
                <w:lang w:eastAsia="en-GB"/>
              </w:rPr>
            </w:pPr>
            <w:r w:rsidRPr="00956CE7">
              <w:rPr>
                <w:rFonts w:ascii="Arial" w:eastAsia="Times New Roman" w:hAnsi="Arial" w:cs="Arial"/>
                <w:color w:val="000000"/>
                <w:sz w:val="20"/>
                <w:szCs w:val="20"/>
                <w:lang w:eastAsia="en-GB"/>
              </w:rPr>
              <w:t xml:space="preserve"> - </w:t>
            </w:r>
          </w:p>
        </w:tc>
        <w:tc>
          <w:tcPr>
            <w:tcW w:w="1057" w:type="dxa"/>
            <w:tcBorders>
              <w:top w:val="nil"/>
              <w:left w:val="nil"/>
              <w:bottom w:val="nil"/>
              <w:right w:val="nil"/>
            </w:tcBorders>
            <w:shd w:val="clear" w:color="000000" w:fill="EDFFB7"/>
            <w:noWrap/>
            <w:vAlign w:val="center"/>
            <w:hideMark/>
          </w:tcPr>
          <w:p w14:paraId="4C69ECBF" w14:textId="77777777" w:rsidR="0021298F" w:rsidRPr="00956CE7" w:rsidRDefault="0021298F" w:rsidP="00760009">
            <w:pPr>
              <w:jc w:val="right"/>
              <w:rPr>
                <w:rFonts w:ascii="Arial" w:eastAsia="Times New Roman" w:hAnsi="Arial" w:cs="Arial"/>
                <w:color w:val="000000"/>
                <w:sz w:val="20"/>
                <w:szCs w:val="20"/>
                <w:lang w:eastAsia="en-GB"/>
              </w:rPr>
            </w:pPr>
            <w:r w:rsidRPr="00956CE7">
              <w:rPr>
                <w:rFonts w:ascii="Arial" w:eastAsia="Times New Roman" w:hAnsi="Arial" w:cs="Arial"/>
                <w:color w:val="000000"/>
                <w:sz w:val="20"/>
                <w:szCs w:val="20"/>
                <w:lang w:eastAsia="en-GB"/>
              </w:rPr>
              <w:t xml:space="preserve"> - </w:t>
            </w:r>
          </w:p>
        </w:tc>
        <w:tc>
          <w:tcPr>
            <w:tcW w:w="1361" w:type="dxa"/>
            <w:tcBorders>
              <w:top w:val="nil"/>
              <w:left w:val="nil"/>
              <w:bottom w:val="nil"/>
              <w:right w:val="nil"/>
            </w:tcBorders>
            <w:shd w:val="clear" w:color="000000" w:fill="EDFFB7"/>
            <w:noWrap/>
            <w:vAlign w:val="center"/>
            <w:hideMark/>
          </w:tcPr>
          <w:p w14:paraId="16AC2E09" w14:textId="77777777" w:rsidR="0021298F" w:rsidRPr="00956CE7" w:rsidRDefault="0021298F" w:rsidP="00760009">
            <w:pPr>
              <w:jc w:val="right"/>
              <w:rPr>
                <w:rFonts w:ascii="Arial" w:eastAsia="Times New Roman" w:hAnsi="Arial" w:cs="Arial"/>
                <w:color w:val="000000"/>
                <w:sz w:val="20"/>
                <w:szCs w:val="20"/>
                <w:lang w:eastAsia="en-GB"/>
              </w:rPr>
            </w:pPr>
            <w:r w:rsidRPr="00956CE7">
              <w:rPr>
                <w:rFonts w:ascii="Arial" w:eastAsia="Times New Roman" w:hAnsi="Arial" w:cs="Arial"/>
                <w:color w:val="000000"/>
                <w:sz w:val="20"/>
                <w:szCs w:val="20"/>
                <w:lang w:eastAsia="en-GB"/>
              </w:rPr>
              <w:t xml:space="preserve">-   </w:t>
            </w:r>
          </w:p>
        </w:tc>
      </w:tr>
      <w:tr w:rsidR="0021298F" w:rsidRPr="00956CE7" w14:paraId="163BB447" w14:textId="77777777" w:rsidTr="00760009">
        <w:trPr>
          <w:trHeight w:val="315"/>
        </w:trPr>
        <w:tc>
          <w:tcPr>
            <w:tcW w:w="1606" w:type="dxa"/>
            <w:tcBorders>
              <w:top w:val="single" w:sz="8" w:space="0" w:color="auto"/>
              <w:left w:val="nil"/>
              <w:bottom w:val="single" w:sz="8" w:space="0" w:color="auto"/>
              <w:right w:val="nil"/>
            </w:tcBorders>
            <w:shd w:val="clear" w:color="000000" w:fill="FFFFFF"/>
            <w:noWrap/>
            <w:hideMark/>
          </w:tcPr>
          <w:p w14:paraId="443473E9" w14:textId="77777777" w:rsidR="0021298F" w:rsidRPr="00956CE7" w:rsidRDefault="0021298F" w:rsidP="00760009">
            <w:pPr>
              <w:rPr>
                <w:rFonts w:ascii="Arial" w:eastAsia="Times New Roman" w:hAnsi="Arial" w:cs="Arial"/>
                <w:color w:val="000000"/>
                <w:sz w:val="20"/>
                <w:szCs w:val="20"/>
                <w:lang w:eastAsia="en-GB"/>
              </w:rPr>
            </w:pPr>
            <w:r w:rsidRPr="00956CE7">
              <w:rPr>
                <w:rFonts w:ascii="Arial" w:eastAsia="Times New Roman" w:hAnsi="Arial" w:cs="Arial"/>
                <w:color w:val="000000"/>
                <w:sz w:val="20"/>
                <w:szCs w:val="20"/>
                <w:lang w:eastAsia="en-GB"/>
              </w:rPr>
              <w:t> </w:t>
            </w:r>
          </w:p>
        </w:tc>
        <w:tc>
          <w:tcPr>
            <w:tcW w:w="1036" w:type="dxa"/>
            <w:tcBorders>
              <w:top w:val="single" w:sz="8" w:space="0" w:color="auto"/>
              <w:left w:val="nil"/>
              <w:bottom w:val="single" w:sz="8" w:space="0" w:color="auto"/>
              <w:right w:val="nil"/>
            </w:tcBorders>
            <w:shd w:val="clear" w:color="000000" w:fill="FFFFFF"/>
            <w:noWrap/>
            <w:vAlign w:val="center"/>
            <w:hideMark/>
          </w:tcPr>
          <w:p w14:paraId="2B4F8245" w14:textId="77777777" w:rsidR="0021298F" w:rsidRPr="00956CE7" w:rsidRDefault="0021298F" w:rsidP="00760009">
            <w:pPr>
              <w:jc w:val="right"/>
              <w:rPr>
                <w:rFonts w:ascii="Arial" w:eastAsia="Times New Roman" w:hAnsi="Arial" w:cs="Arial"/>
                <w:b/>
                <w:bCs/>
                <w:color w:val="000000"/>
                <w:sz w:val="20"/>
                <w:szCs w:val="20"/>
                <w:lang w:eastAsia="en-GB"/>
              </w:rPr>
            </w:pPr>
            <w:r w:rsidRPr="00956CE7">
              <w:rPr>
                <w:rFonts w:ascii="Arial" w:eastAsia="Times New Roman" w:hAnsi="Arial" w:cs="Arial"/>
                <w:b/>
                <w:bCs/>
                <w:color w:val="000000"/>
                <w:sz w:val="20"/>
                <w:szCs w:val="20"/>
                <w:lang w:eastAsia="en-GB"/>
              </w:rPr>
              <w:t xml:space="preserve">435,246 </w:t>
            </w:r>
          </w:p>
        </w:tc>
        <w:tc>
          <w:tcPr>
            <w:tcW w:w="1139" w:type="dxa"/>
            <w:tcBorders>
              <w:top w:val="single" w:sz="8" w:space="0" w:color="auto"/>
              <w:left w:val="nil"/>
              <w:bottom w:val="single" w:sz="8" w:space="0" w:color="auto"/>
              <w:right w:val="nil"/>
            </w:tcBorders>
            <w:shd w:val="clear" w:color="000000" w:fill="FFFFFF"/>
            <w:noWrap/>
            <w:vAlign w:val="center"/>
            <w:hideMark/>
          </w:tcPr>
          <w:p w14:paraId="244555A1" w14:textId="77777777" w:rsidR="0021298F" w:rsidRPr="00956CE7" w:rsidRDefault="0021298F" w:rsidP="00760009">
            <w:pPr>
              <w:jc w:val="right"/>
              <w:rPr>
                <w:rFonts w:ascii="Arial" w:eastAsia="Times New Roman" w:hAnsi="Arial" w:cs="Arial"/>
                <w:b/>
                <w:bCs/>
                <w:color w:val="000000"/>
                <w:sz w:val="20"/>
                <w:szCs w:val="20"/>
                <w:lang w:eastAsia="en-GB"/>
              </w:rPr>
            </w:pPr>
            <w:r w:rsidRPr="00956CE7">
              <w:rPr>
                <w:rFonts w:ascii="Arial" w:eastAsia="Times New Roman" w:hAnsi="Arial" w:cs="Arial"/>
                <w:b/>
                <w:bCs/>
                <w:color w:val="000000"/>
                <w:sz w:val="20"/>
                <w:szCs w:val="20"/>
                <w:lang w:eastAsia="en-GB"/>
              </w:rPr>
              <w:t xml:space="preserve">98,578 </w:t>
            </w:r>
          </w:p>
        </w:tc>
        <w:tc>
          <w:tcPr>
            <w:tcW w:w="1250" w:type="dxa"/>
            <w:tcBorders>
              <w:top w:val="single" w:sz="8" w:space="0" w:color="auto"/>
              <w:left w:val="nil"/>
              <w:bottom w:val="single" w:sz="8" w:space="0" w:color="auto"/>
              <w:right w:val="nil"/>
            </w:tcBorders>
            <w:shd w:val="clear" w:color="000000" w:fill="FFFFFF"/>
            <w:noWrap/>
            <w:vAlign w:val="center"/>
            <w:hideMark/>
          </w:tcPr>
          <w:p w14:paraId="12F2BCAF" w14:textId="77777777" w:rsidR="0021298F" w:rsidRPr="00956CE7" w:rsidRDefault="0021298F" w:rsidP="00760009">
            <w:pPr>
              <w:jc w:val="right"/>
              <w:rPr>
                <w:rFonts w:ascii="Arial" w:eastAsia="Times New Roman" w:hAnsi="Arial" w:cs="Arial"/>
                <w:b/>
                <w:bCs/>
                <w:color w:val="000000"/>
                <w:sz w:val="20"/>
                <w:szCs w:val="20"/>
                <w:lang w:eastAsia="en-GB"/>
              </w:rPr>
            </w:pPr>
            <w:r w:rsidRPr="00956CE7">
              <w:rPr>
                <w:rFonts w:ascii="Arial" w:eastAsia="Times New Roman" w:hAnsi="Arial" w:cs="Arial"/>
                <w:b/>
                <w:bCs/>
                <w:color w:val="000000"/>
                <w:sz w:val="20"/>
                <w:szCs w:val="20"/>
                <w:lang w:eastAsia="en-GB"/>
              </w:rPr>
              <w:t xml:space="preserve">1,339 </w:t>
            </w:r>
          </w:p>
        </w:tc>
        <w:tc>
          <w:tcPr>
            <w:tcW w:w="1339" w:type="dxa"/>
            <w:tcBorders>
              <w:top w:val="single" w:sz="8" w:space="0" w:color="auto"/>
              <w:left w:val="nil"/>
              <w:bottom w:val="single" w:sz="8" w:space="0" w:color="auto"/>
              <w:right w:val="nil"/>
            </w:tcBorders>
            <w:shd w:val="clear" w:color="000000" w:fill="FFFFFF"/>
            <w:noWrap/>
            <w:vAlign w:val="center"/>
            <w:hideMark/>
          </w:tcPr>
          <w:p w14:paraId="053D4C16" w14:textId="77777777" w:rsidR="0021298F" w:rsidRPr="00956CE7" w:rsidRDefault="0021298F" w:rsidP="00760009">
            <w:pPr>
              <w:jc w:val="right"/>
              <w:rPr>
                <w:rFonts w:ascii="Arial" w:eastAsia="Times New Roman" w:hAnsi="Arial" w:cs="Arial"/>
                <w:b/>
                <w:bCs/>
                <w:color w:val="000000"/>
                <w:sz w:val="20"/>
                <w:szCs w:val="20"/>
                <w:lang w:eastAsia="en-GB"/>
              </w:rPr>
            </w:pPr>
            <w:r w:rsidRPr="00956CE7">
              <w:rPr>
                <w:rFonts w:ascii="Arial" w:eastAsia="Times New Roman" w:hAnsi="Arial" w:cs="Arial"/>
                <w:b/>
                <w:bCs/>
                <w:color w:val="000000"/>
                <w:sz w:val="20"/>
                <w:szCs w:val="20"/>
                <w:lang w:eastAsia="en-GB"/>
              </w:rPr>
              <w:t xml:space="preserve"> (32,442)</w:t>
            </w:r>
          </w:p>
        </w:tc>
        <w:tc>
          <w:tcPr>
            <w:tcW w:w="1184" w:type="dxa"/>
            <w:tcBorders>
              <w:top w:val="single" w:sz="8" w:space="0" w:color="auto"/>
              <w:left w:val="nil"/>
              <w:bottom w:val="single" w:sz="8" w:space="0" w:color="auto"/>
              <w:right w:val="nil"/>
            </w:tcBorders>
            <w:shd w:val="clear" w:color="000000" w:fill="FFFFFF"/>
            <w:noWrap/>
            <w:vAlign w:val="center"/>
            <w:hideMark/>
          </w:tcPr>
          <w:p w14:paraId="1B9C988C" w14:textId="77777777" w:rsidR="0021298F" w:rsidRPr="00956CE7" w:rsidRDefault="0021298F" w:rsidP="00760009">
            <w:pPr>
              <w:jc w:val="right"/>
              <w:rPr>
                <w:rFonts w:ascii="Arial" w:eastAsia="Times New Roman" w:hAnsi="Arial" w:cs="Arial"/>
                <w:b/>
                <w:bCs/>
                <w:color w:val="000000"/>
                <w:sz w:val="20"/>
                <w:szCs w:val="20"/>
                <w:lang w:eastAsia="en-GB"/>
              </w:rPr>
            </w:pPr>
            <w:r w:rsidRPr="00956CE7">
              <w:rPr>
                <w:rFonts w:ascii="Arial" w:eastAsia="Times New Roman" w:hAnsi="Arial" w:cs="Arial"/>
                <w:b/>
                <w:bCs/>
                <w:color w:val="000000"/>
                <w:sz w:val="20"/>
                <w:szCs w:val="20"/>
                <w:lang w:eastAsia="en-GB"/>
              </w:rPr>
              <w:t xml:space="preserve">    502,721 </w:t>
            </w:r>
          </w:p>
        </w:tc>
        <w:tc>
          <w:tcPr>
            <w:tcW w:w="1275" w:type="dxa"/>
            <w:tcBorders>
              <w:top w:val="single" w:sz="8" w:space="0" w:color="auto"/>
              <w:left w:val="nil"/>
              <w:bottom w:val="single" w:sz="8" w:space="0" w:color="auto"/>
              <w:right w:val="nil"/>
            </w:tcBorders>
            <w:shd w:val="clear" w:color="000000" w:fill="FFFFFF"/>
            <w:noWrap/>
            <w:vAlign w:val="center"/>
            <w:hideMark/>
          </w:tcPr>
          <w:p w14:paraId="6195014F" w14:textId="77777777" w:rsidR="0021298F" w:rsidRPr="00956CE7" w:rsidRDefault="0021298F" w:rsidP="00760009">
            <w:pPr>
              <w:jc w:val="right"/>
              <w:rPr>
                <w:rFonts w:ascii="Arial" w:eastAsia="Times New Roman" w:hAnsi="Arial" w:cs="Arial"/>
                <w:b/>
                <w:bCs/>
                <w:color w:val="000000"/>
                <w:sz w:val="20"/>
                <w:szCs w:val="20"/>
                <w:lang w:eastAsia="en-GB"/>
              </w:rPr>
            </w:pPr>
            <w:r w:rsidRPr="00956CE7">
              <w:rPr>
                <w:rFonts w:ascii="Arial" w:eastAsia="Times New Roman" w:hAnsi="Arial" w:cs="Arial"/>
                <w:b/>
                <w:bCs/>
                <w:color w:val="000000"/>
                <w:sz w:val="20"/>
                <w:szCs w:val="20"/>
                <w:lang w:eastAsia="en-GB"/>
              </w:rPr>
              <w:t xml:space="preserve">2,831 </w:t>
            </w:r>
          </w:p>
        </w:tc>
        <w:tc>
          <w:tcPr>
            <w:tcW w:w="1057" w:type="dxa"/>
            <w:tcBorders>
              <w:top w:val="single" w:sz="8" w:space="0" w:color="auto"/>
              <w:left w:val="nil"/>
              <w:bottom w:val="single" w:sz="8" w:space="0" w:color="auto"/>
              <w:right w:val="nil"/>
            </w:tcBorders>
            <w:shd w:val="clear" w:color="000000" w:fill="FFFFFF"/>
            <w:noWrap/>
            <w:vAlign w:val="center"/>
            <w:hideMark/>
          </w:tcPr>
          <w:p w14:paraId="2C60145C" w14:textId="77777777" w:rsidR="0021298F" w:rsidRPr="00956CE7" w:rsidRDefault="0021298F" w:rsidP="00760009">
            <w:pPr>
              <w:jc w:val="right"/>
              <w:rPr>
                <w:rFonts w:ascii="Arial" w:eastAsia="Times New Roman" w:hAnsi="Arial" w:cs="Arial"/>
                <w:b/>
                <w:bCs/>
                <w:color w:val="000000"/>
                <w:sz w:val="20"/>
                <w:szCs w:val="20"/>
                <w:lang w:eastAsia="en-GB"/>
              </w:rPr>
            </w:pPr>
            <w:r w:rsidRPr="00956CE7">
              <w:rPr>
                <w:rFonts w:ascii="Arial" w:eastAsia="Times New Roman" w:hAnsi="Arial" w:cs="Arial"/>
                <w:b/>
                <w:bCs/>
                <w:color w:val="000000"/>
                <w:sz w:val="20"/>
                <w:szCs w:val="20"/>
                <w:lang w:eastAsia="en-GB"/>
              </w:rPr>
              <w:t xml:space="preserve">505,552 </w:t>
            </w:r>
          </w:p>
        </w:tc>
        <w:tc>
          <w:tcPr>
            <w:tcW w:w="1361" w:type="dxa"/>
            <w:tcBorders>
              <w:top w:val="single" w:sz="8" w:space="0" w:color="auto"/>
              <w:left w:val="nil"/>
              <w:bottom w:val="single" w:sz="8" w:space="0" w:color="auto"/>
              <w:right w:val="nil"/>
            </w:tcBorders>
            <w:shd w:val="clear" w:color="000000" w:fill="FFFFFF"/>
            <w:noWrap/>
            <w:vAlign w:val="center"/>
            <w:hideMark/>
          </w:tcPr>
          <w:p w14:paraId="7CF9CD08" w14:textId="77777777" w:rsidR="0021298F" w:rsidRPr="00956CE7" w:rsidRDefault="0021298F" w:rsidP="00760009">
            <w:pPr>
              <w:jc w:val="right"/>
              <w:rPr>
                <w:rFonts w:ascii="Arial" w:eastAsia="Times New Roman" w:hAnsi="Arial" w:cs="Arial"/>
                <w:b/>
                <w:bCs/>
                <w:color w:val="000000"/>
                <w:sz w:val="20"/>
                <w:szCs w:val="20"/>
                <w:lang w:eastAsia="en-GB"/>
              </w:rPr>
            </w:pPr>
            <w:r w:rsidRPr="00956CE7">
              <w:rPr>
                <w:rFonts w:ascii="Arial" w:eastAsia="Times New Roman" w:hAnsi="Arial" w:cs="Arial"/>
                <w:b/>
                <w:bCs/>
                <w:color w:val="000000"/>
                <w:sz w:val="20"/>
                <w:szCs w:val="20"/>
                <w:lang w:eastAsia="en-GB"/>
              </w:rPr>
              <w:t xml:space="preserve">12,189 </w:t>
            </w:r>
          </w:p>
        </w:tc>
      </w:tr>
    </w:tbl>
    <w:p w14:paraId="0B7FD1C0" w14:textId="77777777" w:rsidR="0021298F" w:rsidRPr="00841DE0" w:rsidRDefault="0021298F" w:rsidP="0021298F">
      <w:pPr>
        <w:jc w:val="both"/>
        <w:rPr>
          <w:rFonts w:ascii="Arial" w:eastAsia="Times New Roman" w:hAnsi="Arial" w:cs="Arial"/>
          <w:sz w:val="18"/>
          <w:szCs w:val="18"/>
          <w:lang w:eastAsia="en-GB"/>
        </w:rPr>
      </w:pPr>
      <w:r w:rsidRPr="00841DE0">
        <w:rPr>
          <w:rFonts w:ascii="Arial" w:eastAsia="Times New Roman" w:hAnsi="Arial" w:cs="Arial"/>
          <w:sz w:val="18"/>
          <w:szCs w:val="18"/>
          <w:vertAlign w:val="superscript"/>
          <w:lang w:eastAsia="en-GB"/>
        </w:rPr>
        <w:t xml:space="preserve">(1) </w:t>
      </w:r>
      <w:r w:rsidRPr="00841DE0">
        <w:rPr>
          <w:rFonts w:ascii="Arial" w:eastAsia="Times New Roman" w:hAnsi="Arial" w:cs="Arial"/>
          <w:sz w:val="18"/>
          <w:szCs w:val="18"/>
          <w:lang w:eastAsia="en-GB"/>
        </w:rPr>
        <w:t>Excludes accrued interest at 31 December 2019 of €90,210.</w:t>
      </w:r>
    </w:p>
    <w:p w14:paraId="419E70F1" w14:textId="77777777" w:rsidR="0021298F" w:rsidRDefault="0021298F" w:rsidP="0021298F">
      <w:pPr>
        <w:jc w:val="both"/>
        <w:rPr>
          <w:rFonts w:ascii="Arial" w:eastAsia="Times New Roman" w:hAnsi="Arial" w:cs="Arial"/>
          <w:lang w:eastAsia="en-GB"/>
        </w:rPr>
      </w:pPr>
    </w:p>
    <w:p w14:paraId="765F9E3F" w14:textId="77777777" w:rsidR="0021298F" w:rsidRPr="00D50D99" w:rsidRDefault="0021298F" w:rsidP="0021298F">
      <w:pPr>
        <w:pStyle w:val="Heading2"/>
        <w:keepNext w:val="0"/>
        <w:keepLines w:val="0"/>
        <w:spacing w:before="0" w:line="240" w:lineRule="auto"/>
        <w:jc w:val="both"/>
        <w:rPr>
          <w:rFonts w:ascii="Arial" w:hAnsi="Arial" w:cs="Arial"/>
          <w:color w:val="auto"/>
          <w:sz w:val="24"/>
          <w:szCs w:val="24"/>
          <w:lang w:eastAsia="en-GB"/>
        </w:rPr>
      </w:pPr>
      <w:r>
        <w:rPr>
          <w:rFonts w:ascii="Arial" w:hAnsi="Arial" w:cs="Arial"/>
          <w:color w:val="auto"/>
          <w:sz w:val="24"/>
          <w:szCs w:val="24"/>
          <w:lang w:eastAsia="en-GB"/>
        </w:rPr>
        <w:t xml:space="preserve">20. </w:t>
      </w:r>
      <w:r w:rsidRPr="00D50D99">
        <w:rPr>
          <w:rFonts w:ascii="Arial" w:hAnsi="Arial" w:cs="Arial"/>
          <w:color w:val="auto"/>
          <w:sz w:val="24"/>
          <w:szCs w:val="24"/>
          <w:lang w:eastAsia="en-GB"/>
        </w:rPr>
        <w:t>Ultimate controlling party</w:t>
      </w:r>
    </w:p>
    <w:p w14:paraId="4D46C8C7" w14:textId="77777777" w:rsidR="0021298F" w:rsidRPr="00DD4809" w:rsidRDefault="0021298F" w:rsidP="0021298F">
      <w:pPr>
        <w:jc w:val="both"/>
        <w:rPr>
          <w:rFonts w:ascii="Arial" w:hAnsi="Arial" w:cs="Arial"/>
        </w:rPr>
      </w:pPr>
    </w:p>
    <w:p w14:paraId="2F9157BB" w14:textId="77777777" w:rsidR="0021298F" w:rsidRDefault="0021298F" w:rsidP="0021298F">
      <w:pPr>
        <w:jc w:val="both"/>
        <w:rPr>
          <w:rFonts w:ascii="Arial" w:hAnsi="Arial" w:cs="Arial"/>
        </w:rPr>
      </w:pPr>
      <w:r>
        <w:rPr>
          <w:rFonts w:ascii="Arial" w:hAnsi="Arial" w:cs="Arial"/>
        </w:rPr>
        <w:t>In the opinion of the Directors, on the basis of the shareholdings advised to them, the Company has no ultimate controlling party.</w:t>
      </w:r>
    </w:p>
    <w:p w14:paraId="75DF67D0" w14:textId="77777777" w:rsidR="0021298F" w:rsidRPr="00DD4809" w:rsidRDefault="0021298F" w:rsidP="0021298F">
      <w:pPr>
        <w:jc w:val="both"/>
        <w:rPr>
          <w:rFonts w:ascii="Arial" w:hAnsi="Arial" w:cs="Arial"/>
        </w:rPr>
      </w:pPr>
    </w:p>
    <w:p w14:paraId="169E9053" w14:textId="77777777" w:rsidR="0021298F" w:rsidRPr="00D50D99" w:rsidRDefault="0021298F" w:rsidP="0021298F">
      <w:pPr>
        <w:pStyle w:val="Heading2"/>
        <w:keepNext w:val="0"/>
        <w:keepLines w:val="0"/>
        <w:spacing w:before="0" w:line="240" w:lineRule="auto"/>
        <w:jc w:val="both"/>
        <w:rPr>
          <w:rFonts w:ascii="Arial" w:hAnsi="Arial" w:cs="Arial"/>
          <w:color w:val="auto"/>
          <w:sz w:val="24"/>
          <w:szCs w:val="24"/>
          <w:lang w:eastAsia="en-GB"/>
        </w:rPr>
      </w:pPr>
      <w:r>
        <w:rPr>
          <w:rFonts w:ascii="Arial" w:hAnsi="Arial" w:cs="Arial"/>
          <w:color w:val="auto"/>
          <w:sz w:val="24"/>
          <w:szCs w:val="24"/>
          <w:lang w:eastAsia="en-GB"/>
        </w:rPr>
        <w:t>21. S</w:t>
      </w:r>
      <w:r w:rsidRPr="00D50D99">
        <w:rPr>
          <w:rFonts w:ascii="Arial" w:hAnsi="Arial" w:cs="Arial"/>
          <w:color w:val="auto"/>
          <w:sz w:val="24"/>
          <w:szCs w:val="24"/>
          <w:lang w:eastAsia="en-GB"/>
        </w:rPr>
        <w:t>ubsequent events</w:t>
      </w:r>
    </w:p>
    <w:p w14:paraId="5C137A12" w14:textId="77777777" w:rsidR="0021298F" w:rsidRDefault="0021298F" w:rsidP="0021298F">
      <w:pPr>
        <w:jc w:val="both"/>
        <w:rPr>
          <w:rFonts w:ascii="Arial" w:hAnsi="Arial" w:cs="Arial"/>
        </w:rPr>
      </w:pPr>
    </w:p>
    <w:p w14:paraId="723EEE09" w14:textId="77777777" w:rsidR="0021298F" w:rsidRDefault="0021298F" w:rsidP="0021298F">
      <w:pPr>
        <w:jc w:val="both"/>
        <w:rPr>
          <w:rFonts w:ascii="Arial" w:hAnsi="Arial" w:cs="Arial"/>
        </w:rPr>
      </w:pPr>
      <w:r w:rsidRPr="00B73F05">
        <w:rPr>
          <w:rFonts w:ascii="Arial" w:hAnsi="Arial" w:cs="Arial"/>
        </w:rPr>
        <w:t xml:space="preserve">On 8 January 2021, the Group </w:t>
      </w:r>
      <w:r>
        <w:rPr>
          <w:rFonts w:ascii="Arial" w:hAnsi="Arial" w:cs="Arial"/>
        </w:rPr>
        <w:t>made a further €6.7 million investment into Killala following the successful construction and commissioning of turbine 6.</w:t>
      </w:r>
    </w:p>
    <w:p w14:paraId="733EC5E1" w14:textId="77777777" w:rsidR="0021298F" w:rsidRDefault="0021298F" w:rsidP="0021298F">
      <w:pPr>
        <w:jc w:val="both"/>
        <w:rPr>
          <w:rFonts w:ascii="Arial" w:hAnsi="Arial" w:cs="Arial"/>
        </w:rPr>
      </w:pPr>
    </w:p>
    <w:p w14:paraId="4A3A3742" w14:textId="77777777" w:rsidR="0021298F" w:rsidRPr="00B73F05" w:rsidRDefault="0021298F" w:rsidP="0021298F">
      <w:pPr>
        <w:jc w:val="both"/>
        <w:rPr>
          <w:rFonts w:ascii="Arial" w:eastAsia="Times New Roman" w:hAnsi="Arial" w:cs="Arial"/>
        </w:rPr>
      </w:pPr>
      <w:r w:rsidRPr="00B73F05">
        <w:rPr>
          <w:rFonts w:ascii="Arial" w:hAnsi="Arial" w:cs="Arial"/>
        </w:rPr>
        <w:t xml:space="preserve">On </w:t>
      </w:r>
      <w:r>
        <w:rPr>
          <w:rFonts w:ascii="Arial" w:hAnsi="Arial" w:cs="Arial"/>
        </w:rPr>
        <w:t>28</w:t>
      </w:r>
      <w:r w:rsidRPr="00B73F05">
        <w:rPr>
          <w:rFonts w:ascii="Arial" w:hAnsi="Arial" w:cs="Arial"/>
        </w:rPr>
        <w:t xml:space="preserve"> January 202</w:t>
      </w:r>
      <w:r>
        <w:rPr>
          <w:rFonts w:ascii="Arial" w:hAnsi="Arial" w:cs="Arial"/>
        </w:rPr>
        <w:t>1</w:t>
      </w:r>
      <w:r w:rsidRPr="00B73F05">
        <w:rPr>
          <w:rFonts w:ascii="Arial" w:hAnsi="Arial" w:cs="Arial"/>
        </w:rPr>
        <w:t>, the Company announced a dividend of €</w:t>
      </w:r>
      <w:r>
        <w:rPr>
          <w:rFonts w:ascii="Arial" w:hAnsi="Arial" w:cs="Arial"/>
        </w:rPr>
        <w:t>11</w:t>
      </w:r>
      <w:r w:rsidRPr="00B73F05">
        <w:rPr>
          <w:rFonts w:ascii="Arial" w:hAnsi="Arial" w:cs="Arial"/>
        </w:rPr>
        <w:t>.</w:t>
      </w:r>
      <w:r>
        <w:rPr>
          <w:rFonts w:ascii="Arial" w:hAnsi="Arial" w:cs="Arial"/>
        </w:rPr>
        <w:t>2</w:t>
      </w:r>
      <w:r w:rsidRPr="00B73F05">
        <w:rPr>
          <w:rFonts w:ascii="Arial" w:hAnsi="Arial" w:cs="Arial"/>
        </w:rPr>
        <w:t xml:space="preserve"> million, equivalent to 1.5</w:t>
      </w:r>
      <w:r>
        <w:rPr>
          <w:rFonts w:ascii="Arial" w:hAnsi="Arial" w:cs="Arial"/>
        </w:rPr>
        <w:t>1</w:t>
      </w:r>
      <w:r w:rsidRPr="00B73F05">
        <w:rPr>
          <w:rFonts w:ascii="Arial" w:hAnsi="Arial" w:cs="Arial"/>
        </w:rPr>
        <w:t>5 cent per share with respect to the quarter ended 31 December 2020, bringing total dividend declared with respect to the year to 31 December 2020 to 6.0</w:t>
      </w:r>
      <w:r>
        <w:rPr>
          <w:rFonts w:ascii="Arial" w:hAnsi="Arial" w:cs="Arial"/>
        </w:rPr>
        <w:t>6</w:t>
      </w:r>
      <w:r w:rsidRPr="00B73F05">
        <w:rPr>
          <w:rFonts w:ascii="Arial" w:hAnsi="Arial" w:cs="Arial"/>
        </w:rPr>
        <w:t xml:space="preserve"> cent per share. </w:t>
      </w:r>
      <w:r w:rsidRPr="00B73F05">
        <w:rPr>
          <w:rFonts w:ascii="Arial" w:eastAsia="Times New Roman" w:hAnsi="Arial" w:cs="Arial"/>
        </w:rPr>
        <w:t xml:space="preserve">The record date for the dividend was </w:t>
      </w:r>
      <w:r>
        <w:rPr>
          <w:rFonts w:ascii="Arial" w:eastAsia="Times New Roman" w:hAnsi="Arial" w:cs="Arial"/>
        </w:rPr>
        <w:t>5</w:t>
      </w:r>
      <w:r w:rsidRPr="00B73F05">
        <w:rPr>
          <w:rFonts w:ascii="Arial" w:eastAsia="Times New Roman" w:hAnsi="Arial" w:cs="Arial"/>
        </w:rPr>
        <w:t xml:space="preserve"> February 202</w:t>
      </w:r>
      <w:r>
        <w:rPr>
          <w:rFonts w:ascii="Arial" w:eastAsia="Times New Roman" w:hAnsi="Arial" w:cs="Arial"/>
        </w:rPr>
        <w:t>1</w:t>
      </w:r>
      <w:r w:rsidRPr="00B73F05">
        <w:rPr>
          <w:rFonts w:ascii="Arial" w:eastAsia="Times New Roman" w:hAnsi="Arial" w:cs="Arial"/>
        </w:rPr>
        <w:t xml:space="preserve"> and the payment date was </w:t>
      </w:r>
      <w:r>
        <w:rPr>
          <w:rFonts w:ascii="Arial" w:eastAsia="Times New Roman" w:hAnsi="Arial" w:cs="Arial"/>
        </w:rPr>
        <w:t>26</w:t>
      </w:r>
      <w:r w:rsidRPr="00B73F05">
        <w:rPr>
          <w:rFonts w:ascii="Arial" w:eastAsia="Times New Roman" w:hAnsi="Arial" w:cs="Arial"/>
        </w:rPr>
        <w:t xml:space="preserve"> February 202</w:t>
      </w:r>
      <w:r>
        <w:rPr>
          <w:rFonts w:ascii="Arial" w:eastAsia="Times New Roman" w:hAnsi="Arial" w:cs="Arial"/>
        </w:rPr>
        <w:t>1</w:t>
      </w:r>
      <w:r w:rsidRPr="00B73F05">
        <w:rPr>
          <w:rFonts w:ascii="Arial" w:eastAsia="Times New Roman" w:hAnsi="Arial" w:cs="Arial"/>
        </w:rPr>
        <w:t>.</w:t>
      </w:r>
    </w:p>
    <w:p w14:paraId="3666B5D2" w14:textId="77777777" w:rsidR="0021298F" w:rsidRDefault="0021298F" w:rsidP="0021298F">
      <w:pPr>
        <w:jc w:val="both"/>
        <w:rPr>
          <w:rFonts w:ascii="Arial" w:hAnsi="Arial" w:cs="Arial"/>
        </w:rPr>
      </w:pPr>
    </w:p>
    <w:p w14:paraId="1D5A00C6" w14:textId="77777777" w:rsidR="0021298F" w:rsidRPr="00B73F05" w:rsidRDefault="0021298F" w:rsidP="0021298F">
      <w:pPr>
        <w:jc w:val="both"/>
        <w:rPr>
          <w:rFonts w:ascii="Arial" w:eastAsia="Times New Roman" w:hAnsi="Arial" w:cs="Arial"/>
        </w:rPr>
      </w:pPr>
      <w:r w:rsidRPr="00B73F05">
        <w:rPr>
          <w:rFonts w:ascii="Arial" w:hAnsi="Arial" w:cs="Arial"/>
        </w:rPr>
        <w:t xml:space="preserve">On </w:t>
      </w:r>
      <w:r>
        <w:rPr>
          <w:rFonts w:ascii="Arial" w:hAnsi="Arial" w:cs="Arial"/>
        </w:rPr>
        <w:t>28</w:t>
      </w:r>
      <w:r w:rsidRPr="00B73F05">
        <w:rPr>
          <w:rFonts w:ascii="Arial" w:hAnsi="Arial" w:cs="Arial"/>
        </w:rPr>
        <w:t xml:space="preserve"> January 202</w:t>
      </w:r>
      <w:r>
        <w:rPr>
          <w:rFonts w:ascii="Arial" w:hAnsi="Arial" w:cs="Arial"/>
        </w:rPr>
        <w:t>1</w:t>
      </w:r>
      <w:r w:rsidRPr="00B73F05">
        <w:rPr>
          <w:rFonts w:ascii="Arial" w:hAnsi="Arial" w:cs="Arial"/>
        </w:rPr>
        <w:t xml:space="preserve">, the Company </w:t>
      </w:r>
      <w:r>
        <w:rPr>
          <w:rFonts w:ascii="Arial" w:hAnsi="Arial" w:cs="Arial"/>
        </w:rPr>
        <w:t xml:space="preserve">held an EGM to seek approval by shareholder resolution to replace CREST with a system operated by Euroclear </w:t>
      </w:r>
      <w:r w:rsidRPr="00E00DF6">
        <w:rPr>
          <w:rFonts w:ascii="Arial" w:hAnsi="Arial" w:cs="Arial"/>
        </w:rPr>
        <w:t>Bank SA/NV for the electronic settlement of trading in the Company's ordinary shares</w:t>
      </w:r>
      <w:r>
        <w:rPr>
          <w:rFonts w:ascii="Arial" w:hAnsi="Arial" w:cs="Arial"/>
        </w:rPr>
        <w:t xml:space="preserve">. The resolutions passed by 100 per cent of the vote.  </w:t>
      </w:r>
    </w:p>
    <w:p w14:paraId="20DC6A59" w14:textId="77777777" w:rsidR="0021298F" w:rsidRDefault="0021298F" w:rsidP="0021298F">
      <w:pPr>
        <w:jc w:val="both"/>
        <w:rPr>
          <w:rFonts w:ascii="Arial" w:hAnsi="Arial" w:cs="Arial"/>
        </w:rPr>
      </w:pPr>
    </w:p>
    <w:p w14:paraId="42E89792" w14:textId="77777777" w:rsidR="0021298F" w:rsidRPr="00B73F05" w:rsidRDefault="0021298F" w:rsidP="0021298F">
      <w:pPr>
        <w:jc w:val="both"/>
        <w:rPr>
          <w:rFonts w:ascii="Arial" w:hAnsi="Arial" w:cs="Arial"/>
        </w:rPr>
      </w:pPr>
      <w:r>
        <w:rPr>
          <w:rFonts w:ascii="Arial" w:hAnsi="Arial" w:cs="Arial"/>
        </w:rPr>
        <w:t>On 15 February 2021, the Company announced its agreement to acquire the Kokkoneva wind farm in Finland. The transaction is expected to complete in Q2 2022 after the wind farm has become fully operational.</w:t>
      </w:r>
    </w:p>
    <w:p w14:paraId="700BA190" w14:textId="77777777" w:rsidR="0021298F" w:rsidRDefault="0021298F" w:rsidP="0021298F">
      <w:pPr>
        <w:jc w:val="both"/>
        <w:rPr>
          <w:rFonts w:ascii="Arial" w:hAnsi="Arial" w:cs="Arial"/>
        </w:rPr>
      </w:pPr>
    </w:p>
    <w:p w14:paraId="0942163D" w14:textId="77777777" w:rsidR="0021298F" w:rsidRPr="00B73F05" w:rsidRDefault="0021298F" w:rsidP="0021298F">
      <w:pPr>
        <w:jc w:val="both"/>
        <w:rPr>
          <w:rFonts w:ascii="Arial" w:hAnsi="Arial" w:cs="Arial"/>
        </w:rPr>
      </w:pPr>
      <w:r>
        <w:rPr>
          <w:rFonts w:ascii="Arial" w:hAnsi="Arial" w:cs="Arial"/>
        </w:rPr>
        <w:t>On 26 February 2021, the Company announced its agreement to acquire the Cordal wind farm in Ireland. The transaction is expected to complete in April 2021.</w:t>
      </w:r>
    </w:p>
    <w:p w14:paraId="475BDEA1" w14:textId="77777777" w:rsidR="0021298F" w:rsidRDefault="0021298F" w:rsidP="0021298F">
      <w:pPr>
        <w:jc w:val="both"/>
        <w:rPr>
          <w:rFonts w:ascii="Arial" w:hAnsi="Arial" w:cs="Arial"/>
        </w:rPr>
      </w:pPr>
    </w:p>
    <w:p w14:paraId="2A78905F" w14:textId="77777777" w:rsidR="0021298F" w:rsidRPr="00B73F05" w:rsidRDefault="0021298F" w:rsidP="0021298F">
      <w:pPr>
        <w:pStyle w:val="Heading1"/>
        <w:tabs>
          <w:tab w:val="left" w:pos="360"/>
        </w:tabs>
        <w:jc w:val="both"/>
        <w:rPr>
          <w:rFonts w:eastAsia="Times New Roman" w:cs="Arial"/>
          <w:caps/>
          <w:szCs w:val="26"/>
        </w:rPr>
      </w:pPr>
      <w:r w:rsidRPr="00B73F05">
        <w:rPr>
          <w:rFonts w:eastAsia="Times New Roman" w:cs="Arial"/>
          <w:szCs w:val="26"/>
        </w:rPr>
        <w:t>Company Information</w:t>
      </w:r>
    </w:p>
    <w:tbl>
      <w:tblPr>
        <w:tblStyle w:val="TableGrid"/>
        <w:tblW w:w="5473" w:type="pct"/>
        <w:tblLook w:val="04A0" w:firstRow="1" w:lastRow="0" w:firstColumn="1" w:lastColumn="0" w:noHBand="0" w:noVBand="1"/>
      </w:tblPr>
      <w:tblGrid>
        <w:gridCol w:w="5367"/>
        <w:gridCol w:w="4513"/>
      </w:tblGrid>
      <w:tr w:rsidR="0021298F" w:rsidRPr="00A34A62" w14:paraId="65FDCDAE" w14:textId="77777777" w:rsidTr="0076000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16" w:type="pct"/>
          </w:tcPr>
          <w:p w14:paraId="6E4743BB" w14:textId="77777777" w:rsidR="0021298F" w:rsidRPr="00B73F05" w:rsidRDefault="0021298F" w:rsidP="00760009">
            <w:pPr>
              <w:jc w:val="both"/>
              <w:rPr>
                <w:rFonts w:ascii="Arial" w:hAnsi="Arial" w:cs="Arial"/>
                <w:b/>
                <w:szCs w:val="22"/>
              </w:rPr>
            </w:pPr>
          </w:p>
          <w:p w14:paraId="3EFE581E" w14:textId="77777777" w:rsidR="0021298F" w:rsidRPr="00B73F05" w:rsidRDefault="0021298F" w:rsidP="00760009">
            <w:pPr>
              <w:jc w:val="both"/>
              <w:rPr>
                <w:rFonts w:ascii="Arial" w:hAnsi="Arial" w:cs="Arial"/>
                <w:b/>
              </w:rPr>
            </w:pPr>
            <w:r w:rsidRPr="00B73F05">
              <w:rPr>
                <w:rFonts w:ascii="Arial" w:hAnsi="Arial" w:cs="Arial"/>
                <w:b/>
              </w:rPr>
              <w:lastRenderedPageBreak/>
              <w:t>Directors (all non-executive)</w:t>
            </w:r>
          </w:p>
        </w:tc>
        <w:tc>
          <w:tcPr>
            <w:tcW w:w="2284" w:type="pct"/>
          </w:tcPr>
          <w:p w14:paraId="3E87420D" w14:textId="77777777" w:rsidR="0021298F" w:rsidRPr="00B73F05" w:rsidRDefault="0021298F" w:rsidP="00760009">
            <w:pPr>
              <w:jc w:val="both"/>
              <w:cnfStyle w:val="100000000000" w:firstRow="1" w:lastRow="0" w:firstColumn="0" w:lastColumn="0" w:oddVBand="0" w:evenVBand="0" w:oddHBand="0" w:evenHBand="0" w:firstRowFirstColumn="0" w:firstRowLastColumn="0" w:lastRowFirstColumn="0" w:lastRowLastColumn="0"/>
              <w:rPr>
                <w:rFonts w:ascii="Arial" w:hAnsi="Arial" w:cs="Arial"/>
                <w:b/>
              </w:rPr>
            </w:pPr>
            <w:r w:rsidRPr="00B73F05">
              <w:rPr>
                <w:rFonts w:ascii="Arial" w:hAnsi="Arial" w:cs="Arial"/>
                <w:b/>
              </w:rPr>
              <w:lastRenderedPageBreak/>
              <w:t>Registered Company Number</w:t>
            </w:r>
          </w:p>
        </w:tc>
      </w:tr>
      <w:tr w:rsidR="0021298F" w:rsidRPr="00A34A62" w14:paraId="39445FAD" w14:textId="77777777" w:rsidTr="00760009">
        <w:tc>
          <w:tcPr>
            <w:cnfStyle w:val="001000000000" w:firstRow="0" w:lastRow="0" w:firstColumn="1" w:lastColumn="0" w:oddVBand="0" w:evenVBand="0" w:oddHBand="0" w:evenHBand="0" w:firstRowFirstColumn="0" w:firstRowLastColumn="0" w:lastRowFirstColumn="0" w:lastRowLastColumn="0"/>
            <w:tcW w:w="2716" w:type="pct"/>
          </w:tcPr>
          <w:p w14:paraId="54C867B3" w14:textId="77777777" w:rsidR="0021298F" w:rsidRPr="00B73F05" w:rsidRDefault="0021298F" w:rsidP="00760009">
            <w:pPr>
              <w:jc w:val="both"/>
              <w:rPr>
                <w:rFonts w:ascii="Arial" w:hAnsi="Arial" w:cs="Arial"/>
                <w:b/>
              </w:rPr>
            </w:pPr>
            <w:r w:rsidRPr="00B73F05">
              <w:rPr>
                <w:rFonts w:ascii="Arial" w:hAnsi="Arial" w:cs="Arial"/>
              </w:rPr>
              <w:t>Rónán Murphy</w:t>
            </w:r>
            <w:r>
              <w:rPr>
                <w:rFonts w:ascii="Arial" w:hAnsi="Arial" w:cs="Arial"/>
              </w:rPr>
              <w:t xml:space="preserve"> (Chairman)</w:t>
            </w:r>
          </w:p>
        </w:tc>
        <w:tc>
          <w:tcPr>
            <w:tcW w:w="2284" w:type="pct"/>
          </w:tcPr>
          <w:p w14:paraId="273F0F8D" w14:textId="77777777" w:rsidR="0021298F" w:rsidRPr="00B73F05" w:rsidRDefault="0021298F" w:rsidP="00760009">
            <w:pPr>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B73F05">
              <w:rPr>
                <w:rFonts w:ascii="Arial" w:hAnsi="Arial" w:cs="Arial"/>
              </w:rPr>
              <w:t>598470</w:t>
            </w:r>
          </w:p>
        </w:tc>
      </w:tr>
      <w:tr w:rsidR="0021298F" w:rsidRPr="00A34A62" w14:paraId="6873BAFB" w14:textId="77777777" w:rsidTr="00760009">
        <w:tc>
          <w:tcPr>
            <w:cnfStyle w:val="001000000000" w:firstRow="0" w:lastRow="0" w:firstColumn="1" w:lastColumn="0" w:oddVBand="0" w:evenVBand="0" w:oddHBand="0" w:evenHBand="0" w:firstRowFirstColumn="0" w:firstRowLastColumn="0" w:lastRowFirstColumn="0" w:lastRowLastColumn="0"/>
            <w:tcW w:w="2716" w:type="pct"/>
          </w:tcPr>
          <w:p w14:paraId="0F174651" w14:textId="77777777" w:rsidR="0021298F" w:rsidRPr="00B73F05" w:rsidRDefault="0021298F" w:rsidP="00760009">
            <w:pPr>
              <w:jc w:val="both"/>
              <w:rPr>
                <w:rFonts w:ascii="Arial" w:hAnsi="Arial" w:cs="Arial"/>
                <w:b/>
              </w:rPr>
            </w:pPr>
            <w:r w:rsidRPr="00B73F05">
              <w:rPr>
                <w:rFonts w:ascii="Arial" w:hAnsi="Arial" w:cs="Arial"/>
              </w:rPr>
              <w:t xml:space="preserve">Emer Gilvarry </w:t>
            </w:r>
          </w:p>
        </w:tc>
        <w:tc>
          <w:tcPr>
            <w:tcW w:w="2284" w:type="pct"/>
          </w:tcPr>
          <w:p w14:paraId="0AF15C6F" w14:textId="77777777" w:rsidR="0021298F" w:rsidRPr="00B73F05" w:rsidRDefault="0021298F" w:rsidP="00760009">
            <w:pPr>
              <w:jc w:val="both"/>
              <w:cnfStyle w:val="000000000000" w:firstRow="0" w:lastRow="0" w:firstColumn="0" w:lastColumn="0" w:oddVBand="0" w:evenVBand="0" w:oddHBand="0" w:evenHBand="0" w:firstRowFirstColumn="0" w:firstRowLastColumn="0" w:lastRowFirstColumn="0" w:lastRowLastColumn="0"/>
              <w:rPr>
                <w:rFonts w:ascii="Arial" w:hAnsi="Arial" w:cs="Arial"/>
                <w:b/>
              </w:rPr>
            </w:pPr>
          </w:p>
        </w:tc>
      </w:tr>
      <w:tr w:rsidR="0021298F" w:rsidRPr="00A34A62" w14:paraId="7BAEAA26" w14:textId="77777777" w:rsidTr="00760009">
        <w:tc>
          <w:tcPr>
            <w:cnfStyle w:val="001000000000" w:firstRow="0" w:lastRow="0" w:firstColumn="1" w:lastColumn="0" w:oddVBand="0" w:evenVBand="0" w:oddHBand="0" w:evenHBand="0" w:firstRowFirstColumn="0" w:firstRowLastColumn="0" w:lastRowFirstColumn="0" w:lastRowLastColumn="0"/>
            <w:tcW w:w="2716" w:type="pct"/>
          </w:tcPr>
          <w:p w14:paraId="3AD912EA" w14:textId="77777777" w:rsidR="0021298F" w:rsidRPr="00B73F05" w:rsidRDefault="0021298F" w:rsidP="00760009">
            <w:pPr>
              <w:jc w:val="both"/>
              <w:rPr>
                <w:rFonts w:ascii="Arial" w:hAnsi="Arial" w:cs="Arial"/>
              </w:rPr>
            </w:pPr>
            <w:r w:rsidRPr="00B73F05">
              <w:rPr>
                <w:rFonts w:ascii="Arial" w:hAnsi="Arial" w:cs="Arial"/>
              </w:rPr>
              <w:t>Kevin McNamara</w:t>
            </w:r>
          </w:p>
        </w:tc>
        <w:tc>
          <w:tcPr>
            <w:tcW w:w="2284" w:type="pct"/>
          </w:tcPr>
          <w:p w14:paraId="34B76BC8" w14:textId="77777777" w:rsidR="0021298F" w:rsidRPr="00B73F05" w:rsidRDefault="0021298F" w:rsidP="00760009">
            <w:pPr>
              <w:jc w:val="both"/>
              <w:cnfStyle w:val="000000000000" w:firstRow="0" w:lastRow="0" w:firstColumn="0" w:lastColumn="0" w:oddVBand="0" w:evenVBand="0" w:oddHBand="0" w:evenHBand="0" w:firstRowFirstColumn="0" w:firstRowLastColumn="0" w:lastRowFirstColumn="0" w:lastRowLastColumn="0"/>
              <w:rPr>
                <w:rFonts w:ascii="Arial" w:hAnsi="Arial" w:cs="Arial"/>
                <w:b/>
              </w:rPr>
            </w:pPr>
          </w:p>
        </w:tc>
      </w:tr>
      <w:tr w:rsidR="0021298F" w:rsidRPr="00A34A62" w14:paraId="37B83749" w14:textId="77777777" w:rsidTr="00760009">
        <w:tc>
          <w:tcPr>
            <w:cnfStyle w:val="001000000000" w:firstRow="0" w:lastRow="0" w:firstColumn="1" w:lastColumn="0" w:oddVBand="0" w:evenVBand="0" w:oddHBand="0" w:evenHBand="0" w:firstRowFirstColumn="0" w:firstRowLastColumn="0" w:lastRowFirstColumn="0" w:lastRowLastColumn="0"/>
            <w:tcW w:w="2716" w:type="pct"/>
          </w:tcPr>
          <w:p w14:paraId="76C2737B" w14:textId="77777777" w:rsidR="0021298F" w:rsidRPr="00B73F05" w:rsidRDefault="0021298F" w:rsidP="00760009">
            <w:pPr>
              <w:jc w:val="both"/>
              <w:rPr>
                <w:rFonts w:ascii="Arial" w:hAnsi="Arial" w:cs="Arial"/>
              </w:rPr>
            </w:pPr>
            <w:r w:rsidRPr="00B73F05">
              <w:rPr>
                <w:rFonts w:ascii="Arial" w:hAnsi="Arial" w:cs="Arial"/>
              </w:rPr>
              <w:t>Marco Graziano</w:t>
            </w:r>
            <w:r w:rsidRPr="00B73F05">
              <w:rPr>
                <w:rFonts w:ascii="Arial" w:eastAsia="Times New Roman" w:hAnsi="Arial" w:cs="Arial"/>
                <w:color w:val="000000"/>
                <w:vertAlign w:val="superscript"/>
                <w:lang w:eastAsia="en-GB"/>
              </w:rPr>
              <w:t xml:space="preserve"> </w:t>
            </w:r>
            <w:r w:rsidRPr="00B73F05">
              <w:rPr>
                <w:rFonts w:ascii="Arial" w:eastAsia="Times New Roman" w:hAnsi="Arial" w:cs="Arial"/>
                <w:color w:val="000000"/>
                <w:lang w:eastAsia="en-GB"/>
              </w:rPr>
              <w:t>(appointed 30 January 2020)</w:t>
            </w:r>
          </w:p>
        </w:tc>
        <w:tc>
          <w:tcPr>
            <w:tcW w:w="2284" w:type="pct"/>
          </w:tcPr>
          <w:p w14:paraId="1CD5234E" w14:textId="77777777" w:rsidR="0021298F" w:rsidRPr="00B73F05" w:rsidRDefault="0021298F" w:rsidP="00760009">
            <w:pPr>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B73F05">
              <w:rPr>
                <w:rFonts w:ascii="Arial" w:hAnsi="Arial" w:cs="Arial"/>
                <w:b/>
              </w:rPr>
              <w:t>Registered Office</w:t>
            </w:r>
          </w:p>
        </w:tc>
      </w:tr>
      <w:tr w:rsidR="0021298F" w:rsidRPr="00A34A62" w14:paraId="006F4EB8" w14:textId="77777777" w:rsidTr="00760009">
        <w:tc>
          <w:tcPr>
            <w:cnfStyle w:val="001000000000" w:firstRow="0" w:lastRow="0" w:firstColumn="1" w:lastColumn="0" w:oddVBand="0" w:evenVBand="0" w:oddHBand="0" w:evenHBand="0" w:firstRowFirstColumn="0" w:firstRowLastColumn="0" w:lastRowFirstColumn="0" w:lastRowLastColumn="0"/>
            <w:tcW w:w="2716" w:type="pct"/>
          </w:tcPr>
          <w:p w14:paraId="312DBE17" w14:textId="77777777" w:rsidR="0021298F" w:rsidRPr="00B73F05" w:rsidRDefault="0021298F" w:rsidP="00760009">
            <w:pPr>
              <w:jc w:val="both"/>
              <w:rPr>
                <w:rFonts w:ascii="Arial" w:hAnsi="Arial" w:cs="Arial"/>
              </w:rPr>
            </w:pPr>
          </w:p>
        </w:tc>
        <w:tc>
          <w:tcPr>
            <w:tcW w:w="2284" w:type="pct"/>
          </w:tcPr>
          <w:p w14:paraId="42E258A3" w14:textId="77777777" w:rsidR="0021298F" w:rsidRPr="00B73F05" w:rsidRDefault="0021298F" w:rsidP="00760009">
            <w:pPr>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B73F05">
              <w:rPr>
                <w:rFonts w:ascii="Arial" w:hAnsi="Arial" w:cs="Arial"/>
              </w:rPr>
              <w:t>Riverside One</w:t>
            </w:r>
          </w:p>
        </w:tc>
      </w:tr>
      <w:tr w:rsidR="0021298F" w:rsidRPr="00A34A62" w14:paraId="1373ECB8" w14:textId="77777777" w:rsidTr="00760009">
        <w:tc>
          <w:tcPr>
            <w:cnfStyle w:val="001000000000" w:firstRow="0" w:lastRow="0" w:firstColumn="1" w:lastColumn="0" w:oddVBand="0" w:evenVBand="0" w:oddHBand="0" w:evenHBand="0" w:firstRowFirstColumn="0" w:firstRowLastColumn="0" w:lastRowFirstColumn="0" w:lastRowLastColumn="0"/>
            <w:tcW w:w="2716" w:type="pct"/>
          </w:tcPr>
          <w:p w14:paraId="492B92BA" w14:textId="77777777" w:rsidR="0021298F" w:rsidRPr="00B73F05" w:rsidRDefault="0021298F" w:rsidP="00760009">
            <w:pPr>
              <w:jc w:val="both"/>
              <w:rPr>
                <w:rFonts w:ascii="Arial" w:hAnsi="Arial" w:cs="Arial"/>
              </w:rPr>
            </w:pPr>
          </w:p>
        </w:tc>
        <w:tc>
          <w:tcPr>
            <w:tcW w:w="2284" w:type="pct"/>
          </w:tcPr>
          <w:p w14:paraId="27A8D805" w14:textId="77777777" w:rsidR="0021298F" w:rsidRPr="00B73F05" w:rsidRDefault="0021298F" w:rsidP="00760009">
            <w:pPr>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B73F05">
              <w:rPr>
                <w:rFonts w:ascii="Arial" w:hAnsi="Arial" w:cs="Arial"/>
              </w:rPr>
              <w:t>Sir John Rogerson’s Quay</w:t>
            </w:r>
          </w:p>
        </w:tc>
      </w:tr>
      <w:tr w:rsidR="0021298F" w:rsidRPr="00A34A62" w14:paraId="78BE5FEA" w14:textId="77777777" w:rsidTr="00760009">
        <w:tc>
          <w:tcPr>
            <w:cnfStyle w:val="001000000000" w:firstRow="0" w:lastRow="0" w:firstColumn="1" w:lastColumn="0" w:oddVBand="0" w:evenVBand="0" w:oddHBand="0" w:evenHBand="0" w:firstRowFirstColumn="0" w:firstRowLastColumn="0" w:lastRowFirstColumn="0" w:lastRowLastColumn="0"/>
            <w:tcW w:w="2716" w:type="pct"/>
          </w:tcPr>
          <w:p w14:paraId="614D0B76" w14:textId="77777777" w:rsidR="0021298F" w:rsidRPr="00B73F05" w:rsidRDefault="0021298F" w:rsidP="00760009">
            <w:pPr>
              <w:jc w:val="both"/>
              <w:rPr>
                <w:rFonts w:ascii="Arial" w:hAnsi="Arial" w:cs="Arial"/>
              </w:rPr>
            </w:pPr>
            <w:r w:rsidRPr="00B73F05">
              <w:rPr>
                <w:rFonts w:ascii="Arial" w:hAnsi="Arial" w:cs="Arial"/>
                <w:b/>
              </w:rPr>
              <w:t xml:space="preserve">Investment Manager </w:t>
            </w:r>
          </w:p>
        </w:tc>
        <w:tc>
          <w:tcPr>
            <w:tcW w:w="2284" w:type="pct"/>
          </w:tcPr>
          <w:p w14:paraId="63BD85AE" w14:textId="77777777" w:rsidR="0021298F" w:rsidRPr="00B73F05" w:rsidRDefault="0021298F" w:rsidP="00760009">
            <w:pPr>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B73F05">
              <w:rPr>
                <w:rFonts w:ascii="Arial" w:hAnsi="Arial" w:cs="Arial"/>
              </w:rPr>
              <w:t>Dublin 2</w:t>
            </w:r>
          </w:p>
        </w:tc>
      </w:tr>
      <w:tr w:rsidR="0021298F" w:rsidRPr="00A34A62" w14:paraId="65D8F53E" w14:textId="77777777" w:rsidTr="00760009">
        <w:tc>
          <w:tcPr>
            <w:cnfStyle w:val="001000000000" w:firstRow="0" w:lastRow="0" w:firstColumn="1" w:lastColumn="0" w:oddVBand="0" w:evenVBand="0" w:oddHBand="0" w:evenHBand="0" w:firstRowFirstColumn="0" w:firstRowLastColumn="0" w:lastRowFirstColumn="0" w:lastRowLastColumn="0"/>
            <w:tcW w:w="2716" w:type="pct"/>
          </w:tcPr>
          <w:p w14:paraId="3A728FF1" w14:textId="77777777" w:rsidR="0021298F" w:rsidRPr="00B73F05" w:rsidRDefault="0021298F" w:rsidP="00760009">
            <w:pPr>
              <w:jc w:val="both"/>
              <w:rPr>
                <w:rFonts w:ascii="Arial" w:hAnsi="Arial" w:cs="Arial"/>
                <w:b/>
              </w:rPr>
            </w:pPr>
            <w:r w:rsidRPr="00B73F05">
              <w:rPr>
                <w:rFonts w:ascii="Arial" w:hAnsi="Arial" w:cs="Arial"/>
              </w:rPr>
              <w:t>Greencoat Capital LLP</w:t>
            </w:r>
          </w:p>
        </w:tc>
        <w:tc>
          <w:tcPr>
            <w:tcW w:w="2284" w:type="pct"/>
          </w:tcPr>
          <w:p w14:paraId="5808D4CF" w14:textId="77777777" w:rsidR="0021298F" w:rsidRPr="00B73F05" w:rsidRDefault="0021298F" w:rsidP="00760009">
            <w:pPr>
              <w:jc w:val="both"/>
              <w:cnfStyle w:val="000000000000" w:firstRow="0" w:lastRow="0" w:firstColumn="0" w:lastColumn="0" w:oddVBand="0" w:evenVBand="0" w:oddHBand="0" w:evenHBand="0" w:firstRowFirstColumn="0" w:firstRowLastColumn="0" w:lastRowFirstColumn="0" w:lastRowLastColumn="0"/>
              <w:rPr>
                <w:rFonts w:ascii="Arial" w:hAnsi="Arial" w:cs="Arial"/>
                <w:b/>
              </w:rPr>
            </w:pPr>
          </w:p>
        </w:tc>
      </w:tr>
      <w:tr w:rsidR="0021298F" w:rsidRPr="00A34A62" w14:paraId="7F779C10" w14:textId="77777777" w:rsidTr="00760009">
        <w:tc>
          <w:tcPr>
            <w:cnfStyle w:val="001000000000" w:firstRow="0" w:lastRow="0" w:firstColumn="1" w:lastColumn="0" w:oddVBand="0" w:evenVBand="0" w:oddHBand="0" w:evenHBand="0" w:firstRowFirstColumn="0" w:firstRowLastColumn="0" w:lastRowFirstColumn="0" w:lastRowLastColumn="0"/>
            <w:tcW w:w="2716" w:type="pct"/>
          </w:tcPr>
          <w:p w14:paraId="4F4548E1" w14:textId="77777777" w:rsidR="0021298F" w:rsidRPr="00B73F05" w:rsidRDefault="0021298F" w:rsidP="00760009">
            <w:pPr>
              <w:jc w:val="both"/>
              <w:rPr>
                <w:rFonts w:ascii="Arial" w:hAnsi="Arial" w:cs="Arial"/>
                <w:b/>
              </w:rPr>
            </w:pPr>
            <w:r w:rsidRPr="00B73F05">
              <w:rPr>
                <w:rFonts w:ascii="Arial" w:hAnsi="Arial" w:cs="Arial"/>
              </w:rPr>
              <w:t>4</w:t>
            </w:r>
            <w:r w:rsidRPr="00B73F05">
              <w:rPr>
                <w:rFonts w:ascii="Arial" w:hAnsi="Arial" w:cs="Arial"/>
                <w:vertAlign w:val="superscript"/>
              </w:rPr>
              <w:t>th</w:t>
            </w:r>
            <w:r w:rsidRPr="00B73F05">
              <w:rPr>
                <w:rFonts w:ascii="Arial" w:hAnsi="Arial" w:cs="Arial"/>
              </w:rPr>
              <w:t xml:space="preserve"> Floor The Peak</w:t>
            </w:r>
          </w:p>
        </w:tc>
        <w:tc>
          <w:tcPr>
            <w:tcW w:w="2284" w:type="pct"/>
          </w:tcPr>
          <w:p w14:paraId="3009B528" w14:textId="77777777" w:rsidR="0021298F" w:rsidRPr="00B73F05" w:rsidRDefault="0021298F" w:rsidP="00760009">
            <w:pPr>
              <w:jc w:val="both"/>
              <w:cnfStyle w:val="000000000000" w:firstRow="0" w:lastRow="0" w:firstColumn="0" w:lastColumn="0" w:oddVBand="0" w:evenVBand="0" w:oddHBand="0" w:evenHBand="0" w:firstRowFirstColumn="0" w:firstRowLastColumn="0" w:lastRowFirstColumn="0" w:lastRowLastColumn="0"/>
              <w:rPr>
                <w:rFonts w:ascii="Arial" w:hAnsi="Arial" w:cs="Arial"/>
                <w:b/>
              </w:rPr>
            </w:pPr>
          </w:p>
        </w:tc>
      </w:tr>
      <w:tr w:rsidR="0021298F" w:rsidRPr="00A34A62" w14:paraId="17637980" w14:textId="77777777" w:rsidTr="00760009">
        <w:tc>
          <w:tcPr>
            <w:cnfStyle w:val="001000000000" w:firstRow="0" w:lastRow="0" w:firstColumn="1" w:lastColumn="0" w:oddVBand="0" w:evenVBand="0" w:oddHBand="0" w:evenHBand="0" w:firstRowFirstColumn="0" w:firstRowLastColumn="0" w:lastRowFirstColumn="0" w:lastRowLastColumn="0"/>
            <w:tcW w:w="2716" w:type="pct"/>
          </w:tcPr>
          <w:p w14:paraId="2AAB1E88" w14:textId="77777777" w:rsidR="0021298F" w:rsidRPr="00B73F05" w:rsidRDefault="0021298F" w:rsidP="00760009">
            <w:pPr>
              <w:jc w:val="both"/>
              <w:rPr>
                <w:rFonts w:ascii="Arial" w:hAnsi="Arial" w:cs="Arial"/>
                <w:b/>
              </w:rPr>
            </w:pPr>
            <w:r w:rsidRPr="00B73F05">
              <w:rPr>
                <w:rFonts w:ascii="Arial" w:hAnsi="Arial" w:cs="Arial"/>
              </w:rPr>
              <w:t>5 Wilton Road</w:t>
            </w:r>
          </w:p>
        </w:tc>
        <w:tc>
          <w:tcPr>
            <w:tcW w:w="2284" w:type="pct"/>
          </w:tcPr>
          <w:p w14:paraId="01BEFFAE" w14:textId="77777777" w:rsidR="0021298F" w:rsidRPr="00B73F05" w:rsidRDefault="0021298F" w:rsidP="00760009">
            <w:pPr>
              <w:jc w:val="both"/>
              <w:cnfStyle w:val="000000000000" w:firstRow="0" w:lastRow="0" w:firstColumn="0" w:lastColumn="0" w:oddVBand="0" w:evenVBand="0" w:oddHBand="0" w:evenHBand="0" w:firstRowFirstColumn="0" w:firstRowLastColumn="0" w:lastRowFirstColumn="0" w:lastRowLastColumn="0"/>
              <w:rPr>
                <w:rFonts w:ascii="Arial" w:hAnsi="Arial" w:cs="Arial"/>
                <w:b/>
              </w:rPr>
            </w:pPr>
            <w:r w:rsidRPr="00B73F05">
              <w:rPr>
                <w:rFonts w:ascii="Arial" w:hAnsi="Arial" w:cs="Arial"/>
                <w:b/>
              </w:rPr>
              <w:t>Registered Auditor</w:t>
            </w:r>
          </w:p>
        </w:tc>
      </w:tr>
      <w:tr w:rsidR="0021298F" w:rsidRPr="00A34A62" w14:paraId="0D185F1F" w14:textId="77777777" w:rsidTr="00760009">
        <w:tc>
          <w:tcPr>
            <w:cnfStyle w:val="001000000000" w:firstRow="0" w:lastRow="0" w:firstColumn="1" w:lastColumn="0" w:oddVBand="0" w:evenVBand="0" w:oddHBand="0" w:evenHBand="0" w:firstRowFirstColumn="0" w:firstRowLastColumn="0" w:lastRowFirstColumn="0" w:lastRowLastColumn="0"/>
            <w:tcW w:w="2716" w:type="pct"/>
          </w:tcPr>
          <w:p w14:paraId="5E38DB53" w14:textId="77777777" w:rsidR="0021298F" w:rsidRPr="00B73F05" w:rsidRDefault="0021298F" w:rsidP="00760009">
            <w:pPr>
              <w:jc w:val="both"/>
              <w:rPr>
                <w:rFonts w:ascii="Arial" w:hAnsi="Arial" w:cs="Arial"/>
                <w:szCs w:val="22"/>
              </w:rPr>
            </w:pPr>
            <w:r w:rsidRPr="00B73F05">
              <w:rPr>
                <w:rFonts w:ascii="Arial" w:hAnsi="Arial" w:cs="Arial"/>
              </w:rPr>
              <w:t>London SW1V 1AN</w:t>
            </w:r>
          </w:p>
        </w:tc>
        <w:tc>
          <w:tcPr>
            <w:tcW w:w="2284" w:type="pct"/>
          </w:tcPr>
          <w:p w14:paraId="4642D5FF" w14:textId="77777777" w:rsidR="0021298F" w:rsidRPr="00B73F05" w:rsidRDefault="0021298F" w:rsidP="00760009">
            <w:pPr>
              <w:jc w:val="both"/>
              <w:cnfStyle w:val="000000000000" w:firstRow="0" w:lastRow="0" w:firstColumn="0" w:lastColumn="0" w:oddVBand="0" w:evenVBand="0" w:oddHBand="0" w:evenHBand="0" w:firstRowFirstColumn="0" w:firstRowLastColumn="0" w:lastRowFirstColumn="0" w:lastRowLastColumn="0"/>
              <w:rPr>
                <w:rFonts w:ascii="Arial" w:hAnsi="Arial" w:cs="Arial"/>
                <w:b/>
                <w:szCs w:val="22"/>
              </w:rPr>
            </w:pPr>
            <w:r w:rsidRPr="00B73F05">
              <w:rPr>
                <w:rFonts w:ascii="Arial" w:hAnsi="Arial" w:cs="Arial"/>
              </w:rPr>
              <w:t xml:space="preserve">BDO </w:t>
            </w:r>
          </w:p>
        </w:tc>
      </w:tr>
      <w:tr w:rsidR="0021298F" w:rsidRPr="00CE7DC0" w14:paraId="47D4014E" w14:textId="77777777" w:rsidTr="00760009">
        <w:tc>
          <w:tcPr>
            <w:cnfStyle w:val="001000000000" w:firstRow="0" w:lastRow="0" w:firstColumn="1" w:lastColumn="0" w:oddVBand="0" w:evenVBand="0" w:oddHBand="0" w:evenHBand="0" w:firstRowFirstColumn="0" w:firstRowLastColumn="0" w:lastRowFirstColumn="0" w:lastRowLastColumn="0"/>
            <w:tcW w:w="2716" w:type="pct"/>
          </w:tcPr>
          <w:p w14:paraId="7B05E6AC" w14:textId="77777777" w:rsidR="0021298F" w:rsidRPr="00B73F05" w:rsidRDefault="0021298F" w:rsidP="00760009">
            <w:pPr>
              <w:jc w:val="both"/>
              <w:rPr>
                <w:rFonts w:ascii="Arial" w:hAnsi="Arial" w:cs="Arial"/>
                <w:b/>
                <w:szCs w:val="22"/>
              </w:rPr>
            </w:pPr>
          </w:p>
        </w:tc>
        <w:tc>
          <w:tcPr>
            <w:tcW w:w="2284" w:type="pct"/>
          </w:tcPr>
          <w:p w14:paraId="2C6F6074" w14:textId="77777777" w:rsidR="0021298F" w:rsidRPr="00B73F05" w:rsidRDefault="0021298F" w:rsidP="00760009">
            <w:pPr>
              <w:jc w:val="both"/>
              <w:cnfStyle w:val="000000000000" w:firstRow="0" w:lastRow="0" w:firstColumn="0" w:lastColumn="0" w:oddVBand="0" w:evenVBand="0" w:oddHBand="0" w:evenHBand="0" w:firstRowFirstColumn="0" w:firstRowLastColumn="0" w:lastRowFirstColumn="0" w:lastRowLastColumn="0"/>
              <w:rPr>
                <w:rFonts w:ascii="Arial" w:hAnsi="Arial" w:cs="Arial"/>
                <w:szCs w:val="22"/>
              </w:rPr>
            </w:pPr>
            <w:r w:rsidRPr="00B73F05">
              <w:rPr>
                <w:rFonts w:ascii="Arial" w:hAnsi="Arial" w:cs="Arial"/>
              </w:rPr>
              <w:t>Beaux Lane House</w:t>
            </w:r>
          </w:p>
        </w:tc>
      </w:tr>
      <w:tr w:rsidR="0021298F" w:rsidRPr="00CE7DC0" w14:paraId="30EF5752" w14:textId="77777777" w:rsidTr="00760009">
        <w:tc>
          <w:tcPr>
            <w:cnfStyle w:val="001000000000" w:firstRow="0" w:lastRow="0" w:firstColumn="1" w:lastColumn="0" w:oddVBand="0" w:evenVBand="0" w:oddHBand="0" w:evenHBand="0" w:firstRowFirstColumn="0" w:firstRowLastColumn="0" w:lastRowFirstColumn="0" w:lastRowLastColumn="0"/>
            <w:tcW w:w="2716" w:type="pct"/>
          </w:tcPr>
          <w:p w14:paraId="2B42EBE6" w14:textId="77777777" w:rsidR="0021298F" w:rsidRPr="00B73F05" w:rsidRDefault="0021298F" w:rsidP="00760009">
            <w:pPr>
              <w:jc w:val="both"/>
              <w:rPr>
                <w:rFonts w:ascii="Arial" w:hAnsi="Arial" w:cs="Arial"/>
                <w:b/>
                <w:szCs w:val="22"/>
              </w:rPr>
            </w:pPr>
          </w:p>
        </w:tc>
        <w:tc>
          <w:tcPr>
            <w:tcW w:w="2284" w:type="pct"/>
          </w:tcPr>
          <w:p w14:paraId="416092DF" w14:textId="77777777" w:rsidR="0021298F" w:rsidRPr="00B73F05" w:rsidRDefault="0021298F" w:rsidP="00760009">
            <w:pPr>
              <w:jc w:val="both"/>
              <w:cnfStyle w:val="000000000000" w:firstRow="0" w:lastRow="0" w:firstColumn="0" w:lastColumn="0" w:oddVBand="0" w:evenVBand="0" w:oddHBand="0" w:evenHBand="0" w:firstRowFirstColumn="0" w:firstRowLastColumn="0" w:lastRowFirstColumn="0" w:lastRowLastColumn="0"/>
              <w:rPr>
                <w:rFonts w:ascii="Arial" w:hAnsi="Arial" w:cs="Arial"/>
                <w:szCs w:val="22"/>
              </w:rPr>
            </w:pPr>
            <w:r w:rsidRPr="00B73F05">
              <w:rPr>
                <w:rFonts w:ascii="Arial" w:hAnsi="Arial" w:cs="Arial"/>
              </w:rPr>
              <w:t>Mercer Street Lower</w:t>
            </w:r>
            <w:r w:rsidRPr="00B73F05" w:rsidDel="00534D4C">
              <w:rPr>
                <w:rFonts w:ascii="Arial" w:hAnsi="Arial" w:cs="Arial"/>
              </w:rPr>
              <w:t xml:space="preserve"> </w:t>
            </w:r>
          </w:p>
        </w:tc>
      </w:tr>
      <w:tr w:rsidR="0021298F" w:rsidRPr="00CE7DC0" w14:paraId="6AD17CC5" w14:textId="77777777" w:rsidTr="00760009">
        <w:tc>
          <w:tcPr>
            <w:cnfStyle w:val="001000000000" w:firstRow="0" w:lastRow="0" w:firstColumn="1" w:lastColumn="0" w:oddVBand="0" w:evenVBand="0" w:oddHBand="0" w:evenHBand="0" w:firstRowFirstColumn="0" w:firstRowLastColumn="0" w:lastRowFirstColumn="0" w:lastRowLastColumn="0"/>
            <w:tcW w:w="2716" w:type="pct"/>
          </w:tcPr>
          <w:p w14:paraId="68F5A440" w14:textId="77777777" w:rsidR="0021298F" w:rsidRPr="00B73F05" w:rsidRDefault="0021298F" w:rsidP="00760009">
            <w:pPr>
              <w:jc w:val="both"/>
              <w:rPr>
                <w:rFonts w:ascii="Arial" w:hAnsi="Arial" w:cs="Arial"/>
                <w:b/>
                <w:szCs w:val="22"/>
              </w:rPr>
            </w:pPr>
            <w:r w:rsidRPr="00B73F05">
              <w:rPr>
                <w:rFonts w:ascii="Arial" w:hAnsi="Arial" w:cs="Arial"/>
                <w:b/>
              </w:rPr>
              <w:t>Company Secretary</w:t>
            </w:r>
          </w:p>
        </w:tc>
        <w:tc>
          <w:tcPr>
            <w:tcW w:w="2284" w:type="pct"/>
          </w:tcPr>
          <w:p w14:paraId="32AB25AF" w14:textId="77777777" w:rsidR="0021298F" w:rsidRPr="00B73F05" w:rsidRDefault="0021298F" w:rsidP="00760009">
            <w:pPr>
              <w:jc w:val="both"/>
              <w:cnfStyle w:val="000000000000" w:firstRow="0" w:lastRow="0" w:firstColumn="0" w:lastColumn="0" w:oddVBand="0" w:evenVBand="0" w:oddHBand="0" w:evenHBand="0" w:firstRowFirstColumn="0" w:firstRowLastColumn="0" w:lastRowFirstColumn="0" w:lastRowLastColumn="0"/>
              <w:rPr>
                <w:rFonts w:ascii="Arial" w:hAnsi="Arial" w:cs="Arial"/>
                <w:b/>
                <w:szCs w:val="22"/>
              </w:rPr>
            </w:pPr>
            <w:r w:rsidRPr="00B73F05">
              <w:rPr>
                <w:rFonts w:ascii="Arial" w:hAnsi="Arial" w:cs="Arial"/>
              </w:rPr>
              <w:t>Dublin 2</w:t>
            </w:r>
          </w:p>
        </w:tc>
      </w:tr>
      <w:tr w:rsidR="0021298F" w:rsidRPr="00CE7DC0" w14:paraId="66ADACFD" w14:textId="77777777" w:rsidTr="00760009">
        <w:tc>
          <w:tcPr>
            <w:cnfStyle w:val="001000000000" w:firstRow="0" w:lastRow="0" w:firstColumn="1" w:lastColumn="0" w:oddVBand="0" w:evenVBand="0" w:oddHBand="0" w:evenHBand="0" w:firstRowFirstColumn="0" w:firstRowLastColumn="0" w:lastRowFirstColumn="0" w:lastRowLastColumn="0"/>
            <w:tcW w:w="2716" w:type="pct"/>
          </w:tcPr>
          <w:p w14:paraId="01AC7560" w14:textId="77777777" w:rsidR="0021298F" w:rsidRPr="00B73F05" w:rsidRDefault="0021298F" w:rsidP="00760009">
            <w:pPr>
              <w:jc w:val="both"/>
              <w:rPr>
                <w:rFonts w:ascii="Arial" w:hAnsi="Arial" w:cs="Arial"/>
                <w:szCs w:val="22"/>
              </w:rPr>
            </w:pPr>
            <w:r w:rsidRPr="00B73F05">
              <w:rPr>
                <w:rFonts w:ascii="Arial" w:hAnsi="Arial" w:cs="Arial"/>
              </w:rPr>
              <w:t>Ocorian Administration (UK) Limited</w:t>
            </w:r>
          </w:p>
        </w:tc>
        <w:tc>
          <w:tcPr>
            <w:tcW w:w="2284" w:type="pct"/>
          </w:tcPr>
          <w:p w14:paraId="501F9541" w14:textId="77777777" w:rsidR="0021298F" w:rsidRPr="00B73F05" w:rsidRDefault="0021298F" w:rsidP="00760009">
            <w:pPr>
              <w:jc w:val="both"/>
              <w:cnfStyle w:val="000000000000" w:firstRow="0" w:lastRow="0" w:firstColumn="0" w:lastColumn="0" w:oddVBand="0" w:evenVBand="0" w:oddHBand="0" w:evenHBand="0" w:firstRowFirstColumn="0" w:firstRowLastColumn="0" w:lastRowFirstColumn="0" w:lastRowLastColumn="0"/>
              <w:rPr>
                <w:rFonts w:ascii="Arial" w:hAnsi="Arial" w:cs="Arial"/>
                <w:szCs w:val="22"/>
              </w:rPr>
            </w:pPr>
          </w:p>
        </w:tc>
      </w:tr>
      <w:tr w:rsidR="0021298F" w:rsidRPr="00CE7DC0" w14:paraId="4D1D8347" w14:textId="77777777" w:rsidTr="00760009">
        <w:tc>
          <w:tcPr>
            <w:cnfStyle w:val="001000000000" w:firstRow="0" w:lastRow="0" w:firstColumn="1" w:lastColumn="0" w:oddVBand="0" w:evenVBand="0" w:oddHBand="0" w:evenHBand="0" w:firstRowFirstColumn="0" w:firstRowLastColumn="0" w:lastRowFirstColumn="0" w:lastRowLastColumn="0"/>
            <w:tcW w:w="2716" w:type="pct"/>
          </w:tcPr>
          <w:p w14:paraId="2FD2569B" w14:textId="77777777" w:rsidR="0021298F" w:rsidRPr="00B73F05" w:rsidRDefault="0021298F" w:rsidP="00760009">
            <w:pPr>
              <w:jc w:val="both"/>
              <w:rPr>
                <w:rFonts w:ascii="Arial" w:hAnsi="Arial" w:cs="Arial"/>
              </w:rPr>
            </w:pPr>
            <w:r>
              <w:rPr>
                <w:rFonts w:ascii="Arial" w:hAnsi="Arial" w:cs="Arial"/>
              </w:rPr>
              <w:t>(formerly Estera Administration (UK) Limited)</w:t>
            </w:r>
          </w:p>
        </w:tc>
        <w:tc>
          <w:tcPr>
            <w:tcW w:w="2284" w:type="pct"/>
          </w:tcPr>
          <w:p w14:paraId="335132FB" w14:textId="77777777" w:rsidR="0021298F" w:rsidRPr="00B73F05" w:rsidRDefault="0021298F" w:rsidP="00760009">
            <w:pPr>
              <w:jc w:val="both"/>
              <w:cnfStyle w:val="000000000000" w:firstRow="0" w:lastRow="0" w:firstColumn="0" w:lastColumn="0" w:oddVBand="0" w:evenVBand="0" w:oddHBand="0" w:evenHBand="0" w:firstRowFirstColumn="0" w:firstRowLastColumn="0" w:lastRowFirstColumn="0" w:lastRowLastColumn="0"/>
              <w:rPr>
                <w:rFonts w:ascii="Arial" w:hAnsi="Arial" w:cs="Arial"/>
                <w:b/>
              </w:rPr>
            </w:pPr>
          </w:p>
        </w:tc>
      </w:tr>
      <w:tr w:rsidR="0021298F" w:rsidRPr="00CE7DC0" w14:paraId="6027B038" w14:textId="77777777" w:rsidTr="00760009">
        <w:tc>
          <w:tcPr>
            <w:cnfStyle w:val="001000000000" w:firstRow="0" w:lastRow="0" w:firstColumn="1" w:lastColumn="0" w:oddVBand="0" w:evenVBand="0" w:oddHBand="0" w:evenHBand="0" w:firstRowFirstColumn="0" w:firstRowLastColumn="0" w:lastRowFirstColumn="0" w:lastRowLastColumn="0"/>
            <w:tcW w:w="2716" w:type="pct"/>
          </w:tcPr>
          <w:p w14:paraId="00420833" w14:textId="77777777" w:rsidR="0021298F" w:rsidRPr="00B73F05" w:rsidRDefault="0021298F" w:rsidP="00760009">
            <w:pPr>
              <w:jc w:val="both"/>
              <w:rPr>
                <w:rFonts w:ascii="Arial" w:hAnsi="Arial" w:cs="Arial"/>
              </w:rPr>
            </w:pPr>
            <w:r w:rsidRPr="00B73F05">
              <w:rPr>
                <w:rFonts w:ascii="Arial" w:hAnsi="Arial" w:cs="Arial"/>
              </w:rPr>
              <w:t>Unit 18 Innovation Centre</w:t>
            </w:r>
          </w:p>
        </w:tc>
        <w:tc>
          <w:tcPr>
            <w:tcW w:w="2284" w:type="pct"/>
          </w:tcPr>
          <w:p w14:paraId="004131FF" w14:textId="77777777" w:rsidR="0021298F" w:rsidRPr="00B73F05" w:rsidRDefault="0021298F" w:rsidP="00760009">
            <w:pPr>
              <w:jc w:val="both"/>
              <w:cnfStyle w:val="000000000000" w:firstRow="0" w:lastRow="0" w:firstColumn="0" w:lastColumn="0" w:oddVBand="0" w:evenVBand="0" w:oddHBand="0" w:evenHBand="0" w:firstRowFirstColumn="0" w:firstRowLastColumn="0" w:lastRowFirstColumn="0" w:lastRowLastColumn="0"/>
              <w:rPr>
                <w:rFonts w:ascii="Arial" w:hAnsi="Arial" w:cs="Arial"/>
                <w:b/>
              </w:rPr>
            </w:pPr>
            <w:r w:rsidRPr="00B73F05">
              <w:rPr>
                <w:rFonts w:ascii="Arial" w:hAnsi="Arial" w:cs="Arial"/>
                <w:b/>
              </w:rPr>
              <w:t>Legal Advisers</w:t>
            </w:r>
          </w:p>
        </w:tc>
      </w:tr>
      <w:tr w:rsidR="0021298F" w:rsidRPr="00CE7DC0" w14:paraId="7A354003" w14:textId="77777777" w:rsidTr="00760009">
        <w:tc>
          <w:tcPr>
            <w:cnfStyle w:val="001000000000" w:firstRow="0" w:lastRow="0" w:firstColumn="1" w:lastColumn="0" w:oddVBand="0" w:evenVBand="0" w:oddHBand="0" w:evenHBand="0" w:firstRowFirstColumn="0" w:firstRowLastColumn="0" w:lastRowFirstColumn="0" w:lastRowLastColumn="0"/>
            <w:tcW w:w="2716" w:type="pct"/>
          </w:tcPr>
          <w:p w14:paraId="6DA03F7A" w14:textId="77777777" w:rsidR="0021298F" w:rsidRPr="00B73F05" w:rsidRDefault="0021298F" w:rsidP="00760009">
            <w:pPr>
              <w:jc w:val="both"/>
              <w:rPr>
                <w:rFonts w:ascii="Arial" w:hAnsi="Arial" w:cs="Arial"/>
              </w:rPr>
            </w:pPr>
            <w:r w:rsidRPr="00B73F05">
              <w:rPr>
                <w:rFonts w:ascii="Arial" w:hAnsi="Arial" w:cs="Arial"/>
              </w:rPr>
              <w:t>Northern Ireland Science</w:t>
            </w:r>
            <w:r>
              <w:rPr>
                <w:rFonts w:ascii="Arial" w:hAnsi="Arial" w:cs="Arial"/>
              </w:rPr>
              <w:t xml:space="preserve"> </w:t>
            </w:r>
            <w:r w:rsidRPr="00B73F05">
              <w:rPr>
                <w:rFonts w:ascii="Arial" w:hAnsi="Arial" w:cs="Arial"/>
              </w:rPr>
              <w:t>Park</w:t>
            </w:r>
          </w:p>
        </w:tc>
        <w:tc>
          <w:tcPr>
            <w:tcW w:w="2284" w:type="pct"/>
          </w:tcPr>
          <w:p w14:paraId="37B01C2A" w14:textId="77777777" w:rsidR="0021298F" w:rsidRPr="00B73F05" w:rsidRDefault="0021298F" w:rsidP="00760009">
            <w:pPr>
              <w:jc w:val="both"/>
              <w:cnfStyle w:val="000000000000" w:firstRow="0" w:lastRow="0" w:firstColumn="0" w:lastColumn="0" w:oddVBand="0" w:evenVBand="0" w:oddHBand="0" w:evenHBand="0" w:firstRowFirstColumn="0" w:firstRowLastColumn="0" w:lastRowFirstColumn="0" w:lastRowLastColumn="0"/>
              <w:rPr>
                <w:rFonts w:ascii="Arial" w:hAnsi="Arial" w:cs="Arial"/>
                <w:b/>
              </w:rPr>
            </w:pPr>
            <w:r w:rsidRPr="00B73F05">
              <w:rPr>
                <w:rFonts w:ascii="Arial" w:hAnsi="Arial" w:cs="Arial"/>
              </w:rPr>
              <w:t>McCann Fitzgerald</w:t>
            </w:r>
            <w:r w:rsidRPr="00B73F05" w:rsidDel="00534D4C">
              <w:rPr>
                <w:rFonts w:ascii="Arial" w:hAnsi="Arial" w:cs="Arial"/>
                <w:b/>
              </w:rPr>
              <w:t xml:space="preserve"> </w:t>
            </w:r>
          </w:p>
        </w:tc>
      </w:tr>
      <w:tr w:rsidR="0021298F" w:rsidRPr="00CE7DC0" w14:paraId="743CAA99" w14:textId="77777777" w:rsidTr="00760009">
        <w:tc>
          <w:tcPr>
            <w:cnfStyle w:val="001000000000" w:firstRow="0" w:lastRow="0" w:firstColumn="1" w:lastColumn="0" w:oddVBand="0" w:evenVBand="0" w:oddHBand="0" w:evenHBand="0" w:firstRowFirstColumn="0" w:firstRowLastColumn="0" w:lastRowFirstColumn="0" w:lastRowLastColumn="0"/>
            <w:tcW w:w="2716" w:type="pct"/>
          </w:tcPr>
          <w:p w14:paraId="67E59B3D" w14:textId="77777777" w:rsidR="0021298F" w:rsidRPr="00B73F05" w:rsidRDefault="0021298F" w:rsidP="00760009">
            <w:pPr>
              <w:jc w:val="both"/>
              <w:rPr>
                <w:rFonts w:ascii="Arial" w:hAnsi="Arial" w:cs="Arial"/>
                <w:szCs w:val="22"/>
              </w:rPr>
            </w:pPr>
            <w:r w:rsidRPr="00B73F05">
              <w:rPr>
                <w:rFonts w:ascii="Arial" w:hAnsi="Arial" w:cs="Arial"/>
              </w:rPr>
              <w:t>Queens Road</w:t>
            </w:r>
          </w:p>
        </w:tc>
        <w:tc>
          <w:tcPr>
            <w:tcW w:w="2284" w:type="pct"/>
          </w:tcPr>
          <w:p w14:paraId="6E815F94" w14:textId="77777777" w:rsidR="0021298F" w:rsidRPr="00B73F05" w:rsidRDefault="0021298F" w:rsidP="00760009">
            <w:pPr>
              <w:jc w:val="both"/>
              <w:cnfStyle w:val="000000000000" w:firstRow="0" w:lastRow="0" w:firstColumn="0" w:lastColumn="0" w:oddVBand="0" w:evenVBand="0" w:oddHBand="0" w:evenHBand="0" w:firstRowFirstColumn="0" w:firstRowLastColumn="0" w:lastRowFirstColumn="0" w:lastRowLastColumn="0"/>
              <w:rPr>
                <w:rFonts w:ascii="Arial" w:hAnsi="Arial" w:cs="Arial"/>
                <w:b/>
                <w:szCs w:val="22"/>
              </w:rPr>
            </w:pPr>
            <w:r w:rsidRPr="00B73F05">
              <w:rPr>
                <w:rFonts w:ascii="Arial" w:hAnsi="Arial" w:cs="Arial"/>
              </w:rPr>
              <w:t>Riverside One</w:t>
            </w:r>
          </w:p>
        </w:tc>
      </w:tr>
      <w:tr w:rsidR="0021298F" w:rsidRPr="00CE7DC0" w14:paraId="463F82DC" w14:textId="77777777" w:rsidTr="00760009">
        <w:tc>
          <w:tcPr>
            <w:cnfStyle w:val="001000000000" w:firstRow="0" w:lastRow="0" w:firstColumn="1" w:lastColumn="0" w:oddVBand="0" w:evenVBand="0" w:oddHBand="0" w:evenHBand="0" w:firstRowFirstColumn="0" w:firstRowLastColumn="0" w:lastRowFirstColumn="0" w:lastRowLastColumn="0"/>
            <w:tcW w:w="2716" w:type="pct"/>
          </w:tcPr>
          <w:p w14:paraId="566996E8" w14:textId="77777777" w:rsidR="0021298F" w:rsidRPr="00B73F05" w:rsidRDefault="0021298F" w:rsidP="00760009">
            <w:pPr>
              <w:jc w:val="both"/>
              <w:rPr>
                <w:rFonts w:ascii="Arial" w:hAnsi="Arial" w:cs="Arial"/>
                <w:b/>
              </w:rPr>
            </w:pPr>
            <w:r w:rsidRPr="00B73F05">
              <w:rPr>
                <w:rFonts w:ascii="Arial" w:hAnsi="Arial" w:cs="Arial"/>
              </w:rPr>
              <w:t>Belfast BT3 9DT</w:t>
            </w:r>
          </w:p>
        </w:tc>
        <w:tc>
          <w:tcPr>
            <w:tcW w:w="2284" w:type="pct"/>
          </w:tcPr>
          <w:p w14:paraId="2BCF2EB4" w14:textId="77777777" w:rsidR="0021298F" w:rsidRPr="00B73F05" w:rsidRDefault="0021298F" w:rsidP="00760009">
            <w:pPr>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B73F05">
              <w:rPr>
                <w:rFonts w:ascii="Arial" w:hAnsi="Arial" w:cs="Arial"/>
              </w:rPr>
              <w:t>Sir John Rogerson’s Quay</w:t>
            </w:r>
            <w:r w:rsidRPr="00B73F05" w:rsidDel="00534D4C">
              <w:rPr>
                <w:rFonts w:ascii="Arial" w:hAnsi="Arial" w:cs="Arial"/>
              </w:rPr>
              <w:t xml:space="preserve"> </w:t>
            </w:r>
          </w:p>
        </w:tc>
      </w:tr>
      <w:tr w:rsidR="0021298F" w:rsidRPr="00CE7DC0" w14:paraId="1FEB6085" w14:textId="77777777" w:rsidTr="00760009">
        <w:tc>
          <w:tcPr>
            <w:cnfStyle w:val="001000000000" w:firstRow="0" w:lastRow="0" w:firstColumn="1" w:lastColumn="0" w:oddVBand="0" w:evenVBand="0" w:oddHBand="0" w:evenHBand="0" w:firstRowFirstColumn="0" w:firstRowLastColumn="0" w:lastRowFirstColumn="0" w:lastRowLastColumn="0"/>
            <w:tcW w:w="2716" w:type="pct"/>
          </w:tcPr>
          <w:p w14:paraId="0D8C191A" w14:textId="77777777" w:rsidR="0021298F" w:rsidRPr="00B73F05" w:rsidRDefault="0021298F" w:rsidP="00760009">
            <w:pPr>
              <w:jc w:val="both"/>
              <w:rPr>
                <w:rFonts w:ascii="Arial" w:hAnsi="Arial" w:cs="Arial"/>
                <w:b/>
                <w:szCs w:val="22"/>
              </w:rPr>
            </w:pPr>
          </w:p>
        </w:tc>
        <w:tc>
          <w:tcPr>
            <w:tcW w:w="2284" w:type="pct"/>
          </w:tcPr>
          <w:p w14:paraId="52ABB27E" w14:textId="77777777" w:rsidR="0021298F" w:rsidRPr="00B73F05" w:rsidRDefault="0021298F" w:rsidP="00760009">
            <w:pPr>
              <w:jc w:val="both"/>
              <w:cnfStyle w:val="000000000000" w:firstRow="0" w:lastRow="0" w:firstColumn="0" w:lastColumn="0" w:oddVBand="0" w:evenVBand="0" w:oddHBand="0" w:evenHBand="0" w:firstRowFirstColumn="0" w:firstRowLastColumn="0" w:lastRowFirstColumn="0" w:lastRowLastColumn="0"/>
              <w:rPr>
                <w:rFonts w:ascii="Arial" w:hAnsi="Arial" w:cs="Arial"/>
                <w:b/>
                <w:szCs w:val="22"/>
              </w:rPr>
            </w:pPr>
            <w:r w:rsidRPr="00B73F05">
              <w:rPr>
                <w:rFonts w:ascii="Arial" w:hAnsi="Arial" w:cs="Arial"/>
              </w:rPr>
              <w:t>Dublin 2</w:t>
            </w:r>
          </w:p>
        </w:tc>
      </w:tr>
      <w:tr w:rsidR="0021298F" w:rsidRPr="00CE7DC0" w14:paraId="194A91E2" w14:textId="77777777" w:rsidTr="00760009">
        <w:tc>
          <w:tcPr>
            <w:cnfStyle w:val="001000000000" w:firstRow="0" w:lastRow="0" w:firstColumn="1" w:lastColumn="0" w:oddVBand="0" w:evenVBand="0" w:oddHBand="0" w:evenHBand="0" w:firstRowFirstColumn="0" w:firstRowLastColumn="0" w:lastRowFirstColumn="0" w:lastRowLastColumn="0"/>
            <w:tcW w:w="2716" w:type="pct"/>
          </w:tcPr>
          <w:p w14:paraId="23E29281" w14:textId="77777777" w:rsidR="0021298F" w:rsidRPr="00B73F05" w:rsidRDefault="0021298F" w:rsidP="00760009">
            <w:pPr>
              <w:jc w:val="both"/>
              <w:rPr>
                <w:rFonts w:ascii="Arial" w:hAnsi="Arial" w:cs="Arial"/>
                <w:b/>
                <w:szCs w:val="22"/>
              </w:rPr>
            </w:pPr>
          </w:p>
        </w:tc>
        <w:tc>
          <w:tcPr>
            <w:tcW w:w="2284" w:type="pct"/>
          </w:tcPr>
          <w:p w14:paraId="461B1D94" w14:textId="77777777" w:rsidR="0021298F" w:rsidRPr="00B73F05" w:rsidRDefault="0021298F" w:rsidP="00760009">
            <w:pPr>
              <w:jc w:val="both"/>
              <w:cnfStyle w:val="000000000000" w:firstRow="0" w:lastRow="0" w:firstColumn="0" w:lastColumn="0" w:oddVBand="0" w:evenVBand="0" w:oddHBand="0" w:evenHBand="0" w:firstRowFirstColumn="0" w:firstRowLastColumn="0" w:lastRowFirstColumn="0" w:lastRowLastColumn="0"/>
              <w:rPr>
                <w:rFonts w:ascii="Arial" w:hAnsi="Arial" w:cs="Arial"/>
                <w:b/>
                <w:szCs w:val="22"/>
              </w:rPr>
            </w:pPr>
          </w:p>
        </w:tc>
      </w:tr>
      <w:tr w:rsidR="0021298F" w:rsidRPr="00CE7DC0" w14:paraId="416D7A13" w14:textId="77777777" w:rsidTr="00760009">
        <w:tc>
          <w:tcPr>
            <w:cnfStyle w:val="001000000000" w:firstRow="0" w:lastRow="0" w:firstColumn="1" w:lastColumn="0" w:oddVBand="0" w:evenVBand="0" w:oddHBand="0" w:evenHBand="0" w:firstRowFirstColumn="0" w:firstRowLastColumn="0" w:lastRowFirstColumn="0" w:lastRowLastColumn="0"/>
            <w:tcW w:w="2716" w:type="pct"/>
          </w:tcPr>
          <w:p w14:paraId="5CCB39C8" w14:textId="77777777" w:rsidR="0021298F" w:rsidRPr="00B73F05" w:rsidRDefault="0021298F" w:rsidP="00760009">
            <w:pPr>
              <w:jc w:val="both"/>
              <w:rPr>
                <w:rFonts w:ascii="Arial" w:hAnsi="Arial" w:cs="Arial"/>
              </w:rPr>
            </w:pPr>
            <w:r w:rsidRPr="00B73F05">
              <w:rPr>
                <w:rFonts w:ascii="Arial" w:hAnsi="Arial" w:cs="Arial"/>
                <w:b/>
              </w:rPr>
              <w:t xml:space="preserve">Administrator </w:t>
            </w:r>
          </w:p>
        </w:tc>
        <w:tc>
          <w:tcPr>
            <w:tcW w:w="2284" w:type="pct"/>
          </w:tcPr>
          <w:p w14:paraId="7B748DB6" w14:textId="77777777" w:rsidR="0021298F" w:rsidRPr="00B73F05" w:rsidRDefault="0021298F" w:rsidP="00760009">
            <w:pPr>
              <w:jc w:val="both"/>
              <w:cnfStyle w:val="000000000000" w:firstRow="0" w:lastRow="0" w:firstColumn="0" w:lastColumn="0" w:oddVBand="0" w:evenVBand="0" w:oddHBand="0" w:evenHBand="0" w:firstRowFirstColumn="0" w:firstRowLastColumn="0" w:lastRowFirstColumn="0" w:lastRowLastColumn="0"/>
              <w:rPr>
                <w:rFonts w:ascii="Arial" w:hAnsi="Arial" w:cs="Arial"/>
              </w:rPr>
            </w:pPr>
          </w:p>
        </w:tc>
      </w:tr>
      <w:tr w:rsidR="0021298F" w:rsidRPr="00CE7DC0" w14:paraId="78C743E5" w14:textId="77777777" w:rsidTr="00760009">
        <w:tc>
          <w:tcPr>
            <w:cnfStyle w:val="001000000000" w:firstRow="0" w:lastRow="0" w:firstColumn="1" w:lastColumn="0" w:oddVBand="0" w:evenVBand="0" w:oddHBand="0" w:evenHBand="0" w:firstRowFirstColumn="0" w:firstRowLastColumn="0" w:lastRowFirstColumn="0" w:lastRowLastColumn="0"/>
            <w:tcW w:w="2716" w:type="pct"/>
          </w:tcPr>
          <w:p w14:paraId="1FF10797" w14:textId="77777777" w:rsidR="0021298F" w:rsidRPr="00B73F05" w:rsidRDefault="0021298F" w:rsidP="00760009">
            <w:pPr>
              <w:jc w:val="both"/>
              <w:rPr>
                <w:rFonts w:ascii="Arial" w:hAnsi="Arial" w:cs="Arial"/>
              </w:rPr>
            </w:pPr>
            <w:r w:rsidRPr="00B73F05">
              <w:rPr>
                <w:rFonts w:ascii="Arial" w:hAnsi="Arial" w:cs="Arial"/>
              </w:rPr>
              <w:t>Northern Trust International Fund</w:t>
            </w:r>
          </w:p>
        </w:tc>
        <w:tc>
          <w:tcPr>
            <w:tcW w:w="2284" w:type="pct"/>
            <w:vMerge w:val="restart"/>
          </w:tcPr>
          <w:p w14:paraId="7CBCF9C7" w14:textId="77777777" w:rsidR="0021298F" w:rsidRPr="00B73F05" w:rsidRDefault="0021298F" w:rsidP="00760009">
            <w:pPr>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B73F05">
              <w:rPr>
                <w:rFonts w:ascii="Arial" w:hAnsi="Arial" w:cs="Arial"/>
                <w:b/>
              </w:rPr>
              <w:t>Euronext Growth Advisor, NOMAD and Broker</w:t>
            </w:r>
          </w:p>
        </w:tc>
      </w:tr>
      <w:tr w:rsidR="0021298F" w:rsidRPr="00CE7DC0" w14:paraId="1394191D" w14:textId="77777777" w:rsidTr="00760009">
        <w:tc>
          <w:tcPr>
            <w:cnfStyle w:val="001000000000" w:firstRow="0" w:lastRow="0" w:firstColumn="1" w:lastColumn="0" w:oddVBand="0" w:evenVBand="0" w:oddHBand="0" w:evenHBand="0" w:firstRowFirstColumn="0" w:firstRowLastColumn="0" w:lastRowFirstColumn="0" w:lastRowLastColumn="0"/>
            <w:tcW w:w="2716" w:type="pct"/>
          </w:tcPr>
          <w:p w14:paraId="0F84AB18" w14:textId="77777777" w:rsidR="0021298F" w:rsidRPr="00B73F05" w:rsidRDefault="0021298F" w:rsidP="00760009">
            <w:pPr>
              <w:jc w:val="both"/>
              <w:rPr>
                <w:rFonts w:ascii="Arial" w:hAnsi="Arial" w:cs="Arial"/>
              </w:rPr>
            </w:pPr>
            <w:r w:rsidRPr="00B73F05">
              <w:rPr>
                <w:rFonts w:ascii="Arial" w:hAnsi="Arial" w:cs="Arial"/>
              </w:rPr>
              <w:t>Administration Services (Ireland) Limited</w:t>
            </w:r>
          </w:p>
        </w:tc>
        <w:tc>
          <w:tcPr>
            <w:tcW w:w="2284" w:type="pct"/>
            <w:vMerge/>
          </w:tcPr>
          <w:p w14:paraId="6FA477C8" w14:textId="77777777" w:rsidR="0021298F" w:rsidRPr="00B73F05" w:rsidRDefault="0021298F" w:rsidP="00760009">
            <w:pPr>
              <w:jc w:val="both"/>
              <w:cnfStyle w:val="000000000000" w:firstRow="0" w:lastRow="0" w:firstColumn="0" w:lastColumn="0" w:oddVBand="0" w:evenVBand="0" w:oddHBand="0" w:evenHBand="0" w:firstRowFirstColumn="0" w:firstRowLastColumn="0" w:lastRowFirstColumn="0" w:lastRowLastColumn="0"/>
              <w:rPr>
                <w:rFonts w:ascii="Arial" w:hAnsi="Arial" w:cs="Arial"/>
              </w:rPr>
            </w:pPr>
          </w:p>
        </w:tc>
      </w:tr>
      <w:tr w:rsidR="0021298F" w:rsidRPr="00CE7DC0" w14:paraId="520B1A4A" w14:textId="77777777" w:rsidTr="00760009">
        <w:tc>
          <w:tcPr>
            <w:cnfStyle w:val="001000000000" w:firstRow="0" w:lastRow="0" w:firstColumn="1" w:lastColumn="0" w:oddVBand="0" w:evenVBand="0" w:oddHBand="0" w:evenHBand="0" w:firstRowFirstColumn="0" w:firstRowLastColumn="0" w:lastRowFirstColumn="0" w:lastRowLastColumn="0"/>
            <w:tcW w:w="2716" w:type="pct"/>
          </w:tcPr>
          <w:p w14:paraId="33941EEA" w14:textId="77777777" w:rsidR="0021298F" w:rsidRPr="00B73F05" w:rsidRDefault="0021298F" w:rsidP="00760009">
            <w:pPr>
              <w:jc w:val="both"/>
              <w:rPr>
                <w:rFonts w:ascii="Arial" w:hAnsi="Arial" w:cs="Arial"/>
              </w:rPr>
            </w:pPr>
            <w:r w:rsidRPr="00B73F05">
              <w:rPr>
                <w:rFonts w:ascii="Arial" w:hAnsi="Arial" w:cs="Arial"/>
              </w:rPr>
              <w:t>Georges Court</w:t>
            </w:r>
          </w:p>
        </w:tc>
        <w:tc>
          <w:tcPr>
            <w:tcW w:w="2284" w:type="pct"/>
            <w:vMerge/>
          </w:tcPr>
          <w:p w14:paraId="5472C562" w14:textId="77777777" w:rsidR="0021298F" w:rsidRPr="00B73F05" w:rsidRDefault="0021298F" w:rsidP="00760009">
            <w:pPr>
              <w:jc w:val="both"/>
              <w:cnfStyle w:val="000000000000" w:firstRow="0" w:lastRow="0" w:firstColumn="0" w:lastColumn="0" w:oddVBand="0" w:evenVBand="0" w:oddHBand="0" w:evenHBand="0" w:firstRowFirstColumn="0" w:firstRowLastColumn="0" w:lastRowFirstColumn="0" w:lastRowLastColumn="0"/>
              <w:rPr>
                <w:rFonts w:ascii="Arial" w:hAnsi="Arial" w:cs="Arial"/>
              </w:rPr>
            </w:pPr>
          </w:p>
        </w:tc>
      </w:tr>
      <w:tr w:rsidR="0021298F" w:rsidRPr="00CE7DC0" w14:paraId="2D976767" w14:textId="77777777" w:rsidTr="00760009">
        <w:trPr>
          <w:trHeight w:val="177"/>
        </w:trPr>
        <w:tc>
          <w:tcPr>
            <w:cnfStyle w:val="001000000000" w:firstRow="0" w:lastRow="0" w:firstColumn="1" w:lastColumn="0" w:oddVBand="0" w:evenVBand="0" w:oddHBand="0" w:evenHBand="0" w:firstRowFirstColumn="0" w:firstRowLastColumn="0" w:lastRowFirstColumn="0" w:lastRowLastColumn="0"/>
            <w:tcW w:w="2716" w:type="pct"/>
          </w:tcPr>
          <w:p w14:paraId="0EFC72FC" w14:textId="77777777" w:rsidR="0021298F" w:rsidRPr="00B73F05" w:rsidRDefault="0021298F" w:rsidP="00760009">
            <w:pPr>
              <w:jc w:val="both"/>
              <w:rPr>
                <w:rFonts w:ascii="Arial" w:hAnsi="Arial" w:cs="Arial"/>
              </w:rPr>
            </w:pPr>
            <w:r w:rsidRPr="00B73F05">
              <w:rPr>
                <w:rFonts w:ascii="Arial" w:hAnsi="Arial" w:cs="Arial"/>
              </w:rPr>
              <w:t>54-62 Townsend Street</w:t>
            </w:r>
            <w:r w:rsidRPr="00B73F05" w:rsidDel="00134817">
              <w:rPr>
                <w:rFonts w:ascii="Arial" w:hAnsi="Arial" w:cs="Arial"/>
              </w:rPr>
              <w:t xml:space="preserve"> </w:t>
            </w:r>
          </w:p>
        </w:tc>
        <w:tc>
          <w:tcPr>
            <w:tcW w:w="2284" w:type="pct"/>
          </w:tcPr>
          <w:p w14:paraId="05D3E8D2" w14:textId="77777777" w:rsidR="0021298F" w:rsidRPr="00B73F05" w:rsidRDefault="0021298F" w:rsidP="00760009">
            <w:pPr>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B73F05">
              <w:rPr>
                <w:rFonts w:ascii="Arial" w:hAnsi="Arial" w:cs="Arial"/>
              </w:rPr>
              <w:t>J&amp;E Davy</w:t>
            </w:r>
            <w:r w:rsidRPr="00B73F05" w:rsidDel="00534D4C">
              <w:rPr>
                <w:rFonts w:ascii="Arial" w:hAnsi="Arial" w:cs="Arial"/>
                <w:b/>
              </w:rPr>
              <w:t xml:space="preserve"> </w:t>
            </w:r>
          </w:p>
        </w:tc>
      </w:tr>
      <w:tr w:rsidR="0021298F" w:rsidRPr="00CE7DC0" w14:paraId="06EFECFA" w14:textId="77777777" w:rsidTr="00760009">
        <w:trPr>
          <w:trHeight w:val="106"/>
        </w:trPr>
        <w:tc>
          <w:tcPr>
            <w:cnfStyle w:val="001000000000" w:firstRow="0" w:lastRow="0" w:firstColumn="1" w:lastColumn="0" w:oddVBand="0" w:evenVBand="0" w:oddHBand="0" w:evenHBand="0" w:firstRowFirstColumn="0" w:firstRowLastColumn="0" w:lastRowFirstColumn="0" w:lastRowLastColumn="0"/>
            <w:tcW w:w="2716" w:type="pct"/>
          </w:tcPr>
          <w:p w14:paraId="2466AD37" w14:textId="77777777" w:rsidR="0021298F" w:rsidRPr="00B73F05" w:rsidRDefault="0021298F" w:rsidP="00760009">
            <w:pPr>
              <w:jc w:val="both"/>
              <w:rPr>
                <w:rFonts w:ascii="Arial" w:hAnsi="Arial" w:cs="Arial"/>
              </w:rPr>
            </w:pPr>
            <w:r w:rsidRPr="00B73F05">
              <w:rPr>
                <w:rFonts w:ascii="Arial" w:hAnsi="Arial" w:cs="Arial"/>
              </w:rPr>
              <w:t>Dublin 2</w:t>
            </w:r>
          </w:p>
        </w:tc>
        <w:tc>
          <w:tcPr>
            <w:tcW w:w="2284" w:type="pct"/>
          </w:tcPr>
          <w:p w14:paraId="120FE5CF" w14:textId="77777777" w:rsidR="0021298F" w:rsidRPr="00B73F05" w:rsidRDefault="0021298F" w:rsidP="00760009">
            <w:pPr>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B73F05">
              <w:rPr>
                <w:rFonts w:ascii="Arial" w:hAnsi="Arial" w:cs="Arial"/>
              </w:rPr>
              <w:t>Davy House</w:t>
            </w:r>
            <w:r w:rsidRPr="00B73F05" w:rsidDel="00534D4C">
              <w:rPr>
                <w:rFonts w:ascii="Arial" w:hAnsi="Arial" w:cs="Arial"/>
              </w:rPr>
              <w:t xml:space="preserve"> </w:t>
            </w:r>
          </w:p>
        </w:tc>
      </w:tr>
      <w:tr w:rsidR="0021298F" w:rsidRPr="00CE7DC0" w14:paraId="2E20BCE7" w14:textId="77777777" w:rsidTr="00760009">
        <w:trPr>
          <w:trHeight w:val="106"/>
        </w:trPr>
        <w:tc>
          <w:tcPr>
            <w:cnfStyle w:val="001000000000" w:firstRow="0" w:lastRow="0" w:firstColumn="1" w:lastColumn="0" w:oddVBand="0" w:evenVBand="0" w:oddHBand="0" w:evenHBand="0" w:firstRowFirstColumn="0" w:firstRowLastColumn="0" w:lastRowFirstColumn="0" w:lastRowLastColumn="0"/>
            <w:tcW w:w="2716" w:type="pct"/>
          </w:tcPr>
          <w:p w14:paraId="3D62DDD4" w14:textId="77777777" w:rsidR="0021298F" w:rsidRPr="00B73F05" w:rsidRDefault="0021298F" w:rsidP="00760009">
            <w:pPr>
              <w:jc w:val="both"/>
              <w:rPr>
                <w:rFonts w:ascii="Arial" w:hAnsi="Arial" w:cs="Arial"/>
              </w:rPr>
            </w:pPr>
          </w:p>
        </w:tc>
        <w:tc>
          <w:tcPr>
            <w:tcW w:w="2284" w:type="pct"/>
          </w:tcPr>
          <w:p w14:paraId="14E4F1E6" w14:textId="77777777" w:rsidR="0021298F" w:rsidRPr="00B73F05" w:rsidRDefault="0021298F" w:rsidP="00760009">
            <w:pPr>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B73F05">
              <w:rPr>
                <w:rFonts w:ascii="Arial" w:hAnsi="Arial" w:cs="Arial"/>
              </w:rPr>
              <w:t>49 Dawson Street</w:t>
            </w:r>
            <w:r w:rsidRPr="00B73F05" w:rsidDel="00534D4C">
              <w:rPr>
                <w:rFonts w:ascii="Arial" w:hAnsi="Arial" w:cs="Arial"/>
              </w:rPr>
              <w:t xml:space="preserve"> </w:t>
            </w:r>
          </w:p>
        </w:tc>
      </w:tr>
      <w:tr w:rsidR="0021298F" w:rsidRPr="00CE7DC0" w14:paraId="318F70F0" w14:textId="77777777" w:rsidTr="00760009">
        <w:tc>
          <w:tcPr>
            <w:cnfStyle w:val="001000000000" w:firstRow="0" w:lastRow="0" w:firstColumn="1" w:lastColumn="0" w:oddVBand="0" w:evenVBand="0" w:oddHBand="0" w:evenHBand="0" w:firstRowFirstColumn="0" w:firstRowLastColumn="0" w:lastRowFirstColumn="0" w:lastRowLastColumn="0"/>
            <w:tcW w:w="2716" w:type="pct"/>
          </w:tcPr>
          <w:p w14:paraId="38FBB42C" w14:textId="77777777" w:rsidR="0021298F" w:rsidRPr="00B73F05" w:rsidRDefault="0021298F" w:rsidP="00760009">
            <w:pPr>
              <w:jc w:val="both"/>
              <w:rPr>
                <w:rFonts w:ascii="Arial" w:hAnsi="Arial" w:cs="Arial"/>
              </w:rPr>
            </w:pPr>
          </w:p>
        </w:tc>
        <w:tc>
          <w:tcPr>
            <w:tcW w:w="2284" w:type="pct"/>
          </w:tcPr>
          <w:p w14:paraId="2B3BD60D" w14:textId="77777777" w:rsidR="0021298F" w:rsidRPr="00B73F05" w:rsidRDefault="0021298F" w:rsidP="00760009">
            <w:pPr>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B73F05">
              <w:rPr>
                <w:rFonts w:ascii="Arial" w:hAnsi="Arial" w:cs="Arial"/>
              </w:rPr>
              <w:t>Dublin 2</w:t>
            </w:r>
          </w:p>
        </w:tc>
      </w:tr>
      <w:tr w:rsidR="0021298F" w:rsidRPr="00CE7DC0" w14:paraId="7EF84B10" w14:textId="77777777" w:rsidTr="00760009">
        <w:tc>
          <w:tcPr>
            <w:cnfStyle w:val="001000000000" w:firstRow="0" w:lastRow="0" w:firstColumn="1" w:lastColumn="0" w:oddVBand="0" w:evenVBand="0" w:oddHBand="0" w:evenHBand="0" w:firstRowFirstColumn="0" w:firstRowLastColumn="0" w:lastRowFirstColumn="0" w:lastRowLastColumn="0"/>
            <w:tcW w:w="2716" w:type="pct"/>
          </w:tcPr>
          <w:p w14:paraId="66EC7436" w14:textId="77777777" w:rsidR="0021298F" w:rsidRPr="00B73F05" w:rsidRDefault="0021298F" w:rsidP="00760009">
            <w:pPr>
              <w:jc w:val="both"/>
              <w:rPr>
                <w:rFonts w:ascii="Arial" w:hAnsi="Arial" w:cs="Arial"/>
                <w:b/>
                <w:szCs w:val="22"/>
              </w:rPr>
            </w:pPr>
            <w:r w:rsidRPr="00B73F05">
              <w:rPr>
                <w:rFonts w:ascii="Arial" w:hAnsi="Arial" w:cs="Arial"/>
                <w:b/>
              </w:rPr>
              <w:t>Depositary</w:t>
            </w:r>
          </w:p>
        </w:tc>
        <w:tc>
          <w:tcPr>
            <w:tcW w:w="2284" w:type="pct"/>
          </w:tcPr>
          <w:p w14:paraId="18333155" w14:textId="77777777" w:rsidR="0021298F" w:rsidRPr="00B73F05" w:rsidRDefault="0021298F" w:rsidP="00760009">
            <w:pPr>
              <w:jc w:val="both"/>
              <w:cnfStyle w:val="000000000000" w:firstRow="0" w:lastRow="0" w:firstColumn="0" w:lastColumn="0" w:oddVBand="0" w:evenVBand="0" w:oddHBand="0" w:evenHBand="0" w:firstRowFirstColumn="0" w:firstRowLastColumn="0" w:lastRowFirstColumn="0" w:lastRowLastColumn="0"/>
              <w:rPr>
                <w:rFonts w:ascii="Arial" w:hAnsi="Arial" w:cs="Arial"/>
                <w:b/>
                <w:szCs w:val="22"/>
              </w:rPr>
            </w:pPr>
          </w:p>
        </w:tc>
      </w:tr>
      <w:tr w:rsidR="0021298F" w:rsidRPr="00CE7DC0" w14:paraId="7286BB5A" w14:textId="77777777" w:rsidTr="00760009">
        <w:tc>
          <w:tcPr>
            <w:cnfStyle w:val="001000000000" w:firstRow="0" w:lastRow="0" w:firstColumn="1" w:lastColumn="0" w:oddVBand="0" w:evenVBand="0" w:oddHBand="0" w:evenHBand="0" w:firstRowFirstColumn="0" w:firstRowLastColumn="0" w:lastRowFirstColumn="0" w:lastRowLastColumn="0"/>
            <w:tcW w:w="2716" w:type="pct"/>
          </w:tcPr>
          <w:p w14:paraId="1664A611" w14:textId="77777777" w:rsidR="0021298F" w:rsidRPr="00B73F05" w:rsidRDefault="0021298F" w:rsidP="00760009">
            <w:pPr>
              <w:jc w:val="both"/>
              <w:rPr>
                <w:rFonts w:ascii="Arial" w:hAnsi="Arial" w:cs="Arial"/>
                <w:szCs w:val="22"/>
              </w:rPr>
            </w:pPr>
            <w:r w:rsidRPr="00B73F05">
              <w:rPr>
                <w:rFonts w:ascii="Arial" w:hAnsi="Arial" w:cs="Arial"/>
              </w:rPr>
              <w:t xml:space="preserve">Northern Trust International Fiduciary  </w:t>
            </w:r>
          </w:p>
        </w:tc>
        <w:tc>
          <w:tcPr>
            <w:tcW w:w="2284" w:type="pct"/>
          </w:tcPr>
          <w:p w14:paraId="2E439A64" w14:textId="77777777" w:rsidR="0021298F" w:rsidRPr="00B73F05" w:rsidRDefault="0021298F" w:rsidP="00760009">
            <w:pPr>
              <w:jc w:val="both"/>
              <w:cnfStyle w:val="000000000000" w:firstRow="0" w:lastRow="0" w:firstColumn="0" w:lastColumn="0" w:oddVBand="0" w:evenVBand="0" w:oddHBand="0" w:evenHBand="0" w:firstRowFirstColumn="0" w:firstRowLastColumn="0" w:lastRowFirstColumn="0" w:lastRowLastColumn="0"/>
              <w:rPr>
                <w:rFonts w:ascii="Arial" w:hAnsi="Arial" w:cs="Arial"/>
                <w:b/>
                <w:szCs w:val="22"/>
              </w:rPr>
            </w:pPr>
          </w:p>
        </w:tc>
      </w:tr>
      <w:tr w:rsidR="0021298F" w:rsidRPr="00CE7DC0" w14:paraId="2AAB09A4" w14:textId="77777777" w:rsidTr="00760009">
        <w:tc>
          <w:tcPr>
            <w:cnfStyle w:val="001000000000" w:firstRow="0" w:lastRow="0" w:firstColumn="1" w:lastColumn="0" w:oddVBand="0" w:evenVBand="0" w:oddHBand="0" w:evenHBand="0" w:firstRowFirstColumn="0" w:firstRowLastColumn="0" w:lastRowFirstColumn="0" w:lastRowLastColumn="0"/>
            <w:tcW w:w="2716" w:type="pct"/>
          </w:tcPr>
          <w:p w14:paraId="35CE6169" w14:textId="77777777" w:rsidR="0021298F" w:rsidRPr="00B73F05" w:rsidRDefault="0021298F" w:rsidP="00760009">
            <w:pPr>
              <w:jc w:val="both"/>
              <w:rPr>
                <w:rFonts w:ascii="Arial" w:hAnsi="Arial" w:cs="Arial"/>
                <w:b/>
                <w:szCs w:val="22"/>
              </w:rPr>
            </w:pPr>
            <w:r w:rsidRPr="00B73F05">
              <w:rPr>
                <w:rFonts w:ascii="Arial" w:hAnsi="Arial" w:cs="Arial"/>
              </w:rPr>
              <w:t>Services (Ireland) Limited</w:t>
            </w:r>
          </w:p>
        </w:tc>
        <w:tc>
          <w:tcPr>
            <w:tcW w:w="2284" w:type="pct"/>
          </w:tcPr>
          <w:p w14:paraId="497BBA68" w14:textId="77777777" w:rsidR="0021298F" w:rsidRPr="00B73F05" w:rsidRDefault="0021298F" w:rsidP="00760009">
            <w:pPr>
              <w:jc w:val="both"/>
              <w:cnfStyle w:val="000000000000" w:firstRow="0" w:lastRow="0" w:firstColumn="0" w:lastColumn="0" w:oddVBand="0" w:evenVBand="0" w:oddHBand="0" w:evenHBand="0" w:firstRowFirstColumn="0" w:firstRowLastColumn="0" w:lastRowFirstColumn="0" w:lastRowLastColumn="0"/>
              <w:rPr>
                <w:rFonts w:ascii="Arial" w:hAnsi="Arial" w:cs="Arial"/>
                <w:b/>
                <w:szCs w:val="22"/>
              </w:rPr>
            </w:pPr>
            <w:r w:rsidRPr="00B73F05">
              <w:rPr>
                <w:rFonts w:ascii="Arial" w:hAnsi="Arial" w:cs="Arial"/>
                <w:b/>
              </w:rPr>
              <w:t>Account Banks</w:t>
            </w:r>
          </w:p>
        </w:tc>
      </w:tr>
      <w:tr w:rsidR="0021298F" w:rsidRPr="00CE7DC0" w14:paraId="6FBB0166" w14:textId="77777777" w:rsidTr="00760009">
        <w:trPr>
          <w:trHeight w:val="207"/>
        </w:trPr>
        <w:tc>
          <w:tcPr>
            <w:cnfStyle w:val="001000000000" w:firstRow="0" w:lastRow="0" w:firstColumn="1" w:lastColumn="0" w:oddVBand="0" w:evenVBand="0" w:oddHBand="0" w:evenHBand="0" w:firstRowFirstColumn="0" w:firstRowLastColumn="0" w:lastRowFirstColumn="0" w:lastRowLastColumn="0"/>
            <w:tcW w:w="2716" w:type="pct"/>
          </w:tcPr>
          <w:p w14:paraId="7E9D9498" w14:textId="77777777" w:rsidR="0021298F" w:rsidRPr="00B73F05" w:rsidRDefault="0021298F" w:rsidP="00760009">
            <w:pPr>
              <w:jc w:val="both"/>
              <w:rPr>
                <w:rFonts w:ascii="Arial" w:hAnsi="Arial" w:cs="Arial"/>
                <w:b/>
                <w:szCs w:val="22"/>
              </w:rPr>
            </w:pPr>
            <w:r w:rsidRPr="00B73F05">
              <w:rPr>
                <w:rFonts w:ascii="Arial" w:hAnsi="Arial" w:cs="Arial"/>
              </w:rPr>
              <w:t>Georges Court</w:t>
            </w:r>
          </w:p>
        </w:tc>
        <w:tc>
          <w:tcPr>
            <w:tcW w:w="2284" w:type="pct"/>
          </w:tcPr>
          <w:p w14:paraId="7E5A7803" w14:textId="77777777" w:rsidR="0021298F" w:rsidRPr="00B73F05" w:rsidRDefault="0021298F" w:rsidP="00760009">
            <w:pPr>
              <w:jc w:val="both"/>
              <w:cnfStyle w:val="000000000000" w:firstRow="0" w:lastRow="0" w:firstColumn="0" w:lastColumn="0" w:oddVBand="0" w:evenVBand="0" w:oddHBand="0" w:evenHBand="0" w:firstRowFirstColumn="0" w:firstRowLastColumn="0" w:lastRowFirstColumn="0" w:lastRowLastColumn="0"/>
              <w:rPr>
                <w:rFonts w:ascii="Arial" w:hAnsi="Arial" w:cs="Arial"/>
                <w:szCs w:val="22"/>
              </w:rPr>
            </w:pPr>
            <w:r w:rsidRPr="00B73F05">
              <w:rPr>
                <w:rFonts w:ascii="Arial" w:hAnsi="Arial" w:cs="Arial"/>
              </w:rPr>
              <w:t>Allied Irish Banks plc.</w:t>
            </w:r>
          </w:p>
        </w:tc>
      </w:tr>
      <w:tr w:rsidR="0021298F" w:rsidRPr="00CE7DC0" w14:paraId="3367FB23" w14:textId="77777777" w:rsidTr="00760009">
        <w:tc>
          <w:tcPr>
            <w:cnfStyle w:val="001000000000" w:firstRow="0" w:lastRow="0" w:firstColumn="1" w:lastColumn="0" w:oddVBand="0" w:evenVBand="0" w:oddHBand="0" w:evenHBand="0" w:firstRowFirstColumn="0" w:firstRowLastColumn="0" w:lastRowFirstColumn="0" w:lastRowLastColumn="0"/>
            <w:tcW w:w="2716" w:type="pct"/>
          </w:tcPr>
          <w:p w14:paraId="74319F10" w14:textId="77777777" w:rsidR="0021298F" w:rsidRPr="00B73F05" w:rsidRDefault="0021298F" w:rsidP="00760009">
            <w:pPr>
              <w:jc w:val="both"/>
              <w:rPr>
                <w:rFonts w:ascii="Arial" w:hAnsi="Arial" w:cs="Arial"/>
                <w:b/>
                <w:szCs w:val="22"/>
              </w:rPr>
            </w:pPr>
            <w:r w:rsidRPr="00B73F05">
              <w:rPr>
                <w:rFonts w:ascii="Arial" w:hAnsi="Arial" w:cs="Arial"/>
              </w:rPr>
              <w:t>54-62 Townsend Street</w:t>
            </w:r>
          </w:p>
        </w:tc>
        <w:tc>
          <w:tcPr>
            <w:tcW w:w="2284" w:type="pct"/>
          </w:tcPr>
          <w:p w14:paraId="2EB01024" w14:textId="77777777" w:rsidR="0021298F" w:rsidRPr="00B73F05" w:rsidRDefault="0021298F" w:rsidP="00760009">
            <w:pPr>
              <w:jc w:val="both"/>
              <w:cnfStyle w:val="000000000000" w:firstRow="0" w:lastRow="0" w:firstColumn="0" w:lastColumn="0" w:oddVBand="0" w:evenVBand="0" w:oddHBand="0" w:evenHBand="0" w:firstRowFirstColumn="0" w:firstRowLastColumn="0" w:lastRowFirstColumn="0" w:lastRowLastColumn="0"/>
              <w:rPr>
                <w:rFonts w:ascii="Arial" w:hAnsi="Arial" w:cs="Arial"/>
                <w:szCs w:val="22"/>
              </w:rPr>
            </w:pPr>
            <w:r w:rsidRPr="00B73F05">
              <w:rPr>
                <w:rFonts w:ascii="Arial" w:hAnsi="Arial" w:cs="Arial"/>
              </w:rPr>
              <w:t>40/41 Westmoreland Street</w:t>
            </w:r>
          </w:p>
        </w:tc>
      </w:tr>
      <w:tr w:rsidR="0021298F" w:rsidRPr="00CE7DC0" w14:paraId="0BDB68AA" w14:textId="77777777" w:rsidTr="00760009">
        <w:tc>
          <w:tcPr>
            <w:cnfStyle w:val="001000000000" w:firstRow="0" w:lastRow="0" w:firstColumn="1" w:lastColumn="0" w:oddVBand="0" w:evenVBand="0" w:oddHBand="0" w:evenHBand="0" w:firstRowFirstColumn="0" w:firstRowLastColumn="0" w:lastRowFirstColumn="0" w:lastRowLastColumn="0"/>
            <w:tcW w:w="2716" w:type="pct"/>
          </w:tcPr>
          <w:p w14:paraId="371A4130" w14:textId="77777777" w:rsidR="0021298F" w:rsidRPr="00B73F05" w:rsidRDefault="0021298F" w:rsidP="00760009">
            <w:pPr>
              <w:jc w:val="both"/>
              <w:rPr>
                <w:rFonts w:ascii="Arial" w:hAnsi="Arial" w:cs="Arial"/>
                <w:b/>
                <w:szCs w:val="22"/>
              </w:rPr>
            </w:pPr>
            <w:r w:rsidRPr="00B73F05">
              <w:rPr>
                <w:rFonts w:ascii="Arial" w:hAnsi="Arial" w:cs="Arial"/>
              </w:rPr>
              <w:t>Dublin 2</w:t>
            </w:r>
          </w:p>
        </w:tc>
        <w:tc>
          <w:tcPr>
            <w:tcW w:w="2284" w:type="pct"/>
          </w:tcPr>
          <w:p w14:paraId="05438F41" w14:textId="77777777" w:rsidR="0021298F" w:rsidRPr="00B73F05" w:rsidRDefault="0021298F" w:rsidP="00760009">
            <w:pPr>
              <w:jc w:val="both"/>
              <w:cnfStyle w:val="000000000000" w:firstRow="0" w:lastRow="0" w:firstColumn="0" w:lastColumn="0" w:oddVBand="0" w:evenVBand="0" w:oddHBand="0" w:evenHBand="0" w:firstRowFirstColumn="0" w:firstRowLastColumn="0" w:lastRowFirstColumn="0" w:lastRowLastColumn="0"/>
              <w:rPr>
                <w:rFonts w:ascii="Arial" w:hAnsi="Arial" w:cs="Arial"/>
                <w:szCs w:val="22"/>
              </w:rPr>
            </w:pPr>
            <w:r w:rsidRPr="00B73F05">
              <w:rPr>
                <w:rFonts w:ascii="Arial" w:hAnsi="Arial" w:cs="Arial"/>
              </w:rPr>
              <w:t>Dublin 2</w:t>
            </w:r>
          </w:p>
        </w:tc>
      </w:tr>
      <w:tr w:rsidR="0021298F" w:rsidRPr="00CE7DC0" w14:paraId="53CC4491" w14:textId="77777777" w:rsidTr="00760009">
        <w:tc>
          <w:tcPr>
            <w:cnfStyle w:val="001000000000" w:firstRow="0" w:lastRow="0" w:firstColumn="1" w:lastColumn="0" w:oddVBand="0" w:evenVBand="0" w:oddHBand="0" w:evenHBand="0" w:firstRowFirstColumn="0" w:firstRowLastColumn="0" w:lastRowFirstColumn="0" w:lastRowLastColumn="0"/>
            <w:tcW w:w="2716" w:type="pct"/>
          </w:tcPr>
          <w:p w14:paraId="7B4AF023" w14:textId="77777777" w:rsidR="0021298F" w:rsidRPr="00B73F05" w:rsidRDefault="0021298F" w:rsidP="00760009">
            <w:pPr>
              <w:jc w:val="both"/>
              <w:rPr>
                <w:rFonts w:ascii="Arial" w:hAnsi="Arial" w:cs="Arial"/>
                <w:szCs w:val="22"/>
              </w:rPr>
            </w:pPr>
          </w:p>
        </w:tc>
        <w:tc>
          <w:tcPr>
            <w:tcW w:w="2284" w:type="pct"/>
          </w:tcPr>
          <w:p w14:paraId="04EB5944" w14:textId="77777777" w:rsidR="0021298F" w:rsidRPr="00B73F05" w:rsidRDefault="0021298F" w:rsidP="00760009">
            <w:pPr>
              <w:jc w:val="both"/>
              <w:cnfStyle w:val="000000000000" w:firstRow="0" w:lastRow="0" w:firstColumn="0" w:lastColumn="0" w:oddVBand="0" w:evenVBand="0" w:oddHBand="0" w:evenHBand="0" w:firstRowFirstColumn="0" w:firstRowLastColumn="0" w:lastRowFirstColumn="0" w:lastRowLastColumn="0"/>
              <w:rPr>
                <w:rFonts w:ascii="Arial" w:hAnsi="Arial" w:cs="Arial"/>
                <w:b/>
                <w:szCs w:val="22"/>
              </w:rPr>
            </w:pPr>
          </w:p>
        </w:tc>
      </w:tr>
      <w:tr w:rsidR="0021298F" w:rsidRPr="00CE7DC0" w14:paraId="440FE852" w14:textId="77777777" w:rsidTr="00760009">
        <w:tc>
          <w:tcPr>
            <w:cnfStyle w:val="001000000000" w:firstRow="0" w:lastRow="0" w:firstColumn="1" w:lastColumn="0" w:oddVBand="0" w:evenVBand="0" w:oddHBand="0" w:evenHBand="0" w:firstRowFirstColumn="0" w:firstRowLastColumn="0" w:lastRowFirstColumn="0" w:lastRowLastColumn="0"/>
            <w:tcW w:w="2716" w:type="pct"/>
          </w:tcPr>
          <w:p w14:paraId="5E6F57B9" w14:textId="77777777" w:rsidR="0021298F" w:rsidRPr="00B73F05" w:rsidRDefault="0021298F" w:rsidP="00760009">
            <w:pPr>
              <w:jc w:val="both"/>
              <w:rPr>
                <w:rFonts w:ascii="Arial" w:hAnsi="Arial" w:cs="Arial"/>
                <w:b/>
                <w:szCs w:val="22"/>
              </w:rPr>
            </w:pPr>
          </w:p>
        </w:tc>
        <w:tc>
          <w:tcPr>
            <w:tcW w:w="2284" w:type="pct"/>
          </w:tcPr>
          <w:p w14:paraId="7085475F" w14:textId="77777777" w:rsidR="0021298F" w:rsidRPr="00841DE0" w:rsidRDefault="0021298F" w:rsidP="00760009">
            <w:pPr>
              <w:jc w:val="both"/>
              <w:cnfStyle w:val="000000000000" w:firstRow="0" w:lastRow="0" w:firstColumn="0" w:lastColumn="0" w:oddVBand="0" w:evenVBand="0" w:oddHBand="0" w:evenHBand="0" w:firstRowFirstColumn="0" w:firstRowLastColumn="0" w:lastRowFirstColumn="0" w:lastRowLastColumn="0"/>
              <w:rPr>
                <w:rFonts w:ascii="Arial" w:hAnsi="Arial" w:cs="Arial"/>
                <w:bCs/>
                <w:szCs w:val="22"/>
              </w:rPr>
            </w:pPr>
            <w:r w:rsidRPr="00841DE0">
              <w:rPr>
                <w:rFonts w:ascii="Arial" w:hAnsi="Arial" w:cs="Arial"/>
                <w:bCs/>
              </w:rPr>
              <w:t>Northern Trust</w:t>
            </w:r>
            <w:r>
              <w:rPr>
                <w:rFonts w:ascii="Arial" w:hAnsi="Arial" w:cs="Arial"/>
                <w:bCs/>
                <w:szCs w:val="22"/>
              </w:rPr>
              <w:t xml:space="preserve"> International Fiduciary</w:t>
            </w:r>
          </w:p>
        </w:tc>
      </w:tr>
      <w:tr w:rsidR="0021298F" w:rsidRPr="00CE7DC0" w14:paraId="3A721537" w14:textId="77777777" w:rsidTr="00760009">
        <w:tc>
          <w:tcPr>
            <w:cnfStyle w:val="001000000000" w:firstRow="0" w:lastRow="0" w:firstColumn="1" w:lastColumn="0" w:oddVBand="0" w:evenVBand="0" w:oddHBand="0" w:evenHBand="0" w:firstRowFirstColumn="0" w:firstRowLastColumn="0" w:lastRowFirstColumn="0" w:lastRowLastColumn="0"/>
            <w:tcW w:w="2716" w:type="pct"/>
          </w:tcPr>
          <w:p w14:paraId="31505F57" w14:textId="77777777" w:rsidR="0021298F" w:rsidRPr="00B73F05" w:rsidRDefault="0021298F" w:rsidP="00760009">
            <w:pPr>
              <w:jc w:val="both"/>
              <w:rPr>
                <w:rFonts w:ascii="Arial" w:hAnsi="Arial" w:cs="Arial"/>
                <w:b/>
                <w:szCs w:val="22"/>
              </w:rPr>
            </w:pPr>
            <w:r w:rsidRPr="00B73F05">
              <w:rPr>
                <w:rFonts w:ascii="Arial" w:hAnsi="Arial" w:cs="Arial"/>
                <w:b/>
              </w:rPr>
              <w:t>Registrar</w:t>
            </w:r>
            <w:r w:rsidRPr="00B73F05" w:rsidDel="002253D8">
              <w:rPr>
                <w:rFonts w:ascii="Arial" w:hAnsi="Arial" w:cs="Arial"/>
              </w:rPr>
              <w:t xml:space="preserve"> </w:t>
            </w:r>
          </w:p>
        </w:tc>
        <w:tc>
          <w:tcPr>
            <w:tcW w:w="2284" w:type="pct"/>
          </w:tcPr>
          <w:p w14:paraId="7366665E" w14:textId="77777777" w:rsidR="0021298F" w:rsidRPr="00841DE0" w:rsidRDefault="0021298F" w:rsidP="00760009">
            <w:pPr>
              <w:jc w:val="both"/>
              <w:cnfStyle w:val="000000000000" w:firstRow="0" w:lastRow="0" w:firstColumn="0" w:lastColumn="0" w:oddVBand="0" w:evenVBand="0" w:oddHBand="0" w:evenHBand="0" w:firstRowFirstColumn="0" w:firstRowLastColumn="0" w:lastRowFirstColumn="0" w:lastRowLastColumn="0"/>
              <w:rPr>
                <w:rFonts w:ascii="Arial" w:hAnsi="Arial" w:cs="Arial"/>
                <w:bCs/>
                <w:szCs w:val="22"/>
              </w:rPr>
            </w:pPr>
            <w:r>
              <w:rPr>
                <w:rFonts w:ascii="Arial" w:hAnsi="Arial" w:cs="Arial"/>
                <w:bCs/>
                <w:szCs w:val="22"/>
              </w:rPr>
              <w:t>Services (Ireland) Limited</w:t>
            </w:r>
          </w:p>
        </w:tc>
      </w:tr>
      <w:tr w:rsidR="0021298F" w:rsidRPr="00CE7DC0" w14:paraId="290B624B" w14:textId="77777777" w:rsidTr="00760009">
        <w:tc>
          <w:tcPr>
            <w:cnfStyle w:val="001000000000" w:firstRow="0" w:lastRow="0" w:firstColumn="1" w:lastColumn="0" w:oddVBand="0" w:evenVBand="0" w:oddHBand="0" w:evenHBand="0" w:firstRowFirstColumn="0" w:firstRowLastColumn="0" w:lastRowFirstColumn="0" w:lastRowLastColumn="0"/>
            <w:tcW w:w="2716" w:type="pct"/>
          </w:tcPr>
          <w:p w14:paraId="45A4BC91" w14:textId="77777777" w:rsidR="0021298F" w:rsidRPr="00B73F05" w:rsidRDefault="0021298F" w:rsidP="00760009">
            <w:pPr>
              <w:jc w:val="both"/>
              <w:rPr>
                <w:rFonts w:ascii="Arial" w:hAnsi="Arial" w:cs="Arial"/>
                <w:b/>
                <w:szCs w:val="22"/>
              </w:rPr>
            </w:pPr>
            <w:r w:rsidRPr="00B73F05">
              <w:rPr>
                <w:rFonts w:ascii="Arial" w:hAnsi="Arial" w:cs="Arial"/>
              </w:rPr>
              <w:t>Computershare Investor Services</w:t>
            </w:r>
          </w:p>
        </w:tc>
        <w:tc>
          <w:tcPr>
            <w:tcW w:w="2284" w:type="pct"/>
          </w:tcPr>
          <w:p w14:paraId="5BE2DB7E" w14:textId="77777777" w:rsidR="0021298F" w:rsidRPr="00A022C3" w:rsidRDefault="0021298F" w:rsidP="00760009">
            <w:pPr>
              <w:jc w:val="both"/>
              <w:cnfStyle w:val="000000000000" w:firstRow="0" w:lastRow="0" w:firstColumn="0" w:lastColumn="0" w:oddVBand="0" w:evenVBand="0" w:oddHBand="0" w:evenHBand="0" w:firstRowFirstColumn="0" w:firstRowLastColumn="0" w:lastRowFirstColumn="0" w:lastRowLastColumn="0"/>
              <w:rPr>
                <w:rFonts w:ascii="Arial" w:hAnsi="Arial" w:cs="Arial"/>
                <w:b/>
                <w:szCs w:val="22"/>
              </w:rPr>
            </w:pPr>
            <w:r w:rsidRPr="00841DE0">
              <w:rPr>
                <w:rFonts w:ascii="Arial" w:hAnsi="Arial" w:cs="Arial"/>
                <w:bCs/>
              </w:rPr>
              <w:t xml:space="preserve">Georges </w:t>
            </w:r>
            <w:r>
              <w:rPr>
                <w:rFonts w:ascii="Arial" w:hAnsi="Arial" w:cs="Arial"/>
                <w:bCs/>
                <w:szCs w:val="22"/>
              </w:rPr>
              <w:t>Court</w:t>
            </w:r>
          </w:p>
        </w:tc>
      </w:tr>
      <w:tr w:rsidR="0021298F" w:rsidRPr="00CE7DC0" w14:paraId="634A58BD" w14:textId="77777777" w:rsidTr="00760009">
        <w:tc>
          <w:tcPr>
            <w:cnfStyle w:val="001000000000" w:firstRow="0" w:lastRow="0" w:firstColumn="1" w:lastColumn="0" w:oddVBand="0" w:evenVBand="0" w:oddHBand="0" w:evenHBand="0" w:firstRowFirstColumn="0" w:firstRowLastColumn="0" w:lastRowFirstColumn="0" w:lastRowLastColumn="0"/>
            <w:tcW w:w="2716" w:type="pct"/>
          </w:tcPr>
          <w:p w14:paraId="34C691D7" w14:textId="77777777" w:rsidR="0021298F" w:rsidRPr="00B73F05" w:rsidRDefault="0021298F" w:rsidP="00760009">
            <w:pPr>
              <w:jc w:val="both"/>
              <w:rPr>
                <w:rFonts w:ascii="Arial" w:hAnsi="Arial" w:cs="Arial"/>
                <w:b/>
                <w:szCs w:val="22"/>
              </w:rPr>
            </w:pPr>
            <w:r w:rsidRPr="00B73F05">
              <w:rPr>
                <w:rFonts w:ascii="Arial" w:hAnsi="Arial" w:cs="Arial"/>
              </w:rPr>
              <w:t>(Ireland) Limited</w:t>
            </w:r>
            <w:r w:rsidRPr="00B73F05">
              <w:rPr>
                <w:rFonts w:ascii="Arial" w:hAnsi="Arial" w:cs="Arial"/>
              </w:rPr>
              <w:tab/>
            </w:r>
          </w:p>
        </w:tc>
        <w:tc>
          <w:tcPr>
            <w:tcW w:w="2284" w:type="pct"/>
          </w:tcPr>
          <w:p w14:paraId="40D5C098" w14:textId="77777777" w:rsidR="0021298F" w:rsidRPr="00841DE0" w:rsidRDefault="0021298F" w:rsidP="00760009">
            <w:pPr>
              <w:jc w:val="both"/>
              <w:cnfStyle w:val="000000000000" w:firstRow="0" w:lastRow="0" w:firstColumn="0" w:lastColumn="0" w:oddVBand="0" w:evenVBand="0" w:oddHBand="0" w:evenHBand="0" w:firstRowFirstColumn="0" w:firstRowLastColumn="0" w:lastRowFirstColumn="0" w:lastRowLastColumn="0"/>
              <w:rPr>
                <w:rFonts w:ascii="Arial" w:hAnsi="Arial" w:cs="Arial"/>
                <w:bCs/>
                <w:szCs w:val="22"/>
              </w:rPr>
            </w:pPr>
            <w:r w:rsidRPr="00841DE0">
              <w:rPr>
                <w:rFonts w:ascii="Arial" w:hAnsi="Arial" w:cs="Arial"/>
                <w:bCs/>
              </w:rPr>
              <w:t>56-62 Townsend St</w:t>
            </w:r>
            <w:r>
              <w:rPr>
                <w:rFonts w:ascii="Arial" w:hAnsi="Arial" w:cs="Arial"/>
                <w:bCs/>
                <w:szCs w:val="22"/>
              </w:rPr>
              <w:t>reet</w:t>
            </w:r>
          </w:p>
        </w:tc>
      </w:tr>
      <w:tr w:rsidR="0021298F" w:rsidRPr="00CE7DC0" w14:paraId="27BB1263" w14:textId="77777777" w:rsidTr="00760009">
        <w:trPr>
          <w:trHeight w:val="63"/>
        </w:trPr>
        <w:tc>
          <w:tcPr>
            <w:cnfStyle w:val="001000000000" w:firstRow="0" w:lastRow="0" w:firstColumn="1" w:lastColumn="0" w:oddVBand="0" w:evenVBand="0" w:oddHBand="0" w:evenHBand="0" w:firstRowFirstColumn="0" w:firstRowLastColumn="0" w:lastRowFirstColumn="0" w:lastRowLastColumn="0"/>
            <w:tcW w:w="2716" w:type="pct"/>
          </w:tcPr>
          <w:p w14:paraId="363B3C7A" w14:textId="77777777" w:rsidR="0021298F" w:rsidRPr="00B73F05" w:rsidRDefault="0021298F" w:rsidP="00760009">
            <w:pPr>
              <w:jc w:val="both"/>
              <w:rPr>
                <w:rFonts w:ascii="Arial" w:hAnsi="Arial" w:cs="Arial"/>
                <w:b/>
                <w:szCs w:val="22"/>
              </w:rPr>
            </w:pPr>
            <w:r w:rsidRPr="00B73F05">
              <w:rPr>
                <w:rFonts w:ascii="Arial" w:hAnsi="Arial" w:cs="Arial"/>
              </w:rPr>
              <w:t xml:space="preserve">Heron House, </w:t>
            </w:r>
            <w:r w:rsidRPr="00B73F05">
              <w:rPr>
                <w:rFonts w:ascii="Arial" w:hAnsi="Arial" w:cs="Arial"/>
              </w:rPr>
              <w:tab/>
              <w:t>Corrig Road</w:t>
            </w:r>
            <w:r w:rsidRPr="00B73F05" w:rsidDel="00CC6EEA">
              <w:rPr>
                <w:rFonts w:ascii="Arial" w:hAnsi="Arial" w:cs="Arial"/>
              </w:rPr>
              <w:t xml:space="preserve"> </w:t>
            </w:r>
          </w:p>
        </w:tc>
        <w:tc>
          <w:tcPr>
            <w:tcW w:w="2284" w:type="pct"/>
          </w:tcPr>
          <w:p w14:paraId="198BEACA" w14:textId="77777777" w:rsidR="0021298F" w:rsidRPr="00841DE0" w:rsidRDefault="0021298F" w:rsidP="00760009">
            <w:pPr>
              <w:jc w:val="both"/>
              <w:cnfStyle w:val="000000000000" w:firstRow="0" w:lastRow="0" w:firstColumn="0" w:lastColumn="0" w:oddVBand="0" w:evenVBand="0" w:oddHBand="0" w:evenHBand="0" w:firstRowFirstColumn="0" w:firstRowLastColumn="0" w:lastRowFirstColumn="0" w:lastRowLastColumn="0"/>
              <w:rPr>
                <w:rFonts w:ascii="Arial" w:hAnsi="Arial" w:cs="Arial"/>
                <w:bCs/>
                <w:szCs w:val="22"/>
              </w:rPr>
            </w:pPr>
            <w:r w:rsidRPr="00841DE0">
              <w:rPr>
                <w:rFonts w:ascii="Arial" w:hAnsi="Arial" w:cs="Arial"/>
                <w:bCs/>
              </w:rPr>
              <w:t>Dublin 2</w:t>
            </w:r>
          </w:p>
        </w:tc>
      </w:tr>
      <w:tr w:rsidR="0021298F" w:rsidRPr="00CE7DC0" w14:paraId="4FBE6191" w14:textId="77777777" w:rsidTr="00760009">
        <w:trPr>
          <w:trHeight w:val="63"/>
        </w:trPr>
        <w:tc>
          <w:tcPr>
            <w:cnfStyle w:val="001000000000" w:firstRow="0" w:lastRow="0" w:firstColumn="1" w:lastColumn="0" w:oddVBand="0" w:evenVBand="0" w:oddHBand="0" w:evenHBand="0" w:firstRowFirstColumn="0" w:firstRowLastColumn="0" w:lastRowFirstColumn="0" w:lastRowLastColumn="0"/>
            <w:tcW w:w="2716" w:type="pct"/>
          </w:tcPr>
          <w:p w14:paraId="4EBD32FC" w14:textId="77777777" w:rsidR="0021298F" w:rsidRPr="00B73F05" w:rsidRDefault="0021298F" w:rsidP="00760009">
            <w:pPr>
              <w:jc w:val="both"/>
              <w:rPr>
                <w:rFonts w:ascii="Arial" w:hAnsi="Arial" w:cs="Arial"/>
                <w:b/>
                <w:szCs w:val="22"/>
              </w:rPr>
            </w:pPr>
            <w:r w:rsidRPr="00B73F05">
              <w:rPr>
                <w:rFonts w:ascii="Arial" w:hAnsi="Arial" w:cs="Arial"/>
              </w:rPr>
              <w:t xml:space="preserve">Sandyford Industrial Estate </w:t>
            </w:r>
            <w:r w:rsidRPr="00B73F05">
              <w:rPr>
                <w:rFonts w:ascii="Arial" w:hAnsi="Arial" w:cs="Arial"/>
              </w:rPr>
              <w:tab/>
            </w:r>
            <w:r w:rsidRPr="00B73F05">
              <w:rPr>
                <w:rFonts w:ascii="Arial" w:hAnsi="Arial" w:cs="Arial"/>
              </w:rPr>
              <w:tab/>
            </w:r>
          </w:p>
        </w:tc>
        <w:tc>
          <w:tcPr>
            <w:tcW w:w="2284" w:type="pct"/>
          </w:tcPr>
          <w:p w14:paraId="4B59D147" w14:textId="77777777" w:rsidR="0021298F" w:rsidRPr="00B73F05" w:rsidDel="004A021E" w:rsidRDefault="0021298F" w:rsidP="00760009">
            <w:pPr>
              <w:jc w:val="both"/>
              <w:cnfStyle w:val="000000000000" w:firstRow="0" w:lastRow="0" w:firstColumn="0" w:lastColumn="0" w:oddVBand="0" w:evenVBand="0" w:oddHBand="0" w:evenHBand="0" w:firstRowFirstColumn="0" w:firstRowLastColumn="0" w:lastRowFirstColumn="0" w:lastRowLastColumn="0"/>
              <w:rPr>
                <w:rFonts w:ascii="Arial" w:hAnsi="Arial" w:cs="Arial"/>
                <w:szCs w:val="22"/>
              </w:rPr>
            </w:pPr>
          </w:p>
        </w:tc>
      </w:tr>
      <w:tr w:rsidR="0021298F" w:rsidRPr="00F0593C" w14:paraId="14A7F83C" w14:textId="77777777" w:rsidTr="00760009">
        <w:tc>
          <w:tcPr>
            <w:cnfStyle w:val="001000000000" w:firstRow="0" w:lastRow="0" w:firstColumn="1" w:lastColumn="0" w:oddVBand="0" w:evenVBand="0" w:oddHBand="0" w:evenHBand="0" w:firstRowFirstColumn="0" w:firstRowLastColumn="0" w:lastRowFirstColumn="0" w:lastRowLastColumn="0"/>
            <w:tcW w:w="2716" w:type="pct"/>
          </w:tcPr>
          <w:p w14:paraId="55B1CA2C" w14:textId="77777777" w:rsidR="0021298F" w:rsidRPr="00A34A62" w:rsidRDefault="0021298F" w:rsidP="00760009">
            <w:pPr>
              <w:jc w:val="both"/>
              <w:rPr>
                <w:rFonts w:ascii="Arial" w:hAnsi="Arial" w:cs="Arial"/>
                <w:szCs w:val="22"/>
              </w:rPr>
            </w:pPr>
            <w:r w:rsidRPr="00B73F05">
              <w:rPr>
                <w:rFonts w:ascii="Arial" w:hAnsi="Arial" w:cs="Arial"/>
              </w:rPr>
              <w:t>Dublin 18</w:t>
            </w:r>
          </w:p>
        </w:tc>
        <w:tc>
          <w:tcPr>
            <w:tcW w:w="2284" w:type="pct"/>
          </w:tcPr>
          <w:p w14:paraId="20A5D34D" w14:textId="77777777" w:rsidR="0021298F" w:rsidRPr="00A34A62" w:rsidDel="004A021E" w:rsidRDefault="0021298F" w:rsidP="00760009">
            <w:pPr>
              <w:jc w:val="both"/>
              <w:cnfStyle w:val="000000000000" w:firstRow="0" w:lastRow="0" w:firstColumn="0" w:lastColumn="0" w:oddVBand="0" w:evenVBand="0" w:oddHBand="0" w:evenHBand="0" w:firstRowFirstColumn="0" w:firstRowLastColumn="0" w:lastRowFirstColumn="0" w:lastRowLastColumn="0"/>
              <w:rPr>
                <w:rFonts w:ascii="Arial" w:hAnsi="Arial" w:cs="Arial"/>
                <w:szCs w:val="22"/>
              </w:rPr>
            </w:pPr>
          </w:p>
        </w:tc>
      </w:tr>
      <w:tr w:rsidR="0021298F" w:rsidRPr="00F0593C" w14:paraId="7D6A3F60" w14:textId="77777777" w:rsidTr="00760009">
        <w:tc>
          <w:tcPr>
            <w:cnfStyle w:val="001000000000" w:firstRow="0" w:lastRow="0" w:firstColumn="1" w:lastColumn="0" w:oddVBand="0" w:evenVBand="0" w:oddHBand="0" w:evenHBand="0" w:firstRowFirstColumn="0" w:firstRowLastColumn="0" w:lastRowFirstColumn="0" w:lastRowLastColumn="0"/>
            <w:tcW w:w="2716" w:type="pct"/>
          </w:tcPr>
          <w:p w14:paraId="0AEABF50" w14:textId="77777777" w:rsidR="0021298F" w:rsidRPr="00A34A62" w:rsidRDefault="0021298F" w:rsidP="00760009">
            <w:pPr>
              <w:jc w:val="both"/>
              <w:rPr>
                <w:rFonts w:ascii="Arial" w:hAnsi="Arial" w:cs="Arial"/>
                <w:szCs w:val="22"/>
              </w:rPr>
            </w:pPr>
          </w:p>
        </w:tc>
        <w:tc>
          <w:tcPr>
            <w:tcW w:w="2284" w:type="pct"/>
          </w:tcPr>
          <w:p w14:paraId="6ABA054D" w14:textId="77777777" w:rsidR="0021298F" w:rsidRPr="00A34A62" w:rsidDel="004A021E" w:rsidRDefault="0021298F" w:rsidP="00760009">
            <w:pPr>
              <w:jc w:val="both"/>
              <w:cnfStyle w:val="000000000000" w:firstRow="0" w:lastRow="0" w:firstColumn="0" w:lastColumn="0" w:oddVBand="0" w:evenVBand="0" w:oddHBand="0" w:evenHBand="0" w:firstRowFirstColumn="0" w:firstRowLastColumn="0" w:lastRowFirstColumn="0" w:lastRowLastColumn="0"/>
              <w:rPr>
                <w:rFonts w:ascii="Arial" w:hAnsi="Arial" w:cs="Arial"/>
                <w:szCs w:val="22"/>
              </w:rPr>
            </w:pPr>
          </w:p>
        </w:tc>
      </w:tr>
    </w:tbl>
    <w:p w14:paraId="700E2EFF" w14:textId="77777777" w:rsidR="0021298F" w:rsidRDefault="0021298F" w:rsidP="0021298F">
      <w:pPr>
        <w:pStyle w:val="Heading1"/>
        <w:jc w:val="both"/>
        <w:rPr>
          <w:rFonts w:cs="Arial"/>
          <w:caps/>
        </w:rPr>
      </w:pPr>
      <w:r w:rsidRPr="005766EB">
        <w:rPr>
          <w:rFonts w:cs="Arial"/>
        </w:rPr>
        <w:t>Supplementary Information (unaudited)</w:t>
      </w:r>
    </w:p>
    <w:p w14:paraId="6B2DE6D8" w14:textId="77777777" w:rsidR="0021298F" w:rsidRPr="00F042C3" w:rsidRDefault="0021298F" w:rsidP="0021298F">
      <w:pPr>
        <w:rPr>
          <w:b/>
        </w:rPr>
      </w:pPr>
    </w:p>
    <w:p w14:paraId="5AFDD032" w14:textId="77777777" w:rsidR="0021298F" w:rsidRPr="00B966DF" w:rsidRDefault="0021298F" w:rsidP="0021298F">
      <w:pPr>
        <w:pStyle w:val="Heading2"/>
        <w:rPr>
          <w:rFonts w:cs="Arial"/>
        </w:rPr>
      </w:pPr>
      <w:r w:rsidRPr="00F042C3">
        <w:rPr>
          <w:rFonts w:ascii="Arial" w:hAnsi="Arial" w:cs="Arial"/>
          <w:color w:val="auto"/>
        </w:rPr>
        <w:lastRenderedPageBreak/>
        <w:t>Disclosure required under the Alternative Investment Fund Managers Directive (“AIFMD”) for annual reports of alternative investment funds (“AIFs”)</w:t>
      </w:r>
    </w:p>
    <w:p w14:paraId="56290560" w14:textId="77777777" w:rsidR="0021298F" w:rsidRPr="001E34C8" w:rsidRDefault="0021298F" w:rsidP="0021298F">
      <w:pPr>
        <w:jc w:val="both"/>
        <w:rPr>
          <w:rFonts w:ascii="Arial" w:hAnsi="Arial" w:cs="Arial"/>
        </w:rPr>
      </w:pPr>
    </w:p>
    <w:p w14:paraId="7EC00D56" w14:textId="77777777" w:rsidR="0021298F" w:rsidRPr="001E34C8" w:rsidRDefault="0021298F" w:rsidP="0021298F">
      <w:pPr>
        <w:jc w:val="both"/>
        <w:rPr>
          <w:rFonts w:ascii="Arial" w:hAnsi="Arial" w:cs="Arial"/>
          <w:u w:val="single"/>
        </w:rPr>
      </w:pPr>
      <w:r w:rsidRPr="001E34C8">
        <w:rPr>
          <w:rFonts w:ascii="Arial" w:hAnsi="Arial" w:cs="Arial"/>
          <w:u w:val="single"/>
        </w:rPr>
        <w:t>Alternative Investment Fund Manager’s Directive</w:t>
      </w:r>
    </w:p>
    <w:p w14:paraId="28CC97CD" w14:textId="77777777" w:rsidR="0021298F" w:rsidRPr="001E34C8" w:rsidRDefault="0021298F" w:rsidP="0021298F">
      <w:pPr>
        <w:jc w:val="both"/>
        <w:rPr>
          <w:rFonts w:ascii="Arial" w:hAnsi="Arial" w:cs="Arial"/>
        </w:rPr>
      </w:pPr>
    </w:p>
    <w:p w14:paraId="4BE85B2E" w14:textId="77777777" w:rsidR="0021298F" w:rsidRPr="001E34C8" w:rsidRDefault="0021298F" w:rsidP="0021298F">
      <w:pPr>
        <w:jc w:val="both"/>
        <w:rPr>
          <w:rFonts w:ascii="Arial" w:hAnsi="Arial" w:cs="Arial"/>
        </w:rPr>
      </w:pPr>
      <w:r w:rsidRPr="001E34C8">
        <w:rPr>
          <w:rFonts w:ascii="Arial" w:hAnsi="Arial" w:cs="Arial"/>
        </w:rPr>
        <w:t xml:space="preserve">Under the Alternative Investment Fund Manager Regulations 2013 (as amended) the Company is an Irish AIF and the Investment Manager is a full scope UK AIFM. </w:t>
      </w:r>
    </w:p>
    <w:p w14:paraId="2BFEC708" w14:textId="77777777" w:rsidR="0021298F" w:rsidRPr="001E34C8" w:rsidRDefault="0021298F" w:rsidP="0021298F">
      <w:pPr>
        <w:jc w:val="both"/>
        <w:rPr>
          <w:rFonts w:ascii="Arial" w:hAnsi="Arial" w:cs="Arial"/>
        </w:rPr>
      </w:pPr>
    </w:p>
    <w:p w14:paraId="68265725" w14:textId="77777777" w:rsidR="0021298F" w:rsidRPr="001E34C8" w:rsidRDefault="0021298F" w:rsidP="0021298F">
      <w:pPr>
        <w:jc w:val="both"/>
        <w:rPr>
          <w:rFonts w:ascii="Arial" w:hAnsi="Arial" w:cs="Arial"/>
        </w:rPr>
      </w:pPr>
      <w:r w:rsidRPr="001E34C8">
        <w:rPr>
          <w:rFonts w:ascii="Arial" w:hAnsi="Arial" w:cs="Arial"/>
        </w:rPr>
        <w:t>Northern Trust International Fiduciary Services (Ireland) Limited provide depositary services under the AIFMD. Northern Trust International Fund Administration Services (Ireland) Limited provide accounting and administration services to the Company.</w:t>
      </w:r>
    </w:p>
    <w:p w14:paraId="21EA0D18" w14:textId="77777777" w:rsidR="0021298F" w:rsidRPr="001E34C8" w:rsidRDefault="0021298F" w:rsidP="0021298F">
      <w:pPr>
        <w:jc w:val="both"/>
        <w:rPr>
          <w:rFonts w:ascii="Arial" w:hAnsi="Arial" w:cs="Arial"/>
        </w:rPr>
      </w:pPr>
    </w:p>
    <w:p w14:paraId="2B0525B7" w14:textId="77777777" w:rsidR="0021298F" w:rsidRPr="001E34C8" w:rsidRDefault="0021298F" w:rsidP="0021298F">
      <w:pPr>
        <w:jc w:val="both"/>
        <w:rPr>
          <w:rFonts w:ascii="Arial" w:hAnsi="Arial" w:cs="Arial"/>
        </w:rPr>
      </w:pPr>
      <w:r w:rsidRPr="001E34C8">
        <w:rPr>
          <w:rFonts w:ascii="Arial" w:hAnsi="Arial" w:cs="Arial"/>
        </w:rPr>
        <w:t>The AIFMD outlines the required information which has to be made available to investors prior to investing in an AIF and directs that material changes to this information be disclosed in the Annual Report of the AIF. There were no material changes in the year.</w:t>
      </w:r>
    </w:p>
    <w:p w14:paraId="7F84A8B4" w14:textId="77777777" w:rsidR="0021298F" w:rsidRPr="001E34C8" w:rsidRDefault="0021298F" w:rsidP="0021298F">
      <w:pPr>
        <w:jc w:val="both"/>
        <w:rPr>
          <w:rFonts w:ascii="Arial" w:hAnsi="Arial" w:cs="Arial"/>
        </w:rPr>
      </w:pPr>
    </w:p>
    <w:p w14:paraId="1F490FAF" w14:textId="77777777" w:rsidR="0021298F" w:rsidRPr="001E34C8" w:rsidRDefault="0021298F" w:rsidP="0021298F">
      <w:pPr>
        <w:jc w:val="both"/>
        <w:rPr>
          <w:rFonts w:ascii="Arial" w:hAnsi="Arial" w:cs="Arial"/>
        </w:rPr>
      </w:pPr>
      <w:r w:rsidRPr="001E34C8">
        <w:rPr>
          <w:rFonts w:ascii="Arial" w:hAnsi="Arial" w:cs="Arial"/>
        </w:rPr>
        <w:t xml:space="preserve">All information required to be disclosed under the AIFMD is either disclosed in this Annual Report or within a schedule of disclosures on the Company’s website at www.greencoat-renewables.com. </w:t>
      </w:r>
    </w:p>
    <w:p w14:paraId="50EB5DA7" w14:textId="77777777" w:rsidR="0021298F" w:rsidRPr="00CE7DC0" w:rsidRDefault="0021298F" w:rsidP="0021298F">
      <w:pPr>
        <w:jc w:val="both"/>
        <w:rPr>
          <w:rFonts w:ascii="Arial" w:hAnsi="Arial" w:cs="Arial"/>
          <w:highlight w:val="yellow"/>
        </w:rPr>
      </w:pPr>
    </w:p>
    <w:p w14:paraId="7074A888" w14:textId="77777777" w:rsidR="0021298F" w:rsidRPr="000C1DAA" w:rsidRDefault="0021298F" w:rsidP="0021298F">
      <w:pPr>
        <w:jc w:val="both"/>
        <w:rPr>
          <w:rFonts w:ascii="Arial" w:hAnsi="Arial" w:cs="Arial"/>
        </w:rPr>
      </w:pPr>
      <w:r w:rsidRPr="000C1DAA">
        <w:rPr>
          <w:rFonts w:ascii="Arial" w:hAnsi="Arial" w:cs="Arial"/>
        </w:rPr>
        <w:t xml:space="preserve">The information in this paragraph relates to the Investment Manager, the AIFM, and its subsidiary company providing services to the AIFM and it does not relate to the Company. The total amount of remuneration paid by the Investment Manager, in its capacity as AIFM, to its </w:t>
      </w:r>
      <w:r>
        <w:rPr>
          <w:rFonts w:ascii="Arial" w:hAnsi="Arial" w:cs="Arial"/>
        </w:rPr>
        <w:t>58</w:t>
      </w:r>
      <w:r w:rsidRPr="000C1DAA">
        <w:rPr>
          <w:rFonts w:ascii="Arial" w:hAnsi="Arial" w:cs="Arial"/>
        </w:rPr>
        <w:t xml:space="preserve"> staff for the financial year ending 31 December 2020 was £</w:t>
      </w:r>
      <w:r>
        <w:rPr>
          <w:rFonts w:ascii="Arial" w:hAnsi="Arial" w:cs="Arial"/>
        </w:rPr>
        <w:t>11</w:t>
      </w:r>
      <w:r w:rsidRPr="000C1DAA">
        <w:rPr>
          <w:rFonts w:ascii="Arial" w:hAnsi="Arial" w:cs="Arial"/>
        </w:rPr>
        <w:t>.9 million, consisting of £</w:t>
      </w:r>
      <w:r>
        <w:rPr>
          <w:rFonts w:ascii="Arial" w:hAnsi="Arial" w:cs="Arial"/>
        </w:rPr>
        <w:t>8.0</w:t>
      </w:r>
      <w:r w:rsidRPr="000C1DAA">
        <w:rPr>
          <w:rFonts w:ascii="Arial" w:hAnsi="Arial" w:cs="Arial"/>
        </w:rPr>
        <w:t xml:space="preserve"> million fixed and £</w:t>
      </w:r>
      <w:r>
        <w:rPr>
          <w:rFonts w:ascii="Arial" w:hAnsi="Arial" w:cs="Arial"/>
        </w:rPr>
        <w:t>3.9</w:t>
      </w:r>
      <w:r w:rsidRPr="000C1DAA">
        <w:rPr>
          <w:rFonts w:ascii="Arial" w:hAnsi="Arial" w:cs="Arial"/>
        </w:rPr>
        <w:t xml:space="preserve"> million variable remuneration. The aggregate amount of remuneration for the 6 staff members of the Investment Manager constituting senior management and those staff whose actions have a material impact on the risk profile of the Company was £1.</w:t>
      </w:r>
      <w:r>
        <w:rPr>
          <w:rFonts w:ascii="Arial" w:hAnsi="Arial" w:cs="Arial"/>
        </w:rPr>
        <w:t>5</w:t>
      </w:r>
      <w:r w:rsidRPr="000C1DAA">
        <w:rPr>
          <w:rFonts w:ascii="Arial" w:hAnsi="Arial" w:cs="Arial"/>
        </w:rPr>
        <w:t xml:space="preserve"> million.</w:t>
      </w:r>
    </w:p>
    <w:p w14:paraId="46725394" w14:textId="77777777" w:rsidR="0021298F" w:rsidRPr="00CE7DC0" w:rsidRDefault="0021298F" w:rsidP="0021298F">
      <w:pPr>
        <w:jc w:val="both"/>
        <w:rPr>
          <w:rFonts w:ascii="Arial" w:hAnsi="Arial" w:cs="Arial"/>
          <w:highlight w:val="yellow"/>
        </w:rPr>
      </w:pPr>
    </w:p>
    <w:p w14:paraId="2AFD3D71" w14:textId="77777777" w:rsidR="0021298F" w:rsidRDefault="0021298F" w:rsidP="0021298F">
      <w:pPr>
        <w:jc w:val="both"/>
        <w:rPr>
          <w:rFonts w:ascii="Arial" w:hAnsi="Arial" w:cs="Arial"/>
        </w:rPr>
      </w:pPr>
      <w:r w:rsidRPr="001E34C8">
        <w:rPr>
          <w:rFonts w:ascii="Arial" w:hAnsi="Arial" w:cs="Arial"/>
        </w:rPr>
        <w:t>The Investment Manager covers the potential professional liability risks resulting from its activities by holding professional indemnity insurance in accordance with Article 9(7)(b) of AIFMD.</w:t>
      </w:r>
    </w:p>
    <w:p w14:paraId="502AE860" w14:textId="77777777" w:rsidR="0021298F" w:rsidRDefault="0021298F" w:rsidP="0021298F">
      <w:pPr>
        <w:jc w:val="both"/>
        <w:rPr>
          <w:rFonts w:ascii="Arial" w:hAnsi="Arial" w:cs="Arial"/>
          <w:b/>
          <w:sz w:val="26"/>
          <w:szCs w:val="26"/>
        </w:rPr>
      </w:pPr>
    </w:p>
    <w:p w14:paraId="192179ED" w14:textId="77777777" w:rsidR="0021298F" w:rsidRDefault="0021298F" w:rsidP="0021298F">
      <w:pPr>
        <w:pStyle w:val="Heading1"/>
        <w:jc w:val="both"/>
        <w:rPr>
          <w:rFonts w:cs="Arial"/>
          <w:caps/>
        </w:rPr>
      </w:pPr>
      <w:r w:rsidRPr="00F042C3">
        <w:rPr>
          <w:rFonts w:cs="Arial"/>
        </w:rPr>
        <w:t>Defined Terms</w:t>
      </w:r>
    </w:p>
    <w:p w14:paraId="344F44C7" w14:textId="77777777" w:rsidR="0021298F" w:rsidRPr="00F042C3" w:rsidRDefault="0021298F" w:rsidP="0021298F"/>
    <w:p w14:paraId="600E4B4D" w14:textId="77777777" w:rsidR="0021298F" w:rsidRDefault="0021298F" w:rsidP="0021298F">
      <w:pPr>
        <w:jc w:val="both"/>
        <w:rPr>
          <w:rFonts w:ascii="Arial" w:hAnsi="Arial" w:cs="Arial"/>
        </w:rPr>
      </w:pPr>
      <w:r>
        <w:rPr>
          <w:rFonts w:ascii="Arial" w:hAnsi="Arial" w:cs="Arial"/>
          <w:b/>
        </w:rPr>
        <w:t xml:space="preserve">Admission Document </w:t>
      </w:r>
      <w:r>
        <w:rPr>
          <w:rFonts w:ascii="Arial" w:hAnsi="Arial" w:cs="Arial"/>
        </w:rPr>
        <w:t>means the Admission Document of the Company published on 31 December 2019</w:t>
      </w:r>
    </w:p>
    <w:p w14:paraId="1F6BADFA" w14:textId="77777777" w:rsidR="0021298F" w:rsidRPr="00AE47CC" w:rsidRDefault="0021298F" w:rsidP="0021298F">
      <w:pPr>
        <w:jc w:val="both"/>
        <w:rPr>
          <w:rFonts w:ascii="Arial" w:hAnsi="Arial" w:cs="Arial"/>
          <w:sz w:val="20"/>
          <w:szCs w:val="20"/>
        </w:rPr>
      </w:pPr>
    </w:p>
    <w:p w14:paraId="00FE23F8" w14:textId="77777777" w:rsidR="0021298F" w:rsidRPr="002D4427" w:rsidRDefault="0021298F" w:rsidP="0021298F">
      <w:pPr>
        <w:jc w:val="both"/>
        <w:rPr>
          <w:rFonts w:ascii="Arial" w:hAnsi="Arial" w:cs="Arial"/>
        </w:rPr>
      </w:pPr>
      <w:r>
        <w:rPr>
          <w:rFonts w:ascii="Arial" w:hAnsi="Arial" w:cs="Arial"/>
          <w:b/>
        </w:rPr>
        <w:t xml:space="preserve">Aggregate Group Debt </w:t>
      </w:r>
      <w:r>
        <w:rPr>
          <w:rFonts w:ascii="Arial" w:hAnsi="Arial" w:cs="Arial"/>
        </w:rPr>
        <w:t>means the Group’s proportionate share of outstanding third party debt.</w:t>
      </w:r>
    </w:p>
    <w:p w14:paraId="30B693E5" w14:textId="77777777" w:rsidR="0021298F" w:rsidRPr="00AE47CC" w:rsidRDefault="0021298F" w:rsidP="0021298F">
      <w:pPr>
        <w:jc w:val="both"/>
        <w:rPr>
          <w:rFonts w:ascii="Arial" w:hAnsi="Arial" w:cs="Arial"/>
          <w:b/>
          <w:sz w:val="20"/>
          <w:szCs w:val="20"/>
        </w:rPr>
      </w:pPr>
    </w:p>
    <w:p w14:paraId="675497E0" w14:textId="77777777" w:rsidR="0021298F" w:rsidRPr="00295702" w:rsidRDefault="0021298F" w:rsidP="0021298F">
      <w:pPr>
        <w:jc w:val="both"/>
        <w:rPr>
          <w:rFonts w:ascii="Arial" w:hAnsi="Arial" w:cs="Arial"/>
        </w:rPr>
      </w:pPr>
      <w:r>
        <w:rPr>
          <w:rFonts w:ascii="Arial" w:hAnsi="Arial" w:cs="Arial"/>
          <w:b/>
        </w:rPr>
        <w:t>AIB</w:t>
      </w:r>
      <w:r>
        <w:rPr>
          <w:rFonts w:ascii="Arial" w:hAnsi="Arial" w:cs="Arial"/>
        </w:rPr>
        <w:t xml:space="preserve"> means Allied Irish Bank plc</w:t>
      </w:r>
    </w:p>
    <w:p w14:paraId="33534FFE" w14:textId="77777777" w:rsidR="0021298F" w:rsidRPr="00AE47CC" w:rsidRDefault="0021298F" w:rsidP="0021298F">
      <w:pPr>
        <w:jc w:val="both"/>
        <w:rPr>
          <w:rFonts w:ascii="Arial" w:hAnsi="Arial" w:cs="Arial"/>
          <w:b/>
          <w:sz w:val="20"/>
          <w:szCs w:val="20"/>
        </w:rPr>
      </w:pPr>
    </w:p>
    <w:p w14:paraId="1E309CBD" w14:textId="77777777" w:rsidR="0021298F" w:rsidRDefault="0021298F" w:rsidP="0021298F">
      <w:pPr>
        <w:jc w:val="both"/>
        <w:rPr>
          <w:rFonts w:ascii="Arial" w:hAnsi="Arial" w:cs="Arial"/>
        </w:rPr>
      </w:pPr>
      <w:r>
        <w:rPr>
          <w:rFonts w:ascii="Arial" w:hAnsi="Arial" w:cs="Arial"/>
          <w:b/>
        </w:rPr>
        <w:t>AIC</w:t>
      </w:r>
      <w:r>
        <w:rPr>
          <w:rFonts w:ascii="Arial" w:hAnsi="Arial" w:cs="Arial"/>
        </w:rPr>
        <w:t xml:space="preserve"> means </w:t>
      </w:r>
      <w:r w:rsidRPr="00B05525">
        <w:rPr>
          <w:rFonts w:ascii="Arial" w:hAnsi="Arial" w:cs="Arial"/>
        </w:rPr>
        <w:t xml:space="preserve">the </w:t>
      </w:r>
      <w:r>
        <w:rPr>
          <w:rFonts w:ascii="Arial" w:hAnsi="Arial" w:cs="Arial"/>
        </w:rPr>
        <w:t>Association of Investment Companies</w:t>
      </w:r>
      <w:r w:rsidRPr="00B05525" w:rsidDel="00133979">
        <w:rPr>
          <w:rFonts w:ascii="Arial" w:hAnsi="Arial" w:cs="Arial"/>
        </w:rPr>
        <w:t xml:space="preserve"> </w:t>
      </w:r>
    </w:p>
    <w:p w14:paraId="49F9D3DA" w14:textId="77777777" w:rsidR="0021298F" w:rsidRPr="00AE47CC" w:rsidRDefault="0021298F" w:rsidP="0021298F">
      <w:pPr>
        <w:jc w:val="both"/>
        <w:rPr>
          <w:rFonts w:ascii="Arial" w:hAnsi="Arial" w:cs="Arial"/>
          <w:b/>
          <w:sz w:val="20"/>
          <w:szCs w:val="20"/>
        </w:rPr>
      </w:pPr>
    </w:p>
    <w:p w14:paraId="10414031" w14:textId="77777777" w:rsidR="0021298F" w:rsidRPr="00295702" w:rsidRDefault="0021298F" w:rsidP="0021298F">
      <w:pPr>
        <w:jc w:val="both"/>
        <w:rPr>
          <w:rFonts w:ascii="Arial" w:hAnsi="Arial" w:cs="Arial"/>
        </w:rPr>
      </w:pPr>
      <w:r>
        <w:rPr>
          <w:rFonts w:ascii="Arial" w:hAnsi="Arial" w:cs="Arial"/>
          <w:b/>
        </w:rPr>
        <w:t>AIC Code</w:t>
      </w:r>
      <w:r>
        <w:rPr>
          <w:rFonts w:ascii="Arial" w:hAnsi="Arial" w:cs="Arial"/>
        </w:rPr>
        <w:t xml:space="preserve"> </w:t>
      </w:r>
      <w:r w:rsidRPr="00B05525">
        <w:rPr>
          <w:rFonts w:ascii="Arial" w:hAnsi="Arial" w:cs="Arial"/>
        </w:rPr>
        <w:t xml:space="preserve">of Corporate Governance sets out a framework of best practice in respect of the governance of investment companies. It has been endorsed by the Financial </w:t>
      </w:r>
      <w:r w:rsidRPr="00B05525">
        <w:rPr>
          <w:rFonts w:ascii="Arial" w:hAnsi="Arial" w:cs="Arial"/>
        </w:rPr>
        <w:lastRenderedPageBreak/>
        <w:t>Reporting Council as an alternative means for our members to meet their obligations in relation to the UK Corporate Governance Code</w:t>
      </w:r>
    </w:p>
    <w:p w14:paraId="32486427" w14:textId="77777777" w:rsidR="0021298F" w:rsidRPr="00AE47CC" w:rsidRDefault="0021298F" w:rsidP="0021298F">
      <w:pPr>
        <w:jc w:val="both"/>
        <w:rPr>
          <w:rFonts w:ascii="Arial" w:hAnsi="Arial" w:cs="Arial"/>
          <w:b/>
          <w:sz w:val="20"/>
          <w:szCs w:val="20"/>
        </w:rPr>
      </w:pPr>
    </w:p>
    <w:p w14:paraId="1E370988" w14:textId="77777777" w:rsidR="0021298F" w:rsidRPr="00295702" w:rsidRDefault="0021298F" w:rsidP="0021298F">
      <w:pPr>
        <w:jc w:val="both"/>
        <w:rPr>
          <w:rFonts w:ascii="Arial" w:hAnsi="Arial" w:cs="Arial"/>
        </w:rPr>
      </w:pPr>
      <w:r>
        <w:rPr>
          <w:rFonts w:ascii="Arial" w:hAnsi="Arial" w:cs="Arial"/>
          <w:b/>
        </w:rPr>
        <w:t>AIC Guide</w:t>
      </w:r>
      <w:r>
        <w:rPr>
          <w:rFonts w:ascii="Arial" w:hAnsi="Arial" w:cs="Arial"/>
        </w:rPr>
        <w:t xml:space="preserve"> means </w:t>
      </w:r>
      <w:r w:rsidRPr="00950B48">
        <w:rPr>
          <w:rFonts w:ascii="Arial" w:hAnsi="Arial" w:cs="Arial"/>
        </w:rPr>
        <w:t>the AIC’s Corporate Governance Guide for Investment Companies</w:t>
      </w:r>
    </w:p>
    <w:p w14:paraId="40756652" w14:textId="77777777" w:rsidR="0021298F" w:rsidRPr="00AE47CC" w:rsidRDefault="0021298F" w:rsidP="0021298F">
      <w:pPr>
        <w:jc w:val="both"/>
        <w:rPr>
          <w:rFonts w:ascii="Arial" w:hAnsi="Arial" w:cs="Arial"/>
          <w:b/>
          <w:sz w:val="20"/>
          <w:szCs w:val="20"/>
        </w:rPr>
      </w:pPr>
    </w:p>
    <w:p w14:paraId="72E32F4D" w14:textId="77777777" w:rsidR="0021298F" w:rsidRPr="00295702" w:rsidRDefault="0021298F" w:rsidP="0021298F">
      <w:pPr>
        <w:jc w:val="both"/>
        <w:rPr>
          <w:rFonts w:ascii="Arial" w:hAnsi="Arial" w:cs="Arial"/>
        </w:rPr>
      </w:pPr>
      <w:r>
        <w:rPr>
          <w:rFonts w:ascii="Arial" w:hAnsi="Arial" w:cs="Arial"/>
          <w:b/>
        </w:rPr>
        <w:t>AIF</w:t>
      </w:r>
      <w:r>
        <w:rPr>
          <w:rFonts w:ascii="Arial" w:hAnsi="Arial" w:cs="Arial"/>
        </w:rPr>
        <w:t xml:space="preserve"> means </w:t>
      </w:r>
      <w:r w:rsidRPr="00B05525">
        <w:rPr>
          <w:rFonts w:ascii="Arial" w:hAnsi="Arial" w:cs="Arial"/>
        </w:rPr>
        <w:t xml:space="preserve">Alternative </w:t>
      </w:r>
      <w:r>
        <w:rPr>
          <w:rFonts w:ascii="Arial" w:hAnsi="Arial" w:cs="Arial"/>
        </w:rPr>
        <w:t>I</w:t>
      </w:r>
      <w:r w:rsidRPr="00B05525">
        <w:rPr>
          <w:rFonts w:ascii="Arial" w:hAnsi="Arial" w:cs="Arial"/>
        </w:rPr>
        <w:t xml:space="preserve">nvestment </w:t>
      </w:r>
      <w:r>
        <w:rPr>
          <w:rFonts w:ascii="Arial" w:hAnsi="Arial" w:cs="Arial"/>
        </w:rPr>
        <w:t>F</w:t>
      </w:r>
      <w:r w:rsidRPr="00B05525">
        <w:rPr>
          <w:rFonts w:ascii="Arial" w:hAnsi="Arial" w:cs="Arial"/>
        </w:rPr>
        <w:t>und</w:t>
      </w:r>
      <w:r>
        <w:rPr>
          <w:rFonts w:ascii="Arial" w:hAnsi="Arial" w:cs="Arial"/>
        </w:rPr>
        <w:t>s (as defined in AIFMD)</w:t>
      </w:r>
    </w:p>
    <w:p w14:paraId="109AA32C" w14:textId="77777777" w:rsidR="0021298F" w:rsidRPr="00AE47CC" w:rsidRDefault="0021298F" w:rsidP="0021298F">
      <w:pPr>
        <w:jc w:val="both"/>
        <w:rPr>
          <w:rFonts w:ascii="Arial" w:hAnsi="Arial" w:cs="Arial"/>
          <w:b/>
          <w:sz w:val="20"/>
          <w:szCs w:val="20"/>
        </w:rPr>
      </w:pPr>
    </w:p>
    <w:p w14:paraId="17728EC0" w14:textId="77777777" w:rsidR="0021298F" w:rsidRPr="00295702" w:rsidRDefault="0021298F" w:rsidP="0021298F">
      <w:pPr>
        <w:jc w:val="both"/>
        <w:rPr>
          <w:rFonts w:ascii="Arial" w:hAnsi="Arial" w:cs="Arial"/>
        </w:rPr>
      </w:pPr>
      <w:r>
        <w:rPr>
          <w:rFonts w:ascii="Arial" w:hAnsi="Arial" w:cs="Arial"/>
          <w:b/>
        </w:rPr>
        <w:t>AIFM</w:t>
      </w:r>
      <w:r>
        <w:rPr>
          <w:rFonts w:ascii="Arial" w:hAnsi="Arial" w:cs="Arial"/>
        </w:rPr>
        <w:t xml:space="preserve"> means </w:t>
      </w:r>
      <w:r w:rsidRPr="00B05525">
        <w:rPr>
          <w:rFonts w:ascii="Arial" w:hAnsi="Arial" w:cs="Arial"/>
        </w:rPr>
        <w:t>Alternative Investment Fund Manager</w:t>
      </w:r>
      <w:r>
        <w:rPr>
          <w:rFonts w:ascii="Arial" w:hAnsi="Arial" w:cs="Arial"/>
        </w:rPr>
        <w:t xml:space="preserve"> (as defined in AIFMD)</w:t>
      </w:r>
    </w:p>
    <w:p w14:paraId="20DB2555" w14:textId="77777777" w:rsidR="0021298F" w:rsidRPr="00AE47CC" w:rsidRDefault="0021298F" w:rsidP="0021298F">
      <w:pPr>
        <w:jc w:val="both"/>
        <w:rPr>
          <w:rFonts w:ascii="Arial" w:hAnsi="Arial" w:cs="Arial"/>
          <w:b/>
          <w:sz w:val="20"/>
          <w:szCs w:val="20"/>
        </w:rPr>
      </w:pPr>
    </w:p>
    <w:p w14:paraId="1233EF98" w14:textId="77777777" w:rsidR="0021298F" w:rsidRPr="00295702" w:rsidRDefault="0021298F" w:rsidP="0021298F">
      <w:pPr>
        <w:jc w:val="both"/>
        <w:rPr>
          <w:rFonts w:ascii="Arial" w:hAnsi="Arial" w:cs="Arial"/>
        </w:rPr>
      </w:pPr>
      <w:r>
        <w:rPr>
          <w:rFonts w:ascii="Arial" w:hAnsi="Arial" w:cs="Arial"/>
          <w:b/>
        </w:rPr>
        <w:t>AIFMD</w:t>
      </w:r>
      <w:r>
        <w:rPr>
          <w:rFonts w:ascii="Arial" w:hAnsi="Arial" w:cs="Arial"/>
        </w:rPr>
        <w:t xml:space="preserve"> means </w:t>
      </w:r>
      <w:r w:rsidRPr="00B05525">
        <w:rPr>
          <w:rFonts w:ascii="Arial" w:hAnsi="Arial" w:cs="Arial"/>
        </w:rPr>
        <w:t>Alternative Investment Fund Managers Directive</w:t>
      </w:r>
    </w:p>
    <w:p w14:paraId="6D7B5928" w14:textId="77777777" w:rsidR="0021298F" w:rsidRPr="00AE47CC" w:rsidRDefault="0021298F" w:rsidP="0021298F">
      <w:pPr>
        <w:jc w:val="both"/>
        <w:rPr>
          <w:rFonts w:ascii="Arial" w:hAnsi="Arial" w:cs="Arial"/>
          <w:b/>
          <w:sz w:val="20"/>
          <w:szCs w:val="20"/>
        </w:rPr>
      </w:pPr>
    </w:p>
    <w:p w14:paraId="3018438D" w14:textId="77777777" w:rsidR="0021298F" w:rsidRDefault="0021298F" w:rsidP="0021298F">
      <w:pPr>
        <w:jc w:val="both"/>
        <w:rPr>
          <w:rFonts w:ascii="Arial" w:hAnsi="Arial" w:cs="Arial"/>
        </w:rPr>
      </w:pPr>
      <w:r>
        <w:rPr>
          <w:rFonts w:ascii="Arial" w:hAnsi="Arial" w:cs="Arial"/>
          <w:b/>
        </w:rPr>
        <w:t>AGM</w:t>
      </w:r>
      <w:r>
        <w:rPr>
          <w:rFonts w:ascii="Arial" w:hAnsi="Arial" w:cs="Arial"/>
        </w:rPr>
        <w:t xml:space="preserve"> means Annual General Meeting of the Company</w:t>
      </w:r>
    </w:p>
    <w:p w14:paraId="2DE440FB" w14:textId="77777777" w:rsidR="0021298F" w:rsidRPr="00AE47CC" w:rsidRDefault="0021298F" w:rsidP="0021298F">
      <w:pPr>
        <w:jc w:val="both"/>
        <w:rPr>
          <w:rFonts w:ascii="Arial" w:hAnsi="Arial" w:cs="Arial"/>
          <w:sz w:val="20"/>
          <w:szCs w:val="20"/>
        </w:rPr>
      </w:pPr>
    </w:p>
    <w:p w14:paraId="289D9EF9" w14:textId="77777777" w:rsidR="0021298F" w:rsidRPr="00313216" w:rsidRDefault="0021298F" w:rsidP="0021298F">
      <w:pPr>
        <w:jc w:val="both"/>
        <w:rPr>
          <w:rFonts w:ascii="Arial" w:hAnsi="Arial" w:cs="Arial"/>
        </w:rPr>
      </w:pPr>
      <w:r>
        <w:rPr>
          <w:rFonts w:ascii="Arial" w:hAnsi="Arial" w:cs="Arial"/>
          <w:b/>
          <w:bCs/>
        </w:rPr>
        <w:t xml:space="preserve">An Cnoc </w:t>
      </w:r>
      <w:r>
        <w:rPr>
          <w:rFonts w:ascii="Arial" w:hAnsi="Arial" w:cs="Arial"/>
        </w:rPr>
        <w:t>means Cnoc Windfarms Limited</w:t>
      </w:r>
    </w:p>
    <w:p w14:paraId="41E87C5E" w14:textId="77777777" w:rsidR="0021298F" w:rsidRPr="00AE47CC" w:rsidRDefault="0021298F" w:rsidP="0021298F">
      <w:pPr>
        <w:jc w:val="both"/>
        <w:rPr>
          <w:rFonts w:ascii="Arial" w:hAnsi="Arial"/>
          <w:b/>
          <w:sz w:val="20"/>
          <w:szCs w:val="20"/>
        </w:rPr>
      </w:pPr>
    </w:p>
    <w:p w14:paraId="0EF7E7AF" w14:textId="77777777" w:rsidR="0021298F" w:rsidRDefault="0021298F" w:rsidP="0021298F">
      <w:pPr>
        <w:jc w:val="both"/>
        <w:rPr>
          <w:rFonts w:ascii="Arial" w:hAnsi="Arial" w:cs="Arial"/>
          <w:b/>
        </w:rPr>
      </w:pPr>
      <w:r>
        <w:rPr>
          <w:rFonts w:ascii="Arial" w:hAnsi="Arial" w:cs="Arial"/>
          <w:b/>
        </w:rPr>
        <w:t xml:space="preserve">Ballybane </w:t>
      </w:r>
      <w:r w:rsidRPr="00BE7311">
        <w:rPr>
          <w:rFonts w:ascii="Arial" w:hAnsi="Arial" w:cs="Arial"/>
        </w:rPr>
        <w:t xml:space="preserve">means </w:t>
      </w:r>
      <w:r>
        <w:rPr>
          <w:rFonts w:ascii="Arial" w:hAnsi="Arial" w:cs="Arial"/>
        </w:rPr>
        <w:t>Ballybane</w:t>
      </w:r>
      <w:r w:rsidRPr="004A78F8">
        <w:rPr>
          <w:rFonts w:ascii="Arial" w:hAnsi="Arial" w:cs="Arial"/>
        </w:rPr>
        <w:t xml:space="preserve"> Windfarms Limited</w:t>
      </w:r>
      <w:r>
        <w:rPr>
          <w:rFonts w:ascii="Arial" w:hAnsi="Arial" w:cs="Arial"/>
          <w:b/>
        </w:rPr>
        <w:t xml:space="preserve"> </w:t>
      </w:r>
    </w:p>
    <w:p w14:paraId="577FEDA1" w14:textId="77777777" w:rsidR="0021298F" w:rsidRPr="00AE47CC" w:rsidRDefault="0021298F" w:rsidP="0021298F">
      <w:pPr>
        <w:jc w:val="both"/>
        <w:rPr>
          <w:rFonts w:ascii="Arial" w:hAnsi="Arial" w:cs="Arial"/>
          <w:b/>
          <w:sz w:val="20"/>
          <w:szCs w:val="20"/>
        </w:rPr>
      </w:pPr>
    </w:p>
    <w:p w14:paraId="61CC1726" w14:textId="77777777" w:rsidR="0021298F" w:rsidRDefault="0021298F" w:rsidP="0021298F">
      <w:pPr>
        <w:jc w:val="both"/>
        <w:rPr>
          <w:rFonts w:ascii="Arial" w:hAnsi="Arial" w:cs="Arial"/>
        </w:rPr>
      </w:pPr>
      <w:r w:rsidRPr="007705E9">
        <w:rPr>
          <w:rFonts w:ascii="Arial" w:hAnsi="Arial" w:cs="Arial"/>
          <w:b/>
        </w:rPr>
        <w:t>BDO</w:t>
      </w:r>
      <w:r>
        <w:rPr>
          <w:rFonts w:ascii="Arial" w:hAnsi="Arial" w:cs="Arial"/>
        </w:rPr>
        <w:t xml:space="preserve"> means the Company’s Auditor as at the reporting date</w:t>
      </w:r>
    </w:p>
    <w:p w14:paraId="6DA0E897" w14:textId="77777777" w:rsidR="0021298F" w:rsidRPr="00AE47CC" w:rsidRDefault="0021298F" w:rsidP="0021298F">
      <w:pPr>
        <w:jc w:val="both"/>
        <w:rPr>
          <w:rFonts w:ascii="Arial" w:hAnsi="Arial" w:cs="Arial"/>
          <w:sz w:val="20"/>
          <w:szCs w:val="20"/>
        </w:rPr>
      </w:pPr>
    </w:p>
    <w:p w14:paraId="5107D640" w14:textId="77777777" w:rsidR="0021298F" w:rsidRDefault="0021298F" w:rsidP="0021298F">
      <w:pPr>
        <w:jc w:val="both"/>
        <w:rPr>
          <w:rFonts w:ascii="Arial" w:hAnsi="Arial" w:cs="Arial"/>
        </w:rPr>
      </w:pPr>
      <w:r w:rsidRPr="000E4CE9">
        <w:rPr>
          <w:rFonts w:ascii="Arial" w:hAnsi="Arial" w:cs="Arial"/>
          <w:b/>
        </w:rPr>
        <w:t>Beam</w:t>
      </w:r>
      <w:r>
        <w:rPr>
          <w:rFonts w:ascii="Arial" w:hAnsi="Arial" w:cs="Arial"/>
          <w:b/>
        </w:rPr>
        <w:t xml:space="preserve"> Hill</w:t>
      </w:r>
      <w:r w:rsidRPr="000E4CE9">
        <w:rPr>
          <w:rFonts w:ascii="Arial" w:hAnsi="Arial" w:cs="Arial"/>
        </w:rPr>
        <w:t xml:space="preserve"> means Beam Wind Limited</w:t>
      </w:r>
    </w:p>
    <w:p w14:paraId="34B33695" w14:textId="77777777" w:rsidR="0021298F" w:rsidRPr="00AE47CC" w:rsidRDefault="0021298F" w:rsidP="0021298F">
      <w:pPr>
        <w:jc w:val="both"/>
        <w:rPr>
          <w:rFonts w:ascii="Arial" w:hAnsi="Arial" w:cs="Arial"/>
          <w:sz w:val="20"/>
          <w:szCs w:val="20"/>
        </w:rPr>
      </w:pPr>
    </w:p>
    <w:p w14:paraId="5A41CA18" w14:textId="77777777" w:rsidR="0021298F" w:rsidRPr="00313216" w:rsidRDefault="0021298F" w:rsidP="0021298F">
      <w:pPr>
        <w:jc w:val="both"/>
        <w:rPr>
          <w:rFonts w:ascii="Arial" w:hAnsi="Arial" w:cs="Arial"/>
        </w:rPr>
      </w:pPr>
      <w:r>
        <w:rPr>
          <w:rFonts w:ascii="Arial" w:hAnsi="Arial" w:cs="Arial"/>
          <w:b/>
          <w:bCs/>
        </w:rPr>
        <w:t xml:space="preserve">Beam Hill Extension </w:t>
      </w:r>
      <w:r>
        <w:rPr>
          <w:rFonts w:ascii="Arial" w:hAnsi="Arial" w:cs="Arial"/>
        </w:rPr>
        <w:t>means Meenaward Wind Farm Limited</w:t>
      </w:r>
    </w:p>
    <w:p w14:paraId="28F2DE00" w14:textId="77777777" w:rsidR="0021298F" w:rsidRPr="00AE47CC" w:rsidRDefault="0021298F" w:rsidP="0021298F">
      <w:pPr>
        <w:jc w:val="both"/>
        <w:rPr>
          <w:rFonts w:ascii="Arial" w:hAnsi="Arial" w:cs="Arial"/>
          <w:sz w:val="20"/>
          <w:szCs w:val="20"/>
        </w:rPr>
      </w:pPr>
    </w:p>
    <w:p w14:paraId="083B7354" w14:textId="77777777" w:rsidR="0021298F" w:rsidRPr="00CA62BB" w:rsidRDefault="0021298F" w:rsidP="0021298F">
      <w:pPr>
        <w:jc w:val="both"/>
        <w:rPr>
          <w:rFonts w:ascii="Arial" w:hAnsi="Arial" w:cs="Arial"/>
        </w:rPr>
      </w:pPr>
      <w:r w:rsidRPr="00CA62BB">
        <w:rPr>
          <w:rFonts w:ascii="Arial" w:hAnsi="Arial" w:cs="Arial"/>
          <w:b/>
        </w:rPr>
        <w:t>B</w:t>
      </w:r>
      <w:r>
        <w:rPr>
          <w:rFonts w:ascii="Arial" w:hAnsi="Arial" w:cs="Arial"/>
          <w:b/>
        </w:rPr>
        <w:t xml:space="preserve">rexit </w:t>
      </w:r>
      <w:r>
        <w:rPr>
          <w:rFonts w:ascii="Arial" w:hAnsi="Arial" w:cs="Arial"/>
        </w:rPr>
        <w:t xml:space="preserve">mean </w:t>
      </w:r>
      <w:r w:rsidRPr="00CA62BB">
        <w:rPr>
          <w:rFonts w:ascii="Arial" w:hAnsi="Arial" w:cs="Arial"/>
        </w:rPr>
        <w:t xml:space="preserve">the withdrawal of the United </w:t>
      </w:r>
      <w:r>
        <w:rPr>
          <w:rFonts w:ascii="Arial" w:hAnsi="Arial" w:cs="Arial"/>
        </w:rPr>
        <w:t>Kingdom from the European Union</w:t>
      </w:r>
    </w:p>
    <w:p w14:paraId="6BC4225F" w14:textId="77777777" w:rsidR="0021298F" w:rsidRPr="00AE47CC" w:rsidRDefault="0021298F" w:rsidP="0021298F">
      <w:pPr>
        <w:jc w:val="both"/>
        <w:rPr>
          <w:rFonts w:ascii="Arial" w:hAnsi="Arial" w:cs="Arial"/>
          <w:sz w:val="20"/>
          <w:szCs w:val="20"/>
        </w:rPr>
      </w:pPr>
    </w:p>
    <w:p w14:paraId="5E6793F1" w14:textId="77777777" w:rsidR="0021298F" w:rsidRPr="005D50D6" w:rsidRDefault="0021298F" w:rsidP="0021298F">
      <w:pPr>
        <w:pStyle w:val="Bullets"/>
        <w:numPr>
          <w:ilvl w:val="0"/>
          <w:numId w:val="0"/>
        </w:numPr>
        <w:jc w:val="both"/>
        <w:rPr>
          <w:rFonts w:cs="Arial"/>
        </w:rPr>
      </w:pPr>
      <w:r>
        <w:rPr>
          <w:rFonts w:cs="Arial"/>
          <w:b/>
        </w:rPr>
        <w:t xml:space="preserve">Board </w:t>
      </w:r>
      <w:r>
        <w:rPr>
          <w:rFonts w:cs="Arial"/>
        </w:rPr>
        <w:t>means the Directors of the Company</w:t>
      </w:r>
    </w:p>
    <w:p w14:paraId="46A36116" w14:textId="77777777" w:rsidR="0021298F" w:rsidRPr="00AE47CC" w:rsidRDefault="0021298F" w:rsidP="0021298F">
      <w:pPr>
        <w:pStyle w:val="Bullets"/>
        <w:numPr>
          <w:ilvl w:val="0"/>
          <w:numId w:val="0"/>
        </w:numPr>
        <w:jc w:val="both"/>
        <w:rPr>
          <w:rFonts w:cs="Arial"/>
          <w:sz w:val="20"/>
          <w:szCs w:val="20"/>
        </w:rPr>
      </w:pPr>
    </w:p>
    <w:p w14:paraId="04D06F59" w14:textId="77777777" w:rsidR="0021298F" w:rsidRDefault="0021298F" w:rsidP="0021298F">
      <w:pPr>
        <w:pStyle w:val="Bullets"/>
        <w:numPr>
          <w:ilvl w:val="0"/>
          <w:numId w:val="0"/>
        </w:numPr>
        <w:jc w:val="both"/>
        <w:rPr>
          <w:rFonts w:cs="Arial"/>
        </w:rPr>
      </w:pPr>
      <w:r>
        <w:rPr>
          <w:rFonts w:eastAsia="Times New Roman" w:cs="Arial"/>
          <w:b/>
        </w:rPr>
        <w:t>Carrickallen</w:t>
      </w:r>
      <w:r>
        <w:rPr>
          <w:rFonts w:cs="Arial"/>
          <w:b/>
        </w:rPr>
        <w:t xml:space="preserve"> </w:t>
      </w:r>
      <w:r>
        <w:rPr>
          <w:rFonts w:cs="Arial"/>
        </w:rPr>
        <w:t>means Carrickallen Wind Limited</w:t>
      </w:r>
    </w:p>
    <w:p w14:paraId="4B4C6174" w14:textId="77777777" w:rsidR="0021298F" w:rsidRPr="00AE47CC" w:rsidRDefault="0021298F" w:rsidP="0021298F">
      <w:pPr>
        <w:pStyle w:val="Bullets"/>
        <w:numPr>
          <w:ilvl w:val="0"/>
          <w:numId w:val="0"/>
        </w:numPr>
        <w:jc w:val="both"/>
        <w:rPr>
          <w:rFonts w:cs="Arial"/>
          <w:sz w:val="20"/>
          <w:szCs w:val="20"/>
        </w:rPr>
      </w:pPr>
    </w:p>
    <w:p w14:paraId="4C437ADA" w14:textId="77777777" w:rsidR="0021298F" w:rsidRPr="00A34A62" w:rsidRDefault="0021298F" w:rsidP="0021298F">
      <w:pPr>
        <w:pStyle w:val="Bullets"/>
        <w:numPr>
          <w:ilvl w:val="0"/>
          <w:numId w:val="0"/>
        </w:numPr>
        <w:jc w:val="both"/>
        <w:rPr>
          <w:rFonts w:cs="Arial"/>
          <w:b/>
          <w:bCs/>
        </w:rPr>
      </w:pPr>
      <w:r>
        <w:rPr>
          <w:rFonts w:cs="Arial"/>
          <w:b/>
          <w:bCs/>
        </w:rPr>
        <w:t xml:space="preserve">CBA </w:t>
      </w:r>
      <w:r w:rsidRPr="00B73F05">
        <w:rPr>
          <w:rFonts w:cs="Arial"/>
        </w:rPr>
        <w:t xml:space="preserve">means </w:t>
      </w:r>
      <w:r>
        <w:rPr>
          <w:rFonts w:cs="Arial"/>
        </w:rPr>
        <w:t>Commonwealth Bank of Australia</w:t>
      </w:r>
    </w:p>
    <w:p w14:paraId="53CCE39F" w14:textId="77777777" w:rsidR="0021298F" w:rsidRPr="00AE47CC" w:rsidRDefault="0021298F" w:rsidP="0021298F">
      <w:pPr>
        <w:pStyle w:val="Bullets"/>
        <w:numPr>
          <w:ilvl w:val="0"/>
          <w:numId w:val="0"/>
        </w:numPr>
        <w:jc w:val="both"/>
        <w:rPr>
          <w:rFonts w:cs="Arial"/>
          <w:sz w:val="20"/>
          <w:szCs w:val="20"/>
        </w:rPr>
      </w:pPr>
    </w:p>
    <w:p w14:paraId="76453036" w14:textId="77777777" w:rsidR="0021298F" w:rsidRDefault="0021298F" w:rsidP="0021298F">
      <w:pPr>
        <w:pStyle w:val="Bullets"/>
        <w:numPr>
          <w:ilvl w:val="0"/>
          <w:numId w:val="0"/>
        </w:numPr>
        <w:jc w:val="both"/>
        <w:rPr>
          <w:rFonts w:cs="Arial"/>
        </w:rPr>
      </w:pPr>
      <w:r w:rsidRPr="00D83F4E">
        <w:rPr>
          <w:rFonts w:cs="Arial"/>
          <w:b/>
        </w:rPr>
        <w:t>Cloosh Valley</w:t>
      </w:r>
      <w:r>
        <w:rPr>
          <w:rFonts w:cs="Arial"/>
        </w:rPr>
        <w:t xml:space="preserve"> means Cloosh Valley Wind Farm Holdings DAC and Cloosh Valley Wind Farm DAC</w:t>
      </w:r>
    </w:p>
    <w:p w14:paraId="57578592" w14:textId="77777777" w:rsidR="0021298F" w:rsidRPr="00AE47CC" w:rsidRDefault="0021298F" w:rsidP="0021298F">
      <w:pPr>
        <w:pStyle w:val="Bullets"/>
        <w:numPr>
          <w:ilvl w:val="0"/>
          <w:numId w:val="0"/>
        </w:numPr>
        <w:jc w:val="both"/>
        <w:rPr>
          <w:rFonts w:cs="Arial"/>
          <w:sz w:val="20"/>
          <w:szCs w:val="20"/>
        </w:rPr>
      </w:pPr>
    </w:p>
    <w:p w14:paraId="53AC18EA" w14:textId="77777777" w:rsidR="0021298F" w:rsidRDefault="0021298F" w:rsidP="0021298F">
      <w:pPr>
        <w:jc w:val="both"/>
        <w:rPr>
          <w:rFonts w:ascii="Arial" w:hAnsi="Arial" w:cs="Arial"/>
        </w:rPr>
      </w:pPr>
      <w:r w:rsidRPr="003C3C40">
        <w:rPr>
          <w:rFonts w:ascii="Arial" w:hAnsi="Arial" w:cs="Arial"/>
          <w:b/>
        </w:rPr>
        <w:t>Company</w:t>
      </w:r>
      <w:r>
        <w:rPr>
          <w:rFonts w:ascii="Arial" w:hAnsi="Arial" w:cs="Arial"/>
        </w:rPr>
        <w:t xml:space="preserve"> means </w:t>
      </w:r>
      <w:r w:rsidRPr="00D54178">
        <w:rPr>
          <w:rFonts w:ascii="Arial" w:hAnsi="Arial" w:cs="Arial"/>
        </w:rPr>
        <w:t xml:space="preserve">Greencoat </w:t>
      </w:r>
      <w:r>
        <w:rPr>
          <w:rFonts w:ascii="Arial" w:hAnsi="Arial" w:cs="Arial"/>
        </w:rPr>
        <w:t>Renewables</w:t>
      </w:r>
      <w:r w:rsidRPr="00D54178">
        <w:rPr>
          <w:rFonts w:ascii="Arial" w:hAnsi="Arial" w:cs="Arial"/>
        </w:rPr>
        <w:t xml:space="preserve"> PLC </w:t>
      </w:r>
    </w:p>
    <w:p w14:paraId="0C44B1E9" w14:textId="77777777" w:rsidR="0021298F" w:rsidRDefault="0021298F" w:rsidP="0021298F">
      <w:pPr>
        <w:pStyle w:val="Bullets"/>
        <w:numPr>
          <w:ilvl w:val="0"/>
          <w:numId w:val="0"/>
        </w:numPr>
        <w:jc w:val="both"/>
        <w:rPr>
          <w:rFonts w:cs="Arial"/>
          <w:b/>
        </w:rPr>
      </w:pPr>
    </w:p>
    <w:p w14:paraId="4269F682" w14:textId="77777777" w:rsidR="0021298F" w:rsidRDefault="0021298F" w:rsidP="0021298F">
      <w:pPr>
        <w:pStyle w:val="Bullets"/>
        <w:numPr>
          <w:ilvl w:val="0"/>
          <w:numId w:val="0"/>
        </w:numPr>
        <w:jc w:val="both"/>
        <w:rPr>
          <w:rFonts w:cs="Arial"/>
          <w:b/>
        </w:rPr>
      </w:pPr>
      <w:r>
        <w:rPr>
          <w:rFonts w:cs="Arial"/>
          <w:b/>
        </w:rPr>
        <w:t xml:space="preserve">CBI </w:t>
      </w:r>
      <w:r w:rsidRPr="00F61CA0">
        <w:rPr>
          <w:rFonts w:cs="Arial"/>
        </w:rPr>
        <w:t>means the Central Bank of Ireland</w:t>
      </w:r>
    </w:p>
    <w:p w14:paraId="7622C246" w14:textId="77777777" w:rsidR="0021298F" w:rsidRDefault="0021298F" w:rsidP="0021298F">
      <w:pPr>
        <w:pStyle w:val="Bullets"/>
        <w:numPr>
          <w:ilvl w:val="0"/>
          <w:numId w:val="0"/>
        </w:numPr>
        <w:jc w:val="both"/>
        <w:rPr>
          <w:rFonts w:cs="Arial"/>
          <w:b/>
        </w:rPr>
      </w:pPr>
    </w:p>
    <w:p w14:paraId="2E83EA99" w14:textId="77777777" w:rsidR="0021298F" w:rsidRDefault="0021298F" w:rsidP="0021298F">
      <w:pPr>
        <w:pStyle w:val="Bullets"/>
        <w:numPr>
          <w:ilvl w:val="0"/>
          <w:numId w:val="0"/>
        </w:numPr>
        <w:jc w:val="both"/>
        <w:rPr>
          <w:rFonts w:cs="Arial"/>
        </w:rPr>
      </w:pPr>
      <w:r>
        <w:rPr>
          <w:rFonts w:cs="Arial"/>
          <w:b/>
        </w:rPr>
        <w:t xml:space="preserve">CFD </w:t>
      </w:r>
      <w:r w:rsidRPr="00AC0336">
        <w:rPr>
          <w:rFonts w:cs="Arial"/>
        </w:rPr>
        <w:t xml:space="preserve">means Contract </w:t>
      </w:r>
      <w:r>
        <w:rPr>
          <w:rFonts w:cs="Arial"/>
        </w:rPr>
        <w:t>f</w:t>
      </w:r>
      <w:r w:rsidRPr="00AC0336">
        <w:rPr>
          <w:rFonts w:cs="Arial"/>
        </w:rPr>
        <w:t>or Difference</w:t>
      </w:r>
    </w:p>
    <w:p w14:paraId="15CBAA1B" w14:textId="77777777" w:rsidR="0021298F" w:rsidRPr="00AE47CC" w:rsidRDefault="0021298F" w:rsidP="0021298F">
      <w:pPr>
        <w:pStyle w:val="Bullets"/>
        <w:numPr>
          <w:ilvl w:val="0"/>
          <w:numId w:val="0"/>
        </w:numPr>
        <w:jc w:val="both"/>
        <w:rPr>
          <w:rFonts w:cs="Arial"/>
          <w:sz w:val="20"/>
          <w:szCs w:val="20"/>
        </w:rPr>
      </w:pPr>
    </w:p>
    <w:p w14:paraId="41497BF7" w14:textId="77777777" w:rsidR="0021298F" w:rsidRPr="00B73F05" w:rsidRDefault="0021298F" w:rsidP="0021298F">
      <w:pPr>
        <w:pStyle w:val="Bullets"/>
        <w:numPr>
          <w:ilvl w:val="0"/>
          <w:numId w:val="0"/>
        </w:numPr>
        <w:jc w:val="both"/>
        <w:rPr>
          <w:rFonts w:cs="Arial"/>
        </w:rPr>
      </w:pPr>
      <w:r>
        <w:rPr>
          <w:rFonts w:cs="Arial"/>
          <w:b/>
          <w:bCs/>
        </w:rPr>
        <w:t xml:space="preserve">CIBC </w:t>
      </w:r>
      <w:r>
        <w:rPr>
          <w:rFonts w:cs="Arial"/>
        </w:rPr>
        <w:t>means Canadian Imperial Bank of Commerce</w:t>
      </w:r>
    </w:p>
    <w:p w14:paraId="3B258860" w14:textId="77777777" w:rsidR="0021298F" w:rsidRPr="00AE47CC" w:rsidRDefault="0021298F" w:rsidP="0021298F">
      <w:pPr>
        <w:jc w:val="both"/>
        <w:rPr>
          <w:rFonts w:ascii="Arial" w:hAnsi="Arial" w:cs="Arial"/>
          <w:b/>
          <w:sz w:val="20"/>
          <w:szCs w:val="20"/>
        </w:rPr>
      </w:pPr>
    </w:p>
    <w:p w14:paraId="29ED95F4" w14:textId="77777777" w:rsidR="0021298F" w:rsidRPr="005D50D6" w:rsidRDefault="0021298F" w:rsidP="0021298F">
      <w:pPr>
        <w:pStyle w:val="Bullets"/>
        <w:numPr>
          <w:ilvl w:val="0"/>
          <w:numId w:val="0"/>
        </w:numPr>
        <w:jc w:val="both"/>
        <w:rPr>
          <w:rFonts w:cs="Arial"/>
        </w:rPr>
      </w:pPr>
      <w:r>
        <w:rPr>
          <w:rFonts w:cs="Arial"/>
          <w:b/>
        </w:rPr>
        <w:t xml:space="preserve">CPI </w:t>
      </w:r>
      <w:r>
        <w:rPr>
          <w:rFonts w:cs="Arial"/>
        </w:rPr>
        <w:t>means Consumer Price Index</w:t>
      </w:r>
    </w:p>
    <w:p w14:paraId="1A9E8BA2" w14:textId="77777777" w:rsidR="0021298F" w:rsidRPr="00AE47CC" w:rsidRDefault="0021298F" w:rsidP="0021298F">
      <w:pPr>
        <w:jc w:val="both"/>
        <w:rPr>
          <w:rFonts w:ascii="Arial" w:hAnsi="Arial" w:cs="Arial"/>
          <w:b/>
          <w:sz w:val="20"/>
          <w:szCs w:val="20"/>
        </w:rPr>
      </w:pPr>
    </w:p>
    <w:p w14:paraId="4F5F7F19" w14:textId="77777777" w:rsidR="0021298F" w:rsidRDefault="0021298F" w:rsidP="0021298F">
      <w:pPr>
        <w:jc w:val="both"/>
        <w:rPr>
          <w:rFonts w:ascii="Arial" w:hAnsi="Arial" w:cs="Arial"/>
        </w:rPr>
      </w:pPr>
      <w:r w:rsidRPr="00AB0105">
        <w:rPr>
          <w:rFonts w:ascii="Arial" w:hAnsi="Arial" w:cs="Arial"/>
          <w:b/>
        </w:rPr>
        <w:t>DCF</w:t>
      </w:r>
      <w:r>
        <w:rPr>
          <w:rFonts w:ascii="Arial" w:hAnsi="Arial" w:cs="Arial"/>
        </w:rPr>
        <w:t xml:space="preserve"> means Discounted Cash Flow</w:t>
      </w:r>
    </w:p>
    <w:p w14:paraId="1D9BB33B" w14:textId="77777777" w:rsidR="0021298F" w:rsidRDefault="0021298F" w:rsidP="0021298F">
      <w:pPr>
        <w:jc w:val="both"/>
        <w:rPr>
          <w:rFonts w:ascii="Arial" w:hAnsi="Arial" w:cs="Arial"/>
        </w:rPr>
      </w:pPr>
    </w:p>
    <w:p w14:paraId="7937AD68" w14:textId="77777777" w:rsidR="0021298F" w:rsidRPr="007474AA" w:rsidRDefault="0021298F" w:rsidP="0021298F">
      <w:pPr>
        <w:jc w:val="both"/>
        <w:rPr>
          <w:rFonts w:ascii="Arial" w:hAnsi="Arial" w:cs="Arial"/>
        </w:rPr>
      </w:pPr>
      <w:r>
        <w:rPr>
          <w:rFonts w:ascii="Arial" w:hAnsi="Arial" w:cs="Arial"/>
          <w:b/>
          <w:bCs/>
        </w:rPr>
        <w:t xml:space="preserve">DS3 </w:t>
      </w:r>
      <w:r>
        <w:rPr>
          <w:rFonts w:ascii="Arial" w:hAnsi="Arial" w:cs="Arial"/>
        </w:rPr>
        <w:t>means Delivering a Secure, Sustainable Electricity System</w:t>
      </w:r>
    </w:p>
    <w:p w14:paraId="680459DA" w14:textId="77777777" w:rsidR="0021298F" w:rsidRPr="00AE47CC" w:rsidRDefault="0021298F" w:rsidP="0021298F">
      <w:pPr>
        <w:jc w:val="both"/>
        <w:rPr>
          <w:rFonts w:ascii="Arial" w:hAnsi="Arial" w:cs="Arial"/>
          <w:sz w:val="20"/>
          <w:szCs w:val="20"/>
        </w:rPr>
      </w:pPr>
    </w:p>
    <w:p w14:paraId="09F7EFC4" w14:textId="77777777" w:rsidR="0021298F" w:rsidRPr="00D21377" w:rsidRDefault="0021298F" w:rsidP="0021298F">
      <w:pPr>
        <w:jc w:val="both"/>
        <w:rPr>
          <w:rFonts w:ascii="Arial" w:hAnsi="Arial" w:cs="Arial"/>
        </w:rPr>
      </w:pPr>
      <w:r>
        <w:rPr>
          <w:rFonts w:ascii="Arial" w:hAnsi="Arial" w:cs="Arial"/>
          <w:b/>
          <w:bCs/>
        </w:rPr>
        <w:t xml:space="preserve">EGM </w:t>
      </w:r>
      <w:r>
        <w:rPr>
          <w:rFonts w:ascii="Arial" w:hAnsi="Arial" w:cs="Arial"/>
        </w:rPr>
        <w:t>means Extraordinary General Meeting of the Company</w:t>
      </w:r>
    </w:p>
    <w:p w14:paraId="07B5F771" w14:textId="77777777" w:rsidR="0021298F" w:rsidRPr="00AE47CC" w:rsidRDefault="0021298F" w:rsidP="0021298F">
      <w:pPr>
        <w:pStyle w:val="Bullets"/>
        <w:numPr>
          <w:ilvl w:val="0"/>
          <w:numId w:val="0"/>
        </w:numPr>
        <w:jc w:val="both"/>
        <w:rPr>
          <w:rFonts w:cs="Arial"/>
          <w:sz w:val="20"/>
          <w:szCs w:val="20"/>
        </w:rPr>
      </w:pPr>
    </w:p>
    <w:p w14:paraId="6AE2573B" w14:textId="77777777" w:rsidR="0021298F" w:rsidRDefault="0021298F" w:rsidP="0021298F">
      <w:pPr>
        <w:jc w:val="both"/>
        <w:rPr>
          <w:rFonts w:ascii="Arial" w:hAnsi="Arial" w:cs="Arial"/>
          <w:b/>
        </w:rPr>
      </w:pPr>
      <w:r>
        <w:rPr>
          <w:rFonts w:ascii="Arial" w:hAnsi="Arial" w:cs="Arial"/>
          <w:b/>
        </w:rPr>
        <w:t xml:space="preserve">ESG </w:t>
      </w:r>
      <w:r w:rsidRPr="00BF37CE">
        <w:rPr>
          <w:rFonts w:ascii="Arial" w:hAnsi="Arial" w:cs="Arial"/>
        </w:rPr>
        <w:t>means the Environmental, Social and Governance</w:t>
      </w:r>
    </w:p>
    <w:p w14:paraId="08396095" w14:textId="77777777" w:rsidR="0021298F" w:rsidRPr="00AE47CC" w:rsidRDefault="0021298F" w:rsidP="0021298F">
      <w:pPr>
        <w:rPr>
          <w:rFonts w:ascii="Arial" w:hAnsi="Arial" w:cs="Arial"/>
          <w:b/>
          <w:sz w:val="20"/>
          <w:szCs w:val="20"/>
        </w:rPr>
      </w:pPr>
    </w:p>
    <w:p w14:paraId="1C3AE835" w14:textId="77777777" w:rsidR="0021298F" w:rsidRDefault="0021298F" w:rsidP="0021298F">
      <w:pPr>
        <w:rPr>
          <w:rFonts w:ascii="Arial" w:hAnsi="Arial" w:cs="Arial"/>
        </w:rPr>
      </w:pPr>
      <w:r w:rsidRPr="003C3C40">
        <w:rPr>
          <w:rFonts w:ascii="Arial" w:hAnsi="Arial" w:cs="Arial"/>
          <w:b/>
        </w:rPr>
        <w:t>EU</w:t>
      </w:r>
      <w:r>
        <w:rPr>
          <w:rFonts w:ascii="Arial" w:hAnsi="Arial" w:cs="Arial"/>
        </w:rPr>
        <w:t xml:space="preserve"> means the European Union</w:t>
      </w:r>
      <w:r w:rsidRPr="00CD5E5A">
        <w:rPr>
          <w:rFonts w:ascii="Arial" w:hAnsi="Arial" w:cs="Arial"/>
        </w:rPr>
        <w:t xml:space="preserve"> </w:t>
      </w:r>
    </w:p>
    <w:p w14:paraId="1AEAF5F3" w14:textId="77777777" w:rsidR="0021298F" w:rsidRPr="00AE47CC" w:rsidRDefault="0021298F" w:rsidP="0021298F">
      <w:pPr>
        <w:jc w:val="both"/>
        <w:rPr>
          <w:rFonts w:ascii="Arial" w:hAnsi="Arial" w:cs="Arial"/>
          <w:b/>
          <w:sz w:val="20"/>
          <w:szCs w:val="20"/>
        </w:rPr>
      </w:pPr>
    </w:p>
    <w:p w14:paraId="42EA23B3" w14:textId="77777777" w:rsidR="0021298F" w:rsidRDefault="0021298F" w:rsidP="0021298F">
      <w:pPr>
        <w:rPr>
          <w:rFonts w:ascii="Arial" w:hAnsi="Arial" w:cs="Arial"/>
        </w:rPr>
      </w:pPr>
      <w:r>
        <w:rPr>
          <w:rFonts w:ascii="Arial" w:hAnsi="Arial" w:cs="Arial"/>
          <w:b/>
        </w:rPr>
        <w:t>Euronext</w:t>
      </w:r>
      <w:r>
        <w:rPr>
          <w:rFonts w:ascii="Arial" w:hAnsi="Arial" w:cs="Arial"/>
        </w:rPr>
        <w:t xml:space="preserve"> means the Euronext Dublin, formerly the Irish Stock Exchange</w:t>
      </w:r>
      <w:r w:rsidRPr="00CD5E5A">
        <w:rPr>
          <w:rFonts w:ascii="Arial" w:hAnsi="Arial" w:cs="Arial"/>
        </w:rPr>
        <w:t xml:space="preserve"> </w:t>
      </w:r>
    </w:p>
    <w:p w14:paraId="2B685B40" w14:textId="77777777" w:rsidR="0021298F" w:rsidRPr="00AE47CC" w:rsidRDefault="0021298F" w:rsidP="0021298F">
      <w:pPr>
        <w:jc w:val="both"/>
        <w:rPr>
          <w:rFonts w:ascii="Arial" w:hAnsi="Arial" w:cs="Arial"/>
          <w:b/>
          <w:sz w:val="20"/>
          <w:szCs w:val="20"/>
        </w:rPr>
      </w:pPr>
    </w:p>
    <w:p w14:paraId="5D817C31" w14:textId="77777777" w:rsidR="0021298F" w:rsidRDefault="0021298F" w:rsidP="0021298F">
      <w:pPr>
        <w:jc w:val="both"/>
        <w:rPr>
          <w:rFonts w:ascii="Arial" w:hAnsi="Arial" w:cs="Arial"/>
        </w:rPr>
      </w:pPr>
      <w:r w:rsidRPr="001C3559">
        <w:rPr>
          <w:rFonts w:ascii="Arial" w:hAnsi="Arial" w:cs="Arial"/>
          <w:b/>
        </w:rPr>
        <w:t>EURIBOR</w:t>
      </w:r>
      <w:r>
        <w:rPr>
          <w:rFonts w:ascii="Arial" w:hAnsi="Arial" w:cs="Arial"/>
          <w:b/>
        </w:rPr>
        <w:t xml:space="preserve"> </w:t>
      </w:r>
      <w:r>
        <w:rPr>
          <w:rFonts w:ascii="Arial" w:hAnsi="Arial" w:cs="Arial"/>
        </w:rPr>
        <w:t xml:space="preserve">means the </w:t>
      </w:r>
      <w:r w:rsidRPr="008646E7">
        <w:rPr>
          <w:rFonts w:ascii="Arial" w:hAnsi="Arial" w:cs="Arial"/>
        </w:rPr>
        <w:t>Euro Interbank Offered Rate</w:t>
      </w:r>
    </w:p>
    <w:p w14:paraId="4B864AC0" w14:textId="77777777" w:rsidR="0021298F" w:rsidRPr="00AE47CC" w:rsidRDefault="0021298F" w:rsidP="0021298F">
      <w:pPr>
        <w:jc w:val="both"/>
        <w:rPr>
          <w:rFonts w:ascii="Arial" w:hAnsi="Arial" w:cs="Arial"/>
          <w:b/>
          <w:sz w:val="20"/>
          <w:szCs w:val="20"/>
        </w:rPr>
      </w:pPr>
    </w:p>
    <w:p w14:paraId="79EE979D" w14:textId="77777777" w:rsidR="0021298F" w:rsidRDefault="0021298F" w:rsidP="0021298F">
      <w:pPr>
        <w:jc w:val="both"/>
        <w:rPr>
          <w:rFonts w:ascii="Arial" w:hAnsi="Arial" w:cs="Arial"/>
        </w:rPr>
      </w:pPr>
      <w:r w:rsidRPr="008A1E2A">
        <w:rPr>
          <w:rFonts w:ascii="Arial" w:hAnsi="Arial" w:cs="Arial"/>
          <w:b/>
        </w:rPr>
        <w:t>Eurozone</w:t>
      </w:r>
      <w:r>
        <w:rPr>
          <w:rFonts w:ascii="Arial" w:hAnsi="Arial" w:cs="Arial"/>
        </w:rPr>
        <w:t xml:space="preserve"> means the area comprising 19 of the 28 Member States which have adopted the euro as their common currency and sole legal tender</w:t>
      </w:r>
    </w:p>
    <w:p w14:paraId="513B6981" w14:textId="77777777" w:rsidR="0021298F" w:rsidRPr="00AE47CC" w:rsidRDefault="0021298F" w:rsidP="0021298F">
      <w:pPr>
        <w:jc w:val="both"/>
        <w:rPr>
          <w:rFonts w:ascii="Arial" w:hAnsi="Arial" w:cs="Arial"/>
          <w:sz w:val="20"/>
          <w:szCs w:val="20"/>
        </w:rPr>
      </w:pPr>
    </w:p>
    <w:p w14:paraId="6F4B6349" w14:textId="77777777" w:rsidR="0021298F" w:rsidRPr="006852D5" w:rsidRDefault="0021298F" w:rsidP="0021298F">
      <w:pPr>
        <w:jc w:val="both"/>
        <w:rPr>
          <w:rFonts w:ascii="Arial" w:hAnsi="Arial" w:cs="Arial"/>
        </w:rPr>
      </w:pPr>
      <w:r>
        <w:rPr>
          <w:rFonts w:ascii="Arial" w:hAnsi="Arial" w:cs="Arial"/>
          <w:b/>
          <w:bCs/>
        </w:rPr>
        <w:t xml:space="preserve">FCA </w:t>
      </w:r>
      <w:r>
        <w:rPr>
          <w:rFonts w:ascii="Arial" w:hAnsi="Arial" w:cs="Arial"/>
        </w:rPr>
        <w:t>means Financial Conduct Authority</w:t>
      </w:r>
    </w:p>
    <w:p w14:paraId="3A2CD72A" w14:textId="77777777" w:rsidR="0021298F" w:rsidRPr="00AE47CC" w:rsidRDefault="0021298F" w:rsidP="0021298F">
      <w:pPr>
        <w:jc w:val="both"/>
        <w:rPr>
          <w:rFonts w:ascii="Arial" w:hAnsi="Arial" w:cs="Arial"/>
          <w:sz w:val="20"/>
          <w:szCs w:val="20"/>
        </w:rPr>
      </w:pPr>
    </w:p>
    <w:p w14:paraId="6547329C" w14:textId="77777777" w:rsidR="0021298F" w:rsidRDefault="0021298F" w:rsidP="0021298F">
      <w:pPr>
        <w:rPr>
          <w:rFonts w:ascii="Arial" w:hAnsi="Arial" w:cs="Arial"/>
        </w:rPr>
      </w:pPr>
      <w:r>
        <w:rPr>
          <w:rFonts w:ascii="Arial" w:hAnsi="Arial" w:cs="Arial"/>
          <w:b/>
          <w:bCs/>
        </w:rPr>
        <w:t xml:space="preserve">FIT </w:t>
      </w:r>
      <w:r>
        <w:rPr>
          <w:rFonts w:ascii="Arial" w:hAnsi="Arial" w:cs="Arial"/>
        </w:rPr>
        <w:t>means Feed-In Tariff</w:t>
      </w:r>
    </w:p>
    <w:p w14:paraId="776D6808" w14:textId="77777777" w:rsidR="0021298F" w:rsidRPr="00AE47CC" w:rsidRDefault="0021298F" w:rsidP="0021298F">
      <w:pPr>
        <w:jc w:val="both"/>
        <w:rPr>
          <w:rFonts w:ascii="Arial" w:hAnsi="Arial" w:cs="Arial"/>
          <w:sz w:val="20"/>
          <w:szCs w:val="20"/>
        </w:rPr>
      </w:pPr>
    </w:p>
    <w:p w14:paraId="3B3CE12F" w14:textId="77777777" w:rsidR="0021298F" w:rsidRDefault="0021298F" w:rsidP="0021298F">
      <w:pPr>
        <w:jc w:val="both"/>
        <w:rPr>
          <w:rFonts w:ascii="Arial" w:hAnsi="Arial" w:cs="Arial"/>
        </w:rPr>
      </w:pPr>
      <w:r>
        <w:rPr>
          <w:rFonts w:ascii="Arial" w:hAnsi="Arial" w:cs="Arial"/>
          <w:b/>
        </w:rPr>
        <w:t>FRC</w:t>
      </w:r>
      <w:r w:rsidRPr="001C42CB">
        <w:rPr>
          <w:rFonts w:ascii="Arial" w:hAnsi="Arial" w:cs="Arial"/>
          <w:b/>
        </w:rPr>
        <w:t xml:space="preserve"> </w:t>
      </w:r>
      <w:r w:rsidRPr="001C42CB">
        <w:rPr>
          <w:rFonts w:ascii="Arial" w:hAnsi="Arial" w:cs="Arial"/>
        </w:rPr>
        <w:t xml:space="preserve">means </w:t>
      </w:r>
      <w:r w:rsidRPr="00F33CE6">
        <w:rPr>
          <w:rFonts w:ascii="Arial" w:hAnsi="Arial" w:cs="Arial"/>
        </w:rPr>
        <w:t>Financial Reporting Council</w:t>
      </w:r>
    </w:p>
    <w:p w14:paraId="29979FAB" w14:textId="77777777" w:rsidR="0021298F" w:rsidRPr="00AE47CC" w:rsidRDefault="0021298F" w:rsidP="0021298F">
      <w:pPr>
        <w:jc w:val="both"/>
        <w:rPr>
          <w:rFonts w:ascii="Arial" w:hAnsi="Arial" w:cs="Arial"/>
          <w:sz w:val="20"/>
          <w:szCs w:val="20"/>
        </w:rPr>
      </w:pPr>
    </w:p>
    <w:p w14:paraId="38D5238F" w14:textId="77777777" w:rsidR="0021298F" w:rsidRDefault="0021298F" w:rsidP="0021298F">
      <w:pPr>
        <w:jc w:val="both"/>
        <w:rPr>
          <w:rFonts w:ascii="Arial" w:hAnsi="Arial" w:cs="Arial"/>
        </w:rPr>
      </w:pPr>
      <w:r w:rsidRPr="00E4638A">
        <w:rPr>
          <w:rFonts w:ascii="Arial" w:hAnsi="Arial" w:cs="Arial"/>
          <w:b/>
        </w:rPr>
        <w:t>GAV</w:t>
      </w:r>
      <w:r w:rsidRPr="001C42CB">
        <w:rPr>
          <w:rFonts w:ascii="Arial" w:hAnsi="Arial" w:cs="Arial"/>
          <w:b/>
        </w:rPr>
        <w:t xml:space="preserve"> </w:t>
      </w:r>
      <w:r w:rsidRPr="001C42CB">
        <w:rPr>
          <w:rFonts w:ascii="Arial" w:hAnsi="Arial" w:cs="Arial"/>
        </w:rPr>
        <w:t>means Gross Asset Value</w:t>
      </w:r>
      <w:r>
        <w:rPr>
          <w:rFonts w:ascii="Arial" w:hAnsi="Arial" w:cs="Arial"/>
        </w:rPr>
        <w:t xml:space="preserve"> as defined in the Admission Document</w:t>
      </w:r>
    </w:p>
    <w:p w14:paraId="63C206E1" w14:textId="77777777" w:rsidR="0021298F" w:rsidRPr="00AE47CC" w:rsidRDefault="0021298F" w:rsidP="0021298F">
      <w:pPr>
        <w:jc w:val="both"/>
        <w:rPr>
          <w:rFonts w:ascii="Arial" w:hAnsi="Arial" w:cs="Arial"/>
          <w:sz w:val="20"/>
          <w:szCs w:val="20"/>
        </w:rPr>
      </w:pPr>
    </w:p>
    <w:p w14:paraId="258ECF17" w14:textId="77777777" w:rsidR="0021298F" w:rsidRDefault="0021298F" w:rsidP="0021298F">
      <w:pPr>
        <w:jc w:val="both"/>
        <w:rPr>
          <w:rFonts w:ascii="Arial" w:hAnsi="Arial" w:cs="Arial"/>
          <w:b/>
        </w:rPr>
      </w:pPr>
      <w:r>
        <w:rPr>
          <w:rFonts w:ascii="Arial" w:hAnsi="Arial" w:cs="Arial"/>
          <w:b/>
        </w:rPr>
        <w:t xml:space="preserve">Garranereagh </w:t>
      </w:r>
      <w:r>
        <w:rPr>
          <w:rFonts w:ascii="Arial" w:hAnsi="Arial" w:cs="Arial"/>
        </w:rPr>
        <w:t xml:space="preserve">means Sigatoka </w:t>
      </w:r>
      <w:r w:rsidRPr="004A78F8">
        <w:rPr>
          <w:rFonts w:ascii="Arial" w:hAnsi="Arial" w:cs="Arial"/>
        </w:rPr>
        <w:t>Limited</w:t>
      </w:r>
    </w:p>
    <w:p w14:paraId="72AB67AA" w14:textId="77777777" w:rsidR="0021298F" w:rsidRPr="00AE47CC" w:rsidRDefault="0021298F" w:rsidP="0021298F">
      <w:pPr>
        <w:jc w:val="both"/>
        <w:rPr>
          <w:rFonts w:ascii="Arial" w:hAnsi="Arial" w:cs="Arial"/>
          <w:b/>
          <w:sz w:val="20"/>
          <w:szCs w:val="20"/>
        </w:rPr>
      </w:pPr>
    </w:p>
    <w:p w14:paraId="34B4DB72" w14:textId="77777777" w:rsidR="0021298F" w:rsidRDefault="0021298F" w:rsidP="0021298F">
      <w:pPr>
        <w:jc w:val="both"/>
        <w:rPr>
          <w:rFonts w:ascii="Arial" w:hAnsi="Arial" w:cs="Arial"/>
        </w:rPr>
      </w:pPr>
      <w:r>
        <w:rPr>
          <w:rFonts w:ascii="Arial" w:hAnsi="Arial" w:cs="Arial"/>
          <w:b/>
        </w:rPr>
        <w:t xml:space="preserve">Glanaruddery </w:t>
      </w:r>
      <w:r w:rsidRPr="004A78F8">
        <w:rPr>
          <w:rFonts w:ascii="Arial" w:hAnsi="Arial" w:cs="Arial"/>
        </w:rPr>
        <w:t>means Glanaruddery Windfarms Limited</w:t>
      </w:r>
      <w:r>
        <w:rPr>
          <w:rFonts w:ascii="Arial" w:hAnsi="Arial" w:cs="Arial"/>
        </w:rPr>
        <w:t xml:space="preserve"> and Glanaruddery Energy Supply Limited</w:t>
      </w:r>
    </w:p>
    <w:p w14:paraId="19537377" w14:textId="77777777" w:rsidR="0021298F" w:rsidRPr="00AE47CC" w:rsidRDefault="0021298F" w:rsidP="0021298F">
      <w:pPr>
        <w:jc w:val="both"/>
        <w:rPr>
          <w:rFonts w:ascii="Arial" w:hAnsi="Arial" w:cs="Arial"/>
          <w:sz w:val="20"/>
          <w:szCs w:val="20"/>
        </w:rPr>
      </w:pPr>
    </w:p>
    <w:p w14:paraId="318167E9" w14:textId="77777777" w:rsidR="0021298F" w:rsidRDefault="0021298F" w:rsidP="0021298F">
      <w:pPr>
        <w:jc w:val="both"/>
        <w:rPr>
          <w:rFonts w:ascii="Arial" w:hAnsi="Arial" w:cs="Arial"/>
        </w:rPr>
      </w:pPr>
      <w:r w:rsidRPr="00D6723B">
        <w:rPr>
          <w:rFonts w:ascii="Arial" w:hAnsi="Arial" w:cs="Arial"/>
          <w:b/>
        </w:rPr>
        <w:t>Gortahile</w:t>
      </w:r>
      <w:r w:rsidRPr="00D6723B">
        <w:rPr>
          <w:rFonts w:ascii="Arial" w:hAnsi="Arial" w:cs="Arial"/>
        </w:rPr>
        <w:t xml:space="preserve"> means Gortahile Windfarm Limited</w:t>
      </w:r>
    </w:p>
    <w:p w14:paraId="4C7C1AA7" w14:textId="77777777" w:rsidR="0021298F" w:rsidRPr="00AE47CC" w:rsidRDefault="0021298F" w:rsidP="0021298F">
      <w:pPr>
        <w:jc w:val="both"/>
        <w:rPr>
          <w:rFonts w:ascii="Arial" w:hAnsi="Arial" w:cs="Arial"/>
          <w:b/>
          <w:sz w:val="20"/>
          <w:szCs w:val="20"/>
        </w:rPr>
      </w:pPr>
    </w:p>
    <w:p w14:paraId="50175DAC" w14:textId="77777777" w:rsidR="0021298F" w:rsidRDefault="0021298F" w:rsidP="0021298F">
      <w:pPr>
        <w:jc w:val="both"/>
        <w:rPr>
          <w:rFonts w:ascii="Arial" w:hAnsi="Arial" w:cs="Arial"/>
        </w:rPr>
      </w:pPr>
      <w:r w:rsidRPr="003C3C40">
        <w:rPr>
          <w:rFonts w:ascii="Arial" w:hAnsi="Arial" w:cs="Arial"/>
          <w:b/>
        </w:rPr>
        <w:t>Group</w:t>
      </w:r>
      <w:r>
        <w:rPr>
          <w:rFonts w:ascii="Arial" w:hAnsi="Arial" w:cs="Arial"/>
        </w:rPr>
        <w:t xml:space="preserve"> means the Company, Holdco, Holdco 1 and Holdco 2</w:t>
      </w:r>
    </w:p>
    <w:p w14:paraId="2B7163A1" w14:textId="77777777" w:rsidR="0021298F" w:rsidRPr="00AE47CC" w:rsidRDefault="0021298F" w:rsidP="0021298F">
      <w:pPr>
        <w:jc w:val="both"/>
        <w:rPr>
          <w:rFonts w:ascii="Arial" w:hAnsi="Arial" w:cs="Arial"/>
          <w:sz w:val="20"/>
          <w:szCs w:val="20"/>
        </w:rPr>
      </w:pPr>
    </w:p>
    <w:p w14:paraId="3807F0A7" w14:textId="77777777" w:rsidR="0021298F" w:rsidRDefault="0021298F" w:rsidP="0021298F">
      <w:pPr>
        <w:jc w:val="both"/>
        <w:rPr>
          <w:rFonts w:ascii="Arial" w:hAnsi="Arial" w:cs="Arial"/>
        </w:rPr>
      </w:pPr>
      <w:r>
        <w:rPr>
          <w:rFonts w:ascii="Arial" w:hAnsi="Arial" w:cs="Arial"/>
          <w:b/>
        </w:rPr>
        <w:t>Holdc</w:t>
      </w:r>
      <w:r w:rsidRPr="00C3633B">
        <w:rPr>
          <w:rFonts w:ascii="Arial" w:hAnsi="Arial" w:cs="Arial"/>
          <w:b/>
        </w:rPr>
        <w:t>o</w:t>
      </w:r>
      <w:r>
        <w:rPr>
          <w:rFonts w:ascii="Arial" w:hAnsi="Arial" w:cs="Arial"/>
          <w:b/>
        </w:rPr>
        <w:t xml:space="preserve"> </w:t>
      </w:r>
      <w:r>
        <w:rPr>
          <w:rFonts w:ascii="Arial" w:hAnsi="Arial" w:cs="Arial"/>
        </w:rPr>
        <w:t>means GR Wind Farms 1 Limited</w:t>
      </w:r>
    </w:p>
    <w:p w14:paraId="23A8165A" w14:textId="77777777" w:rsidR="0021298F" w:rsidRPr="00AE47CC" w:rsidRDefault="0021298F" w:rsidP="0021298F">
      <w:pPr>
        <w:jc w:val="both"/>
        <w:rPr>
          <w:rFonts w:ascii="Arial" w:hAnsi="Arial" w:cs="Arial"/>
          <w:sz w:val="20"/>
          <w:szCs w:val="20"/>
        </w:rPr>
      </w:pPr>
    </w:p>
    <w:p w14:paraId="026E52D1" w14:textId="77777777" w:rsidR="0021298F" w:rsidRPr="00C3633B" w:rsidRDefault="0021298F" w:rsidP="0021298F">
      <w:pPr>
        <w:jc w:val="both"/>
        <w:rPr>
          <w:rFonts w:ascii="Arial" w:hAnsi="Arial" w:cs="Arial"/>
        </w:rPr>
      </w:pPr>
      <w:r w:rsidRPr="00AC0336">
        <w:rPr>
          <w:rFonts w:ascii="Arial" w:hAnsi="Arial" w:cs="Arial"/>
          <w:b/>
        </w:rPr>
        <w:t xml:space="preserve">Holdco </w:t>
      </w:r>
      <w:r>
        <w:rPr>
          <w:rFonts w:ascii="Arial" w:hAnsi="Arial" w:cs="Arial"/>
          <w:b/>
        </w:rPr>
        <w:t>1</w:t>
      </w:r>
      <w:r>
        <w:rPr>
          <w:rFonts w:ascii="Arial" w:hAnsi="Arial" w:cs="Arial"/>
        </w:rPr>
        <w:t xml:space="preserve"> means Greencoat Renewables 1 Holdings Limited</w:t>
      </w:r>
    </w:p>
    <w:p w14:paraId="5D6BC06A" w14:textId="77777777" w:rsidR="0021298F" w:rsidRPr="00AE47CC" w:rsidRDefault="0021298F" w:rsidP="0021298F">
      <w:pPr>
        <w:jc w:val="both"/>
        <w:rPr>
          <w:rFonts w:ascii="Arial" w:hAnsi="Arial" w:cs="Arial"/>
          <w:b/>
          <w:sz w:val="20"/>
          <w:szCs w:val="20"/>
        </w:rPr>
      </w:pPr>
    </w:p>
    <w:p w14:paraId="09C18DF6" w14:textId="77777777" w:rsidR="0021298F" w:rsidRDefault="0021298F" w:rsidP="0021298F">
      <w:pPr>
        <w:jc w:val="both"/>
        <w:rPr>
          <w:rFonts w:ascii="Arial" w:hAnsi="Arial" w:cs="Arial"/>
        </w:rPr>
      </w:pPr>
      <w:r>
        <w:rPr>
          <w:rFonts w:ascii="Arial" w:hAnsi="Arial" w:cs="Arial"/>
          <w:b/>
        </w:rPr>
        <w:t>Holdco 2</w:t>
      </w:r>
      <w:r>
        <w:rPr>
          <w:rFonts w:ascii="Arial" w:hAnsi="Arial" w:cs="Arial"/>
        </w:rPr>
        <w:t xml:space="preserve"> means Greencoat Renewables 2 Holdings Limited</w:t>
      </w:r>
    </w:p>
    <w:p w14:paraId="616FCC9D" w14:textId="77777777" w:rsidR="0021298F" w:rsidRPr="00AE47CC" w:rsidRDefault="0021298F" w:rsidP="0021298F">
      <w:pPr>
        <w:jc w:val="both"/>
        <w:rPr>
          <w:rFonts w:ascii="Arial" w:hAnsi="Arial" w:cs="Arial"/>
          <w:sz w:val="20"/>
          <w:szCs w:val="20"/>
        </w:rPr>
      </w:pPr>
    </w:p>
    <w:p w14:paraId="1909905C" w14:textId="77777777" w:rsidR="0021298F" w:rsidRDefault="0021298F" w:rsidP="0021298F">
      <w:pPr>
        <w:jc w:val="both"/>
        <w:rPr>
          <w:rFonts w:ascii="Arial" w:hAnsi="Arial" w:cs="Arial"/>
        </w:rPr>
      </w:pPr>
      <w:r w:rsidRPr="00AB0105">
        <w:rPr>
          <w:rFonts w:ascii="Arial" w:hAnsi="Arial" w:cs="Arial"/>
          <w:b/>
        </w:rPr>
        <w:t>IAS</w:t>
      </w:r>
      <w:r>
        <w:rPr>
          <w:rFonts w:ascii="Arial" w:hAnsi="Arial" w:cs="Arial"/>
        </w:rPr>
        <w:t xml:space="preserve"> means International Accounting Standards</w:t>
      </w:r>
    </w:p>
    <w:p w14:paraId="1EF3CD6D" w14:textId="77777777" w:rsidR="0021298F" w:rsidRDefault="0021298F" w:rsidP="0021298F">
      <w:pPr>
        <w:rPr>
          <w:rFonts w:ascii="Arial" w:hAnsi="Arial" w:cs="Arial"/>
        </w:rPr>
      </w:pPr>
    </w:p>
    <w:p w14:paraId="0A1C8453" w14:textId="77777777" w:rsidR="0021298F" w:rsidRDefault="0021298F" w:rsidP="0021298F">
      <w:pPr>
        <w:jc w:val="both"/>
        <w:rPr>
          <w:rFonts w:ascii="Arial" w:hAnsi="Arial" w:cs="Arial"/>
        </w:rPr>
      </w:pPr>
      <w:r w:rsidRPr="003C3C40">
        <w:rPr>
          <w:rFonts w:ascii="Arial" w:hAnsi="Arial" w:cs="Arial"/>
          <w:b/>
        </w:rPr>
        <w:t>IFRS</w:t>
      </w:r>
      <w:r>
        <w:rPr>
          <w:rFonts w:ascii="Arial" w:hAnsi="Arial" w:cs="Arial"/>
        </w:rPr>
        <w:t xml:space="preserve"> means </w:t>
      </w:r>
      <w:r w:rsidRPr="00042D2E">
        <w:rPr>
          <w:rFonts w:ascii="Arial" w:hAnsi="Arial" w:cs="Arial"/>
        </w:rPr>
        <w:t>International Financial Reporting Standards</w:t>
      </w:r>
    </w:p>
    <w:p w14:paraId="030D20B3" w14:textId="77777777" w:rsidR="0021298F" w:rsidRDefault="0021298F" w:rsidP="0021298F">
      <w:pPr>
        <w:jc w:val="both"/>
        <w:rPr>
          <w:rFonts w:ascii="Arial" w:hAnsi="Arial" w:cs="Arial"/>
        </w:rPr>
      </w:pPr>
    </w:p>
    <w:p w14:paraId="29AC1D83" w14:textId="77777777" w:rsidR="0021298F" w:rsidRDefault="0021298F" w:rsidP="0021298F">
      <w:pPr>
        <w:pStyle w:val="Bullets"/>
        <w:numPr>
          <w:ilvl w:val="0"/>
          <w:numId w:val="0"/>
        </w:numPr>
        <w:jc w:val="both"/>
        <w:rPr>
          <w:rFonts w:cs="Arial"/>
        </w:rPr>
      </w:pPr>
      <w:r>
        <w:rPr>
          <w:rFonts w:cs="Arial"/>
          <w:b/>
        </w:rPr>
        <w:t>Investment Management Agreement</w:t>
      </w:r>
      <w:r>
        <w:rPr>
          <w:rFonts w:cs="Arial"/>
        </w:rPr>
        <w:t xml:space="preserve"> means the agreement between the Company and the Investment Manager</w:t>
      </w:r>
    </w:p>
    <w:p w14:paraId="4AF5040E" w14:textId="77777777" w:rsidR="0021298F" w:rsidRPr="00AE47CC" w:rsidRDefault="0021298F" w:rsidP="0021298F">
      <w:pPr>
        <w:jc w:val="both"/>
        <w:rPr>
          <w:rFonts w:ascii="Arial" w:hAnsi="Arial" w:cs="Arial"/>
          <w:b/>
          <w:sz w:val="20"/>
          <w:szCs w:val="20"/>
        </w:rPr>
      </w:pPr>
    </w:p>
    <w:p w14:paraId="34A97949" w14:textId="77777777" w:rsidR="0021298F" w:rsidRDefault="0021298F" w:rsidP="0021298F">
      <w:pPr>
        <w:jc w:val="both"/>
        <w:rPr>
          <w:rFonts w:ascii="Arial" w:hAnsi="Arial" w:cs="Arial"/>
        </w:rPr>
      </w:pPr>
      <w:r w:rsidRPr="00031159">
        <w:rPr>
          <w:rFonts w:ascii="Arial" w:hAnsi="Arial" w:cs="Arial"/>
          <w:b/>
        </w:rPr>
        <w:t>Investment Manager</w:t>
      </w:r>
      <w:r>
        <w:rPr>
          <w:rFonts w:ascii="Arial" w:hAnsi="Arial" w:cs="Arial"/>
        </w:rPr>
        <w:t xml:space="preserve"> means Greencoat Capital LLP</w:t>
      </w:r>
    </w:p>
    <w:p w14:paraId="649EA415" w14:textId="77777777" w:rsidR="0021298F" w:rsidRPr="00AE47CC" w:rsidRDefault="0021298F" w:rsidP="0021298F">
      <w:pPr>
        <w:jc w:val="both"/>
        <w:rPr>
          <w:rFonts w:ascii="Arial" w:hAnsi="Arial" w:cs="Arial"/>
          <w:b/>
          <w:sz w:val="20"/>
          <w:szCs w:val="20"/>
        </w:rPr>
      </w:pPr>
    </w:p>
    <w:p w14:paraId="3509AD2B" w14:textId="77777777" w:rsidR="0021298F" w:rsidRPr="001D7D74" w:rsidRDefault="0021298F" w:rsidP="0021298F">
      <w:pPr>
        <w:jc w:val="both"/>
        <w:rPr>
          <w:rFonts w:ascii="Arial" w:hAnsi="Arial" w:cs="Arial"/>
        </w:rPr>
      </w:pPr>
      <w:r>
        <w:rPr>
          <w:rFonts w:ascii="Arial" w:hAnsi="Arial" w:cs="Arial"/>
          <w:b/>
        </w:rPr>
        <w:t xml:space="preserve">IPEV </w:t>
      </w:r>
      <w:r>
        <w:rPr>
          <w:rFonts w:ascii="Arial" w:hAnsi="Arial" w:cs="Arial"/>
        </w:rPr>
        <w:t>means t</w:t>
      </w:r>
      <w:r w:rsidRPr="00CD5E5A">
        <w:rPr>
          <w:rFonts w:ascii="Arial" w:hAnsi="Arial" w:cs="Arial"/>
        </w:rPr>
        <w:t>he International Private Equity and Venture Capital</w:t>
      </w:r>
      <w:r>
        <w:rPr>
          <w:rFonts w:ascii="Arial" w:hAnsi="Arial" w:cs="Arial"/>
        </w:rPr>
        <w:t xml:space="preserve"> Valuation Guidelines</w:t>
      </w:r>
    </w:p>
    <w:p w14:paraId="4F4527E8" w14:textId="77777777" w:rsidR="0021298F" w:rsidRPr="00AE47CC" w:rsidRDefault="0021298F" w:rsidP="0021298F">
      <w:pPr>
        <w:jc w:val="both"/>
        <w:rPr>
          <w:rFonts w:ascii="Arial" w:hAnsi="Arial" w:cs="Arial"/>
          <w:b/>
          <w:sz w:val="20"/>
          <w:szCs w:val="20"/>
        </w:rPr>
      </w:pPr>
    </w:p>
    <w:p w14:paraId="2B18CE97" w14:textId="77777777" w:rsidR="0021298F" w:rsidRDefault="0021298F" w:rsidP="0021298F">
      <w:pPr>
        <w:jc w:val="both"/>
        <w:rPr>
          <w:rFonts w:ascii="Arial" w:hAnsi="Arial" w:cs="Arial"/>
        </w:rPr>
      </w:pPr>
      <w:r>
        <w:rPr>
          <w:rFonts w:ascii="Arial" w:hAnsi="Arial" w:cs="Arial"/>
          <w:b/>
        </w:rPr>
        <w:t xml:space="preserve">IPO </w:t>
      </w:r>
      <w:r>
        <w:rPr>
          <w:rFonts w:ascii="Arial" w:hAnsi="Arial" w:cs="Arial"/>
        </w:rPr>
        <w:t>means Initial Public Offering</w:t>
      </w:r>
    </w:p>
    <w:p w14:paraId="71BA527D" w14:textId="77777777" w:rsidR="0021298F" w:rsidRPr="00AE47CC" w:rsidRDefault="0021298F" w:rsidP="0021298F">
      <w:pPr>
        <w:jc w:val="both"/>
        <w:rPr>
          <w:rFonts w:ascii="Arial" w:hAnsi="Arial" w:cs="Arial"/>
          <w:b/>
          <w:sz w:val="20"/>
          <w:szCs w:val="20"/>
        </w:rPr>
      </w:pPr>
    </w:p>
    <w:p w14:paraId="13FB8B3C" w14:textId="77777777" w:rsidR="0021298F" w:rsidRPr="005766EB" w:rsidRDefault="0021298F" w:rsidP="0021298F">
      <w:pPr>
        <w:jc w:val="both"/>
        <w:rPr>
          <w:rFonts w:ascii="Arial" w:hAnsi="Arial" w:cs="Arial"/>
          <w:b/>
        </w:rPr>
      </w:pPr>
      <w:r>
        <w:rPr>
          <w:rFonts w:ascii="Arial" w:hAnsi="Arial" w:cs="Arial"/>
          <w:b/>
        </w:rPr>
        <w:t>Irish Corporate Governance Annex</w:t>
      </w:r>
      <w:r>
        <w:rPr>
          <w:rFonts w:ascii="Arial" w:hAnsi="Arial" w:cs="Arial"/>
        </w:rPr>
        <w:t xml:space="preserve"> </w:t>
      </w:r>
      <w:r w:rsidRPr="00CD5E5A">
        <w:rPr>
          <w:rFonts w:ascii="Arial" w:hAnsi="Arial" w:cs="Arial"/>
        </w:rPr>
        <w:t>is</w:t>
      </w:r>
      <w:r>
        <w:rPr>
          <w:rFonts w:ascii="Arial" w:hAnsi="Arial" w:cs="Arial"/>
        </w:rPr>
        <w:t xml:space="preserve"> a corporate governance annex</w:t>
      </w:r>
      <w:r w:rsidRPr="00CD5E5A">
        <w:rPr>
          <w:rFonts w:ascii="Arial" w:hAnsi="Arial" w:cs="Arial"/>
        </w:rPr>
        <w:t xml:space="preserve"> addressed to companies with a primary equity listing on the Main Securities Market of </w:t>
      </w:r>
      <w:r>
        <w:rPr>
          <w:rFonts w:ascii="Arial" w:hAnsi="Arial" w:cs="Arial"/>
        </w:rPr>
        <w:t>Euronext</w:t>
      </w:r>
    </w:p>
    <w:p w14:paraId="34194029" w14:textId="77777777" w:rsidR="0021298F" w:rsidRPr="00AE47CC" w:rsidRDefault="0021298F" w:rsidP="0021298F">
      <w:pPr>
        <w:jc w:val="both"/>
        <w:rPr>
          <w:rFonts w:ascii="Arial" w:hAnsi="Arial" w:cs="Arial"/>
          <w:b/>
          <w:sz w:val="20"/>
          <w:szCs w:val="20"/>
        </w:rPr>
      </w:pPr>
    </w:p>
    <w:p w14:paraId="47BF23AF" w14:textId="77777777" w:rsidR="0021298F" w:rsidRDefault="0021298F" w:rsidP="0021298F">
      <w:pPr>
        <w:jc w:val="both"/>
        <w:rPr>
          <w:rFonts w:ascii="Arial" w:hAnsi="Arial" w:cs="Arial"/>
        </w:rPr>
      </w:pPr>
      <w:r>
        <w:rPr>
          <w:rFonts w:ascii="Arial" w:hAnsi="Arial" w:cs="Arial"/>
          <w:b/>
        </w:rPr>
        <w:t xml:space="preserve">IRR </w:t>
      </w:r>
      <w:r>
        <w:rPr>
          <w:rFonts w:ascii="Arial" w:hAnsi="Arial" w:cs="Arial"/>
        </w:rPr>
        <w:t>means internal rate of return</w:t>
      </w:r>
    </w:p>
    <w:p w14:paraId="0AC8D2A9" w14:textId="77777777" w:rsidR="0021298F" w:rsidRPr="00AE47CC" w:rsidRDefault="0021298F" w:rsidP="0021298F">
      <w:pPr>
        <w:jc w:val="both"/>
        <w:rPr>
          <w:rFonts w:ascii="Arial" w:hAnsi="Arial" w:cs="Arial"/>
          <w:b/>
          <w:sz w:val="20"/>
          <w:szCs w:val="20"/>
        </w:rPr>
      </w:pPr>
    </w:p>
    <w:p w14:paraId="554647F4" w14:textId="77777777" w:rsidR="0021298F" w:rsidRPr="001D7D74" w:rsidRDefault="0021298F" w:rsidP="0021298F">
      <w:pPr>
        <w:jc w:val="both"/>
        <w:rPr>
          <w:rFonts w:ascii="Arial" w:hAnsi="Arial" w:cs="Arial"/>
        </w:rPr>
      </w:pPr>
      <w:r>
        <w:rPr>
          <w:rFonts w:ascii="Arial" w:hAnsi="Arial" w:cs="Arial"/>
          <w:b/>
        </w:rPr>
        <w:t xml:space="preserve">I-SEM </w:t>
      </w:r>
      <w:r>
        <w:rPr>
          <w:rFonts w:ascii="Arial" w:hAnsi="Arial" w:cs="Arial"/>
        </w:rPr>
        <w:t xml:space="preserve">means the </w:t>
      </w:r>
      <w:r w:rsidRPr="000E26CB">
        <w:rPr>
          <w:rFonts w:ascii="Arial" w:hAnsi="Arial" w:cs="Arial"/>
        </w:rPr>
        <w:t>Integrated Single Electricity Market</w:t>
      </w:r>
      <w:r>
        <w:rPr>
          <w:rFonts w:ascii="Arial" w:hAnsi="Arial" w:cs="Arial"/>
        </w:rPr>
        <w:t>, which</w:t>
      </w:r>
      <w:r w:rsidRPr="000E26CB">
        <w:rPr>
          <w:rFonts w:ascii="Arial" w:hAnsi="Arial" w:cs="Arial"/>
        </w:rPr>
        <w:t xml:space="preserve"> is </w:t>
      </w:r>
      <w:r>
        <w:rPr>
          <w:rFonts w:ascii="Arial" w:hAnsi="Arial" w:cs="Arial"/>
        </w:rPr>
        <w:t>the</w:t>
      </w:r>
      <w:r w:rsidRPr="000E26CB">
        <w:rPr>
          <w:rFonts w:ascii="Arial" w:hAnsi="Arial" w:cs="Arial"/>
        </w:rPr>
        <w:t xml:space="preserve"> wholesale electricity market arrangement for Ireland and Northern Ireland</w:t>
      </w:r>
    </w:p>
    <w:p w14:paraId="04433C14" w14:textId="77777777" w:rsidR="0021298F" w:rsidRPr="00AE47CC" w:rsidRDefault="0021298F" w:rsidP="0021298F">
      <w:pPr>
        <w:jc w:val="both"/>
        <w:rPr>
          <w:rFonts w:ascii="Arial" w:hAnsi="Arial" w:cs="Arial"/>
          <w:sz w:val="20"/>
          <w:szCs w:val="20"/>
        </w:rPr>
      </w:pPr>
    </w:p>
    <w:p w14:paraId="226475FA" w14:textId="77777777" w:rsidR="0021298F" w:rsidRDefault="0021298F" w:rsidP="0021298F">
      <w:pPr>
        <w:jc w:val="both"/>
        <w:rPr>
          <w:rFonts w:ascii="Arial" w:hAnsi="Arial" w:cs="Arial"/>
        </w:rPr>
      </w:pPr>
      <w:r w:rsidRPr="00D6723B">
        <w:rPr>
          <w:rFonts w:ascii="Arial" w:hAnsi="Arial" w:cs="Arial"/>
          <w:b/>
        </w:rPr>
        <w:t>Killala</w:t>
      </w:r>
      <w:r w:rsidRPr="00D6723B">
        <w:rPr>
          <w:rFonts w:ascii="Arial" w:hAnsi="Arial" w:cs="Arial"/>
        </w:rPr>
        <w:t xml:space="preserve"> means Killala Community Wind Farm D</w:t>
      </w:r>
      <w:r>
        <w:rPr>
          <w:rFonts w:ascii="Arial" w:hAnsi="Arial" w:cs="Arial"/>
        </w:rPr>
        <w:t>AC</w:t>
      </w:r>
    </w:p>
    <w:p w14:paraId="030EBFD5" w14:textId="77777777" w:rsidR="0021298F" w:rsidRPr="00AE47CC" w:rsidRDefault="0021298F" w:rsidP="0021298F">
      <w:pPr>
        <w:jc w:val="both"/>
        <w:rPr>
          <w:rFonts w:ascii="Arial" w:hAnsi="Arial" w:cs="Arial"/>
          <w:sz w:val="20"/>
          <w:szCs w:val="20"/>
        </w:rPr>
      </w:pPr>
    </w:p>
    <w:p w14:paraId="67E1F0D8" w14:textId="77777777" w:rsidR="0021298F" w:rsidRDefault="0021298F" w:rsidP="0021298F">
      <w:pPr>
        <w:jc w:val="both"/>
        <w:rPr>
          <w:rFonts w:ascii="Arial" w:hAnsi="Arial" w:cs="Arial"/>
        </w:rPr>
      </w:pPr>
      <w:r>
        <w:rPr>
          <w:rFonts w:ascii="Arial" w:hAnsi="Arial" w:cs="Arial"/>
          <w:b/>
        </w:rPr>
        <w:t xml:space="preserve">Killhills </w:t>
      </w:r>
      <w:r>
        <w:rPr>
          <w:rFonts w:ascii="Arial" w:hAnsi="Arial" w:cs="Arial"/>
        </w:rPr>
        <w:t>means Killhills Windfarm Limited</w:t>
      </w:r>
    </w:p>
    <w:p w14:paraId="61E17D97" w14:textId="77777777" w:rsidR="0021298F" w:rsidRPr="00AE47CC" w:rsidRDefault="0021298F" w:rsidP="0021298F">
      <w:pPr>
        <w:jc w:val="both"/>
        <w:rPr>
          <w:rFonts w:ascii="Arial" w:hAnsi="Arial" w:cs="Arial"/>
          <w:sz w:val="20"/>
          <w:szCs w:val="20"/>
        </w:rPr>
      </w:pPr>
    </w:p>
    <w:p w14:paraId="229BE2A6" w14:textId="77777777" w:rsidR="0021298F" w:rsidRPr="006E7ADF" w:rsidRDefault="0021298F" w:rsidP="0021298F">
      <w:pPr>
        <w:jc w:val="both"/>
        <w:rPr>
          <w:rFonts w:ascii="Arial" w:hAnsi="Arial" w:cs="Arial"/>
        </w:rPr>
      </w:pPr>
      <w:r>
        <w:rPr>
          <w:rFonts w:ascii="Arial" w:hAnsi="Arial" w:cs="Arial"/>
          <w:b/>
        </w:rPr>
        <w:lastRenderedPageBreak/>
        <w:t xml:space="preserve">Knockacummer </w:t>
      </w:r>
      <w:r>
        <w:rPr>
          <w:rFonts w:ascii="Arial" w:hAnsi="Arial" w:cs="Arial"/>
        </w:rPr>
        <w:t>means Knockacummer Wind Farm Limited</w:t>
      </w:r>
    </w:p>
    <w:p w14:paraId="5152B725" w14:textId="77777777" w:rsidR="0021298F" w:rsidRPr="00AE47CC" w:rsidRDefault="0021298F" w:rsidP="0021298F">
      <w:pPr>
        <w:jc w:val="both"/>
        <w:rPr>
          <w:rFonts w:ascii="Arial" w:hAnsi="Arial" w:cs="Arial"/>
          <w:sz w:val="20"/>
          <w:szCs w:val="20"/>
        </w:rPr>
      </w:pPr>
    </w:p>
    <w:p w14:paraId="6D48F329" w14:textId="77777777" w:rsidR="0021298F" w:rsidRDefault="0021298F" w:rsidP="0021298F">
      <w:pPr>
        <w:jc w:val="both"/>
        <w:rPr>
          <w:rFonts w:ascii="Arial" w:hAnsi="Arial" w:cs="Arial"/>
        </w:rPr>
      </w:pPr>
      <w:r>
        <w:rPr>
          <w:rFonts w:ascii="Arial" w:hAnsi="Arial" w:cs="Arial"/>
          <w:b/>
        </w:rPr>
        <w:t xml:space="preserve">Knocknalour </w:t>
      </w:r>
      <w:r>
        <w:rPr>
          <w:rFonts w:ascii="Arial" w:hAnsi="Arial" w:cs="Arial"/>
        </w:rPr>
        <w:t>means Knocknalour Wind Farm Holdings Limited and Knocknalour Wind Farm Limited</w:t>
      </w:r>
    </w:p>
    <w:p w14:paraId="22A55B3D" w14:textId="77777777" w:rsidR="0021298F" w:rsidRPr="00AE47CC" w:rsidRDefault="0021298F" w:rsidP="0021298F">
      <w:pPr>
        <w:jc w:val="both"/>
        <w:rPr>
          <w:rFonts w:ascii="Arial" w:hAnsi="Arial" w:cs="Arial"/>
          <w:sz w:val="20"/>
          <w:szCs w:val="20"/>
        </w:rPr>
      </w:pPr>
    </w:p>
    <w:p w14:paraId="3CAA0A01" w14:textId="77777777" w:rsidR="0021298F" w:rsidRDefault="0021298F" w:rsidP="0021298F">
      <w:pPr>
        <w:jc w:val="both"/>
        <w:rPr>
          <w:rFonts w:ascii="Arial" w:hAnsi="Arial" w:cs="Arial"/>
        </w:rPr>
      </w:pPr>
      <w:r w:rsidRPr="004A78F8">
        <w:rPr>
          <w:rFonts w:ascii="Arial" w:hAnsi="Arial" w:cs="Arial"/>
          <w:b/>
        </w:rPr>
        <w:t>Kostroma Holdings</w:t>
      </w:r>
      <w:r>
        <w:rPr>
          <w:rFonts w:ascii="Arial" w:hAnsi="Arial" w:cs="Arial"/>
        </w:rPr>
        <w:t xml:space="preserve"> means Kostroma Holdings Limited</w:t>
      </w:r>
    </w:p>
    <w:p w14:paraId="624E8FD8" w14:textId="77777777" w:rsidR="0021298F" w:rsidRPr="00AE47CC" w:rsidRDefault="0021298F" w:rsidP="0021298F">
      <w:pPr>
        <w:jc w:val="both"/>
        <w:rPr>
          <w:rFonts w:ascii="Arial" w:hAnsi="Arial" w:cs="Arial"/>
          <w:sz w:val="20"/>
          <w:szCs w:val="20"/>
        </w:rPr>
      </w:pPr>
    </w:p>
    <w:p w14:paraId="7AF1363E" w14:textId="77777777" w:rsidR="0021298F" w:rsidRDefault="0021298F" w:rsidP="0021298F">
      <w:pPr>
        <w:jc w:val="both"/>
        <w:rPr>
          <w:rFonts w:ascii="Arial" w:hAnsi="Arial" w:cs="Arial"/>
        </w:rPr>
      </w:pPr>
      <w:r>
        <w:rPr>
          <w:rFonts w:ascii="Arial" w:hAnsi="Arial" w:cs="Arial"/>
          <w:b/>
        </w:rPr>
        <w:t>Letteragh</w:t>
      </w:r>
      <w:r>
        <w:rPr>
          <w:rFonts w:ascii="Arial" w:hAnsi="Arial" w:cs="Arial"/>
        </w:rPr>
        <w:t xml:space="preserve"> means Seahound Wind Developments Limited</w:t>
      </w:r>
    </w:p>
    <w:p w14:paraId="12BAF47E" w14:textId="77777777" w:rsidR="0021298F" w:rsidRPr="00AE47CC" w:rsidRDefault="0021298F" w:rsidP="0021298F">
      <w:pPr>
        <w:jc w:val="both"/>
        <w:rPr>
          <w:rFonts w:ascii="Arial" w:hAnsi="Arial" w:cs="Arial"/>
          <w:sz w:val="20"/>
          <w:szCs w:val="20"/>
        </w:rPr>
      </w:pPr>
    </w:p>
    <w:p w14:paraId="294244F1" w14:textId="77777777" w:rsidR="0021298F" w:rsidRDefault="0021298F" w:rsidP="0021298F">
      <w:pPr>
        <w:jc w:val="both"/>
        <w:rPr>
          <w:rFonts w:ascii="Arial" w:hAnsi="Arial" w:cs="Arial"/>
        </w:rPr>
      </w:pPr>
      <w:r w:rsidRPr="004A78F8">
        <w:rPr>
          <w:rFonts w:ascii="Arial" w:hAnsi="Arial" w:cs="Arial"/>
          <w:b/>
        </w:rPr>
        <w:t>Lisdowney</w:t>
      </w:r>
      <w:r>
        <w:rPr>
          <w:rFonts w:ascii="Arial" w:hAnsi="Arial" w:cs="Arial"/>
        </w:rPr>
        <w:t xml:space="preserve"> means Lisdowney Wind Farm Limited</w:t>
      </w:r>
    </w:p>
    <w:p w14:paraId="6E5B89BF" w14:textId="77777777" w:rsidR="0021298F" w:rsidRPr="00AE47CC" w:rsidRDefault="0021298F" w:rsidP="0021298F">
      <w:pPr>
        <w:jc w:val="both"/>
        <w:rPr>
          <w:rFonts w:ascii="Arial" w:hAnsi="Arial" w:cs="Arial"/>
          <w:b/>
          <w:sz w:val="20"/>
          <w:szCs w:val="20"/>
        </w:rPr>
      </w:pPr>
    </w:p>
    <w:p w14:paraId="48C04711" w14:textId="77777777" w:rsidR="0021298F" w:rsidRDefault="0021298F" w:rsidP="0021298F">
      <w:pPr>
        <w:jc w:val="both"/>
        <w:rPr>
          <w:rFonts w:ascii="Arial" w:hAnsi="Arial" w:cs="Arial"/>
        </w:rPr>
      </w:pPr>
      <w:r>
        <w:rPr>
          <w:rFonts w:ascii="Arial" w:hAnsi="Arial" w:cs="Arial"/>
          <w:b/>
        </w:rPr>
        <w:t xml:space="preserve">Monaincha </w:t>
      </w:r>
      <w:r w:rsidRPr="00FB65F8">
        <w:rPr>
          <w:rFonts w:ascii="Arial" w:hAnsi="Arial" w:cs="Arial"/>
        </w:rPr>
        <w:t xml:space="preserve">means Monaincha Wind Farm Limited </w:t>
      </w:r>
    </w:p>
    <w:p w14:paraId="1373398F" w14:textId="77777777" w:rsidR="0021298F" w:rsidRPr="00AE47CC" w:rsidRDefault="0021298F" w:rsidP="0021298F">
      <w:pPr>
        <w:jc w:val="both"/>
        <w:rPr>
          <w:rFonts w:ascii="Arial" w:hAnsi="Arial" w:cs="Arial"/>
          <w:sz w:val="20"/>
          <w:szCs w:val="20"/>
        </w:rPr>
      </w:pPr>
    </w:p>
    <w:p w14:paraId="4673E962" w14:textId="77777777" w:rsidR="0021298F" w:rsidRDefault="0021298F" w:rsidP="0021298F">
      <w:pPr>
        <w:jc w:val="both"/>
        <w:rPr>
          <w:rFonts w:ascii="Arial" w:hAnsi="Arial" w:cs="Arial"/>
        </w:rPr>
      </w:pPr>
      <w:r>
        <w:rPr>
          <w:rFonts w:ascii="Arial" w:hAnsi="Arial" w:cs="Arial"/>
          <w:b/>
          <w:bCs/>
        </w:rPr>
        <w:t xml:space="preserve">NAB </w:t>
      </w:r>
      <w:r>
        <w:rPr>
          <w:rFonts w:ascii="Arial" w:hAnsi="Arial" w:cs="Arial"/>
        </w:rPr>
        <w:t>means National Australia Bank</w:t>
      </w:r>
    </w:p>
    <w:p w14:paraId="67CD248C" w14:textId="77777777" w:rsidR="0021298F" w:rsidRPr="00AE47CC" w:rsidRDefault="0021298F" w:rsidP="0021298F">
      <w:pPr>
        <w:jc w:val="both"/>
        <w:rPr>
          <w:rFonts w:ascii="Arial" w:hAnsi="Arial" w:cs="Arial"/>
          <w:sz w:val="20"/>
          <w:szCs w:val="20"/>
        </w:rPr>
      </w:pPr>
    </w:p>
    <w:p w14:paraId="440007CB" w14:textId="77777777" w:rsidR="0021298F" w:rsidRPr="00313216" w:rsidRDefault="0021298F" w:rsidP="0021298F">
      <w:pPr>
        <w:jc w:val="both"/>
        <w:rPr>
          <w:rFonts w:ascii="Arial" w:hAnsi="Arial" w:cs="Arial"/>
        </w:rPr>
      </w:pPr>
      <w:r>
        <w:rPr>
          <w:rFonts w:ascii="Arial" w:hAnsi="Arial" w:cs="Arial"/>
          <w:b/>
          <w:bCs/>
        </w:rPr>
        <w:t xml:space="preserve">Natwest </w:t>
      </w:r>
      <w:r>
        <w:rPr>
          <w:rFonts w:ascii="Arial" w:hAnsi="Arial" w:cs="Arial"/>
        </w:rPr>
        <w:t xml:space="preserve">means National Westminster Bank </w:t>
      </w:r>
    </w:p>
    <w:p w14:paraId="5037D707" w14:textId="77777777" w:rsidR="0021298F" w:rsidRPr="00AE47CC" w:rsidRDefault="0021298F" w:rsidP="0021298F">
      <w:pPr>
        <w:jc w:val="both"/>
        <w:rPr>
          <w:rFonts w:ascii="Arial" w:hAnsi="Arial" w:cs="Arial"/>
          <w:b/>
          <w:sz w:val="20"/>
          <w:szCs w:val="20"/>
        </w:rPr>
      </w:pPr>
    </w:p>
    <w:p w14:paraId="0941110C" w14:textId="77777777" w:rsidR="0021298F" w:rsidRDefault="0021298F" w:rsidP="0021298F">
      <w:pPr>
        <w:jc w:val="both"/>
        <w:rPr>
          <w:rFonts w:ascii="Arial" w:hAnsi="Arial" w:cs="Arial"/>
        </w:rPr>
      </w:pPr>
      <w:r w:rsidRPr="00AC6595">
        <w:rPr>
          <w:rFonts w:ascii="Arial" w:hAnsi="Arial" w:cs="Arial"/>
          <w:b/>
        </w:rPr>
        <w:t>NAV</w:t>
      </w:r>
      <w:r>
        <w:rPr>
          <w:rFonts w:ascii="Arial" w:hAnsi="Arial" w:cs="Arial"/>
        </w:rPr>
        <w:t xml:space="preserve"> means Net Asset Value as defined in the Admission Document</w:t>
      </w:r>
    </w:p>
    <w:p w14:paraId="2037A33F" w14:textId="77777777" w:rsidR="0021298F" w:rsidRPr="00AE47CC" w:rsidRDefault="0021298F" w:rsidP="0021298F">
      <w:pPr>
        <w:jc w:val="both"/>
        <w:rPr>
          <w:rFonts w:ascii="Arial" w:hAnsi="Arial" w:cs="Arial"/>
          <w:b/>
          <w:sz w:val="20"/>
          <w:szCs w:val="20"/>
        </w:rPr>
      </w:pPr>
    </w:p>
    <w:p w14:paraId="117E6FF9" w14:textId="77777777" w:rsidR="0021298F" w:rsidRDefault="0021298F" w:rsidP="0021298F">
      <w:pPr>
        <w:jc w:val="both"/>
        <w:rPr>
          <w:rFonts w:ascii="Arial" w:hAnsi="Arial" w:cs="Arial"/>
        </w:rPr>
      </w:pPr>
      <w:r w:rsidRPr="00031159">
        <w:rPr>
          <w:rFonts w:ascii="Arial" w:hAnsi="Arial" w:cs="Arial"/>
          <w:b/>
        </w:rPr>
        <w:t>NAV per Share</w:t>
      </w:r>
      <w:r>
        <w:rPr>
          <w:rFonts w:ascii="Arial" w:hAnsi="Arial" w:cs="Arial"/>
        </w:rPr>
        <w:t xml:space="preserve"> means the Net Asset Value per Ordinary Share</w:t>
      </w:r>
    </w:p>
    <w:p w14:paraId="3A9A4CE5" w14:textId="77777777" w:rsidR="0021298F" w:rsidRPr="00AE47CC" w:rsidRDefault="0021298F" w:rsidP="0021298F">
      <w:pPr>
        <w:jc w:val="both"/>
        <w:rPr>
          <w:rFonts w:ascii="Arial" w:hAnsi="Arial" w:cs="Arial"/>
          <w:sz w:val="20"/>
          <w:szCs w:val="20"/>
        </w:rPr>
      </w:pPr>
    </w:p>
    <w:p w14:paraId="4C84B1D3" w14:textId="77777777" w:rsidR="0021298F" w:rsidRDefault="0021298F" w:rsidP="0021298F">
      <w:pPr>
        <w:jc w:val="both"/>
        <w:rPr>
          <w:rFonts w:ascii="Arial" w:hAnsi="Arial" w:cs="Arial"/>
        </w:rPr>
      </w:pPr>
      <w:r>
        <w:rPr>
          <w:rFonts w:ascii="Arial" w:hAnsi="Arial" w:cs="Arial"/>
          <w:b/>
        </w:rPr>
        <w:t>NOMAD</w:t>
      </w:r>
      <w:r>
        <w:rPr>
          <w:rFonts w:ascii="Arial" w:hAnsi="Arial" w:cs="Arial"/>
        </w:rPr>
        <w:t xml:space="preserve"> means a</w:t>
      </w:r>
      <w:r w:rsidRPr="007F200F">
        <w:rPr>
          <w:rFonts w:ascii="Arial" w:hAnsi="Arial" w:cs="Arial"/>
        </w:rPr>
        <w:t xml:space="preserve"> company that has been approved as a nominated advisor for the Alternative Investment Market (AIM), by </w:t>
      </w:r>
      <w:r>
        <w:rPr>
          <w:rFonts w:ascii="Arial" w:hAnsi="Arial" w:cs="Arial"/>
        </w:rPr>
        <w:t>Euronext Dublin and</w:t>
      </w:r>
      <w:r w:rsidRPr="007F200F">
        <w:rPr>
          <w:rFonts w:ascii="Arial" w:hAnsi="Arial" w:cs="Arial"/>
        </w:rPr>
        <w:t xml:space="preserve"> London Stock Exchange </w:t>
      </w:r>
    </w:p>
    <w:p w14:paraId="19A6D42E" w14:textId="77777777" w:rsidR="0021298F" w:rsidRPr="000C1DAA" w:rsidRDefault="0021298F" w:rsidP="0021298F">
      <w:pPr>
        <w:jc w:val="both"/>
        <w:rPr>
          <w:rFonts w:ascii="Arial" w:hAnsi="Arial" w:cs="Arial"/>
          <w:sz w:val="20"/>
          <w:szCs w:val="20"/>
        </w:rPr>
      </w:pPr>
    </w:p>
    <w:p w14:paraId="3026AB19" w14:textId="77777777" w:rsidR="0021298F" w:rsidRDefault="0021298F" w:rsidP="0021298F">
      <w:pPr>
        <w:jc w:val="both"/>
        <w:rPr>
          <w:rFonts w:ascii="Arial" w:hAnsi="Arial" w:cs="Arial"/>
        </w:rPr>
      </w:pPr>
      <w:r w:rsidRPr="00D23B00">
        <w:rPr>
          <w:rFonts w:ascii="Arial" w:hAnsi="Arial" w:cs="Arial"/>
          <w:b/>
          <w:bCs/>
        </w:rPr>
        <w:t>O&amp;M</w:t>
      </w:r>
      <w:r>
        <w:rPr>
          <w:rFonts w:ascii="Arial" w:hAnsi="Arial" w:cs="Arial"/>
          <w:b/>
          <w:bCs/>
        </w:rPr>
        <w:t xml:space="preserve"> </w:t>
      </w:r>
      <w:r>
        <w:rPr>
          <w:rFonts w:ascii="Arial" w:hAnsi="Arial" w:cs="Arial"/>
        </w:rPr>
        <w:t>means operations and maintenance</w:t>
      </w:r>
    </w:p>
    <w:p w14:paraId="567EB55F" w14:textId="77777777" w:rsidR="0021298F" w:rsidRPr="00660DCB" w:rsidRDefault="0021298F" w:rsidP="0021298F">
      <w:pPr>
        <w:jc w:val="both"/>
        <w:rPr>
          <w:rFonts w:ascii="Arial" w:eastAsia="Times New Roman" w:hAnsi="Arial" w:cs="Arial"/>
          <w:b/>
        </w:rPr>
      </w:pPr>
    </w:p>
    <w:p w14:paraId="5600EECD" w14:textId="77777777" w:rsidR="0021298F" w:rsidRDefault="0021298F" w:rsidP="0021298F">
      <w:pPr>
        <w:jc w:val="both"/>
        <w:rPr>
          <w:rFonts w:ascii="Arial" w:eastAsia="Times New Roman" w:hAnsi="Arial" w:cs="Arial"/>
          <w:lang w:val="fr-FR"/>
        </w:rPr>
      </w:pPr>
      <w:r w:rsidRPr="001E64E0">
        <w:rPr>
          <w:rFonts w:ascii="Arial" w:eastAsia="Times New Roman" w:hAnsi="Arial" w:cs="Arial"/>
          <w:b/>
          <w:lang w:val="fr-FR"/>
        </w:rPr>
        <w:t xml:space="preserve">Pasilly </w:t>
      </w:r>
      <w:r w:rsidRPr="001E64E0">
        <w:rPr>
          <w:rFonts w:ascii="Arial" w:eastAsia="Times New Roman" w:hAnsi="Arial" w:cs="Arial"/>
          <w:lang w:val="fr-FR"/>
        </w:rPr>
        <w:t>means Société d’Exploitation du Parc Eolien du Tonnerois</w:t>
      </w:r>
    </w:p>
    <w:p w14:paraId="7CD620E3" w14:textId="77777777" w:rsidR="0021298F" w:rsidRPr="000C1DAA" w:rsidRDefault="0021298F" w:rsidP="0021298F">
      <w:pPr>
        <w:rPr>
          <w:rFonts w:ascii="Arial" w:eastAsia="Times New Roman" w:hAnsi="Arial" w:cs="Arial"/>
          <w:b/>
          <w:lang w:val="fr-FR"/>
        </w:rPr>
      </w:pPr>
    </w:p>
    <w:p w14:paraId="3DB88C51" w14:textId="77777777" w:rsidR="0021298F" w:rsidRPr="005F517C" w:rsidRDefault="0021298F" w:rsidP="0021298F">
      <w:pPr>
        <w:rPr>
          <w:rFonts w:ascii="Arial" w:hAnsi="Arial" w:cs="Arial"/>
        </w:rPr>
      </w:pPr>
      <w:r>
        <w:rPr>
          <w:rFonts w:ascii="Arial" w:eastAsia="Times New Roman" w:hAnsi="Arial" w:cs="Arial"/>
          <w:b/>
        </w:rPr>
        <w:t>PPA</w:t>
      </w:r>
      <w:r>
        <w:rPr>
          <w:rFonts w:ascii="Arial" w:eastAsia="Times New Roman" w:hAnsi="Arial" w:cs="Arial"/>
        </w:rPr>
        <w:t xml:space="preserve"> means Power Purchase Agreement</w:t>
      </w:r>
      <w:r w:rsidRPr="00EC14F8">
        <w:rPr>
          <w:rFonts w:ascii="Arial" w:eastAsia="Times New Roman" w:hAnsi="Arial" w:cs="Arial"/>
        </w:rPr>
        <w:t xml:space="preserve"> </w:t>
      </w:r>
      <w:r>
        <w:rPr>
          <w:rFonts w:ascii="Arial" w:eastAsia="Times New Roman" w:hAnsi="Arial" w:cs="Arial"/>
        </w:rPr>
        <w:t>entered into by the Group’s wind farms</w:t>
      </w:r>
      <w:r>
        <w:rPr>
          <w:rFonts w:ascii="Arial" w:eastAsia="Times New Roman" w:hAnsi="Arial" w:cs="Arial"/>
          <w:b/>
        </w:rPr>
        <w:t xml:space="preserve"> </w:t>
      </w:r>
    </w:p>
    <w:p w14:paraId="6BEBCFF9" w14:textId="77777777" w:rsidR="0021298F" w:rsidRDefault="0021298F" w:rsidP="0021298F">
      <w:pPr>
        <w:rPr>
          <w:rFonts w:ascii="Arial" w:eastAsia="Times New Roman" w:hAnsi="Arial" w:cs="Arial"/>
        </w:rPr>
      </w:pPr>
      <w:r w:rsidRPr="009E4AB3">
        <w:rPr>
          <w:rFonts w:ascii="Arial" w:eastAsia="Times New Roman" w:hAnsi="Arial" w:cs="Arial"/>
          <w:b/>
        </w:rPr>
        <w:t>PSO</w:t>
      </w:r>
      <w:r>
        <w:rPr>
          <w:rFonts w:ascii="Arial" w:eastAsia="Times New Roman" w:hAnsi="Arial" w:cs="Arial"/>
          <w:b/>
        </w:rPr>
        <w:t xml:space="preserve"> </w:t>
      </w:r>
      <w:r>
        <w:rPr>
          <w:rFonts w:ascii="Arial" w:eastAsia="Times New Roman" w:hAnsi="Arial" w:cs="Arial"/>
        </w:rPr>
        <w:t>means Public Support Obligation</w:t>
      </w:r>
    </w:p>
    <w:p w14:paraId="50966769" w14:textId="77777777" w:rsidR="0021298F" w:rsidRPr="00AE47CC" w:rsidRDefault="0021298F" w:rsidP="0021298F">
      <w:pPr>
        <w:jc w:val="both"/>
        <w:rPr>
          <w:rFonts w:ascii="Arial" w:eastAsia="Times New Roman" w:hAnsi="Arial" w:cs="Arial"/>
          <w:sz w:val="20"/>
          <w:szCs w:val="20"/>
        </w:rPr>
      </w:pPr>
    </w:p>
    <w:p w14:paraId="350A0CF9" w14:textId="77777777" w:rsidR="0021298F" w:rsidRDefault="0021298F" w:rsidP="0021298F">
      <w:pPr>
        <w:jc w:val="both"/>
        <w:rPr>
          <w:rFonts w:ascii="Arial" w:eastAsia="Times New Roman" w:hAnsi="Arial" w:cs="Arial"/>
          <w:b/>
        </w:rPr>
      </w:pPr>
      <w:r>
        <w:rPr>
          <w:rFonts w:ascii="Arial" w:eastAsia="Times New Roman" w:hAnsi="Arial" w:cs="Arial"/>
          <w:b/>
        </w:rPr>
        <w:t xml:space="preserve">Raheenleagh </w:t>
      </w:r>
      <w:r w:rsidRPr="00CA62BB">
        <w:rPr>
          <w:rFonts w:ascii="Arial" w:eastAsia="Times New Roman" w:hAnsi="Arial" w:cs="Arial"/>
        </w:rPr>
        <w:t>means Raheenleagh Power DAC</w:t>
      </w:r>
    </w:p>
    <w:p w14:paraId="5DA08086" w14:textId="77777777" w:rsidR="0021298F" w:rsidRPr="00AE47CC" w:rsidRDefault="0021298F" w:rsidP="0021298F">
      <w:pPr>
        <w:jc w:val="both"/>
        <w:rPr>
          <w:rFonts w:ascii="Arial" w:eastAsia="Times New Roman" w:hAnsi="Arial" w:cs="Arial"/>
          <w:b/>
          <w:sz w:val="20"/>
          <w:szCs w:val="20"/>
        </w:rPr>
      </w:pPr>
    </w:p>
    <w:p w14:paraId="716F8D3D" w14:textId="77777777" w:rsidR="0021298F" w:rsidRDefault="0021298F" w:rsidP="0021298F">
      <w:pPr>
        <w:jc w:val="both"/>
        <w:rPr>
          <w:rFonts w:ascii="Arial" w:eastAsia="Times New Roman" w:hAnsi="Arial" w:cs="Arial"/>
        </w:rPr>
      </w:pPr>
      <w:r>
        <w:rPr>
          <w:rFonts w:ascii="Arial" w:eastAsia="Times New Roman" w:hAnsi="Arial" w:cs="Arial"/>
          <w:b/>
        </w:rPr>
        <w:t xml:space="preserve">RBC </w:t>
      </w:r>
      <w:r>
        <w:rPr>
          <w:rFonts w:ascii="Arial" w:eastAsia="Times New Roman" w:hAnsi="Arial" w:cs="Arial"/>
        </w:rPr>
        <w:t>means Royal Bank of Canada</w:t>
      </w:r>
    </w:p>
    <w:p w14:paraId="5F8A40F7" w14:textId="77777777" w:rsidR="0021298F" w:rsidRPr="00AE47CC" w:rsidRDefault="0021298F" w:rsidP="0021298F">
      <w:pPr>
        <w:jc w:val="both"/>
        <w:rPr>
          <w:rFonts w:ascii="Arial" w:eastAsia="Times New Roman" w:hAnsi="Arial" w:cs="Arial"/>
          <w:b/>
          <w:sz w:val="20"/>
          <w:szCs w:val="20"/>
        </w:rPr>
      </w:pPr>
    </w:p>
    <w:p w14:paraId="55EB1B78" w14:textId="77777777" w:rsidR="0021298F" w:rsidRDefault="0021298F" w:rsidP="0021298F">
      <w:pPr>
        <w:jc w:val="both"/>
        <w:rPr>
          <w:rFonts w:ascii="Arial" w:eastAsia="Times New Roman" w:hAnsi="Arial" w:cs="Arial"/>
        </w:rPr>
      </w:pPr>
      <w:r>
        <w:rPr>
          <w:rFonts w:ascii="Arial" w:eastAsia="Times New Roman" w:hAnsi="Arial" w:cs="Arial"/>
          <w:b/>
        </w:rPr>
        <w:t xml:space="preserve">REFIT </w:t>
      </w:r>
      <w:r>
        <w:rPr>
          <w:rFonts w:ascii="Arial" w:eastAsia="Times New Roman" w:hAnsi="Arial" w:cs="Arial"/>
        </w:rPr>
        <w:t>means Renewable Energy Feed-In Tariff</w:t>
      </w:r>
    </w:p>
    <w:p w14:paraId="3789BF55" w14:textId="77777777" w:rsidR="0021298F" w:rsidRPr="00AE47CC" w:rsidRDefault="0021298F" w:rsidP="0021298F">
      <w:pPr>
        <w:jc w:val="both"/>
        <w:rPr>
          <w:rFonts w:ascii="Arial" w:eastAsia="Times New Roman" w:hAnsi="Arial" w:cs="Arial"/>
          <w:b/>
          <w:sz w:val="20"/>
          <w:szCs w:val="20"/>
        </w:rPr>
      </w:pPr>
    </w:p>
    <w:p w14:paraId="3A7DF992" w14:textId="77777777" w:rsidR="0021298F" w:rsidRPr="0008266A" w:rsidRDefault="0021298F" w:rsidP="0021298F">
      <w:pPr>
        <w:jc w:val="both"/>
        <w:rPr>
          <w:rFonts w:cs="Arial"/>
        </w:rPr>
      </w:pPr>
      <w:r>
        <w:rPr>
          <w:rFonts w:ascii="Arial" w:eastAsia="Times New Roman" w:hAnsi="Arial" w:cs="Arial"/>
          <w:b/>
        </w:rPr>
        <w:t xml:space="preserve">RESS </w:t>
      </w:r>
      <w:r>
        <w:rPr>
          <w:rFonts w:ascii="Arial" w:eastAsia="Times New Roman" w:hAnsi="Arial" w:cs="Arial"/>
        </w:rPr>
        <w:t>means Renewable Energy Support Scheme</w:t>
      </w:r>
    </w:p>
    <w:p w14:paraId="0DDC19C7" w14:textId="77777777" w:rsidR="0021298F" w:rsidRPr="00AE47CC" w:rsidRDefault="0021298F" w:rsidP="0021298F">
      <w:pPr>
        <w:jc w:val="both"/>
        <w:rPr>
          <w:rFonts w:ascii="Arial" w:eastAsia="Times New Roman" w:hAnsi="Arial" w:cs="Arial"/>
          <w:b/>
          <w:sz w:val="20"/>
          <w:szCs w:val="20"/>
        </w:rPr>
      </w:pPr>
    </w:p>
    <w:p w14:paraId="4FD5A290" w14:textId="77777777" w:rsidR="0021298F" w:rsidRDefault="0021298F" w:rsidP="0021298F">
      <w:pPr>
        <w:jc w:val="both"/>
        <w:rPr>
          <w:rFonts w:ascii="Arial" w:hAnsi="Arial" w:cs="Arial"/>
        </w:rPr>
      </w:pPr>
      <w:r w:rsidRPr="003C3C40">
        <w:rPr>
          <w:rFonts w:ascii="Arial" w:hAnsi="Arial" w:cs="Arial"/>
          <w:b/>
        </w:rPr>
        <w:t>Review Section</w:t>
      </w:r>
      <w:r>
        <w:rPr>
          <w:rFonts w:ascii="Arial" w:hAnsi="Arial" w:cs="Arial"/>
        </w:rPr>
        <w:t xml:space="preserve"> means the front end review section of </w:t>
      </w:r>
      <w:r w:rsidRPr="00042D2E">
        <w:rPr>
          <w:rFonts w:ascii="Arial" w:hAnsi="Arial" w:cs="Arial"/>
        </w:rPr>
        <w:t>this report (including but not limited to the Chairman’s Statement</w:t>
      </w:r>
      <w:r>
        <w:rPr>
          <w:rFonts w:ascii="Arial" w:hAnsi="Arial" w:cs="Arial"/>
        </w:rPr>
        <w:t xml:space="preserve"> and the </w:t>
      </w:r>
      <w:r w:rsidRPr="00F47753">
        <w:rPr>
          <w:rFonts w:ascii="Arial" w:hAnsi="Arial" w:cs="Arial"/>
        </w:rPr>
        <w:t>Investment Manager’s Report</w:t>
      </w:r>
      <w:r>
        <w:rPr>
          <w:rFonts w:ascii="Arial" w:hAnsi="Arial" w:cs="Arial"/>
        </w:rPr>
        <w:t>)</w:t>
      </w:r>
    </w:p>
    <w:p w14:paraId="51CA3BCA" w14:textId="77777777" w:rsidR="0021298F" w:rsidRPr="00AE47CC" w:rsidRDefault="0021298F" w:rsidP="0021298F">
      <w:pPr>
        <w:jc w:val="both"/>
        <w:rPr>
          <w:rFonts w:ascii="Arial" w:eastAsia="Times New Roman" w:hAnsi="Arial" w:cs="Arial"/>
          <w:b/>
          <w:sz w:val="20"/>
          <w:szCs w:val="20"/>
        </w:rPr>
      </w:pPr>
    </w:p>
    <w:p w14:paraId="5664872D" w14:textId="77777777" w:rsidR="0021298F" w:rsidRDefault="0021298F" w:rsidP="0021298F">
      <w:pPr>
        <w:jc w:val="both"/>
        <w:rPr>
          <w:rFonts w:ascii="Arial" w:hAnsi="Arial" w:cs="Arial"/>
        </w:rPr>
      </w:pPr>
      <w:r>
        <w:rPr>
          <w:rFonts w:ascii="Arial" w:hAnsi="Arial" w:cs="Arial"/>
          <w:b/>
        </w:rPr>
        <w:t xml:space="preserve">Santander </w:t>
      </w:r>
      <w:r>
        <w:rPr>
          <w:rFonts w:ascii="Arial" w:hAnsi="Arial" w:cs="Arial"/>
        </w:rPr>
        <w:t>means Abbey National Treasury Services Plc (trading as Santander Global Corporate Banking)</w:t>
      </w:r>
    </w:p>
    <w:p w14:paraId="69A2BE89" w14:textId="77777777" w:rsidR="0021298F" w:rsidRPr="00AE47CC" w:rsidRDefault="0021298F" w:rsidP="0021298F">
      <w:pPr>
        <w:jc w:val="both"/>
        <w:rPr>
          <w:rFonts w:ascii="Arial" w:eastAsia="Times New Roman" w:hAnsi="Arial" w:cs="Arial"/>
          <w:b/>
          <w:sz w:val="20"/>
          <w:szCs w:val="20"/>
        </w:rPr>
      </w:pPr>
    </w:p>
    <w:p w14:paraId="23746AE8" w14:textId="77777777" w:rsidR="0021298F" w:rsidRDefault="0021298F" w:rsidP="0021298F">
      <w:pPr>
        <w:jc w:val="both"/>
        <w:rPr>
          <w:rFonts w:ascii="Arial" w:hAnsi="Arial" w:cs="Arial"/>
          <w:b/>
        </w:rPr>
      </w:pPr>
      <w:r>
        <w:rPr>
          <w:rFonts w:ascii="Arial" w:eastAsia="Times New Roman" w:hAnsi="Arial" w:cs="Arial"/>
          <w:b/>
        </w:rPr>
        <w:t xml:space="preserve">SEM </w:t>
      </w:r>
      <w:r>
        <w:rPr>
          <w:rFonts w:ascii="Arial" w:eastAsia="Times New Roman" w:hAnsi="Arial" w:cs="Arial"/>
        </w:rPr>
        <w:t>means the Single Electricity Market, which</w:t>
      </w:r>
      <w:r w:rsidRPr="000E26CB">
        <w:rPr>
          <w:rFonts w:ascii="Arial" w:eastAsia="Times New Roman" w:hAnsi="Arial" w:cs="Arial"/>
        </w:rPr>
        <w:t xml:space="preserve"> is the wholesale electricity market operating in the Republic of Ireland and Northern Ireland</w:t>
      </w:r>
    </w:p>
    <w:p w14:paraId="443617A7" w14:textId="77777777" w:rsidR="0021298F" w:rsidRPr="00AE47CC" w:rsidRDefault="0021298F" w:rsidP="0021298F">
      <w:pPr>
        <w:jc w:val="both"/>
        <w:rPr>
          <w:rFonts w:ascii="Arial" w:hAnsi="Arial" w:cs="Arial"/>
          <w:sz w:val="20"/>
          <w:szCs w:val="20"/>
        </w:rPr>
      </w:pPr>
    </w:p>
    <w:p w14:paraId="6A36458C" w14:textId="77777777" w:rsidR="0021298F" w:rsidRDefault="0021298F" w:rsidP="0021298F">
      <w:pPr>
        <w:jc w:val="both"/>
        <w:rPr>
          <w:rFonts w:ascii="Arial" w:hAnsi="Arial" w:cs="Arial"/>
        </w:rPr>
      </w:pPr>
      <w:r>
        <w:rPr>
          <w:rFonts w:ascii="Arial" w:hAnsi="Arial" w:cs="Arial"/>
          <w:b/>
        </w:rPr>
        <w:t xml:space="preserve">Sliabh Bawn </w:t>
      </w:r>
      <w:r>
        <w:rPr>
          <w:rFonts w:ascii="Arial" w:hAnsi="Arial" w:cs="Arial"/>
        </w:rPr>
        <w:t xml:space="preserve">means </w:t>
      </w:r>
      <w:r w:rsidRPr="00CA62BB">
        <w:rPr>
          <w:rFonts w:ascii="Arial" w:hAnsi="Arial" w:cs="Arial"/>
        </w:rPr>
        <w:t>Sliabh Bawn</w:t>
      </w:r>
      <w:r>
        <w:rPr>
          <w:rFonts w:ascii="Arial" w:hAnsi="Arial" w:cs="Arial"/>
        </w:rPr>
        <w:t xml:space="preserve"> Holding DAC</w:t>
      </w:r>
      <w:r w:rsidRPr="00CA62BB">
        <w:rPr>
          <w:rFonts w:ascii="Arial" w:hAnsi="Arial" w:cs="Arial"/>
        </w:rPr>
        <w:t>, Sliabh Bawn Supply DAC and Sliabh Bawn Power DAC</w:t>
      </w:r>
    </w:p>
    <w:p w14:paraId="3F16EA92" w14:textId="77777777" w:rsidR="0021298F" w:rsidRPr="00AE47CC" w:rsidRDefault="0021298F" w:rsidP="0021298F">
      <w:pPr>
        <w:jc w:val="both"/>
        <w:rPr>
          <w:rFonts w:ascii="Arial" w:hAnsi="Arial" w:cs="Arial"/>
          <w:sz w:val="20"/>
          <w:szCs w:val="20"/>
        </w:rPr>
      </w:pPr>
    </w:p>
    <w:p w14:paraId="6D31AD4A" w14:textId="77777777" w:rsidR="0021298F" w:rsidRDefault="0021298F" w:rsidP="0021298F">
      <w:pPr>
        <w:jc w:val="both"/>
        <w:rPr>
          <w:rFonts w:ascii="Arial" w:eastAsia="Times New Roman" w:hAnsi="Arial" w:cs="Arial"/>
        </w:rPr>
      </w:pPr>
      <w:r>
        <w:rPr>
          <w:rFonts w:ascii="Arial" w:eastAsia="Times New Roman" w:hAnsi="Arial" w:cs="Arial"/>
          <w:b/>
        </w:rPr>
        <w:t>Solar PV</w:t>
      </w:r>
      <w:r>
        <w:rPr>
          <w:rFonts w:ascii="Arial" w:eastAsia="Times New Roman" w:hAnsi="Arial" w:cs="Arial"/>
        </w:rPr>
        <w:t xml:space="preserve"> means a solar p</w:t>
      </w:r>
      <w:r w:rsidRPr="000E26CB">
        <w:rPr>
          <w:rFonts w:ascii="Arial" w:eastAsia="Times New Roman" w:hAnsi="Arial" w:cs="Arial"/>
        </w:rPr>
        <w:t>hotovoltaic system</w:t>
      </w:r>
      <w:r>
        <w:rPr>
          <w:rFonts w:ascii="Arial" w:eastAsia="Times New Roman" w:hAnsi="Arial" w:cs="Arial"/>
        </w:rPr>
        <w:t xml:space="preserve">, which is </w:t>
      </w:r>
      <w:r w:rsidRPr="000E26CB">
        <w:rPr>
          <w:rFonts w:ascii="Arial" w:eastAsia="Times New Roman" w:hAnsi="Arial" w:cs="Arial"/>
        </w:rPr>
        <w:t>a power system designed to supply usable solar power by means of photovoltaics.</w:t>
      </w:r>
    </w:p>
    <w:p w14:paraId="25D1F050" w14:textId="77777777" w:rsidR="0021298F" w:rsidRPr="00AE47CC" w:rsidRDefault="0021298F" w:rsidP="0021298F">
      <w:pPr>
        <w:pStyle w:val="Bullets"/>
        <w:numPr>
          <w:ilvl w:val="0"/>
          <w:numId w:val="0"/>
        </w:numPr>
        <w:jc w:val="both"/>
        <w:rPr>
          <w:rFonts w:cs="Arial"/>
          <w:b/>
          <w:sz w:val="20"/>
          <w:szCs w:val="20"/>
        </w:rPr>
      </w:pPr>
    </w:p>
    <w:p w14:paraId="01FCED6E" w14:textId="77777777" w:rsidR="0021298F" w:rsidRPr="001B0FD5" w:rsidRDefault="0021298F" w:rsidP="0021298F">
      <w:pPr>
        <w:jc w:val="both"/>
        <w:rPr>
          <w:rFonts w:ascii="Arial" w:hAnsi="Arial" w:cs="Arial"/>
          <w:lang w:val="fr-FR"/>
        </w:rPr>
      </w:pPr>
      <w:r w:rsidRPr="001B0FD5">
        <w:rPr>
          <w:rFonts w:ascii="Arial" w:hAnsi="Arial" w:cs="Arial"/>
          <w:b/>
          <w:lang w:val="fr-FR"/>
        </w:rPr>
        <w:lastRenderedPageBreak/>
        <w:t xml:space="preserve">Sommette </w:t>
      </w:r>
      <w:r w:rsidRPr="001B0FD5">
        <w:rPr>
          <w:rFonts w:ascii="Arial" w:hAnsi="Arial" w:cs="Arial"/>
          <w:lang w:val="fr-FR"/>
        </w:rPr>
        <w:t>means Parc Eolien Des Tournevents SAS</w:t>
      </w:r>
    </w:p>
    <w:p w14:paraId="5F2D498F" w14:textId="77777777" w:rsidR="0021298F" w:rsidRPr="00AE47CC" w:rsidRDefault="0021298F" w:rsidP="0021298F">
      <w:pPr>
        <w:pStyle w:val="Bullets"/>
        <w:numPr>
          <w:ilvl w:val="0"/>
          <w:numId w:val="0"/>
        </w:numPr>
        <w:jc w:val="both"/>
        <w:rPr>
          <w:rFonts w:cs="Arial"/>
          <w:b/>
          <w:sz w:val="20"/>
          <w:szCs w:val="20"/>
          <w:lang w:val="fr-FR"/>
        </w:rPr>
      </w:pPr>
    </w:p>
    <w:p w14:paraId="676BE06B" w14:textId="77777777" w:rsidR="0021298F" w:rsidRDefault="0021298F" w:rsidP="0021298F">
      <w:pPr>
        <w:jc w:val="both"/>
        <w:rPr>
          <w:rFonts w:ascii="Arial" w:eastAsia="Times New Roman" w:hAnsi="Arial" w:cs="Arial"/>
          <w:b/>
        </w:rPr>
      </w:pPr>
      <w:r w:rsidRPr="00992D4D">
        <w:rPr>
          <w:rFonts w:ascii="Arial" w:hAnsi="Arial" w:cs="Arial"/>
          <w:b/>
        </w:rPr>
        <w:t>SPVs</w:t>
      </w:r>
      <w:r>
        <w:rPr>
          <w:rFonts w:cs="Arial"/>
        </w:rPr>
        <w:t xml:space="preserve"> </w:t>
      </w:r>
      <w:r w:rsidRPr="00992D4D">
        <w:rPr>
          <w:rFonts w:ascii="Arial" w:hAnsi="Arial" w:cs="Arial"/>
        </w:rPr>
        <w:t>means the Special Purpose Vehicles</w:t>
      </w:r>
      <w:r>
        <w:rPr>
          <w:rFonts w:ascii="Arial" w:hAnsi="Arial" w:cs="Arial"/>
        </w:rPr>
        <w:t>,</w:t>
      </w:r>
      <w:r w:rsidRPr="00992D4D">
        <w:rPr>
          <w:rFonts w:ascii="Arial" w:hAnsi="Arial" w:cs="Arial"/>
        </w:rPr>
        <w:t xml:space="preserve"> which hold the Group’s investment portfolio of underlying operating wind farms</w:t>
      </w:r>
      <w:r w:rsidRPr="00B05525">
        <w:rPr>
          <w:rFonts w:ascii="Arial" w:eastAsia="Times New Roman" w:hAnsi="Arial" w:cs="Arial"/>
          <w:b/>
        </w:rPr>
        <w:t xml:space="preserve"> </w:t>
      </w:r>
    </w:p>
    <w:p w14:paraId="308D682D" w14:textId="77777777" w:rsidR="0021298F" w:rsidRPr="00AE47CC" w:rsidRDefault="0021298F" w:rsidP="0021298F">
      <w:pPr>
        <w:jc w:val="both"/>
        <w:rPr>
          <w:rFonts w:ascii="Arial" w:eastAsia="Times New Roman" w:hAnsi="Arial" w:cs="Arial"/>
          <w:b/>
          <w:sz w:val="20"/>
          <w:szCs w:val="20"/>
        </w:rPr>
      </w:pPr>
    </w:p>
    <w:p w14:paraId="3BE25120" w14:textId="77777777" w:rsidR="0021298F" w:rsidRDefault="0021298F" w:rsidP="0021298F">
      <w:pPr>
        <w:jc w:val="both"/>
        <w:rPr>
          <w:rFonts w:ascii="Arial" w:hAnsi="Arial" w:cs="Arial"/>
          <w:lang w:val="fr-FR"/>
        </w:rPr>
      </w:pPr>
      <w:r w:rsidRPr="001E64E0">
        <w:rPr>
          <w:rFonts w:ascii="Arial" w:eastAsia="Times New Roman" w:hAnsi="Arial" w:cs="Arial"/>
          <w:b/>
          <w:lang w:val="fr-FR"/>
        </w:rPr>
        <w:t xml:space="preserve">Saint Martin </w:t>
      </w:r>
      <w:r w:rsidRPr="001E64E0">
        <w:rPr>
          <w:rFonts w:ascii="Arial" w:eastAsia="Times New Roman" w:hAnsi="Arial" w:cs="Arial"/>
          <w:lang w:val="fr-FR"/>
        </w:rPr>
        <w:t xml:space="preserve">means </w:t>
      </w:r>
      <w:r w:rsidRPr="001E64E0">
        <w:rPr>
          <w:rFonts w:ascii="Arial" w:hAnsi="Arial" w:cs="Arial"/>
          <w:lang w:val="fr-FR"/>
        </w:rPr>
        <w:t>Parc Eolien Des Courtibe</w:t>
      </w:r>
      <w:r>
        <w:rPr>
          <w:rFonts w:ascii="Arial" w:hAnsi="Arial" w:cs="Arial"/>
          <w:lang w:val="fr-FR"/>
        </w:rPr>
        <w:t>a</w:t>
      </w:r>
      <w:r w:rsidRPr="001E64E0">
        <w:rPr>
          <w:rFonts w:ascii="Arial" w:hAnsi="Arial" w:cs="Arial"/>
          <w:lang w:val="fr-FR"/>
        </w:rPr>
        <w:t>ux SAS</w:t>
      </w:r>
    </w:p>
    <w:p w14:paraId="744F1D1A" w14:textId="77777777" w:rsidR="0021298F" w:rsidRPr="00AE47CC" w:rsidRDefault="0021298F" w:rsidP="0021298F">
      <w:pPr>
        <w:jc w:val="both"/>
        <w:rPr>
          <w:rFonts w:ascii="Arial" w:eastAsia="Times New Roman" w:hAnsi="Arial" w:cs="Arial"/>
          <w:b/>
          <w:sz w:val="20"/>
          <w:szCs w:val="20"/>
          <w:lang w:val="fr-FR"/>
        </w:rPr>
      </w:pPr>
    </w:p>
    <w:p w14:paraId="1A1C5E8A" w14:textId="77777777" w:rsidR="0021298F" w:rsidRPr="00AE47CC" w:rsidRDefault="0021298F" w:rsidP="0021298F">
      <w:pPr>
        <w:jc w:val="both"/>
        <w:rPr>
          <w:rFonts w:ascii="Arial" w:eastAsia="Times New Roman" w:hAnsi="Arial" w:cs="Arial"/>
          <w:b/>
          <w:bCs/>
        </w:rPr>
      </w:pPr>
      <w:r w:rsidRPr="00AE47CC">
        <w:rPr>
          <w:rFonts w:ascii="Arial" w:eastAsia="Times New Roman" w:hAnsi="Arial" w:cs="Arial"/>
          <w:b/>
          <w:bCs/>
        </w:rPr>
        <w:t>TCFD</w:t>
      </w:r>
      <w:r>
        <w:rPr>
          <w:rFonts w:ascii="Arial" w:eastAsia="Times New Roman" w:hAnsi="Arial" w:cs="Arial"/>
          <w:b/>
          <w:bCs/>
        </w:rPr>
        <w:t xml:space="preserve"> </w:t>
      </w:r>
      <w:r w:rsidRPr="00AE47CC">
        <w:rPr>
          <w:rFonts w:ascii="Arial" w:eastAsia="Times New Roman" w:hAnsi="Arial" w:cs="Arial"/>
        </w:rPr>
        <w:t xml:space="preserve">means </w:t>
      </w:r>
      <w:r>
        <w:rPr>
          <w:rFonts w:ascii="Arial" w:eastAsia="Times New Roman" w:hAnsi="Arial" w:cs="Arial"/>
        </w:rPr>
        <w:t>T</w:t>
      </w:r>
      <w:r w:rsidRPr="00AE47CC">
        <w:rPr>
          <w:rFonts w:ascii="Arial" w:eastAsia="Times New Roman" w:hAnsi="Arial" w:cs="Arial"/>
        </w:rPr>
        <w:t xml:space="preserve">ask </w:t>
      </w:r>
      <w:r>
        <w:rPr>
          <w:rFonts w:ascii="Arial" w:eastAsia="Times New Roman" w:hAnsi="Arial" w:cs="Arial"/>
        </w:rPr>
        <w:t>F</w:t>
      </w:r>
      <w:r w:rsidRPr="00AE47CC">
        <w:rPr>
          <w:rFonts w:ascii="Arial" w:eastAsia="Times New Roman" w:hAnsi="Arial" w:cs="Arial"/>
        </w:rPr>
        <w:t xml:space="preserve">orce on </w:t>
      </w:r>
      <w:r>
        <w:rPr>
          <w:rFonts w:ascii="Arial" w:eastAsia="Times New Roman" w:hAnsi="Arial" w:cs="Arial"/>
        </w:rPr>
        <w:t>C</w:t>
      </w:r>
      <w:r w:rsidRPr="00AE47CC">
        <w:rPr>
          <w:rFonts w:ascii="Arial" w:eastAsia="Times New Roman" w:hAnsi="Arial" w:cs="Arial"/>
        </w:rPr>
        <w:t>limate-</w:t>
      </w:r>
      <w:r>
        <w:rPr>
          <w:rFonts w:ascii="Arial" w:eastAsia="Times New Roman" w:hAnsi="Arial" w:cs="Arial"/>
        </w:rPr>
        <w:t>R</w:t>
      </w:r>
      <w:r w:rsidRPr="00AE47CC">
        <w:rPr>
          <w:rFonts w:ascii="Arial" w:eastAsia="Times New Roman" w:hAnsi="Arial" w:cs="Arial"/>
        </w:rPr>
        <w:t xml:space="preserve">elated </w:t>
      </w:r>
      <w:r>
        <w:rPr>
          <w:rFonts w:ascii="Arial" w:eastAsia="Times New Roman" w:hAnsi="Arial" w:cs="Arial"/>
        </w:rPr>
        <w:t>F</w:t>
      </w:r>
      <w:r w:rsidRPr="00AE47CC">
        <w:rPr>
          <w:rFonts w:ascii="Arial" w:eastAsia="Times New Roman" w:hAnsi="Arial" w:cs="Arial"/>
        </w:rPr>
        <w:t xml:space="preserve">inancial </w:t>
      </w:r>
      <w:r>
        <w:rPr>
          <w:rFonts w:ascii="Arial" w:eastAsia="Times New Roman" w:hAnsi="Arial" w:cs="Arial"/>
        </w:rPr>
        <w:t>D</w:t>
      </w:r>
      <w:r w:rsidRPr="00AE47CC">
        <w:rPr>
          <w:rFonts w:ascii="Arial" w:eastAsia="Times New Roman" w:hAnsi="Arial" w:cs="Arial"/>
        </w:rPr>
        <w:t>isclosures</w:t>
      </w:r>
    </w:p>
    <w:p w14:paraId="4D63A3C8" w14:textId="77777777" w:rsidR="0021298F" w:rsidRPr="00AE47CC" w:rsidRDefault="0021298F" w:rsidP="0021298F">
      <w:pPr>
        <w:jc w:val="both"/>
        <w:rPr>
          <w:rFonts w:ascii="Arial" w:eastAsia="Times New Roman" w:hAnsi="Arial" w:cs="Arial"/>
          <w:b/>
          <w:sz w:val="20"/>
          <w:szCs w:val="20"/>
        </w:rPr>
      </w:pPr>
    </w:p>
    <w:p w14:paraId="028F0CB9" w14:textId="77777777" w:rsidR="0021298F" w:rsidRPr="0008266A" w:rsidRDefault="0021298F" w:rsidP="0021298F">
      <w:pPr>
        <w:jc w:val="both"/>
        <w:rPr>
          <w:rFonts w:cs="Arial"/>
        </w:rPr>
      </w:pPr>
      <w:r>
        <w:rPr>
          <w:rFonts w:ascii="Arial" w:eastAsia="Times New Roman" w:hAnsi="Arial" w:cs="Arial"/>
          <w:b/>
        </w:rPr>
        <w:t xml:space="preserve">TSR </w:t>
      </w:r>
      <w:r>
        <w:rPr>
          <w:rFonts w:ascii="Arial" w:eastAsia="Times New Roman" w:hAnsi="Arial" w:cs="Arial"/>
        </w:rPr>
        <w:t>means Total Shareholder Return</w:t>
      </w:r>
    </w:p>
    <w:p w14:paraId="44E7B93F" w14:textId="77777777" w:rsidR="0021298F" w:rsidRPr="00AE47CC" w:rsidRDefault="0021298F" w:rsidP="0021298F">
      <w:pPr>
        <w:jc w:val="both"/>
        <w:rPr>
          <w:rFonts w:ascii="Arial" w:eastAsia="Times New Roman" w:hAnsi="Arial" w:cs="Arial"/>
          <w:b/>
          <w:sz w:val="20"/>
          <w:szCs w:val="20"/>
        </w:rPr>
      </w:pPr>
    </w:p>
    <w:p w14:paraId="08BA8DE5" w14:textId="77777777" w:rsidR="0021298F" w:rsidRDefault="0021298F" w:rsidP="0021298F">
      <w:pPr>
        <w:pStyle w:val="Bullets"/>
        <w:numPr>
          <w:ilvl w:val="0"/>
          <w:numId w:val="0"/>
        </w:numPr>
        <w:jc w:val="both"/>
        <w:rPr>
          <w:rFonts w:cs="Arial"/>
        </w:rPr>
      </w:pPr>
      <w:r w:rsidRPr="004A78F8">
        <w:rPr>
          <w:rFonts w:cs="Arial"/>
          <w:b/>
        </w:rPr>
        <w:t>Tull</w:t>
      </w:r>
      <w:r>
        <w:rPr>
          <w:rFonts w:cs="Arial"/>
          <w:b/>
        </w:rPr>
        <w:t>y</w:t>
      </w:r>
      <w:r w:rsidRPr="004A78F8">
        <w:rPr>
          <w:rFonts w:cs="Arial"/>
          <w:b/>
        </w:rPr>
        <w:t>namoyle</w:t>
      </w:r>
      <w:r>
        <w:rPr>
          <w:rFonts w:cs="Arial"/>
          <w:b/>
        </w:rPr>
        <w:t xml:space="preserve"> II</w:t>
      </w:r>
      <w:r>
        <w:rPr>
          <w:rFonts w:cs="Arial"/>
        </w:rPr>
        <w:t xml:space="preserve"> means Tullynamoyle Wind Farm II Limited</w:t>
      </w:r>
    </w:p>
    <w:p w14:paraId="77E232CD" w14:textId="77777777" w:rsidR="0021298F" w:rsidRPr="00AE47CC" w:rsidRDefault="0021298F" w:rsidP="0021298F">
      <w:pPr>
        <w:jc w:val="both"/>
        <w:rPr>
          <w:rFonts w:ascii="Arial" w:eastAsia="Times New Roman" w:hAnsi="Arial" w:cs="Arial"/>
          <w:b/>
          <w:sz w:val="20"/>
          <w:szCs w:val="20"/>
        </w:rPr>
      </w:pPr>
    </w:p>
    <w:p w14:paraId="3BC3CD8C" w14:textId="77777777" w:rsidR="0021298F" w:rsidRDefault="0021298F" w:rsidP="0021298F">
      <w:pPr>
        <w:jc w:val="both"/>
        <w:rPr>
          <w:rFonts w:ascii="Arial" w:eastAsia="Times New Roman" w:hAnsi="Arial" w:cs="Arial"/>
        </w:rPr>
      </w:pPr>
      <w:r>
        <w:rPr>
          <w:rFonts w:ascii="Arial" w:eastAsia="Times New Roman" w:hAnsi="Arial" w:cs="Arial"/>
          <w:b/>
        </w:rPr>
        <w:t xml:space="preserve">UK </w:t>
      </w:r>
      <w:r>
        <w:rPr>
          <w:rFonts w:ascii="Arial" w:eastAsia="Times New Roman" w:hAnsi="Arial" w:cs="Arial"/>
        </w:rPr>
        <w:t>means United Kingdom of Great Britain and Northern Ireland</w:t>
      </w:r>
    </w:p>
    <w:p w14:paraId="61B13D10" w14:textId="77777777" w:rsidR="0021298F" w:rsidRPr="00AE47CC" w:rsidRDefault="0021298F" w:rsidP="0021298F">
      <w:pPr>
        <w:jc w:val="both"/>
        <w:rPr>
          <w:rFonts w:ascii="Arial" w:eastAsia="Times New Roman" w:hAnsi="Arial" w:cs="Arial"/>
          <w:sz w:val="20"/>
          <w:szCs w:val="20"/>
        </w:rPr>
      </w:pPr>
    </w:p>
    <w:p w14:paraId="67807A68" w14:textId="77777777" w:rsidR="0021298F" w:rsidRDefault="0021298F" w:rsidP="0021298F">
      <w:pPr>
        <w:rPr>
          <w:rFonts w:ascii="Arial" w:eastAsia="Times New Roman" w:hAnsi="Arial" w:cs="Arial"/>
        </w:rPr>
      </w:pPr>
      <w:r w:rsidRPr="00F61CA0">
        <w:rPr>
          <w:rFonts w:ascii="Arial" w:eastAsia="Times New Roman" w:hAnsi="Arial" w:cs="Arial"/>
          <w:b/>
        </w:rPr>
        <w:t>UK Code</w:t>
      </w:r>
      <w:r>
        <w:rPr>
          <w:rFonts w:ascii="Arial" w:eastAsia="Times New Roman" w:hAnsi="Arial" w:cs="Arial"/>
        </w:rPr>
        <w:t xml:space="preserve"> means UK Corporate Governance Code issued by the FRC</w:t>
      </w:r>
    </w:p>
    <w:p w14:paraId="46E4E1B1" w14:textId="77777777" w:rsidR="0021298F" w:rsidRDefault="0021298F" w:rsidP="0021298F">
      <w:pPr>
        <w:rPr>
          <w:rFonts w:ascii="Arial" w:eastAsia="Times New Roman" w:hAnsi="Arial" w:cs="Arial"/>
          <w:b/>
        </w:rPr>
      </w:pPr>
    </w:p>
    <w:p w14:paraId="55B30B15" w14:textId="77777777" w:rsidR="0021298F" w:rsidRDefault="0021298F" w:rsidP="0021298F">
      <w:pPr>
        <w:jc w:val="both"/>
        <w:rPr>
          <w:rFonts w:ascii="Arial" w:hAnsi="Arial" w:cs="Arial"/>
          <w:b/>
          <w:sz w:val="26"/>
          <w:szCs w:val="26"/>
        </w:rPr>
      </w:pPr>
      <w:r>
        <w:rPr>
          <w:rFonts w:ascii="Arial" w:hAnsi="Arial" w:cs="Arial"/>
          <w:b/>
          <w:sz w:val="26"/>
          <w:szCs w:val="26"/>
        </w:rPr>
        <w:t>Alternative Performance Measures</w:t>
      </w:r>
    </w:p>
    <w:p w14:paraId="50BCFEEB" w14:textId="77777777" w:rsidR="0021298F" w:rsidRDefault="0021298F" w:rsidP="0021298F">
      <w:pPr>
        <w:jc w:val="both"/>
        <w:rPr>
          <w:rFonts w:ascii="Arial" w:hAnsi="Arial" w:cs="Arial"/>
          <w:b/>
          <w:sz w:val="26"/>
          <w:szCs w:val="26"/>
        </w:rPr>
      </w:pPr>
    </w:p>
    <w:tbl>
      <w:tblPr>
        <w:tblStyle w:val="none1"/>
        <w:tblW w:w="9455" w:type="dxa"/>
        <w:tblLook w:val="04A0" w:firstRow="1" w:lastRow="0" w:firstColumn="1" w:lastColumn="0" w:noHBand="0" w:noVBand="1"/>
      </w:tblPr>
      <w:tblGrid>
        <w:gridCol w:w="3560"/>
        <w:gridCol w:w="5895"/>
      </w:tblGrid>
      <w:tr w:rsidR="0021298F" w:rsidRPr="00D929C9" w14:paraId="015DD53D" w14:textId="77777777" w:rsidTr="00760009">
        <w:trPr>
          <w:trHeight w:val="517"/>
        </w:trPr>
        <w:tc>
          <w:tcPr>
            <w:tcW w:w="3560" w:type="dxa"/>
          </w:tcPr>
          <w:p w14:paraId="7D8C527C" w14:textId="77777777" w:rsidR="0021298F" w:rsidRPr="00D929C9" w:rsidRDefault="0021298F" w:rsidP="00760009">
            <w:pPr>
              <w:rPr>
                <w:rFonts w:ascii="Arial" w:hAnsi="Arial" w:cs="Arial"/>
                <w:b/>
                <w:bCs/>
                <w:sz w:val="22"/>
                <w:szCs w:val="22"/>
              </w:rPr>
            </w:pPr>
            <w:r w:rsidRPr="00D929C9">
              <w:rPr>
                <w:rFonts w:ascii="Arial" w:hAnsi="Arial" w:cs="Arial"/>
                <w:b/>
                <w:bCs/>
                <w:sz w:val="22"/>
                <w:szCs w:val="22"/>
              </w:rPr>
              <w:t>Performance Measure</w:t>
            </w:r>
          </w:p>
        </w:tc>
        <w:tc>
          <w:tcPr>
            <w:tcW w:w="5895" w:type="dxa"/>
          </w:tcPr>
          <w:p w14:paraId="0B456C71" w14:textId="77777777" w:rsidR="0021298F" w:rsidRPr="00D929C9" w:rsidRDefault="0021298F" w:rsidP="00760009">
            <w:pPr>
              <w:rPr>
                <w:rFonts w:ascii="Arial" w:hAnsi="Arial" w:cs="Arial"/>
                <w:b/>
                <w:bCs/>
                <w:sz w:val="22"/>
                <w:szCs w:val="22"/>
              </w:rPr>
            </w:pPr>
            <w:r w:rsidRPr="00D929C9">
              <w:rPr>
                <w:rFonts w:ascii="Arial" w:hAnsi="Arial" w:cs="Arial"/>
                <w:b/>
                <w:bCs/>
                <w:sz w:val="22"/>
                <w:szCs w:val="22"/>
              </w:rPr>
              <w:t>Definition</w:t>
            </w:r>
          </w:p>
        </w:tc>
      </w:tr>
      <w:tr w:rsidR="0021298F" w:rsidRPr="00D929C9" w14:paraId="0AB03659" w14:textId="77777777" w:rsidTr="00760009">
        <w:trPr>
          <w:trHeight w:val="517"/>
        </w:trPr>
        <w:tc>
          <w:tcPr>
            <w:tcW w:w="3560" w:type="dxa"/>
          </w:tcPr>
          <w:p w14:paraId="07CA42C1" w14:textId="77777777" w:rsidR="0021298F" w:rsidRPr="00D929C9" w:rsidRDefault="0021298F" w:rsidP="00760009">
            <w:pPr>
              <w:rPr>
                <w:rFonts w:ascii="Arial" w:hAnsi="Arial" w:cs="Arial"/>
                <w:b/>
                <w:bCs/>
              </w:rPr>
            </w:pPr>
            <w:r w:rsidRPr="00DD4DF4">
              <w:rPr>
                <w:rFonts w:ascii="Arial" w:hAnsi="Arial" w:cs="Arial"/>
                <w:sz w:val="22"/>
                <w:szCs w:val="22"/>
              </w:rPr>
              <w:t>CO</w:t>
            </w:r>
            <w:r w:rsidRPr="00026441">
              <w:rPr>
                <w:rFonts w:ascii="Arial" w:hAnsi="Arial" w:cs="Arial"/>
                <w:sz w:val="22"/>
                <w:szCs w:val="22"/>
                <w:vertAlign w:val="subscript"/>
              </w:rPr>
              <w:t>2</w:t>
            </w:r>
            <w:r w:rsidRPr="00DD4DF4">
              <w:rPr>
                <w:rFonts w:ascii="Arial" w:hAnsi="Arial" w:cs="Arial"/>
                <w:sz w:val="22"/>
                <w:szCs w:val="22"/>
              </w:rPr>
              <w:t xml:space="preserve"> emissions reduced per annum</w:t>
            </w:r>
            <w:r w:rsidRPr="00D929C9">
              <w:rPr>
                <w:rFonts w:ascii="Arial" w:hAnsi="Arial" w:cs="Arial"/>
                <w:sz w:val="22"/>
                <w:szCs w:val="22"/>
              </w:rPr>
              <w:t xml:space="preserve"> </w:t>
            </w:r>
          </w:p>
        </w:tc>
        <w:tc>
          <w:tcPr>
            <w:tcW w:w="5895" w:type="dxa"/>
          </w:tcPr>
          <w:p w14:paraId="756FA56D" w14:textId="77777777" w:rsidR="0021298F" w:rsidRPr="00835B95" w:rsidRDefault="0021298F" w:rsidP="00760009">
            <w:pPr>
              <w:jc w:val="both"/>
              <w:rPr>
                <w:rFonts w:ascii="Arial" w:hAnsi="Arial" w:cs="Arial"/>
                <w:sz w:val="22"/>
                <w:szCs w:val="22"/>
              </w:rPr>
            </w:pPr>
            <w:r>
              <w:rPr>
                <w:rFonts w:ascii="Arial" w:hAnsi="Arial" w:cs="Arial"/>
                <w:sz w:val="22"/>
                <w:szCs w:val="22"/>
              </w:rPr>
              <w:t>The estimate of</w:t>
            </w:r>
            <w:r w:rsidRPr="00835B95">
              <w:rPr>
                <w:rFonts w:ascii="Arial" w:hAnsi="Arial" w:cs="Arial"/>
                <w:sz w:val="22"/>
                <w:szCs w:val="22"/>
              </w:rPr>
              <w:t xml:space="preserve"> </w:t>
            </w:r>
            <w:r>
              <w:rPr>
                <w:rFonts w:ascii="Arial" w:hAnsi="Arial" w:cs="Arial"/>
                <w:sz w:val="22"/>
                <w:szCs w:val="22"/>
              </w:rPr>
              <w:t xml:space="preserve">the </w:t>
            </w:r>
            <w:r w:rsidRPr="00835B95">
              <w:rPr>
                <w:rFonts w:ascii="Arial" w:hAnsi="Arial" w:cs="Arial"/>
                <w:sz w:val="22"/>
                <w:szCs w:val="22"/>
              </w:rPr>
              <w:t xml:space="preserve">portfolio’s </w:t>
            </w:r>
            <w:r>
              <w:rPr>
                <w:rFonts w:ascii="Arial" w:hAnsi="Arial" w:cs="Arial"/>
                <w:sz w:val="22"/>
                <w:szCs w:val="22"/>
              </w:rPr>
              <w:t xml:space="preserve">annual </w:t>
            </w:r>
            <w:r w:rsidRPr="00835B95">
              <w:rPr>
                <w:rFonts w:ascii="Arial" w:hAnsi="Arial" w:cs="Arial"/>
                <w:sz w:val="22"/>
                <w:szCs w:val="22"/>
              </w:rPr>
              <w:t>CO</w:t>
            </w:r>
            <w:r w:rsidRPr="00835B95">
              <w:rPr>
                <w:rFonts w:ascii="Arial" w:hAnsi="Arial" w:cs="Arial"/>
                <w:sz w:val="22"/>
                <w:szCs w:val="22"/>
                <w:vertAlign w:val="subscript"/>
              </w:rPr>
              <w:t>2</w:t>
            </w:r>
            <w:r w:rsidRPr="00835B95">
              <w:rPr>
                <w:rFonts w:ascii="Arial" w:hAnsi="Arial" w:cs="Arial"/>
                <w:sz w:val="22"/>
                <w:szCs w:val="22"/>
              </w:rPr>
              <w:t xml:space="preserve"> emission reductions,</w:t>
            </w:r>
            <w:r>
              <w:rPr>
                <w:rFonts w:ascii="Arial" w:hAnsi="Arial" w:cs="Arial"/>
                <w:sz w:val="22"/>
                <w:szCs w:val="22"/>
              </w:rPr>
              <w:t xml:space="preserve"> based on the portfolio’s estimate generation </w:t>
            </w:r>
            <w:r w:rsidRPr="00835B95">
              <w:rPr>
                <w:rFonts w:ascii="Arial" w:hAnsi="Arial" w:cs="Arial"/>
                <w:sz w:val="22"/>
                <w:szCs w:val="22"/>
              </w:rPr>
              <w:t>as at the relevant reporting date.</w:t>
            </w:r>
          </w:p>
          <w:p w14:paraId="572A3E98" w14:textId="77777777" w:rsidR="0021298F" w:rsidRPr="00D929C9" w:rsidRDefault="0021298F" w:rsidP="00760009">
            <w:pPr>
              <w:jc w:val="both"/>
              <w:rPr>
                <w:rFonts w:ascii="Arial" w:hAnsi="Arial" w:cs="Arial"/>
                <w:b/>
                <w:bCs/>
              </w:rPr>
            </w:pPr>
          </w:p>
        </w:tc>
      </w:tr>
      <w:tr w:rsidR="0021298F" w:rsidRPr="00D929C9" w14:paraId="5366DA38" w14:textId="77777777" w:rsidTr="00760009">
        <w:trPr>
          <w:trHeight w:val="1034"/>
        </w:trPr>
        <w:tc>
          <w:tcPr>
            <w:tcW w:w="3560" w:type="dxa"/>
          </w:tcPr>
          <w:p w14:paraId="2521A1BE" w14:textId="77777777" w:rsidR="0021298F" w:rsidRPr="00D929C9" w:rsidRDefault="0021298F" w:rsidP="00760009">
            <w:pPr>
              <w:rPr>
                <w:rFonts w:ascii="Arial" w:hAnsi="Arial" w:cs="Arial"/>
              </w:rPr>
            </w:pPr>
            <w:r w:rsidRPr="00DD4DF4">
              <w:rPr>
                <w:rFonts w:ascii="Arial" w:hAnsi="Arial" w:cs="Arial"/>
                <w:sz w:val="22"/>
                <w:szCs w:val="22"/>
              </w:rPr>
              <w:t>Homes powered per annum</w:t>
            </w:r>
          </w:p>
        </w:tc>
        <w:tc>
          <w:tcPr>
            <w:tcW w:w="5895" w:type="dxa"/>
          </w:tcPr>
          <w:p w14:paraId="1646AC59" w14:textId="77777777" w:rsidR="0021298F" w:rsidRPr="00835B95" w:rsidRDefault="0021298F" w:rsidP="00760009">
            <w:pPr>
              <w:jc w:val="both"/>
              <w:rPr>
                <w:rFonts w:ascii="Arial" w:hAnsi="Arial" w:cs="Arial"/>
                <w:sz w:val="22"/>
                <w:szCs w:val="22"/>
              </w:rPr>
            </w:pPr>
            <w:r>
              <w:rPr>
                <w:rFonts w:ascii="Arial" w:hAnsi="Arial" w:cs="Arial"/>
                <w:sz w:val="22"/>
                <w:szCs w:val="22"/>
              </w:rPr>
              <w:t xml:space="preserve">The estimate of </w:t>
            </w:r>
            <w:r w:rsidRPr="00835B95">
              <w:rPr>
                <w:rFonts w:ascii="Arial" w:hAnsi="Arial" w:cs="Arial"/>
                <w:sz w:val="22"/>
                <w:szCs w:val="22"/>
              </w:rPr>
              <w:t>the number of homes powered by electricity generated by the portfolio,</w:t>
            </w:r>
            <w:r>
              <w:rPr>
                <w:rFonts w:ascii="Arial" w:hAnsi="Arial" w:cs="Arial"/>
                <w:sz w:val="22"/>
                <w:szCs w:val="22"/>
              </w:rPr>
              <w:t xml:space="preserve"> based on the portfolio’s estimate generation</w:t>
            </w:r>
            <w:r w:rsidRPr="00835B95">
              <w:rPr>
                <w:rFonts w:ascii="Arial" w:hAnsi="Arial" w:cs="Arial"/>
                <w:sz w:val="22"/>
                <w:szCs w:val="22"/>
              </w:rPr>
              <w:t xml:space="preserve"> as at the relevant reporting date. </w:t>
            </w:r>
          </w:p>
          <w:p w14:paraId="304EA042" w14:textId="77777777" w:rsidR="0021298F" w:rsidRPr="00D929C9" w:rsidRDefault="0021298F" w:rsidP="00760009">
            <w:pPr>
              <w:jc w:val="both"/>
              <w:rPr>
                <w:rFonts w:ascii="Arial" w:hAnsi="Arial" w:cs="Arial"/>
              </w:rPr>
            </w:pPr>
          </w:p>
        </w:tc>
      </w:tr>
      <w:tr w:rsidR="0021298F" w:rsidRPr="00D929C9" w14:paraId="556ECEF3" w14:textId="77777777" w:rsidTr="00760009">
        <w:trPr>
          <w:trHeight w:val="910"/>
        </w:trPr>
        <w:tc>
          <w:tcPr>
            <w:tcW w:w="3560" w:type="dxa"/>
          </w:tcPr>
          <w:p w14:paraId="2BCE72CF" w14:textId="77777777" w:rsidR="0021298F" w:rsidRPr="00DD4DF4" w:rsidRDefault="0021298F" w:rsidP="00760009">
            <w:pPr>
              <w:rPr>
                <w:rFonts w:ascii="Arial" w:hAnsi="Arial" w:cs="Arial"/>
              </w:rPr>
            </w:pPr>
            <w:r w:rsidRPr="00DD4DF4">
              <w:rPr>
                <w:rFonts w:ascii="Arial" w:hAnsi="Arial" w:cs="Arial"/>
                <w:sz w:val="22"/>
                <w:szCs w:val="22"/>
              </w:rPr>
              <w:t xml:space="preserve">NAV movement per </w:t>
            </w:r>
            <w:r>
              <w:rPr>
                <w:rFonts w:ascii="Arial" w:hAnsi="Arial" w:cs="Arial"/>
                <w:sz w:val="22"/>
                <w:szCs w:val="22"/>
              </w:rPr>
              <w:t>s</w:t>
            </w:r>
            <w:r w:rsidRPr="00DD4DF4">
              <w:rPr>
                <w:rFonts w:ascii="Arial" w:hAnsi="Arial" w:cs="Arial"/>
                <w:sz w:val="22"/>
                <w:szCs w:val="22"/>
              </w:rPr>
              <w:t>hare (adjusting for dividends)</w:t>
            </w:r>
            <w:r>
              <w:rPr>
                <w:rFonts w:ascii="Arial" w:hAnsi="Arial" w:cs="Arial"/>
              </w:rPr>
              <w:t xml:space="preserve"> </w:t>
            </w:r>
          </w:p>
        </w:tc>
        <w:tc>
          <w:tcPr>
            <w:tcW w:w="5895" w:type="dxa"/>
          </w:tcPr>
          <w:p w14:paraId="2A172839" w14:textId="77777777" w:rsidR="0021298F" w:rsidRPr="008B4362" w:rsidRDefault="0021298F" w:rsidP="00760009">
            <w:pPr>
              <w:jc w:val="both"/>
              <w:rPr>
                <w:rFonts w:ascii="Arial" w:hAnsi="Arial" w:cs="Arial"/>
                <w:sz w:val="22"/>
                <w:szCs w:val="22"/>
              </w:rPr>
            </w:pPr>
            <w:r w:rsidRPr="00835B95">
              <w:rPr>
                <w:rFonts w:ascii="Arial" w:hAnsi="Arial" w:cs="Arial"/>
                <w:sz w:val="22"/>
                <w:szCs w:val="22"/>
              </w:rPr>
              <w:t xml:space="preserve">Movement in </w:t>
            </w:r>
            <w:r>
              <w:rPr>
                <w:rFonts w:ascii="Arial" w:hAnsi="Arial" w:cs="Arial"/>
                <w:sz w:val="22"/>
                <w:szCs w:val="22"/>
              </w:rPr>
              <w:t>the ex-dividend N</w:t>
            </w:r>
            <w:r w:rsidRPr="00835B95">
              <w:rPr>
                <w:rFonts w:ascii="Arial" w:hAnsi="Arial" w:cs="Arial"/>
                <w:sz w:val="22"/>
                <w:szCs w:val="22"/>
              </w:rPr>
              <w:t xml:space="preserve">et </w:t>
            </w:r>
            <w:r>
              <w:rPr>
                <w:rFonts w:ascii="Arial" w:hAnsi="Arial" w:cs="Arial"/>
                <w:sz w:val="22"/>
                <w:szCs w:val="22"/>
              </w:rPr>
              <w:t>A</w:t>
            </w:r>
            <w:r w:rsidRPr="00835B95">
              <w:rPr>
                <w:rFonts w:ascii="Arial" w:hAnsi="Arial" w:cs="Arial"/>
                <w:sz w:val="22"/>
                <w:szCs w:val="22"/>
              </w:rPr>
              <w:t xml:space="preserve">sset </w:t>
            </w:r>
            <w:r>
              <w:rPr>
                <w:rFonts w:ascii="Arial" w:hAnsi="Arial" w:cs="Arial"/>
                <w:sz w:val="22"/>
                <w:szCs w:val="22"/>
              </w:rPr>
              <w:t>V</w:t>
            </w:r>
            <w:r w:rsidRPr="00835B95">
              <w:rPr>
                <w:rFonts w:ascii="Arial" w:hAnsi="Arial" w:cs="Arial"/>
                <w:sz w:val="22"/>
                <w:szCs w:val="22"/>
              </w:rPr>
              <w:t>alue per ordinary share during the year.</w:t>
            </w:r>
          </w:p>
        </w:tc>
      </w:tr>
      <w:tr w:rsidR="0021298F" w:rsidRPr="00D929C9" w14:paraId="3E63723E" w14:textId="77777777" w:rsidTr="00760009">
        <w:trPr>
          <w:trHeight w:val="627"/>
        </w:trPr>
        <w:tc>
          <w:tcPr>
            <w:tcW w:w="3560" w:type="dxa"/>
          </w:tcPr>
          <w:p w14:paraId="17061B9E" w14:textId="77777777" w:rsidR="0021298F" w:rsidRPr="00D929C9" w:rsidRDefault="0021298F" w:rsidP="00760009">
            <w:pPr>
              <w:rPr>
                <w:rFonts w:ascii="Arial" w:hAnsi="Arial" w:cs="Arial"/>
                <w:sz w:val="22"/>
                <w:szCs w:val="22"/>
              </w:rPr>
            </w:pPr>
            <w:r w:rsidRPr="00D929C9">
              <w:rPr>
                <w:rFonts w:ascii="Arial" w:hAnsi="Arial" w:cs="Arial"/>
                <w:sz w:val="22"/>
                <w:szCs w:val="22"/>
              </w:rPr>
              <w:t xml:space="preserve">NAV per </w:t>
            </w:r>
            <w:r>
              <w:rPr>
                <w:rFonts w:ascii="Arial" w:hAnsi="Arial" w:cs="Arial"/>
                <w:sz w:val="22"/>
                <w:szCs w:val="22"/>
              </w:rPr>
              <w:t>s</w:t>
            </w:r>
            <w:r w:rsidRPr="00D929C9">
              <w:rPr>
                <w:rFonts w:ascii="Arial" w:hAnsi="Arial" w:cs="Arial"/>
                <w:sz w:val="22"/>
                <w:szCs w:val="22"/>
              </w:rPr>
              <w:t>hare</w:t>
            </w:r>
          </w:p>
          <w:p w14:paraId="605E3FFB" w14:textId="77777777" w:rsidR="0021298F" w:rsidRPr="00D929C9" w:rsidRDefault="0021298F" w:rsidP="00760009">
            <w:pPr>
              <w:rPr>
                <w:rFonts w:ascii="Arial" w:hAnsi="Arial" w:cs="Arial"/>
              </w:rPr>
            </w:pPr>
          </w:p>
        </w:tc>
        <w:tc>
          <w:tcPr>
            <w:tcW w:w="5895" w:type="dxa"/>
          </w:tcPr>
          <w:p w14:paraId="1AC97A3F" w14:textId="77777777" w:rsidR="0021298F" w:rsidRPr="00D929C9" w:rsidRDefault="0021298F" w:rsidP="00760009">
            <w:pPr>
              <w:rPr>
                <w:rFonts w:ascii="Arial" w:hAnsi="Arial" w:cs="Arial"/>
              </w:rPr>
            </w:pPr>
            <w:r>
              <w:rPr>
                <w:rFonts w:ascii="Arial" w:hAnsi="Arial" w:cs="Arial"/>
                <w:sz w:val="22"/>
                <w:szCs w:val="22"/>
              </w:rPr>
              <w:t xml:space="preserve">The </w:t>
            </w:r>
            <w:r w:rsidRPr="00026441">
              <w:rPr>
                <w:rFonts w:ascii="Arial" w:hAnsi="Arial" w:cs="Arial"/>
                <w:sz w:val="22"/>
                <w:szCs w:val="22"/>
              </w:rPr>
              <w:t xml:space="preserve">Net Asset Value per </w:t>
            </w:r>
            <w:r>
              <w:rPr>
                <w:rFonts w:ascii="Arial" w:hAnsi="Arial" w:cs="Arial"/>
                <w:sz w:val="22"/>
                <w:szCs w:val="22"/>
              </w:rPr>
              <w:t>o</w:t>
            </w:r>
            <w:r w:rsidRPr="00026441">
              <w:rPr>
                <w:rFonts w:ascii="Arial" w:hAnsi="Arial" w:cs="Arial"/>
                <w:sz w:val="22"/>
                <w:szCs w:val="22"/>
              </w:rPr>
              <w:t xml:space="preserve">rdinary </w:t>
            </w:r>
            <w:r>
              <w:rPr>
                <w:rFonts w:ascii="Arial" w:hAnsi="Arial" w:cs="Arial"/>
                <w:sz w:val="22"/>
                <w:szCs w:val="22"/>
              </w:rPr>
              <w:t>s</w:t>
            </w:r>
            <w:r w:rsidRPr="00026441">
              <w:rPr>
                <w:rFonts w:ascii="Arial" w:hAnsi="Arial" w:cs="Arial"/>
                <w:sz w:val="22"/>
                <w:szCs w:val="22"/>
              </w:rPr>
              <w:t>hare</w:t>
            </w:r>
            <w:r>
              <w:rPr>
                <w:rFonts w:ascii="Arial" w:hAnsi="Arial" w:cs="Arial"/>
                <w:sz w:val="22"/>
                <w:szCs w:val="22"/>
              </w:rPr>
              <w:t>.</w:t>
            </w:r>
          </w:p>
        </w:tc>
      </w:tr>
      <w:tr w:rsidR="0021298F" w:rsidRPr="00D929C9" w14:paraId="2C9A7540" w14:textId="77777777" w:rsidTr="00760009">
        <w:trPr>
          <w:trHeight w:val="762"/>
        </w:trPr>
        <w:tc>
          <w:tcPr>
            <w:tcW w:w="3560" w:type="dxa"/>
          </w:tcPr>
          <w:p w14:paraId="08228693" w14:textId="77777777" w:rsidR="0021298F" w:rsidRDefault="0021298F" w:rsidP="00760009">
            <w:pPr>
              <w:rPr>
                <w:rFonts w:ascii="Arial" w:hAnsi="Arial" w:cs="Arial"/>
                <w:sz w:val="22"/>
                <w:szCs w:val="22"/>
              </w:rPr>
            </w:pPr>
            <w:r w:rsidRPr="00DD4DF4">
              <w:rPr>
                <w:rFonts w:ascii="Arial" w:hAnsi="Arial" w:cs="Arial"/>
                <w:sz w:val="22"/>
                <w:szCs w:val="22"/>
              </w:rPr>
              <w:t>Net cash generation</w:t>
            </w:r>
          </w:p>
          <w:p w14:paraId="2F9164E9" w14:textId="77777777" w:rsidR="0021298F" w:rsidRDefault="0021298F" w:rsidP="00760009">
            <w:pPr>
              <w:rPr>
                <w:rFonts w:ascii="Arial" w:hAnsi="Arial" w:cs="Arial"/>
              </w:rPr>
            </w:pPr>
          </w:p>
          <w:p w14:paraId="77D8F843" w14:textId="77777777" w:rsidR="0021298F" w:rsidRPr="00D929C9" w:rsidRDefault="0021298F" w:rsidP="00760009">
            <w:pPr>
              <w:rPr>
                <w:rFonts w:ascii="Arial" w:hAnsi="Arial" w:cs="Arial"/>
              </w:rPr>
            </w:pPr>
          </w:p>
        </w:tc>
        <w:tc>
          <w:tcPr>
            <w:tcW w:w="5895" w:type="dxa"/>
          </w:tcPr>
          <w:p w14:paraId="59B91654" w14:textId="77777777" w:rsidR="0021298F" w:rsidRDefault="0021298F" w:rsidP="00760009">
            <w:pPr>
              <w:jc w:val="both"/>
              <w:rPr>
                <w:rFonts w:ascii="Arial" w:hAnsi="Arial" w:cs="Arial"/>
              </w:rPr>
            </w:pPr>
            <w:r>
              <w:rPr>
                <w:rFonts w:ascii="Arial" w:hAnsi="Arial" w:cs="Arial"/>
                <w:sz w:val="22"/>
                <w:szCs w:val="22"/>
              </w:rPr>
              <w:t>The operating cash flow of t</w:t>
            </w:r>
            <w:r w:rsidRPr="00835B95">
              <w:rPr>
                <w:rFonts w:ascii="Arial" w:hAnsi="Arial" w:cs="Arial"/>
                <w:sz w:val="22"/>
                <w:szCs w:val="22"/>
              </w:rPr>
              <w:t>he Group</w:t>
            </w:r>
            <w:r>
              <w:rPr>
                <w:rFonts w:ascii="Arial" w:hAnsi="Arial" w:cs="Arial"/>
                <w:sz w:val="22"/>
                <w:szCs w:val="22"/>
              </w:rPr>
              <w:t xml:space="preserve"> and wind farm SPVs</w:t>
            </w:r>
            <w:r w:rsidRPr="00835B95">
              <w:rPr>
                <w:rFonts w:ascii="Arial" w:hAnsi="Arial" w:cs="Arial"/>
                <w:sz w:val="22"/>
                <w:szCs w:val="22"/>
              </w:rPr>
              <w:t>.</w:t>
            </w:r>
          </w:p>
        </w:tc>
      </w:tr>
      <w:tr w:rsidR="0021298F" w:rsidRPr="00D929C9" w14:paraId="32F8FEA5" w14:textId="77777777" w:rsidTr="00760009">
        <w:trPr>
          <w:trHeight w:val="825"/>
        </w:trPr>
        <w:tc>
          <w:tcPr>
            <w:tcW w:w="3560" w:type="dxa"/>
          </w:tcPr>
          <w:p w14:paraId="3C90DED5" w14:textId="77777777" w:rsidR="0021298F" w:rsidRPr="00D929C9" w:rsidRDefault="0021298F" w:rsidP="00760009">
            <w:pPr>
              <w:rPr>
                <w:rFonts w:ascii="Arial" w:hAnsi="Arial" w:cs="Arial"/>
                <w:sz w:val="22"/>
                <w:szCs w:val="22"/>
              </w:rPr>
            </w:pPr>
            <w:r>
              <w:rPr>
                <w:rFonts w:ascii="Arial" w:hAnsi="Arial" w:cs="Arial"/>
                <w:sz w:val="22"/>
                <w:szCs w:val="22"/>
              </w:rPr>
              <w:t>Premium to NAV</w:t>
            </w:r>
          </w:p>
          <w:p w14:paraId="1CC16F44" w14:textId="77777777" w:rsidR="0021298F" w:rsidRPr="00D929C9" w:rsidRDefault="0021298F" w:rsidP="00760009">
            <w:pPr>
              <w:rPr>
                <w:rFonts w:ascii="Arial" w:hAnsi="Arial" w:cs="Arial"/>
              </w:rPr>
            </w:pPr>
          </w:p>
        </w:tc>
        <w:tc>
          <w:tcPr>
            <w:tcW w:w="5895" w:type="dxa"/>
          </w:tcPr>
          <w:p w14:paraId="43D64E08" w14:textId="77777777" w:rsidR="0021298F" w:rsidRPr="00D929C9" w:rsidRDefault="0021298F" w:rsidP="00760009">
            <w:pPr>
              <w:jc w:val="both"/>
              <w:rPr>
                <w:rFonts w:ascii="Arial" w:hAnsi="Arial" w:cs="Arial"/>
                <w:sz w:val="22"/>
                <w:szCs w:val="22"/>
              </w:rPr>
            </w:pPr>
            <w:r w:rsidRPr="00835B95">
              <w:rPr>
                <w:rFonts w:ascii="Arial" w:hAnsi="Arial" w:cs="Arial"/>
                <w:sz w:val="22"/>
                <w:szCs w:val="22"/>
              </w:rPr>
              <w:t xml:space="preserve">The percentage difference between the </w:t>
            </w:r>
            <w:r>
              <w:rPr>
                <w:rFonts w:ascii="Arial" w:hAnsi="Arial" w:cs="Arial"/>
                <w:sz w:val="22"/>
                <w:szCs w:val="22"/>
              </w:rPr>
              <w:t xml:space="preserve">published </w:t>
            </w:r>
            <w:r w:rsidRPr="00835B95">
              <w:rPr>
                <w:rFonts w:ascii="Arial" w:hAnsi="Arial" w:cs="Arial"/>
                <w:sz w:val="22"/>
                <w:szCs w:val="22"/>
              </w:rPr>
              <w:t xml:space="preserve">NAV per </w:t>
            </w:r>
            <w:r>
              <w:rPr>
                <w:rFonts w:ascii="Arial" w:hAnsi="Arial" w:cs="Arial"/>
                <w:sz w:val="22"/>
                <w:szCs w:val="22"/>
              </w:rPr>
              <w:t xml:space="preserve">ordinary </w:t>
            </w:r>
            <w:r w:rsidRPr="00835B95">
              <w:rPr>
                <w:rFonts w:ascii="Arial" w:hAnsi="Arial" w:cs="Arial"/>
                <w:sz w:val="22"/>
                <w:szCs w:val="22"/>
              </w:rPr>
              <w:t xml:space="preserve">share and the quoted price of each ordinary share as at the relevant reporting date. </w:t>
            </w:r>
            <w:r w:rsidRPr="00D929C9">
              <w:rPr>
                <w:rFonts w:ascii="Arial" w:hAnsi="Arial" w:cs="Arial"/>
                <w:sz w:val="22"/>
                <w:szCs w:val="22"/>
              </w:rPr>
              <w:t xml:space="preserve">  </w:t>
            </w:r>
          </w:p>
          <w:p w14:paraId="0F7C69F1" w14:textId="77777777" w:rsidR="0021298F" w:rsidRPr="00026441" w:rsidRDefault="0021298F" w:rsidP="00760009">
            <w:pPr>
              <w:jc w:val="both"/>
              <w:rPr>
                <w:rFonts w:ascii="Arial" w:hAnsi="Arial" w:cs="Arial"/>
                <w:sz w:val="22"/>
                <w:szCs w:val="22"/>
              </w:rPr>
            </w:pPr>
          </w:p>
        </w:tc>
      </w:tr>
      <w:tr w:rsidR="0021298F" w:rsidRPr="00D929C9" w14:paraId="6836EBE0" w14:textId="77777777" w:rsidTr="00760009">
        <w:trPr>
          <w:trHeight w:val="704"/>
        </w:trPr>
        <w:tc>
          <w:tcPr>
            <w:tcW w:w="3560" w:type="dxa"/>
          </w:tcPr>
          <w:p w14:paraId="154DCD58" w14:textId="77777777" w:rsidR="0021298F" w:rsidRPr="00DD4DF4" w:rsidRDefault="0021298F" w:rsidP="00760009">
            <w:pPr>
              <w:rPr>
                <w:rFonts w:ascii="Arial" w:hAnsi="Arial" w:cs="Arial"/>
              </w:rPr>
            </w:pPr>
            <w:r w:rsidRPr="00DD4DF4">
              <w:rPr>
                <w:rFonts w:ascii="Arial" w:hAnsi="Arial" w:cs="Arial"/>
                <w:sz w:val="22"/>
                <w:szCs w:val="22"/>
              </w:rPr>
              <w:t>Total return (NAV)</w:t>
            </w:r>
          </w:p>
        </w:tc>
        <w:tc>
          <w:tcPr>
            <w:tcW w:w="5895" w:type="dxa"/>
          </w:tcPr>
          <w:p w14:paraId="64CB74CB" w14:textId="77777777" w:rsidR="0021298F" w:rsidRPr="00835B95" w:rsidRDefault="0021298F" w:rsidP="00760009">
            <w:pPr>
              <w:jc w:val="both"/>
              <w:rPr>
                <w:rFonts w:ascii="Arial" w:hAnsi="Arial" w:cs="Arial"/>
                <w:sz w:val="22"/>
                <w:szCs w:val="22"/>
              </w:rPr>
            </w:pPr>
            <w:r>
              <w:rPr>
                <w:rFonts w:ascii="Arial" w:hAnsi="Arial" w:cs="Arial"/>
                <w:sz w:val="22"/>
                <w:szCs w:val="22"/>
              </w:rPr>
              <w:t>The m</w:t>
            </w:r>
            <w:r w:rsidRPr="00835B95">
              <w:rPr>
                <w:rFonts w:ascii="Arial" w:hAnsi="Arial" w:cs="Arial"/>
                <w:sz w:val="22"/>
                <w:szCs w:val="22"/>
              </w:rPr>
              <w:t xml:space="preserve">ovement in </w:t>
            </w:r>
            <w:r>
              <w:rPr>
                <w:rFonts w:ascii="Arial" w:hAnsi="Arial" w:cs="Arial"/>
                <w:sz w:val="22"/>
                <w:szCs w:val="22"/>
              </w:rPr>
              <w:t>the ex-dividend NAV</w:t>
            </w:r>
            <w:r w:rsidRPr="00835B95">
              <w:rPr>
                <w:rFonts w:ascii="Arial" w:hAnsi="Arial" w:cs="Arial"/>
                <w:sz w:val="22"/>
                <w:szCs w:val="22"/>
              </w:rPr>
              <w:t xml:space="preserve"> per ordinary share, plus dividend</w:t>
            </w:r>
            <w:r>
              <w:rPr>
                <w:rFonts w:ascii="Arial" w:hAnsi="Arial" w:cs="Arial"/>
                <w:sz w:val="22"/>
                <w:szCs w:val="22"/>
              </w:rPr>
              <w:t xml:space="preserve"> per ordinary share</w:t>
            </w:r>
            <w:r w:rsidRPr="00835B95">
              <w:rPr>
                <w:rFonts w:ascii="Arial" w:hAnsi="Arial" w:cs="Arial"/>
                <w:sz w:val="22"/>
                <w:szCs w:val="22"/>
              </w:rPr>
              <w:t xml:space="preserve"> </w:t>
            </w:r>
            <w:r>
              <w:rPr>
                <w:rFonts w:ascii="Arial" w:hAnsi="Arial" w:cs="Arial"/>
                <w:sz w:val="22"/>
                <w:szCs w:val="22"/>
              </w:rPr>
              <w:t xml:space="preserve">declared or </w:t>
            </w:r>
            <w:r w:rsidRPr="00835B95">
              <w:rPr>
                <w:rFonts w:ascii="Arial" w:hAnsi="Arial" w:cs="Arial"/>
                <w:sz w:val="22"/>
                <w:szCs w:val="22"/>
              </w:rPr>
              <w:t xml:space="preserve">paid to shareholders </w:t>
            </w:r>
            <w:r>
              <w:rPr>
                <w:rFonts w:ascii="Arial" w:hAnsi="Arial" w:cs="Arial"/>
                <w:sz w:val="22"/>
                <w:szCs w:val="22"/>
              </w:rPr>
              <w:t>with respect to</w:t>
            </w:r>
            <w:r w:rsidRPr="00835B95">
              <w:rPr>
                <w:rFonts w:ascii="Arial" w:hAnsi="Arial" w:cs="Arial"/>
                <w:sz w:val="22"/>
                <w:szCs w:val="22"/>
              </w:rPr>
              <w:t xml:space="preserve"> the year. </w:t>
            </w:r>
          </w:p>
          <w:p w14:paraId="6C4C890D" w14:textId="77777777" w:rsidR="0021298F" w:rsidRDefault="0021298F" w:rsidP="00760009">
            <w:pPr>
              <w:jc w:val="both"/>
              <w:rPr>
                <w:rFonts w:ascii="Arial" w:hAnsi="Arial" w:cs="Arial"/>
              </w:rPr>
            </w:pPr>
          </w:p>
          <w:p w14:paraId="4F32BAD9" w14:textId="77777777" w:rsidR="0021298F" w:rsidRPr="00D929C9" w:rsidRDefault="0021298F" w:rsidP="00760009">
            <w:pPr>
              <w:jc w:val="both"/>
              <w:rPr>
                <w:rFonts w:ascii="Arial" w:hAnsi="Arial" w:cs="Arial"/>
              </w:rPr>
            </w:pPr>
          </w:p>
        </w:tc>
      </w:tr>
      <w:tr w:rsidR="0021298F" w:rsidRPr="00D929C9" w14:paraId="65F641FB" w14:textId="77777777" w:rsidTr="00760009">
        <w:trPr>
          <w:trHeight w:val="1050"/>
        </w:trPr>
        <w:tc>
          <w:tcPr>
            <w:tcW w:w="3560" w:type="dxa"/>
          </w:tcPr>
          <w:p w14:paraId="1E03D06F" w14:textId="77777777" w:rsidR="0021298F" w:rsidRPr="00D929C9" w:rsidRDefault="0021298F" w:rsidP="00760009">
            <w:pPr>
              <w:rPr>
                <w:rFonts w:ascii="Arial" w:hAnsi="Arial" w:cs="Arial"/>
                <w:sz w:val="22"/>
                <w:szCs w:val="22"/>
              </w:rPr>
            </w:pPr>
            <w:r w:rsidRPr="00D929C9">
              <w:rPr>
                <w:rFonts w:ascii="Arial" w:hAnsi="Arial" w:cs="Arial"/>
                <w:sz w:val="22"/>
                <w:szCs w:val="22"/>
              </w:rPr>
              <w:t xml:space="preserve">Total </w:t>
            </w:r>
            <w:r>
              <w:rPr>
                <w:rFonts w:ascii="Arial" w:hAnsi="Arial" w:cs="Arial"/>
                <w:sz w:val="22"/>
                <w:szCs w:val="22"/>
              </w:rPr>
              <w:t xml:space="preserve">Shareholder </w:t>
            </w:r>
            <w:r w:rsidRPr="00D929C9">
              <w:rPr>
                <w:rFonts w:ascii="Arial" w:hAnsi="Arial" w:cs="Arial"/>
                <w:sz w:val="22"/>
                <w:szCs w:val="22"/>
              </w:rPr>
              <w:t xml:space="preserve">Return </w:t>
            </w:r>
          </w:p>
        </w:tc>
        <w:tc>
          <w:tcPr>
            <w:tcW w:w="5895" w:type="dxa"/>
          </w:tcPr>
          <w:p w14:paraId="136006EC" w14:textId="77777777" w:rsidR="0021298F" w:rsidRPr="00D929C9" w:rsidRDefault="0021298F" w:rsidP="00760009">
            <w:pPr>
              <w:jc w:val="both"/>
              <w:rPr>
                <w:rFonts w:ascii="Arial" w:hAnsi="Arial" w:cs="Arial"/>
                <w:sz w:val="22"/>
                <w:szCs w:val="22"/>
              </w:rPr>
            </w:pPr>
            <w:r>
              <w:rPr>
                <w:rFonts w:ascii="Arial" w:hAnsi="Arial" w:cs="Arial"/>
                <w:sz w:val="22"/>
                <w:szCs w:val="22"/>
              </w:rPr>
              <w:t>The movement in s</w:t>
            </w:r>
            <w:r w:rsidRPr="00835B95">
              <w:rPr>
                <w:rFonts w:ascii="Arial" w:hAnsi="Arial" w:cs="Arial"/>
                <w:sz w:val="22"/>
                <w:szCs w:val="22"/>
              </w:rPr>
              <w:t>hare price, combined with dividends paid during the year, on the assumption that these dividends have been reinvested.</w:t>
            </w:r>
          </w:p>
        </w:tc>
      </w:tr>
    </w:tbl>
    <w:p w14:paraId="334E2781" w14:textId="77777777" w:rsidR="0021298F" w:rsidRDefault="0021298F" w:rsidP="0021298F">
      <w:pPr>
        <w:rPr>
          <w:rFonts w:ascii="Arial" w:hAnsi="Arial" w:cs="Arial"/>
          <w:b/>
          <w:sz w:val="26"/>
        </w:rPr>
      </w:pPr>
    </w:p>
    <w:p w14:paraId="584E5A3A" w14:textId="77777777" w:rsidR="0021298F" w:rsidRDefault="0021298F" w:rsidP="0021298F">
      <w:pPr>
        <w:jc w:val="both"/>
        <w:rPr>
          <w:rFonts w:ascii="Arial" w:hAnsi="Arial" w:cs="Arial"/>
        </w:rPr>
      </w:pPr>
      <w:r w:rsidRPr="00992D4D">
        <w:rPr>
          <w:rFonts w:ascii="Arial" w:hAnsi="Arial" w:cs="Arial"/>
          <w:b/>
          <w:sz w:val="26"/>
        </w:rPr>
        <w:lastRenderedPageBreak/>
        <w:t>Forward Looking Statements and other Important Information</w:t>
      </w:r>
    </w:p>
    <w:p w14:paraId="50E83F28" w14:textId="77777777" w:rsidR="0021298F" w:rsidRPr="005537F5" w:rsidRDefault="0021298F" w:rsidP="0021298F">
      <w:pPr>
        <w:jc w:val="both"/>
        <w:rPr>
          <w:rFonts w:ascii="Arial" w:hAnsi="Arial" w:cs="Arial"/>
        </w:rPr>
      </w:pPr>
      <w:r w:rsidRPr="005537F5">
        <w:rPr>
          <w:rFonts w:ascii="Arial" w:hAnsi="Arial" w:cs="Arial"/>
        </w:rPr>
        <w:t>This document may include statements that are, or may be deemed to be, “for</w:t>
      </w:r>
      <w:r>
        <w:rPr>
          <w:rFonts w:ascii="Arial" w:hAnsi="Arial" w:cs="Arial"/>
        </w:rPr>
        <w:t xml:space="preserve">ward-looking statements”. These </w:t>
      </w:r>
      <w:r w:rsidRPr="005537F5">
        <w:rPr>
          <w:rFonts w:ascii="Arial" w:hAnsi="Arial" w:cs="Arial"/>
        </w:rPr>
        <w:t xml:space="preserve">forward-looking statements can be identified by the use of forward-looking terminology, </w:t>
      </w:r>
      <w:r>
        <w:rPr>
          <w:rFonts w:ascii="Arial" w:hAnsi="Arial" w:cs="Arial"/>
        </w:rPr>
        <w:t xml:space="preserve">including the terms “believes”, </w:t>
      </w:r>
      <w:r w:rsidRPr="005537F5">
        <w:rPr>
          <w:rFonts w:ascii="Arial" w:hAnsi="Arial" w:cs="Arial"/>
        </w:rPr>
        <w:t>“estimates”, “anticipates”, “expects”, “intends”, “may”, “plans”, “projects”, “will”, “e</w:t>
      </w:r>
      <w:r>
        <w:rPr>
          <w:rFonts w:ascii="Arial" w:hAnsi="Arial" w:cs="Arial"/>
        </w:rPr>
        <w:t xml:space="preserve">xplore” or “should” or, in each </w:t>
      </w:r>
      <w:r w:rsidRPr="005537F5">
        <w:rPr>
          <w:rFonts w:ascii="Arial" w:hAnsi="Arial" w:cs="Arial"/>
        </w:rPr>
        <w:t>case, their negative or other variations or comparable terminology or by discussions of stra</w:t>
      </w:r>
      <w:r>
        <w:rPr>
          <w:rFonts w:ascii="Arial" w:hAnsi="Arial" w:cs="Arial"/>
        </w:rPr>
        <w:t xml:space="preserve">tegy, plans, objectives, goals, </w:t>
      </w:r>
      <w:r w:rsidRPr="005537F5">
        <w:rPr>
          <w:rFonts w:ascii="Arial" w:hAnsi="Arial" w:cs="Arial"/>
        </w:rPr>
        <w:t>future events or intentions.</w:t>
      </w:r>
    </w:p>
    <w:p w14:paraId="78CBC46F" w14:textId="77777777" w:rsidR="0021298F" w:rsidRDefault="0021298F" w:rsidP="0021298F">
      <w:pPr>
        <w:jc w:val="both"/>
        <w:rPr>
          <w:rFonts w:ascii="Arial" w:hAnsi="Arial" w:cs="Arial"/>
        </w:rPr>
      </w:pPr>
    </w:p>
    <w:p w14:paraId="3C3BCD89" w14:textId="77777777" w:rsidR="0021298F" w:rsidRDefault="0021298F" w:rsidP="0021298F">
      <w:pPr>
        <w:jc w:val="both"/>
        <w:rPr>
          <w:rFonts w:ascii="Arial" w:hAnsi="Arial" w:cs="Arial"/>
        </w:rPr>
      </w:pPr>
      <w:r w:rsidRPr="005537F5">
        <w:rPr>
          <w:rFonts w:ascii="Arial" w:hAnsi="Arial" w:cs="Arial"/>
        </w:rPr>
        <w:t>These forward-looking statements include all matters that are not historical facts.</w:t>
      </w:r>
      <w:r>
        <w:rPr>
          <w:rFonts w:ascii="Arial" w:hAnsi="Arial" w:cs="Arial"/>
        </w:rPr>
        <w:t xml:space="preserve"> They may appear in a number of </w:t>
      </w:r>
      <w:r w:rsidRPr="005537F5">
        <w:rPr>
          <w:rFonts w:ascii="Arial" w:hAnsi="Arial" w:cs="Arial"/>
        </w:rPr>
        <w:t>places throughout this document and may include, but are not limited to, statements regar</w:t>
      </w:r>
      <w:r>
        <w:rPr>
          <w:rFonts w:ascii="Arial" w:hAnsi="Arial" w:cs="Arial"/>
        </w:rPr>
        <w:t xml:space="preserve">ding the intentions, beliefs or </w:t>
      </w:r>
      <w:r w:rsidRPr="005537F5">
        <w:rPr>
          <w:rFonts w:ascii="Arial" w:hAnsi="Arial" w:cs="Arial"/>
        </w:rPr>
        <w:t>current expectations of the Company, the Directors and/or the Investment Manager co</w:t>
      </w:r>
      <w:r>
        <w:rPr>
          <w:rFonts w:ascii="Arial" w:hAnsi="Arial" w:cs="Arial"/>
        </w:rPr>
        <w:t xml:space="preserve">ncerning, amongst other things, </w:t>
      </w:r>
      <w:r w:rsidRPr="005537F5">
        <w:rPr>
          <w:rFonts w:ascii="Arial" w:hAnsi="Arial" w:cs="Arial"/>
        </w:rPr>
        <w:t>the investment objectives and investment policy, financing strategies, investment perf</w:t>
      </w:r>
      <w:r>
        <w:rPr>
          <w:rFonts w:ascii="Arial" w:hAnsi="Arial" w:cs="Arial"/>
        </w:rPr>
        <w:t xml:space="preserve">ormance, results of operations, </w:t>
      </w:r>
      <w:r w:rsidRPr="005537F5">
        <w:rPr>
          <w:rFonts w:ascii="Arial" w:hAnsi="Arial" w:cs="Arial"/>
        </w:rPr>
        <w:t>financial condition, liquidity, prospects, and distribution policy of the Company and t</w:t>
      </w:r>
      <w:r>
        <w:rPr>
          <w:rFonts w:ascii="Arial" w:hAnsi="Arial" w:cs="Arial"/>
        </w:rPr>
        <w:t xml:space="preserve">he markets in which it invests. </w:t>
      </w:r>
    </w:p>
    <w:p w14:paraId="5D48DA4F" w14:textId="77777777" w:rsidR="0021298F" w:rsidRDefault="0021298F" w:rsidP="0021298F">
      <w:pPr>
        <w:jc w:val="both"/>
        <w:rPr>
          <w:rFonts w:ascii="Arial" w:hAnsi="Arial" w:cs="Arial"/>
        </w:rPr>
      </w:pPr>
    </w:p>
    <w:p w14:paraId="4EEBE4DC" w14:textId="77777777" w:rsidR="0021298F" w:rsidRPr="005537F5" w:rsidRDefault="0021298F" w:rsidP="0021298F">
      <w:pPr>
        <w:jc w:val="both"/>
        <w:rPr>
          <w:rFonts w:ascii="Arial" w:hAnsi="Arial" w:cs="Arial"/>
        </w:rPr>
      </w:pPr>
      <w:r w:rsidRPr="005537F5">
        <w:rPr>
          <w:rFonts w:ascii="Arial" w:hAnsi="Arial" w:cs="Arial"/>
        </w:rPr>
        <w:t>By their nature, forward-looking statements involve risks and uncertainties because t</w:t>
      </w:r>
      <w:r>
        <w:rPr>
          <w:rFonts w:ascii="Arial" w:hAnsi="Arial" w:cs="Arial"/>
        </w:rPr>
        <w:t xml:space="preserve">hey relate to future events and </w:t>
      </w:r>
      <w:r w:rsidRPr="005537F5">
        <w:rPr>
          <w:rFonts w:ascii="Arial" w:hAnsi="Arial" w:cs="Arial"/>
        </w:rPr>
        <w:t>depend on circumstances that may or may not occur in the future. Forward-looking s</w:t>
      </w:r>
      <w:r>
        <w:rPr>
          <w:rFonts w:ascii="Arial" w:hAnsi="Arial" w:cs="Arial"/>
        </w:rPr>
        <w:t xml:space="preserve">tatements are not guarantees of </w:t>
      </w:r>
      <w:r w:rsidRPr="005537F5">
        <w:rPr>
          <w:rFonts w:ascii="Arial" w:hAnsi="Arial" w:cs="Arial"/>
        </w:rPr>
        <w:t xml:space="preserve">future performance. The Company’s actual investment performance, results of operations, </w:t>
      </w:r>
      <w:r>
        <w:rPr>
          <w:rFonts w:ascii="Arial" w:hAnsi="Arial" w:cs="Arial"/>
        </w:rPr>
        <w:t xml:space="preserve">financial condition, liquidity, </w:t>
      </w:r>
      <w:r w:rsidRPr="005537F5">
        <w:rPr>
          <w:rFonts w:ascii="Arial" w:hAnsi="Arial" w:cs="Arial"/>
        </w:rPr>
        <w:t xml:space="preserve">distribution policy and the development of its financing strategies may differ materially </w:t>
      </w:r>
      <w:r>
        <w:rPr>
          <w:rFonts w:ascii="Arial" w:hAnsi="Arial" w:cs="Arial"/>
        </w:rPr>
        <w:t xml:space="preserve">from the impression created by, </w:t>
      </w:r>
      <w:r w:rsidRPr="005537F5">
        <w:rPr>
          <w:rFonts w:ascii="Arial" w:hAnsi="Arial" w:cs="Arial"/>
        </w:rPr>
        <w:t>or described in or suggested by, the forward-looking statements contained in this document.</w:t>
      </w:r>
    </w:p>
    <w:p w14:paraId="4AB7B5CC" w14:textId="77777777" w:rsidR="0021298F" w:rsidRDefault="0021298F" w:rsidP="0021298F">
      <w:pPr>
        <w:jc w:val="both"/>
        <w:rPr>
          <w:rFonts w:ascii="Arial" w:hAnsi="Arial" w:cs="Arial"/>
        </w:rPr>
      </w:pPr>
    </w:p>
    <w:p w14:paraId="04C61FD7" w14:textId="77777777" w:rsidR="0021298F" w:rsidRDefault="0021298F" w:rsidP="0021298F">
      <w:pPr>
        <w:jc w:val="both"/>
        <w:rPr>
          <w:rFonts w:ascii="Arial" w:hAnsi="Arial" w:cs="Arial"/>
        </w:rPr>
      </w:pPr>
      <w:r w:rsidRPr="005537F5">
        <w:rPr>
          <w:rFonts w:ascii="Arial" w:hAnsi="Arial" w:cs="Arial"/>
        </w:rPr>
        <w:t>In addition, even if actual investment performance, results of operations, financial condition,</w:t>
      </w:r>
      <w:r>
        <w:rPr>
          <w:rFonts w:ascii="Arial" w:hAnsi="Arial" w:cs="Arial"/>
        </w:rPr>
        <w:t xml:space="preserve"> liquidity, distribution policy </w:t>
      </w:r>
      <w:r w:rsidRPr="005537F5">
        <w:rPr>
          <w:rFonts w:ascii="Arial" w:hAnsi="Arial" w:cs="Arial"/>
        </w:rPr>
        <w:t>and the development of its financing strategies, are consistent with any forward looki</w:t>
      </w:r>
      <w:r>
        <w:rPr>
          <w:rFonts w:ascii="Arial" w:hAnsi="Arial" w:cs="Arial"/>
        </w:rPr>
        <w:t xml:space="preserve">ng statements contained in this </w:t>
      </w:r>
      <w:r w:rsidRPr="005537F5">
        <w:rPr>
          <w:rFonts w:ascii="Arial" w:hAnsi="Arial" w:cs="Arial"/>
        </w:rPr>
        <w:t>document, those results or developments may not be indicative of results or developments in subsequent periods. A</w:t>
      </w:r>
      <w:r>
        <w:rPr>
          <w:rFonts w:ascii="Arial" w:hAnsi="Arial" w:cs="Arial"/>
        </w:rPr>
        <w:t xml:space="preserve"> </w:t>
      </w:r>
      <w:r w:rsidRPr="005537F5">
        <w:rPr>
          <w:rFonts w:ascii="Arial" w:hAnsi="Arial" w:cs="Arial"/>
        </w:rPr>
        <w:t>number of factors could cause results and developments of the Company to differ mat</w:t>
      </w:r>
      <w:r>
        <w:rPr>
          <w:rFonts w:ascii="Arial" w:hAnsi="Arial" w:cs="Arial"/>
        </w:rPr>
        <w:t xml:space="preserve">erially from those expressed or </w:t>
      </w:r>
      <w:r w:rsidRPr="005537F5">
        <w:rPr>
          <w:rFonts w:ascii="Arial" w:hAnsi="Arial" w:cs="Arial"/>
        </w:rPr>
        <w:t>implied by the forward looking statements including, without limitation, general ec</w:t>
      </w:r>
      <w:r>
        <w:rPr>
          <w:rFonts w:ascii="Arial" w:hAnsi="Arial" w:cs="Arial"/>
        </w:rPr>
        <w:t xml:space="preserve">onomic and business conditions, </w:t>
      </w:r>
      <w:r w:rsidRPr="005537F5">
        <w:rPr>
          <w:rFonts w:ascii="Arial" w:hAnsi="Arial" w:cs="Arial"/>
        </w:rPr>
        <w:t>global renewable energy market conditions, industry trends, competition, changes i</w:t>
      </w:r>
      <w:r>
        <w:rPr>
          <w:rFonts w:ascii="Arial" w:hAnsi="Arial" w:cs="Arial"/>
        </w:rPr>
        <w:t xml:space="preserve">n law or regulation, changes in </w:t>
      </w:r>
      <w:r w:rsidRPr="005537F5">
        <w:rPr>
          <w:rFonts w:ascii="Arial" w:hAnsi="Arial" w:cs="Arial"/>
        </w:rPr>
        <w:t>taxation regimes, the availability and cost of capital, currency fluctuations, changes in its b</w:t>
      </w:r>
      <w:r>
        <w:rPr>
          <w:rFonts w:ascii="Arial" w:hAnsi="Arial" w:cs="Arial"/>
        </w:rPr>
        <w:t xml:space="preserve">usiness strategy, political and </w:t>
      </w:r>
      <w:r w:rsidRPr="005537F5">
        <w:rPr>
          <w:rFonts w:ascii="Arial" w:hAnsi="Arial" w:cs="Arial"/>
        </w:rPr>
        <w:t>economic uncertainty. Any forward-looking statements herein speak only at the date of this document.</w:t>
      </w:r>
    </w:p>
    <w:p w14:paraId="3FC02E95" w14:textId="77777777" w:rsidR="0021298F" w:rsidRPr="005537F5" w:rsidRDefault="0021298F" w:rsidP="0021298F">
      <w:pPr>
        <w:jc w:val="both"/>
        <w:rPr>
          <w:rFonts w:ascii="Arial" w:hAnsi="Arial" w:cs="Arial"/>
        </w:rPr>
      </w:pPr>
    </w:p>
    <w:p w14:paraId="4AC7DBCD" w14:textId="77777777" w:rsidR="0021298F" w:rsidRDefault="0021298F" w:rsidP="0021298F">
      <w:pPr>
        <w:jc w:val="both"/>
        <w:rPr>
          <w:rFonts w:ascii="Arial" w:hAnsi="Arial" w:cs="Arial"/>
        </w:rPr>
      </w:pPr>
      <w:r w:rsidRPr="005537F5">
        <w:rPr>
          <w:rFonts w:ascii="Arial" w:hAnsi="Arial" w:cs="Arial"/>
        </w:rPr>
        <w:t>As a result, you are cautioned not to place any reliance on any such forward-looking sta</w:t>
      </w:r>
      <w:r>
        <w:rPr>
          <w:rFonts w:ascii="Arial" w:hAnsi="Arial" w:cs="Arial"/>
        </w:rPr>
        <w:t xml:space="preserve">tements and neither the Company </w:t>
      </w:r>
      <w:r w:rsidRPr="005537F5">
        <w:rPr>
          <w:rFonts w:ascii="Arial" w:hAnsi="Arial" w:cs="Arial"/>
        </w:rPr>
        <w:t>nor any other person accepts responsibility for the accuracy of such statements.</w:t>
      </w:r>
    </w:p>
    <w:p w14:paraId="704820DC" w14:textId="77777777" w:rsidR="0021298F" w:rsidRPr="005537F5" w:rsidRDefault="0021298F" w:rsidP="0021298F">
      <w:pPr>
        <w:jc w:val="both"/>
        <w:rPr>
          <w:rFonts w:ascii="Arial" w:hAnsi="Arial" w:cs="Arial"/>
        </w:rPr>
      </w:pPr>
    </w:p>
    <w:p w14:paraId="1A218C83" w14:textId="77777777" w:rsidR="0021298F" w:rsidRDefault="0021298F" w:rsidP="0021298F">
      <w:pPr>
        <w:jc w:val="both"/>
        <w:rPr>
          <w:rFonts w:ascii="Arial" w:hAnsi="Arial" w:cs="Arial"/>
        </w:rPr>
      </w:pPr>
      <w:r w:rsidRPr="005537F5">
        <w:rPr>
          <w:rFonts w:ascii="Arial" w:hAnsi="Arial" w:cs="Arial"/>
        </w:rPr>
        <w:t>Subject to their legal and regulatory obligations, the Company, the Directors and t</w:t>
      </w:r>
      <w:r>
        <w:rPr>
          <w:rFonts w:ascii="Arial" w:hAnsi="Arial" w:cs="Arial"/>
        </w:rPr>
        <w:t xml:space="preserve">he Investment Manager expressly </w:t>
      </w:r>
      <w:r w:rsidRPr="005537F5">
        <w:rPr>
          <w:rFonts w:ascii="Arial" w:hAnsi="Arial" w:cs="Arial"/>
        </w:rPr>
        <w:t xml:space="preserve">disclaim any obligations to update or revise any forward- looking statement contained </w:t>
      </w:r>
      <w:r>
        <w:rPr>
          <w:rFonts w:ascii="Arial" w:hAnsi="Arial" w:cs="Arial"/>
        </w:rPr>
        <w:t xml:space="preserve">herein to reflect any change in </w:t>
      </w:r>
      <w:r w:rsidRPr="005537F5">
        <w:rPr>
          <w:rFonts w:ascii="Arial" w:hAnsi="Arial" w:cs="Arial"/>
        </w:rPr>
        <w:t>expectations with regard thereto or any change in events, conditions or circumstances on which any statement is based.</w:t>
      </w:r>
    </w:p>
    <w:p w14:paraId="14184958" w14:textId="77777777" w:rsidR="0021298F" w:rsidRPr="00992D4D" w:rsidRDefault="0021298F" w:rsidP="0021298F">
      <w:pPr>
        <w:jc w:val="both"/>
        <w:rPr>
          <w:rFonts w:ascii="Arial" w:hAnsi="Arial" w:cs="Arial"/>
          <w:b/>
          <w:sz w:val="20"/>
        </w:rPr>
      </w:pPr>
    </w:p>
    <w:p w14:paraId="02C280F3" w14:textId="77777777" w:rsidR="0021298F" w:rsidRPr="00042D2E" w:rsidRDefault="0021298F" w:rsidP="0021298F">
      <w:pPr>
        <w:jc w:val="both"/>
        <w:rPr>
          <w:rFonts w:ascii="Arial" w:hAnsi="Arial" w:cs="Arial"/>
        </w:rPr>
      </w:pPr>
      <w:r w:rsidRPr="005537F5">
        <w:rPr>
          <w:rFonts w:ascii="Arial" w:hAnsi="Arial" w:cs="Arial"/>
        </w:rPr>
        <w:t>In addition, this document may include target figures for future financial periods. Any such figures are targets only and are</w:t>
      </w:r>
      <w:r>
        <w:rPr>
          <w:rFonts w:ascii="Arial" w:hAnsi="Arial" w:cs="Arial"/>
        </w:rPr>
        <w:t xml:space="preserve"> </w:t>
      </w:r>
      <w:r w:rsidRPr="005537F5">
        <w:rPr>
          <w:rFonts w:ascii="Arial" w:hAnsi="Arial" w:cs="Arial"/>
        </w:rPr>
        <w:t>not forecasts. Nothing in this document should be construed as a profit forecast or a profit estimate.</w:t>
      </w:r>
    </w:p>
    <w:p w14:paraId="7AD9A4CB" w14:textId="77777777" w:rsidR="0021298F" w:rsidRDefault="0021298F" w:rsidP="0021298F"/>
    <w:p w14:paraId="4E30174E" w14:textId="77777777" w:rsidR="0021298F" w:rsidRPr="0021298F" w:rsidRDefault="0021298F" w:rsidP="0021298F">
      <w:pPr>
        <w:jc w:val="both"/>
        <w:rPr>
          <w:rFonts w:cstheme="minorHAnsi"/>
          <w:sz w:val="22"/>
          <w:szCs w:val="22"/>
        </w:rPr>
      </w:pPr>
    </w:p>
    <w:p w14:paraId="243BBE8D" w14:textId="77777777" w:rsidR="00FD013E" w:rsidRDefault="00FD013E" w:rsidP="0021298F">
      <w:pPr>
        <w:pStyle w:val="ListParagraph"/>
        <w:numPr>
          <w:ilvl w:val="0"/>
          <w:numId w:val="15"/>
        </w:numPr>
        <w:jc w:val="both"/>
        <w:rPr>
          <w:rFonts w:cs="Arial"/>
        </w:rPr>
      </w:pPr>
    </w:p>
    <w:p w14:paraId="0EB73B06" w14:textId="77777777" w:rsidR="00FB4134" w:rsidRPr="00672D87" w:rsidRDefault="00FB4134" w:rsidP="00FB4134">
      <w:pPr>
        <w:rPr>
          <w:rFonts w:cstheme="minorHAnsi"/>
          <w:sz w:val="22"/>
          <w:szCs w:val="22"/>
        </w:rPr>
      </w:pPr>
    </w:p>
    <w:p w14:paraId="2660207C" w14:textId="77777777" w:rsidR="00FB4134" w:rsidRPr="00672D87" w:rsidRDefault="00FB4134" w:rsidP="00FB4134">
      <w:pPr>
        <w:rPr>
          <w:rFonts w:cstheme="minorHAnsi"/>
          <w:sz w:val="22"/>
          <w:szCs w:val="22"/>
        </w:rPr>
      </w:pPr>
    </w:p>
    <w:sectPr w:rsidR="00FB4134" w:rsidRPr="00672D87" w:rsidSect="00FD013E">
      <w:headerReference w:type="default" r:id="rId23"/>
      <w:pgSz w:w="11906" w:h="16838" w:code="9"/>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61EA14E" w14:textId="77777777" w:rsidR="00C41A2B" w:rsidRDefault="00C41A2B" w:rsidP="00C444C4">
      <w:r>
        <w:separator/>
      </w:r>
    </w:p>
  </w:endnote>
  <w:endnote w:type="continuationSeparator" w:id="0">
    <w:p w14:paraId="06C6DCF2" w14:textId="77777777" w:rsidR="00C41A2B" w:rsidRDefault="00C41A2B" w:rsidP="00C444C4">
      <w:r>
        <w:continuationSeparator/>
      </w:r>
    </w:p>
  </w:endnote>
  <w:endnote w:type="continuationNotice" w:id="1">
    <w:p w14:paraId="0990E8D0" w14:textId="77777777" w:rsidR="00C41A2B" w:rsidRDefault="00C41A2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DengXian Light">
    <w:altName w:val="等线 Light"/>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yriad Pro Light">
    <w:panose1 w:val="00000000000000000000"/>
    <w:charset w:val="00"/>
    <w:family w:val="swiss"/>
    <w:notTrueType/>
    <w:pitch w:val="variable"/>
    <w:sig w:usb0="20000287" w:usb1="00000001" w:usb2="00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Avenir LT Std 35 Light">
    <w:altName w:val="Avenir LT Std 35 Light"/>
    <w:panose1 w:val="00000000000000000000"/>
    <w:charset w:val="00"/>
    <w:family w:val="swiss"/>
    <w:notTrueType/>
    <w:pitch w:val="default"/>
    <w:sig w:usb0="00000003" w:usb1="00000000" w:usb2="00000000" w:usb3="00000000" w:csb0="00000001" w:csb1="00000000"/>
  </w:font>
  <w:font w:name="Gill Sans MT">
    <w:charset w:val="00"/>
    <w:family w:val="swiss"/>
    <w:pitch w:val="variable"/>
    <w:sig w:usb0="00000003" w:usb1="00000000" w:usb2="00000000" w:usb3="00000000" w:csb0="00000003" w:csb1="00000000"/>
  </w:font>
  <w:font w:name="Arial Bold">
    <w:panose1 w:val="00000000000000000000"/>
    <w:charset w:val="00"/>
    <w:family w:val="roman"/>
    <w:notTrueType/>
    <w:pitch w:val="default"/>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B30DEC8" w14:textId="77777777" w:rsidR="00C41A2B" w:rsidRDefault="00C41A2B" w:rsidP="00C444C4">
      <w:r>
        <w:separator/>
      </w:r>
    </w:p>
  </w:footnote>
  <w:footnote w:type="continuationSeparator" w:id="0">
    <w:p w14:paraId="4C7EA99F" w14:textId="77777777" w:rsidR="00C41A2B" w:rsidRDefault="00C41A2B" w:rsidP="00C444C4">
      <w:r>
        <w:continuationSeparator/>
      </w:r>
    </w:p>
  </w:footnote>
  <w:footnote w:type="continuationNotice" w:id="1">
    <w:p w14:paraId="11F4F447" w14:textId="77777777" w:rsidR="00C41A2B" w:rsidRDefault="00C41A2B"/>
  </w:footnote>
  <w:footnote w:id="2">
    <w:p w14:paraId="010DA59B" w14:textId="07C3A008" w:rsidR="00E2527A" w:rsidRPr="00CB6761" w:rsidRDefault="00E2527A">
      <w:pPr>
        <w:pStyle w:val="FootnoteText"/>
        <w:rPr>
          <w:sz w:val="16"/>
          <w:szCs w:val="16"/>
        </w:rPr>
      </w:pPr>
      <w:r w:rsidRPr="00CB6761">
        <w:rPr>
          <w:rStyle w:val="FootnoteReference"/>
          <w:sz w:val="16"/>
          <w:szCs w:val="16"/>
        </w:rPr>
        <w:footnoteRef/>
      </w:r>
      <w:r w:rsidRPr="00CB6761">
        <w:rPr>
          <w:sz w:val="16"/>
          <w:szCs w:val="16"/>
        </w:rPr>
        <w:t xml:space="preserve"> Gross of SPV level debt repayment</w:t>
      </w:r>
    </w:p>
  </w:footnote>
  <w:footnote w:id="3">
    <w:p w14:paraId="61784587" w14:textId="2F0FF9CF" w:rsidR="00E2527A" w:rsidRDefault="00E2527A">
      <w:pPr>
        <w:pStyle w:val="FootnoteText"/>
      </w:pPr>
      <w:r w:rsidRPr="00CB6761">
        <w:rPr>
          <w:rStyle w:val="FootnoteReference"/>
          <w:sz w:val="16"/>
          <w:szCs w:val="16"/>
        </w:rPr>
        <w:footnoteRef/>
      </w:r>
      <w:r w:rsidRPr="00CB6761">
        <w:rPr>
          <w:sz w:val="16"/>
          <w:szCs w:val="16"/>
        </w:rPr>
        <w:t xml:space="preserve"> </w:t>
      </w:r>
      <w:r w:rsidRPr="00CB6761">
        <w:rPr>
          <w:rFonts w:eastAsiaTheme="minorEastAsia" w:hAnsi="Gill Sans MT"/>
          <w:kern w:val="24"/>
          <w:sz w:val="16"/>
          <w:szCs w:val="16"/>
        </w:rPr>
        <w:t>Net cash generation and dividend cover are gross of SPV level debt repayment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73F588" w14:textId="77777777" w:rsidR="00C444C4" w:rsidRDefault="00C444C4">
    <w:pPr>
      <w:pStyle w:val="Header"/>
    </w:pPr>
    <w:r w:rsidRPr="00ED63DD">
      <w:rPr>
        <w:noProof/>
        <w:sz w:val="22"/>
        <w:szCs w:val="22"/>
        <w:lang w:eastAsia="zh-CN"/>
      </w:rPr>
      <w:drawing>
        <wp:anchor distT="0" distB="0" distL="114300" distR="114300" simplePos="0" relativeHeight="251658240" behindDoc="0" locked="0" layoutInCell="1" allowOverlap="1" wp14:anchorId="4B44E6BB" wp14:editId="2D547B7C">
          <wp:simplePos x="0" y="0"/>
          <wp:positionH relativeFrom="margin">
            <wp:align>right</wp:align>
          </wp:positionH>
          <wp:positionV relativeFrom="topMargin">
            <wp:align>bottom</wp:align>
          </wp:positionV>
          <wp:extent cx="2484755" cy="721995"/>
          <wp:effectExtent l="0" t="0" r="0" b="1905"/>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84755" cy="72199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DC3A47E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Times New Roman"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Times New Roman"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DC1CB318"/>
    <w:lvl w:ilvl="0">
      <w:start w:val="1"/>
      <w:numFmt w:val="decimal"/>
      <w:pStyle w:val="ListNumber5"/>
      <w:lvlText w:val="%1."/>
      <w:lvlJc w:val="left"/>
      <w:pPr>
        <w:tabs>
          <w:tab w:val="num" w:pos="1492"/>
        </w:tabs>
        <w:ind w:left="1492" w:hanging="360"/>
      </w:pPr>
    </w:lvl>
  </w:abstractNum>
  <w:abstractNum w:abstractNumId="2" w15:restartNumberingAfterBreak="0">
    <w:nsid w:val="FFFFFF7D"/>
    <w:multiLevelType w:val="singleLevel"/>
    <w:tmpl w:val="89888DAA"/>
    <w:lvl w:ilvl="0">
      <w:start w:val="1"/>
      <w:numFmt w:val="decimal"/>
      <w:pStyle w:val="ListNumber4"/>
      <w:lvlText w:val="%1."/>
      <w:lvlJc w:val="left"/>
      <w:pPr>
        <w:tabs>
          <w:tab w:val="num" w:pos="1209"/>
        </w:tabs>
        <w:ind w:left="1209" w:hanging="360"/>
      </w:pPr>
    </w:lvl>
  </w:abstractNum>
  <w:abstractNum w:abstractNumId="3" w15:restartNumberingAfterBreak="0">
    <w:nsid w:val="FFFFFF7E"/>
    <w:multiLevelType w:val="singleLevel"/>
    <w:tmpl w:val="0C2080F0"/>
    <w:lvl w:ilvl="0">
      <w:start w:val="1"/>
      <w:numFmt w:val="decimal"/>
      <w:pStyle w:val="ListNumber3"/>
      <w:lvlText w:val="%1."/>
      <w:lvlJc w:val="left"/>
      <w:pPr>
        <w:tabs>
          <w:tab w:val="num" w:pos="926"/>
        </w:tabs>
        <w:ind w:left="926" w:hanging="360"/>
      </w:pPr>
    </w:lvl>
  </w:abstractNum>
  <w:abstractNum w:abstractNumId="4" w15:restartNumberingAfterBreak="0">
    <w:nsid w:val="FFFFFF7F"/>
    <w:multiLevelType w:val="singleLevel"/>
    <w:tmpl w:val="E2543CCA"/>
    <w:lvl w:ilvl="0">
      <w:start w:val="1"/>
      <w:numFmt w:val="decimal"/>
      <w:pStyle w:val="ListNumber2"/>
      <w:lvlText w:val="%1."/>
      <w:lvlJc w:val="left"/>
      <w:pPr>
        <w:tabs>
          <w:tab w:val="num" w:pos="643"/>
        </w:tabs>
        <w:ind w:left="643" w:hanging="360"/>
      </w:pPr>
    </w:lvl>
  </w:abstractNum>
  <w:abstractNum w:abstractNumId="5" w15:restartNumberingAfterBreak="0">
    <w:nsid w:val="FFFFFF80"/>
    <w:multiLevelType w:val="singleLevel"/>
    <w:tmpl w:val="B4D6EC5E"/>
    <w:lvl w:ilvl="0">
      <w:start w:val="1"/>
      <w:numFmt w:val="bullet"/>
      <w:pStyle w:val="ListBullet5"/>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52D664F8"/>
    <w:lvl w:ilvl="0">
      <w:start w:val="1"/>
      <w:numFmt w:val="bullet"/>
      <w:pStyle w:val="ListBullet4"/>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EC2CEA04"/>
    <w:lvl w:ilvl="0">
      <w:start w:val="1"/>
      <w:numFmt w:val="bullet"/>
      <w:pStyle w:val="ListBullet3"/>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B07E7A64"/>
    <w:lvl w:ilvl="0">
      <w:start w:val="1"/>
      <w:numFmt w:val="bullet"/>
      <w:pStyle w:val="ListBullet2"/>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1EA4CAFE"/>
    <w:lvl w:ilvl="0">
      <w:start w:val="1"/>
      <w:numFmt w:val="decimal"/>
      <w:pStyle w:val="ListNumber"/>
      <w:lvlText w:val="%1."/>
      <w:lvlJc w:val="left"/>
      <w:pPr>
        <w:tabs>
          <w:tab w:val="num" w:pos="360"/>
        </w:tabs>
        <w:ind w:left="360" w:hanging="360"/>
      </w:pPr>
    </w:lvl>
  </w:abstractNum>
  <w:abstractNum w:abstractNumId="10" w15:restartNumberingAfterBreak="0">
    <w:nsid w:val="FFFFFF89"/>
    <w:multiLevelType w:val="singleLevel"/>
    <w:tmpl w:val="FA868CEE"/>
    <w:lvl w:ilvl="0">
      <w:start w:val="1"/>
      <w:numFmt w:val="bullet"/>
      <w:pStyle w:val="ListBullet"/>
      <w:lvlText w:val=""/>
      <w:lvlJc w:val="left"/>
      <w:pPr>
        <w:tabs>
          <w:tab w:val="num" w:pos="360"/>
        </w:tabs>
        <w:ind w:left="360" w:hanging="360"/>
      </w:pPr>
      <w:rPr>
        <w:rFonts w:ascii="Symbol" w:hAnsi="Symbol" w:hint="default"/>
      </w:rPr>
    </w:lvl>
  </w:abstractNum>
  <w:abstractNum w:abstractNumId="11" w15:restartNumberingAfterBreak="0">
    <w:nsid w:val="0A5A492D"/>
    <w:multiLevelType w:val="hybridMultilevel"/>
    <w:tmpl w:val="09904D82"/>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0DE66398"/>
    <w:multiLevelType w:val="hybridMultilevel"/>
    <w:tmpl w:val="D2B04A7E"/>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0F253E6B"/>
    <w:multiLevelType w:val="hybridMultilevel"/>
    <w:tmpl w:val="A86CBA2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0F4611F3"/>
    <w:multiLevelType w:val="hybridMultilevel"/>
    <w:tmpl w:val="FDAAEFDE"/>
    <w:lvl w:ilvl="0" w:tplc="AA74D65A">
      <w:start w:val="1"/>
      <w:numFmt w:val="bullet"/>
      <w:pStyle w:val="Bullet1"/>
      <w:lvlText w:val=""/>
      <w:lvlJc w:val="left"/>
      <w:pPr>
        <w:tabs>
          <w:tab w:val="num" w:pos="499"/>
        </w:tabs>
        <w:ind w:left="499" w:hanging="357"/>
      </w:pPr>
      <w:rPr>
        <w:rFonts w:ascii="Wingdings" w:hAnsi="Wingdings" w:cs="Times New Roman" w:hint="default"/>
        <w:color w:val="80AFB3"/>
        <w:position w:val="0"/>
        <w:sz w:val="16"/>
        <w:szCs w:val="24"/>
        <w:lang w:val="en-GB"/>
      </w:rPr>
    </w:lvl>
    <w:lvl w:ilvl="1" w:tplc="4A0ABEB6">
      <w:start w:val="1"/>
      <w:numFmt w:val="bullet"/>
      <w:lvlText w:val="o"/>
      <w:lvlJc w:val="left"/>
      <w:pPr>
        <w:tabs>
          <w:tab w:val="num" w:pos="1083"/>
        </w:tabs>
        <w:ind w:left="1083" w:hanging="360"/>
      </w:pPr>
      <w:rPr>
        <w:rFonts w:ascii="Courier New" w:hAnsi="Courier New" w:cs="Courier New" w:hint="default"/>
      </w:rPr>
    </w:lvl>
    <w:lvl w:ilvl="2" w:tplc="08090005">
      <w:start w:val="1"/>
      <w:numFmt w:val="bullet"/>
      <w:lvlText w:val=""/>
      <w:lvlJc w:val="left"/>
      <w:pPr>
        <w:tabs>
          <w:tab w:val="num" w:pos="1803"/>
        </w:tabs>
        <w:ind w:left="1803" w:hanging="360"/>
      </w:pPr>
      <w:rPr>
        <w:rFonts w:ascii="Wingdings" w:hAnsi="Wingdings" w:hint="default"/>
      </w:rPr>
    </w:lvl>
    <w:lvl w:ilvl="3" w:tplc="08090001">
      <w:start w:val="1"/>
      <w:numFmt w:val="bullet"/>
      <w:lvlText w:val=""/>
      <w:lvlJc w:val="left"/>
      <w:pPr>
        <w:tabs>
          <w:tab w:val="num" w:pos="2523"/>
        </w:tabs>
        <w:ind w:left="2523" w:hanging="360"/>
      </w:pPr>
      <w:rPr>
        <w:rFonts w:ascii="Symbol" w:hAnsi="Symbol" w:hint="default"/>
      </w:rPr>
    </w:lvl>
    <w:lvl w:ilvl="4" w:tplc="08090003">
      <w:start w:val="1"/>
      <w:numFmt w:val="bullet"/>
      <w:lvlText w:val="o"/>
      <w:lvlJc w:val="left"/>
      <w:pPr>
        <w:tabs>
          <w:tab w:val="num" w:pos="3243"/>
        </w:tabs>
        <w:ind w:left="3243" w:hanging="360"/>
      </w:pPr>
      <w:rPr>
        <w:rFonts w:ascii="Courier New" w:hAnsi="Courier New" w:cs="Courier New" w:hint="default"/>
      </w:rPr>
    </w:lvl>
    <w:lvl w:ilvl="5" w:tplc="08090005">
      <w:start w:val="1"/>
      <w:numFmt w:val="bullet"/>
      <w:lvlText w:val=""/>
      <w:lvlJc w:val="left"/>
      <w:pPr>
        <w:tabs>
          <w:tab w:val="num" w:pos="3963"/>
        </w:tabs>
        <w:ind w:left="3963" w:hanging="360"/>
      </w:pPr>
      <w:rPr>
        <w:rFonts w:ascii="Wingdings" w:hAnsi="Wingdings" w:hint="default"/>
      </w:rPr>
    </w:lvl>
    <w:lvl w:ilvl="6" w:tplc="08090001">
      <w:start w:val="1"/>
      <w:numFmt w:val="bullet"/>
      <w:lvlText w:val=""/>
      <w:lvlJc w:val="left"/>
      <w:pPr>
        <w:tabs>
          <w:tab w:val="num" w:pos="4683"/>
        </w:tabs>
        <w:ind w:left="4683" w:hanging="360"/>
      </w:pPr>
      <w:rPr>
        <w:rFonts w:ascii="Symbol" w:hAnsi="Symbol" w:hint="default"/>
      </w:rPr>
    </w:lvl>
    <w:lvl w:ilvl="7" w:tplc="08090003">
      <w:start w:val="1"/>
      <w:numFmt w:val="bullet"/>
      <w:lvlText w:val="o"/>
      <w:lvlJc w:val="left"/>
      <w:pPr>
        <w:tabs>
          <w:tab w:val="num" w:pos="5403"/>
        </w:tabs>
        <w:ind w:left="5403" w:hanging="360"/>
      </w:pPr>
      <w:rPr>
        <w:rFonts w:ascii="Courier New" w:hAnsi="Courier New" w:cs="Courier New" w:hint="default"/>
      </w:rPr>
    </w:lvl>
    <w:lvl w:ilvl="8" w:tplc="08090005">
      <w:start w:val="1"/>
      <w:numFmt w:val="bullet"/>
      <w:lvlText w:val=""/>
      <w:lvlJc w:val="left"/>
      <w:pPr>
        <w:tabs>
          <w:tab w:val="num" w:pos="6123"/>
        </w:tabs>
        <w:ind w:left="6123" w:hanging="360"/>
      </w:pPr>
      <w:rPr>
        <w:rFonts w:ascii="Wingdings" w:hAnsi="Wingdings" w:hint="default"/>
      </w:rPr>
    </w:lvl>
  </w:abstractNum>
  <w:abstractNum w:abstractNumId="15" w15:restartNumberingAfterBreak="0">
    <w:nsid w:val="10000159"/>
    <w:multiLevelType w:val="hybridMultilevel"/>
    <w:tmpl w:val="E9FAC3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12365AC2"/>
    <w:multiLevelType w:val="hybridMultilevel"/>
    <w:tmpl w:val="A94C3E0C"/>
    <w:lvl w:ilvl="0" w:tplc="0A12AB36">
      <w:start w:val="1"/>
      <w:numFmt w:val="decimal"/>
      <w:lvlText w:val="%1."/>
      <w:lvlJc w:val="left"/>
      <w:pPr>
        <w:ind w:left="720" w:hanging="360"/>
      </w:pPr>
      <w:rPr>
        <w:rFonts w:eastAsiaTheme="minorHAnsi"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16322F2D"/>
    <w:multiLevelType w:val="hybridMultilevel"/>
    <w:tmpl w:val="388CE5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1CA93B95"/>
    <w:multiLevelType w:val="hybridMultilevel"/>
    <w:tmpl w:val="F8DEDD70"/>
    <w:lvl w:ilvl="0" w:tplc="8E5E561A">
      <w:start w:val="1"/>
      <w:numFmt w:val="decimal"/>
      <w:lvlText w:val="(%1)"/>
      <w:lvlJc w:val="left"/>
      <w:pPr>
        <w:ind w:left="405" w:hanging="360"/>
      </w:pPr>
      <w:rPr>
        <w:vertAlign w:val="superscript"/>
      </w:rPr>
    </w:lvl>
    <w:lvl w:ilvl="1" w:tplc="08090019">
      <w:start w:val="1"/>
      <w:numFmt w:val="lowerLetter"/>
      <w:lvlText w:val="%2."/>
      <w:lvlJc w:val="left"/>
      <w:pPr>
        <w:ind w:left="1125" w:hanging="360"/>
      </w:pPr>
    </w:lvl>
    <w:lvl w:ilvl="2" w:tplc="0809001B">
      <w:start w:val="1"/>
      <w:numFmt w:val="lowerRoman"/>
      <w:lvlText w:val="%3."/>
      <w:lvlJc w:val="right"/>
      <w:pPr>
        <w:ind w:left="1845" w:hanging="180"/>
      </w:pPr>
    </w:lvl>
    <w:lvl w:ilvl="3" w:tplc="0809000F">
      <w:start w:val="1"/>
      <w:numFmt w:val="decimal"/>
      <w:lvlText w:val="%4."/>
      <w:lvlJc w:val="left"/>
      <w:pPr>
        <w:ind w:left="2565" w:hanging="360"/>
      </w:pPr>
    </w:lvl>
    <w:lvl w:ilvl="4" w:tplc="08090019">
      <w:start w:val="1"/>
      <w:numFmt w:val="lowerLetter"/>
      <w:lvlText w:val="%5."/>
      <w:lvlJc w:val="left"/>
      <w:pPr>
        <w:ind w:left="3285" w:hanging="360"/>
      </w:pPr>
    </w:lvl>
    <w:lvl w:ilvl="5" w:tplc="0809001B">
      <w:start w:val="1"/>
      <w:numFmt w:val="lowerRoman"/>
      <w:lvlText w:val="%6."/>
      <w:lvlJc w:val="right"/>
      <w:pPr>
        <w:ind w:left="4005" w:hanging="180"/>
      </w:pPr>
    </w:lvl>
    <w:lvl w:ilvl="6" w:tplc="0809000F">
      <w:start w:val="1"/>
      <w:numFmt w:val="decimal"/>
      <w:lvlText w:val="%7."/>
      <w:lvlJc w:val="left"/>
      <w:pPr>
        <w:ind w:left="4725" w:hanging="360"/>
      </w:pPr>
    </w:lvl>
    <w:lvl w:ilvl="7" w:tplc="08090019">
      <w:start w:val="1"/>
      <w:numFmt w:val="lowerLetter"/>
      <w:lvlText w:val="%8."/>
      <w:lvlJc w:val="left"/>
      <w:pPr>
        <w:ind w:left="5445" w:hanging="360"/>
      </w:pPr>
    </w:lvl>
    <w:lvl w:ilvl="8" w:tplc="0809001B">
      <w:start w:val="1"/>
      <w:numFmt w:val="lowerRoman"/>
      <w:lvlText w:val="%9."/>
      <w:lvlJc w:val="right"/>
      <w:pPr>
        <w:ind w:left="6165" w:hanging="180"/>
      </w:pPr>
    </w:lvl>
  </w:abstractNum>
  <w:abstractNum w:abstractNumId="19" w15:restartNumberingAfterBreak="0">
    <w:nsid w:val="1FAF2733"/>
    <w:multiLevelType w:val="hybridMultilevel"/>
    <w:tmpl w:val="26EC73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227D55B9"/>
    <w:multiLevelType w:val="hybridMultilevel"/>
    <w:tmpl w:val="B87AAA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2376132C"/>
    <w:multiLevelType w:val="hybridMultilevel"/>
    <w:tmpl w:val="62A4CC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11D5D6A"/>
    <w:multiLevelType w:val="hybridMultilevel"/>
    <w:tmpl w:val="D5EA11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3260020"/>
    <w:multiLevelType w:val="hybridMultilevel"/>
    <w:tmpl w:val="F9E45E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36DD0805"/>
    <w:multiLevelType w:val="hybridMultilevel"/>
    <w:tmpl w:val="0AACDF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36DE2D74"/>
    <w:multiLevelType w:val="hybridMultilevel"/>
    <w:tmpl w:val="8D7098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3AC12F90"/>
    <w:multiLevelType w:val="hybridMultilevel"/>
    <w:tmpl w:val="1882BB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3FB54EEE"/>
    <w:multiLevelType w:val="hybridMultilevel"/>
    <w:tmpl w:val="A64E8A28"/>
    <w:lvl w:ilvl="0" w:tplc="08090001">
      <w:start w:val="1"/>
      <w:numFmt w:val="bullet"/>
      <w:lvlText w:val=""/>
      <w:lvlJc w:val="left"/>
      <w:pPr>
        <w:ind w:left="784" w:hanging="360"/>
      </w:pPr>
      <w:rPr>
        <w:rFonts w:ascii="Symbol" w:hAnsi="Symbol" w:hint="default"/>
      </w:rPr>
    </w:lvl>
    <w:lvl w:ilvl="1" w:tplc="08090003" w:tentative="1">
      <w:start w:val="1"/>
      <w:numFmt w:val="bullet"/>
      <w:lvlText w:val="o"/>
      <w:lvlJc w:val="left"/>
      <w:pPr>
        <w:ind w:left="1504" w:hanging="360"/>
      </w:pPr>
      <w:rPr>
        <w:rFonts w:ascii="Courier New" w:hAnsi="Courier New" w:cs="Courier New" w:hint="default"/>
      </w:rPr>
    </w:lvl>
    <w:lvl w:ilvl="2" w:tplc="08090005" w:tentative="1">
      <w:start w:val="1"/>
      <w:numFmt w:val="bullet"/>
      <w:lvlText w:val=""/>
      <w:lvlJc w:val="left"/>
      <w:pPr>
        <w:ind w:left="2224" w:hanging="360"/>
      </w:pPr>
      <w:rPr>
        <w:rFonts w:ascii="Wingdings" w:hAnsi="Wingdings" w:hint="default"/>
      </w:rPr>
    </w:lvl>
    <w:lvl w:ilvl="3" w:tplc="08090001" w:tentative="1">
      <w:start w:val="1"/>
      <w:numFmt w:val="bullet"/>
      <w:lvlText w:val=""/>
      <w:lvlJc w:val="left"/>
      <w:pPr>
        <w:ind w:left="2944" w:hanging="360"/>
      </w:pPr>
      <w:rPr>
        <w:rFonts w:ascii="Symbol" w:hAnsi="Symbol" w:hint="default"/>
      </w:rPr>
    </w:lvl>
    <w:lvl w:ilvl="4" w:tplc="08090003" w:tentative="1">
      <w:start w:val="1"/>
      <w:numFmt w:val="bullet"/>
      <w:lvlText w:val="o"/>
      <w:lvlJc w:val="left"/>
      <w:pPr>
        <w:ind w:left="3664" w:hanging="360"/>
      </w:pPr>
      <w:rPr>
        <w:rFonts w:ascii="Courier New" w:hAnsi="Courier New" w:cs="Courier New" w:hint="default"/>
      </w:rPr>
    </w:lvl>
    <w:lvl w:ilvl="5" w:tplc="08090005" w:tentative="1">
      <w:start w:val="1"/>
      <w:numFmt w:val="bullet"/>
      <w:lvlText w:val=""/>
      <w:lvlJc w:val="left"/>
      <w:pPr>
        <w:ind w:left="4384" w:hanging="360"/>
      </w:pPr>
      <w:rPr>
        <w:rFonts w:ascii="Wingdings" w:hAnsi="Wingdings" w:hint="default"/>
      </w:rPr>
    </w:lvl>
    <w:lvl w:ilvl="6" w:tplc="08090001" w:tentative="1">
      <w:start w:val="1"/>
      <w:numFmt w:val="bullet"/>
      <w:lvlText w:val=""/>
      <w:lvlJc w:val="left"/>
      <w:pPr>
        <w:ind w:left="5104" w:hanging="360"/>
      </w:pPr>
      <w:rPr>
        <w:rFonts w:ascii="Symbol" w:hAnsi="Symbol" w:hint="default"/>
      </w:rPr>
    </w:lvl>
    <w:lvl w:ilvl="7" w:tplc="08090003" w:tentative="1">
      <w:start w:val="1"/>
      <w:numFmt w:val="bullet"/>
      <w:lvlText w:val="o"/>
      <w:lvlJc w:val="left"/>
      <w:pPr>
        <w:ind w:left="5824" w:hanging="360"/>
      </w:pPr>
      <w:rPr>
        <w:rFonts w:ascii="Courier New" w:hAnsi="Courier New" w:cs="Courier New" w:hint="default"/>
      </w:rPr>
    </w:lvl>
    <w:lvl w:ilvl="8" w:tplc="08090005" w:tentative="1">
      <w:start w:val="1"/>
      <w:numFmt w:val="bullet"/>
      <w:lvlText w:val=""/>
      <w:lvlJc w:val="left"/>
      <w:pPr>
        <w:ind w:left="6544" w:hanging="360"/>
      </w:pPr>
      <w:rPr>
        <w:rFonts w:ascii="Wingdings" w:hAnsi="Wingdings" w:hint="default"/>
      </w:rPr>
    </w:lvl>
  </w:abstractNum>
  <w:abstractNum w:abstractNumId="28" w15:restartNumberingAfterBreak="0">
    <w:nsid w:val="410174A5"/>
    <w:multiLevelType w:val="hybridMultilevel"/>
    <w:tmpl w:val="64AA653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9" w15:restartNumberingAfterBreak="0">
    <w:nsid w:val="44733F89"/>
    <w:multiLevelType w:val="hybridMultilevel"/>
    <w:tmpl w:val="3E4E88B0"/>
    <w:lvl w:ilvl="0" w:tplc="D068D128">
      <w:start w:val="16"/>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450524B6"/>
    <w:multiLevelType w:val="hybridMultilevel"/>
    <w:tmpl w:val="F736813C"/>
    <w:lvl w:ilvl="0" w:tplc="FE34DE20">
      <w:numFmt w:val="bullet"/>
      <w:lvlText w:val="-"/>
      <w:lvlJc w:val="left"/>
      <w:pPr>
        <w:ind w:left="720" w:hanging="360"/>
      </w:pPr>
      <w:rPr>
        <w:rFonts w:ascii="Trebuchet MS" w:eastAsiaTheme="minorHAnsi" w:hAnsi="Trebuchet MS" w:cstheme="minorBidi"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1" w15:restartNumberingAfterBreak="0">
    <w:nsid w:val="4BB51FAF"/>
    <w:multiLevelType w:val="hybridMultilevel"/>
    <w:tmpl w:val="67CC71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4C435FEA"/>
    <w:multiLevelType w:val="hybridMultilevel"/>
    <w:tmpl w:val="B2F62C5C"/>
    <w:lvl w:ilvl="0" w:tplc="7A72D7A0">
      <w:start w:val="10"/>
      <w:numFmt w:val="decimal"/>
      <w:lvlText w:val="%1."/>
      <w:lvlJc w:val="left"/>
      <w:pPr>
        <w:ind w:left="405" w:hanging="360"/>
      </w:pPr>
      <w:rPr>
        <w:rFonts w:hint="default"/>
        <w:b/>
        <w:sz w:val="24"/>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59387658"/>
    <w:multiLevelType w:val="hybridMultilevel"/>
    <w:tmpl w:val="BD108E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5A1405F3"/>
    <w:multiLevelType w:val="hybridMultilevel"/>
    <w:tmpl w:val="D996E6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5C3F17B8"/>
    <w:multiLevelType w:val="hybridMultilevel"/>
    <w:tmpl w:val="DCA095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5DCF15A5"/>
    <w:multiLevelType w:val="hybridMultilevel"/>
    <w:tmpl w:val="9064DBD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7" w15:restartNumberingAfterBreak="0">
    <w:nsid w:val="5E6D37C5"/>
    <w:multiLevelType w:val="hybridMultilevel"/>
    <w:tmpl w:val="613A8086"/>
    <w:lvl w:ilvl="0" w:tplc="220A3CEC">
      <w:start w:val="1"/>
      <w:numFmt w:val="bullet"/>
      <w:pStyle w:val="Bullet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5F325886"/>
    <w:multiLevelType w:val="hybridMultilevel"/>
    <w:tmpl w:val="A4CA44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5F9C2911"/>
    <w:multiLevelType w:val="hybridMultilevel"/>
    <w:tmpl w:val="ED0EF5EE"/>
    <w:lvl w:ilvl="0" w:tplc="C0E6CE84">
      <w:numFmt w:val="bullet"/>
      <w:lvlText w:val="•"/>
      <w:lvlJc w:val="left"/>
      <w:pPr>
        <w:ind w:left="720" w:hanging="360"/>
      </w:pPr>
      <w:rPr>
        <w:rFonts w:ascii="Calibri" w:eastAsiaTheme="majorEastAsia" w:hAnsi="Calibri" w:cstheme="maj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613500C1"/>
    <w:multiLevelType w:val="hybridMultilevel"/>
    <w:tmpl w:val="58FC38F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1" w15:restartNumberingAfterBreak="0">
    <w:nsid w:val="62F64A36"/>
    <w:multiLevelType w:val="hybridMultilevel"/>
    <w:tmpl w:val="92F0A8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638A722F"/>
    <w:multiLevelType w:val="hybridMultilevel"/>
    <w:tmpl w:val="C9DEC72C"/>
    <w:lvl w:ilvl="0" w:tplc="7B4A4720">
      <w:start w:val="1"/>
      <w:numFmt w:val="bullet"/>
      <w:lvlText w:val=""/>
      <w:lvlJc w:val="left"/>
      <w:pPr>
        <w:ind w:left="720" w:hanging="360"/>
      </w:pPr>
      <w:rPr>
        <w:rFonts w:ascii="Symbol" w:hAnsi="Symbol" w:hint="default"/>
        <w:b w:val="0"/>
        <w:sz w:val="22"/>
        <w:szCs w:val="22"/>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3" w15:restartNumberingAfterBreak="0">
    <w:nsid w:val="64310047"/>
    <w:multiLevelType w:val="hybridMultilevel"/>
    <w:tmpl w:val="BCC8F574"/>
    <w:lvl w:ilvl="0" w:tplc="A1B89FF8">
      <w:start w:val="2"/>
      <w:numFmt w:val="decimal"/>
      <w:pStyle w:val="PKFHeading1Numbered"/>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4" w15:restartNumberingAfterBreak="0">
    <w:nsid w:val="64E62130"/>
    <w:multiLevelType w:val="hybridMultilevel"/>
    <w:tmpl w:val="EC58A9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684E5497"/>
    <w:multiLevelType w:val="hybridMultilevel"/>
    <w:tmpl w:val="E4341B3C"/>
    <w:lvl w:ilvl="0" w:tplc="9B6E63D8">
      <w:start w:val="17"/>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6" w15:restartNumberingAfterBreak="0">
    <w:nsid w:val="68782304"/>
    <w:multiLevelType w:val="hybridMultilevel"/>
    <w:tmpl w:val="9AA4EF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6B014251"/>
    <w:multiLevelType w:val="hybridMultilevel"/>
    <w:tmpl w:val="BB4E2DCE"/>
    <w:lvl w:ilvl="0" w:tplc="18090005">
      <w:start w:val="1"/>
      <w:numFmt w:val="bullet"/>
      <w:lvlText w:val=""/>
      <w:lvlJc w:val="left"/>
      <w:pPr>
        <w:ind w:left="720" w:hanging="360"/>
      </w:pPr>
      <w:rPr>
        <w:rFonts w:ascii="Wingdings" w:hAnsi="Wingdings" w:hint="default"/>
      </w:rPr>
    </w:lvl>
    <w:lvl w:ilvl="1" w:tplc="18090005">
      <w:start w:val="1"/>
      <w:numFmt w:val="bullet"/>
      <w:lvlText w:val=""/>
      <w:lvlJc w:val="left"/>
      <w:pPr>
        <w:ind w:left="1440" w:hanging="360"/>
      </w:pPr>
      <w:rPr>
        <w:rFonts w:ascii="Wingdings" w:hAnsi="Wingdings"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8" w15:restartNumberingAfterBreak="0">
    <w:nsid w:val="723D5337"/>
    <w:multiLevelType w:val="hybridMultilevel"/>
    <w:tmpl w:val="3BA457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744D7EA0"/>
    <w:multiLevelType w:val="hybridMultilevel"/>
    <w:tmpl w:val="F6F0EE28"/>
    <w:lvl w:ilvl="0" w:tplc="8940FB36">
      <w:start w:val="1"/>
      <w:numFmt w:val="bullet"/>
      <w:pStyle w:val="Bulletsdash"/>
      <w:lvlText w:val="–"/>
      <w:lvlJc w:val="left"/>
      <w:pPr>
        <w:ind w:left="1080" w:hanging="360"/>
      </w:pPr>
      <w:rPr>
        <w:rFonts w:ascii="Arial" w:hAnsi="Aria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748C731F"/>
    <w:multiLevelType w:val="hybridMultilevel"/>
    <w:tmpl w:val="9F1093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1" w15:restartNumberingAfterBreak="0">
    <w:nsid w:val="74B2149F"/>
    <w:multiLevelType w:val="hybridMultilevel"/>
    <w:tmpl w:val="BB4494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7"/>
  </w:num>
  <w:num w:numId="2">
    <w:abstractNumId w:val="49"/>
  </w:num>
  <w:num w:numId="3">
    <w:abstractNumId w:val="43"/>
  </w:num>
  <w:num w:numId="4">
    <w:abstractNumId w:val="14"/>
  </w:num>
  <w:num w:numId="5">
    <w:abstractNumId w:val="10"/>
  </w:num>
  <w:num w:numId="6">
    <w:abstractNumId w:val="8"/>
  </w:num>
  <w:num w:numId="7">
    <w:abstractNumId w:val="7"/>
  </w:num>
  <w:num w:numId="8">
    <w:abstractNumId w:val="6"/>
  </w:num>
  <w:num w:numId="9">
    <w:abstractNumId w:val="5"/>
  </w:num>
  <w:num w:numId="10">
    <w:abstractNumId w:val="9"/>
  </w:num>
  <w:num w:numId="11">
    <w:abstractNumId w:val="4"/>
  </w:num>
  <w:num w:numId="12">
    <w:abstractNumId w:val="3"/>
  </w:num>
  <w:num w:numId="13">
    <w:abstractNumId w:val="2"/>
  </w:num>
  <w:num w:numId="14">
    <w:abstractNumId w:val="1"/>
  </w:num>
  <w:num w:numId="15">
    <w:abstractNumId w:val="0"/>
  </w:num>
  <w:num w:numId="16">
    <w:abstractNumId w:val="24"/>
  </w:num>
  <w:num w:numId="17">
    <w:abstractNumId w:val="11"/>
  </w:num>
  <w:num w:numId="18">
    <w:abstractNumId w:val="39"/>
  </w:num>
  <w:num w:numId="19">
    <w:abstractNumId w:val="38"/>
  </w:num>
  <w:num w:numId="20">
    <w:abstractNumId w:val="26"/>
  </w:num>
  <w:num w:numId="21">
    <w:abstractNumId w:val="17"/>
  </w:num>
  <w:num w:numId="22">
    <w:abstractNumId w:val="34"/>
  </w:num>
  <w:num w:numId="23">
    <w:abstractNumId w:val="20"/>
  </w:num>
  <w:num w:numId="24">
    <w:abstractNumId w:val="46"/>
  </w:num>
  <w:num w:numId="25">
    <w:abstractNumId w:val="21"/>
  </w:num>
  <w:num w:numId="26">
    <w:abstractNumId w:val="48"/>
  </w:num>
  <w:num w:numId="27">
    <w:abstractNumId w:val="12"/>
  </w:num>
  <w:num w:numId="28">
    <w:abstractNumId w:val="36"/>
  </w:num>
  <w:num w:numId="29">
    <w:abstractNumId w:val="40"/>
  </w:num>
  <w:num w:numId="30">
    <w:abstractNumId w:val="33"/>
  </w:num>
  <w:num w:numId="31">
    <w:abstractNumId w:val="50"/>
  </w:num>
  <w:num w:numId="32">
    <w:abstractNumId w:val="27"/>
  </w:num>
  <w:num w:numId="33">
    <w:abstractNumId w:val="41"/>
  </w:num>
  <w:num w:numId="34">
    <w:abstractNumId w:val="35"/>
  </w:num>
  <w:num w:numId="3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9"/>
  </w:num>
  <w:num w:numId="37">
    <w:abstractNumId w:val="23"/>
  </w:num>
  <w:num w:numId="38">
    <w:abstractNumId w:val="42"/>
  </w:num>
  <w:num w:numId="39">
    <w:abstractNumId w:val="51"/>
  </w:num>
  <w:num w:numId="40">
    <w:abstractNumId w:val="30"/>
  </w:num>
  <w:num w:numId="41">
    <w:abstractNumId w:val="28"/>
  </w:num>
  <w:num w:numId="42">
    <w:abstractNumId w:val="29"/>
  </w:num>
  <w:num w:numId="43">
    <w:abstractNumId w:val="32"/>
  </w:num>
  <w:num w:numId="44">
    <w:abstractNumId w:val="13"/>
  </w:num>
  <w:num w:numId="45">
    <w:abstractNumId w:val="45"/>
  </w:num>
  <w:num w:numId="46">
    <w:abstractNumId w:val="16"/>
  </w:num>
  <w:num w:numId="47">
    <w:abstractNumId w:val="22"/>
  </w:num>
  <w:num w:numId="48">
    <w:abstractNumId w:val="15"/>
  </w:num>
  <w:num w:numId="49">
    <w:abstractNumId w:val="31"/>
  </w:num>
  <w:num w:numId="50">
    <w:abstractNumId w:val="44"/>
  </w:num>
  <w:num w:numId="51">
    <w:abstractNumId w:val="25"/>
  </w:num>
  <w:num w:numId="52">
    <w:abstractNumId w:val="47"/>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fr-FR" w:vendorID="64" w:dllVersion="6" w:nlCheck="1" w:checkStyle="0"/>
  <w:activeWritingStyle w:appName="MSWord" w:lang="en-GB" w:vendorID="64" w:dllVersion="6" w:nlCheck="1" w:checkStyle="1"/>
  <w:activeWritingStyle w:appName="MSWord" w:lang="en-GB" w:vendorID="64" w:dllVersion="0" w:nlCheck="1" w:checkStyle="0"/>
  <w:activeWritingStyle w:appName="MSWord" w:lang="fr-FR" w:vendorID="64" w:dllVersion="0" w:nlCheck="1" w:checkStyle="0"/>
  <w:activeWritingStyle w:appName="MSWord" w:lang="en-IE" w:vendorID="64" w:dllVersion="0" w:nlCheck="1" w:checkStyle="0"/>
  <w:activeWritingStyle w:appName="MSWord" w:lang="en-GB" w:vendorID="64" w:dllVersion="4096" w:nlCheck="1" w:checkStyle="0"/>
  <w:activeWritingStyle w:appName="MSWord" w:lang="fr-FR" w:vendorID="64" w:dllVersion="4096" w:nlCheck="1" w:checkStyle="0"/>
  <w:defaultTabStop w:val="720"/>
  <w:characterSpacingControl w:val="doNotCompress"/>
  <w:hdrShapeDefaults>
    <o:shapedefaults v:ext="edit" spidmax="8193"/>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444C4"/>
    <w:rsid w:val="00015230"/>
    <w:rsid w:val="00036CD8"/>
    <w:rsid w:val="00065F6C"/>
    <w:rsid w:val="0008098F"/>
    <w:rsid w:val="0009537C"/>
    <w:rsid w:val="000E0832"/>
    <w:rsid w:val="001208B4"/>
    <w:rsid w:val="001437A7"/>
    <w:rsid w:val="00191E20"/>
    <w:rsid w:val="0021298F"/>
    <w:rsid w:val="0024650F"/>
    <w:rsid w:val="00246825"/>
    <w:rsid w:val="00287129"/>
    <w:rsid w:val="002C178B"/>
    <w:rsid w:val="002F79C6"/>
    <w:rsid w:val="00301B34"/>
    <w:rsid w:val="0032041C"/>
    <w:rsid w:val="00324032"/>
    <w:rsid w:val="0032526B"/>
    <w:rsid w:val="003316EB"/>
    <w:rsid w:val="0037340B"/>
    <w:rsid w:val="00376435"/>
    <w:rsid w:val="003C534D"/>
    <w:rsid w:val="00416A57"/>
    <w:rsid w:val="0045029C"/>
    <w:rsid w:val="00451E56"/>
    <w:rsid w:val="00453EC6"/>
    <w:rsid w:val="00470C1B"/>
    <w:rsid w:val="00477702"/>
    <w:rsid w:val="004A15CB"/>
    <w:rsid w:val="004A44EC"/>
    <w:rsid w:val="004B4736"/>
    <w:rsid w:val="004D17E6"/>
    <w:rsid w:val="005759EF"/>
    <w:rsid w:val="00581A44"/>
    <w:rsid w:val="00597137"/>
    <w:rsid w:val="005B5398"/>
    <w:rsid w:val="006063F7"/>
    <w:rsid w:val="00621704"/>
    <w:rsid w:val="00672D87"/>
    <w:rsid w:val="0071556B"/>
    <w:rsid w:val="00723006"/>
    <w:rsid w:val="007326A8"/>
    <w:rsid w:val="0073445F"/>
    <w:rsid w:val="00747012"/>
    <w:rsid w:val="007653B0"/>
    <w:rsid w:val="007B0599"/>
    <w:rsid w:val="007F6191"/>
    <w:rsid w:val="007F7E90"/>
    <w:rsid w:val="00825F3A"/>
    <w:rsid w:val="0083531C"/>
    <w:rsid w:val="008A7831"/>
    <w:rsid w:val="008B0020"/>
    <w:rsid w:val="008D70C9"/>
    <w:rsid w:val="008E4292"/>
    <w:rsid w:val="008E7690"/>
    <w:rsid w:val="00903172"/>
    <w:rsid w:val="00912979"/>
    <w:rsid w:val="00950A00"/>
    <w:rsid w:val="00962078"/>
    <w:rsid w:val="0098352C"/>
    <w:rsid w:val="009D3248"/>
    <w:rsid w:val="009E38B1"/>
    <w:rsid w:val="009E7F83"/>
    <w:rsid w:val="009F2CB8"/>
    <w:rsid w:val="00A0262A"/>
    <w:rsid w:val="00A44A36"/>
    <w:rsid w:val="00A805F8"/>
    <w:rsid w:val="00AB1E1E"/>
    <w:rsid w:val="00AF7B5E"/>
    <w:rsid w:val="00B07DF7"/>
    <w:rsid w:val="00B13369"/>
    <w:rsid w:val="00B24E9D"/>
    <w:rsid w:val="00B36DF1"/>
    <w:rsid w:val="00B64D31"/>
    <w:rsid w:val="00B75F28"/>
    <w:rsid w:val="00B8101B"/>
    <w:rsid w:val="00B93023"/>
    <w:rsid w:val="00BC5363"/>
    <w:rsid w:val="00BF55B9"/>
    <w:rsid w:val="00C41A2B"/>
    <w:rsid w:val="00C444C4"/>
    <w:rsid w:val="00C66837"/>
    <w:rsid w:val="00C85D8B"/>
    <w:rsid w:val="00CB6761"/>
    <w:rsid w:val="00CC22F4"/>
    <w:rsid w:val="00D54D9C"/>
    <w:rsid w:val="00D90CEB"/>
    <w:rsid w:val="00E2527A"/>
    <w:rsid w:val="00E25FBF"/>
    <w:rsid w:val="00F6742A"/>
    <w:rsid w:val="00F7157C"/>
    <w:rsid w:val="00FB4134"/>
    <w:rsid w:val="00FD013E"/>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5B399D53"/>
  <w15:chartTrackingRefBased/>
  <w15:docId w15:val="{8FD73EFB-EC0E-4EA1-9E8B-5D744B1608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GB" w:eastAsia="zh-CN"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444C4"/>
    <w:pPr>
      <w:spacing w:after="0" w:line="240" w:lineRule="auto"/>
    </w:pPr>
    <w:rPr>
      <w:rFonts w:eastAsiaTheme="minorHAnsi"/>
      <w:sz w:val="24"/>
      <w:szCs w:val="24"/>
      <w:lang w:eastAsia="en-US"/>
    </w:rPr>
  </w:style>
  <w:style w:type="paragraph" w:styleId="Heading1">
    <w:name w:val="heading 1"/>
    <w:aliases w:val="Section Heading,Section,1,Heading,heading,h1,main,section,H1,Heading 1 Char1,Heading 1 Char Char,Heading 1 Char2 Char Char,Heading 1 Char1 Char Char Char,Heading 1 Char Char Char Char Char,Heading 1 Char Char1 Char Char,sub para,Heading apps"/>
    <w:basedOn w:val="Normal"/>
    <w:next w:val="Normal"/>
    <w:link w:val="Heading1Char"/>
    <w:qFormat/>
    <w:rsid w:val="001208B4"/>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aliases w:val="Reset numbering,Major,2,Indent,heading15,h2,Heading 2 Char2,Heading 2 Char1 Char,Heading 2 Char2 Char Char,Heading 2 Char Char1 Char Char,Heading 2 Char1 Char Char Char,Heading 2 Char Char Char Char Char,Heading 2 Char Char Char,h2 Char Char"/>
    <w:basedOn w:val="Normal"/>
    <w:next w:val="Normal"/>
    <w:link w:val="Heading2Char"/>
    <w:unhideWhenUsed/>
    <w:qFormat/>
    <w:rsid w:val="001208B4"/>
    <w:pPr>
      <w:keepNext/>
      <w:keepLines/>
      <w:spacing w:before="200" w:line="276" w:lineRule="auto"/>
      <w:outlineLvl w:val="1"/>
    </w:pPr>
    <w:rPr>
      <w:rFonts w:asciiTheme="majorHAnsi" w:eastAsiaTheme="majorEastAsia" w:hAnsiTheme="majorHAnsi" w:cstheme="majorBidi"/>
      <w:b/>
      <w:bCs/>
      <w:color w:val="5B9BD5" w:themeColor="accent1"/>
      <w:sz w:val="26"/>
      <w:szCs w:val="26"/>
    </w:rPr>
  </w:style>
  <w:style w:type="paragraph" w:styleId="Heading3">
    <w:name w:val="heading 3"/>
    <w:aliases w:val="Level 1 - 1,Minor,h3,Heading 3 Char2 Char,Heading 3 Char1 Char Char,Heading 3 Char Char Char Char,Heading 3 Char1 Char Char Char Char,Heading 3 Char Char Char Char Char Char,Heading 3 Char1 Char Char Char Char Char Char"/>
    <w:basedOn w:val="Normal"/>
    <w:next w:val="Normal"/>
    <w:link w:val="Heading3Char"/>
    <w:unhideWhenUsed/>
    <w:qFormat/>
    <w:rsid w:val="00C444C4"/>
    <w:pPr>
      <w:keepNext/>
      <w:keepLines/>
      <w:spacing w:before="40"/>
      <w:outlineLvl w:val="2"/>
    </w:pPr>
    <w:rPr>
      <w:rFonts w:asciiTheme="majorHAnsi" w:eastAsiaTheme="majorEastAsia" w:hAnsiTheme="majorHAnsi" w:cstheme="majorBidi"/>
      <w:color w:val="1F4D78" w:themeColor="accent1" w:themeShade="7F"/>
    </w:rPr>
  </w:style>
  <w:style w:type="paragraph" w:styleId="Heading4">
    <w:name w:val="heading 4"/>
    <w:aliases w:val="Level 2 - a,Sub-Minor,h4,Heading 4 Char1 Char,Heading 4 Char Char Char,Heading 4 Char1 Char Char Char,Heading 4 Char Char Char Char Char,Heading 4 Char1 Char Char Char Char Char,Heading 4 Char Char Char Char Char Char Char"/>
    <w:basedOn w:val="Normal"/>
    <w:next w:val="Normal"/>
    <w:link w:val="Heading4Char"/>
    <w:qFormat/>
    <w:rsid w:val="001208B4"/>
    <w:pPr>
      <w:keepNext/>
      <w:keepLines/>
      <w:spacing w:before="200"/>
      <w:outlineLvl w:val="3"/>
    </w:pPr>
    <w:rPr>
      <w:rFonts w:asciiTheme="majorHAnsi" w:eastAsiaTheme="majorEastAsia" w:hAnsiTheme="majorHAnsi" w:cstheme="majorBidi"/>
      <w:b/>
      <w:bCs/>
      <w:i/>
      <w:iCs/>
      <w:color w:val="5B9BD5" w:themeColor="accent1"/>
      <w:sz w:val="22"/>
    </w:rPr>
  </w:style>
  <w:style w:type="paragraph" w:styleId="Heading5">
    <w:name w:val="heading 5"/>
    <w:aliases w:val="h5,Heading 5 Char3,Heading 5 Char2 Char,Heading 5 Char Char1 Char,Heading 5 Char1 Char Char Char,Heading 5 Char Char Char Char Char,Heading 5 Char1 Char1 Char,Heading 5 Char Char Char1 Char,Heading 5 Char Char2,Heading 5 Char1 Char Char1,(A)"/>
    <w:basedOn w:val="Normal"/>
    <w:next w:val="Normal"/>
    <w:link w:val="Heading5Char"/>
    <w:qFormat/>
    <w:rsid w:val="001208B4"/>
    <w:pPr>
      <w:keepNext/>
      <w:keepLines/>
      <w:spacing w:before="200"/>
      <w:outlineLvl w:val="4"/>
    </w:pPr>
    <w:rPr>
      <w:rFonts w:asciiTheme="majorHAnsi" w:eastAsiaTheme="majorEastAsia" w:hAnsiTheme="majorHAnsi" w:cstheme="majorBidi"/>
      <w:color w:val="1F4D78" w:themeColor="accent1" w:themeShade="7F"/>
      <w:sz w:val="22"/>
    </w:rPr>
  </w:style>
  <w:style w:type="paragraph" w:styleId="Heading6">
    <w:name w:val="heading 6"/>
    <w:aliases w:val="Legal Level 1.,h6,(I),H6,L1 Heading 6,T1,Bullet list,sub-dash,E6,cnp,Caption number (page-wide),Tables,Lev 6,Heading 6(unused),L1 PIP,Heading 6  Appendix Y &amp; Z"/>
    <w:basedOn w:val="Normal"/>
    <w:next w:val="Normal"/>
    <w:link w:val="Heading6Char"/>
    <w:qFormat/>
    <w:rsid w:val="001208B4"/>
    <w:pPr>
      <w:keepNext/>
      <w:keepLines/>
      <w:spacing w:before="200"/>
      <w:outlineLvl w:val="5"/>
    </w:pPr>
    <w:rPr>
      <w:rFonts w:asciiTheme="majorHAnsi" w:eastAsiaTheme="majorEastAsia" w:hAnsiTheme="majorHAnsi" w:cstheme="majorBidi"/>
      <w:i/>
      <w:iCs/>
      <w:color w:val="1F4D78" w:themeColor="accent1" w:themeShade="7F"/>
      <w:sz w:val="22"/>
    </w:rPr>
  </w:style>
  <w:style w:type="paragraph" w:styleId="Heading7">
    <w:name w:val="heading 7"/>
    <w:aliases w:val="Legal Level 1.1.,h7,Appendix Major,7"/>
    <w:basedOn w:val="Normal"/>
    <w:next w:val="Normal"/>
    <w:link w:val="Heading7Char"/>
    <w:uiPriority w:val="99"/>
    <w:qFormat/>
    <w:rsid w:val="001208B4"/>
    <w:pPr>
      <w:tabs>
        <w:tab w:val="num" w:pos="3402"/>
      </w:tabs>
      <w:ind w:left="3402" w:hanging="567"/>
      <w:jc w:val="both"/>
      <w:outlineLvl w:val="6"/>
    </w:pPr>
    <w:rPr>
      <w:rFonts w:ascii="Times New Roman" w:eastAsia="Calibri" w:hAnsi="Times New Roman" w:cs="Times New Roman"/>
      <w:kern w:val="16"/>
      <w:szCs w:val="20"/>
      <w:lang w:eastAsia="en-GB"/>
    </w:rPr>
  </w:style>
  <w:style w:type="paragraph" w:styleId="Heading8">
    <w:name w:val="heading 8"/>
    <w:aliases w:val="Legal Level 1.1.1.,h8"/>
    <w:basedOn w:val="Normal"/>
    <w:next w:val="Normal"/>
    <w:link w:val="Heading8Char"/>
    <w:uiPriority w:val="99"/>
    <w:qFormat/>
    <w:rsid w:val="001208B4"/>
    <w:pPr>
      <w:tabs>
        <w:tab w:val="num" w:pos="3969"/>
      </w:tabs>
      <w:ind w:left="3969" w:hanging="567"/>
      <w:jc w:val="both"/>
      <w:outlineLvl w:val="7"/>
    </w:pPr>
    <w:rPr>
      <w:rFonts w:ascii="Times New Roman" w:eastAsia="Calibri" w:hAnsi="Times New Roman" w:cs="Times New Roman"/>
      <w:kern w:val="16"/>
      <w:szCs w:val="20"/>
      <w:lang w:eastAsia="en-GB"/>
    </w:rPr>
  </w:style>
  <w:style w:type="paragraph" w:styleId="Heading9">
    <w:name w:val="heading 9"/>
    <w:aliases w:val="Legal Level 1.1.1.1.,h9,Heading 9 (defunct)"/>
    <w:basedOn w:val="Normal"/>
    <w:next w:val="Normal"/>
    <w:link w:val="Heading9Char"/>
    <w:uiPriority w:val="99"/>
    <w:qFormat/>
    <w:rsid w:val="001208B4"/>
    <w:pPr>
      <w:tabs>
        <w:tab w:val="num" w:pos="4536"/>
      </w:tabs>
      <w:ind w:left="4536" w:hanging="567"/>
      <w:jc w:val="both"/>
      <w:outlineLvl w:val="8"/>
    </w:pPr>
    <w:rPr>
      <w:rFonts w:ascii="Times New Roman" w:eastAsia="Calibri" w:hAnsi="Times New Roman" w:cs="Times New Roman"/>
      <w:kern w:val="16"/>
      <w:szCs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444C4"/>
    <w:pPr>
      <w:tabs>
        <w:tab w:val="center" w:pos="4513"/>
        <w:tab w:val="right" w:pos="9026"/>
      </w:tabs>
    </w:pPr>
  </w:style>
  <w:style w:type="character" w:customStyle="1" w:styleId="HeaderChar">
    <w:name w:val="Header Char"/>
    <w:basedOn w:val="DefaultParagraphFont"/>
    <w:link w:val="Header"/>
    <w:uiPriority w:val="99"/>
    <w:rsid w:val="00C444C4"/>
  </w:style>
  <w:style w:type="paragraph" w:styleId="Footer">
    <w:name w:val="footer"/>
    <w:basedOn w:val="Normal"/>
    <w:link w:val="FooterChar"/>
    <w:uiPriority w:val="99"/>
    <w:unhideWhenUsed/>
    <w:rsid w:val="00C444C4"/>
    <w:pPr>
      <w:tabs>
        <w:tab w:val="center" w:pos="4513"/>
        <w:tab w:val="right" w:pos="9026"/>
      </w:tabs>
    </w:pPr>
  </w:style>
  <w:style w:type="character" w:customStyle="1" w:styleId="FooterChar">
    <w:name w:val="Footer Char"/>
    <w:basedOn w:val="DefaultParagraphFont"/>
    <w:link w:val="Footer"/>
    <w:uiPriority w:val="99"/>
    <w:rsid w:val="00C444C4"/>
  </w:style>
  <w:style w:type="character" w:customStyle="1" w:styleId="Heading3Char">
    <w:name w:val="Heading 3 Char"/>
    <w:aliases w:val="Level 1 - 1 Char,Minor Char,h3 Char,Heading 3 Char2 Char Char,Heading 3 Char1 Char Char Char,Heading 3 Char Char Char Char Char,Heading 3 Char1 Char Char Char Char Char,Heading 3 Char Char Char Char Char Char Char"/>
    <w:basedOn w:val="DefaultParagraphFont"/>
    <w:link w:val="Heading3"/>
    <w:rsid w:val="00C444C4"/>
    <w:rPr>
      <w:rFonts w:asciiTheme="majorHAnsi" w:eastAsiaTheme="majorEastAsia" w:hAnsiTheme="majorHAnsi" w:cstheme="majorBidi"/>
      <w:color w:val="1F4D78" w:themeColor="accent1" w:themeShade="7F"/>
      <w:sz w:val="24"/>
      <w:szCs w:val="24"/>
      <w:lang w:eastAsia="en-US"/>
    </w:rPr>
  </w:style>
  <w:style w:type="paragraph" w:styleId="ListParagraph">
    <w:name w:val="List Paragraph"/>
    <w:basedOn w:val="Normal"/>
    <w:uiPriority w:val="34"/>
    <w:qFormat/>
    <w:rsid w:val="00C444C4"/>
    <w:pPr>
      <w:ind w:left="720"/>
      <w:contextualSpacing/>
    </w:pPr>
  </w:style>
  <w:style w:type="character" w:styleId="Hyperlink">
    <w:name w:val="Hyperlink"/>
    <w:basedOn w:val="DefaultParagraphFont"/>
    <w:uiPriority w:val="99"/>
    <w:unhideWhenUsed/>
    <w:rsid w:val="00C444C4"/>
    <w:rPr>
      <w:color w:val="0563C1" w:themeColor="hyperlink"/>
      <w:u w:val="single"/>
    </w:rPr>
  </w:style>
  <w:style w:type="paragraph" w:customStyle="1" w:styleId="aku">
    <w:name w:val="aku"/>
    <w:basedOn w:val="Normal"/>
    <w:rsid w:val="00C444C4"/>
    <w:pPr>
      <w:spacing w:before="100" w:beforeAutospacing="1" w:after="100" w:afterAutospacing="1"/>
    </w:pPr>
    <w:rPr>
      <w:rFonts w:ascii="Times New Roman" w:eastAsia="Times New Roman" w:hAnsi="Times New Roman" w:cs="Times New Roman"/>
      <w:lang w:eastAsia="en-GB"/>
    </w:rPr>
  </w:style>
  <w:style w:type="character" w:customStyle="1" w:styleId="akb">
    <w:name w:val="akb"/>
    <w:basedOn w:val="DefaultParagraphFont"/>
    <w:rsid w:val="00C444C4"/>
  </w:style>
  <w:style w:type="paragraph" w:customStyle="1" w:styleId="akv">
    <w:name w:val="akv"/>
    <w:basedOn w:val="Normal"/>
    <w:rsid w:val="00C444C4"/>
    <w:pPr>
      <w:spacing w:before="100" w:beforeAutospacing="1" w:after="100" w:afterAutospacing="1"/>
    </w:pPr>
    <w:rPr>
      <w:rFonts w:ascii="Times New Roman" w:eastAsia="Times New Roman" w:hAnsi="Times New Roman" w:cs="Times New Roman"/>
      <w:lang w:eastAsia="en-GB"/>
    </w:rPr>
  </w:style>
  <w:style w:type="character" w:customStyle="1" w:styleId="ajz">
    <w:name w:val="ajz"/>
    <w:basedOn w:val="DefaultParagraphFont"/>
    <w:rsid w:val="00C444C4"/>
  </w:style>
  <w:style w:type="character" w:customStyle="1" w:styleId="ajc">
    <w:name w:val="ajc"/>
    <w:basedOn w:val="DefaultParagraphFont"/>
    <w:rsid w:val="00C444C4"/>
  </w:style>
  <w:style w:type="paragraph" w:styleId="BalloonText">
    <w:name w:val="Balloon Text"/>
    <w:basedOn w:val="Normal"/>
    <w:link w:val="BalloonTextChar"/>
    <w:uiPriority w:val="99"/>
    <w:unhideWhenUsed/>
    <w:rsid w:val="007F7E90"/>
    <w:rPr>
      <w:rFonts w:ascii="Segoe UI" w:hAnsi="Segoe UI" w:cs="Segoe UI"/>
      <w:sz w:val="18"/>
      <w:szCs w:val="18"/>
    </w:rPr>
  </w:style>
  <w:style w:type="character" w:customStyle="1" w:styleId="BalloonTextChar">
    <w:name w:val="Balloon Text Char"/>
    <w:basedOn w:val="DefaultParagraphFont"/>
    <w:link w:val="BalloonText"/>
    <w:uiPriority w:val="99"/>
    <w:rsid w:val="007F7E90"/>
    <w:rPr>
      <w:rFonts w:ascii="Segoe UI" w:eastAsiaTheme="minorHAnsi" w:hAnsi="Segoe UI" w:cs="Segoe UI"/>
      <w:sz w:val="18"/>
      <w:szCs w:val="18"/>
      <w:lang w:eastAsia="en-US"/>
    </w:rPr>
  </w:style>
  <w:style w:type="paragraph" w:styleId="FootnoteText">
    <w:name w:val="footnote text"/>
    <w:basedOn w:val="Normal"/>
    <w:link w:val="FootnoteTextChar"/>
    <w:uiPriority w:val="99"/>
    <w:unhideWhenUsed/>
    <w:rsid w:val="00C66837"/>
    <w:rPr>
      <w:sz w:val="20"/>
      <w:szCs w:val="20"/>
    </w:rPr>
  </w:style>
  <w:style w:type="character" w:customStyle="1" w:styleId="FootnoteTextChar">
    <w:name w:val="Footnote Text Char"/>
    <w:basedOn w:val="DefaultParagraphFont"/>
    <w:link w:val="FootnoteText"/>
    <w:uiPriority w:val="99"/>
    <w:rsid w:val="00C66837"/>
    <w:rPr>
      <w:rFonts w:eastAsiaTheme="minorHAnsi"/>
      <w:sz w:val="20"/>
      <w:szCs w:val="20"/>
      <w:lang w:eastAsia="en-US"/>
    </w:rPr>
  </w:style>
  <w:style w:type="character" w:styleId="FootnoteReference">
    <w:name w:val="footnote reference"/>
    <w:basedOn w:val="DefaultParagraphFont"/>
    <w:uiPriority w:val="99"/>
    <w:unhideWhenUsed/>
    <w:rsid w:val="00C66837"/>
    <w:rPr>
      <w:vertAlign w:val="superscript"/>
    </w:rPr>
  </w:style>
  <w:style w:type="character" w:customStyle="1" w:styleId="Heading1Char">
    <w:name w:val="Heading 1 Char"/>
    <w:aliases w:val="Section Heading Char,Section Char,1 Char,Heading Char,heading Char,h1 Char,main Char,section Char,H1 Char,Heading 1 Char1 Char,Heading 1 Char Char Char,Heading 1 Char2 Char Char Char,Heading 1 Char1 Char Char Char Char,sub para Char"/>
    <w:basedOn w:val="DefaultParagraphFont"/>
    <w:link w:val="Heading1"/>
    <w:rsid w:val="001208B4"/>
    <w:rPr>
      <w:rFonts w:asciiTheme="majorHAnsi" w:eastAsiaTheme="majorEastAsia" w:hAnsiTheme="majorHAnsi" w:cstheme="majorBidi"/>
      <w:color w:val="2E74B5" w:themeColor="accent1" w:themeShade="BF"/>
      <w:sz w:val="32"/>
      <w:szCs w:val="32"/>
      <w:lang w:eastAsia="en-US"/>
    </w:rPr>
  </w:style>
  <w:style w:type="character" w:customStyle="1" w:styleId="Heading2Char">
    <w:name w:val="Heading 2 Char"/>
    <w:aliases w:val="Reset numbering Char,Major Char,2 Char,Indent Char,heading15 Char,h2 Char,Heading 2 Char2 Char,Heading 2 Char1 Char Char,Heading 2 Char2 Char Char Char,Heading 2 Char Char1 Char Char Char,Heading 2 Char1 Char Char Char Char"/>
    <w:basedOn w:val="DefaultParagraphFont"/>
    <w:link w:val="Heading2"/>
    <w:rsid w:val="001208B4"/>
    <w:rPr>
      <w:rFonts w:asciiTheme="majorHAnsi" w:eastAsiaTheme="majorEastAsia" w:hAnsiTheme="majorHAnsi" w:cstheme="majorBidi"/>
      <w:b/>
      <w:bCs/>
      <w:color w:val="5B9BD5" w:themeColor="accent1"/>
      <w:sz w:val="26"/>
      <w:szCs w:val="26"/>
      <w:lang w:eastAsia="en-US"/>
    </w:rPr>
  </w:style>
  <w:style w:type="character" w:customStyle="1" w:styleId="Heading4Char">
    <w:name w:val="Heading 4 Char"/>
    <w:aliases w:val="Level 2 - a Char,Sub-Minor Char,h4 Char,Heading 4 Char1 Char Char,Heading 4 Char Char Char Char,Heading 4 Char1 Char Char Char Char,Heading 4 Char Char Char Char Char Char,Heading 4 Char1 Char Char Char Char Char Char"/>
    <w:basedOn w:val="DefaultParagraphFont"/>
    <w:link w:val="Heading4"/>
    <w:rsid w:val="001208B4"/>
    <w:rPr>
      <w:rFonts w:asciiTheme="majorHAnsi" w:eastAsiaTheme="majorEastAsia" w:hAnsiTheme="majorHAnsi" w:cstheme="majorBidi"/>
      <w:b/>
      <w:bCs/>
      <w:i/>
      <w:iCs/>
      <w:color w:val="5B9BD5" w:themeColor="accent1"/>
      <w:szCs w:val="24"/>
      <w:lang w:eastAsia="en-US"/>
    </w:rPr>
  </w:style>
  <w:style w:type="character" w:customStyle="1" w:styleId="Heading5Char">
    <w:name w:val="Heading 5 Char"/>
    <w:aliases w:val="h5 Char,Heading 5 Char3 Char,Heading 5 Char2 Char Char,Heading 5 Char Char1 Char Char,Heading 5 Char1 Char Char Char Char,Heading 5 Char Char Char Char Char Char,Heading 5 Char1 Char1 Char Char,Heading 5 Char Char Char1 Char Char,(A) Char"/>
    <w:basedOn w:val="DefaultParagraphFont"/>
    <w:link w:val="Heading5"/>
    <w:rsid w:val="001208B4"/>
    <w:rPr>
      <w:rFonts w:asciiTheme="majorHAnsi" w:eastAsiaTheme="majorEastAsia" w:hAnsiTheme="majorHAnsi" w:cstheme="majorBidi"/>
      <w:color w:val="1F4D78" w:themeColor="accent1" w:themeShade="7F"/>
      <w:szCs w:val="24"/>
      <w:lang w:eastAsia="en-US"/>
    </w:rPr>
  </w:style>
  <w:style w:type="character" w:customStyle="1" w:styleId="Heading6Char">
    <w:name w:val="Heading 6 Char"/>
    <w:aliases w:val="Legal Level 1. Char,h6 Char,(I) Char,H6 Char,L1 Heading 6 Char,T1 Char,Bullet list Char,sub-dash Char,E6 Char,cnp Char,Caption number (page-wide) Char,Tables Char,Lev 6 Char,Heading 6(unused) Char,L1 PIP Char"/>
    <w:basedOn w:val="DefaultParagraphFont"/>
    <w:link w:val="Heading6"/>
    <w:rsid w:val="001208B4"/>
    <w:rPr>
      <w:rFonts w:asciiTheme="majorHAnsi" w:eastAsiaTheme="majorEastAsia" w:hAnsiTheme="majorHAnsi" w:cstheme="majorBidi"/>
      <w:i/>
      <w:iCs/>
      <w:color w:val="1F4D78" w:themeColor="accent1" w:themeShade="7F"/>
      <w:szCs w:val="24"/>
      <w:lang w:eastAsia="en-US"/>
    </w:rPr>
  </w:style>
  <w:style w:type="character" w:customStyle="1" w:styleId="Heading7Char">
    <w:name w:val="Heading 7 Char"/>
    <w:aliases w:val="Legal Level 1.1. Char,h7 Char,Appendix Major Char,7 Char"/>
    <w:basedOn w:val="DefaultParagraphFont"/>
    <w:link w:val="Heading7"/>
    <w:uiPriority w:val="99"/>
    <w:rsid w:val="001208B4"/>
    <w:rPr>
      <w:rFonts w:ascii="Times New Roman" w:eastAsia="Calibri" w:hAnsi="Times New Roman" w:cs="Times New Roman"/>
      <w:kern w:val="16"/>
      <w:sz w:val="24"/>
      <w:szCs w:val="20"/>
      <w:lang w:eastAsia="en-GB"/>
    </w:rPr>
  </w:style>
  <w:style w:type="character" w:customStyle="1" w:styleId="Heading8Char">
    <w:name w:val="Heading 8 Char"/>
    <w:aliases w:val="Legal Level 1.1.1. Char,h8 Char"/>
    <w:basedOn w:val="DefaultParagraphFont"/>
    <w:link w:val="Heading8"/>
    <w:uiPriority w:val="99"/>
    <w:rsid w:val="001208B4"/>
    <w:rPr>
      <w:rFonts w:ascii="Times New Roman" w:eastAsia="Calibri" w:hAnsi="Times New Roman" w:cs="Times New Roman"/>
      <w:kern w:val="16"/>
      <w:sz w:val="24"/>
      <w:szCs w:val="20"/>
      <w:lang w:eastAsia="en-GB"/>
    </w:rPr>
  </w:style>
  <w:style w:type="character" w:customStyle="1" w:styleId="Heading9Char">
    <w:name w:val="Heading 9 Char"/>
    <w:aliases w:val="Legal Level 1.1.1.1. Char,h9 Char,Heading 9 (defunct) Char"/>
    <w:basedOn w:val="DefaultParagraphFont"/>
    <w:link w:val="Heading9"/>
    <w:uiPriority w:val="99"/>
    <w:rsid w:val="001208B4"/>
    <w:rPr>
      <w:rFonts w:ascii="Times New Roman" w:eastAsia="Calibri" w:hAnsi="Times New Roman" w:cs="Times New Roman"/>
      <w:kern w:val="16"/>
      <w:sz w:val="24"/>
      <w:szCs w:val="20"/>
      <w:lang w:eastAsia="en-GB"/>
    </w:rPr>
  </w:style>
  <w:style w:type="table" w:styleId="TableGrid">
    <w:name w:val="Table Grid"/>
    <w:basedOn w:val="TableNormal"/>
    <w:uiPriority w:val="59"/>
    <w:rsid w:val="001208B4"/>
    <w:pPr>
      <w:spacing w:after="0" w:line="240" w:lineRule="auto"/>
      <w:jc w:val="right"/>
    </w:pPr>
    <w:rPr>
      <w:rFonts w:eastAsiaTheme="minorHAnsi"/>
      <w:szCs w:val="24"/>
      <w:lang w:eastAsia="en-US"/>
    </w:rPr>
    <w:tblPr/>
    <w:tcPr>
      <w:vAlign w:val="bottom"/>
    </w:tcPr>
    <w:tblStylePr w:type="firstRow">
      <w:pPr>
        <w:jc w:val="right"/>
      </w:pPr>
      <w:tblPr/>
      <w:tcPr>
        <w:vAlign w:val="bottom"/>
      </w:tcPr>
    </w:tblStylePr>
    <w:tblStylePr w:type="firstCol">
      <w:pPr>
        <w:wordWrap/>
        <w:jc w:val="left"/>
      </w:pPr>
    </w:tblStylePr>
  </w:style>
  <w:style w:type="paragraph" w:customStyle="1" w:styleId="fh">
    <w:name w:val="fh"/>
    <w:basedOn w:val="Normal"/>
    <w:uiPriority w:val="99"/>
    <w:rsid w:val="001208B4"/>
    <w:pPr>
      <w:spacing w:before="100" w:beforeAutospacing="1" w:after="100" w:afterAutospacing="1"/>
    </w:pPr>
    <w:rPr>
      <w:rFonts w:ascii="Times New Roman" w:eastAsia="Times New Roman" w:hAnsi="Times New Roman" w:cs="Times New Roman"/>
      <w:lang w:eastAsia="en-GB"/>
    </w:rPr>
  </w:style>
  <w:style w:type="character" w:customStyle="1" w:styleId="es">
    <w:name w:val="es"/>
    <w:basedOn w:val="DefaultParagraphFont"/>
    <w:rsid w:val="001208B4"/>
  </w:style>
  <w:style w:type="character" w:customStyle="1" w:styleId="ez">
    <w:name w:val="ez"/>
    <w:basedOn w:val="DefaultParagraphFont"/>
    <w:rsid w:val="001208B4"/>
  </w:style>
  <w:style w:type="paragraph" w:customStyle="1" w:styleId="fi">
    <w:name w:val="fi"/>
    <w:basedOn w:val="Normal"/>
    <w:uiPriority w:val="99"/>
    <w:rsid w:val="001208B4"/>
    <w:pPr>
      <w:spacing w:before="100" w:beforeAutospacing="1" w:after="100" w:afterAutospacing="1"/>
    </w:pPr>
    <w:rPr>
      <w:rFonts w:ascii="Times New Roman" w:eastAsia="Times New Roman" w:hAnsi="Times New Roman" w:cs="Times New Roman"/>
      <w:lang w:eastAsia="en-GB"/>
    </w:rPr>
  </w:style>
  <w:style w:type="paragraph" w:customStyle="1" w:styleId="fj">
    <w:name w:val="fj"/>
    <w:basedOn w:val="Normal"/>
    <w:uiPriority w:val="99"/>
    <w:rsid w:val="001208B4"/>
    <w:pPr>
      <w:spacing w:before="100" w:beforeAutospacing="1" w:after="100" w:afterAutospacing="1"/>
    </w:pPr>
    <w:rPr>
      <w:rFonts w:ascii="Times New Roman" w:eastAsia="Times New Roman" w:hAnsi="Times New Roman" w:cs="Times New Roman"/>
      <w:lang w:eastAsia="en-GB"/>
    </w:rPr>
  </w:style>
  <w:style w:type="paragraph" w:customStyle="1" w:styleId="Bullets">
    <w:name w:val="Bullets_"/>
    <w:basedOn w:val="Normal"/>
    <w:uiPriority w:val="99"/>
    <w:qFormat/>
    <w:rsid w:val="001208B4"/>
    <w:pPr>
      <w:numPr>
        <w:numId w:val="1"/>
      </w:numPr>
    </w:pPr>
    <w:rPr>
      <w:rFonts w:ascii="Arial" w:hAnsi="Arial"/>
      <w:sz w:val="22"/>
    </w:rPr>
  </w:style>
  <w:style w:type="paragraph" w:customStyle="1" w:styleId="Notestext">
    <w:name w:val="Notes_text_"/>
    <w:basedOn w:val="Normal"/>
    <w:uiPriority w:val="99"/>
    <w:qFormat/>
    <w:rsid w:val="001208B4"/>
    <w:pPr>
      <w:ind w:left="567"/>
    </w:pPr>
    <w:rPr>
      <w:rFonts w:ascii="Arial" w:hAnsi="Arial"/>
      <w:sz w:val="22"/>
    </w:rPr>
  </w:style>
  <w:style w:type="paragraph" w:customStyle="1" w:styleId="Bulletsdash">
    <w:name w:val="Bullets dash_"/>
    <w:basedOn w:val="Normal"/>
    <w:uiPriority w:val="99"/>
    <w:rsid w:val="001208B4"/>
    <w:pPr>
      <w:numPr>
        <w:numId w:val="2"/>
      </w:numPr>
    </w:pPr>
    <w:rPr>
      <w:sz w:val="22"/>
    </w:rPr>
  </w:style>
  <w:style w:type="character" w:styleId="CommentReference">
    <w:name w:val="annotation reference"/>
    <w:basedOn w:val="DefaultParagraphFont"/>
    <w:uiPriority w:val="99"/>
    <w:rsid w:val="001208B4"/>
    <w:rPr>
      <w:sz w:val="16"/>
      <w:szCs w:val="16"/>
    </w:rPr>
  </w:style>
  <w:style w:type="paragraph" w:styleId="CommentText">
    <w:name w:val="annotation text"/>
    <w:basedOn w:val="Normal"/>
    <w:link w:val="CommentTextChar"/>
    <w:uiPriority w:val="99"/>
    <w:rsid w:val="001208B4"/>
    <w:rPr>
      <w:sz w:val="20"/>
      <w:szCs w:val="20"/>
    </w:rPr>
  </w:style>
  <w:style w:type="character" w:customStyle="1" w:styleId="CommentTextChar">
    <w:name w:val="Comment Text Char"/>
    <w:basedOn w:val="DefaultParagraphFont"/>
    <w:link w:val="CommentText"/>
    <w:uiPriority w:val="99"/>
    <w:rsid w:val="001208B4"/>
    <w:rPr>
      <w:rFonts w:eastAsiaTheme="minorHAnsi"/>
      <w:sz w:val="20"/>
      <w:szCs w:val="20"/>
      <w:lang w:eastAsia="en-US"/>
    </w:rPr>
  </w:style>
  <w:style w:type="paragraph" w:styleId="CommentSubject">
    <w:name w:val="annotation subject"/>
    <w:basedOn w:val="CommentText"/>
    <w:next w:val="CommentText"/>
    <w:link w:val="CommentSubjectChar"/>
    <w:uiPriority w:val="99"/>
    <w:rsid w:val="001208B4"/>
    <w:rPr>
      <w:b/>
      <w:bCs/>
    </w:rPr>
  </w:style>
  <w:style w:type="character" w:customStyle="1" w:styleId="CommentSubjectChar">
    <w:name w:val="Comment Subject Char"/>
    <w:basedOn w:val="CommentTextChar"/>
    <w:link w:val="CommentSubject"/>
    <w:uiPriority w:val="99"/>
    <w:rsid w:val="001208B4"/>
    <w:rPr>
      <w:rFonts w:eastAsiaTheme="minorHAnsi"/>
      <w:b/>
      <w:bCs/>
      <w:sz w:val="20"/>
      <w:szCs w:val="20"/>
      <w:lang w:eastAsia="en-US"/>
    </w:rPr>
  </w:style>
  <w:style w:type="paragraph" w:styleId="Revision">
    <w:name w:val="Revision"/>
    <w:hidden/>
    <w:uiPriority w:val="99"/>
    <w:rsid w:val="001208B4"/>
    <w:pPr>
      <w:spacing w:after="0" w:line="240" w:lineRule="auto"/>
    </w:pPr>
    <w:rPr>
      <w:rFonts w:eastAsiaTheme="minorHAnsi"/>
      <w:szCs w:val="24"/>
      <w:lang w:eastAsia="en-US"/>
    </w:rPr>
  </w:style>
  <w:style w:type="paragraph" w:customStyle="1" w:styleId="Default">
    <w:name w:val="Default"/>
    <w:basedOn w:val="Normal"/>
    <w:link w:val="DefaultChar"/>
    <w:rsid w:val="001208B4"/>
    <w:pPr>
      <w:autoSpaceDE w:val="0"/>
      <w:autoSpaceDN w:val="0"/>
    </w:pPr>
    <w:rPr>
      <w:rFonts w:ascii="Myriad Pro Light" w:hAnsi="Myriad Pro Light" w:cs="Times New Roman"/>
      <w:color w:val="000000"/>
      <w:lang w:val="en-US"/>
    </w:rPr>
  </w:style>
  <w:style w:type="character" w:customStyle="1" w:styleId="DefaultChar">
    <w:name w:val="Default Char"/>
    <w:basedOn w:val="DefaultParagraphFont"/>
    <w:link w:val="Default"/>
    <w:rsid w:val="001208B4"/>
    <w:rPr>
      <w:rFonts w:ascii="Myriad Pro Light" w:eastAsiaTheme="minorHAnsi" w:hAnsi="Myriad Pro Light" w:cs="Times New Roman"/>
      <w:color w:val="000000"/>
      <w:sz w:val="24"/>
      <w:szCs w:val="24"/>
      <w:lang w:val="en-US" w:eastAsia="en-US"/>
    </w:rPr>
  </w:style>
  <w:style w:type="paragraph" w:styleId="NormalIndent">
    <w:name w:val="Normal Indent"/>
    <w:basedOn w:val="Normal"/>
    <w:uiPriority w:val="99"/>
    <w:rsid w:val="001208B4"/>
    <w:pPr>
      <w:spacing w:after="240"/>
      <w:ind w:left="709"/>
      <w:jc w:val="both"/>
    </w:pPr>
    <w:rPr>
      <w:rFonts w:ascii="Times New Roman" w:eastAsia="Calibri" w:hAnsi="Times New Roman" w:cs="Times New Roman"/>
      <w:kern w:val="16"/>
      <w:szCs w:val="20"/>
      <w:lang w:eastAsia="en-GB"/>
    </w:rPr>
  </w:style>
  <w:style w:type="paragraph" w:customStyle="1" w:styleId="PKFHeading1Numbered">
    <w:name w:val="PKF Heading 1 Numbered"/>
    <w:basedOn w:val="Normal"/>
    <w:next w:val="Normal"/>
    <w:uiPriority w:val="99"/>
    <w:rsid w:val="001208B4"/>
    <w:pPr>
      <w:keepNext/>
      <w:numPr>
        <w:numId w:val="3"/>
      </w:numPr>
      <w:spacing w:before="240" w:after="240"/>
      <w:outlineLvl w:val="0"/>
    </w:pPr>
    <w:rPr>
      <w:rFonts w:ascii="Arial" w:eastAsia="Calibri" w:hAnsi="Arial" w:cs="Arial"/>
      <w:b/>
      <w:bCs/>
      <w:color w:val="000000"/>
      <w:kern w:val="32"/>
      <w:sz w:val="36"/>
      <w:szCs w:val="36"/>
      <w:lang w:eastAsia="en-GB"/>
    </w:rPr>
  </w:style>
  <w:style w:type="character" w:customStyle="1" w:styleId="ep">
    <w:name w:val="ep"/>
    <w:basedOn w:val="DefaultParagraphFont"/>
    <w:rsid w:val="001208B4"/>
  </w:style>
  <w:style w:type="paragraph" w:customStyle="1" w:styleId="tp0">
    <w:name w:val="tp0"/>
    <w:uiPriority w:val="99"/>
    <w:rsid w:val="001208B4"/>
    <w:pPr>
      <w:spacing w:after="120" w:line="240" w:lineRule="auto"/>
      <w:jc w:val="both"/>
    </w:pPr>
    <w:rPr>
      <w:rFonts w:ascii="Times New Roman" w:eastAsia="Times New Roman" w:hAnsi="Times New Roman" w:cs="Times New Roman"/>
      <w:sz w:val="20"/>
      <w:szCs w:val="24"/>
      <w:lang w:eastAsia="en-US"/>
    </w:rPr>
  </w:style>
  <w:style w:type="paragraph" w:customStyle="1" w:styleId="Bullet1">
    <w:name w:val="Bullet 1"/>
    <w:basedOn w:val="Normal"/>
    <w:uiPriority w:val="99"/>
    <w:rsid w:val="001208B4"/>
    <w:pPr>
      <w:numPr>
        <w:numId w:val="4"/>
      </w:numPr>
      <w:snapToGrid w:val="0"/>
      <w:spacing w:before="120" w:after="120" w:line="360" w:lineRule="auto"/>
      <w:jc w:val="both"/>
    </w:pPr>
    <w:rPr>
      <w:rFonts w:ascii="Arial" w:hAnsi="Arial" w:cs="Arial"/>
      <w:sz w:val="18"/>
      <w:szCs w:val="18"/>
      <w:lang w:eastAsia="en-GB"/>
    </w:rPr>
  </w:style>
  <w:style w:type="paragraph" w:customStyle="1" w:styleId="PKFNormalNumbered">
    <w:name w:val="PKF Normal Numbered"/>
    <w:basedOn w:val="Normal"/>
    <w:link w:val="PKFNormalNumberedChar"/>
    <w:uiPriority w:val="99"/>
    <w:rsid w:val="001208B4"/>
    <w:pPr>
      <w:tabs>
        <w:tab w:val="num" w:pos="1301"/>
        <w:tab w:val="left" w:pos="1701"/>
        <w:tab w:val="left" w:pos="2552"/>
        <w:tab w:val="left" w:pos="3402"/>
        <w:tab w:val="left" w:pos="4253"/>
        <w:tab w:val="left" w:pos="5103"/>
        <w:tab w:val="left" w:pos="5954"/>
        <w:tab w:val="left" w:pos="6804"/>
      </w:tabs>
      <w:spacing w:after="180" w:line="360" w:lineRule="auto"/>
      <w:ind w:left="1301" w:hanging="851"/>
      <w:jc w:val="both"/>
    </w:pPr>
    <w:rPr>
      <w:rFonts w:ascii="Arial" w:eastAsia="Calibri" w:hAnsi="Arial" w:cs="Times New Roman"/>
      <w:sz w:val="20"/>
      <w:szCs w:val="20"/>
      <w:lang w:eastAsia="en-GB"/>
    </w:rPr>
  </w:style>
  <w:style w:type="character" w:customStyle="1" w:styleId="PKFNormalNumberedChar">
    <w:name w:val="PKF Normal Numbered Char"/>
    <w:basedOn w:val="DefaultParagraphFont"/>
    <w:link w:val="PKFNormalNumbered"/>
    <w:uiPriority w:val="99"/>
    <w:rsid w:val="001208B4"/>
    <w:rPr>
      <w:rFonts w:ascii="Arial" w:eastAsia="Calibri" w:hAnsi="Arial" w:cs="Times New Roman"/>
      <w:sz w:val="20"/>
      <w:szCs w:val="20"/>
      <w:lang w:eastAsia="en-GB"/>
    </w:rPr>
  </w:style>
  <w:style w:type="paragraph" w:customStyle="1" w:styleId="tp3">
    <w:name w:val="tp3"/>
    <w:basedOn w:val="Normal"/>
    <w:uiPriority w:val="99"/>
    <w:rsid w:val="001208B4"/>
    <w:pPr>
      <w:tabs>
        <w:tab w:val="left" w:pos="567"/>
        <w:tab w:val="left" w:pos="1134"/>
        <w:tab w:val="left" w:pos="1701"/>
        <w:tab w:val="left" w:pos="2268"/>
        <w:tab w:val="left" w:pos="2835"/>
      </w:tabs>
      <w:spacing w:after="120"/>
      <w:ind w:left="567" w:hanging="567"/>
      <w:jc w:val="both"/>
    </w:pPr>
    <w:rPr>
      <w:rFonts w:ascii="Times New Roman" w:eastAsia="Times New Roman" w:hAnsi="Times New Roman" w:cs="Times New Roman"/>
      <w:sz w:val="20"/>
      <w:lang w:eastAsia="en-GB"/>
    </w:rPr>
  </w:style>
  <w:style w:type="paragraph" w:customStyle="1" w:styleId="DefaultText">
    <w:name w:val="Default Text"/>
    <w:basedOn w:val="Normal"/>
    <w:uiPriority w:val="99"/>
    <w:rsid w:val="001208B4"/>
    <w:rPr>
      <w:rFonts w:ascii="Times New Roman" w:eastAsia="Times New Roman" w:hAnsi="Times New Roman" w:cs="Times New Roman"/>
      <w:szCs w:val="20"/>
      <w:lang w:val="en-US"/>
    </w:rPr>
  </w:style>
  <w:style w:type="paragraph" w:styleId="NoSpacing">
    <w:name w:val="No Spacing"/>
    <w:uiPriority w:val="1"/>
    <w:qFormat/>
    <w:rsid w:val="001208B4"/>
    <w:pPr>
      <w:spacing w:after="0" w:line="240" w:lineRule="auto"/>
    </w:pPr>
    <w:rPr>
      <w:rFonts w:eastAsiaTheme="minorHAnsi"/>
      <w:lang w:eastAsia="en-US"/>
    </w:rPr>
  </w:style>
  <w:style w:type="character" w:customStyle="1" w:styleId="bc">
    <w:name w:val="bc"/>
    <w:basedOn w:val="DefaultParagraphFont"/>
    <w:rsid w:val="001208B4"/>
  </w:style>
  <w:style w:type="character" w:customStyle="1" w:styleId="bb">
    <w:name w:val="bb"/>
    <w:basedOn w:val="DefaultParagraphFont"/>
    <w:rsid w:val="001208B4"/>
  </w:style>
  <w:style w:type="paragraph" w:styleId="Caption">
    <w:name w:val="caption"/>
    <w:basedOn w:val="Normal"/>
    <w:next w:val="Normal"/>
    <w:uiPriority w:val="35"/>
    <w:unhideWhenUsed/>
    <w:qFormat/>
    <w:rsid w:val="001208B4"/>
    <w:pPr>
      <w:spacing w:after="200"/>
      <w:jc w:val="both"/>
    </w:pPr>
    <w:rPr>
      <w:rFonts w:ascii="Arial" w:eastAsia="Times New Roman" w:hAnsi="Arial" w:cs="Arial"/>
      <w:b/>
      <w:bCs/>
      <w:color w:val="5B9BD5" w:themeColor="accent1"/>
      <w:sz w:val="18"/>
      <w:szCs w:val="18"/>
    </w:rPr>
  </w:style>
  <w:style w:type="character" w:customStyle="1" w:styleId="mark">
    <w:name w:val="mark"/>
    <w:basedOn w:val="DefaultParagraphFont"/>
    <w:rsid w:val="001208B4"/>
  </w:style>
  <w:style w:type="character" w:customStyle="1" w:styleId="EndnoteTextChar">
    <w:name w:val="Endnote Text Char"/>
    <w:basedOn w:val="DefaultParagraphFont"/>
    <w:link w:val="EndnoteText"/>
    <w:uiPriority w:val="99"/>
    <w:semiHidden/>
    <w:rsid w:val="001208B4"/>
    <w:rPr>
      <w:sz w:val="20"/>
      <w:szCs w:val="20"/>
    </w:rPr>
  </w:style>
  <w:style w:type="paragraph" w:styleId="EndnoteText">
    <w:name w:val="endnote text"/>
    <w:basedOn w:val="Normal"/>
    <w:link w:val="EndnoteTextChar"/>
    <w:uiPriority w:val="99"/>
    <w:semiHidden/>
    <w:unhideWhenUsed/>
    <w:rsid w:val="001208B4"/>
    <w:rPr>
      <w:rFonts w:eastAsiaTheme="minorEastAsia"/>
      <w:sz w:val="20"/>
      <w:szCs w:val="20"/>
      <w:lang w:eastAsia="zh-CN"/>
    </w:rPr>
  </w:style>
  <w:style w:type="character" w:customStyle="1" w:styleId="EndnoteTextChar1">
    <w:name w:val="Endnote Text Char1"/>
    <w:basedOn w:val="DefaultParagraphFont"/>
    <w:uiPriority w:val="99"/>
    <w:semiHidden/>
    <w:rsid w:val="001208B4"/>
    <w:rPr>
      <w:rFonts w:eastAsiaTheme="minorHAnsi"/>
      <w:sz w:val="20"/>
      <w:szCs w:val="20"/>
      <w:lang w:eastAsia="en-US"/>
    </w:rPr>
  </w:style>
  <w:style w:type="character" w:customStyle="1" w:styleId="th">
    <w:name w:val="th"/>
    <w:basedOn w:val="DefaultParagraphFont"/>
    <w:rsid w:val="001208B4"/>
  </w:style>
  <w:style w:type="paragraph" w:customStyle="1" w:styleId="tk">
    <w:name w:val="tk"/>
    <w:basedOn w:val="Normal"/>
    <w:uiPriority w:val="99"/>
    <w:rsid w:val="001208B4"/>
    <w:pPr>
      <w:spacing w:before="100" w:beforeAutospacing="1" w:after="100" w:afterAutospacing="1"/>
    </w:pPr>
    <w:rPr>
      <w:rFonts w:ascii="Times New Roman" w:eastAsia="Times New Roman" w:hAnsi="Times New Roman" w:cs="Times New Roman"/>
      <w:lang w:eastAsia="en-GB"/>
    </w:rPr>
  </w:style>
  <w:style w:type="character" w:customStyle="1" w:styleId="t">
    <w:name w:val="t"/>
    <w:basedOn w:val="DefaultParagraphFont"/>
    <w:rsid w:val="001208B4"/>
  </w:style>
  <w:style w:type="paragraph" w:customStyle="1" w:styleId="BodyText">
    <w:name w:val="#BodyText"/>
    <w:basedOn w:val="Normal"/>
    <w:link w:val="BodyTextChar"/>
    <w:qFormat/>
    <w:rsid w:val="001208B4"/>
    <w:pPr>
      <w:spacing w:after="240"/>
      <w:jc w:val="both"/>
    </w:pPr>
    <w:rPr>
      <w:rFonts w:ascii="Arial" w:eastAsia="Times New Roman" w:hAnsi="Arial" w:cs="Times New Roman"/>
      <w:sz w:val="20"/>
      <w:szCs w:val="20"/>
      <w:lang w:eastAsia="en-CA"/>
    </w:rPr>
  </w:style>
  <w:style w:type="character" w:customStyle="1" w:styleId="BodyTextChar">
    <w:name w:val="#BodyText Char"/>
    <w:basedOn w:val="DefaultParagraphFont"/>
    <w:link w:val="BodyText"/>
    <w:rsid w:val="001208B4"/>
    <w:rPr>
      <w:rFonts w:ascii="Arial" w:eastAsia="Times New Roman" w:hAnsi="Arial" w:cs="Times New Roman"/>
      <w:sz w:val="20"/>
      <w:szCs w:val="20"/>
      <w:lang w:eastAsia="en-CA"/>
    </w:rPr>
  </w:style>
  <w:style w:type="paragraph" w:styleId="NormalWeb">
    <w:name w:val="Normal (Web)"/>
    <w:basedOn w:val="Normal"/>
    <w:uiPriority w:val="99"/>
    <w:rsid w:val="001208B4"/>
    <w:pPr>
      <w:shd w:val="clear" w:color="auto" w:fill="FFFFFF"/>
      <w:spacing w:before="100" w:after="150"/>
    </w:pPr>
    <w:rPr>
      <w:rFonts w:ascii="Times New Roman" w:eastAsia="Times New Roman" w:hAnsi="Times New Roman" w:cs="Times New Roman"/>
      <w:color w:val="000000"/>
      <w:sz w:val="22"/>
      <w:szCs w:val="20"/>
    </w:rPr>
  </w:style>
  <w:style w:type="table" w:customStyle="1" w:styleId="TableGridLight1">
    <w:name w:val="Table Grid Light1"/>
    <w:basedOn w:val="TableNormal"/>
    <w:uiPriority w:val="40"/>
    <w:rsid w:val="001208B4"/>
    <w:pPr>
      <w:spacing w:after="0" w:line="240" w:lineRule="auto"/>
    </w:pPr>
    <w:rPr>
      <w:rFonts w:eastAsiaTheme="minorHAnsi"/>
      <w:lang w:eastAsia="en-US"/>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Bibliography">
    <w:name w:val="Bibliography"/>
    <w:basedOn w:val="Normal"/>
    <w:next w:val="Normal"/>
    <w:uiPriority w:val="37"/>
    <w:semiHidden/>
    <w:unhideWhenUsed/>
    <w:rsid w:val="001208B4"/>
    <w:pPr>
      <w:spacing w:after="200" w:line="276" w:lineRule="auto"/>
    </w:pPr>
    <w:rPr>
      <w:sz w:val="22"/>
      <w:szCs w:val="22"/>
    </w:rPr>
  </w:style>
  <w:style w:type="paragraph" w:styleId="BlockText">
    <w:name w:val="Block Text"/>
    <w:basedOn w:val="Normal"/>
    <w:uiPriority w:val="99"/>
    <w:semiHidden/>
    <w:unhideWhenUsed/>
    <w:rsid w:val="001208B4"/>
    <w:pPr>
      <w:pBdr>
        <w:top w:val="single" w:sz="2" w:space="10" w:color="5B9BD5" w:themeColor="accent1"/>
        <w:left w:val="single" w:sz="2" w:space="10" w:color="5B9BD5" w:themeColor="accent1"/>
        <w:bottom w:val="single" w:sz="2" w:space="10" w:color="5B9BD5" w:themeColor="accent1"/>
        <w:right w:val="single" w:sz="2" w:space="10" w:color="5B9BD5" w:themeColor="accent1"/>
      </w:pBdr>
      <w:spacing w:after="200" w:line="276" w:lineRule="auto"/>
      <w:ind w:left="1152" w:right="1152"/>
    </w:pPr>
    <w:rPr>
      <w:rFonts w:eastAsiaTheme="minorEastAsia"/>
      <w:i/>
      <w:iCs/>
      <w:color w:val="5B9BD5" w:themeColor="accent1"/>
      <w:sz w:val="22"/>
      <w:szCs w:val="22"/>
    </w:rPr>
  </w:style>
  <w:style w:type="paragraph" w:styleId="BodyText0">
    <w:name w:val="Body Text"/>
    <w:basedOn w:val="Normal"/>
    <w:link w:val="BodyTextChar0"/>
    <w:uiPriority w:val="99"/>
    <w:semiHidden/>
    <w:unhideWhenUsed/>
    <w:rsid w:val="001208B4"/>
    <w:pPr>
      <w:spacing w:after="120" w:line="276" w:lineRule="auto"/>
    </w:pPr>
    <w:rPr>
      <w:sz w:val="22"/>
      <w:szCs w:val="22"/>
    </w:rPr>
  </w:style>
  <w:style w:type="character" w:customStyle="1" w:styleId="BodyTextChar0">
    <w:name w:val="Body Text Char"/>
    <w:basedOn w:val="DefaultParagraphFont"/>
    <w:link w:val="BodyText0"/>
    <w:uiPriority w:val="99"/>
    <w:semiHidden/>
    <w:rsid w:val="001208B4"/>
    <w:rPr>
      <w:rFonts w:eastAsiaTheme="minorHAnsi"/>
      <w:lang w:eastAsia="en-US"/>
    </w:rPr>
  </w:style>
  <w:style w:type="paragraph" w:styleId="BodyText2">
    <w:name w:val="Body Text 2"/>
    <w:basedOn w:val="Normal"/>
    <w:link w:val="BodyText2Char"/>
    <w:uiPriority w:val="99"/>
    <w:semiHidden/>
    <w:unhideWhenUsed/>
    <w:rsid w:val="001208B4"/>
    <w:pPr>
      <w:spacing w:after="120" w:line="480" w:lineRule="auto"/>
    </w:pPr>
    <w:rPr>
      <w:sz w:val="22"/>
      <w:szCs w:val="22"/>
    </w:rPr>
  </w:style>
  <w:style w:type="character" w:customStyle="1" w:styleId="BodyText2Char">
    <w:name w:val="Body Text 2 Char"/>
    <w:basedOn w:val="DefaultParagraphFont"/>
    <w:link w:val="BodyText2"/>
    <w:uiPriority w:val="99"/>
    <w:semiHidden/>
    <w:rsid w:val="001208B4"/>
    <w:rPr>
      <w:rFonts w:eastAsiaTheme="minorHAnsi"/>
      <w:lang w:eastAsia="en-US"/>
    </w:rPr>
  </w:style>
  <w:style w:type="paragraph" w:styleId="BodyText3">
    <w:name w:val="Body Text 3"/>
    <w:basedOn w:val="Normal"/>
    <w:link w:val="BodyText3Char"/>
    <w:uiPriority w:val="99"/>
    <w:semiHidden/>
    <w:unhideWhenUsed/>
    <w:rsid w:val="001208B4"/>
    <w:pPr>
      <w:spacing w:after="120" w:line="276" w:lineRule="auto"/>
    </w:pPr>
    <w:rPr>
      <w:sz w:val="16"/>
      <w:szCs w:val="16"/>
    </w:rPr>
  </w:style>
  <w:style w:type="character" w:customStyle="1" w:styleId="BodyText3Char">
    <w:name w:val="Body Text 3 Char"/>
    <w:basedOn w:val="DefaultParagraphFont"/>
    <w:link w:val="BodyText3"/>
    <w:uiPriority w:val="99"/>
    <w:semiHidden/>
    <w:rsid w:val="001208B4"/>
    <w:rPr>
      <w:rFonts w:eastAsiaTheme="minorHAnsi"/>
      <w:sz w:val="16"/>
      <w:szCs w:val="16"/>
      <w:lang w:eastAsia="en-US"/>
    </w:rPr>
  </w:style>
  <w:style w:type="paragraph" w:styleId="BodyTextFirstIndent">
    <w:name w:val="Body Text First Indent"/>
    <w:basedOn w:val="BodyText0"/>
    <w:link w:val="BodyTextFirstIndentChar"/>
    <w:uiPriority w:val="99"/>
    <w:semiHidden/>
    <w:unhideWhenUsed/>
    <w:rsid w:val="001208B4"/>
    <w:pPr>
      <w:spacing w:after="200"/>
      <w:ind w:firstLine="360"/>
    </w:pPr>
  </w:style>
  <w:style w:type="character" w:customStyle="1" w:styleId="BodyTextFirstIndentChar">
    <w:name w:val="Body Text First Indent Char"/>
    <w:basedOn w:val="BodyTextChar0"/>
    <w:link w:val="BodyTextFirstIndent"/>
    <w:uiPriority w:val="99"/>
    <w:semiHidden/>
    <w:rsid w:val="001208B4"/>
    <w:rPr>
      <w:rFonts w:eastAsiaTheme="minorHAnsi"/>
      <w:lang w:eastAsia="en-US"/>
    </w:rPr>
  </w:style>
  <w:style w:type="paragraph" w:styleId="BodyTextIndent">
    <w:name w:val="Body Text Indent"/>
    <w:basedOn w:val="Normal"/>
    <w:link w:val="BodyTextIndentChar"/>
    <w:uiPriority w:val="99"/>
    <w:semiHidden/>
    <w:unhideWhenUsed/>
    <w:rsid w:val="001208B4"/>
    <w:pPr>
      <w:spacing w:after="120" w:line="276" w:lineRule="auto"/>
      <w:ind w:left="283"/>
    </w:pPr>
    <w:rPr>
      <w:sz w:val="22"/>
      <w:szCs w:val="22"/>
    </w:rPr>
  </w:style>
  <w:style w:type="character" w:customStyle="1" w:styleId="BodyTextIndentChar">
    <w:name w:val="Body Text Indent Char"/>
    <w:basedOn w:val="DefaultParagraphFont"/>
    <w:link w:val="BodyTextIndent"/>
    <w:uiPriority w:val="99"/>
    <w:semiHidden/>
    <w:rsid w:val="001208B4"/>
    <w:rPr>
      <w:rFonts w:eastAsiaTheme="minorHAnsi"/>
      <w:lang w:eastAsia="en-US"/>
    </w:rPr>
  </w:style>
  <w:style w:type="paragraph" w:styleId="BodyTextFirstIndent2">
    <w:name w:val="Body Text First Indent 2"/>
    <w:basedOn w:val="BodyTextIndent"/>
    <w:link w:val="BodyTextFirstIndent2Char"/>
    <w:uiPriority w:val="99"/>
    <w:semiHidden/>
    <w:unhideWhenUsed/>
    <w:rsid w:val="001208B4"/>
    <w:pPr>
      <w:spacing w:after="200"/>
      <w:ind w:left="360" w:firstLine="360"/>
    </w:pPr>
  </w:style>
  <w:style w:type="character" w:customStyle="1" w:styleId="BodyTextFirstIndent2Char">
    <w:name w:val="Body Text First Indent 2 Char"/>
    <w:basedOn w:val="BodyTextIndentChar"/>
    <w:link w:val="BodyTextFirstIndent2"/>
    <w:uiPriority w:val="99"/>
    <w:semiHidden/>
    <w:rsid w:val="001208B4"/>
    <w:rPr>
      <w:rFonts w:eastAsiaTheme="minorHAnsi"/>
      <w:lang w:eastAsia="en-US"/>
    </w:rPr>
  </w:style>
  <w:style w:type="paragraph" w:styleId="BodyTextIndent2">
    <w:name w:val="Body Text Indent 2"/>
    <w:basedOn w:val="Normal"/>
    <w:link w:val="BodyTextIndent2Char"/>
    <w:uiPriority w:val="99"/>
    <w:semiHidden/>
    <w:unhideWhenUsed/>
    <w:rsid w:val="001208B4"/>
    <w:pPr>
      <w:spacing w:after="120" w:line="480" w:lineRule="auto"/>
      <w:ind w:left="283"/>
    </w:pPr>
    <w:rPr>
      <w:sz w:val="22"/>
      <w:szCs w:val="22"/>
    </w:rPr>
  </w:style>
  <w:style w:type="character" w:customStyle="1" w:styleId="BodyTextIndent2Char">
    <w:name w:val="Body Text Indent 2 Char"/>
    <w:basedOn w:val="DefaultParagraphFont"/>
    <w:link w:val="BodyTextIndent2"/>
    <w:uiPriority w:val="99"/>
    <w:semiHidden/>
    <w:rsid w:val="001208B4"/>
    <w:rPr>
      <w:rFonts w:eastAsiaTheme="minorHAnsi"/>
      <w:lang w:eastAsia="en-US"/>
    </w:rPr>
  </w:style>
  <w:style w:type="paragraph" w:styleId="BodyTextIndent3">
    <w:name w:val="Body Text Indent 3"/>
    <w:basedOn w:val="Normal"/>
    <w:link w:val="BodyTextIndent3Char"/>
    <w:uiPriority w:val="99"/>
    <w:semiHidden/>
    <w:unhideWhenUsed/>
    <w:rsid w:val="001208B4"/>
    <w:pPr>
      <w:spacing w:after="120" w:line="276" w:lineRule="auto"/>
      <w:ind w:left="283"/>
    </w:pPr>
    <w:rPr>
      <w:sz w:val="16"/>
      <w:szCs w:val="16"/>
    </w:rPr>
  </w:style>
  <w:style w:type="character" w:customStyle="1" w:styleId="BodyTextIndent3Char">
    <w:name w:val="Body Text Indent 3 Char"/>
    <w:basedOn w:val="DefaultParagraphFont"/>
    <w:link w:val="BodyTextIndent3"/>
    <w:uiPriority w:val="99"/>
    <w:semiHidden/>
    <w:rsid w:val="001208B4"/>
    <w:rPr>
      <w:rFonts w:eastAsiaTheme="minorHAnsi"/>
      <w:sz w:val="16"/>
      <w:szCs w:val="16"/>
      <w:lang w:eastAsia="en-US"/>
    </w:rPr>
  </w:style>
  <w:style w:type="paragraph" w:styleId="Closing">
    <w:name w:val="Closing"/>
    <w:basedOn w:val="Normal"/>
    <w:link w:val="ClosingChar"/>
    <w:uiPriority w:val="99"/>
    <w:semiHidden/>
    <w:unhideWhenUsed/>
    <w:rsid w:val="001208B4"/>
    <w:pPr>
      <w:ind w:left="4252"/>
    </w:pPr>
    <w:rPr>
      <w:sz w:val="22"/>
      <w:szCs w:val="22"/>
    </w:rPr>
  </w:style>
  <w:style w:type="character" w:customStyle="1" w:styleId="ClosingChar">
    <w:name w:val="Closing Char"/>
    <w:basedOn w:val="DefaultParagraphFont"/>
    <w:link w:val="Closing"/>
    <w:uiPriority w:val="99"/>
    <w:semiHidden/>
    <w:rsid w:val="001208B4"/>
    <w:rPr>
      <w:rFonts w:eastAsiaTheme="minorHAnsi"/>
      <w:lang w:eastAsia="en-US"/>
    </w:rPr>
  </w:style>
  <w:style w:type="paragraph" w:styleId="Date">
    <w:name w:val="Date"/>
    <w:basedOn w:val="Normal"/>
    <w:next w:val="Normal"/>
    <w:link w:val="DateChar"/>
    <w:uiPriority w:val="99"/>
    <w:semiHidden/>
    <w:unhideWhenUsed/>
    <w:rsid w:val="001208B4"/>
    <w:pPr>
      <w:spacing w:after="200" w:line="276" w:lineRule="auto"/>
    </w:pPr>
    <w:rPr>
      <w:sz w:val="22"/>
      <w:szCs w:val="22"/>
    </w:rPr>
  </w:style>
  <w:style w:type="character" w:customStyle="1" w:styleId="DateChar">
    <w:name w:val="Date Char"/>
    <w:basedOn w:val="DefaultParagraphFont"/>
    <w:link w:val="Date"/>
    <w:uiPriority w:val="99"/>
    <w:semiHidden/>
    <w:rsid w:val="001208B4"/>
    <w:rPr>
      <w:rFonts w:eastAsiaTheme="minorHAnsi"/>
      <w:lang w:eastAsia="en-US"/>
    </w:rPr>
  </w:style>
  <w:style w:type="paragraph" w:styleId="DocumentMap">
    <w:name w:val="Document Map"/>
    <w:basedOn w:val="Normal"/>
    <w:link w:val="DocumentMapChar"/>
    <w:uiPriority w:val="99"/>
    <w:semiHidden/>
    <w:unhideWhenUsed/>
    <w:rsid w:val="001208B4"/>
    <w:rPr>
      <w:rFonts w:ascii="Tahoma" w:hAnsi="Tahoma" w:cs="Tahoma"/>
      <w:sz w:val="16"/>
      <w:szCs w:val="16"/>
    </w:rPr>
  </w:style>
  <w:style w:type="character" w:customStyle="1" w:styleId="DocumentMapChar">
    <w:name w:val="Document Map Char"/>
    <w:basedOn w:val="DefaultParagraphFont"/>
    <w:link w:val="DocumentMap"/>
    <w:uiPriority w:val="99"/>
    <w:semiHidden/>
    <w:rsid w:val="001208B4"/>
    <w:rPr>
      <w:rFonts w:ascii="Tahoma" w:eastAsiaTheme="minorHAnsi" w:hAnsi="Tahoma" w:cs="Tahoma"/>
      <w:sz w:val="16"/>
      <w:szCs w:val="16"/>
      <w:lang w:eastAsia="en-US"/>
    </w:rPr>
  </w:style>
  <w:style w:type="paragraph" w:styleId="E-mailSignature">
    <w:name w:val="E-mail Signature"/>
    <w:basedOn w:val="Normal"/>
    <w:link w:val="E-mailSignatureChar"/>
    <w:uiPriority w:val="99"/>
    <w:semiHidden/>
    <w:unhideWhenUsed/>
    <w:rsid w:val="001208B4"/>
    <w:rPr>
      <w:sz w:val="22"/>
      <w:szCs w:val="22"/>
    </w:rPr>
  </w:style>
  <w:style w:type="character" w:customStyle="1" w:styleId="E-mailSignatureChar">
    <w:name w:val="E-mail Signature Char"/>
    <w:basedOn w:val="DefaultParagraphFont"/>
    <w:link w:val="E-mailSignature"/>
    <w:uiPriority w:val="99"/>
    <w:semiHidden/>
    <w:rsid w:val="001208B4"/>
    <w:rPr>
      <w:rFonts w:eastAsiaTheme="minorHAnsi"/>
      <w:lang w:eastAsia="en-US"/>
    </w:rPr>
  </w:style>
  <w:style w:type="paragraph" w:styleId="EnvelopeAddress">
    <w:name w:val="envelope address"/>
    <w:basedOn w:val="Normal"/>
    <w:uiPriority w:val="99"/>
    <w:semiHidden/>
    <w:unhideWhenUsed/>
    <w:rsid w:val="001208B4"/>
    <w:pPr>
      <w:framePr w:w="7920" w:h="1980" w:hRule="exact" w:hSpace="180" w:wrap="auto" w:hAnchor="page" w:xAlign="center" w:yAlign="bottom"/>
      <w:ind w:left="2880"/>
    </w:pPr>
    <w:rPr>
      <w:rFonts w:asciiTheme="majorHAnsi" w:eastAsiaTheme="majorEastAsia" w:hAnsiTheme="majorHAnsi" w:cstheme="majorBidi"/>
    </w:rPr>
  </w:style>
  <w:style w:type="paragraph" w:styleId="EnvelopeReturn">
    <w:name w:val="envelope return"/>
    <w:basedOn w:val="Normal"/>
    <w:uiPriority w:val="99"/>
    <w:semiHidden/>
    <w:unhideWhenUsed/>
    <w:rsid w:val="001208B4"/>
    <w:rPr>
      <w:rFonts w:asciiTheme="majorHAnsi" w:eastAsiaTheme="majorEastAsia" w:hAnsiTheme="majorHAnsi" w:cstheme="majorBidi"/>
      <w:sz w:val="20"/>
      <w:szCs w:val="20"/>
    </w:rPr>
  </w:style>
  <w:style w:type="paragraph" w:styleId="HTMLAddress">
    <w:name w:val="HTML Address"/>
    <w:basedOn w:val="Normal"/>
    <w:link w:val="HTMLAddressChar"/>
    <w:uiPriority w:val="99"/>
    <w:semiHidden/>
    <w:unhideWhenUsed/>
    <w:rsid w:val="001208B4"/>
    <w:rPr>
      <w:i/>
      <w:iCs/>
      <w:sz w:val="22"/>
      <w:szCs w:val="22"/>
    </w:rPr>
  </w:style>
  <w:style w:type="character" w:customStyle="1" w:styleId="HTMLAddressChar">
    <w:name w:val="HTML Address Char"/>
    <w:basedOn w:val="DefaultParagraphFont"/>
    <w:link w:val="HTMLAddress"/>
    <w:uiPriority w:val="99"/>
    <w:semiHidden/>
    <w:rsid w:val="001208B4"/>
    <w:rPr>
      <w:rFonts w:eastAsiaTheme="minorHAnsi"/>
      <w:i/>
      <w:iCs/>
      <w:lang w:eastAsia="en-US"/>
    </w:rPr>
  </w:style>
  <w:style w:type="paragraph" w:styleId="HTMLPreformatted">
    <w:name w:val="HTML Preformatted"/>
    <w:basedOn w:val="Normal"/>
    <w:link w:val="HTMLPreformattedChar"/>
    <w:uiPriority w:val="99"/>
    <w:semiHidden/>
    <w:unhideWhenUsed/>
    <w:rsid w:val="001208B4"/>
    <w:rPr>
      <w:rFonts w:ascii="Consolas" w:hAnsi="Consolas" w:cs="Consolas"/>
      <w:sz w:val="20"/>
      <w:szCs w:val="20"/>
    </w:rPr>
  </w:style>
  <w:style w:type="character" w:customStyle="1" w:styleId="HTMLPreformattedChar">
    <w:name w:val="HTML Preformatted Char"/>
    <w:basedOn w:val="DefaultParagraphFont"/>
    <w:link w:val="HTMLPreformatted"/>
    <w:uiPriority w:val="99"/>
    <w:semiHidden/>
    <w:rsid w:val="001208B4"/>
    <w:rPr>
      <w:rFonts w:ascii="Consolas" w:eastAsiaTheme="minorHAnsi" w:hAnsi="Consolas" w:cs="Consolas"/>
      <w:sz w:val="20"/>
      <w:szCs w:val="20"/>
      <w:lang w:eastAsia="en-US"/>
    </w:rPr>
  </w:style>
  <w:style w:type="paragraph" w:styleId="Index1">
    <w:name w:val="index 1"/>
    <w:basedOn w:val="Normal"/>
    <w:next w:val="Normal"/>
    <w:autoRedefine/>
    <w:uiPriority w:val="99"/>
    <w:semiHidden/>
    <w:unhideWhenUsed/>
    <w:rsid w:val="001208B4"/>
    <w:pPr>
      <w:ind w:left="220" w:hanging="220"/>
    </w:pPr>
    <w:rPr>
      <w:sz w:val="22"/>
      <w:szCs w:val="22"/>
    </w:rPr>
  </w:style>
  <w:style w:type="paragraph" w:styleId="Index2">
    <w:name w:val="index 2"/>
    <w:basedOn w:val="Normal"/>
    <w:next w:val="Normal"/>
    <w:autoRedefine/>
    <w:uiPriority w:val="99"/>
    <w:semiHidden/>
    <w:unhideWhenUsed/>
    <w:rsid w:val="001208B4"/>
    <w:pPr>
      <w:ind w:left="440" w:hanging="220"/>
    </w:pPr>
    <w:rPr>
      <w:sz w:val="22"/>
      <w:szCs w:val="22"/>
    </w:rPr>
  </w:style>
  <w:style w:type="paragraph" w:styleId="Index3">
    <w:name w:val="index 3"/>
    <w:basedOn w:val="Normal"/>
    <w:next w:val="Normal"/>
    <w:autoRedefine/>
    <w:uiPriority w:val="99"/>
    <w:semiHidden/>
    <w:unhideWhenUsed/>
    <w:rsid w:val="001208B4"/>
    <w:pPr>
      <w:ind w:left="660" w:hanging="220"/>
    </w:pPr>
    <w:rPr>
      <w:sz w:val="22"/>
      <w:szCs w:val="22"/>
    </w:rPr>
  </w:style>
  <w:style w:type="paragraph" w:styleId="Index4">
    <w:name w:val="index 4"/>
    <w:basedOn w:val="Normal"/>
    <w:next w:val="Normal"/>
    <w:autoRedefine/>
    <w:uiPriority w:val="99"/>
    <w:semiHidden/>
    <w:unhideWhenUsed/>
    <w:rsid w:val="001208B4"/>
    <w:pPr>
      <w:ind w:left="880" w:hanging="220"/>
    </w:pPr>
    <w:rPr>
      <w:sz w:val="22"/>
      <w:szCs w:val="22"/>
    </w:rPr>
  </w:style>
  <w:style w:type="paragraph" w:styleId="Index5">
    <w:name w:val="index 5"/>
    <w:basedOn w:val="Normal"/>
    <w:next w:val="Normal"/>
    <w:autoRedefine/>
    <w:uiPriority w:val="99"/>
    <w:semiHidden/>
    <w:unhideWhenUsed/>
    <w:rsid w:val="001208B4"/>
    <w:pPr>
      <w:ind w:left="1100" w:hanging="220"/>
    </w:pPr>
    <w:rPr>
      <w:sz w:val="22"/>
      <w:szCs w:val="22"/>
    </w:rPr>
  </w:style>
  <w:style w:type="paragraph" w:styleId="Index6">
    <w:name w:val="index 6"/>
    <w:basedOn w:val="Normal"/>
    <w:next w:val="Normal"/>
    <w:autoRedefine/>
    <w:uiPriority w:val="99"/>
    <w:semiHidden/>
    <w:unhideWhenUsed/>
    <w:rsid w:val="001208B4"/>
    <w:pPr>
      <w:ind w:left="1320" w:hanging="220"/>
    </w:pPr>
    <w:rPr>
      <w:sz w:val="22"/>
      <w:szCs w:val="22"/>
    </w:rPr>
  </w:style>
  <w:style w:type="paragraph" w:styleId="Index7">
    <w:name w:val="index 7"/>
    <w:basedOn w:val="Normal"/>
    <w:next w:val="Normal"/>
    <w:autoRedefine/>
    <w:uiPriority w:val="99"/>
    <w:semiHidden/>
    <w:unhideWhenUsed/>
    <w:rsid w:val="001208B4"/>
    <w:pPr>
      <w:ind w:left="1540" w:hanging="220"/>
    </w:pPr>
    <w:rPr>
      <w:sz w:val="22"/>
      <w:szCs w:val="22"/>
    </w:rPr>
  </w:style>
  <w:style w:type="paragraph" w:styleId="Index8">
    <w:name w:val="index 8"/>
    <w:basedOn w:val="Normal"/>
    <w:next w:val="Normal"/>
    <w:autoRedefine/>
    <w:uiPriority w:val="99"/>
    <w:semiHidden/>
    <w:unhideWhenUsed/>
    <w:rsid w:val="001208B4"/>
    <w:pPr>
      <w:ind w:left="1760" w:hanging="220"/>
    </w:pPr>
    <w:rPr>
      <w:sz w:val="22"/>
      <w:szCs w:val="22"/>
    </w:rPr>
  </w:style>
  <w:style w:type="paragraph" w:styleId="Index9">
    <w:name w:val="index 9"/>
    <w:basedOn w:val="Normal"/>
    <w:next w:val="Normal"/>
    <w:autoRedefine/>
    <w:uiPriority w:val="99"/>
    <w:semiHidden/>
    <w:unhideWhenUsed/>
    <w:rsid w:val="001208B4"/>
    <w:pPr>
      <w:ind w:left="1980" w:hanging="220"/>
    </w:pPr>
    <w:rPr>
      <w:sz w:val="22"/>
      <w:szCs w:val="22"/>
    </w:rPr>
  </w:style>
  <w:style w:type="paragraph" w:styleId="IndexHeading">
    <w:name w:val="index heading"/>
    <w:basedOn w:val="Normal"/>
    <w:next w:val="Index1"/>
    <w:uiPriority w:val="99"/>
    <w:semiHidden/>
    <w:unhideWhenUsed/>
    <w:rsid w:val="001208B4"/>
    <w:pPr>
      <w:spacing w:after="200" w:line="276" w:lineRule="auto"/>
    </w:pPr>
    <w:rPr>
      <w:rFonts w:asciiTheme="majorHAnsi" w:eastAsiaTheme="majorEastAsia" w:hAnsiTheme="majorHAnsi" w:cstheme="majorBidi"/>
      <w:b/>
      <w:bCs/>
      <w:sz w:val="22"/>
      <w:szCs w:val="22"/>
    </w:rPr>
  </w:style>
  <w:style w:type="paragraph" w:styleId="IntenseQuote">
    <w:name w:val="Intense Quote"/>
    <w:basedOn w:val="Normal"/>
    <w:next w:val="Normal"/>
    <w:link w:val="IntenseQuoteChar"/>
    <w:uiPriority w:val="30"/>
    <w:qFormat/>
    <w:rsid w:val="001208B4"/>
    <w:pPr>
      <w:pBdr>
        <w:bottom w:val="single" w:sz="4" w:space="4" w:color="5B9BD5" w:themeColor="accent1"/>
      </w:pBdr>
      <w:spacing w:before="200" w:after="280" w:line="276" w:lineRule="auto"/>
      <w:ind w:left="936" w:right="936"/>
    </w:pPr>
    <w:rPr>
      <w:b/>
      <w:bCs/>
      <w:i/>
      <w:iCs/>
      <w:color w:val="5B9BD5" w:themeColor="accent1"/>
      <w:sz w:val="22"/>
      <w:szCs w:val="22"/>
    </w:rPr>
  </w:style>
  <w:style w:type="character" w:customStyle="1" w:styleId="IntenseQuoteChar">
    <w:name w:val="Intense Quote Char"/>
    <w:basedOn w:val="DefaultParagraphFont"/>
    <w:link w:val="IntenseQuote"/>
    <w:uiPriority w:val="30"/>
    <w:rsid w:val="001208B4"/>
    <w:rPr>
      <w:rFonts w:eastAsiaTheme="minorHAnsi"/>
      <w:b/>
      <w:bCs/>
      <w:i/>
      <w:iCs/>
      <w:color w:val="5B9BD5" w:themeColor="accent1"/>
      <w:lang w:eastAsia="en-US"/>
    </w:rPr>
  </w:style>
  <w:style w:type="paragraph" w:styleId="List">
    <w:name w:val="List"/>
    <w:basedOn w:val="Normal"/>
    <w:uiPriority w:val="99"/>
    <w:semiHidden/>
    <w:unhideWhenUsed/>
    <w:rsid w:val="001208B4"/>
    <w:pPr>
      <w:spacing w:after="200" w:line="276" w:lineRule="auto"/>
      <w:ind w:left="283" w:hanging="283"/>
      <w:contextualSpacing/>
    </w:pPr>
    <w:rPr>
      <w:sz w:val="22"/>
      <w:szCs w:val="22"/>
    </w:rPr>
  </w:style>
  <w:style w:type="paragraph" w:styleId="List2">
    <w:name w:val="List 2"/>
    <w:basedOn w:val="Normal"/>
    <w:uiPriority w:val="99"/>
    <w:semiHidden/>
    <w:unhideWhenUsed/>
    <w:rsid w:val="001208B4"/>
    <w:pPr>
      <w:spacing w:after="200" w:line="276" w:lineRule="auto"/>
      <w:ind w:left="566" w:hanging="283"/>
      <w:contextualSpacing/>
    </w:pPr>
    <w:rPr>
      <w:sz w:val="22"/>
      <w:szCs w:val="22"/>
    </w:rPr>
  </w:style>
  <w:style w:type="paragraph" w:styleId="List3">
    <w:name w:val="List 3"/>
    <w:basedOn w:val="Normal"/>
    <w:uiPriority w:val="99"/>
    <w:semiHidden/>
    <w:unhideWhenUsed/>
    <w:rsid w:val="001208B4"/>
    <w:pPr>
      <w:spacing w:after="200" w:line="276" w:lineRule="auto"/>
      <w:ind w:left="849" w:hanging="283"/>
      <w:contextualSpacing/>
    </w:pPr>
    <w:rPr>
      <w:sz w:val="22"/>
      <w:szCs w:val="22"/>
    </w:rPr>
  </w:style>
  <w:style w:type="paragraph" w:styleId="List4">
    <w:name w:val="List 4"/>
    <w:basedOn w:val="Normal"/>
    <w:uiPriority w:val="99"/>
    <w:semiHidden/>
    <w:unhideWhenUsed/>
    <w:rsid w:val="001208B4"/>
    <w:pPr>
      <w:spacing w:after="200" w:line="276" w:lineRule="auto"/>
      <w:ind w:left="1132" w:hanging="283"/>
      <w:contextualSpacing/>
    </w:pPr>
    <w:rPr>
      <w:sz w:val="22"/>
      <w:szCs w:val="22"/>
    </w:rPr>
  </w:style>
  <w:style w:type="paragraph" w:styleId="List5">
    <w:name w:val="List 5"/>
    <w:basedOn w:val="Normal"/>
    <w:uiPriority w:val="99"/>
    <w:semiHidden/>
    <w:unhideWhenUsed/>
    <w:rsid w:val="001208B4"/>
    <w:pPr>
      <w:spacing w:after="200" w:line="276" w:lineRule="auto"/>
      <w:ind w:left="1415" w:hanging="283"/>
      <w:contextualSpacing/>
    </w:pPr>
    <w:rPr>
      <w:sz w:val="22"/>
      <w:szCs w:val="22"/>
    </w:rPr>
  </w:style>
  <w:style w:type="paragraph" w:styleId="ListBullet">
    <w:name w:val="List Bullet"/>
    <w:basedOn w:val="Normal"/>
    <w:uiPriority w:val="99"/>
    <w:semiHidden/>
    <w:unhideWhenUsed/>
    <w:rsid w:val="001208B4"/>
    <w:pPr>
      <w:numPr>
        <w:numId w:val="5"/>
      </w:numPr>
      <w:spacing w:after="200" w:line="276" w:lineRule="auto"/>
      <w:contextualSpacing/>
    </w:pPr>
    <w:rPr>
      <w:sz w:val="22"/>
      <w:szCs w:val="22"/>
    </w:rPr>
  </w:style>
  <w:style w:type="paragraph" w:styleId="ListBullet2">
    <w:name w:val="List Bullet 2"/>
    <w:basedOn w:val="Normal"/>
    <w:uiPriority w:val="99"/>
    <w:semiHidden/>
    <w:unhideWhenUsed/>
    <w:rsid w:val="001208B4"/>
    <w:pPr>
      <w:numPr>
        <w:numId w:val="6"/>
      </w:numPr>
      <w:spacing w:after="200" w:line="276" w:lineRule="auto"/>
      <w:contextualSpacing/>
    </w:pPr>
    <w:rPr>
      <w:sz w:val="22"/>
      <w:szCs w:val="22"/>
    </w:rPr>
  </w:style>
  <w:style w:type="paragraph" w:styleId="ListBullet3">
    <w:name w:val="List Bullet 3"/>
    <w:basedOn w:val="Normal"/>
    <w:uiPriority w:val="99"/>
    <w:semiHidden/>
    <w:unhideWhenUsed/>
    <w:rsid w:val="001208B4"/>
    <w:pPr>
      <w:numPr>
        <w:numId w:val="7"/>
      </w:numPr>
      <w:spacing w:after="200" w:line="276" w:lineRule="auto"/>
      <w:contextualSpacing/>
    </w:pPr>
    <w:rPr>
      <w:sz w:val="22"/>
      <w:szCs w:val="22"/>
    </w:rPr>
  </w:style>
  <w:style w:type="paragraph" w:styleId="ListBullet4">
    <w:name w:val="List Bullet 4"/>
    <w:basedOn w:val="Normal"/>
    <w:uiPriority w:val="99"/>
    <w:semiHidden/>
    <w:unhideWhenUsed/>
    <w:rsid w:val="001208B4"/>
    <w:pPr>
      <w:numPr>
        <w:numId w:val="8"/>
      </w:numPr>
      <w:spacing w:after="200" w:line="276" w:lineRule="auto"/>
      <w:contextualSpacing/>
    </w:pPr>
    <w:rPr>
      <w:sz w:val="22"/>
      <w:szCs w:val="22"/>
    </w:rPr>
  </w:style>
  <w:style w:type="paragraph" w:styleId="ListBullet5">
    <w:name w:val="List Bullet 5"/>
    <w:basedOn w:val="Normal"/>
    <w:uiPriority w:val="99"/>
    <w:semiHidden/>
    <w:unhideWhenUsed/>
    <w:rsid w:val="001208B4"/>
    <w:pPr>
      <w:numPr>
        <w:numId w:val="9"/>
      </w:numPr>
      <w:spacing w:after="200" w:line="276" w:lineRule="auto"/>
      <w:contextualSpacing/>
    </w:pPr>
    <w:rPr>
      <w:sz w:val="22"/>
      <w:szCs w:val="22"/>
    </w:rPr>
  </w:style>
  <w:style w:type="paragraph" w:styleId="ListContinue">
    <w:name w:val="List Continue"/>
    <w:basedOn w:val="Normal"/>
    <w:uiPriority w:val="99"/>
    <w:semiHidden/>
    <w:unhideWhenUsed/>
    <w:rsid w:val="001208B4"/>
    <w:pPr>
      <w:spacing w:after="120" w:line="276" w:lineRule="auto"/>
      <w:ind w:left="283"/>
      <w:contextualSpacing/>
    </w:pPr>
    <w:rPr>
      <w:sz w:val="22"/>
      <w:szCs w:val="22"/>
    </w:rPr>
  </w:style>
  <w:style w:type="paragraph" w:styleId="ListContinue2">
    <w:name w:val="List Continue 2"/>
    <w:basedOn w:val="Normal"/>
    <w:uiPriority w:val="99"/>
    <w:semiHidden/>
    <w:unhideWhenUsed/>
    <w:rsid w:val="001208B4"/>
    <w:pPr>
      <w:spacing w:after="120" w:line="276" w:lineRule="auto"/>
      <w:ind w:left="566"/>
      <w:contextualSpacing/>
    </w:pPr>
    <w:rPr>
      <w:sz w:val="22"/>
      <w:szCs w:val="22"/>
    </w:rPr>
  </w:style>
  <w:style w:type="paragraph" w:styleId="ListContinue3">
    <w:name w:val="List Continue 3"/>
    <w:basedOn w:val="Normal"/>
    <w:uiPriority w:val="99"/>
    <w:semiHidden/>
    <w:unhideWhenUsed/>
    <w:rsid w:val="001208B4"/>
    <w:pPr>
      <w:spacing w:after="120" w:line="276" w:lineRule="auto"/>
      <w:ind w:left="849"/>
      <w:contextualSpacing/>
    </w:pPr>
    <w:rPr>
      <w:sz w:val="22"/>
      <w:szCs w:val="22"/>
    </w:rPr>
  </w:style>
  <w:style w:type="paragraph" w:styleId="ListContinue4">
    <w:name w:val="List Continue 4"/>
    <w:basedOn w:val="Normal"/>
    <w:uiPriority w:val="99"/>
    <w:semiHidden/>
    <w:unhideWhenUsed/>
    <w:rsid w:val="001208B4"/>
    <w:pPr>
      <w:spacing w:after="120" w:line="276" w:lineRule="auto"/>
      <w:ind w:left="1132"/>
      <w:contextualSpacing/>
    </w:pPr>
    <w:rPr>
      <w:sz w:val="22"/>
      <w:szCs w:val="22"/>
    </w:rPr>
  </w:style>
  <w:style w:type="paragraph" w:styleId="ListContinue5">
    <w:name w:val="List Continue 5"/>
    <w:basedOn w:val="Normal"/>
    <w:uiPriority w:val="99"/>
    <w:semiHidden/>
    <w:unhideWhenUsed/>
    <w:rsid w:val="001208B4"/>
    <w:pPr>
      <w:spacing w:after="120" w:line="276" w:lineRule="auto"/>
      <w:ind w:left="1415"/>
      <w:contextualSpacing/>
    </w:pPr>
    <w:rPr>
      <w:sz w:val="22"/>
      <w:szCs w:val="22"/>
    </w:rPr>
  </w:style>
  <w:style w:type="paragraph" w:styleId="ListNumber">
    <w:name w:val="List Number"/>
    <w:basedOn w:val="Normal"/>
    <w:uiPriority w:val="99"/>
    <w:semiHidden/>
    <w:unhideWhenUsed/>
    <w:rsid w:val="001208B4"/>
    <w:pPr>
      <w:numPr>
        <w:numId w:val="10"/>
      </w:numPr>
      <w:spacing w:after="200" w:line="276" w:lineRule="auto"/>
      <w:contextualSpacing/>
    </w:pPr>
    <w:rPr>
      <w:sz w:val="22"/>
      <w:szCs w:val="22"/>
    </w:rPr>
  </w:style>
  <w:style w:type="paragraph" w:styleId="ListNumber2">
    <w:name w:val="List Number 2"/>
    <w:basedOn w:val="Normal"/>
    <w:uiPriority w:val="99"/>
    <w:semiHidden/>
    <w:unhideWhenUsed/>
    <w:rsid w:val="001208B4"/>
    <w:pPr>
      <w:numPr>
        <w:numId w:val="11"/>
      </w:numPr>
      <w:spacing w:after="200" w:line="276" w:lineRule="auto"/>
      <w:contextualSpacing/>
    </w:pPr>
    <w:rPr>
      <w:sz w:val="22"/>
      <w:szCs w:val="22"/>
    </w:rPr>
  </w:style>
  <w:style w:type="paragraph" w:styleId="ListNumber3">
    <w:name w:val="List Number 3"/>
    <w:basedOn w:val="Normal"/>
    <w:uiPriority w:val="99"/>
    <w:semiHidden/>
    <w:unhideWhenUsed/>
    <w:rsid w:val="001208B4"/>
    <w:pPr>
      <w:numPr>
        <w:numId w:val="12"/>
      </w:numPr>
      <w:spacing w:after="200" w:line="276" w:lineRule="auto"/>
      <w:contextualSpacing/>
    </w:pPr>
    <w:rPr>
      <w:sz w:val="22"/>
      <w:szCs w:val="22"/>
    </w:rPr>
  </w:style>
  <w:style w:type="paragraph" w:styleId="ListNumber4">
    <w:name w:val="List Number 4"/>
    <w:basedOn w:val="Normal"/>
    <w:uiPriority w:val="99"/>
    <w:semiHidden/>
    <w:unhideWhenUsed/>
    <w:rsid w:val="001208B4"/>
    <w:pPr>
      <w:numPr>
        <w:numId w:val="13"/>
      </w:numPr>
      <w:spacing w:after="200" w:line="276" w:lineRule="auto"/>
      <w:contextualSpacing/>
    </w:pPr>
    <w:rPr>
      <w:sz w:val="22"/>
      <w:szCs w:val="22"/>
    </w:rPr>
  </w:style>
  <w:style w:type="paragraph" w:styleId="ListNumber5">
    <w:name w:val="List Number 5"/>
    <w:basedOn w:val="Normal"/>
    <w:uiPriority w:val="99"/>
    <w:semiHidden/>
    <w:unhideWhenUsed/>
    <w:rsid w:val="001208B4"/>
    <w:pPr>
      <w:numPr>
        <w:numId w:val="14"/>
      </w:numPr>
      <w:spacing w:after="200" w:line="276" w:lineRule="auto"/>
      <w:contextualSpacing/>
    </w:pPr>
    <w:rPr>
      <w:sz w:val="22"/>
      <w:szCs w:val="22"/>
    </w:rPr>
  </w:style>
  <w:style w:type="paragraph" w:styleId="MacroText">
    <w:name w:val="macro"/>
    <w:link w:val="MacroTextChar"/>
    <w:uiPriority w:val="99"/>
    <w:semiHidden/>
    <w:unhideWhenUsed/>
    <w:rsid w:val="001208B4"/>
    <w:pPr>
      <w:tabs>
        <w:tab w:val="left" w:pos="480"/>
        <w:tab w:val="left" w:pos="960"/>
        <w:tab w:val="left" w:pos="1440"/>
        <w:tab w:val="left" w:pos="1920"/>
        <w:tab w:val="left" w:pos="2400"/>
        <w:tab w:val="left" w:pos="2880"/>
        <w:tab w:val="left" w:pos="3360"/>
        <w:tab w:val="left" w:pos="3840"/>
        <w:tab w:val="left" w:pos="4320"/>
      </w:tabs>
      <w:spacing w:after="0" w:line="276" w:lineRule="auto"/>
    </w:pPr>
    <w:rPr>
      <w:rFonts w:ascii="Consolas" w:eastAsiaTheme="minorHAnsi" w:hAnsi="Consolas" w:cs="Consolas"/>
      <w:sz w:val="20"/>
      <w:szCs w:val="20"/>
      <w:lang w:eastAsia="en-US"/>
    </w:rPr>
  </w:style>
  <w:style w:type="character" w:customStyle="1" w:styleId="MacroTextChar">
    <w:name w:val="Macro Text Char"/>
    <w:basedOn w:val="DefaultParagraphFont"/>
    <w:link w:val="MacroText"/>
    <w:uiPriority w:val="99"/>
    <w:semiHidden/>
    <w:rsid w:val="001208B4"/>
    <w:rPr>
      <w:rFonts w:ascii="Consolas" w:eastAsiaTheme="minorHAnsi" w:hAnsi="Consolas" w:cs="Consolas"/>
      <w:sz w:val="20"/>
      <w:szCs w:val="20"/>
      <w:lang w:eastAsia="en-US"/>
    </w:rPr>
  </w:style>
  <w:style w:type="paragraph" w:styleId="MessageHeader">
    <w:name w:val="Message Header"/>
    <w:basedOn w:val="Normal"/>
    <w:link w:val="MessageHeaderChar"/>
    <w:uiPriority w:val="99"/>
    <w:semiHidden/>
    <w:unhideWhenUsed/>
    <w:rsid w:val="001208B4"/>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rPr>
  </w:style>
  <w:style w:type="character" w:customStyle="1" w:styleId="MessageHeaderChar">
    <w:name w:val="Message Header Char"/>
    <w:basedOn w:val="DefaultParagraphFont"/>
    <w:link w:val="MessageHeader"/>
    <w:uiPriority w:val="99"/>
    <w:semiHidden/>
    <w:rsid w:val="001208B4"/>
    <w:rPr>
      <w:rFonts w:asciiTheme="majorHAnsi" w:eastAsiaTheme="majorEastAsia" w:hAnsiTheme="majorHAnsi" w:cstheme="majorBidi"/>
      <w:sz w:val="24"/>
      <w:szCs w:val="24"/>
      <w:shd w:val="pct20" w:color="auto" w:fill="auto"/>
      <w:lang w:eastAsia="en-US"/>
    </w:rPr>
  </w:style>
  <w:style w:type="paragraph" w:styleId="NoteHeading">
    <w:name w:val="Note Heading"/>
    <w:basedOn w:val="Normal"/>
    <w:next w:val="Normal"/>
    <w:link w:val="NoteHeadingChar"/>
    <w:uiPriority w:val="99"/>
    <w:semiHidden/>
    <w:unhideWhenUsed/>
    <w:rsid w:val="001208B4"/>
    <w:rPr>
      <w:sz w:val="22"/>
      <w:szCs w:val="22"/>
    </w:rPr>
  </w:style>
  <w:style w:type="character" w:customStyle="1" w:styleId="NoteHeadingChar">
    <w:name w:val="Note Heading Char"/>
    <w:basedOn w:val="DefaultParagraphFont"/>
    <w:link w:val="NoteHeading"/>
    <w:uiPriority w:val="99"/>
    <w:semiHidden/>
    <w:rsid w:val="001208B4"/>
    <w:rPr>
      <w:rFonts w:eastAsiaTheme="minorHAnsi"/>
      <w:lang w:eastAsia="en-US"/>
    </w:rPr>
  </w:style>
  <w:style w:type="paragraph" w:styleId="PlainText">
    <w:name w:val="Plain Text"/>
    <w:basedOn w:val="Normal"/>
    <w:link w:val="PlainTextChar"/>
    <w:uiPriority w:val="99"/>
    <w:semiHidden/>
    <w:unhideWhenUsed/>
    <w:rsid w:val="001208B4"/>
    <w:rPr>
      <w:rFonts w:ascii="Consolas" w:hAnsi="Consolas" w:cs="Consolas"/>
      <w:sz w:val="21"/>
      <w:szCs w:val="21"/>
    </w:rPr>
  </w:style>
  <w:style w:type="character" w:customStyle="1" w:styleId="PlainTextChar">
    <w:name w:val="Plain Text Char"/>
    <w:basedOn w:val="DefaultParagraphFont"/>
    <w:link w:val="PlainText"/>
    <w:uiPriority w:val="99"/>
    <w:semiHidden/>
    <w:rsid w:val="001208B4"/>
    <w:rPr>
      <w:rFonts w:ascii="Consolas" w:eastAsiaTheme="minorHAnsi" w:hAnsi="Consolas" w:cs="Consolas"/>
      <w:sz w:val="21"/>
      <w:szCs w:val="21"/>
      <w:lang w:eastAsia="en-US"/>
    </w:rPr>
  </w:style>
  <w:style w:type="paragraph" w:styleId="Quote">
    <w:name w:val="Quote"/>
    <w:basedOn w:val="Normal"/>
    <w:next w:val="Normal"/>
    <w:link w:val="QuoteChar"/>
    <w:uiPriority w:val="29"/>
    <w:qFormat/>
    <w:rsid w:val="001208B4"/>
    <w:pPr>
      <w:spacing w:after="200" w:line="276" w:lineRule="auto"/>
    </w:pPr>
    <w:rPr>
      <w:i/>
      <w:iCs/>
      <w:color w:val="000000" w:themeColor="text1"/>
      <w:sz w:val="22"/>
      <w:szCs w:val="22"/>
    </w:rPr>
  </w:style>
  <w:style w:type="character" w:customStyle="1" w:styleId="QuoteChar">
    <w:name w:val="Quote Char"/>
    <w:basedOn w:val="DefaultParagraphFont"/>
    <w:link w:val="Quote"/>
    <w:uiPriority w:val="29"/>
    <w:rsid w:val="001208B4"/>
    <w:rPr>
      <w:rFonts w:eastAsiaTheme="minorHAnsi"/>
      <w:i/>
      <w:iCs/>
      <w:color w:val="000000" w:themeColor="text1"/>
      <w:lang w:eastAsia="en-US"/>
    </w:rPr>
  </w:style>
  <w:style w:type="paragraph" w:styleId="Salutation">
    <w:name w:val="Salutation"/>
    <w:basedOn w:val="Normal"/>
    <w:next w:val="Normal"/>
    <w:link w:val="SalutationChar"/>
    <w:uiPriority w:val="99"/>
    <w:semiHidden/>
    <w:unhideWhenUsed/>
    <w:rsid w:val="001208B4"/>
    <w:pPr>
      <w:spacing w:after="200" w:line="276" w:lineRule="auto"/>
    </w:pPr>
    <w:rPr>
      <w:sz w:val="22"/>
      <w:szCs w:val="22"/>
    </w:rPr>
  </w:style>
  <w:style w:type="character" w:customStyle="1" w:styleId="SalutationChar">
    <w:name w:val="Salutation Char"/>
    <w:basedOn w:val="DefaultParagraphFont"/>
    <w:link w:val="Salutation"/>
    <w:uiPriority w:val="99"/>
    <w:semiHidden/>
    <w:rsid w:val="001208B4"/>
    <w:rPr>
      <w:rFonts w:eastAsiaTheme="minorHAnsi"/>
      <w:lang w:eastAsia="en-US"/>
    </w:rPr>
  </w:style>
  <w:style w:type="paragraph" w:styleId="Signature">
    <w:name w:val="Signature"/>
    <w:basedOn w:val="Normal"/>
    <w:link w:val="SignatureChar"/>
    <w:uiPriority w:val="99"/>
    <w:semiHidden/>
    <w:unhideWhenUsed/>
    <w:rsid w:val="001208B4"/>
    <w:pPr>
      <w:ind w:left="4252"/>
    </w:pPr>
    <w:rPr>
      <w:sz w:val="22"/>
      <w:szCs w:val="22"/>
    </w:rPr>
  </w:style>
  <w:style w:type="character" w:customStyle="1" w:styleId="SignatureChar">
    <w:name w:val="Signature Char"/>
    <w:basedOn w:val="DefaultParagraphFont"/>
    <w:link w:val="Signature"/>
    <w:uiPriority w:val="99"/>
    <w:semiHidden/>
    <w:rsid w:val="001208B4"/>
    <w:rPr>
      <w:rFonts w:eastAsiaTheme="minorHAnsi"/>
      <w:lang w:eastAsia="en-US"/>
    </w:rPr>
  </w:style>
  <w:style w:type="paragraph" w:styleId="Subtitle">
    <w:name w:val="Subtitle"/>
    <w:basedOn w:val="Normal"/>
    <w:next w:val="Normal"/>
    <w:link w:val="SubtitleChar"/>
    <w:uiPriority w:val="11"/>
    <w:qFormat/>
    <w:rsid w:val="001208B4"/>
    <w:pPr>
      <w:numPr>
        <w:ilvl w:val="1"/>
      </w:numPr>
      <w:spacing w:after="200" w:line="276" w:lineRule="auto"/>
    </w:pPr>
    <w:rPr>
      <w:rFonts w:asciiTheme="majorHAnsi" w:eastAsiaTheme="majorEastAsia" w:hAnsiTheme="majorHAnsi" w:cstheme="majorBidi"/>
      <w:i/>
      <w:iCs/>
      <w:color w:val="5B9BD5" w:themeColor="accent1"/>
      <w:spacing w:val="15"/>
    </w:rPr>
  </w:style>
  <w:style w:type="character" w:customStyle="1" w:styleId="SubtitleChar">
    <w:name w:val="Subtitle Char"/>
    <w:basedOn w:val="DefaultParagraphFont"/>
    <w:link w:val="Subtitle"/>
    <w:uiPriority w:val="11"/>
    <w:rsid w:val="001208B4"/>
    <w:rPr>
      <w:rFonts w:asciiTheme="majorHAnsi" w:eastAsiaTheme="majorEastAsia" w:hAnsiTheme="majorHAnsi" w:cstheme="majorBidi"/>
      <w:i/>
      <w:iCs/>
      <w:color w:val="5B9BD5" w:themeColor="accent1"/>
      <w:spacing w:val="15"/>
      <w:sz w:val="24"/>
      <w:szCs w:val="24"/>
      <w:lang w:eastAsia="en-US"/>
    </w:rPr>
  </w:style>
  <w:style w:type="paragraph" w:styleId="TableofAuthorities">
    <w:name w:val="table of authorities"/>
    <w:basedOn w:val="Normal"/>
    <w:next w:val="Normal"/>
    <w:uiPriority w:val="99"/>
    <w:semiHidden/>
    <w:unhideWhenUsed/>
    <w:rsid w:val="001208B4"/>
    <w:pPr>
      <w:spacing w:line="276" w:lineRule="auto"/>
      <w:ind w:left="220" w:hanging="220"/>
    </w:pPr>
    <w:rPr>
      <w:sz w:val="22"/>
      <w:szCs w:val="22"/>
    </w:rPr>
  </w:style>
  <w:style w:type="paragraph" w:styleId="TableofFigures">
    <w:name w:val="table of figures"/>
    <w:basedOn w:val="Normal"/>
    <w:next w:val="Normal"/>
    <w:uiPriority w:val="99"/>
    <w:semiHidden/>
    <w:unhideWhenUsed/>
    <w:rsid w:val="001208B4"/>
    <w:pPr>
      <w:spacing w:line="276" w:lineRule="auto"/>
    </w:pPr>
    <w:rPr>
      <w:sz w:val="22"/>
      <w:szCs w:val="22"/>
    </w:rPr>
  </w:style>
  <w:style w:type="paragraph" w:styleId="Title">
    <w:name w:val="Title"/>
    <w:basedOn w:val="Normal"/>
    <w:next w:val="Normal"/>
    <w:link w:val="TitleChar"/>
    <w:uiPriority w:val="10"/>
    <w:qFormat/>
    <w:rsid w:val="001208B4"/>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1208B4"/>
    <w:rPr>
      <w:rFonts w:asciiTheme="majorHAnsi" w:eastAsiaTheme="majorEastAsia" w:hAnsiTheme="majorHAnsi" w:cstheme="majorBidi"/>
      <w:color w:val="323E4F" w:themeColor="text2" w:themeShade="BF"/>
      <w:spacing w:val="5"/>
      <w:kern w:val="28"/>
      <w:sz w:val="52"/>
      <w:szCs w:val="52"/>
      <w:lang w:eastAsia="en-US"/>
    </w:rPr>
  </w:style>
  <w:style w:type="paragraph" w:styleId="TOAHeading">
    <w:name w:val="toa heading"/>
    <w:basedOn w:val="Normal"/>
    <w:next w:val="Normal"/>
    <w:uiPriority w:val="99"/>
    <w:semiHidden/>
    <w:unhideWhenUsed/>
    <w:rsid w:val="001208B4"/>
    <w:pPr>
      <w:spacing w:before="120" w:after="200" w:line="276" w:lineRule="auto"/>
    </w:pPr>
    <w:rPr>
      <w:rFonts w:asciiTheme="majorHAnsi" w:eastAsiaTheme="majorEastAsia" w:hAnsiTheme="majorHAnsi" w:cstheme="majorBidi"/>
      <w:b/>
      <w:bCs/>
    </w:rPr>
  </w:style>
  <w:style w:type="paragraph" w:styleId="TOC1">
    <w:name w:val="toc 1"/>
    <w:basedOn w:val="Normal"/>
    <w:next w:val="Normal"/>
    <w:autoRedefine/>
    <w:uiPriority w:val="39"/>
    <w:semiHidden/>
    <w:unhideWhenUsed/>
    <w:rsid w:val="001208B4"/>
    <w:pPr>
      <w:spacing w:after="100" w:line="276" w:lineRule="auto"/>
    </w:pPr>
    <w:rPr>
      <w:sz w:val="22"/>
      <w:szCs w:val="22"/>
    </w:rPr>
  </w:style>
  <w:style w:type="paragraph" w:styleId="TOC2">
    <w:name w:val="toc 2"/>
    <w:basedOn w:val="Normal"/>
    <w:next w:val="Normal"/>
    <w:autoRedefine/>
    <w:uiPriority w:val="39"/>
    <w:semiHidden/>
    <w:unhideWhenUsed/>
    <w:rsid w:val="001208B4"/>
    <w:pPr>
      <w:spacing w:after="100" w:line="276" w:lineRule="auto"/>
      <w:ind w:left="220"/>
    </w:pPr>
    <w:rPr>
      <w:sz w:val="22"/>
      <w:szCs w:val="22"/>
    </w:rPr>
  </w:style>
  <w:style w:type="paragraph" w:styleId="TOC3">
    <w:name w:val="toc 3"/>
    <w:basedOn w:val="Normal"/>
    <w:next w:val="Normal"/>
    <w:autoRedefine/>
    <w:uiPriority w:val="39"/>
    <w:semiHidden/>
    <w:unhideWhenUsed/>
    <w:rsid w:val="001208B4"/>
    <w:pPr>
      <w:spacing w:after="100" w:line="276" w:lineRule="auto"/>
      <w:ind w:left="440"/>
    </w:pPr>
    <w:rPr>
      <w:sz w:val="22"/>
      <w:szCs w:val="22"/>
    </w:rPr>
  </w:style>
  <w:style w:type="paragraph" w:styleId="TOC4">
    <w:name w:val="toc 4"/>
    <w:basedOn w:val="Normal"/>
    <w:next w:val="Normal"/>
    <w:autoRedefine/>
    <w:uiPriority w:val="39"/>
    <w:semiHidden/>
    <w:unhideWhenUsed/>
    <w:rsid w:val="001208B4"/>
    <w:pPr>
      <w:spacing w:after="100" w:line="276" w:lineRule="auto"/>
      <w:ind w:left="660"/>
    </w:pPr>
    <w:rPr>
      <w:sz w:val="22"/>
      <w:szCs w:val="22"/>
    </w:rPr>
  </w:style>
  <w:style w:type="paragraph" w:styleId="TOC5">
    <w:name w:val="toc 5"/>
    <w:basedOn w:val="Normal"/>
    <w:next w:val="Normal"/>
    <w:autoRedefine/>
    <w:uiPriority w:val="39"/>
    <w:semiHidden/>
    <w:unhideWhenUsed/>
    <w:rsid w:val="001208B4"/>
    <w:pPr>
      <w:spacing w:after="100" w:line="276" w:lineRule="auto"/>
      <w:ind w:left="880"/>
    </w:pPr>
    <w:rPr>
      <w:sz w:val="22"/>
      <w:szCs w:val="22"/>
    </w:rPr>
  </w:style>
  <w:style w:type="paragraph" w:styleId="TOC6">
    <w:name w:val="toc 6"/>
    <w:basedOn w:val="Normal"/>
    <w:next w:val="Normal"/>
    <w:autoRedefine/>
    <w:uiPriority w:val="39"/>
    <w:semiHidden/>
    <w:unhideWhenUsed/>
    <w:rsid w:val="001208B4"/>
    <w:pPr>
      <w:spacing w:after="100" w:line="276" w:lineRule="auto"/>
      <w:ind w:left="1100"/>
    </w:pPr>
    <w:rPr>
      <w:sz w:val="22"/>
      <w:szCs w:val="22"/>
    </w:rPr>
  </w:style>
  <w:style w:type="paragraph" w:styleId="TOC7">
    <w:name w:val="toc 7"/>
    <w:basedOn w:val="Normal"/>
    <w:next w:val="Normal"/>
    <w:autoRedefine/>
    <w:uiPriority w:val="39"/>
    <w:semiHidden/>
    <w:unhideWhenUsed/>
    <w:rsid w:val="001208B4"/>
    <w:pPr>
      <w:spacing w:after="100" w:line="276" w:lineRule="auto"/>
      <w:ind w:left="1320"/>
    </w:pPr>
    <w:rPr>
      <w:sz w:val="22"/>
      <w:szCs w:val="22"/>
    </w:rPr>
  </w:style>
  <w:style w:type="paragraph" w:styleId="TOC8">
    <w:name w:val="toc 8"/>
    <w:basedOn w:val="Normal"/>
    <w:next w:val="Normal"/>
    <w:autoRedefine/>
    <w:uiPriority w:val="39"/>
    <w:semiHidden/>
    <w:unhideWhenUsed/>
    <w:rsid w:val="001208B4"/>
    <w:pPr>
      <w:spacing w:after="100" w:line="276" w:lineRule="auto"/>
      <w:ind w:left="1540"/>
    </w:pPr>
    <w:rPr>
      <w:sz w:val="22"/>
      <w:szCs w:val="22"/>
    </w:rPr>
  </w:style>
  <w:style w:type="paragraph" w:styleId="TOC9">
    <w:name w:val="toc 9"/>
    <w:basedOn w:val="Normal"/>
    <w:next w:val="Normal"/>
    <w:autoRedefine/>
    <w:uiPriority w:val="39"/>
    <w:semiHidden/>
    <w:unhideWhenUsed/>
    <w:rsid w:val="001208B4"/>
    <w:pPr>
      <w:spacing w:after="100" w:line="276" w:lineRule="auto"/>
      <w:ind w:left="1760"/>
    </w:pPr>
    <w:rPr>
      <w:sz w:val="22"/>
      <w:szCs w:val="22"/>
    </w:rPr>
  </w:style>
  <w:style w:type="paragraph" w:styleId="TOCHeading">
    <w:name w:val="TOC Heading"/>
    <w:basedOn w:val="Heading1"/>
    <w:next w:val="Normal"/>
    <w:uiPriority w:val="39"/>
    <w:semiHidden/>
    <w:unhideWhenUsed/>
    <w:qFormat/>
    <w:rsid w:val="001208B4"/>
    <w:pPr>
      <w:spacing w:before="480" w:line="276" w:lineRule="auto"/>
      <w:outlineLvl w:val="9"/>
    </w:pPr>
    <w:rPr>
      <w:b/>
      <w:bCs/>
      <w:sz w:val="28"/>
      <w:szCs w:val="28"/>
    </w:rPr>
  </w:style>
  <w:style w:type="paragraph" w:customStyle="1" w:styleId="Pa23">
    <w:name w:val="Pa23"/>
    <w:basedOn w:val="Default"/>
    <w:next w:val="Default"/>
    <w:uiPriority w:val="99"/>
    <w:rsid w:val="001208B4"/>
    <w:pPr>
      <w:adjustRightInd w:val="0"/>
      <w:spacing w:line="141" w:lineRule="atLeast"/>
    </w:pPr>
    <w:rPr>
      <w:rFonts w:ascii="Avenir LT Std 35 Light" w:hAnsi="Avenir LT Std 35 Light" w:cstheme="minorBidi"/>
      <w:color w:val="auto"/>
    </w:rPr>
  </w:style>
  <w:style w:type="character" w:customStyle="1" w:styleId="lrzxr">
    <w:name w:val="lrzxr"/>
    <w:basedOn w:val="DefaultParagraphFont"/>
    <w:rsid w:val="001208B4"/>
  </w:style>
  <w:style w:type="character" w:styleId="EndnoteReference">
    <w:name w:val="endnote reference"/>
    <w:basedOn w:val="DefaultParagraphFont"/>
    <w:uiPriority w:val="99"/>
    <w:semiHidden/>
    <w:unhideWhenUsed/>
    <w:rsid w:val="001208B4"/>
    <w:rPr>
      <w:vertAlign w:val="superscript"/>
    </w:rPr>
  </w:style>
  <w:style w:type="character" w:customStyle="1" w:styleId="normaltextrun">
    <w:name w:val="normaltextrun"/>
    <w:basedOn w:val="DefaultParagraphFont"/>
    <w:rsid w:val="001208B4"/>
  </w:style>
  <w:style w:type="character" w:customStyle="1" w:styleId="UnresolvedMention1">
    <w:name w:val="Unresolved Mention1"/>
    <w:basedOn w:val="DefaultParagraphFont"/>
    <w:uiPriority w:val="99"/>
    <w:semiHidden/>
    <w:unhideWhenUsed/>
    <w:rsid w:val="001208B4"/>
    <w:rPr>
      <w:color w:val="605E5C"/>
      <w:shd w:val="clear" w:color="auto" w:fill="E1DFDD"/>
    </w:rPr>
  </w:style>
  <w:style w:type="character" w:styleId="UnresolvedMention">
    <w:name w:val="Unresolved Mention"/>
    <w:basedOn w:val="DefaultParagraphFont"/>
    <w:uiPriority w:val="99"/>
    <w:semiHidden/>
    <w:unhideWhenUsed/>
    <w:rsid w:val="0021298F"/>
    <w:rPr>
      <w:color w:val="605E5C"/>
      <w:shd w:val="clear" w:color="auto" w:fill="E1DFDD"/>
    </w:rPr>
  </w:style>
  <w:style w:type="table" w:customStyle="1" w:styleId="none1">
    <w:name w:val="none1"/>
    <w:basedOn w:val="TableNormal"/>
    <w:next w:val="TableGrid"/>
    <w:uiPriority w:val="59"/>
    <w:rsid w:val="0021298F"/>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4428237">
      <w:bodyDiv w:val="1"/>
      <w:marLeft w:val="0"/>
      <w:marRight w:val="0"/>
      <w:marTop w:val="0"/>
      <w:marBottom w:val="0"/>
      <w:divBdr>
        <w:top w:val="none" w:sz="0" w:space="0" w:color="auto"/>
        <w:left w:val="none" w:sz="0" w:space="0" w:color="auto"/>
        <w:bottom w:val="none" w:sz="0" w:space="0" w:color="auto"/>
        <w:right w:val="none" w:sz="0" w:space="0" w:color="auto"/>
      </w:divBdr>
    </w:div>
    <w:div w:id="227545151">
      <w:bodyDiv w:val="1"/>
      <w:marLeft w:val="0"/>
      <w:marRight w:val="0"/>
      <w:marTop w:val="0"/>
      <w:marBottom w:val="0"/>
      <w:divBdr>
        <w:top w:val="none" w:sz="0" w:space="0" w:color="auto"/>
        <w:left w:val="none" w:sz="0" w:space="0" w:color="auto"/>
        <w:bottom w:val="none" w:sz="0" w:space="0" w:color="auto"/>
        <w:right w:val="none" w:sz="0" w:space="0" w:color="auto"/>
      </w:divBdr>
    </w:div>
    <w:div w:id="10918552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greencoat-renewables.com" TargetMode="External"/><Relationship Id="rId18" Type="http://schemas.openxmlformats.org/officeDocument/2006/relationships/hyperlink" Target="http://www.greencoat-renewables.com" TargetMode="External"/><Relationship Id="rId3" Type="http://schemas.openxmlformats.org/officeDocument/2006/relationships/customXml" Target="../customXml/item3.xml"/><Relationship Id="rId21" Type="http://schemas.openxmlformats.org/officeDocument/2006/relationships/hyperlink" Target="http://www.greencoat-renewables.com" TargetMode="External"/><Relationship Id="rId7" Type="http://schemas.openxmlformats.org/officeDocument/2006/relationships/settings" Target="settings.xml"/><Relationship Id="rId12" Type="http://schemas.openxmlformats.org/officeDocument/2006/relationships/hyperlink" Target="https://www.fca.org.uk/markets/primary-markets/regulatory-disclosures/national-storage-mechanism" TargetMode="External"/><Relationship Id="rId17" Type="http://schemas.openxmlformats.org/officeDocument/2006/relationships/hyperlink" Target="http://www.greencoat-renewables.com"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www.greencoat-renewables.com" TargetMode="External"/><Relationship Id="rId20" Type="http://schemas.openxmlformats.org/officeDocument/2006/relationships/hyperlink" Target="http://www.greencoat-renewables.com"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greencoat-renewables.com/" TargetMode="Externa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www.greencoat-renewables.com" TargetMode="External"/><Relationship Id="rId23"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yperlink" Target="http://www.frc.org.uk"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greencoat-renewables.com" TargetMode="External"/><Relationship Id="rId22" Type="http://schemas.openxmlformats.org/officeDocument/2006/relationships/hyperlink" Target="http://www.iaasa.ie/getmedia/b2389013-1cf6-458b-9b8f-a98202dc9c3a/Desc%20ription_of_auditors_responsiblities_for_audit.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JobId xmlns="http://schemas.microsoft.com/sharepoint/v3/fields" xsi:nil="true"/>
    <SendToFR xmlns="http://schemas.microsoft.com/sharepoint/v3/fields">false</SendToFR>
    <DateReceived xmlns="http://schemas.microsoft.com/sharepoint/v3/fields">2021-03-01T09:10:22+00:00</DateReceived>
    <DocType_AnnouncementDocument xmlns="http://schemas.microsoft.com/sharepoint/v3/fields">Announcement</DocType_AnnouncementDocument>
    <lcf76f155ced4ddcb4097134ff3c332f xmlns="ad78b5f7-9d3a-4547-a77a-85adc8bf2297">
      <Terms xmlns="http://schemas.microsoft.com/office/infopath/2007/PartnerControls"/>
    </lcf76f155ced4ddcb4097134ff3c332f>
    <TaxCatchAll xmlns="801a3cf6-255d-4ff5-98fe-b4415afa84b5"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Announcement Document" ma:contentTypeID="0x010100BE156B1CF39149A8843C57AB06C49AFE0011B886BEF4CCD94F85F46E94360FD412" ma:contentTypeVersion="28" ma:contentTypeDescription="Upload a new Announcement" ma:contentTypeScope="" ma:versionID="a65d3a867704dbccc7620baafa55db40">
  <xsd:schema xmlns:xsd="http://www.w3.org/2001/XMLSchema" xmlns:xs="http://www.w3.org/2001/XMLSchema" xmlns:p="http://schemas.microsoft.com/office/2006/metadata/properties" xmlns:ns1="http://schemas.microsoft.com/sharepoint/v3" xmlns:ns2="http://schemas.microsoft.com/sharepoint/v3/fields" xmlns:ns3="ad78b5f7-9d3a-4547-a77a-85adc8bf2297" xmlns:ns4="801a3cf6-255d-4ff5-98fe-b4415afa84b5" targetNamespace="http://schemas.microsoft.com/office/2006/metadata/properties" ma:root="true" ma:fieldsID="f6d0e36a5296999e29e57769c86102d3" ns1:_="" ns2:_="" ns3:_="" ns4:_="">
    <xsd:import namespace="http://schemas.microsoft.com/sharepoint/v3"/>
    <xsd:import namespace="http://schemas.microsoft.com/sharepoint/v3/fields"/>
    <xsd:import namespace="ad78b5f7-9d3a-4547-a77a-85adc8bf2297"/>
    <xsd:import namespace="801a3cf6-255d-4ff5-98fe-b4415afa84b5"/>
    <xsd:element name="properties">
      <xsd:complexType>
        <xsd:sequence>
          <xsd:element name="documentManagement">
            <xsd:complexType>
              <xsd:all>
                <xsd:element ref="ns2:DateReceived" minOccurs="0"/>
                <xsd:element ref="ns2:JobId" minOccurs="0"/>
                <xsd:element ref="ns2:DocType_AnnouncementDocument" minOccurs="0"/>
                <xsd:element ref="ns2:SendToFR" minOccurs="0"/>
                <xsd:element ref="ns1:Name" minOccurs="0"/>
                <xsd:element ref="ns3:MediaServiceMetadata" minOccurs="0"/>
                <xsd:element ref="ns3:MediaServiceFastMetadata" minOccurs="0"/>
                <xsd:element ref="ns3:MediaServiceAutoKeyPoints" minOccurs="0"/>
                <xsd:element ref="ns3:MediaServiceKeyPoints" minOccurs="0"/>
                <xsd:element ref="ns3:lcf76f155ced4ddcb4097134ff3c332f" minOccurs="0"/>
                <xsd:element ref="ns4:TaxCatchAll" minOccurs="0"/>
                <xsd:element ref="ns3:MediaServiceOCR" minOccurs="0"/>
                <xsd:element ref="ns3:MediaServiceGenerationTime" minOccurs="0"/>
                <xsd:element ref="ns3:MediaServiceEventHashCode" minOccurs="0"/>
                <xsd:element ref="ns3:MediaServiceDateTaken" minOccurs="0"/>
                <xsd:element ref="ns4:SharedWithUsers" minOccurs="0"/>
                <xsd:element ref="ns4:SharedWithDetail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Name" ma:index="12" nillable="true" ma:displayName="Account" ma:internalName="Na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DateReceived" ma:index="8" nillable="true" ma:displayName="Date Received" ma:internalName="DateReceived" ma:readOnly="false">
      <xsd:simpleType>
        <xsd:restriction base="dms:DateTime"/>
      </xsd:simpleType>
    </xsd:element>
    <xsd:element name="JobId" ma:index="9" nillable="true" ma:displayName="Job Id" ma:internalName="JobId">
      <xsd:simpleType>
        <xsd:restriction base="dms:Text"/>
      </xsd:simpleType>
    </xsd:element>
    <xsd:element name="DocType_AnnouncementDocument" ma:index="10" nillable="true" ma:displayName="Document Type (Announcement)" ma:default="Announcement" ma:format="Dropdown" ma:internalName="DocType_AnnouncementDocument">
      <xsd:simpleType>
        <xsd:restriction base="dms:Choice">
          <xsd:enumeration value="Announcement"/>
          <xsd:enumeration value="Application Form GEM"/>
          <xsd:enumeration value="Application Form MSM"/>
          <xsd:enumeration value="Corporate Action DB"/>
          <xsd:enumeration value="Customer Notification"/>
          <xsd:enumeration value="DB Set-up Mod Delete"/>
          <xsd:enumeration value="DB Suspension Unsuspension"/>
          <xsd:enumeration value="Payment Confirmation"/>
          <xsd:enumeration value="RNS Announcement"/>
          <xsd:enumeration value="Supporting Document"/>
          <xsd:enumeration value="T7 Deletion"/>
          <xsd:enumeration value="T7 Modification"/>
          <xsd:enumeration value="Miscellaneous"/>
          <xsd:enumeration value="Other"/>
          <xsd:enumeration value="Final Terms"/>
          <xsd:enumeration value="AccInfo"/>
          <xsd:enumeration value="Interim Accounts"/>
          <xsd:enumeration value="AudFin"/>
          <xsd:enumeration value="Sedol"/>
          <xsd:enumeration value="Circular"/>
          <xsd:enumeration value="Pre-Initial"/>
          <xsd:enumeration value="NA"/>
          <xsd:enumeration value="Ch3Feeder"/>
          <xsd:enumeration value="Redraft"/>
          <xsd:enumeration value="Comments"/>
          <xsd:enumeration value="SLP"/>
          <xsd:enumeration value="LP"/>
          <xsd:enumeration value="DirResp"/>
          <xsd:enumeration value="Ch9checklist"/>
          <xsd:enumeration value="Ch3short"/>
          <xsd:enumeration value="Ch3Fins"/>
        </xsd:restriction>
      </xsd:simpleType>
    </xsd:element>
    <xsd:element name="SendToFR" ma:index="11" nillable="true" ma:displayName="Send to Financial Regulator" ma:default="0" ma:internalName="SendToFR" ma:readOnly="fals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ad78b5f7-9d3a-4547-a77a-85adc8bf2297"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56448b7c-b198-4f3f-91b4-0f03f23d7cff"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DateTaken" ma:index="23" nillable="true" ma:displayName="MediaServiceDateTaken" ma:description="" ma:hidden="true" ma:indexed="true" ma:internalName="MediaServiceDateTaken" ma:readOnly="true">
      <xsd:simpleType>
        <xsd:restriction base="dms:Text"/>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01a3cf6-255d-4ff5-98fe-b4415afa84b5"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7a5403e9-b76d-4f5f-a13e-89da56148491}" ma:internalName="TaxCatchAll" ma:showField="CatchAllData" ma:web="801a3cf6-255d-4ff5-98fe-b4415afa84b5">
      <xsd:complexType>
        <xsd:complexContent>
          <xsd:extension base="dms:MultiChoiceLookup">
            <xsd:sequence>
              <xsd:element name="Value" type="dms:Lookup" maxOccurs="unbounded" minOccurs="0" nillable="true"/>
            </xsd:sequence>
          </xsd:extension>
        </xsd:complexContent>
      </xsd:complexType>
    </xsd:element>
    <xsd:element name="SharedWithUsers" ma:index="2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027BC61-F18D-4F3F-8F25-746F12E25B39}"/>
</file>

<file path=customXml/itemProps2.xml><?xml version="1.0" encoding="utf-8"?>
<ds:datastoreItem xmlns:ds="http://schemas.openxmlformats.org/officeDocument/2006/customXml" ds:itemID="{809E4953-6567-4F99-9EFB-DC1DB4F83AF2}"/>
</file>

<file path=customXml/itemProps3.xml><?xml version="1.0" encoding="utf-8"?>
<ds:datastoreItem xmlns:ds="http://schemas.openxmlformats.org/officeDocument/2006/customXml" ds:itemID="{866EB8FC-897F-4D74-ACAB-F037E3579346}"/>
</file>

<file path=customXml/itemProps4.xml><?xml version="1.0" encoding="utf-8"?>
<ds:datastoreItem xmlns:ds="http://schemas.openxmlformats.org/officeDocument/2006/customXml" ds:itemID="{3A5F458F-782B-44B2-A6E5-BD6167888946}"/>
</file>

<file path=docProps/app.xml><?xml version="1.0" encoding="utf-8"?>
<Properties xmlns="http://schemas.openxmlformats.org/officeDocument/2006/extended-properties" xmlns:vt="http://schemas.openxmlformats.org/officeDocument/2006/docPropsVTypes">
  <Template>Normal</Template>
  <TotalTime>1</TotalTime>
  <Pages>105</Pages>
  <Words>37489</Words>
  <Characters>213688</Characters>
  <Application>Microsoft Office Word</Application>
  <DocSecurity>0</DocSecurity>
  <Lines>1780</Lines>
  <Paragraphs>501</Paragraphs>
  <ScaleCrop>false</ScaleCrop>
  <HeadingPairs>
    <vt:vector size="2" baseType="variant">
      <vt:variant>
        <vt:lpstr>Title</vt:lpstr>
      </vt:variant>
      <vt:variant>
        <vt:i4>1</vt:i4>
      </vt:variant>
    </vt:vector>
  </HeadingPairs>
  <TitlesOfParts>
    <vt:vector size="1" baseType="lpstr">
      <vt:lpstr/>
    </vt:vector>
  </TitlesOfParts>
  <Company>AFB Group Services (Jersey) Ltd</Company>
  <LinksUpToDate>false</LinksUpToDate>
  <CharactersWithSpaces>250676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Amy McMullan</dc:creator>
  <cp:keywords/>
  <dc:description/>
  <cp:lastModifiedBy>Amy McMullan</cp:lastModifiedBy>
  <cp:revision>2</cp:revision>
  <cp:lastPrinted>2020-02-21T15:25:00Z</cp:lastPrinted>
  <dcterms:created xsi:type="dcterms:W3CDTF">2021-02-28T14:21:00Z</dcterms:created>
  <dcterms:modified xsi:type="dcterms:W3CDTF">2021-02-28T14:21:00Z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0x010100BE156B1CF39149A8843C57AB06C49AFE0011B886BEF4CCD94F85F46E94360FD412</vt:lpwstr>
  </property>
  <property fmtid="{D5CDD505-2E9C-101B-9397-08002B2CF9AE}" pid="3" name="IssuerName">
    <vt:lpwstr/>
  </property>
  <property fmtid="{D5CDD505-2E9C-101B-9397-08002B2CF9AE}" pid="4" name="MigrateFolderIssueDetected">
    <vt:bool>false</vt:bool>
  </property>
  <property fmtid="{D5CDD505-2E9C-101B-9397-08002B2CF9AE}" pid="5" name="Order">
    <vt:r8>171247900</vt:r8>
  </property>
  <property fmtid="{D5CDD505-2E9C-101B-9397-08002B2CF9AE}" pid="6" name="JobType">
    <vt:lpwstr/>
  </property>
  <property fmtid="{D5CDD505-2E9C-101B-9397-08002B2CF9AE}" pid="7" name="IssuerID">
    <vt:lpwstr/>
  </property>
  <property fmtid="{D5CDD505-2E9C-101B-9397-08002B2CF9AE}" pid="8" name="SendToWeb">
    <vt:bool>false</vt:bool>
  </property>
  <property fmtid="{D5CDD505-2E9C-101B-9397-08002B2CF9AE}" pid="9" name="JobContentType">
    <vt:lpwstr/>
  </property>
  <property fmtid="{D5CDD505-2E9C-101B-9397-08002B2CF9AE}" pid="10" name="Organisation">
    <vt:lpwstr/>
  </property>
  <property fmtid="{D5CDD505-2E9C-101B-9397-08002B2CF9AE}" pid="11" name="Contact">
    <vt:lpwstr/>
  </property>
  <property fmtid="{D5CDD505-2E9C-101B-9397-08002B2CF9AE}" pid="12" name="MigrateFolderIssueDetected0">
    <vt:bool>false</vt:bool>
  </property>
</Properties>
</file>