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6239" w14:textId="588DD0BB" w:rsidR="00D54BB3" w:rsidRPr="00FE2B55" w:rsidRDefault="00D54BB3" w:rsidP="00ED63DD">
      <w:pPr>
        <w:tabs>
          <w:tab w:val="left" w:pos="870"/>
          <w:tab w:val="center" w:pos="3063"/>
        </w:tabs>
        <w:rPr>
          <w:rFonts w:ascii="Calibri" w:hAnsi="Calibri" w:cs="Calibri"/>
          <w:b/>
          <w:bCs/>
          <w:sz w:val="22"/>
          <w:szCs w:val="22"/>
        </w:rPr>
      </w:pPr>
    </w:p>
    <w:p w14:paraId="55AEDDBA" w14:textId="77777777" w:rsidR="00EA72B0" w:rsidRPr="00FE2B55" w:rsidRDefault="00EA72B0" w:rsidP="00EA72B0">
      <w:pPr>
        <w:rPr>
          <w:rFonts w:ascii="Calibri" w:hAnsi="Calibri" w:cs="Calibri"/>
          <w:b/>
          <w:bCs/>
          <w:sz w:val="22"/>
          <w:szCs w:val="22"/>
        </w:rPr>
      </w:pPr>
    </w:p>
    <w:p w14:paraId="482298AF" w14:textId="14651395" w:rsidR="00EA72B0" w:rsidRPr="00FE2B55" w:rsidRDefault="001579C7" w:rsidP="00920A4D">
      <w:pPr>
        <w:jc w:val="center"/>
        <w:rPr>
          <w:rFonts w:ascii="Calibri" w:hAnsi="Calibri" w:cs="Calibri"/>
          <w:b/>
          <w:sz w:val="22"/>
          <w:szCs w:val="22"/>
        </w:rPr>
      </w:pPr>
      <w:r w:rsidRPr="00FE2B55">
        <w:rPr>
          <w:rFonts w:ascii="Calibri" w:hAnsi="Calibri" w:cs="Calibri"/>
          <w:b/>
          <w:sz w:val="22"/>
          <w:szCs w:val="22"/>
        </w:rPr>
        <w:t xml:space="preserve">Greencoat Renewables PLC </w:t>
      </w:r>
      <w:r w:rsidR="00655248" w:rsidRPr="00FE2B55">
        <w:rPr>
          <w:rFonts w:ascii="Calibri" w:hAnsi="Calibri" w:cs="Calibri"/>
          <w:b/>
          <w:sz w:val="22"/>
          <w:szCs w:val="22"/>
        </w:rPr>
        <w:t>E</w:t>
      </w:r>
      <w:r w:rsidRPr="00FE2B55">
        <w:rPr>
          <w:rFonts w:ascii="Calibri" w:hAnsi="Calibri" w:cs="Calibri"/>
          <w:b/>
          <w:sz w:val="22"/>
          <w:szCs w:val="22"/>
        </w:rPr>
        <w:t xml:space="preserve">GM Result </w:t>
      </w:r>
    </w:p>
    <w:p w14:paraId="05B0D40C" w14:textId="77777777" w:rsidR="001579C7" w:rsidRPr="00FE2B55" w:rsidRDefault="001579C7" w:rsidP="00920A4D">
      <w:pPr>
        <w:jc w:val="center"/>
        <w:rPr>
          <w:rFonts w:ascii="Calibri" w:hAnsi="Calibri" w:cs="Calibri"/>
          <w:b/>
          <w:bCs/>
          <w:sz w:val="22"/>
          <w:szCs w:val="22"/>
        </w:rPr>
      </w:pPr>
    </w:p>
    <w:p w14:paraId="2F52C868" w14:textId="402E4754" w:rsidR="001579C7" w:rsidRPr="00FE2B55" w:rsidRDefault="00A7341D" w:rsidP="00655248">
      <w:pPr>
        <w:spacing w:line="276" w:lineRule="auto"/>
        <w:jc w:val="both"/>
        <w:rPr>
          <w:rFonts w:ascii="Calibri" w:hAnsi="Calibri" w:cs="Calibri"/>
          <w:sz w:val="22"/>
          <w:szCs w:val="22"/>
        </w:rPr>
      </w:pPr>
      <w:r w:rsidRPr="00FE2B55">
        <w:rPr>
          <w:rFonts w:ascii="Calibri" w:hAnsi="Calibri" w:cs="Calibri"/>
          <w:b/>
          <w:sz w:val="22"/>
          <w:szCs w:val="22"/>
        </w:rPr>
        <w:t>Dublin</w:t>
      </w:r>
      <w:r w:rsidR="00F02D83" w:rsidRPr="00FE2B55">
        <w:rPr>
          <w:rFonts w:ascii="Calibri" w:hAnsi="Calibri" w:cs="Calibri"/>
          <w:b/>
          <w:sz w:val="22"/>
          <w:szCs w:val="22"/>
        </w:rPr>
        <w:t xml:space="preserve">, </w:t>
      </w:r>
      <w:r w:rsidR="00B30497" w:rsidRPr="00FE2B55">
        <w:rPr>
          <w:rFonts w:ascii="Calibri" w:hAnsi="Calibri" w:cs="Calibri"/>
          <w:b/>
          <w:sz w:val="22"/>
          <w:szCs w:val="22"/>
        </w:rPr>
        <w:t xml:space="preserve">London, </w:t>
      </w:r>
      <w:r w:rsidR="00A10273" w:rsidRPr="00FE2B55">
        <w:rPr>
          <w:rFonts w:ascii="Calibri" w:hAnsi="Calibri" w:cs="Calibri"/>
          <w:b/>
          <w:sz w:val="22"/>
          <w:szCs w:val="22"/>
        </w:rPr>
        <w:t>1</w:t>
      </w:r>
      <w:r w:rsidR="00FE2B55" w:rsidRPr="00FE2B55">
        <w:rPr>
          <w:rFonts w:ascii="Calibri" w:hAnsi="Calibri" w:cs="Calibri"/>
          <w:b/>
          <w:sz w:val="22"/>
          <w:szCs w:val="22"/>
        </w:rPr>
        <w:t>3</w:t>
      </w:r>
      <w:r w:rsidR="00A10273" w:rsidRPr="00FE2B55">
        <w:rPr>
          <w:rFonts w:ascii="Calibri" w:hAnsi="Calibri" w:cs="Calibri"/>
          <w:b/>
          <w:sz w:val="22"/>
          <w:szCs w:val="22"/>
        </w:rPr>
        <w:t xml:space="preserve"> </w:t>
      </w:r>
      <w:r w:rsidR="00FE2B55" w:rsidRPr="00FE2B55">
        <w:rPr>
          <w:rFonts w:ascii="Calibri" w:hAnsi="Calibri" w:cs="Calibri"/>
          <w:b/>
          <w:sz w:val="22"/>
          <w:szCs w:val="22"/>
        </w:rPr>
        <w:t>October</w:t>
      </w:r>
      <w:r w:rsidR="00655248" w:rsidRPr="00FE2B55">
        <w:rPr>
          <w:rFonts w:ascii="Calibri" w:hAnsi="Calibri" w:cs="Calibri"/>
          <w:b/>
          <w:sz w:val="22"/>
          <w:szCs w:val="22"/>
        </w:rPr>
        <w:t xml:space="preserve"> 202</w:t>
      </w:r>
      <w:r w:rsidR="00FE2B55" w:rsidRPr="00FE2B55">
        <w:rPr>
          <w:rFonts w:ascii="Calibri" w:hAnsi="Calibri" w:cs="Calibri"/>
          <w:b/>
          <w:sz w:val="22"/>
          <w:szCs w:val="22"/>
        </w:rPr>
        <w:t>2</w:t>
      </w:r>
      <w:r w:rsidR="00917F3A" w:rsidRPr="00FE2B55">
        <w:rPr>
          <w:rFonts w:ascii="Calibri" w:hAnsi="Calibri" w:cs="Calibri"/>
          <w:b/>
          <w:sz w:val="22"/>
          <w:szCs w:val="22"/>
        </w:rPr>
        <w:t>:</w:t>
      </w:r>
      <w:r w:rsidR="00752CB3" w:rsidRPr="00FE2B55">
        <w:rPr>
          <w:rFonts w:ascii="Calibri" w:hAnsi="Calibri" w:cs="Calibri"/>
          <w:b/>
          <w:sz w:val="22"/>
          <w:szCs w:val="22"/>
        </w:rPr>
        <w:t xml:space="preserve"> </w:t>
      </w:r>
      <w:r w:rsidRPr="00FE2B55">
        <w:rPr>
          <w:rFonts w:ascii="Calibri" w:hAnsi="Calibri" w:cs="Calibri"/>
          <w:sz w:val="22"/>
          <w:szCs w:val="22"/>
        </w:rPr>
        <w:t>Greencoat Renewables</w:t>
      </w:r>
      <w:r w:rsidR="00752CB3" w:rsidRPr="00FE2B55">
        <w:rPr>
          <w:rFonts w:ascii="Calibri" w:hAnsi="Calibri" w:cs="Calibri"/>
          <w:sz w:val="22"/>
          <w:szCs w:val="22"/>
        </w:rPr>
        <w:t xml:space="preserve"> PLC (“</w:t>
      </w:r>
      <w:r w:rsidR="00B30497" w:rsidRPr="00FE2B55">
        <w:rPr>
          <w:rFonts w:ascii="Calibri" w:hAnsi="Calibri" w:cs="Calibri"/>
          <w:b/>
          <w:sz w:val="22"/>
          <w:szCs w:val="22"/>
        </w:rPr>
        <w:t>Greencoat Renewables</w:t>
      </w:r>
      <w:r w:rsidR="00752CB3" w:rsidRPr="00FE2B55">
        <w:rPr>
          <w:rFonts w:ascii="Calibri" w:hAnsi="Calibri" w:cs="Calibri"/>
          <w:sz w:val="22"/>
          <w:szCs w:val="22"/>
        </w:rPr>
        <w:t>”</w:t>
      </w:r>
      <w:r w:rsidR="00B30497" w:rsidRPr="00FE2B55">
        <w:rPr>
          <w:rFonts w:ascii="Calibri" w:hAnsi="Calibri" w:cs="Calibri"/>
          <w:sz w:val="22"/>
          <w:szCs w:val="22"/>
        </w:rPr>
        <w:t xml:space="preserve"> or the “</w:t>
      </w:r>
      <w:r w:rsidR="00B30497" w:rsidRPr="00FE2B55">
        <w:rPr>
          <w:rFonts w:ascii="Calibri" w:hAnsi="Calibri" w:cs="Calibri"/>
          <w:b/>
          <w:sz w:val="22"/>
          <w:szCs w:val="22"/>
        </w:rPr>
        <w:t>Company</w:t>
      </w:r>
      <w:r w:rsidR="00B30497" w:rsidRPr="00FE2B55">
        <w:rPr>
          <w:rFonts w:ascii="Calibri" w:hAnsi="Calibri" w:cs="Calibri"/>
          <w:sz w:val="22"/>
          <w:szCs w:val="22"/>
        </w:rPr>
        <w:t>”</w:t>
      </w:r>
      <w:r w:rsidR="00752CB3" w:rsidRPr="00FE2B55">
        <w:rPr>
          <w:rFonts w:ascii="Calibri" w:hAnsi="Calibri" w:cs="Calibri"/>
          <w:sz w:val="22"/>
          <w:szCs w:val="22"/>
        </w:rPr>
        <w:t xml:space="preserve">) </w:t>
      </w:r>
      <w:r w:rsidR="007861A1" w:rsidRPr="00FE2B55">
        <w:rPr>
          <w:rFonts w:ascii="Calibri" w:hAnsi="Calibri" w:cs="Calibri"/>
          <w:sz w:val="22"/>
          <w:szCs w:val="22"/>
        </w:rPr>
        <w:t>the r</w:t>
      </w:r>
      <w:r w:rsidR="00811F7A" w:rsidRPr="00FE2B55">
        <w:rPr>
          <w:rFonts w:ascii="Calibri" w:hAnsi="Calibri" w:cs="Calibri"/>
          <w:sz w:val="22"/>
          <w:szCs w:val="22"/>
        </w:rPr>
        <w:t>enewable infrastructure company invested in euro-dominated assets,</w:t>
      </w:r>
      <w:r w:rsidR="007861A1" w:rsidRPr="00FE2B55">
        <w:rPr>
          <w:rFonts w:ascii="Calibri" w:hAnsi="Calibri" w:cs="Calibri"/>
          <w:sz w:val="22"/>
          <w:szCs w:val="22"/>
        </w:rPr>
        <w:t xml:space="preserve"> </w:t>
      </w:r>
      <w:r w:rsidR="001579C7" w:rsidRPr="00FE2B55">
        <w:rPr>
          <w:rFonts w:ascii="Calibri" w:hAnsi="Calibri" w:cs="Calibri"/>
          <w:sz w:val="22"/>
          <w:szCs w:val="22"/>
        </w:rPr>
        <w:t xml:space="preserve">is pleased to announce that at the </w:t>
      </w:r>
      <w:r w:rsidR="00B67B4D" w:rsidRPr="00FE2B55">
        <w:rPr>
          <w:rFonts w:ascii="Calibri" w:hAnsi="Calibri" w:cs="Calibri"/>
          <w:sz w:val="22"/>
          <w:szCs w:val="22"/>
        </w:rPr>
        <w:t xml:space="preserve">Company’s </w:t>
      </w:r>
      <w:r w:rsidR="00655248" w:rsidRPr="00FE2B55">
        <w:rPr>
          <w:rFonts w:ascii="Calibri" w:hAnsi="Calibri" w:cs="Calibri"/>
          <w:sz w:val="22"/>
          <w:szCs w:val="22"/>
        </w:rPr>
        <w:t>E</w:t>
      </w:r>
      <w:r w:rsidR="001579C7" w:rsidRPr="00FE2B55">
        <w:rPr>
          <w:rFonts w:ascii="Calibri" w:hAnsi="Calibri" w:cs="Calibri"/>
          <w:sz w:val="22"/>
          <w:szCs w:val="22"/>
        </w:rPr>
        <w:t xml:space="preserve">GM held at </w:t>
      </w:r>
      <w:r w:rsidR="00A10273" w:rsidRPr="00FE2B55">
        <w:rPr>
          <w:rFonts w:ascii="Calibri" w:hAnsi="Calibri" w:cs="Calibri"/>
          <w:sz w:val="22"/>
          <w:szCs w:val="22"/>
        </w:rPr>
        <w:t>10</w:t>
      </w:r>
      <w:r w:rsidR="001579C7" w:rsidRPr="00FE2B55">
        <w:rPr>
          <w:rFonts w:ascii="Calibri" w:hAnsi="Calibri" w:cs="Calibri"/>
          <w:sz w:val="22"/>
          <w:szCs w:val="22"/>
        </w:rPr>
        <w:t>.00</w:t>
      </w:r>
      <w:r w:rsidR="00B30497" w:rsidRPr="00FE2B55">
        <w:rPr>
          <w:rFonts w:ascii="Calibri" w:hAnsi="Calibri" w:cs="Calibri"/>
          <w:sz w:val="22"/>
          <w:szCs w:val="22"/>
        </w:rPr>
        <w:t xml:space="preserve"> </w:t>
      </w:r>
      <w:r w:rsidR="00655248" w:rsidRPr="00FE2B55">
        <w:rPr>
          <w:rFonts w:ascii="Calibri" w:hAnsi="Calibri" w:cs="Calibri"/>
          <w:sz w:val="22"/>
          <w:szCs w:val="22"/>
        </w:rPr>
        <w:t>a</w:t>
      </w:r>
      <w:r w:rsidR="00B30497" w:rsidRPr="00FE2B55">
        <w:rPr>
          <w:rFonts w:ascii="Calibri" w:hAnsi="Calibri" w:cs="Calibri"/>
          <w:sz w:val="22"/>
          <w:szCs w:val="22"/>
        </w:rPr>
        <w:t xml:space="preserve">m today, </w:t>
      </w:r>
      <w:r w:rsidR="00FE2B55" w:rsidRPr="00FE2B55">
        <w:rPr>
          <w:rFonts w:ascii="Calibri" w:hAnsi="Calibri" w:cs="Calibri"/>
          <w:sz w:val="22"/>
          <w:szCs w:val="22"/>
        </w:rPr>
        <w:t>13</w:t>
      </w:r>
      <w:r w:rsidR="00A10273" w:rsidRPr="00FE2B55">
        <w:rPr>
          <w:rFonts w:ascii="Calibri" w:hAnsi="Calibri" w:cs="Calibri"/>
          <w:sz w:val="22"/>
          <w:szCs w:val="22"/>
        </w:rPr>
        <w:t xml:space="preserve"> </w:t>
      </w:r>
      <w:r w:rsidR="00FE2B55" w:rsidRPr="00FE2B55">
        <w:rPr>
          <w:rFonts w:ascii="Calibri" w:hAnsi="Calibri" w:cs="Calibri"/>
          <w:sz w:val="22"/>
          <w:szCs w:val="22"/>
        </w:rPr>
        <w:t>October</w:t>
      </w:r>
      <w:r w:rsidR="00655248" w:rsidRPr="00FE2B55">
        <w:rPr>
          <w:rFonts w:ascii="Calibri" w:hAnsi="Calibri" w:cs="Calibri"/>
          <w:sz w:val="22"/>
          <w:szCs w:val="22"/>
        </w:rPr>
        <w:t xml:space="preserve"> 202</w:t>
      </w:r>
      <w:r w:rsidR="00FE2B55" w:rsidRPr="00FE2B55">
        <w:rPr>
          <w:rFonts w:ascii="Calibri" w:hAnsi="Calibri" w:cs="Calibri"/>
          <w:sz w:val="22"/>
          <w:szCs w:val="22"/>
        </w:rPr>
        <w:t>2</w:t>
      </w:r>
      <w:r w:rsidR="001579C7" w:rsidRPr="00FE2B55">
        <w:rPr>
          <w:rFonts w:ascii="Calibri" w:hAnsi="Calibri" w:cs="Calibri"/>
          <w:sz w:val="22"/>
          <w:szCs w:val="22"/>
        </w:rPr>
        <w:t>, the Resolution w</w:t>
      </w:r>
      <w:r w:rsidR="00A10273" w:rsidRPr="00FE2B55">
        <w:rPr>
          <w:rFonts w:ascii="Calibri" w:hAnsi="Calibri" w:cs="Calibri"/>
          <w:sz w:val="22"/>
          <w:szCs w:val="22"/>
        </w:rPr>
        <w:t>as</w:t>
      </w:r>
      <w:r w:rsidR="001579C7" w:rsidRPr="00FE2B55">
        <w:rPr>
          <w:rFonts w:ascii="Calibri" w:hAnsi="Calibri" w:cs="Calibri"/>
          <w:sz w:val="22"/>
          <w:szCs w:val="22"/>
        </w:rPr>
        <w:t xml:space="preserve"> duly passed without amendment.  </w:t>
      </w:r>
    </w:p>
    <w:p w14:paraId="15DF1381" w14:textId="77777777" w:rsidR="001579C7" w:rsidRPr="00FE2B55" w:rsidRDefault="001579C7" w:rsidP="00655248">
      <w:pPr>
        <w:spacing w:line="276" w:lineRule="auto"/>
        <w:jc w:val="both"/>
        <w:rPr>
          <w:rFonts w:ascii="Calibri" w:hAnsi="Calibri" w:cs="Calibri"/>
          <w:sz w:val="22"/>
          <w:szCs w:val="22"/>
        </w:rPr>
      </w:pPr>
    </w:p>
    <w:p w14:paraId="61BD5CF7" w14:textId="04F28923" w:rsidR="001579C7" w:rsidRPr="00FE2B55" w:rsidRDefault="00A10273" w:rsidP="00655248">
      <w:pPr>
        <w:spacing w:line="276" w:lineRule="auto"/>
        <w:jc w:val="both"/>
        <w:rPr>
          <w:rFonts w:ascii="Calibri" w:hAnsi="Calibri" w:cs="Calibri"/>
          <w:sz w:val="22"/>
          <w:szCs w:val="22"/>
        </w:rPr>
      </w:pPr>
      <w:r w:rsidRPr="00FE2B55">
        <w:rPr>
          <w:rFonts w:ascii="Calibri" w:hAnsi="Calibri" w:cs="Calibri"/>
          <w:sz w:val="22"/>
          <w:szCs w:val="22"/>
        </w:rPr>
        <w:t xml:space="preserve">The </w:t>
      </w:r>
      <w:r w:rsidR="00967B6E" w:rsidRPr="00FE2B55">
        <w:rPr>
          <w:rFonts w:ascii="Calibri" w:hAnsi="Calibri" w:cs="Calibri"/>
          <w:sz w:val="22"/>
          <w:szCs w:val="22"/>
        </w:rPr>
        <w:t xml:space="preserve">resolution as set out in the Notice of EGM </w:t>
      </w:r>
      <w:r w:rsidR="00396524">
        <w:rPr>
          <w:rFonts w:ascii="Calibri" w:hAnsi="Calibri" w:cs="Calibri"/>
          <w:sz w:val="22"/>
          <w:szCs w:val="22"/>
        </w:rPr>
        <w:t>was</w:t>
      </w:r>
      <w:r w:rsidR="00967B6E" w:rsidRPr="00FE2B55">
        <w:rPr>
          <w:rFonts w:ascii="Calibri" w:hAnsi="Calibri" w:cs="Calibri"/>
          <w:sz w:val="22"/>
          <w:szCs w:val="22"/>
        </w:rPr>
        <w:t xml:space="preserve"> voted on by way of a poll and the result </w:t>
      </w:r>
      <w:r w:rsidR="00396524">
        <w:rPr>
          <w:rFonts w:ascii="Calibri" w:hAnsi="Calibri" w:cs="Calibri"/>
          <w:sz w:val="22"/>
          <w:szCs w:val="22"/>
        </w:rPr>
        <w:t>was</w:t>
      </w:r>
      <w:r w:rsidR="00967B6E" w:rsidRPr="00FE2B55">
        <w:rPr>
          <w:rFonts w:ascii="Calibri" w:hAnsi="Calibri" w:cs="Calibri"/>
          <w:sz w:val="22"/>
          <w:szCs w:val="22"/>
        </w:rPr>
        <w:t xml:space="preserve"> as follows:</w:t>
      </w:r>
    </w:p>
    <w:p w14:paraId="14DED26F" w14:textId="77777777" w:rsidR="001579C7" w:rsidRPr="00FE2B55" w:rsidRDefault="001579C7" w:rsidP="00655248">
      <w:pPr>
        <w:spacing w:line="276" w:lineRule="auto"/>
        <w:jc w:val="both"/>
        <w:rPr>
          <w:rFonts w:ascii="Calibri" w:hAnsi="Calibri" w:cs="Calibri"/>
          <w:sz w:val="22"/>
          <w:szCs w:val="22"/>
        </w:rPr>
      </w:pPr>
    </w:p>
    <w:tbl>
      <w:tblPr>
        <w:tblW w:w="8379" w:type="dxa"/>
        <w:tblInd w:w="93" w:type="dxa"/>
        <w:tblLayout w:type="fixed"/>
        <w:tblLook w:val="04A0" w:firstRow="1" w:lastRow="0" w:firstColumn="1" w:lastColumn="0" w:noHBand="0" w:noVBand="1"/>
      </w:tblPr>
      <w:tblGrid>
        <w:gridCol w:w="1325"/>
        <w:gridCol w:w="1525"/>
        <w:gridCol w:w="1276"/>
        <w:gridCol w:w="11"/>
        <w:gridCol w:w="1379"/>
        <w:gridCol w:w="1303"/>
        <w:gridCol w:w="1560"/>
      </w:tblGrid>
      <w:tr w:rsidR="001579C7" w:rsidRPr="00FE2B55" w14:paraId="3FB6469F" w14:textId="77777777" w:rsidTr="00A10273">
        <w:trPr>
          <w:trHeight w:val="300"/>
        </w:trPr>
        <w:tc>
          <w:tcPr>
            <w:tcW w:w="1325" w:type="dxa"/>
            <w:tcBorders>
              <w:top w:val="nil"/>
              <w:left w:val="nil"/>
              <w:bottom w:val="nil"/>
              <w:right w:val="nil"/>
            </w:tcBorders>
            <w:shd w:val="clear" w:color="auto" w:fill="auto"/>
            <w:noWrap/>
            <w:vAlign w:val="bottom"/>
            <w:hideMark/>
          </w:tcPr>
          <w:p w14:paraId="2E4691B9" w14:textId="77777777" w:rsidR="001579C7" w:rsidRPr="00FE2B55" w:rsidRDefault="001579C7" w:rsidP="00655248">
            <w:pPr>
              <w:spacing w:line="276" w:lineRule="auto"/>
              <w:jc w:val="both"/>
              <w:rPr>
                <w:rFonts w:ascii="Calibri" w:eastAsia="Times New Roman" w:hAnsi="Calibri" w:cs="Calibri"/>
                <w:color w:val="000000"/>
                <w:sz w:val="22"/>
                <w:szCs w:val="22"/>
                <w:lang w:eastAsia="en-GB"/>
              </w:rPr>
            </w:pPr>
          </w:p>
        </w:tc>
        <w:tc>
          <w:tcPr>
            <w:tcW w:w="2801" w:type="dxa"/>
            <w:gridSpan w:val="2"/>
            <w:tcBorders>
              <w:top w:val="nil"/>
              <w:left w:val="nil"/>
              <w:bottom w:val="nil"/>
              <w:right w:val="nil"/>
            </w:tcBorders>
            <w:shd w:val="clear" w:color="auto" w:fill="auto"/>
            <w:noWrap/>
            <w:vAlign w:val="bottom"/>
            <w:hideMark/>
          </w:tcPr>
          <w:p w14:paraId="64512718" w14:textId="77777777" w:rsidR="001579C7" w:rsidRPr="00FE2B55" w:rsidRDefault="001579C7" w:rsidP="00655248">
            <w:pPr>
              <w:spacing w:line="276" w:lineRule="auto"/>
              <w:jc w:val="both"/>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 xml:space="preserve">In Favour </w:t>
            </w:r>
          </w:p>
          <w:p w14:paraId="1855A919" w14:textId="77777777" w:rsidR="001579C7" w:rsidRPr="00FE2B55" w:rsidRDefault="001579C7" w:rsidP="00655248">
            <w:pPr>
              <w:spacing w:line="276" w:lineRule="auto"/>
              <w:jc w:val="both"/>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w:t>
            </w:r>
            <w:proofErr w:type="gramStart"/>
            <w:r w:rsidRPr="00FE2B55">
              <w:rPr>
                <w:rFonts w:ascii="Calibri" w:eastAsia="Times New Roman" w:hAnsi="Calibri" w:cs="Calibri"/>
                <w:color w:val="000000"/>
                <w:sz w:val="22"/>
                <w:szCs w:val="22"/>
                <w:lang w:eastAsia="en-GB"/>
              </w:rPr>
              <w:t>including</w:t>
            </w:r>
            <w:proofErr w:type="gramEnd"/>
            <w:r w:rsidRPr="00FE2B55">
              <w:rPr>
                <w:rFonts w:ascii="Calibri" w:eastAsia="Times New Roman" w:hAnsi="Calibri" w:cs="Calibri"/>
                <w:color w:val="000000"/>
                <w:sz w:val="22"/>
                <w:szCs w:val="22"/>
                <w:lang w:eastAsia="en-GB"/>
              </w:rPr>
              <w:t xml:space="preserve"> discretionary)</w:t>
            </w:r>
          </w:p>
        </w:tc>
        <w:tc>
          <w:tcPr>
            <w:tcW w:w="2693" w:type="dxa"/>
            <w:gridSpan w:val="3"/>
            <w:tcBorders>
              <w:top w:val="nil"/>
              <w:left w:val="nil"/>
              <w:bottom w:val="nil"/>
              <w:right w:val="nil"/>
            </w:tcBorders>
            <w:shd w:val="clear" w:color="auto" w:fill="auto"/>
            <w:noWrap/>
            <w:vAlign w:val="bottom"/>
            <w:hideMark/>
          </w:tcPr>
          <w:p w14:paraId="2944F4B5" w14:textId="03C0126C" w:rsidR="001579C7" w:rsidRPr="00FE2B55" w:rsidRDefault="00655248" w:rsidP="00655248">
            <w:pPr>
              <w:spacing w:line="276" w:lineRule="auto"/>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 xml:space="preserve">     </w:t>
            </w:r>
            <w:r w:rsidR="001579C7" w:rsidRPr="00FE2B55">
              <w:rPr>
                <w:rFonts w:ascii="Calibri" w:eastAsia="Times New Roman" w:hAnsi="Calibri" w:cs="Calibri"/>
                <w:color w:val="000000"/>
                <w:sz w:val="22"/>
                <w:szCs w:val="22"/>
                <w:lang w:eastAsia="en-GB"/>
              </w:rPr>
              <w:t>Against</w:t>
            </w:r>
          </w:p>
        </w:tc>
        <w:tc>
          <w:tcPr>
            <w:tcW w:w="1560" w:type="dxa"/>
            <w:tcBorders>
              <w:top w:val="nil"/>
              <w:left w:val="nil"/>
              <w:bottom w:val="nil"/>
              <w:right w:val="nil"/>
            </w:tcBorders>
            <w:shd w:val="clear" w:color="auto" w:fill="auto"/>
            <w:noWrap/>
            <w:vAlign w:val="bottom"/>
            <w:hideMark/>
          </w:tcPr>
          <w:p w14:paraId="556C8850" w14:textId="017B7BA4" w:rsidR="001579C7" w:rsidRPr="00FE2B55" w:rsidRDefault="00655248" w:rsidP="00655248">
            <w:pPr>
              <w:spacing w:line="276" w:lineRule="auto"/>
              <w:jc w:val="both"/>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 xml:space="preserve">    </w:t>
            </w:r>
            <w:r w:rsidR="001579C7" w:rsidRPr="00FE2B55">
              <w:rPr>
                <w:rFonts w:ascii="Calibri" w:eastAsia="Times New Roman" w:hAnsi="Calibri" w:cs="Calibri"/>
                <w:color w:val="000000"/>
                <w:sz w:val="22"/>
                <w:szCs w:val="22"/>
                <w:lang w:eastAsia="en-GB"/>
              </w:rPr>
              <w:t>Withheld*</w:t>
            </w:r>
          </w:p>
        </w:tc>
      </w:tr>
      <w:tr w:rsidR="001579C7" w:rsidRPr="00FE2B55" w14:paraId="771B326F" w14:textId="77777777" w:rsidTr="00A10273">
        <w:trPr>
          <w:trHeight w:val="300"/>
        </w:trPr>
        <w:tc>
          <w:tcPr>
            <w:tcW w:w="1325" w:type="dxa"/>
            <w:tcBorders>
              <w:top w:val="nil"/>
              <w:left w:val="nil"/>
              <w:bottom w:val="nil"/>
              <w:right w:val="nil"/>
            </w:tcBorders>
            <w:shd w:val="clear" w:color="auto" w:fill="auto"/>
            <w:noWrap/>
            <w:vAlign w:val="bottom"/>
            <w:hideMark/>
          </w:tcPr>
          <w:p w14:paraId="4EC00845" w14:textId="77777777" w:rsidR="001579C7" w:rsidRPr="00FE2B55" w:rsidRDefault="001579C7" w:rsidP="00655248">
            <w:pPr>
              <w:spacing w:line="276" w:lineRule="auto"/>
              <w:jc w:val="center"/>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Resolution</w:t>
            </w:r>
          </w:p>
        </w:tc>
        <w:tc>
          <w:tcPr>
            <w:tcW w:w="1525" w:type="dxa"/>
            <w:tcBorders>
              <w:top w:val="nil"/>
              <w:left w:val="nil"/>
              <w:bottom w:val="nil"/>
              <w:right w:val="nil"/>
            </w:tcBorders>
            <w:shd w:val="clear" w:color="auto" w:fill="auto"/>
            <w:noWrap/>
            <w:vAlign w:val="bottom"/>
            <w:hideMark/>
          </w:tcPr>
          <w:p w14:paraId="380A15FC" w14:textId="77777777" w:rsidR="001579C7" w:rsidRPr="00FE2B55" w:rsidRDefault="001579C7" w:rsidP="00655248">
            <w:pPr>
              <w:spacing w:line="276" w:lineRule="auto"/>
              <w:jc w:val="center"/>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Votes</w:t>
            </w:r>
          </w:p>
        </w:tc>
        <w:tc>
          <w:tcPr>
            <w:tcW w:w="1287" w:type="dxa"/>
            <w:gridSpan w:val="2"/>
            <w:tcBorders>
              <w:top w:val="nil"/>
              <w:left w:val="nil"/>
              <w:bottom w:val="nil"/>
              <w:right w:val="nil"/>
            </w:tcBorders>
          </w:tcPr>
          <w:p w14:paraId="75FA32FE" w14:textId="77777777" w:rsidR="001579C7" w:rsidRPr="00FE2B55" w:rsidRDefault="001579C7" w:rsidP="00655248">
            <w:pPr>
              <w:spacing w:line="276" w:lineRule="auto"/>
              <w:jc w:val="center"/>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w:t>
            </w:r>
          </w:p>
        </w:tc>
        <w:tc>
          <w:tcPr>
            <w:tcW w:w="1379" w:type="dxa"/>
            <w:tcBorders>
              <w:top w:val="nil"/>
              <w:left w:val="nil"/>
              <w:bottom w:val="nil"/>
              <w:right w:val="nil"/>
            </w:tcBorders>
            <w:shd w:val="clear" w:color="auto" w:fill="auto"/>
            <w:noWrap/>
            <w:vAlign w:val="bottom"/>
            <w:hideMark/>
          </w:tcPr>
          <w:p w14:paraId="1A83414C" w14:textId="77777777" w:rsidR="001579C7" w:rsidRPr="00FE2B55" w:rsidRDefault="001579C7" w:rsidP="00655248">
            <w:pPr>
              <w:spacing w:line="276" w:lineRule="auto"/>
              <w:jc w:val="center"/>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Votes</w:t>
            </w:r>
          </w:p>
        </w:tc>
        <w:tc>
          <w:tcPr>
            <w:tcW w:w="1303" w:type="dxa"/>
            <w:tcBorders>
              <w:top w:val="nil"/>
              <w:left w:val="nil"/>
              <w:bottom w:val="nil"/>
              <w:right w:val="nil"/>
            </w:tcBorders>
          </w:tcPr>
          <w:p w14:paraId="386CC039" w14:textId="77777777" w:rsidR="001579C7" w:rsidRPr="00FE2B55" w:rsidRDefault="001579C7" w:rsidP="00655248">
            <w:pPr>
              <w:spacing w:line="276" w:lineRule="auto"/>
              <w:jc w:val="center"/>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w:t>
            </w:r>
          </w:p>
        </w:tc>
        <w:tc>
          <w:tcPr>
            <w:tcW w:w="1560" w:type="dxa"/>
            <w:tcBorders>
              <w:top w:val="nil"/>
              <w:left w:val="nil"/>
              <w:bottom w:val="nil"/>
              <w:right w:val="nil"/>
            </w:tcBorders>
            <w:shd w:val="clear" w:color="auto" w:fill="auto"/>
            <w:noWrap/>
            <w:vAlign w:val="bottom"/>
            <w:hideMark/>
          </w:tcPr>
          <w:p w14:paraId="3F172CB7" w14:textId="77777777" w:rsidR="001579C7" w:rsidRPr="00FE2B55" w:rsidRDefault="001579C7" w:rsidP="00655248">
            <w:pPr>
              <w:spacing w:line="276" w:lineRule="auto"/>
              <w:jc w:val="center"/>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Votes</w:t>
            </w:r>
          </w:p>
        </w:tc>
      </w:tr>
      <w:tr w:rsidR="00F96922" w:rsidRPr="00FE2B55" w14:paraId="20B350DD" w14:textId="77777777" w:rsidTr="00A10273">
        <w:trPr>
          <w:trHeight w:val="300"/>
        </w:trPr>
        <w:tc>
          <w:tcPr>
            <w:tcW w:w="1325" w:type="dxa"/>
            <w:tcBorders>
              <w:top w:val="nil"/>
              <w:left w:val="nil"/>
              <w:bottom w:val="nil"/>
              <w:right w:val="nil"/>
            </w:tcBorders>
            <w:shd w:val="clear" w:color="auto" w:fill="auto"/>
            <w:noWrap/>
          </w:tcPr>
          <w:p w14:paraId="083936A7" w14:textId="24165103" w:rsidR="00F96922" w:rsidRPr="00FE2B55" w:rsidRDefault="00F96922" w:rsidP="00655248">
            <w:pPr>
              <w:spacing w:line="276" w:lineRule="auto"/>
              <w:jc w:val="center"/>
              <w:rPr>
                <w:rFonts w:ascii="Calibri" w:eastAsia="Times New Roman" w:hAnsi="Calibri" w:cs="Calibri"/>
                <w:color w:val="000000"/>
                <w:sz w:val="22"/>
                <w:szCs w:val="22"/>
                <w:lang w:eastAsia="en-GB"/>
              </w:rPr>
            </w:pPr>
            <w:r w:rsidRPr="00FE2B55">
              <w:rPr>
                <w:rFonts w:ascii="Calibri" w:eastAsia="Times New Roman" w:hAnsi="Calibri" w:cs="Calibri"/>
                <w:color w:val="000000"/>
                <w:sz w:val="22"/>
                <w:szCs w:val="22"/>
                <w:lang w:eastAsia="en-GB"/>
              </w:rPr>
              <w:t>1</w:t>
            </w:r>
          </w:p>
          <w:p w14:paraId="7E5483B9" w14:textId="5D044789" w:rsidR="00F96922" w:rsidRPr="00FE2B55" w:rsidRDefault="00F96922" w:rsidP="00655248">
            <w:pPr>
              <w:spacing w:line="276" w:lineRule="auto"/>
              <w:jc w:val="center"/>
              <w:rPr>
                <w:rFonts w:ascii="Calibri" w:eastAsia="Times New Roman" w:hAnsi="Calibri" w:cs="Calibri"/>
                <w:color w:val="000000"/>
                <w:sz w:val="22"/>
                <w:szCs w:val="22"/>
                <w:lang w:eastAsia="en-GB"/>
              </w:rPr>
            </w:pPr>
          </w:p>
        </w:tc>
        <w:tc>
          <w:tcPr>
            <w:tcW w:w="1525" w:type="dxa"/>
            <w:tcBorders>
              <w:top w:val="nil"/>
              <w:left w:val="nil"/>
              <w:bottom w:val="nil"/>
              <w:right w:val="nil"/>
            </w:tcBorders>
            <w:shd w:val="clear" w:color="auto" w:fill="auto"/>
            <w:noWrap/>
          </w:tcPr>
          <w:p w14:paraId="0B4E4D7E" w14:textId="686D737F" w:rsidR="00F96922" w:rsidRPr="00FE2B55" w:rsidRDefault="006C3D0B" w:rsidP="00655248">
            <w:pPr>
              <w:spacing w:line="276" w:lineRule="auto"/>
              <w:jc w:val="center"/>
              <w:rPr>
                <w:rFonts w:ascii="Calibri" w:eastAsia="Times New Roman" w:hAnsi="Calibri" w:cs="Calibri"/>
                <w:color w:val="000000"/>
                <w:sz w:val="22"/>
                <w:szCs w:val="22"/>
                <w:lang w:eastAsia="en-GB"/>
              </w:rPr>
            </w:pPr>
            <w:r>
              <w:rPr>
                <w:rFonts w:ascii="Calibri" w:eastAsia="Calibri" w:hAnsi="Calibri" w:cs="Calibri"/>
                <w:color w:val="000000"/>
                <w:sz w:val="22"/>
                <w:szCs w:val="22"/>
              </w:rPr>
              <w:t>785,568,255</w:t>
            </w:r>
          </w:p>
        </w:tc>
        <w:tc>
          <w:tcPr>
            <w:tcW w:w="1287" w:type="dxa"/>
            <w:gridSpan w:val="2"/>
            <w:tcBorders>
              <w:top w:val="nil"/>
              <w:left w:val="nil"/>
              <w:bottom w:val="nil"/>
              <w:right w:val="nil"/>
            </w:tcBorders>
            <w:shd w:val="clear" w:color="auto" w:fill="auto"/>
          </w:tcPr>
          <w:p w14:paraId="55FF82DC" w14:textId="21416867" w:rsidR="00F96922" w:rsidRPr="00FE2B55" w:rsidRDefault="00390D7A" w:rsidP="00655248">
            <w:pPr>
              <w:spacing w:line="276" w:lineRule="auto"/>
              <w:jc w:val="center"/>
              <w:rPr>
                <w:rFonts w:ascii="Calibri" w:eastAsia="Times New Roman" w:hAnsi="Calibri" w:cs="Calibri"/>
                <w:color w:val="000000"/>
                <w:sz w:val="22"/>
                <w:szCs w:val="22"/>
                <w:lang w:eastAsia="en-GB"/>
              </w:rPr>
            </w:pPr>
            <w:r>
              <w:rPr>
                <w:rFonts w:ascii="Calibri" w:eastAsia="Calibri" w:hAnsi="Calibri" w:cs="Calibri"/>
                <w:color w:val="000000"/>
                <w:sz w:val="22"/>
                <w:szCs w:val="22"/>
              </w:rPr>
              <w:t>100</w:t>
            </w:r>
          </w:p>
        </w:tc>
        <w:tc>
          <w:tcPr>
            <w:tcW w:w="1379" w:type="dxa"/>
            <w:tcBorders>
              <w:top w:val="nil"/>
              <w:left w:val="nil"/>
              <w:bottom w:val="nil"/>
              <w:right w:val="nil"/>
            </w:tcBorders>
            <w:shd w:val="clear" w:color="auto" w:fill="auto"/>
            <w:noWrap/>
          </w:tcPr>
          <w:p w14:paraId="464C1294" w14:textId="2CA36040" w:rsidR="00F96922" w:rsidRPr="00FE2B55" w:rsidRDefault="00390D7A" w:rsidP="00655248">
            <w:pPr>
              <w:spacing w:line="276" w:lineRule="auto"/>
              <w:jc w:val="center"/>
              <w:rPr>
                <w:rFonts w:ascii="Calibri" w:eastAsia="Times New Roman" w:hAnsi="Calibri" w:cs="Calibri"/>
                <w:color w:val="000000"/>
                <w:sz w:val="22"/>
                <w:szCs w:val="22"/>
                <w:lang w:eastAsia="en-GB"/>
              </w:rPr>
            </w:pPr>
            <w:r>
              <w:rPr>
                <w:rFonts w:ascii="Calibri" w:eastAsia="Calibri" w:hAnsi="Calibri" w:cs="Calibri"/>
                <w:color w:val="000000"/>
                <w:sz w:val="22"/>
                <w:szCs w:val="22"/>
              </w:rPr>
              <w:t>0</w:t>
            </w:r>
          </w:p>
        </w:tc>
        <w:tc>
          <w:tcPr>
            <w:tcW w:w="1303" w:type="dxa"/>
            <w:tcBorders>
              <w:top w:val="nil"/>
              <w:left w:val="nil"/>
              <w:bottom w:val="nil"/>
              <w:right w:val="nil"/>
            </w:tcBorders>
            <w:shd w:val="clear" w:color="auto" w:fill="auto"/>
          </w:tcPr>
          <w:p w14:paraId="6F719DBE" w14:textId="25D31ED7" w:rsidR="00F96922" w:rsidRPr="00FE2B55" w:rsidRDefault="00390D7A" w:rsidP="00655248">
            <w:pPr>
              <w:spacing w:line="276" w:lineRule="auto"/>
              <w:jc w:val="center"/>
              <w:rPr>
                <w:rFonts w:ascii="Calibri" w:eastAsia="Times New Roman" w:hAnsi="Calibri" w:cs="Calibri"/>
                <w:color w:val="000000"/>
                <w:sz w:val="22"/>
                <w:szCs w:val="22"/>
                <w:lang w:eastAsia="en-GB"/>
              </w:rPr>
            </w:pPr>
            <w:r>
              <w:rPr>
                <w:rFonts w:ascii="Calibri" w:eastAsia="Calibri" w:hAnsi="Calibri" w:cs="Calibri"/>
                <w:color w:val="000000"/>
                <w:sz w:val="22"/>
                <w:szCs w:val="22"/>
              </w:rPr>
              <w:t>0</w:t>
            </w:r>
          </w:p>
        </w:tc>
        <w:tc>
          <w:tcPr>
            <w:tcW w:w="1560" w:type="dxa"/>
            <w:tcBorders>
              <w:top w:val="nil"/>
              <w:left w:val="nil"/>
              <w:bottom w:val="nil"/>
              <w:right w:val="nil"/>
            </w:tcBorders>
            <w:shd w:val="clear" w:color="auto" w:fill="auto"/>
            <w:noWrap/>
          </w:tcPr>
          <w:p w14:paraId="74BD6407" w14:textId="468686A2" w:rsidR="00F96922" w:rsidRPr="00FE2B55" w:rsidRDefault="00390D7A" w:rsidP="00655248">
            <w:pPr>
              <w:spacing w:line="276" w:lineRule="auto"/>
              <w:jc w:val="center"/>
              <w:rPr>
                <w:rFonts w:ascii="Calibri" w:eastAsia="Times New Roman" w:hAnsi="Calibri" w:cs="Calibri"/>
                <w:color w:val="000000"/>
                <w:sz w:val="22"/>
                <w:szCs w:val="22"/>
                <w:lang w:eastAsia="en-GB"/>
              </w:rPr>
            </w:pPr>
            <w:r w:rsidRPr="00390D7A">
              <w:rPr>
                <w:rFonts w:ascii="Calibri" w:eastAsia="Times New Roman" w:hAnsi="Calibri" w:cs="Calibri"/>
                <w:color w:val="000000"/>
                <w:sz w:val="22"/>
                <w:szCs w:val="22"/>
                <w:lang w:eastAsia="en-GB"/>
              </w:rPr>
              <w:t>6,150,000</w:t>
            </w:r>
          </w:p>
        </w:tc>
      </w:tr>
    </w:tbl>
    <w:p w14:paraId="433BA75E" w14:textId="77777777" w:rsidR="001579C7" w:rsidRPr="00FE2B55" w:rsidRDefault="001579C7" w:rsidP="00655248">
      <w:pPr>
        <w:spacing w:line="276" w:lineRule="auto"/>
        <w:jc w:val="both"/>
        <w:rPr>
          <w:rFonts w:ascii="Calibri" w:hAnsi="Calibri" w:cs="Calibri"/>
          <w:sz w:val="22"/>
          <w:szCs w:val="22"/>
        </w:rPr>
      </w:pPr>
    </w:p>
    <w:p w14:paraId="07EAAE3D" w14:textId="33353E81" w:rsidR="001579C7" w:rsidRPr="00FE2B55" w:rsidRDefault="001579C7" w:rsidP="00655248">
      <w:pPr>
        <w:spacing w:line="276" w:lineRule="auto"/>
        <w:jc w:val="both"/>
        <w:rPr>
          <w:rFonts w:ascii="Calibri" w:hAnsi="Calibri" w:cs="Calibri"/>
          <w:sz w:val="22"/>
          <w:szCs w:val="22"/>
        </w:rPr>
      </w:pPr>
      <w:r w:rsidRPr="00FE2B55">
        <w:rPr>
          <w:rFonts w:ascii="Calibri" w:hAnsi="Calibri" w:cs="Calibri"/>
          <w:sz w:val="22"/>
          <w:szCs w:val="22"/>
        </w:rPr>
        <w:t>*A vote withheld is not a vote in law and is therefore not counted towards the proportion of votes "</w:t>
      </w:r>
      <w:r w:rsidR="00D13891" w:rsidRPr="00FE2B55">
        <w:rPr>
          <w:rFonts w:ascii="Calibri" w:hAnsi="Calibri" w:cs="Calibri"/>
          <w:sz w:val="22"/>
          <w:szCs w:val="22"/>
        </w:rPr>
        <w:t>in favour</w:t>
      </w:r>
      <w:r w:rsidRPr="00FE2B55">
        <w:rPr>
          <w:rFonts w:ascii="Calibri" w:hAnsi="Calibri" w:cs="Calibri"/>
          <w:sz w:val="22"/>
          <w:szCs w:val="22"/>
        </w:rPr>
        <w:t xml:space="preserve">" or "against" the Resolution. </w:t>
      </w:r>
    </w:p>
    <w:p w14:paraId="512B082A" w14:textId="77777777" w:rsidR="001579C7" w:rsidRPr="00FE2B55" w:rsidRDefault="001579C7" w:rsidP="00655248">
      <w:pPr>
        <w:spacing w:line="276" w:lineRule="auto"/>
        <w:jc w:val="both"/>
        <w:rPr>
          <w:rFonts w:ascii="Calibri" w:hAnsi="Calibri" w:cs="Calibri"/>
          <w:sz w:val="22"/>
          <w:szCs w:val="22"/>
        </w:rPr>
      </w:pPr>
    </w:p>
    <w:p w14:paraId="7AE52153" w14:textId="5F88846D" w:rsidR="001579C7" w:rsidRPr="00FE2B55" w:rsidRDefault="00F96922" w:rsidP="00655248">
      <w:pPr>
        <w:spacing w:line="276" w:lineRule="auto"/>
        <w:jc w:val="both"/>
        <w:rPr>
          <w:rFonts w:ascii="Calibri" w:hAnsi="Calibri" w:cs="Calibri"/>
          <w:sz w:val="22"/>
          <w:szCs w:val="22"/>
        </w:rPr>
      </w:pPr>
      <w:r w:rsidRPr="00FE2B55">
        <w:rPr>
          <w:rFonts w:ascii="Calibri" w:hAnsi="Calibri" w:cs="Calibri"/>
          <w:sz w:val="22"/>
          <w:szCs w:val="22"/>
        </w:rPr>
        <w:t>The full wording of the</w:t>
      </w:r>
      <w:r w:rsidR="001579C7" w:rsidRPr="00FE2B55">
        <w:rPr>
          <w:rFonts w:ascii="Calibri" w:hAnsi="Calibri" w:cs="Calibri"/>
          <w:sz w:val="22"/>
          <w:szCs w:val="22"/>
        </w:rPr>
        <w:t xml:space="preserve"> resolution</w:t>
      </w:r>
      <w:r w:rsidR="00655248" w:rsidRPr="00FE2B55">
        <w:rPr>
          <w:rFonts w:ascii="Calibri" w:hAnsi="Calibri" w:cs="Calibri"/>
          <w:sz w:val="22"/>
          <w:szCs w:val="22"/>
        </w:rPr>
        <w:t xml:space="preserve"> </w:t>
      </w:r>
      <w:r w:rsidR="001579C7" w:rsidRPr="00FE2B55">
        <w:rPr>
          <w:rFonts w:ascii="Calibri" w:hAnsi="Calibri" w:cs="Calibri"/>
          <w:sz w:val="22"/>
          <w:szCs w:val="22"/>
        </w:rPr>
        <w:t xml:space="preserve">can be found </w:t>
      </w:r>
      <w:proofErr w:type="gramStart"/>
      <w:r w:rsidR="001579C7" w:rsidRPr="00FE2B55">
        <w:rPr>
          <w:rFonts w:ascii="Calibri" w:hAnsi="Calibri" w:cs="Calibri"/>
          <w:sz w:val="22"/>
          <w:szCs w:val="22"/>
        </w:rPr>
        <w:t>below:-</w:t>
      </w:r>
      <w:proofErr w:type="gramEnd"/>
    </w:p>
    <w:p w14:paraId="067749FB" w14:textId="77777777" w:rsidR="00655248" w:rsidRPr="00FE2B55" w:rsidRDefault="00655248" w:rsidP="00655248">
      <w:pPr>
        <w:spacing w:before="1" w:line="276" w:lineRule="auto"/>
        <w:rPr>
          <w:rFonts w:ascii="Calibri" w:eastAsia="Arial" w:hAnsi="Calibri" w:cs="Calibri"/>
          <w:b/>
          <w:sz w:val="22"/>
          <w:szCs w:val="22"/>
        </w:rPr>
      </w:pPr>
    </w:p>
    <w:p w14:paraId="295DD79C" w14:textId="5E0FCB89" w:rsidR="00655248" w:rsidRPr="00FE2B55" w:rsidRDefault="00655248" w:rsidP="00655248">
      <w:pPr>
        <w:spacing w:before="1" w:line="276" w:lineRule="auto"/>
        <w:ind w:left="116"/>
        <w:jc w:val="center"/>
        <w:rPr>
          <w:rFonts w:ascii="Calibri" w:eastAsia="Arial" w:hAnsi="Calibri" w:cs="Calibri"/>
          <w:b/>
          <w:sz w:val="22"/>
          <w:szCs w:val="22"/>
        </w:rPr>
      </w:pPr>
      <w:r w:rsidRPr="00FE2B55">
        <w:rPr>
          <w:rFonts w:ascii="Calibri" w:eastAsia="Arial" w:hAnsi="Calibri" w:cs="Calibri"/>
          <w:b/>
          <w:sz w:val="22"/>
          <w:szCs w:val="22"/>
        </w:rPr>
        <w:t>SPECIAL BUSINESS</w:t>
      </w:r>
    </w:p>
    <w:p w14:paraId="1F003AC3" w14:textId="77777777" w:rsidR="00DB0815" w:rsidRPr="00FE2B55" w:rsidRDefault="00DB0815" w:rsidP="00655248">
      <w:pPr>
        <w:spacing w:before="1" w:line="276" w:lineRule="auto"/>
        <w:ind w:left="116"/>
        <w:jc w:val="center"/>
        <w:rPr>
          <w:rFonts w:ascii="Calibri" w:eastAsia="Arial" w:hAnsi="Calibri" w:cs="Calibri"/>
          <w:b/>
          <w:sz w:val="22"/>
          <w:szCs w:val="22"/>
        </w:rPr>
      </w:pPr>
    </w:p>
    <w:p w14:paraId="4FF9952C" w14:textId="66DB0535" w:rsidR="00655248" w:rsidRPr="00FE2B55" w:rsidRDefault="00A10273" w:rsidP="00655248">
      <w:pPr>
        <w:spacing w:line="276" w:lineRule="auto"/>
        <w:jc w:val="both"/>
        <w:rPr>
          <w:rFonts w:ascii="Calibri" w:hAnsi="Calibri" w:cs="Calibri"/>
          <w:sz w:val="22"/>
          <w:szCs w:val="22"/>
        </w:rPr>
      </w:pPr>
      <w:r w:rsidRPr="00FE2B55">
        <w:rPr>
          <w:rFonts w:ascii="Calibri" w:hAnsi="Calibri" w:cs="Calibri"/>
          <w:sz w:val="22"/>
          <w:szCs w:val="22"/>
        </w:rPr>
        <w:t>To consider and, if thought fit, to pass the following resolution as an ordinary resolution:</w:t>
      </w:r>
    </w:p>
    <w:p w14:paraId="7B63AF32" w14:textId="77777777" w:rsidR="00DB0815" w:rsidRPr="00FE2B55" w:rsidRDefault="00DB0815" w:rsidP="00655248">
      <w:pPr>
        <w:spacing w:line="276" w:lineRule="auto"/>
        <w:jc w:val="both"/>
        <w:rPr>
          <w:rFonts w:ascii="Calibri" w:hAnsi="Calibri" w:cs="Calibri"/>
          <w:sz w:val="22"/>
          <w:szCs w:val="22"/>
        </w:rPr>
      </w:pPr>
    </w:p>
    <w:p w14:paraId="7785B92B" w14:textId="6783C832" w:rsidR="00FE2B55" w:rsidRPr="00FE2B55" w:rsidRDefault="00FE2B55" w:rsidP="00FE2B55">
      <w:pPr>
        <w:pStyle w:val="Level2"/>
        <w:numPr>
          <w:ilvl w:val="0"/>
          <w:numId w:val="0"/>
        </w:numPr>
        <w:ind w:left="709"/>
        <w:rPr>
          <w:rFonts w:ascii="Calibri" w:hAnsi="Calibri" w:cs="Calibri"/>
          <w:sz w:val="22"/>
          <w:szCs w:val="22"/>
        </w:rPr>
      </w:pPr>
      <w:r w:rsidRPr="00FE2B55">
        <w:rPr>
          <w:rFonts w:ascii="Calibri" w:hAnsi="Calibri" w:cs="Calibri"/>
          <w:sz w:val="22"/>
          <w:szCs w:val="22"/>
        </w:rPr>
        <w:t>That the Company be and is hereby generally and unconditionally authorised to amend its investment policy as set out at paragraph 3.1 of Part 1 of the admission document issued by the Company on 20 July 2017 and as amended at  (</w:t>
      </w:r>
      <w:proofErr w:type="spellStart"/>
      <w:r w:rsidRPr="00FE2B55">
        <w:rPr>
          <w:rFonts w:ascii="Calibri" w:hAnsi="Calibri" w:cs="Calibri"/>
          <w:sz w:val="22"/>
          <w:szCs w:val="22"/>
        </w:rPr>
        <w:t>i</w:t>
      </w:r>
      <w:proofErr w:type="spellEnd"/>
      <w:r w:rsidRPr="00FE2B55">
        <w:rPr>
          <w:rFonts w:ascii="Calibri" w:hAnsi="Calibri" w:cs="Calibri"/>
          <w:sz w:val="22"/>
          <w:szCs w:val="22"/>
        </w:rPr>
        <w:t>) the Annual General Meeting on 29 April 2020, (ii) the Annual General Meeting on 29 April 2021, and (iii) the Extraordinary General Meeting on 17 September 2021 (the “</w:t>
      </w:r>
      <w:r w:rsidRPr="00FE2B55">
        <w:rPr>
          <w:rFonts w:ascii="Calibri" w:hAnsi="Calibri" w:cs="Calibri"/>
          <w:b/>
          <w:bCs/>
          <w:sz w:val="22"/>
          <w:szCs w:val="22"/>
        </w:rPr>
        <w:t>Investment Policy</w:t>
      </w:r>
      <w:r w:rsidRPr="00FE2B55">
        <w:rPr>
          <w:rFonts w:ascii="Calibri" w:hAnsi="Calibri" w:cs="Calibri"/>
          <w:sz w:val="22"/>
          <w:szCs w:val="22"/>
        </w:rPr>
        <w:t>”), by the deletions shown below:</w:t>
      </w:r>
    </w:p>
    <w:p w14:paraId="7F342618" w14:textId="77777777" w:rsidR="00E8517F" w:rsidRPr="00E8517F" w:rsidRDefault="00E8517F" w:rsidP="00E8517F">
      <w:pPr>
        <w:pStyle w:val="BodyText"/>
        <w:tabs>
          <w:tab w:val="left" w:pos="546"/>
        </w:tabs>
        <w:spacing w:line="276" w:lineRule="auto"/>
        <w:ind w:left="546" w:right="85"/>
        <w:jc w:val="both"/>
        <w:rPr>
          <w:rFonts w:ascii="Calibri" w:hAnsi="Calibri" w:cs="Calibri"/>
          <w:spacing w:val="3"/>
          <w:sz w:val="22"/>
          <w:szCs w:val="22"/>
          <w:lang w:val="en-IE"/>
        </w:rPr>
      </w:pPr>
      <w:r w:rsidRPr="00E8517F">
        <w:rPr>
          <w:rFonts w:ascii="Calibri" w:hAnsi="Calibri" w:cs="Calibri"/>
          <w:spacing w:val="3"/>
          <w:sz w:val="22"/>
          <w:szCs w:val="22"/>
          <w:lang w:val="en-IE"/>
        </w:rPr>
        <w:t>“After 24 months from Admission</w:t>
      </w:r>
      <w:r w:rsidRPr="00E8517F">
        <w:rPr>
          <w:rFonts w:ascii="Calibri" w:hAnsi="Calibri" w:cs="Calibri"/>
          <w:strike/>
          <w:spacing w:val="3"/>
          <w:sz w:val="22"/>
          <w:szCs w:val="22"/>
          <w:lang w:val="en-IE"/>
        </w:rPr>
        <w:t>: (</w:t>
      </w:r>
      <w:proofErr w:type="spellStart"/>
      <w:r w:rsidRPr="00E8517F">
        <w:rPr>
          <w:rFonts w:ascii="Calibri" w:hAnsi="Calibri" w:cs="Calibri"/>
          <w:strike/>
          <w:spacing w:val="3"/>
          <w:sz w:val="22"/>
          <w:szCs w:val="22"/>
          <w:lang w:val="en-IE"/>
        </w:rPr>
        <w:t>i</w:t>
      </w:r>
      <w:proofErr w:type="spellEnd"/>
      <w:r w:rsidRPr="00E8517F">
        <w:rPr>
          <w:rFonts w:ascii="Calibri" w:hAnsi="Calibri" w:cs="Calibri"/>
          <w:strike/>
          <w:spacing w:val="3"/>
          <w:sz w:val="22"/>
          <w:szCs w:val="22"/>
          <w:lang w:val="en-IE"/>
        </w:rPr>
        <w:t xml:space="preserve">) </w:t>
      </w:r>
      <w:r w:rsidRPr="00E8517F">
        <w:rPr>
          <w:rFonts w:ascii="Calibri" w:hAnsi="Calibri" w:cs="Calibri"/>
          <w:spacing w:val="3"/>
          <w:sz w:val="22"/>
          <w:szCs w:val="22"/>
          <w:lang w:val="en-IE"/>
        </w:rPr>
        <w:t xml:space="preserve">the Company shall continue to invest: </w:t>
      </w:r>
      <w:r w:rsidRPr="00E8517F">
        <w:rPr>
          <w:rFonts w:ascii="Calibri" w:hAnsi="Calibri" w:cs="Calibri"/>
          <w:strike/>
          <w:spacing w:val="3"/>
          <w:sz w:val="22"/>
          <w:szCs w:val="22"/>
          <w:lang w:val="en-IE"/>
        </w:rPr>
        <w:t>such investments in Ireland shall represent, in aggregate, not less than 60 per cent. of the Gross Asset Value (calculated immediately following each investment</w:t>
      </w:r>
      <w:r w:rsidRPr="0034372E">
        <w:rPr>
          <w:rFonts w:ascii="Calibri" w:hAnsi="Calibri" w:cs="Calibri"/>
          <w:strike/>
          <w:spacing w:val="3"/>
          <w:sz w:val="22"/>
          <w:szCs w:val="22"/>
          <w:lang w:val="en-IE"/>
        </w:rPr>
        <w:t>); and (ii) subject</w:t>
      </w:r>
      <w:r w:rsidRPr="00E8517F">
        <w:rPr>
          <w:rFonts w:ascii="Calibri" w:hAnsi="Calibri" w:cs="Calibri"/>
          <w:strike/>
          <w:spacing w:val="3"/>
          <w:sz w:val="22"/>
          <w:szCs w:val="22"/>
          <w:lang w:val="en-IE"/>
        </w:rPr>
        <w:t xml:space="preserve"> to the preceding paragraph (</w:t>
      </w:r>
      <w:proofErr w:type="spellStart"/>
      <w:r w:rsidRPr="00E8517F">
        <w:rPr>
          <w:rFonts w:ascii="Calibri" w:hAnsi="Calibri" w:cs="Calibri"/>
          <w:strike/>
          <w:spacing w:val="3"/>
          <w:sz w:val="22"/>
          <w:szCs w:val="22"/>
          <w:lang w:val="en-IE"/>
        </w:rPr>
        <w:t>i</w:t>
      </w:r>
      <w:proofErr w:type="spellEnd"/>
      <w:r w:rsidRPr="00E8517F">
        <w:rPr>
          <w:rFonts w:ascii="Calibri" w:hAnsi="Calibri" w:cs="Calibri"/>
          <w:strike/>
          <w:spacing w:val="3"/>
          <w:sz w:val="22"/>
          <w:szCs w:val="22"/>
          <w:lang w:val="en-IE"/>
        </w:rPr>
        <w:t>), the Company may also invest:</w:t>
      </w:r>
      <w:r w:rsidRPr="00E8517F">
        <w:rPr>
          <w:rFonts w:ascii="Calibri" w:hAnsi="Calibri" w:cs="Calibri"/>
          <w:spacing w:val="3"/>
          <w:sz w:val="22"/>
          <w:szCs w:val="22"/>
          <w:lang w:val="en-IE"/>
        </w:rPr>
        <w:t xml:space="preserve"> (a) </w:t>
      </w:r>
      <w:r w:rsidRPr="00E8517F">
        <w:rPr>
          <w:rFonts w:ascii="Calibri" w:hAnsi="Calibri" w:cs="Calibri"/>
          <w:strike/>
          <w:spacing w:val="3"/>
          <w:sz w:val="22"/>
          <w:szCs w:val="22"/>
          <w:lang w:val="en-IE"/>
        </w:rPr>
        <w:t>in aggregate, up 40 per cent. of the Gross Asset Value (calculated immediately following each investment)</w:t>
      </w:r>
      <w:r w:rsidRPr="00E8517F">
        <w:rPr>
          <w:rFonts w:ascii="Calibri" w:hAnsi="Calibri" w:cs="Calibri"/>
          <w:spacing w:val="3"/>
          <w:sz w:val="22"/>
          <w:szCs w:val="22"/>
          <w:lang w:val="en-IE"/>
        </w:rPr>
        <w:t xml:space="preserve"> in operational wind energy assets or operational solar PV assets in Ireland and Other Relevant Countries; and / or (b) in aggregate, up to 10 per cent. of the Gross Asset Value (calculated immediately following each investment) in Ireland and Other Relevant Countries: (1) in wind energy assets or solar PV assets under construction; or (2) in assets that are in other forms of energy technologies (or infrastructure that is complementary to, or supports the roll-out of, renewable energy generation). Over time, the Company will invest in both onshore and offshore wind farms with the amount invested in offshore wind farms being capped, in aggregate, at 40 per cent. of the Gross Asset Value (calculated immediately following each investment).”</w:t>
      </w:r>
    </w:p>
    <w:p w14:paraId="1FA142A4" w14:textId="77777777" w:rsidR="00FE2B55" w:rsidRPr="00FE2B55" w:rsidRDefault="00FE2B55" w:rsidP="00FE2B55">
      <w:pPr>
        <w:pStyle w:val="BodyText"/>
        <w:tabs>
          <w:tab w:val="left" w:pos="546"/>
        </w:tabs>
        <w:spacing w:line="276" w:lineRule="auto"/>
        <w:ind w:left="709" w:right="85"/>
        <w:jc w:val="both"/>
        <w:rPr>
          <w:rFonts w:ascii="Calibri" w:hAnsi="Calibri" w:cs="Calibri"/>
          <w:spacing w:val="3"/>
          <w:sz w:val="22"/>
          <w:szCs w:val="22"/>
          <w:lang w:val="en-IE"/>
        </w:rPr>
      </w:pPr>
    </w:p>
    <w:p w14:paraId="5845EEE8" w14:textId="15EC133E" w:rsidR="001579C7" w:rsidRPr="00FE2B55" w:rsidRDefault="00655248" w:rsidP="00655248">
      <w:pPr>
        <w:pStyle w:val="MFNumLev4"/>
        <w:numPr>
          <w:ilvl w:val="0"/>
          <w:numId w:val="0"/>
        </w:numPr>
        <w:spacing w:line="276" w:lineRule="auto"/>
        <w:ind w:left="720"/>
        <w:rPr>
          <w:rFonts w:ascii="Calibri" w:hAnsi="Calibri" w:cs="Calibri"/>
          <w:sz w:val="22"/>
          <w:szCs w:val="22"/>
        </w:rPr>
      </w:pPr>
      <w:r w:rsidRPr="00FE2B55">
        <w:rPr>
          <w:rFonts w:ascii="Calibri" w:hAnsi="Calibri" w:cs="Calibri"/>
          <w:sz w:val="22"/>
          <w:szCs w:val="22"/>
        </w:rPr>
        <w:lastRenderedPageBreak/>
        <w:t>T</w:t>
      </w:r>
      <w:r w:rsidR="001579C7" w:rsidRPr="00FE2B55">
        <w:rPr>
          <w:rFonts w:ascii="Calibri" w:hAnsi="Calibri" w:cs="Calibri"/>
          <w:sz w:val="22"/>
          <w:szCs w:val="22"/>
        </w:rPr>
        <w:t xml:space="preserve">he full text </w:t>
      </w:r>
      <w:r w:rsidR="009B2298" w:rsidRPr="00FE2B55">
        <w:rPr>
          <w:rFonts w:ascii="Calibri" w:hAnsi="Calibri" w:cs="Calibri"/>
          <w:sz w:val="22"/>
          <w:szCs w:val="22"/>
        </w:rPr>
        <w:t xml:space="preserve">the </w:t>
      </w:r>
      <w:r w:rsidR="00385E42">
        <w:rPr>
          <w:rFonts w:ascii="Calibri" w:hAnsi="Calibri" w:cs="Calibri"/>
          <w:sz w:val="22"/>
          <w:szCs w:val="22"/>
        </w:rPr>
        <w:t xml:space="preserve">of </w:t>
      </w:r>
      <w:r w:rsidR="001579C7" w:rsidRPr="00FE2B55">
        <w:rPr>
          <w:rFonts w:ascii="Calibri" w:hAnsi="Calibri" w:cs="Calibri"/>
          <w:sz w:val="22"/>
          <w:szCs w:val="22"/>
        </w:rPr>
        <w:t xml:space="preserve">resolution and a summary of </w:t>
      </w:r>
      <w:r w:rsidR="00385E42">
        <w:rPr>
          <w:rFonts w:ascii="Calibri" w:hAnsi="Calibri" w:cs="Calibri"/>
          <w:sz w:val="22"/>
          <w:szCs w:val="22"/>
        </w:rPr>
        <w:t>the poll</w:t>
      </w:r>
      <w:r w:rsidR="001579C7" w:rsidRPr="00FE2B55">
        <w:rPr>
          <w:rFonts w:ascii="Calibri" w:hAnsi="Calibri" w:cs="Calibri"/>
          <w:sz w:val="22"/>
          <w:szCs w:val="22"/>
        </w:rPr>
        <w:t xml:space="preserve"> votes received will shortly be available on the Company’s website and will also be submitted to the National Storage Mechanism for in</w:t>
      </w:r>
      <w:r w:rsidR="00B30497" w:rsidRPr="00FE2B55">
        <w:rPr>
          <w:rFonts w:ascii="Calibri" w:hAnsi="Calibri" w:cs="Calibri"/>
          <w:sz w:val="22"/>
          <w:szCs w:val="22"/>
        </w:rPr>
        <w:t xml:space="preserve">spection at </w:t>
      </w:r>
      <w:hyperlink r:id="rId8" w:anchor="/nsm/nationalstoragemechanism" w:history="1">
        <w:r w:rsidR="00F96922" w:rsidRPr="00FE2B55">
          <w:rPr>
            <w:rStyle w:val="Hyperlink"/>
            <w:rFonts w:ascii="Calibri" w:hAnsi="Calibri" w:cs="Calibri"/>
            <w:sz w:val="22"/>
            <w:szCs w:val="22"/>
          </w:rPr>
          <w:t>https://data.fca.org.uk/#/nsm/nationalstoragemechanism</w:t>
        </w:r>
      </w:hyperlink>
      <w:r w:rsidR="00F96922" w:rsidRPr="00FE2B55">
        <w:rPr>
          <w:rFonts w:ascii="Calibri" w:hAnsi="Calibri" w:cs="Calibri"/>
          <w:sz w:val="22"/>
          <w:szCs w:val="22"/>
        </w:rPr>
        <w:t>.</w:t>
      </w:r>
      <w:r w:rsidR="00B30497" w:rsidRPr="00FE2B55">
        <w:rPr>
          <w:rFonts w:ascii="Calibri" w:hAnsi="Calibri" w:cs="Calibri"/>
          <w:sz w:val="22"/>
          <w:szCs w:val="22"/>
        </w:rPr>
        <w:t xml:space="preserve"> </w:t>
      </w:r>
    </w:p>
    <w:p w14:paraId="07DBE6C2" w14:textId="77777777" w:rsidR="00655248" w:rsidRPr="00FE2B55" w:rsidRDefault="00655248" w:rsidP="009B2298">
      <w:pPr>
        <w:pStyle w:val="ListParagraph"/>
        <w:spacing w:line="276" w:lineRule="auto"/>
        <w:ind w:left="0"/>
        <w:jc w:val="center"/>
        <w:rPr>
          <w:rFonts w:ascii="Calibri" w:hAnsi="Calibri" w:cs="Calibri"/>
          <w:b/>
          <w:sz w:val="22"/>
          <w:szCs w:val="22"/>
        </w:rPr>
      </w:pPr>
      <w:r w:rsidRPr="00FE2B55">
        <w:rPr>
          <w:rFonts w:ascii="Calibri" w:hAnsi="Calibri" w:cs="Calibri"/>
          <w:b/>
          <w:sz w:val="22"/>
          <w:szCs w:val="22"/>
        </w:rPr>
        <w:t>--- ENDS ---</w:t>
      </w:r>
    </w:p>
    <w:p w14:paraId="1A3042F2" w14:textId="77777777" w:rsidR="00655248" w:rsidRPr="00FE2B55" w:rsidRDefault="00655248" w:rsidP="00655248">
      <w:pPr>
        <w:pStyle w:val="ListParagraph"/>
        <w:numPr>
          <w:ilvl w:val="0"/>
          <w:numId w:val="11"/>
        </w:numPr>
        <w:spacing w:line="276" w:lineRule="auto"/>
        <w:rPr>
          <w:rFonts w:ascii="Calibri" w:hAnsi="Calibri" w:cs="Calibri"/>
          <w:sz w:val="22"/>
          <w:szCs w:val="22"/>
        </w:rPr>
      </w:pPr>
    </w:p>
    <w:p w14:paraId="488506AB"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For further information on the Announcement, please contact:</w:t>
      </w:r>
    </w:p>
    <w:p w14:paraId="325DB646"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p>
    <w:p w14:paraId="50266156" w14:textId="77777777" w:rsidR="00655248" w:rsidRPr="00FE2B55" w:rsidRDefault="00655248" w:rsidP="00655248">
      <w:pPr>
        <w:pStyle w:val="ListParagraph"/>
        <w:numPr>
          <w:ilvl w:val="0"/>
          <w:numId w:val="11"/>
        </w:numPr>
        <w:spacing w:line="276" w:lineRule="auto"/>
        <w:rPr>
          <w:rFonts w:ascii="Calibri" w:hAnsi="Calibri" w:cs="Calibri"/>
          <w:bCs/>
          <w:sz w:val="22"/>
          <w:szCs w:val="22"/>
          <w:lang w:val="fr-FR"/>
        </w:rPr>
      </w:pPr>
      <w:r w:rsidRPr="00FE2B55">
        <w:rPr>
          <w:rFonts w:ascii="Calibri" w:hAnsi="Calibri" w:cs="Calibri"/>
          <w:bCs/>
          <w:sz w:val="22"/>
          <w:szCs w:val="22"/>
          <w:lang w:val="fr-FR"/>
        </w:rPr>
        <w:t xml:space="preserve">Greencoat Renewables </w:t>
      </w:r>
      <w:proofErr w:type="gramStart"/>
      <w:r w:rsidRPr="00FE2B55">
        <w:rPr>
          <w:rFonts w:ascii="Calibri" w:hAnsi="Calibri" w:cs="Calibri"/>
          <w:bCs/>
          <w:sz w:val="22"/>
          <w:szCs w:val="22"/>
          <w:lang w:val="fr-FR"/>
        </w:rPr>
        <w:t>PLC:</w:t>
      </w:r>
      <w:proofErr w:type="gramEnd"/>
      <w:r w:rsidRPr="00FE2B55">
        <w:rPr>
          <w:rFonts w:ascii="Calibri" w:hAnsi="Calibri" w:cs="Calibri"/>
          <w:bCs/>
          <w:sz w:val="22"/>
          <w:szCs w:val="22"/>
          <w:lang w:val="fr-FR"/>
        </w:rPr>
        <w:tab/>
      </w:r>
      <w:r w:rsidRPr="00FE2B55">
        <w:rPr>
          <w:rFonts w:ascii="Calibri" w:hAnsi="Calibri" w:cs="Calibri"/>
          <w:bCs/>
          <w:sz w:val="22"/>
          <w:szCs w:val="22"/>
          <w:lang w:val="fr-FR"/>
        </w:rPr>
        <w:tab/>
      </w:r>
      <w:r w:rsidRPr="00FE2B55">
        <w:rPr>
          <w:rFonts w:ascii="Calibri" w:hAnsi="Calibri" w:cs="Calibri"/>
          <w:bCs/>
          <w:sz w:val="22"/>
          <w:szCs w:val="22"/>
          <w:lang w:val="fr-FR"/>
        </w:rPr>
        <w:tab/>
      </w:r>
      <w:r w:rsidRPr="00FE2B55">
        <w:rPr>
          <w:rFonts w:ascii="Calibri" w:hAnsi="Calibri" w:cs="Calibri"/>
          <w:bCs/>
          <w:sz w:val="22"/>
          <w:szCs w:val="22"/>
          <w:lang w:val="fr-FR"/>
        </w:rPr>
        <w:tab/>
      </w:r>
      <w:r w:rsidRPr="00FE2B55">
        <w:rPr>
          <w:rFonts w:ascii="Calibri" w:hAnsi="Calibri" w:cs="Calibri"/>
          <w:bCs/>
          <w:sz w:val="22"/>
          <w:szCs w:val="22"/>
          <w:lang w:val="fr-FR"/>
        </w:rPr>
        <w:tab/>
      </w:r>
      <w:r w:rsidRPr="00FE2B55">
        <w:rPr>
          <w:rFonts w:ascii="Calibri" w:hAnsi="Calibri" w:cs="Calibri"/>
          <w:bCs/>
          <w:sz w:val="22"/>
          <w:szCs w:val="22"/>
          <w:lang w:val="fr-FR"/>
        </w:rPr>
        <w:tab/>
        <w:t>+44 20 7832 9400</w:t>
      </w:r>
    </w:p>
    <w:p w14:paraId="6B710C23" w14:textId="77777777" w:rsidR="00655248" w:rsidRPr="00FE2B55" w:rsidRDefault="00655248" w:rsidP="00655248">
      <w:pPr>
        <w:pStyle w:val="ListParagraph"/>
        <w:numPr>
          <w:ilvl w:val="0"/>
          <w:numId w:val="11"/>
        </w:numPr>
        <w:spacing w:line="276" w:lineRule="auto"/>
        <w:rPr>
          <w:rFonts w:ascii="Calibri" w:hAnsi="Calibri" w:cs="Calibri"/>
          <w:bCs/>
          <w:sz w:val="22"/>
          <w:szCs w:val="22"/>
          <w:lang w:val="fr-FR"/>
        </w:rPr>
      </w:pPr>
      <w:r w:rsidRPr="00FE2B55">
        <w:rPr>
          <w:rFonts w:ascii="Calibri" w:hAnsi="Calibri" w:cs="Calibri"/>
          <w:bCs/>
          <w:sz w:val="22"/>
          <w:szCs w:val="22"/>
          <w:lang w:val="fr-FR"/>
        </w:rPr>
        <w:t>Bertrand Gautier</w:t>
      </w:r>
    </w:p>
    <w:p w14:paraId="6AEB8A22" w14:textId="77777777" w:rsidR="00655248" w:rsidRPr="00FE2B55" w:rsidRDefault="00655248" w:rsidP="00655248">
      <w:pPr>
        <w:pStyle w:val="ListParagraph"/>
        <w:numPr>
          <w:ilvl w:val="0"/>
          <w:numId w:val="11"/>
        </w:numPr>
        <w:spacing w:line="276" w:lineRule="auto"/>
        <w:rPr>
          <w:rFonts w:ascii="Calibri" w:hAnsi="Calibri" w:cs="Calibri"/>
          <w:bCs/>
          <w:sz w:val="22"/>
          <w:szCs w:val="22"/>
          <w:lang w:val="fr-FR"/>
        </w:rPr>
      </w:pPr>
      <w:r w:rsidRPr="00FE2B55">
        <w:rPr>
          <w:rFonts w:ascii="Calibri" w:hAnsi="Calibri" w:cs="Calibri"/>
          <w:bCs/>
          <w:sz w:val="22"/>
          <w:szCs w:val="22"/>
          <w:lang w:val="fr-FR"/>
        </w:rPr>
        <w:t xml:space="preserve">Paul O’Donnell </w:t>
      </w:r>
      <w:r w:rsidRPr="00FE2B55">
        <w:rPr>
          <w:rFonts w:ascii="Calibri" w:hAnsi="Calibri" w:cs="Calibri"/>
          <w:bCs/>
          <w:sz w:val="22"/>
          <w:szCs w:val="22"/>
          <w:lang w:val="fr-FR"/>
        </w:rPr>
        <w:tab/>
      </w:r>
      <w:r w:rsidRPr="00FE2B55">
        <w:rPr>
          <w:rFonts w:ascii="Calibri" w:hAnsi="Calibri" w:cs="Calibri"/>
          <w:bCs/>
          <w:sz w:val="22"/>
          <w:szCs w:val="22"/>
          <w:lang w:val="fr-FR"/>
        </w:rPr>
        <w:tab/>
      </w:r>
    </w:p>
    <w:p w14:paraId="691F1816"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Tom Rayner</w:t>
      </w:r>
    </w:p>
    <w:p w14:paraId="68EBE6D2"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p>
    <w:p w14:paraId="3D02F688" w14:textId="4205AB57"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Davy (Joint B</w:t>
      </w:r>
      <w:r w:rsidR="009B5B94" w:rsidRPr="00FE2B55">
        <w:rPr>
          <w:rFonts w:ascii="Calibri" w:hAnsi="Calibri" w:cs="Calibri"/>
          <w:bCs/>
          <w:sz w:val="22"/>
          <w:szCs w:val="22"/>
        </w:rPr>
        <w:t>roker</w:t>
      </w:r>
      <w:r w:rsidRPr="00FE2B55">
        <w:rPr>
          <w:rFonts w:ascii="Calibri" w:hAnsi="Calibri" w:cs="Calibri"/>
          <w:bCs/>
          <w:sz w:val="22"/>
          <w:szCs w:val="22"/>
        </w:rPr>
        <w:t>, Nomad and</w:t>
      </w:r>
    </w:p>
    <w:p w14:paraId="35B89CFE" w14:textId="459502DA"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 xml:space="preserve">Euronext Growth </w:t>
      </w:r>
      <w:r w:rsidR="00513553">
        <w:rPr>
          <w:rFonts w:ascii="Calibri" w:hAnsi="Calibri" w:cs="Calibri"/>
          <w:bCs/>
          <w:sz w:val="22"/>
          <w:szCs w:val="22"/>
        </w:rPr>
        <w:t>Listing Sponsor</w:t>
      </w:r>
      <w:r w:rsidRPr="00FE2B55">
        <w:rPr>
          <w:rFonts w:ascii="Calibri" w:hAnsi="Calibri" w:cs="Calibri"/>
          <w:bCs/>
          <w:sz w:val="22"/>
          <w:szCs w:val="22"/>
        </w:rPr>
        <w:t>)</w:t>
      </w:r>
      <w:r w:rsidRPr="00FE2B55">
        <w:rPr>
          <w:rFonts w:ascii="Calibri" w:hAnsi="Calibri" w:cs="Calibri"/>
          <w:bCs/>
          <w:sz w:val="22"/>
          <w:szCs w:val="22"/>
        </w:rPr>
        <w:tab/>
      </w:r>
      <w:r w:rsidRPr="00FE2B55">
        <w:rPr>
          <w:rFonts w:ascii="Calibri" w:hAnsi="Calibri" w:cs="Calibri"/>
          <w:bCs/>
          <w:sz w:val="22"/>
          <w:szCs w:val="22"/>
        </w:rPr>
        <w:tab/>
      </w:r>
      <w:r w:rsidRPr="00FE2B55">
        <w:rPr>
          <w:rFonts w:ascii="Calibri" w:hAnsi="Calibri" w:cs="Calibri"/>
          <w:bCs/>
          <w:sz w:val="22"/>
          <w:szCs w:val="22"/>
        </w:rPr>
        <w:tab/>
      </w:r>
      <w:r w:rsidRPr="00FE2B55">
        <w:rPr>
          <w:rFonts w:ascii="Calibri" w:hAnsi="Calibri" w:cs="Calibri"/>
          <w:bCs/>
          <w:sz w:val="22"/>
          <w:szCs w:val="22"/>
        </w:rPr>
        <w:tab/>
      </w:r>
      <w:r w:rsidRPr="00FE2B55">
        <w:rPr>
          <w:rFonts w:ascii="Calibri" w:hAnsi="Calibri" w:cs="Calibri"/>
          <w:bCs/>
          <w:sz w:val="22"/>
          <w:szCs w:val="22"/>
        </w:rPr>
        <w:tab/>
        <w:t>+353 1 6796363</w:t>
      </w:r>
    </w:p>
    <w:p w14:paraId="67AA10DF"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Ronan Veale</w:t>
      </w:r>
    </w:p>
    <w:p w14:paraId="02561BF9"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Barry Murphy</w:t>
      </w:r>
    </w:p>
    <w:p w14:paraId="3C7BD495"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p>
    <w:p w14:paraId="759729A6" w14:textId="54FE56DC"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RBC (Joint B</w:t>
      </w:r>
      <w:r w:rsidR="009B5B94" w:rsidRPr="00FE2B55">
        <w:rPr>
          <w:rFonts w:ascii="Calibri" w:hAnsi="Calibri" w:cs="Calibri"/>
          <w:bCs/>
          <w:sz w:val="22"/>
          <w:szCs w:val="22"/>
        </w:rPr>
        <w:t>roker</w:t>
      </w:r>
      <w:r w:rsidRPr="00FE2B55">
        <w:rPr>
          <w:rFonts w:ascii="Calibri" w:hAnsi="Calibri" w:cs="Calibri"/>
          <w:bCs/>
          <w:sz w:val="22"/>
          <w:szCs w:val="22"/>
        </w:rPr>
        <w:t>)</w:t>
      </w:r>
      <w:r w:rsidRPr="00FE2B55">
        <w:rPr>
          <w:rFonts w:ascii="Calibri" w:hAnsi="Calibri" w:cs="Calibri"/>
          <w:bCs/>
          <w:sz w:val="22"/>
          <w:szCs w:val="22"/>
        </w:rPr>
        <w:tab/>
      </w:r>
      <w:r w:rsidRPr="00FE2B55">
        <w:rPr>
          <w:rFonts w:ascii="Calibri" w:hAnsi="Calibri" w:cs="Calibri"/>
          <w:bCs/>
          <w:sz w:val="22"/>
          <w:szCs w:val="22"/>
        </w:rPr>
        <w:tab/>
      </w:r>
      <w:r w:rsidRPr="00FE2B55">
        <w:rPr>
          <w:rFonts w:ascii="Calibri" w:hAnsi="Calibri" w:cs="Calibri"/>
          <w:bCs/>
          <w:sz w:val="22"/>
          <w:szCs w:val="22"/>
        </w:rPr>
        <w:tab/>
      </w:r>
      <w:r w:rsidRPr="00FE2B55">
        <w:rPr>
          <w:rFonts w:ascii="Calibri" w:hAnsi="Calibri" w:cs="Calibri"/>
          <w:bCs/>
          <w:sz w:val="22"/>
          <w:szCs w:val="22"/>
        </w:rPr>
        <w:tab/>
      </w:r>
      <w:r w:rsidRPr="00FE2B55">
        <w:rPr>
          <w:rFonts w:ascii="Calibri" w:hAnsi="Calibri" w:cs="Calibri"/>
          <w:bCs/>
          <w:sz w:val="22"/>
          <w:szCs w:val="22"/>
        </w:rPr>
        <w:tab/>
      </w:r>
      <w:r w:rsidRPr="00FE2B55">
        <w:rPr>
          <w:rFonts w:ascii="Calibri" w:hAnsi="Calibri" w:cs="Calibri"/>
          <w:bCs/>
          <w:sz w:val="22"/>
          <w:szCs w:val="22"/>
        </w:rPr>
        <w:tab/>
      </w:r>
      <w:r w:rsidR="009B5B94" w:rsidRPr="00FE2B55">
        <w:rPr>
          <w:rFonts w:ascii="Calibri" w:hAnsi="Calibri" w:cs="Calibri"/>
          <w:bCs/>
          <w:sz w:val="22"/>
          <w:szCs w:val="22"/>
        </w:rPr>
        <w:tab/>
      </w:r>
      <w:r w:rsidRPr="00FE2B55">
        <w:rPr>
          <w:rFonts w:ascii="Calibri" w:hAnsi="Calibri" w:cs="Calibri"/>
          <w:bCs/>
          <w:sz w:val="22"/>
          <w:szCs w:val="22"/>
        </w:rPr>
        <w:t>+44 20 7653 4000</w:t>
      </w:r>
    </w:p>
    <w:p w14:paraId="4325CE20"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Matthew Coakes</w:t>
      </w:r>
    </w:p>
    <w:p w14:paraId="1C616F2E"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Duncan Smith</w:t>
      </w:r>
    </w:p>
    <w:p w14:paraId="60F2EB1C"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Elizabeth Evans</w:t>
      </w:r>
    </w:p>
    <w:p w14:paraId="6232823D" w14:textId="77777777" w:rsidR="00655248" w:rsidRPr="00FE2B55" w:rsidRDefault="00655248" w:rsidP="00655248">
      <w:pPr>
        <w:pStyle w:val="ListParagraph"/>
        <w:numPr>
          <w:ilvl w:val="0"/>
          <w:numId w:val="11"/>
        </w:numPr>
        <w:spacing w:line="276" w:lineRule="auto"/>
        <w:rPr>
          <w:rFonts w:ascii="Calibri" w:hAnsi="Calibri" w:cs="Calibri"/>
          <w:bCs/>
          <w:sz w:val="22"/>
          <w:szCs w:val="22"/>
        </w:rPr>
      </w:pPr>
    </w:p>
    <w:p w14:paraId="46BB3BAC" w14:textId="0A5FE5CB" w:rsidR="00655248" w:rsidRPr="00FE2B55"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FTI Consulting (Media Enquiries)</w:t>
      </w:r>
      <w:r w:rsidRPr="00FE2B55">
        <w:rPr>
          <w:rFonts w:ascii="Calibri" w:hAnsi="Calibri" w:cs="Calibri"/>
          <w:bCs/>
          <w:sz w:val="22"/>
          <w:szCs w:val="22"/>
        </w:rPr>
        <w:tab/>
      </w:r>
      <w:r w:rsidRPr="00FE2B55">
        <w:rPr>
          <w:rFonts w:ascii="Calibri" w:hAnsi="Calibri" w:cs="Calibri"/>
          <w:bCs/>
          <w:sz w:val="22"/>
          <w:szCs w:val="22"/>
        </w:rPr>
        <w:tab/>
      </w:r>
      <w:r w:rsidRPr="00FE2B55">
        <w:rPr>
          <w:rFonts w:ascii="Calibri" w:hAnsi="Calibri" w:cs="Calibri"/>
          <w:bCs/>
          <w:sz w:val="22"/>
          <w:szCs w:val="22"/>
        </w:rPr>
        <w:tab/>
      </w:r>
      <w:r w:rsidRPr="00FE2B55">
        <w:rPr>
          <w:rFonts w:ascii="Calibri" w:hAnsi="Calibri" w:cs="Calibri"/>
          <w:bCs/>
          <w:sz w:val="22"/>
          <w:szCs w:val="22"/>
        </w:rPr>
        <w:tab/>
      </w:r>
      <w:hyperlink r:id="rId9" w:history="1">
        <w:r w:rsidR="00396475" w:rsidRPr="00096442">
          <w:rPr>
            <w:rStyle w:val="Hyperlink"/>
            <w:rFonts w:ascii="Calibri" w:hAnsi="Calibri" w:cs="Calibri"/>
            <w:bCs/>
            <w:sz w:val="22"/>
            <w:szCs w:val="22"/>
          </w:rPr>
          <w:t>greencoat@fticonsulting.com</w:t>
        </w:r>
      </w:hyperlink>
      <w:r w:rsidR="00396475">
        <w:rPr>
          <w:rFonts w:ascii="Calibri" w:hAnsi="Calibri" w:cs="Calibri"/>
          <w:bCs/>
          <w:sz w:val="22"/>
          <w:szCs w:val="22"/>
        </w:rPr>
        <w:t xml:space="preserve"> </w:t>
      </w:r>
    </w:p>
    <w:p w14:paraId="7AA5C983" w14:textId="106B2225" w:rsidR="00655248" w:rsidRDefault="00655248" w:rsidP="00655248">
      <w:pPr>
        <w:pStyle w:val="ListParagraph"/>
        <w:numPr>
          <w:ilvl w:val="0"/>
          <w:numId w:val="11"/>
        </w:numPr>
        <w:spacing w:line="276" w:lineRule="auto"/>
        <w:rPr>
          <w:rFonts w:ascii="Calibri" w:hAnsi="Calibri" w:cs="Calibri"/>
          <w:bCs/>
          <w:sz w:val="22"/>
          <w:szCs w:val="22"/>
        </w:rPr>
      </w:pPr>
      <w:r w:rsidRPr="00FE2B55">
        <w:rPr>
          <w:rFonts w:ascii="Calibri" w:hAnsi="Calibri" w:cs="Calibri"/>
          <w:bCs/>
          <w:sz w:val="22"/>
          <w:szCs w:val="22"/>
        </w:rPr>
        <w:t>Melanie Farrell</w:t>
      </w:r>
    </w:p>
    <w:p w14:paraId="7909AAF9" w14:textId="28D96B4D" w:rsidR="00396475" w:rsidRPr="00FE2B55" w:rsidRDefault="00396475" w:rsidP="00655248">
      <w:pPr>
        <w:pStyle w:val="ListParagraph"/>
        <w:numPr>
          <w:ilvl w:val="0"/>
          <w:numId w:val="11"/>
        </w:numPr>
        <w:spacing w:line="276" w:lineRule="auto"/>
        <w:rPr>
          <w:rFonts w:ascii="Calibri" w:hAnsi="Calibri" w:cs="Calibri"/>
          <w:bCs/>
          <w:sz w:val="22"/>
          <w:szCs w:val="22"/>
        </w:rPr>
      </w:pPr>
      <w:r>
        <w:rPr>
          <w:rFonts w:ascii="Calibri" w:hAnsi="Calibri" w:cs="Calibri"/>
          <w:bCs/>
          <w:sz w:val="22"/>
          <w:szCs w:val="22"/>
        </w:rPr>
        <w:t>Orla Cox</w:t>
      </w:r>
    </w:p>
    <w:p w14:paraId="4530AD89" w14:textId="77777777" w:rsidR="00655248" w:rsidRPr="00FE2B55" w:rsidRDefault="00655248" w:rsidP="00655248">
      <w:pPr>
        <w:pStyle w:val="ListParagraph"/>
        <w:numPr>
          <w:ilvl w:val="0"/>
          <w:numId w:val="11"/>
        </w:numPr>
        <w:spacing w:line="276" w:lineRule="auto"/>
        <w:jc w:val="both"/>
        <w:rPr>
          <w:rFonts w:ascii="Calibri" w:hAnsi="Calibri" w:cs="Calibri"/>
          <w:b/>
          <w:bCs/>
          <w:sz w:val="22"/>
          <w:szCs w:val="22"/>
        </w:rPr>
      </w:pPr>
    </w:p>
    <w:p w14:paraId="777E3FDA" w14:textId="77777777" w:rsidR="00655248" w:rsidRPr="00FE2B55" w:rsidRDefault="00655248" w:rsidP="00655248">
      <w:pPr>
        <w:pStyle w:val="ListParagraph"/>
        <w:numPr>
          <w:ilvl w:val="0"/>
          <w:numId w:val="11"/>
        </w:numPr>
        <w:spacing w:line="276" w:lineRule="auto"/>
        <w:rPr>
          <w:rFonts w:ascii="Calibri" w:hAnsi="Calibri" w:cs="Calibri"/>
          <w:b/>
          <w:bCs/>
          <w:sz w:val="22"/>
          <w:szCs w:val="22"/>
        </w:rPr>
      </w:pPr>
      <w:r w:rsidRPr="00FE2B55">
        <w:rPr>
          <w:rFonts w:ascii="Calibri" w:hAnsi="Calibri" w:cs="Calibri"/>
          <w:b/>
          <w:bCs/>
          <w:sz w:val="22"/>
          <w:szCs w:val="22"/>
        </w:rPr>
        <w:t>About Greencoat Renewables PLC</w:t>
      </w:r>
    </w:p>
    <w:p w14:paraId="41647B4B" w14:textId="77777777" w:rsidR="00655248" w:rsidRPr="00FE2B55" w:rsidRDefault="00655248" w:rsidP="00655248">
      <w:pPr>
        <w:pStyle w:val="ListParagraph"/>
        <w:numPr>
          <w:ilvl w:val="0"/>
          <w:numId w:val="11"/>
        </w:numPr>
        <w:spacing w:line="276" w:lineRule="auto"/>
        <w:jc w:val="both"/>
        <w:rPr>
          <w:rFonts w:ascii="Calibri" w:hAnsi="Calibri" w:cs="Calibri"/>
          <w:sz w:val="22"/>
          <w:szCs w:val="22"/>
        </w:rPr>
      </w:pPr>
      <w:r w:rsidRPr="00FE2B55">
        <w:rPr>
          <w:rFonts w:ascii="Calibri" w:hAnsi="Calibri" w:cs="Calibri"/>
          <w:sz w:val="22"/>
          <w:szCs w:val="22"/>
        </w:rPr>
        <w:t>Greencoat Renewables PLC is an investor in euro-denominated renewable energy infrastructure assets. Initially focused solely on the acquisition and management of operating wind farms in Ireland, the Company is now also investing in wind and solar assets in certain other Northern European countries with stable and robust renewable energy frameworks. It is managed by Greencoat Capital LLP, an experienced investment manager in the listed renewable energy infrastructure sector.</w:t>
      </w:r>
    </w:p>
    <w:p w14:paraId="2B870036" w14:textId="77777777" w:rsidR="003A7A98" w:rsidRPr="00FE2B55" w:rsidRDefault="003A7A98" w:rsidP="00655248">
      <w:pPr>
        <w:spacing w:line="276" w:lineRule="auto"/>
        <w:jc w:val="both"/>
        <w:rPr>
          <w:rFonts w:ascii="Calibri" w:hAnsi="Calibri" w:cs="Calibri"/>
          <w:sz w:val="22"/>
          <w:szCs w:val="22"/>
        </w:rPr>
      </w:pPr>
    </w:p>
    <w:sectPr w:rsidR="003A7A98" w:rsidRPr="00FE2B55" w:rsidSect="00FF3457">
      <w:footerReference w:type="default" r:id="rId10"/>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68C8" w14:textId="77777777" w:rsidR="001971F5" w:rsidRDefault="001971F5" w:rsidP="006D7682">
      <w:r>
        <w:separator/>
      </w:r>
    </w:p>
  </w:endnote>
  <w:endnote w:type="continuationSeparator" w:id="0">
    <w:p w14:paraId="4C799EB0" w14:textId="77777777" w:rsidR="001971F5" w:rsidRDefault="001971F5" w:rsidP="006D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B217" w14:textId="77777777" w:rsidR="001971F5" w:rsidRDefault="001971F5">
    <w:pPr>
      <w:spacing w:line="14" w:lineRule="auto"/>
      <w:rPr>
        <w:sz w:val="18"/>
        <w:szCs w:val="18"/>
      </w:rPr>
    </w:pPr>
    <w:r>
      <w:rPr>
        <w:noProof/>
        <w:lang w:eastAsia="zh-CN"/>
      </w:rPr>
      <mc:AlternateContent>
        <mc:Choice Requires="wps">
          <w:drawing>
            <wp:anchor distT="0" distB="0" distL="114300" distR="114300" simplePos="0" relativeHeight="251659264" behindDoc="1" locked="0" layoutInCell="1" allowOverlap="1" wp14:anchorId="30778780" wp14:editId="749608C5">
              <wp:simplePos x="0" y="0"/>
              <wp:positionH relativeFrom="page">
                <wp:posOffset>3796030</wp:posOffset>
              </wp:positionH>
              <wp:positionV relativeFrom="page">
                <wp:posOffset>10327005</wp:posOffset>
              </wp:positionV>
              <wp:extent cx="207645" cy="156845"/>
              <wp:effectExtent l="0" t="190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0537" w14:textId="7AA15D3B" w:rsidR="001971F5" w:rsidRDefault="001971F5">
                          <w:pPr>
                            <w:spacing w:line="225" w:lineRule="exact"/>
                            <w:ind w:left="86"/>
                            <w:rPr>
                              <w:rFonts w:ascii="Times New Roman" w:eastAsia="Times New Roman" w:hAnsi="Times New Roman" w:cs="Times New Roman"/>
                              <w:sz w:val="20"/>
                              <w:szCs w:val="20"/>
                            </w:rPr>
                          </w:pPr>
                          <w:r>
                            <w:fldChar w:fldCharType="begin"/>
                          </w:r>
                          <w:r>
                            <w:rPr>
                              <w:rFonts w:ascii="Times New Roman"/>
                              <w:color w:val="231F20"/>
                              <w:sz w:val="20"/>
                            </w:rPr>
                            <w:instrText xml:space="preserve"> PAGE </w:instrText>
                          </w:r>
                          <w:r>
                            <w:fldChar w:fldCharType="separate"/>
                          </w:r>
                          <w:r w:rsidR="00E14A84">
                            <w:rPr>
                              <w:rFonts w:ascii="Times New Roman"/>
                              <w:noProof/>
                              <w:color w:val="231F20"/>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78780" id="_x0000_t202" coordsize="21600,21600" o:spt="202" path="m,l,21600r21600,l21600,xe">
              <v:stroke joinstyle="miter"/>
              <v:path gradientshapeok="t" o:connecttype="rect"/>
            </v:shapetype>
            <v:shape id="Text Box 1" o:spid="_x0000_s1026" type="#_x0000_t202" style="position:absolute;margin-left:298.9pt;margin-top:813.15pt;width:16.35pt;height:1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" filled="f" stroked="f">
              <v:textbox inset="0,0,0,0">
                <w:txbxContent>
                  <w:p w14:paraId="59340537" w14:textId="7AA15D3B" w:rsidR="001971F5" w:rsidRDefault="001971F5">
                    <w:pPr>
                      <w:spacing w:line="225" w:lineRule="exact"/>
                      <w:ind w:left="86"/>
                      <w:rPr>
                        <w:rFonts w:ascii="Times New Roman" w:eastAsia="Times New Roman" w:hAnsi="Times New Roman" w:cs="Times New Roman"/>
                        <w:sz w:val="20"/>
                        <w:szCs w:val="20"/>
                      </w:rPr>
                    </w:pPr>
                    <w:r>
                      <w:fldChar w:fldCharType="begin"/>
                    </w:r>
                    <w:r>
                      <w:rPr>
                        <w:rFonts w:ascii="Times New Roman"/>
                        <w:color w:val="231F20"/>
                        <w:sz w:val="20"/>
                      </w:rPr>
                      <w:instrText xml:space="preserve"> PAGE </w:instrText>
                    </w:r>
                    <w:r>
                      <w:fldChar w:fldCharType="separate"/>
                    </w:r>
                    <w:r w:rsidR="00E14A84">
                      <w:rPr>
                        <w:rFonts w:ascii="Times New Roman"/>
                        <w:noProof/>
                        <w:color w:val="231F20"/>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F142" w14:textId="77777777" w:rsidR="001971F5" w:rsidRDefault="001971F5" w:rsidP="006D7682">
      <w:r>
        <w:separator/>
      </w:r>
    </w:p>
  </w:footnote>
  <w:footnote w:type="continuationSeparator" w:id="0">
    <w:p w14:paraId="0064962B" w14:textId="77777777" w:rsidR="001971F5" w:rsidRDefault="001971F5" w:rsidP="006D7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14045D"/>
    <w:multiLevelType w:val="multilevel"/>
    <w:tmpl w:val="03620578"/>
    <w:lvl w:ilvl="0">
      <w:start w:val="1"/>
      <w:numFmt w:val="decimal"/>
      <w:pStyle w:val="MFNumLev1"/>
      <w:lvlText w:val="%1."/>
      <w:lvlJc w:val="left"/>
      <w:pPr>
        <w:tabs>
          <w:tab w:val="num" w:pos="720"/>
        </w:tabs>
        <w:ind w:left="720" w:hanging="720"/>
      </w:pPr>
      <w:rPr>
        <w:rFonts w:hint="default"/>
        <w:b w:val="0"/>
        <w:i w:val="0"/>
      </w:rPr>
    </w:lvl>
    <w:lvl w:ilvl="1">
      <w:start w:val="1"/>
      <w:numFmt w:val="decimal"/>
      <w:pStyle w:val="MFNumLev2"/>
      <w:lvlText w:val="%1.%2"/>
      <w:lvlJc w:val="left"/>
      <w:pPr>
        <w:tabs>
          <w:tab w:val="num" w:pos="720"/>
        </w:tabs>
        <w:ind w:left="720" w:hanging="720"/>
      </w:pPr>
      <w:rPr>
        <w:rFonts w:hint="default"/>
        <w:b w:val="0"/>
      </w:rPr>
    </w:lvl>
    <w:lvl w:ilvl="2">
      <w:start w:val="1"/>
      <w:numFmt w:val="lowerRoman"/>
      <w:pStyle w:val="MFNumLev3"/>
      <w:lvlText w:val="(%3)"/>
      <w:lvlJc w:val="left"/>
      <w:pPr>
        <w:tabs>
          <w:tab w:val="num" w:pos="1440"/>
        </w:tabs>
        <w:ind w:left="1440" w:hanging="720"/>
      </w:pPr>
      <w:rPr>
        <w:rFonts w:asciiTheme="minorHAnsi" w:eastAsia="Times New Roman" w:hAnsiTheme="minorHAnsi" w:cstheme="minorHAnsi" w:hint="default"/>
        <w:b w:val="0"/>
        <w:sz w:val="22"/>
        <w:szCs w:val="22"/>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74F7D"/>
    <w:multiLevelType w:val="multilevel"/>
    <w:tmpl w:val="B484B9E6"/>
    <w:lvl w:ilvl="0">
      <w:start w:val="1"/>
      <w:numFmt w:val="decimal"/>
      <w:pStyle w:val="Level1"/>
      <w:lvlText w:val="%1."/>
      <w:lvlJc w:val="left"/>
      <w:pPr>
        <w:ind w:left="896" w:hanging="709"/>
      </w:pPr>
      <w:rPr>
        <w:rFonts w:ascii="Verdana" w:hAnsi="Verdana" w:hint="default"/>
        <w:b/>
      </w:rPr>
    </w:lvl>
    <w:lvl w:ilvl="1">
      <w:start w:val="1"/>
      <w:numFmt w:val="decimal"/>
      <w:pStyle w:val="Level2"/>
      <w:isLgl/>
      <w:lvlText w:val="%1.%2"/>
      <w:lvlJc w:val="left"/>
      <w:pPr>
        <w:ind w:left="709" w:hanging="709"/>
      </w:pPr>
      <w:rPr>
        <w:rFonts w:ascii="Verdana" w:hAnsi="Verdana" w:hint="default"/>
        <w:b w:val="0"/>
      </w:rPr>
    </w:lvl>
    <w:lvl w:ilvl="2">
      <w:start w:val="1"/>
      <w:numFmt w:val="lowerLetter"/>
      <w:pStyle w:val="Level3"/>
      <w:lvlText w:val="(%3)"/>
      <w:lvlJc w:val="left"/>
      <w:pPr>
        <w:ind w:left="1417" w:hanging="708"/>
      </w:pPr>
      <w:rPr>
        <w:rFonts w:ascii="Arial" w:hAnsi="Arial" w:hint="default"/>
        <w:b w:val="0"/>
      </w:rPr>
    </w:lvl>
    <w:lvl w:ilvl="3">
      <w:start w:val="1"/>
      <w:numFmt w:val="lowerRoman"/>
      <w:pStyle w:val="Level4"/>
      <w:lvlText w:val="(%4)"/>
      <w:lvlJc w:val="left"/>
      <w:pPr>
        <w:ind w:left="2126" w:hanging="709"/>
      </w:pPr>
      <w:rPr>
        <w:rFonts w:ascii="Arial" w:hAnsi="Arial" w:hint="default"/>
        <w:b w:val="0"/>
        <w:i w:val="0"/>
      </w:rPr>
    </w:lvl>
    <w:lvl w:ilvl="4">
      <w:start w:val="1"/>
      <w:numFmt w:val="decimal"/>
      <w:pStyle w:val="Level5"/>
      <w:lvlText w:val="(%5)"/>
      <w:lvlJc w:val="left"/>
      <w:pPr>
        <w:ind w:left="2835" w:hanging="709"/>
      </w:pPr>
      <w:rPr>
        <w:rFonts w:ascii="Arial" w:hAnsi="Arial"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6D32F3"/>
    <w:multiLevelType w:val="hybridMultilevel"/>
    <w:tmpl w:val="0DDE761C"/>
    <w:lvl w:ilvl="0" w:tplc="2338A76A">
      <w:start w:val="1"/>
      <w:numFmt w:val="decimal"/>
      <w:lvlText w:val="%1."/>
      <w:lvlJc w:val="left"/>
      <w:pPr>
        <w:ind w:left="545" w:hanging="429"/>
      </w:pPr>
      <w:rPr>
        <w:rFonts w:ascii="Book Antiqua" w:eastAsia="Arial" w:hAnsi="Book Antiqua" w:hint="default"/>
        <w:spacing w:val="-1"/>
        <w:sz w:val="18"/>
        <w:szCs w:val="18"/>
      </w:rPr>
    </w:lvl>
    <w:lvl w:ilvl="1" w:tplc="2542B638">
      <w:start w:val="1"/>
      <w:numFmt w:val="lowerLetter"/>
      <w:lvlText w:val="(%2)"/>
      <w:lvlJc w:val="left"/>
      <w:pPr>
        <w:ind w:left="1401" w:hanging="571"/>
      </w:pPr>
      <w:rPr>
        <w:rFonts w:asciiTheme="minorHAnsi" w:eastAsia="Arial" w:hAnsiTheme="minorHAnsi" w:hint="default"/>
        <w:sz w:val="22"/>
        <w:szCs w:val="22"/>
      </w:rPr>
    </w:lvl>
    <w:lvl w:ilvl="2" w:tplc="8D4888C0">
      <w:start w:val="1"/>
      <w:numFmt w:val="lowerRoman"/>
      <w:lvlText w:val="(%3)"/>
      <w:lvlJc w:val="left"/>
      <w:pPr>
        <w:ind w:left="1552" w:hanging="448"/>
      </w:pPr>
      <w:rPr>
        <w:rFonts w:asciiTheme="minorHAnsi" w:eastAsia="Arial" w:hAnsiTheme="minorHAnsi" w:hint="default"/>
        <w:sz w:val="22"/>
        <w:szCs w:val="22"/>
      </w:rPr>
    </w:lvl>
    <w:lvl w:ilvl="3" w:tplc="625CFA84">
      <w:start w:val="1"/>
      <w:numFmt w:val="bullet"/>
      <w:lvlText w:val="•"/>
      <w:lvlJc w:val="left"/>
      <w:pPr>
        <w:ind w:left="1112" w:hanging="448"/>
      </w:pPr>
      <w:rPr>
        <w:rFonts w:hint="default"/>
      </w:rPr>
    </w:lvl>
    <w:lvl w:ilvl="4" w:tplc="5AD86404">
      <w:start w:val="1"/>
      <w:numFmt w:val="bullet"/>
      <w:lvlText w:val="•"/>
      <w:lvlJc w:val="left"/>
      <w:pPr>
        <w:ind w:left="1401" w:hanging="448"/>
      </w:pPr>
      <w:rPr>
        <w:rFonts w:hint="default"/>
      </w:rPr>
    </w:lvl>
    <w:lvl w:ilvl="5" w:tplc="6822402C">
      <w:start w:val="1"/>
      <w:numFmt w:val="bullet"/>
      <w:lvlText w:val="•"/>
      <w:lvlJc w:val="left"/>
      <w:pPr>
        <w:ind w:left="1552" w:hanging="448"/>
      </w:pPr>
      <w:rPr>
        <w:rFonts w:hint="default"/>
      </w:rPr>
    </w:lvl>
    <w:lvl w:ilvl="6" w:tplc="22383544">
      <w:start w:val="1"/>
      <w:numFmt w:val="bullet"/>
      <w:lvlText w:val="•"/>
      <w:lvlJc w:val="left"/>
      <w:pPr>
        <w:ind w:left="1560" w:hanging="448"/>
      </w:pPr>
      <w:rPr>
        <w:rFonts w:hint="default"/>
      </w:rPr>
    </w:lvl>
    <w:lvl w:ilvl="7" w:tplc="C5B2EF10">
      <w:start w:val="1"/>
      <w:numFmt w:val="bullet"/>
      <w:lvlText w:val="•"/>
      <w:lvlJc w:val="left"/>
      <w:pPr>
        <w:ind w:left="3686" w:hanging="448"/>
      </w:pPr>
      <w:rPr>
        <w:rFonts w:hint="default"/>
      </w:rPr>
    </w:lvl>
    <w:lvl w:ilvl="8" w:tplc="BFEE9A6C">
      <w:start w:val="1"/>
      <w:numFmt w:val="bullet"/>
      <w:lvlText w:val="•"/>
      <w:lvlJc w:val="left"/>
      <w:pPr>
        <w:ind w:left="5812" w:hanging="448"/>
      </w:pPr>
      <w:rPr>
        <w:rFonts w:hint="default"/>
      </w:rPr>
    </w:lvl>
  </w:abstractNum>
  <w:abstractNum w:abstractNumId="5" w15:restartNumberingAfterBreak="0">
    <w:nsid w:val="24797D92"/>
    <w:multiLevelType w:val="hybridMultilevel"/>
    <w:tmpl w:val="6CC4F7E0"/>
    <w:lvl w:ilvl="0" w:tplc="7DB86B94">
      <w:start w:val="1"/>
      <w:numFmt w:val="upperLetter"/>
      <w:lvlText w:val="(%1)"/>
      <w:lvlJc w:val="left"/>
      <w:pPr>
        <w:ind w:left="1915" w:hanging="360"/>
      </w:pPr>
      <w:rPr>
        <w:rFonts w:cstheme="minorBidi" w:hint="default"/>
      </w:rPr>
    </w:lvl>
    <w:lvl w:ilvl="1" w:tplc="18090019" w:tentative="1">
      <w:start w:val="1"/>
      <w:numFmt w:val="lowerLetter"/>
      <w:lvlText w:val="%2."/>
      <w:lvlJc w:val="left"/>
      <w:pPr>
        <w:ind w:left="2635" w:hanging="360"/>
      </w:pPr>
    </w:lvl>
    <w:lvl w:ilvl="2" w:tplc="1809001B" w:tentative="1">
      <w:start w:val="1"/>
      <w:numFmt w:val="lowerRoman"/>
      <w:lvlText w:val="%3."/>
      <w:lvlJc w:val="right"/>
      <w:pPr>
        <w:ind w:left="3355" w:hanging="180"/>
      </w:pPr>
    </w:lvl>
    <w:lvl w:ilvl="3" w:tplc="1809000F" w:tentative="1">
      <w:start w:val="1"/>
      <w:numFmt w:val="decimal"/>
      <w:lvlText w:val="%4."/>
      <w:lvlJc w:val="left"/>
      <w:pPr>
        <w:ind w:left="4075" w:hanging="360"/>
      </w:pPr>
    </w:lvl>
    <w:lvl w:ilvl="4" w:tplc="18090019" w:tentative="1">
      <w:start w:val="1"/>
      <w:numFmt w:val="lowerLetter"/>
      <w:lvlText w:val="%5."/>
      <w:lvlJc w:val="left"/>
      <w:pPr>
        <w:ind w:left="4795" w:hanging="360"/>
      </w:pPr>
    </w:lvl>
    <w:lvl w:ilvl="5" w:tplc="1809001B" w:tentative="1">
      <w:start w:val="1"/>
      <w:numFmt w:val="lowerRoman"/>
      <w:lvlText w:val="%6."/>
      <w:lvlJc w:val="right"/>
      <w:pPr>
        <w:ind w:left="5515" w:hanging="180"/>
      </w:pPr>
    </w:lvl>
    <w:lvl w:ilvl="6" w:tplc="1809000F" w:tentative="1">
      <w:start w:val="1"/>
      <w:numFmt w:val="decimal"/>
      <w:lvlText w:val="%7."/>
      <w:lvlJc w:val="left"/>
      <w:pPr>
        <w:ind w:left="6235" w:hanging="360"/>
      </w:pPr>
    </w:lvl>
    <w:lvl w:ilvl="7" w:tplc="18090019" w:tentative="1">
      <w:start w:val="1"/>
      <w:numFmt w:val="lowerLetter"/>
      <w:lvlText w:val="%8."/>
      <w:lvlJc w:val="left"/>
      <w:pPr>
        <w:ind w:left="6955" w:hanging="360"/>
      </w:pPr>
    </w:lvl>
    <w:lvl w:ilvl="8" w:tplc="1809001B" w:tentative="1">
      <w:start w:val="1"/>
      <w:numFmt w:val="lowerRoman"/>
      <w:lvlText w:val="%9."/>
      <w:lvlJc w:val="right"/>
      <w:pPr>
        <w:ind w:left="7675" w:hanging="180"/>
      </w:pPr>
    </w:lvl>
  </w:abstractNum>
  <w:abstractNum w:abstractNumId="6" w15:restartNumberingAfterBreak="0">
    <w:nsid w:val="46D057BF"/>
    <w:multiLevelType w:val="hybridMultilevel"/>
    <w:tmpl w:val="21B6B174"/>
    <w:lvl w:ilvl="0" w:tplc="3C5020E8">
      <w:start w:val="1"/>
      <w:numFmt w:val="lowerLetter"/>
      <w:lvlText w:val="(%1)"/>
      <w:lvlJc w:val="left"/>
      <w:pPr>
        <w:ind w:left="1401" w:hanging="571"/>
      </w:pPr>
      <w:rPr>
        <w:rFonts w:asciiTheme="minorHAnsi" w:eastAsia="Arial"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035AA"/>
    <w:multiLevelType w:val="hybridMultilevel"/>
    <w:tmpl w:val="E15ADDF2"/>
    <w:lvl w:ilvl="0" w:tplc="CDD63B78">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15:restartNumberingAfterBreak="0">
    <w:nsid w:val="50342E4D"/>
    <w:multiLevelType w:val="hybridMultilevel"/>
    <w:tmpl w:val="002CE3F0"/>
    <w:lvl w:ilvl="0" w:tplc="AA26FC0A">
      <w:start w:val="4"/>
      <w:numFmt w:val="lowerLetter"/>
      <w:lvlText w:val="(%1)"/>
      <w:lvlJc w:val="left"/>
      <w:pPr>
        <w:ind w:left="1401" w:hanging="571"/>
      </w:pPr>
      <w:rPr>
        <w:rFonts w:asciiTheme="minorHAnsi" w:eastAsia="Arial"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3767E"/>
    <w:multiLevelType w:val="hybridMultilevel"/>
    <w:tmpl w:val="B7E2E94E"/>
    <w:lvl w:ilvl="0" w:tplc="2338A76A">
      <w:start w:val="1"/>
      <w:numFmt w:val="decimal"/>
      <w:lvlText w:val="%1."/>
      <w:lvlJc w:val="left"/>
      <w:pPr>
        <w:ind w:left="545" w:hanging="429"/>
      </w:pPr>
      <w:rPr>
        <w:rFonts w:ascii="Book Antiqua" w:eastAsia="Arial" w:hAnsi="Book Antiqua" w:hint="default"/>
        <w:spacing w:val="-1"/>
        <w:sz w:val="18"/>
        <w:szCs w:val="18"/>
      </w:rPr>
    </w:lvl>
    <w:lvl w:ilvl="1" w:tplc="05DC0658">
      <w:start w:val="1"/>
      <w:numFmt w:val="lowerLetter"/>
      <w:lvlText w:val="(%2)"/>
      <w:lvlJc w:val="left"/>
      <w:pPr>
        <w:ind w:left="1401" w:hanging="571"/>
      </w:pPr>
      <w:rPr>
        <w:rFonts w:ascii="Book Antiqua" w:eastAsia="Arial" w:hAnsi="Book Antiqua" w:hint="default"/>
        <w:sz w:val="18"/>
        <w:szCs w:val="18"/>
      </w:rPr>
    </w:lvl>
    <w:lvl w:ilvl="2" w:tplc="FBB01210">
      <w:start w:val="1"/>
      <w:numFmt w:val="lowerRoman"/>
      <w:lvlText w:val="(%3)"/>
      <w:lvlJc w:val="left"/>
      <w:pPr>
        <w:ind w:left="1552" w:hanging="448"/>
      </w:pPr>
      <w:rPr>
        <w:rFonts w:ascii="Book Antiqua" w:eastAsia="Arial" w:hAnsi="Book Antiqua" w:hint="default"/>
        <w:sz w:val="18"/>
        <w:szCs w:val="18"/>
      </w:rPr>
    </w:lvl>
    <w:lvl w:ilvl="3" w:tplc="625CFA84">
      <w:start w:val="1"/>
      <w:numFmt w:val="bullet"/>
      <w:lvlText w:val="•"/>
      <w:lvlJc w:val="left"/>
      <w:pPr>
        <w:ind w:left="1112" w:hanging="448"/>
      </w:pPr>
      <w:rPr>
        <w:rFonts w:hint="default"/>
      </w:rPr>
    </w:lvl>
    <w:lvl w:ilvl="4" w:tplc="5AD86404">
      <w:start w:val="1"/>
      <w:numFmt w:val="bullet"/>
      <w:lvlText w:val="•"/>
      <w:lvlJc w:val="left"/>
      <w:pPr>
        <w:ind w:left="1401" w:hanging="448"/>
      </w:pPr>
      <w:rPr>
        <w:rFonts w:hint="default"/>
      </w:rPr>
    </w:lvl>
    <w:lvl w:ilvl="5" w:tplc="6822402C">
      <w:start w:val="1"/>
      <w:numFmt w:val="bullet"/>
      <w:lvlText w:val="•"/>
      <w:lvlJc w:val="left"/>
      <w:pPr>
        <w:ind w:left="1552" w:hanging="448"/>
      </w:pPr>
      <w:rPr>
        <w:rFonts w:hint="default"/>
      </w:rPr>
    </w:lvl>
    <w:lvl w:ilvl="6" w:tplc="22383544">
      <w:start w:val="1"/>
      <w:numFmt w:val="bullet"/>
      <w:lvlText w:val="•"/>
      <w:lvlJc w:val="left"/>
      <w:pPr>
        <w:ind w:left="1560" w:hanging="448"/>
      </w:pPr>
      <w:rPr>
        <w:rFonts w:hint="default"/>
      </w:rPr>
    </w:lvl>
    <w:lvl w:ilvl="7" w:tplc="C5B2EF10">
      <w:start w:val="1"/>
      <w:numFmt w:val="bullet"/>
      <w:lvlText w:val="•"/>
      <w:lvlJc w:val="left"/>
      <w:pPr>
        <w:ind w:left="3686" w:hanging="448"/>
      </w:pPr>
      <w:rPr>
        <w:rFonts w:hint="default"/>
      </w:rPr>
    </w:lvl>
    <w:lvl w:ilvl="8" w:tplc="BFEE9A6C">
      <w:start w:val="1"/>
      <w:numFmt w:val="bullet"/>
      <w:lvlText w:val="•"/>
      <w:lvlJc w:val="left"/>
      <w:pPr>
        <w:ind w:left="5812" w:hanging="448"/>
      </w:pPr>
      <w:rPr>
        <w:rFonts w:hint="default"/>
      </w:rPr>
    </w:lvl>
  </w:abstractNum>
  <w:abstractNum w:abstractNumId="11" w15:restartNumberingAfterBreak="0">
    <w:nsid w:val="71824794"/>
    <w:multiLevelType w:val="hybridMultilevel"/>
    <w:tmpl w:val="C8E243E4"/>
    <w:lvl w:ilvl="0" w:tplc="FA683014">
      <w:start w:val="9"/>
      <w:numFmt w:val="decimal"/>
      <w:lvlText w:val="%1."/>
      <w:lvlJc w:val="left"/>
      <w:pPr>
        <w:ind w:left="1259" w:hanging="429"/>
      </w:pPr>
      <w:rPr>
        <w:rFonts w:asciiTheme="minorHAnsi" w:eastAsia="Arial" w:hAnsiTheme="minorHAnsi" w:hint="default"/>
        <w:spacing w:val="-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66679">
    <w:abstractNumId w:val="2"/>
  </w:num>
  <w:num w:numId="2" w16cid:durableId="1737050764">
    <w:abstractNumId w:val="9"/>
  </w:num>
  <w:num w:numId="3" w16cid:durableId="588544982">
    <w:abstractNumId w:val="12"/>
  </w:num>
  <w:num w:numId="4" w16cid:durableId="1618750767">
    <w:abstractNumId w:val="4"/>
  </w:num>
  <w:num w:numId="5" w16cid:durableId="1195508118">
    <w:abstractNumId w:val="5"/>
  </w:num>
  <w:num w:numId="6" w16cid:durableId="2136216550">
    <w:abstractNumId w:val="6"/>
  </w:num>
  <w:num w:numId="7" w16cid:durableId="63726415">
    <w:abstractNumId w:val="10"/>
  </w:num>
  <w:num w:numId="8" w16cid:durableId="1912614613">
    <w:abstractNumId w:val="11"/>
  </w:num>
  <w:num w:numId="9" w16cid:durableId="1849251777">
    <w:abstractNumId w:val="7"/>
  </w:num>
  <w:num w:numId="10" w16cid:durableId="1302660189">
    <w:abstractNumId w:val="8"/>
  </w:num>
  <w:num w:numId="11" w16cid:durableId="469787351">
    <w:abstractNumId w:val="0"/>
  </w:num>
  <w:num w:numId="12" w16cid:durableId="375546517">
    <w:abstractNumId w:val="1"/>
  </w:num>
  <w:num w:numId="13" w16cid:durableId="351415049">
    <w:abstractNumId w:val="1"/>
  </w:num>
  <w:num w:numId="14" w16cid:durableId="1526823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en-IE" w:vendorID="64" w:dllVersion="0" w:nlCheck="1" w:checkStyle="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11BE2"/>
    <w:rsid w:val="00035D01"/>
    <w:rsid w:val="000752FF"/>
    <w:rsid w:val="00097565"/>
    <w:rsid w:val="000F053B"/>
    <w:rsid w:val="0010201D"/>
    <w:rsid w:val="001112ED"/>
    <w:rsid w:val="00125039"/>
    <w:rsid w:val="0012733D"/>
    <w:rsid w:val="00135002"/>
    <w:rsid w:val="001377B0"/>
    <w:rsid w:val="00152329"/>
    <w:rsid w:val="00154A1F"/>
    <w:rsid w:val="001579C7"/>
    <w:rsid w:val="001722B6"/>
    <w:rsid w:val="0018779C"/>
    <w:rsid w:val="001971F5"/>
    <w:rsid w:val="001A1F28"/>
    <w:rsid w:val="001A4D74"/>
    <w:rsid w:val="001F52E5"/>
    <w:rsid w:val="0022772C"/>
    <w:rsid w:val="00247DE0"/>
    <w:rsid w:val="002765E9"/>
    <w:rsid w:val="00280F0A"/>
    <w:rsid w:val="002B2E78"/>
    <w:rsid w:val="0030518B"/>
    <w:rsid w:val="003400DE"/>
    <w:rsid w:val="0034372E"/>
    <w:rsid w:val="00357659"/>
    <w:rsid w:val="00364579"/>
    <w:rsid w:val="00385E42"/>
    <w:rsid w:val="00390D7A"/>
    <w:rsid w:val="00396475"/>
    <w:rsid w:val="00396524"/>
    <w:rsid w:val="003A7A98"/>
    <w:rsid w:val="003B3F6C"/>
    <w:rsid w:val="003C70D6"/>
    <w:rsid w:val="003E37D9"/>
    <w:rsid w:val="00412B3B"/>
    <w:rsid w:val="004476C3"/>
    <w:rsid w:val="004504D2"/>
    <w:rsid w:val="0047358C"/>
    <w:rsid w:val="00496A23"/>
    <w:rsid w:val="004B1AD2"/>
    <w:rsid w:val="004D212E"/>
    <w:rsid w:val="004E6063"/>
    <w:rsid w:val="004F2ECC"/>
    <w:rsid w:val="00513553"/>
    <w:rsid w:val="0052789E"/>
    <w:rsid w:val="00544922"/>
    <w:rsid w:val="0058413D"/>
    <w:rsid w:val="00586FBF"/>
    <w:rsid w:val="005C46D3"/>
    <w:rsid w:val="005D7D90"/>
    <w:rsid w:val="005E0CC1"/>
    <w:rsid w:val="00614E78"/>
    <w:rsid w:val="00621EA6"/>
    <w:rsid w:val="00624F59"/>
    <w:rsid w:val="006357FD"/>
    <w:rsid w:val="00655248"/>
    <w:rsid w:val="00686B6A"/>
    <w:rsid w:val="006B1E1C"/>
    <w:rsid w:val="006B2C87"/>
    <w:rsid w:val="006C3D0B"/>
    <w:rsid w:val="006D7682"/>
    <w:rsid w:val="00713AE1"/>
    <w:rsid w:val="00716CF3"/>
    <w:rsid w:val="007457E0"/>
    <w:rsid w:val="00752CB3"/>
    <w:rsid w:val="00775DE5"/>
    <w:rsid w:val="007861A1"/>
    <w:rsid w:val="00787F71"/>
    <w:rsid w:val="007A1111"/>
    <w:rsid w:val="007B2FA2"/>
    <w:rsid w:val="007E5B69"/>
    <w:rsid w:val="007F6B81"/>
    <w:rsid w:val="00811F7A"/>
    <w:rsid w:val="0083577D"/>
    <w:rsid w:val="008504AF"/>
    <w:rsid w:val="00857DE4"/>
    <w:rsid w:val="00860AF9"/>
    <w:rsid w:val="00882DAA"/>
    <w:rsid w:val="008A652B"/>
    <w:rsid w:val="008B4B98"/>
    <w:rsid w:val="00917F3A"/>
    <w:rsid w:val="00920A4D"/>
    <w:rsid w:val="00927857"/>
    <w:rsid w:val="00954F50"/>
    <w:rsid w:val="009569D1"/>
    <w:rsid w:val="00960F00"/>
    <w:rsid w:val="00967B6E"/>
    <w:rsid w:val="00971223"/>
    <w:rsid w:val="00971B5A"/>
    <w:rsid w:val="009A6F16"/>
    <w:rsid w:val="009B2298"/>
    <w:rsid w:val="009B5B94"/>
    <w:rsid w:val="009D1129"/>
    <w:rsid w:val="009E245D"/>
    <w:rsid w:val="00A01511"/>
    <w:rsid w:val="00A03956"/>
    <w:rsid w:val="00A041E9"/>
    <w:rsid w:val="00A10273"/>
    <w:rsid w:val="00A22136"/>
    <w:rsid w:val="00A61167"/>
    <w:rsid w:val="00A63160"/>
    <w:rsid w:val="00A7341D"/>
    <w:rsid w:val="00A778BB"/>
    <w:rsid w:val="00A83C03"/>
    <w:rsid w:val="00AA4928"/>
    <w:rsid w:val="00AB12BC"/>
    <w:rsid w:val="00AC0CC3"/>
    <w:rsid w:val="00AC4E1C"/>
    <w:rsid w:val="00B30497"/>
    <w:rsid w:val="00B67B4D"/>
    <w:rsid w:val="00B772EE"/>
    <w:rsid w:val="00C10C4A"/>
    <w:rsid w:val="00C446A2"/>
    <w:rsid w:val="00C5570B"/>
    <w:rsid w:val="00C821B0"/>
    <w:rsid w:val="00CC06D3"/>
    <w:rsid w:val="00CC549B"/>
    <w:rsid w:val="00CD523B"/>
    <w:rsid w:val="00CE1FC9"/>
    <w:rsid w:val="00D027A7"/>
    <w:rsid w:val="00D131CA"/>
    <w:rsid w:val="00D13891"/>
    <w:rsid w:val="00D308B6"/>
    <w:rsid w:val="00D54BB3"/>
    <w:rsid w:val="00DB0815"/>
    <w:rsid w:val="00DB150D"/>
    <w:rsid w:val="00DC7D23"/>
    <w:rsid w:val="00DF17A1"/>
    <w:rsid w:val="00DF38D7"/>
    <w:rsid w:val="00DF6665"/>
    <w:rsid w:val="00DF6839"/>
    <w:rsid w:val="00E14A84"/>
    <w:rsid w:val="00E26777"/>
    <w:rsid w:val="00E64D4F"/>
    <w:rsid w:val="00E669A4"/>
    <w:rsid w:val="00E8517F"/>
    <w:rsid w:val="00EA72B0"/>
    <w:rsid w:val="00EB39A6"/>
    <w:rsid w:val="00EB7AC8"/>
    <w:rsid w:val="00ED2A48"/>
    <w:rsid w:val="00ED63DD"/>
    <w:rsid w:val="00EE25BB"/>
    <w:rsid w:val="00EE2980"/>
    <w:rsid w:val="00EE5B8B"/>
    <w:rsid w:val="00EE78C5"/>
    <w:rsid w:val="00F02450"/>
    <w:rsid w:val="00F02D83"/>
    <w:rsid w:val="00F22F04"/>
    <w:rsid w:val="00F96922"/>
    <w:rsid w:val="00FA027C"/>
    <w:rsid w:val="00FB5A9B"/>
    <w:rsid w:val="00FC329F"/>
    <w:rsid w:val="00FE2B55"/>
    <w:rsid w:val="00FF1507"/>
    <w:rsid w:val="00FF25D7"/>
    <w:rsid w:val="00FF34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1655FD26"/>
  <w15:docId w15:val="{5CA320BB-D4A4-4FFC-8486-41CA6426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semiHidden/>
    <w:unhideWhenUsed/>
    <w:rsid w:val="00EE5B8B"/>
    <w:rPr>
      <w:sz w:val="20"/>
      <w:szCs w:val="20"/>
    </w:rPr>
  </w:style>
  <w:style w:type="character" w:customStyle="1" w:styleId="CommentTextChar">
    <w:name w:val="Comment Text Char"/>
    <w:basedOn w:val="DefaultParagraphFont"/>
    <w:link w:val="CommentText"/>
    <w:uiPriority w:val="99"/>
    <w:semiHidden/>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6D7682"/>
    <w:pPr>
      <w:tabs>
        <w:tab w:val="center" w:pos="4513"/>
        <w:tab w:val="right" w:pos="9026"/>
      </w:tabs>
    </w:pPr>
  </w:style>
  <w:style w:type="character" w:customStyle="1" w:styleId="HeaderChar">
    <w:name w:val="Header Char"/>
    <w:basedOn w:val="DefaultParagraphFont"/>
    <w:link w:val="Header"/>
    <w:uiPriority w:val="99"/>
    <w:rsid w:val="006D7682"/>
    <w:rPr>
      <w:lang w:val="en-GB"/>
    </w:rPr>
  </w:style>
  <w:style w:type="paragraph" w:styleId="Footer">
    <w:name w:val="footer"/>
    <w:basedOn w:val="Normal"/>
    <w:link w:val="FooterChar"/>
    <w:uiPriority w:val="99"/>
    <w:unhideWhenUsed/>
    <w:rsid w:val="006D7682"/>
    <w:pPr>
      <w:tabs>
        <w:tab w:val="center" w:pos="4513"/>
        <w:tab w:val="right" w:pos="9026"/>
      </w:tabs>
    </w:pPr>
  </w:style>
  <w:style w:type="character" w:customStyle="1" w:styleId="FooterChar">
    <w:name w:val="Footer Char"/>
    <w:basedOn w:val="DefaultParagraphFont"/>
    <w:link w:val="Footer"/>
    <w:uiPriority w:val="99"/>
    <w:rsid w:val="006D7682"/>
    <w:rPr>
      <w:lang w:val="en-GB"/>
    </w:rPr>
  </w:style>
  <w:style w:type="paragraph" w:styleId="BodyText">
    <w:name w:val="Body Text"/>
    <w:basedOn w:val="Normal"/>
    <w:link w:val="BodyTextChar"/>
    <w:uiPriority w:val="1"/>
    <w:qFormat/>
    <w:rsid w:val="00B30497"/>
    <w:pPr>
      <w:widowControl w:val="0"/>
      <w:ind w:left="105"/>
    </w:pPr>
    <w:rPr>
      <w:rFonts w:ascii="Arial" w:eastAsia="Arial" w:hAnsi="Arial"/>
      <w:sz w:val="18"/>
      <w:szCs w:val="18"/>
      <w:lang w:val="en-US"/>
    </w:rPr>
  </w:style>
  <w:style w:type="character" w:customStyle="1" w:styleId="BodyTextChar">
    <w:name w:val="Body Text Char"/>
    <w:basedOn w:val="DefaultParagraphFont"/>
    <w:link w:val="BodyText"/>
    <w:uiPriority w:val="1"/>
    <w:rsid w:val="00B30497"/>
    <w:rPr>
      <w:rFonts w:ascii="Arial" w:eastAsia="Arial" w:hAnsi="Arial"/>
      <w:sz w:val="18"/>
      <w:szCs w:val="18"/>
    </w:rPr>
  </w:style>
  <w:style w:type="character" w:styleId="FollowedHyperlink">
    <w:name w:val="FollowedHyperlink"/>
    <w:basedOn w:val="DefaultParagraphFont"/>
    <w:uiPriority w:val="99"/>
    <w:semiHidden/>
    <w:unhideWhenUsed/>
    <w:rsid w:val="00F96922"/>
    <w:rPr>
      <w:color w:val="954F72" w:themeColor="followedHyperlink"/>
      <w:u w:val="single"/>
    </w:rPr>
  </w:style>
  <w:style w:type="paragraph" w:customStyle="1" w:styleId="MFNumLev1">
    <w:name w:val="MFNumLev1"/>
    <w:link w:val="MFNumLev1Char"/>
    <w:rsid w:val="00655248"/>
    <w:pPr>
      <w:keepNext/>
      <w:numPr>
        <w:numId w:val="12"/>
      </w:numPr>
      <w:spacing w:after="240"/>
      <w:jc w:val="both"/>
      <w:outlineLvl w:val="0"/>
    </w:pPr>
    <w:rPr>
      <w:rFonts w:ascii="Book Antiqua" w:eastAsia="Times New Roman" w:hAnsi="Book Antiqua" w:cs="Times New Roman"/>
      <w:b/>
      <w:sz w:val="20"/>
      <w:szCs w:val="20"/>
      <w:lang w:val="en-IE"/>
    </w:rPr>
  </w:style>
  <w:style w:type="character" w:customStyle="1" w:styleId="MFNumLev1Char">
    <w:name w:val="MFNumLev1 Char"/>
    <w:link w:val="MFNumLev1"/>
    <w:rsid w:val="00655248"/>
    <w:rPr>
      <w:rFonts w:ascii="Book Antiqua" w:eastAsia="Times New Roman" w:hAnsi="Book Antiqua" w:cs="Times New Roman"/>
      <w:b/>
      <w:sz w:val="20"/>
      <w:szCs w:val="20"/>
      <w:lang w:val="en-IE"/>
    </w:rPr>
  </w:style>
  <w:style w:type="paragraph" w:customStyle="1" w:styleId="MFNumLev2">
    <w:name w:val="MFNumLev2"/>
    <w:basedOn w:val="MFNumLev1"/>
    <w:rsid w:val="00655248"/>
    <w:pPr>
      <w:keepNext w:val="0"/>
      <w:numPr>
        <w:ilvl w:val="1"/>
      </w:numPr>
      <w:outlineLvl w:val="1"/>
    </w:pPr>
    <w:rPr>
      <w:b w:val="0"/>
    </w:rPr>
  </w:style>
  <w:style w:type="paragraph" w:customStyle="1" w:styleId="MFNumLev3">
    <w:name w:val="MFNumLev3"/>
    <w:basedOn w:val="MFNumLev2"/>
    <w:link w:val="MFNumLev3Char"/>
    <w:rsid w:val="00655248"/>
    <w:pPr>
      <w:numPr>
        <w:ilvl w:val="2"/>
        <w:numId w:val="13"/>
      </w:numPr>
      <w:outlineLvl w:val="2"/>
    </w:pPr>
  </w:style>
  <w:style w:type="character" w:customStyle="1" w:styleId="MFNumLev3Char">
    <w:name w:val="MFNumLev3 Char"/>
    <w:link w:val="MFNumLev3"/>
    <w:rsid w:val="00655248"/>
    <w:rPr>
      <w:rFonts w:ascii="Book Antiqua" w:eastAsia="Times New Roman" w:hAnsi="Book Antiqua" w:cs="Times New Roman"/>
      <w:sz w:val="20"/>
      <w:szCs w:val="20"/>
      <w:lang w:val="en-IE"/>
    </w:rPr>
  </w:style>
  <w:style w:type="paragraph" w:customStyle="1" w:styleId="MFNumLev4">
    <w:name w:val="MFNumLev4"/>
    <w:basedOn w:val="MFNumLev2"/>
    <w:link w:val="MFNumLev4Char"/>
    <w:rsid w:val="00655248"/>
    <w:pPr>
      <w:numPr>
        <w:ilvl w:val="3"/>
      </w:numPr>
      <w:outlineLvl w:val="3"/>
    </w:pPr>
  </w:style>
  <w:style w:type="character" w:customStyle="1" w:styleId="MFNumLev4Char">
    <w:name w:val="MFNumLev4 Char"/>
    <w:link w:val="MFNumLev4"/>
    <w:rsid w:val="00655248"/>
    <w:rPr>
      <w:rFonts w:ascii="Book Antiqua" w:eastAsia="Times New Roman" w:hAnsi="Book Antiqua" w:cs="Times New Roman"/>
      <w:sz w:val="20"/>
      <w:szCs w:val="20"/>
      <w:lang w:val="en-IE"/>
    </w:rPr>
  </w:style>
  <w:style w:type="paragraph" w:customStyle="1" w:styleId="MFNumLev5">
    <w:name w:val="MFNumLev5"/>
    <w:basedOn w:val="MFNumLev2"/>
    <w:rsid w:val="00655248"/>
    <w:pPr>
      <w:numPr>
        <w:ilvl w:val="4"/>
      </w:numPr>
      <w:tabs>
        <w:tab w:val="clear" w:pos="2880"/>
        <w:tab w:val="num" w:pos="360"/>
      </w:tabs>
      <w:outlineLvl w:val="4"/>
    </w:pPr>
  </w:style>
  <w:style w:type="paragraph" w:customStyle="1" w:styleId="MFNumLev6">
    <w:name w:val="MFNumLev6"/>
    <w:basedOn w:val="MFNumLev2"/>
    <w:rsid w:val="00655248"/>
    <w:pPr>
      <w:numPr>
        <w:ilvl w:val="5"/>
      </w:numPr>
      <w:tabs>
        <w:tab w:val="clear" w:pos="3600"/>
        <w:tab w:val="num" w:pos="360"/>
      </w:tabs>
      <w:outlineLvl w:val="5"/>
    </w:pPr>
  </w:style>
  <w:style w:type="paragraph" w:customStyle="1" w:styleId="Level1">
    <w:name w:val="Level 1"/>
    <w:basedOn w:val="Normal"/>
    <w:next w:val="Normal"/>
    <w:rsid w:val="00FE2B55"/>
    <w:pPr>
      <w:numPr>
        <w:numId w:val="14"/>
      </w:numPr>
      <w:spacing w:after="210" w:line="264" w:lineRule="auto"/>
      <w:jc w:val="both"/>
      <w:outlineLvl w:val="0"/>
    </w:pPr>
    <w:rPr>
      <w:rFonts w:ascii="Arial" w:eastAsia="Times New Roman" w:hAnsi="Arial" w:cs="Times New Roman"/>
      <w:color w:val="000000"/>
      <w:sz w:val="20"/>
      <w:szCs w:val="20"/>
      <w:lang w:eastAsia="en-GB"/>
    </w:rPr>
  </w:style>
  <w:style w:type="paragraph" w:customStyle="1" w:styleId="Level2">
    <w:name w:val="Level 2"/>
    <w:basedOn w:val="Normal"/>
    <w:next w:val="Normal"/>
    <w:rsid w:val="00FE2B55"/>
    <w:pPr>
      <w:numPr>
        <w:ilvl w:val="1"/>
        <w:numId w:val="14"/>
      </w:numPr>
      <w:spacing w:after="210" w:line="264" w:lineRule="auto"/>
      <w:jc w:val="both"/>
      <w:outlineLvl w:val="1"/>
    </w:pPr>
    <w:rPr>
      <w:rFonts w:ascii="Arial" w:eastAsia="Times New Roman" w:hAnsi="Arial" w:cs="Times New Roman"/>
      <w:color w:val="000000"/>
      <w:sz w:val="20"/>
      <w:szCs w:val="20"/>
      <w:lang w:eastAsia="en-GB"/>
    </w:rPr>
  </w:style>
  <w:style w:type="paragraph" w:customStyle="1" w:styleId="Level3">
    <w:name w:val="Level 3"/>
    <w:basedOn w:val="Normal"/>
    <w:next w:val="Normal"/>
    <w:rsid w:val="00FE2B55"/>
    <w:pPr>
      <w:numPr>
        <w:ilvl w:val="2"/>
        <w:numId w:val="14"/>
      </w:numPr>
      <w:spacing w:after="210" w:line="264" w:lineRule="auto"/>
      <w:jc w:val="both"/>
      <w:outlineLvl w:val="2"/>
    </w:pPr>
    <w:rPr>
      <w:rFonts w:ascii="Arial" w:eastAsia="Times New Roman" w:hAnsi="Arial" w:cs="Times New Roman"/>
      <w:color w:val="000000"/>
      <w:sz w:val="20"/>
      <w:szCs w:val="20"/>
      <w:lang w:eastAsia="en-GB"/>
    </w:rPr>
  </w:style>
  <w:style w:type="paragraph" w:customStyle="1" w:styleId="Level4">
    <w:name w:val="Level 4"/>
    <w:basedOn w:val="Normal"/>
    <w:next w:val="Normal"/>
    <w:rsid w:val="00FE2B55"/>
    <w:pPr>
      <w:numPr>
        <w:ilvl w:val="3"/>
        <w:numId w:val="14"/>
      </w:numPr>
      <w:spacing w:after="210" w:line="264" w:lineRule="auto"/>
      <w:jc w:val="both"/>
      <w:outlineLvl w:val="3"/>
    </w:pPr>
    <w:rPr>
      <w:rFonts w:ascii="Arial" w:eastAsia="Times New Roman" w:hAnsi="Arial" w:cs="Times New Roman"/>
      <w:color w:val="000000"/>
      <w:sz w:val="20"/>
      <w:szCs w:val="20"/>
      <w:lang w:eastAsia="en-GB"/>
    </w:rPr>
  </w:style>
  <w:style w:type="paragraph" w:customStyle="1" w:styleId="Level5">
    <w:name w:val="Level 5"/>
    <w:basedOn w:val="Normal"/>
    <w:next w:val="Normal"/>
    <w:rsid w:val="00FE2B55"/>
    <w:pPr>
      <w:numPr>
        <w:ilvl w:val="4"/>
        <w:numId w:val="14"/>
      </w:numPr>
      <w:spacing w:after="210" w:line="264" w:lineRule="auto"/>
      <w:jc w:val="both"/>
      <w:outlineLvl w:val="4"/>
    </w:pPr>
    <w:rPr>
      <w:rFonts w:ascii="Arial" w:eastAsia="Times New Roman" w:hAnsi="Arial" w:cs="Times New Roman"/>
      <w:color w:val="000000"/>
      <w:sz w:val="20"/>
      <w:szCs w:val="20"/>
      <w:lang w:eastAsia="en-GB"/>
    </w:rPr>
  </w:style>
  <w:style w:type="character" w:styleId="UnresolvedMention">
    <w:name w:val="Unresolved Mention"/>
    <w:basedOn w:val="DefaultParagraphFont"/>
    <w:uiPriority w:val="99"/>
    <w:semiHidden/>
    <w:unhideWhenUsed/>
    <w:rsid w:val="00396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7243">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eencoat@fticonsulting.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2022-10-13T10:47:50+00:00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9987C4F-8ADD-484F-A9A6-A00B7D399AB5}">
  <ds:schemaRefs>
    <ds:schemaRef ds:uri="http://schemas.openxmlformats.org/officeDocument/2006/bibliography"/>
  </ds:schemaRefs>
</ds:datastoreItem>
</file>

<file path=customXml/itemProps2.xml><?xml version="1.0" encoding="utf-8"?>
<ds:datastoreItem xmlns:ds="http://schemas.openxmlformats.org/officeDocument/2006/customXml" ds:itemID="{82E7DEAD-724E-4F82-A227-77D150325448}"/>
</file>

<file path=customXml/itemProps3.xml><?xml version="1.0" encoding="utf-8"?>
<ds:datastoreItem xmlns:ds="http://schemas.openxmlformats.org/officeDocument/2006/customXml" ds:itemID="{87A9DCB5-4323-4C77-82A6-5663A035CD5E}"/>
</file>

<file path=customXml/itemProps4.xml><?xml version="1.0" encoding="utf-8"?>
<ds:datastoreItem xmlns:ds="http://schemas.openxmlformats.org/officeDocument/2006/customXml" ds:itemID="{98BD1FD6-B96D-41A7-8EC1-4E8994BA7082}"/>
</file>

<file path=docProps/app.xml><?xml version="1.0" encoding="utf-8"?>
<Properties xmlns="http://schemas.openxmlformats.org/officeDocument/2006/extended-properties" xmlns:vt="http://schemas.openxmlformats.org/officeDocument/2006/docPropsVTypes">
  <Template>Normal</Template>
  <TotalTime>41</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Holly Tierney</cp:lastModifiedBy>
  <cp:revision>20</cp:revision>
  <cp:lastPrinted>2018-04-03T12:19:00Z</cp:lastPrinted>
  <dcterms:created xsi:type="dcterms:W3CDTF">2021-01-27T15:46:00Z</dcterms:created>
  <dcterms:modified xsi:type="dcterms:W3CDTF">2022-10-13T10:09:00Z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184612000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