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BB1D" w14:textId="2959F27B" w:rsidR="00D54BB3" w:rsidRPr="00ED63DD" w:rsidRDefault="00171059" w:rsidP="00ED63DD">
      <w:pPr>
        <w:tabs>
          <w:tab w:val="left" w:pos="870"/>
          <w:tab w:val="center" w:pos="3063"/>
        </w:tabs>
        <w:rPr>
          <w:b/>
          <w:bCs/>
          <w:sz w:val="22"/>
          <w:szCs w:val="22"/>
        </w:rPr>
      </w:pPr>
      <w:r w:rsidRPr="00ED63DD">
        <w:rPr>
          <w:noProof/>
          <w:sz w:val="22"/>
          <w:szCs w:val="22"/>
          <w:lang w:eastAsia="zh-CN"/>
        </w:rPr>
        <w:drawing>
          <wp:anchor distT="0" distB="0" distL="114300" distR="114300" simplePos="0" relativeHeight="251658240" behindDoc="0" locked="0" layoutInCell="1" allowOverlap="1" wp14:anchorId="18A27632" wp14:editId="44E66A5D">
            <wp:simplePos x="0" y="0"/>
            <wp:positionH relativeFrom="margin">
              <wp:posOffset>4019550</wp:posOffset>
            </wp:positionH>
            <wp:positionV relativeFrom="margin">
              <wp:posOffset>-457200</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B1516" w14:textId="13F0BA11" w:rsidR="00EA72B0" w:rsidRDefault="00EA72B0" w:rsidP="00EA72B0">
      <w:pPr>
        <w:rPr>
          <w:b/>
          <w:bCs/>
          <w:sz w:val="28"/>
        </w:rPr>
      </w:pPr>
    </w:p>
    <w:p w14:paraId="23EB0D22" w14:textId="1AFB5648" w:rsidR="00BC70B1" w:rsidRDefault="00C848F8" w:rsidP="00BC70B1">
      <w:pPr>
        <w:jc w:val="center"/>
        <w:rPr>
          <w:b/>
          <w:bCs/>
          <w:sz w:val="28"/>
        </w:rPr>
      </w:pPr>
      <w:r>
        <w:rPr>
          <w:b/>
          <w:bCs/>
          <w:sz w:val="28"/>
        </w:rPr>
        <w:t xml:space="preserve">Further 22.5% investment in </w:t>
      </w:r>
      <w:proofErr w:type="spellStart"/>
      <w:r>
        <w:rPr>
          <w:b/>
          <w:bCs/>
          <w:sz w:val="28"/>
        </w:rPr>
        <w:t>Butendiek</w:t>
      </w:r>
      <w:proofErr w:type="spellEnd"/>
      <w:r w:rsidR="00F50324">
        <w:rPr>
          <w:b/>
          <w:bCs/>
          <w:sz w:val="28"/>
        </w:rPr>
        <w:t xml:space="preserve"> offshore wind farm</w:t>
      </w:r>
    </w:p>
    <w:p w14:paraId="0B639DDB" w14:textId="77777777" w:rsidR="00BC70B1" w:rsidRPr="001E5CEB" w:rsidRDefault="00BC70B1" w:rsidP="00BC70B1">
      <w:pPr>
        <w:jc w:val="center"/>
        <w:rPr>
          <w:rFonts w:ascii="Calibri" w:hAnsi="Calibri" w:cs="Calibri"/>
          <w:b/>
          <w:bCs/>
          <w:color w:val="000000"/>
          <w:shd w:val="clear" w:color="auto" w:fill="FFFFFF"/>
        </w:rPr>
      </w:pPr>
    </w:p>
    <w:p w14:paraId="07AB9F7F" w14:textId="0CDAE78D" w:rsidR="00BC70B1" w:rsidRPr="001E5CEB" w:rsidRDefault="00BC70B1" w:rsidP="00BC70B1">
      <w:pPr>
        <w:jc w:val="center"/>
        <w:rPr>
          <w:rFonts w:ascii="Calibri" w:hAnsi="Calibri" w:cs="Calibri"/>
          <w:b/>
          <w:bCs/>
          <w:color w:val="000000"/>
          <w:shd w:val="clear" w:color="auto" w:fill="FFFFFF"/>
        </w:rPr>
      </w:pPr>
      <w:r w:rsidRPr="001E5CEB">
        <w:rPr>
          <w:rFonts w:ascii="Calibri" w:hAnsi="Calibri" w:cs="Calibri"/>
          <w:b/>
          <w:bCs/>
          <w:color w:val="000000"/>
          <w:shd w:val="clear" w:color="auto" w:fill="FFFFFF"/>
        </w:rPr>
        <w:t xml:space="preserve">Transaction brings total installed capacity to </w:t>
      </w:r>
      <w:r w:rsidR="003A4820" w:rsidRPr="001E5CEB">
        <w:rPr>
          <w:rFonts w:ascii="Calibri" w:hAnsi="Calibri" w:cs="Calibri"/>
          <w:b/>
          <w:bCs/>
          <w:color w:val="000000"/>
          <w:shd w:val="clear" w:color="auto" w:fill="FFFFFF"/>
        </w:rPr>
        <w:t>1,</w:t>
      </w:r>
      <w:proofErr w:type="gramStart"/>
      <w:r w:rsidR="003A4820" w:rsidRPr="001E5CEB">
        <w:rPr>
          <w:rFonts w:ascii="Calibri" w:hAnsi="Calibri" w:cs="Calibri"/>
          <w:b/>
          <w:bCs/>
          <w:color w:val="000000"/>
          <w:shd w:val="clear" w:color="auto" w:fill="FFFFFF"/>
        </w:rPr>
        <w:t>363MW</w:t>
      </w:r>
      <w:proofErr w:type="gramEnd"/>
    </w:p>
    <w:p w14:paraId="5E1282CF" w14:textId="77777777" w:rsidR="00BC70B1" w:rsidRPr="007411F4" w:rsidRDefault="00BC70B1" w:rsidP="00BC70B1">
      <w:pPr>
        <w:jc w:val="center"/>
        <w:rPr>
          <w:rFonts w:cstheme="minorHAnsi"/>
          <w:b/>
          <w:bCs/>
          <w:sz w:val="22"/>
          <w:szCs w:val="22"/>
        </w:rPr>
      </w:pPr>
    </w:p>
    <w:p w14:paraId="028A7F20" w14:textId="58DC5C21" w:rsidR="00376A67" w:rsidRPr="001E5CEB" w:rsidRDefault="00BC70B1" w:rsidP="00103ABF">
      <w:pPr>
        <w:jc w:val="both"/>
        <w:rPr>
          <w:rFonts w:ascii="Calibri" w:hAnsi="Calibri" w:cs="Calibri"/>
          <w:color w:val="000000"/>
          <w:shd w:val="clear" w:color="auto" w:fill="FFFFFF"/>
        </w:rPr>
      </w:pPr>
      <w:r w:rsidRPr="001E5CEB">
        <w:rPr>
          <w:rFonts w:ascii="Calibri" w:hAnsi="Calibri" w:cs="Calibri"/>
          <w:b/>
          <w:bCs/>
          <w:color w:val="000000"/>
          <w:shd w:val="clear" w:color="auto" w:fill="FFFFFF"/>
        </w:rPr>
        <w:t xml:space="preserve">Dublin, London, </w:t>
      </w:r>
      <w:r w:rsidR="007411F4" w:rsidRPr="001E5CEB">
        <w:rPr>
          <w:rFonts w:ascii="Calibri" w:hAnsi="Calibri" w:cs="Calibri"/>
          <w:b/>
          <w:bCs/>
          <w:color w:val="000000"/>
          <w:shd w:val="clear" w:color="auto" w:fill="FFFFFF"/>
        </w:rPr>
        <w:t>2nd</w:t>
      </w:r>
      <w:r w:rsidRPr="001E5CEB">
        <w:rPr>
          <w:rFonts w:ascii="Calibri" w:hAnsi="Calibri" w:cs="Calibri"/>
          <w:b/>
          <w:bCs/>
          <w:color w:val="000000"/>
          <w:shd w:val="clear" w:color="auto" w:fill="FFFFFF"/>
        </w:rPr>
        <w:t xml:space="preserve"> </w:t>
      </w:r>
      <w:r w:rsidR="007411F4" w:rsidRPr="001E5CEB">
        <w:rPr>
          <w:rFonts w:ascii="Calibri" w:hAnsi="Calibri" w:cs="Calibri"/>
          <w:b/>
          <w:bCs/>
          <w:color w:val="000000"/>
          <w:shd w:val="clear" w:color="auto" w:fill="FFFFFF"/>
        </w:rPr>
        <w:t>October</w:t>
      </w:r>
      <w:r w:rsidRPr="001E5CEB">
        <w:rPr>
          <w:rFonts w:ascii="Calibri" w:hAnsi="Calibri" w:cs="Calibri"/>
          <w:b/>
          <w:bCs/>
          <w:color w:val="000000"/>
          <w:shd w:val="clear" w:color="auto" w:fill="FFFFFF"/>
        </w:rPr>
        <w:t xml:space="preserve"> 2023:</w:t>
      </w:r>
      <w:r w:rsidRPr="001E5CEB">
        <w:rPr>
          <w:rFonts w:ascii="Calibri" w:hAnsi="Calibri" w:cs="Calibri"/>
          <w:color w:val="000000"/>
          <w:shd w:val="clear" w:color="auto" w:fill="FFFFFF"/>
        </w:rPr>
        <w:t xml:space="preserve"> </w:t>
      </w:r>
      <w:r w:rsidR="007411F4" w:rsidRPr="001E5CEB">
        <w:rPr>
          <w:rFonts w:ascii="Calibri" w:hAnsi="Calibri" w:cs="Calibri"/>
          <w:color w:val="000000"/>
          <w:shd w:val="clear" w:color="auto" w:fill="FFFFFF"/>
        </w:rPr>
        <w:t xml:space="preserve">Greencoat </w:t>
      </w:r>
      <w:r w:rsidR="00374FA5" w:rsidRPr="001E5CEB">
        <w:rPr>
          <w:rFonts w:ascii="Calibri" w:hAnsi="Calibri" w:cs="Calibri"/>
          <w:color w:val="000000"/>
          <w:shd w:val="clear" w:color="auto" w:fill="FFFFFF"/>
        </w:rPr>
        <w:t>Renewables PLC</w:t>
      </w:r>
      <w:r w:rsidR="007411F4" w:rsidRPr="001E5CEB">
        <w:rPr>
          <w:rFonts w:ascii="Calibri" w:hAnsi="Calibri" w:cs="Calibri"/>
          <w:color w:val="000000"/>
          <w:shd w:val="clear" w:color="auto" w:fill="FFFFFF"/>
        </w:rPr>
        <w:t xml:space="preserve"> ("Greencoat Renewables”</w:t>
      </w:r>
      <w:r w:rsidR="00A64189" w:rsidRPr="001E5CEB">
        <w:rPr>
          <w:rFonts w:ascii="Calibri" w:hAnsi="Calibri" w:cs="Calibri"/>
          <w:color w:val="000000"/>
          <w:shd w:val="clear" w:color="auto" w:fill="FFFFFF"/>
        </w:rPr>
        <w:t xml:space="preserve">, </w:t>
      </w:r>
      <w:r w:rsidR="4F9B13E4" w:rsidRPr="001E5CEB">
        <w:rPr>
          <w:rFonts w:ascii="Calibri" w:hAnsi="Calibri" w:cs="Calibri"/>
          <w:color w:val="000000"/>
          <w:shd w:val="clear" w:color="auto" w:fill="FFFFFF"/>
        </w:rPr>
        <w:t xml:space="preserve">or </w:t>
      </w:r>
      <w:r w:rsidR="00A64189" w:rsidRPr="001E5CEB">
        <w:rPr>
          <w:rFonts w:ascii="Calibri" w:hAnsi="Calibri" w:cs="Calibri"/>
          <w:color w:val="000000"/>
          <w:shd w:val="clear" w:color="auto" w:fill="FFFFFF"/>
        </w:rPr>
        <w:t>the “Company”</w:t>
      </w:r>
      <w:r w:rsidR="007411F4" w:rsidRPr="001E5CEB">
        <w:rPr>
          <w:rFonts w:ascii="Calibri" w:hAnsi="Calibri" w:cs="Calibri"/>
          <w:color w:val="000000"/>
          <w:shd w:val="clear" w:color="auto" w:fill="FFFFFF"/>
        </w:rPr>
        <w:t>) is pleased to announce</w:t>
      </w:r>
      <w:r w:rsidR="0033366C" w:rsidRPr="001E5CEB">
        <w:rPr>
          <w:rFonts w:ascii="Calibri" w:hAnsi="Calibri" w:cs="Calibri"/>
          <w:color w:val="000000"/>
          <w:shd w:val="clear" w:color="auto" w:fill="FFFFFF"/>
        </w:rPr>
        <w:t xml:space="preserve"> </w:t>
      </w:r>
      <w:r w:rsidR="00594B48" w:rsidRPr="001E5CEB">
        <w:rPr>
          <w:rFonts w:ascii="Calibri" w:hAnsi="Calibri" w:cs="Calibri"/>
          <w:color w:val="000000"/>
          <w:shd w:val="clear" w:color="auto" w:fill="FFFFFF"/>
        </w:rPr>
        <w:t xml:space="preserve">an agreement </w:t>
      </w:r>
      <w:r w:rsidR="007411F4" w:rsidRPr="001E5CEB">
        <w:rPr>
          <w:rFonts w:ascii="Calibri" w:hAnsi="Calibri" w:cs="Calibri"/>
          <w:color w:val="000000"/>
          <w:shd w:val="clear" w:color="auto" w:fill="FFFFFF"/>
        </w:rPr>
        <w:t xml:space="preserve">to acquire an additional 22.5% stake in the Butendiek offshore wind farm </w:t>
      </w:r>
      <w:r w:rsidR="00C925CF" w:rsidRPr="001E5CEB">
        <w:rPr>
          <w:rFonts w:ascii="Calibri" w:hAnsi="Calibri" w:cs="Calibri"/>
          <w:color w:val="000000"/>
          <w:shd w:val="clear" w:color="auto" w:fill="FFFFFF"/>
        </w:rPr>
        <w:t>(“</w:t>
      </w:r>
      <w:proofErr w:type="spellStart"/>
      <w:r w:rsidR="00C925CF" w:rsidRPr="001E5CEB">
        <w:rPr>
          <w:rFonts w:ascii="Calibri" w:hAnsi="Calibri" w:cs="Calibri"/>
          <w:color w:val="000000"/>
          <w:shd w:val="clear" w:color="auto" w:fill="FFFFFF"/>
        </w:rPr>
        <w:t>Butendiek</w:t>
      </w:r>
      <w:proofErr w:type="spellEnd"/>
      <w:r w:rsidR="00C925CF" w:rsidRPr="001E5CEB">
        <w:rPr>
          <w:rFonts w:ascii="Calibri" w:hAnsi="Calibri" w:cs="Calibri"/>
          <w:color w:val="000000"/>
          <w:shd w:val="clear" w:color="auto" w:fill="FFFFFF"/>
        </w:rPr>
        <w:t xml:space="preserve">”) </w:t>
      </w:r>
      <w:r w:rsidR="007411F4" w:rsidRPr="001E5CEB">
        <w:rPr>
          <w:rFonts w:ascii="Calibri" w:hAnsi="Calibri" w:cs="Calibri"/>
          <w:color w:val="000000"/>
          <w:shd w:val="clear" w:color="auto" w:fill="FFFFFF"/>
        </w:rPr>
        <w:t xml:space="preserve">from </w:t>
      </w:r>
      <w:r w:rsidR="00A82926" w:rsidRPr="001E5CEB">
        <w:rPr>
          <w:rFonts w:ascii="Calibri" w:hAnsi="Calibri" w:cs="Calibri"/>
          <w:color w:val="000000"/>
          <w:shd w:val="clear" w:color="auto" w:fill="FFFFFF"/>
        </w:rPr>
        <w:t>an affiliate of Siemens Pension Trust</w:t>
      </w:r>
      <w:r w:rsidR="007411F4" w:rsidRPr="001E5CEB">
        <w:rPr>
          <w:rFonts w:ascii="Calibri" w:hAnsi="Calibri" w:cs="Calibri"/>
          <w:color w:val="000000"/>
          <w:shd w:val="clear" w:color="auto" w:fill="FFFFFF"/>
        </w:rPr>
        <w:t xml:space="preserve">. The </w:t>
      </w:r>
      <w:r w:rsidR="00450321" w:rsidRPr="001E5CEB">
        <w:rPr>
          <w:rFonts w:ascii="Calibri" w:hAnsi="Calibri" w:cs="Calibri"/>
          <w:color w:val="000000"/>
          <w:shd w:val="clear" w:color="auto" w:fill="FFFFFF"/>
        </w:rPr>
        <w:t>transaction</w:t>
      </w:r>
      <w:r w:rsidR="00AD295C" w:rsidRPr="001E5CEB">
        <w:rPr>
          <w:rFonts w:ascii="Calibri" w:hAnsi="Calibri" w:cs="Calibri"/>
          <w:color w:val="000000"/>
          <w:shd w:val="clear" w:color="auto" w:fill="FFFFFF"/>
        </w:rPr>
        <w:t xml:space="preserve"> </w:t>
      </w:r>
      <w:r w:rsidR="007411F4" w:rsidRPr="001E5CEB">
        <w:rPr>
          <w:rFonts w:ascii="Calibri" w:hAnsi="Calibri" w:cs="Calibri"/>
          <w:color w:val="000000"/>
          <w:shd w:val="clear" w:color="auto" w:fill="FFFFFF"/>
        </w:rPr>
        <w:t xml:space="preserve">consideration for the 22.5% stake is </w:t>
      </w:r>
      <w:r w:rsidR="00A82926" w:rsidRPr="001E5CEB">
        <w:rPr>
          <w:rFonts w:ascii="Calibri" w:hAnsi="Calibri" w:cs="Calibri"/>
          <w:color w:val="000000"/>
          <w:shd w:val="clear" w:color="auto" w:fill="FFFFFF"/>
        </w:rPr>
        <w:t>c</w:t>
      </w:r>
      <w:r w:rsidR="0035711D" w:rsidRPr="001E5CEB">
        <w:rPr>
          <w:rFonts w:ascii="Calibri" w:hAnsi="Calibri" w:cs="Calibri"/>
          <w:color w:val="000000"/>
          <w:shd w:val="clear" w:color="auto" w:fill="FFFFFF"/>
        </w:rPr>
        <w:t>.</w:t>
      </w:r>
      <w:r w:rsidR="007411F4" w:rsidRPr="001E5CEB">
        <w:rPr>
          <w:rFonts w:ascii="Calibri" w:hAnsi="Calibri" w:cs="Calibri"/>
          <w:color w:val="000000"/>
          <w:shd w:val="clear" w:color="auto" w:fill="FFFFFF"/>
        </w:rPr>
        <w:t>€</w:t>
      </w:r>
      <w:r w:rsidR="00A82926" w:rsidRPr="001E5CEB">
        <w:rPr>
          <w:rFonts w:ascii="Calibri" w:hAnsi="Calibri" w:cs="Calibri"/>
          <w:color w:val="000000"/>
          <w:shd w:val="clear" w:color="auto" w:fill="FFFFFF"/>
        </w:rPr>
        <w:t>168</w:t>
      </w:r>
      <w:r w:rsidR="000F5BB3" w:rsidRPr="001E5CEB">
        <w:rPr>
          <w:rFonts w:ascii="Calibri" w:hAnsi="Calibri" w:cs="Calibri"/>
          <w:color w:val="000000"/>
          <w:shd w:val="clear" w:color="auto" w:fill="FFFFFF"/>
        </w:rPr>
        <w:t xml:space="preserve"> </w:t>
      </w:r>
      <w:r w:rsidR="007411F4" w:rsidRPr="001E5CEB">
        <w:rPr>
          <w:rFonts w:ascii="Calibri" w:hAnsi="Calibri" w:cs="Calibri"/>
          <w:color w:val="000000"/>
          <w:shd w:val="clear" w:color="auto" w:fill="FFFFFF"/>
        </w:rPr>
        <w:t>m</w:t>
      </w:r>
      <w:r w:rsidR="000F5BB3" w:rsidRPr="001E5CEB">
        <w:rPr>
          <w:rFonts w:ascii="Calibri" w:hAnsi="Calibri" w:cs="Calibri"/>
          <w:color w:val="000000"/>
          <w:shd w:val="clear" w:color="auto" w:fill="FFFFFF"/>
        </w:rPr>
        <w:t>illion</w:t>
      </w:r>
      <w:r w:rsidR="00103ABF" w:rsidRPr="001E5CEB">
        <w:rPr>
          <w:rFonts w:ascii="Calibri" w:hAnsi="Calibri" w:cs="Calibri"/>
          <w:color w:val="000000"/>
          <w:shd w:val="clear" w:color="auto" w:fill="FFFFFF"/>
        </w:rPr>
        <w:t>.</w:t>
      </w:r>
    </w:p>
    <w:p w14:paraId="6E1285F7" w14:textId="77777777" w:rsidR="00103ABF" w:rsidRPr="001E5CEB" w:rsidRDefault="00103ABF" w:rsidP="00103ABF">
      <w:pPr>
        <w:jc w:val="both"/>
        <w:rPr>
          <w:rFonts w:ascii="Calibri" w:hAnsi="Calibri" w:cs="Calibri"/>
          <w:color w:val="000000"/>
          <w:shd w:val="clear" w:color="auto" w:fill="FFFFFF"/>
        </w:rPr>
      </w:pPr>
    </w:p>
    <w:p w14:paraId="4C42B807" w14:textId="7FA1A1F6" w:rsidR="00145787" w:rsidRPr="001E5CEB" w:rsidRDefault="00145787" w:rsidP="00145787">
      <w:pPr>
        <w:rPr>
          <w:rFonts w:ascii="Calibri" w:hAnsi="Calibri" w:cs="Calibri"/>
          <w:color w:val="000000"/>
          <w:shd w:val="clear" w:color="auto" w:fill="FFFFFF"/>
        </w:rPr>
      </w:pPr>
      <w:r w:rsidRPr="001E5CEB">
        <w:rPr>
          <w:rFonts w:ascii="Calibri" w:hAnsi="Calibri" w:cs="Calibri"/>
          <w:color w:val="000000"/>
          <w:shd w:val="clear" w:color="auto" w:fill="FFFFFF"/>
        </w:rPr>
        <w:t xml:space="preserve">The </w:t>
      </w:r>
      <w:proofErr w:type="spellStart"/>
      <w:r w:rsidRPr="001E5CEB">
        <w:rPr>
          <w:rFonts w:ascii="Calibri" w:hAnsi="Calibri" w:cs="Calibri"/>
          <w:color w:val="000000"/>
          <w:shd w:val="clear" w:color="auto" w:fill="FFFFFF"/>
        </w:rPr>
        <w:t>Butendiek</w:t>
      </w:r>
      <w:proofErr w:type="spellEnd"/>
      <w:r w:rsidRPr="001E5CEB">
        <w:rPr>
          <w:rFonts w:ascii="Calibri" w:hAnsi="Calibri" w:cs="Calibri"/>
          <w:color w:val="000000"/>
          <w:shd w:val="clear" w:color="auto" w:fill="FFFFFF"/>
        </w:rPr>
        <w:t xml:space="preserve"> investment is subject to regulatory approval and scheduled to complete in November 2023.  Greencoat Renewables expects to make the acquisition together with additional funds managed by Schroders Greencoat LLP, with Greencoat Renewables’ total investment expected to be €122 million (72% of the 22.5% acquired stake</w:t>
      </w:r>
      <w:r w:rsidR="000D50F8" w:rsidRPr="001E5CEB">
        <w:rPr>
          <w:rFonts w:ascii="Calibri" w:hAnsi="Calibri" w:cs="Calibri"/>
          <w:color w:val="000000"/>
          <w:shd w:val="clear" w:color="auto" w:fill="FFFFFF"/>
        </w:rPr>
        <w:t xml:space="preserve"> from an affiliate of Siemens Pension Trust</w:t>
      </w:r>
      <w:r w:rsidRPr="001E5CEB">
        <w:rPr>
          <w:rFonts w:ascii="Calibri" w:hAnsi="Calibri" w:cs="Calibri"/>
          <w:color w:val="000000"/>
          <w:shd w:val="clear" w:color="auto" w:fill="FFFFFF"/>
        </w:rPr>
        <w:t>).</w:t>
      </w:r>
    </w:p>
    <w:p w14:paraId="33D8064A" w14:textId="64D19746" w:rsidR="007411F4" w:rsidRPr="001E5CEB" w:rsidRDefault="00594B48" w:rsidP="007411F4">
      <w:pPr>
        <w:pStyle w:val="br"/>
        <w:shd w:val="clear" w:color="auto" w:fill="FFFFFF"/>
        <w:spacing w:before="242" w:beforeAutospacing="0" w:after="242" w:afterAutospacing="0"/>
        <w:jc w:val="both"/>
        <w:rPr>
          <w:rFonts w:ascii="Calibri" w:eastAsiaTheme="minorHAnsi" w:hAnsi="Calibri" w:cs="Calibri"/>
          <w:color w:val="000000"/>
          <w:shd w:val="clear" w:color="auto" w:fill="FFFFFF"/>
          <w:lang w:eastAsia="en-US"/>
        </w:rPr>
      </w:pPr>
      <w:r w:rsidRPr="001E5CEB">
        <w:rPr>
          <w:rFonts w:ascii="Calibri" w:eastAsiaTheme="minorHAnsi" w:hAnsi="Calibri" w:cs="Calibri"/>
          <w:color w:val="000000"/>
          <w:shd w:val="clear" w:color="auto" w:fill="FFFFFF"/>
          <w:lang w:eastAsia="en-US"/>
        </w:rPr>
        <w:t xml:space="preserve">Greencoat Renewables originally acquired an initial 22.5% stake in </w:t>
      </w:r>
      <w:proofErr w:type="spellStart"/>
      <w:r w:rsidRPr="001E5CEB">
        <w:rPr>
          <w:rFonts w:ascii="Calibri" w:eastAsiaTheme="minorHAnsi" w:hAnsi="Calibri" w:cs="Calibri"/>
          <w:color w:val="000000"/>
          <w:shd w:val="clear" w:color="auto" w:fill="FFFFFF"/>
          <w:lang w:eastAsia="en-US"/>
        </w:rPr>
        <w:t>Butendiek</w:t>
      </w:r>
      <w:proofErr w:type="spellEnd"/>
      <w:r w:rsidRPr="001E5CEB">
        <w:rPr>
          <w:rFonts w:ascii="Calibri" w:eastAsiaTheme="minorHAnsi" w:hAnsi="Calibri" w:cs="Calibri"/>
          <w:color w:val="000000"/>
          <w:shd w:val="clear" w:color="auto" w:fill="FFFFFF"/>
          <w:lang w:eastAsia="en-US"/>
        </w:rPr>
        <w:t xml:space="preserve"> from Marguerite Pantheon in February 2023. </w:t>
      </w:r>
      <w:r w:rsidR="007411F4" w:rsidRPr="001E5CEB">
        <w:rPr>
          <w:rFonts w:ascii="Calibri" w:eastAsiaTheme="minorHAnsi" w:hAnsi="Calibri" w:cs="Calibri"/>
          <w:color w:val="000000"/>
          <w:shd w:val="clear" w:color="auto" w:fill="FFFFFF"/>
          <w:lang w:eastAsia="en-US"/>
        </w:rPr>
        <w:t xml:space="preserve">The wind farm </w:t>
      </w:r>
      <w:proofErr w:type="gramStart"/>
      <w:r w:rsidR="00374FA5" w:rsidRPr="001E5CEB">
        <w:rPr>
          <w:rFonts w:ascii="Calibri" w:eastAsiaTheme="minorHAnsi" w:hAnsi="Calibri" w:cs="Calibri"/>
          <w:color w:val="000000"/>
          <w:shd w:val="clear" w:color="auto" w:fill="FFFFFF"/>
          <w:lang w:eastAsia="en-US"/>
        </w:rPr>
        <w:t>is located in</w:t>
      </w:r>
      <w:proofErr w:type="gramEnd"/>
      <w:r w:rsidR="007411F4" w:rsidRPr="001E5CEB">
        <w:rPr>
          <w:rFonts w:ascii="Calibri" w:eastAsiaTheme="minorHAnsi" w:hAnsi="Calibri" w:cs="Calibri"/>
          <w:color w:val="000000"/>
          <w:shd w:val="clear" w:color="auto" w:fill="FFFFFF"/>
          <w:lang w:eastAsia="en-US"/>
        </w:rPr>
        <w:t xml:space="preserve"> Germany’s exclusive economic zone in the North Sea and consists of 80 Siemens Gamesa 3.6MW turbines that have been operational since 2015.</w:t>
      </w:r>
    </w:p>
    <w:p w14:paraId="27E1E322" w14:textId="399098D9" w:rsidR="00E62D5A" w:rsidRPr="001E5CEB" w:rsidRDefault="00E62D5A" w:rsidP="007411F4">
      <w:pPr>
        <w:pStyle w:val="br"/>
        <w:shd w:val="clear" w:color="auto" w:fill="FFFFFF"/>
        <w:spacing w:before="242" w:beforeAutospacing="0" w:after="242" w:afterAutospacing="0"/>
        <w:jc w:val="both"/>
        <w:rPr>
          <w:rFonts w:ascii="Calibri" w:eastAsiaTheme="minorHAnsi" w:hAnsi="Calibri" w:cs="Calibri"/>
          <w:color w:val="000000"/>
          <w:shd w:val="clear" w:color="auto" w:fill="FFFFFF"/>
          <w:lang w:eastAsia="en-US"/>
        </w:rPr>
      </w:pPr>
      <w:proofErr w:type="spellStart"/>
      <w:r w:rsidRPr="001E5CEB">
        <w:rPr>
          <w:rFonts w:ascii="Calibri" w:eastAsiaTheme="minorHAnsi" w:hAnsi="Calibri" w:cs="Calibri"/>
          <w:color w:val="000000"/>
          <w:shd w:val="clear" w:color="auto" w:fill="FFFFFF"/>
          <w:lang w:eastAsia="en-US"/>
        </w:rPr>
        <w:t>Butendiek</w:t>
      </w:r>
      <w:proofErr w:type="spellEnd"/>
      <w:r w:rsidRPr="001E5CEB">
        <w:rPr>
          <w:rFonts w:ascii="Calibri" w:eastAsiaTheme="minorHAnsi" w:hAnsi="Calibri" w:cs="Calibri"/>
          <w:color w:val="000000"/>
          <w:shd w:val="clear" w:color="auto" w:fill="FFFFFF"/>
          <w:lang w:eastAsia="en-US"/>
        </w:rPr>
        <w:t xml:space="preserve"> recently entered into a new Power Purchase Agreement (“PPA”) with a large multinational for 62.5% of the output of the wind farm for a period of six and a half years. The PPA covers circa 700 GWh p.a., representing one of the largest renewable </w:t>
      </w:r>
      <w:proofErr w:type="gramStart"/>
      <w:r w:rsidRPr="001E5CEB">
        <w:rPr>
          <w:rFonts w:ascii="Calibri" w:eastAsiaTheme="minorHAnsi" w:hAnsi="Calibri" w:cs="Calibri"/>
          <w:color w:val="000000"/>
          <w:shd w:val="clear" w:color="auto" w:fill="FFFFFF"/>
          <w:lang w:eastAsia="en-US"/>
        </w:rPr>
        <w:t>energy</w:t>
      </w:r>
      <w:proofErr w:type="gramEnd"/>
      <w:r w:rsidRPr="001E5CEB">
        <w:rPr>
          <w:rFonts w:ascii="Calibri" w:eastAsiaTheme="minorHAnsi" w:hAnsi="Calibri" w:cs="Calibri"/>
          <w:color w:val="000000"/>
          <w:shd w:val="clear" w:color="auto" w:fill="FFFFFF"/>
          <w:lang w:eastAsia="en-US"/>
        </w:rPr>
        <w:t xml:space="preserve"> PPA’s in Germany</w:t>
      </w:r>
      <w:r w:rsidR="00C068A8" w:rsidRPr="001E5CEB">
        <w:rPr>
          <w:rFonts w:ascii="Calibri" w:eastAsiaTheme="minorHAnsi" w:hAnsi="Calibri" w:cs="Calibri"/>
          <w:color w:val="000000"/>
          <w:shd w:val="clear" w:color="auto" w:fill="FFFFFF"/>
          <w:lang w:eastAsia="en-US"/>
        </w:rPr>
        <w:t xml:space="preserve"> and underpins </w:t>
      </w:r>
      <w:r w:rsidR="00ED064C" w:rsidRPr="001E5CEB">
        <w:rPr>
          <w:rFonts w:ascii="Calibri" w:eastAsiaTheme="minorHAnsi" w:hAnsi="Calibri" w:cs="Calibri"/>
          <w:color w:val="000000"/>
          <w:shd w:val="clear" w:color="auto" w:fill="FFFFFF"/>
          <w:lang w:eastAsia="en-US"/>
        </w:rPr>
        <w:t xml:space="preserve">the Company’s </w:t>
      </w:r>
      <w:r w:rsidRPr="001E5CEB">
        <w:rPr>
          <w:rFonts w:ascii="Calibri" w:eastAsiaTheme="minorHAnsi" w:hAnsi="Calibri" w:cs="Calibri"/>
          <w:color w:val="000000"/>
          <w:shd w:val="clear" w:color="auto" w:fill="FFFFFF"/>
          <w:lang w:eastAsia="en-US"/>
        </w:rPr>
        <w:t xml:space="preserve">strategy </w:t>
      </w:r>
      <w:r w:rsidR="00594B48" w:rsidRPr="001E5CEB">
        <w:rPr>
          <w:rFonts w:ascii="Calibri" w:eastAsiaTheme="minorHAnsi" w:hAnsi="Calibri" w:cs="Calibri"/>
          <w:color w:val="000000"/>
          <w:shd w:val="clear" w:color="auto" w:fill="FFFFFF"/>
          <w:lang w:eastAsia="en-US"/>
        </w:rPr>
        <w:t>of</w:t>
      </w:r>
      <w:r w:rsidRPr="001E5CEB">
        <w:rPr>
          <w:rFonts w:ascii="Calibri" w:eastAsiaTheme="minorHAnsi" w:hAnsi="Calibri" w:cs="Calibri"/>
          <w:color w:val="000000"/>
          <w:shd w:val="clear" w:color="auto" w:fill="FFFFFF"/>
          <w:lang w:eastAsia="en-US"/>
        </w:rPr>
        <w:t xml:space="preserve"> actively manag</w:t>
      </w:r>
      <w:r w:rsidR="00594B48" w:rsidRPr="001E5CEB">
        <w:rPr>
          <w:rFonts w:ascii="Calibri" w:eastAsiaTheme="minorHAnsi" w:hAnsi="Calibri" w:cs="Calibri"/>
          <w:color w:val="000000"/>
          <w:shd w:val="clear" w:color="auto" w:fill="FFFFFF"/>
          <w:lang w:eastAsia="en-US"/>
        </w:rPr>
        <w:t>ing</w:t>
      </w:r>
      <w:r w:rsidRPr="001E5CEB">
        <w:rPr>
          <w:rFonts w:ascii="Calibri" w:eastAsiaTheme="minorHAnsi" w:hAnsi="Calibri" w:cs="Calibri"/>
          <w:color w:val="000000"/>
          <w:shd w:val="clear" w:color="auto" w:fill="FFFFFF"/>
          <w:lang w:eastAsia="en-US"/>
        </w:rPr>
        <w:t xml:space="preserve"> its revenue profile by securing long-term contracted cashflows.</w:t>
      </w:r>
    </w:p>
    <w:p w14:paraId="44AD553C" w14:textId="38A5F375" w:rsidR="00BC70B1" w:rsidRPr="001E5CEB" w:rsidRDefault="00BC70B1" w:rsidP="00BC70B1">
      <w:pPr>
        <w:jc w:val="both"/>
        <w:rPr>
          <w:rFonts w:ascii="Calibri" w:hAnsi="Calibri" w:cs="Calibri"/>
          <w:color w:val="000000"/>
          <w:shd w:val="clear" w:color="auto" w:fill="FFFFFF"/>
        </w:rPr>
      </w:pPr>
      <w:r w:rsidRPr="001E5CEB">
        <w:rPr>
          <w:rFonts w:ascii="Calibri" w:hAnsi="Calibri" w:cs="Calibri"/>
          <w:color w:val="000000"/>
          <w:shd w:val="clear" w:color="auto" w:fill="FFFFFF"/>
        </w:rPr>
        <w:t xml:space="preserve">Post-acquisition of Butendiek, Greencoat Renewables’ total borrowings </w:t>
      </w:r>
      <w:r w:rsidR="00A82926" w:rsidRPr="001E5CEB">
        <w:rPr>
          <w:rFonts w:ascii="Calibri" w:hAnsi="Calibri" w:cs="Calibri"/>
          <w:color w:val="000000"/>
          <w:shd w:val="clear" w:color="auto" w:fill="FFFFFF"/>
        </w:rPr>
        <w:t xml:space="preserve">would </w:t>
      </w:r>
      <w:r w:rsidRPr="001E5CEB">
        <w:rPr>
          <w:rFonts w:ascii="Calibri" w:hAnsi="Calibri" w:cs="Calibri"/>
          <w:color w:val="000000"/>
          <w:shd w:val="clear" w:color="auto" w:fill="FFFFFF"/>
        </w:rPr>
        <w:t>stand at 4</w:t>
      </w:r>
      <w:r w:rsidR="001E7B2B" w:rsidRPr="001E5CEB">
        <w:rPr>
          <w:rFonts w:ascii="Calibri" w:hAnsi="Calibri" w:cs="Calibri"/>
          <w:color w:val="000000"/>
          <w:shd w:val="clear" w:color="auto" w:fill="FFFFFF"/>
        </w:rPr>
        <w:t>8</w:t>
      </w:r>
      <w:r w:rsidRPr="001E5CEB">
        <w:rPr>
          <w:rFonts w:ascii="Calibri" w:hAnsi="Calibri" w:cs="Calibri"/>
          <w:color w:val="000000"/>
          <w:shd w:val="clear" w:color="auto" w:fill="FFFFFF"/>
        </w:rPr>
        <w:t xml:space="preserve">% of Gross Asset Value. </w:t>
      </w:r>
    </w:p>
    <w:p w14:paraId="48ABA8E7" w14:textId="77777777" w:rsidR="00BC70B1" w:rsidRPr="001E5CEB" w:rsidRDefault="00BC70B1" w:rsidP="00BC70B1">
      <w:pPr>
        <w:jc w:val="both"/>
        <w:rPr>
          <w:rFonts w:ascii="Calibri" w:hAnsi="Calibri" w:cs="Calibri"/>
          <w:color w:val="000000"/>
          <w:shd w:val="clear" w:color="auto" w:fill="FFFFFF"/>
        </w:rPr>
      </w:pPr>
    </w:p>
    <w:p w14:paraId="7C7B720B" w14:textId="31C24195" w:rsidR="00BC70B1" w:rsidRPr="001E5CEB" w:rsidRDefault="00BC70B1" w:rsidP="00BC70B1">
      <w:pPr>
        <w:jc w:val="both"/>
        <w:rPr>
          <w:rFonts w:ascii="Calibri" w:hAnsi="Calibri" w:cs="Calibri"/>
          <w:b/>
          <w:bCs/>
          <w:color w:val="000000"/>
          <w:shd w:val="clear" w:color="auto" w:fill="FFFFFF"/>
        </w:rPr>
      </w:pPr>
      <w:r w:rsidRPr="001E5CEB">
        <w:rPr>
          <w:rFonts w:ascii="Calibri" w:hAnsi="Calibri" w:cs="Calibri"/>
          <w:b/>
          <w:bCs/>
          <w:color w:val="000000"/>
          <w:shd w:val="clear" w:color="auto" w:fill="FFFFFF"/>
        </w:rPr>
        <w:t>Bertrand Gautier, Investment Manager said:</w:t>
      </w:r>
    </w:p>
    <w:p w14:paraId="3F985E31" w14:textId="77777777" w:rsidR="00C82B36" w:rsidRPr="001E5CEB" w:rsidRDefault="00C82B36" w:rsidP="00BC70B1">
      <w:pPr>
        <w:jc w:val="both"/>
        <w:rPr>
          <w:rFonts w:ascii="Calibri" w:hAnsi="Calibri" w:cs="Calibri"/>
          <w:color w:val="000000"/>
          <w:shd w:val="clear" w:color="auto" w:fill="FFFFFF"/>
        </w:rPr>
      </w:pPr>
    </w:p>
    <w:p w14:paraId="320E51FA" w14:textId="779499F9" w:rsidR="007411F4" w:rsidRPr="001E5CEB" w:rsidRDefault="00C925CF" w:rsidP="00581E1D">
      <w:pPr>
        <w:jc w:val="both"/>
        <w:rPr>
          <w:rFonts w:ascii="Calibri" w:hAnsi="Calibri" w:cs="Calibri"/>
          <w:i/>
          <w:iCs/>
          <w:color w:val="000000"/>
          <w:shd w:val="clear" w:color="auto" w:fill="FFFFFF"/>
        </w:rPr>
      </w:pPr>
      <w:r w:rsidRPr="001E5CEB">
        <w:rPr>
          <w:rFonts w:ascii="Calibri" w:hAnsi="Calibri" w:cs="Calibri"/>
          <w:color w:val="000000"/>
          <w:shd w:val="clear" w:color="auto" w:fill="FFFFFF"/>
        </w:rPr>
        <w:t>“</w:t>
      </w:r>
      <w:r w:rsidR="007411F4" w:rsidRPr="001E5CEB">
        <w:rPr>
          <w:rFonts w:ascii="Calibri" w:hAnsi="Calibri" w:cs="Calibri"/>
          <w:i/>
          <w:iCs/>
          <w:color w:val="000000"/>
          <w:shd w:val="clear" w:color="auto" w:fill="FFFFFF"/>
        </w:rPr>
        <w:t>We are delighted to further</w:t>
      </w:r>
      <w:r w:rsidR="00F224F7" w:rsidRPr="001E5CEB">
        <w:rPr>
          <w:rFonts w:ascii="Calibri" w:hAnsi="Calibri" w:cs="Calibri"/>
          <w:i/>
          <w:iCs/>
          <w:color w:val="000000"/>
          <w:shd w:val="clear" w:color="auto" w:fill="FFFFFF"/>
        </w:rPr>
        <w:t xml:space="preserve"> increase</w:t>
      </w:r>
      <w:r w:rsidR="007411F4" w:rsidRPr="001E5CEB">
        <w:rPr>
          <w:rFonts w:ascii="Calibri" w:hAnsi="Calibri" w:cs="Calibri"/>
          <w:i/>
          <w:iCs/>
          <w:color w:val="000000"/>
          <w:shd w:val="clear" w:color="auto" w:fill="FFFFFF"/>
        </w:rPr>
        <w:t xml:space="preserve"> our investment in </w:t>
      </w:r>
      <w:proofErr w:type="spellStart"/>
      <w:r w:rsidR="00374FA5" w:rsidRPr="001E5CEB">
        <w:rPr>
          <w:rFonts w:ascii="Calibri" w:hAnsi="Calibri" w:cs="Calibri"/>
          <w:i/>
          <w:iCs/>
          <w:color w:val="000000"/>
          <w:shd w:val="clear" w:color="auto" w:fill="FFFFFF"/>
        </w:rPr>
        <w:t>Butendiek</w:t>
      </w:r>
      <w:proofErr w:type="spellEnd"/>
      <w:r w:rsidR="0072091E" w:rsidRPr="001E5CEB">
        <w:rPr>
          <w:rFonts w:ascii="Calibri" w:hAnsi="Calibri" w:cs="Calibri"/>
          <w:i/>
          <w:iCs/>
          <w:color w:val="000000"/>
          <w:shd w:val="clear" w:color="auto" w:fill="FFFFFF"/>
        </w:rPr>
        <w:t xml:space="preserve"> at a value that is accretive to NAV</w:t>
      </w:r>
      <w:r w:rsidR="007411F4" w:rsidRPr="001E5CEB">
        <w:rPr>
          <w:rFonts w:ascii="Calibri" w:hAnsi="Calibri" w:cs="Calibri"/>
          <w:i/>
          <w:iCs/>
          <w:color w:val="000000"/>
          <w:shd w:val="clear" w:color="auto" w:fill="FFFFFF"/>
        </w:rPr>
        <w:t>. The transaction</w:t>
      </w:r>
      <w:r w:rsidR="00911A3B" w:rsidRPr="001E5CEB">
        <w:rPr>
          <w:rFonts w:ascii="Calibri" w:hAnsi="Calibri" w:cs="Calibri"/>
          <w:i/>
          <w:iCs/>
          <w:color w:val="000000"/>
          <w:shd w:val="clear" w:color="auto" w:fill="FFFFFF"/>
        </w:rPr>
        <w:t xml:space="preserve"> </w:t>
      </w:r>
      <w:r w:rsidR="00AB30D7" w:rsidRPr="001E5CEB">
        <w:rPr>
          <w:rFonts w:ascii="Calibri" w:hAnsi="Calibri" w:cs="Calibri"/>
          <w:i/>
          <w:iCs/>
          <w:color w:val="000000"/>
          <w:shd w:val="clear" w:color="auto" w:fill="FFFFFF"/>
        </w:rPr>
        <w:t>was</w:t>
      </w:r>
      <w:r w:rsidR="00C82B36" w:rsidRPr="001E5CEB">
        <w:rPr>
          <w:rFonts w:ascii="Calibri" w:hAnsi="Calibri" w:cs="Calibri"/>
          <w:i/>
          <w:iCs/>
          <w:color w:val="000000"/>
          <w:shd w:val="clear" w:color="auto" w:fill="FFFFFF"/>
        </w:rPr>
        <w:t xml:space="preserve"> originated</w:t>
      </w:r>
      <w:r w:rsidR="00AB30D7" w:rsidRPr="001E5CEB">
        <w:rPr>
          <w:rFonts w:ascii="Calibri" w:hAnsi="Calibri" w:cs="Calibri"/>
          <w:i/>
          <w:iCs/>
          <w:color w:val="000000"/>
          <w:shd w:val="clear" w:color="auto" w:fill="FFFFFF"/>
        </w:rPr>
        <w:t xml:space="preserve"> </w:t>
      </w:r>
      <w:r w:rsidR="00F04AFE" w:rsidRPr="001E5CEB">
        <w:rPr>
          <w:rFonts w:ascii="Calibri" w:hAnsi="Calibri" w:cs="Calibri"/>
          <w:i/>
          <w:iCs/>
          <w:color w:val="000000"/>
          <w:shd w:val="clear" w:color="auto" w:fill="FFFFFF"/>
        </w:rPr>
        <w:t>on a bilateral basis</w:t>
      </w:r>
      <w:r w:rsidR="00C82B36" w:rsidRPr="001E5CEB">
        <w:rPr>
          <w:rFonts w:ascii="Calibri" w:hAnsi="Calibri" w:cs="Calibri"/>
          <w:i/>
          <w:iCs/>
          <w:color w:val="000000"/>
          <w:shd w:val="clear" w:color="auto" w:fill="FFFFFF"/>
        </w:rPr>
        <w:t xml:space="preserve"> and </w:t>
      </w:r>
      <w:r w:rsidR="007411F4" w:rsidRPr="001E5CEB">
        <w:rPr>
          <w:rFonts w:ascii="Calibri" w:hAnsi="Calibri" w:cs="Calibri"/>
          <w:i/>
          <w:iCs/>
          <w:color w:val="000000"/>
          <w:shd w:val="clear" w:color="auto" w:fill="FFFFFF"/>
        </w:rPr>
        <w:t xml:space="preserve">reflects the Company’s </w:t>
      </w:r>
      <w:r w:rsidR="00911A3B" w:rsidRPr="001E5CEB">
        <w:rPr>
          <w:rFonts w:ascii="Calibri" w:hAnsi="Calibri" w:cs="Calibri"/>
          <w:i/>
          <w:iCs/>
          <w:color w:val="000000"/>
          <w:shd w:val="clear" w:color="auto" w:fill="FFFFFF"/>
        </w:rPr>
        <w:t xml:space="preserve">continued </w:t>
      </w:r>
      <w:r w:rsidR="007411F4" w:rsidRPr="001E5CEB">
        <w:rPr>
          <w:rFonts w:ascii="Calibri" w:hAnsi="Calibri" w:cs="Calibri"/>
          <w:i/>
          <w:iCs/>
          <w:color w:val="000000"/>
          <w:shd w:val="clear" w:color="auto" w:fill="FFFFFF"/>
        </w:rPr>
        <w:t xml:space="preserve">ability to </w:t>
      </w:r>
      <w:r w:rsidR="00035A3B" w:rsidRPr="001E5CEB">
        <w:rPr>
          <w:rFonts w:ascii="Calibri" w:hAnsi="Calibri" w:cs="Calibri"/>
          <w:i/>
          <w:iCs/>
          <w:color w:val="000000"/>
          <w:shd w:val="clear" w:color="auto" w:fill="FFFFFF"/>
        </w:rPr>
        <w:t xml:space="preserve">transact rapidly and </w:t>
      </w:r>
      <w:r w:rsidR="007411F4" w:rsidRPr="001E5CEB">
        <w:rPr>
          <w:rFonts w:ascii="Calibri" w:hAnsi="Calibri" w:cs="Calibri"/>
          <w:i/>
          <w:iCs/>
          <w:color w:val="000000"/>
          <w:shd w:val="clear" w:color="auto" w:fill="FFFFFF"/>
        </w:rPr>
        <w:t>generate significant shareholder value through selective off-market investments.</w:t>
      </w:r>
    </w:p>
    <w:p w14:paraId="626BF798" w14:textId="77777777" w:rsidR="00DF625E" w:rsidRPr="001E5CEB" w:rsidRDefault="00DF625E" w:rsidP="00BC70B1">
      <w:pPr>
        <w:jc w:val="both"/>
        <w:rPr>
          <w:rFonts w:ascii="Calibri" w:hAnsi="Calibri" w:cs="Calibri"/>
          <w:i/>
          <w:iCs/>
          <w:color w:val="000000"/>
          <w:shd w:val="clear" w:color="auto" w:fill="FFFFFF"/>
        </w:rPr>
      </w:pPr>
    </w:p>
    <w:p w14:paraId="2C1B1F72" w14:textId="002D4523" w:rsidR="00BC70B1" w:rsidRPr="001E5CEB" w:rsidRDefault="00A64189" w:rsidP="00BC70B1">
      <w:pPr>
        <w:jc w:val="both"/>
        <w:rPr>
          <w:rFonts w:ascii="Calibri" w:hAnsi="Calibri" w:cs="Calibri"/>
          <w:color w:val="000000"/>
          <w:shd w:val="clear" w:color="auto" w:fill="FFFFFF"/>
        </w:rPr>
      </w:pPr>
      <w:r w:rsidRPr="001E5CEB">
        <w:rPr>
          <w:rFonts w:ascii="Calibri" w:hAnsi="Calibri" w:cs="Calibri"/>
          <w:i/>
          <w:iCs/>
          <w:color w:val="000000"/>
          <w:shd w:val="clear" w:color="auto" w:fill="FFFFFF"/>
        </w:rPr>
        <w:t>Butendiek</w:t>
      </w:r>
      <w:r w:rsidR="00C925CF" w:rsidRPr="001E5CEB">
        <w:rPr>
          <w:rFonts w:ascii="Calibri" w:hAnsi="Calibri" w:cs="Calibri"/>
          <w:i/>
          <w:iCs/>
          <w:color w:val="000000"/>
          <w:shd w:val="clear" w:color="auto" w:fill="FFFFFF"/>
        </w:rPr>
        <w:t xml:space="preserve"> also</w:t>
      </w:r>
      <w:r w:rsidR="00374FA5" w:rsidRPr="001E5CEB">
        <w:rPr>
          <w:rFonts w:ascii="Calibri" w:hAnsi="Calibri" w:cs="Calibri"/>
          <w:i/>
          <w:iCs/>
          <w:color w:val="000000"/>
          <w:shd w:val="clear" w:color="auto" w:fill="FFFFFF"/>
        </w:rPr>
        <w:t xml:space="preserve"> </w:t>
      </w:r>
      <w:r w:rsidR="00C925CF" w:rsidRPr="001E5CEB">
        <w:rPr>
          <w:rFonts w:ascii="Calibri" w:hAnsi="Calibri" w:cs="Calibri"/>
          <w:i/>
          <w:iCs/>
          <w:color w:val="000000"/>
          <w:shd w:val="clear" w:color="auto" w:fill="FFFFFF"/>
        </w:rPr>
        <w:t xml:space="preserve">demonstrates </w:t>
      </w:r>
      <w:r w:rsidR="00DF625E" w:rsidRPr="001E5CEB">
        <w:rPr>
          <w:rFonts w:ascii="Calibri" w:hAnsi="Calibri" w:cs="Calibri"/>
          <w:i/>
          <w:iCs/>
          <w:color w:val="000000"/>
          <w:shd w:val="clear" w:color="auto" w:fill="FFFFFF"/>
        </w:rPr>
        <w:t>Greencoat Renewables</w:t>
      </w:r>
      <w:r w:rsidR="00594B48" w:rsidRPr="001E5CEB">
        <w:rPr>
          <w:rFonts w:ascii="Calibri" w:hAnsi="Calibri" w:cs="Calibri"/>
          <w:i/>
          <w:iCs/>
          <w:color w:val="000000"/>
          <w:shd w:val="clear" w:color="auto" w:fill="FFFFFF"/>
        </w:rPr>
        <w:t>’ ability</w:t>
      </w:r>
      <w:r w:rsidR="00DF625E" w:rsidRPr="001E5CEB">
        <w:rPr>
          <w:rFonts w:ascii="Calibri" w:hAnsi="Calibri" w:cs="Calibri"/>
          <w:i/>
          <w:iCs/>
          <w:color w:val="000000"/>
          <w:shd w:val="clear" w:color="auto" w:fill="FFFFFF"/>
        </w:rPr>
        <w:t xml:space="preserve"> </w:t>
      </w:r>
      <w:r w:rsidR="00374FA5" w:rsidRPr="001E5CEB">
        <w:rPr>
          <w:rFonts w:ascii="Calibri" w:hAnsi="Calibri" w:cs="Calibri"/>
          <w:i/>
          <w:iCs/>
          <w:color w:val="000000"/>
          <w:shd w:val="clear" w:color="auto" w:fill="FFFFFF"/>
        </w:rPr>
        <w:t xml:space="preserve">to </w:t>
      </w:r>
      <w:r w:rsidR="00DF625E" w:rsidRPr="001E5CEB">
        <w:rPr>
          <w:rFonts w:ascii="Calibri" w:hAnsi="Calibri" w:cs="Calibri"/>
          <w:i/>
          <w:iCs/>
          <w:color w:val="000000"/>
          <w:shd w:val="clear" w:color="auto" w:fill="FFFFFF"/>
        </w:rPr>
        <w:t xml:space="preserve">actively manage its contracted revenue mix by </w:t>
      </w:r>
      <w:r w:rsidR="00374FA5" w:rsidRPr="001E5CEB">
        <w:rPr>
          <w:rFonts w:ascii="Calibri" w:hAnsi="Calibri" w:cs="Calibri"/>
          <w:i/>
          <w:iCs/>
          <w:color w:val="000000"/>
          <w:shd w:val="clear" w:color="auto" w:fill="FFFFFF"/>
        </w:rPr>
        <w:t>re</w:t>
      </w:r>
      <w:r w:rsidR="004432CE" w:rsidRPr="001E5CEB">
        <w:rPr>
          <w:rFonts w:ascii="Calibri" w:hAnsi="Calibri" w:cs="Calibri"/>
          <w:i/>
          <w:iCs/>
          <w:color w:val="000000"/>
          <w:shd w:val="clear" w:color="auto" w:fill="FFFFFF"/>
        </w:rPr>
        <w:t>-</w:t>
      </w:r>
      <w:r w:rsidR="00374FA5" w:rsidRPr="001E5CEB">
        <w:rPr>
          <w:rFonts w:ascii="Calibri" w:hAnsi="Calibri" w:cs="Calibri"/>
          <w:i/>
          <w:iCs/>
          <w:color w:val="000000"/>
          <w:shd w:val="clear" w:color="auto" w:fill="FFFFFF"/>
        </w:rPr>
        <w:t>contrac</w:t>
      </w:r>
      <w:r w:rsidR="00DF625E" w:rsidRPr="001E5CEB">
        <w:rPr>
          <w:rFonts w:ascii="Calibri" w:hAnsi="Calibri" w:cs="Calibri"/>
          <w:i/>
          <w:iCs/>
          <w:color w:val="000000"/>
          <w:shd w:val="clear" w:color="auto" w:fill="FFFFFF"/>
        </w:rPr>
        <w:t>ting</w:t>
      </w:r>
      <w:r w:rsidR="00374FA5" w:rsidRPr="001E5CEB">
        <w:rPr>
          <w:rFonts w:ascii="Calibri" w:hAnsi="Calibri" w:cs="Calibri"/>
          <w:i/>
          <w:iCs/>
          <w:color w:val="000000"/>
          <w:shd w:val="clear" w:color="auto" w:fill="FFFFFF"/>
        </w:rPr>
        <w:t xml:space="preserve"> assets</w:t>
      </w:r>
      <w:r w:rsidR="004432CE" w:rsidRPr="001E5CEB">
        <w:rPr>
          <w:rFonts w:ascii="Calibri" w:hAnsi="Calibri" w:cs="Calibri"/>
          <w:i/>
          <w:iCs/>
          <w:color w:val="000000"/>
          <w:shd w:val="clear" w:color="auto" w:fill="FFFFFF"/>
        </w:rPr>
        <w:t xml:space="preserve"> and</w:t>
      </w:r>
      <w:r w:rsidR="00DF625E" w:rsidRPr="001E5CEB">
        <w:rPr>
          <w:rFonts w:ascii="Calibri" w:hAnsi="Calibri" w:cs="Calibri"/>
          <w:i/>
          <w:iCs/>
          <w:color w:val="000000"/>
          <w:shd w:val="clear" w:color="auto" w:fill="FFFFFF"/>
        </w:rPr>
        <w:t xml:space="preserve"> capitalising on </w:t>
      </w:r>
      <w:r w:rsidR="00374FA5" w:rsidRPr="001E5CEB">
        <w:rPr>
          <w:rFonts w:ascii="Calibri" w:hAnsi="Calibri" w:cs="Calibri"/>
          <w:i/>
          <w:iCs/>
          <w:color w:val="000000"/>
          <w:shd w:val="clear" w:color="auto" w:fill="FFFFFF"/>
        </w:rPr>
        <w:t xml:space="preserve">the increasing demand for </w:t>
      </w:r>
      <w:r w:rsidR="002D1329" w:rsidRPr="001E5CEB">
        <w:rPr>
          <w:rFonts w:ascii="Calibri" w:hAnsi="Calibri" w:cs="Calibri"/>
          <w:i/>
          <w:iCs/>
          <w:color w:val="000000"/>
          <w:shd w:val="clear" w:color="auto" w:fill="FFFFFF"/>
        </w:rPr>
        <w:t>renewable energy PPAs</w:t>
      </w:r>
      <w:r w:rsidR="00995AD3" w:rsidRPr="001E5CEB">
        <w:rPr>
          <w:rFonts w:ascii="Calibri" w:hAnsi="Calibri" w:cs="Calibri"/>
          <w:i/>
          <w:iCs/>
          <w:color w:val="000000"/>
          <w:shd w:val="clear" w:color="auto" w:fill="FFFFFF"/>
        </w:rPr>
        <w:t xml:space="preserve"> from</w:t>
      </w:r>
      <w:r w:rsidR="000B15A4" w:rsidRPr="001E5CEB">
        <w:rPr>
          <w:rFonts w:ascii="Calibri" w:hAnsi="Calibri" w:cs="Calibri"/>
          <w:i/>
          <w:iCs/>
          <w:color w:val="000000"/>
          <w:shd w:val="clear" w:color="auto" w:fill="FFFFFF"/>
        </w:rPr>
        <w:t xml:space="preserve"> </w:t>
      </w:r>
      <w:r w:rsidR="001E68FD" w:rsidRPr="001E5CEB">
        <w:rPr>
          <w:rFonts w:ascii="Calibri" w:hAnsi="Calibri" w:cs="Calibri"/>
          <w:i/>
          <w:iCs/>
          <w:color w:val="000000"/>
          <w:shd w:val="clear" w:color="auto" w:fill="FFFFFF"/>
        </w:rPr>
        <w:t>multinational organisations</w:t>
      </w:r>
      <w:r w:rsidR="00594B48" w:rsidRPr="001E5CEB">
        <w:rPr>
          <w:rFonts w:ascii="Calibri" w:hAnsi="Calibri" w:cs="Calibri"/>
          <w:color w:val="000000"/>
          <w:shd w:val="clear" w:color="auto" w:fill="FFFFFF"/>
        </w:rPr>
        <w:t>.</w:t>
      </w:r>
      <w:r w:rsidR="005340EA" w:rsidRPr="001E5CEB">
        <w:rPr>
          <w:rFonts w:ascii="Calibri" w:hAnsi="Calibri" w:cs="Calibri"/>
          <w:color w:val="000000"/>
          <w:shd w:val="clear" w:color="auto" w:fill="FFFFFF"/>
        </w:rPr>
        <w:t>”</w:t>
      </w:r>
      <w:r w:rsidR="00594B48" w:rsidRPr="001E5CEB">
        <w:rPr>
          <w:rFonts w:ascii="Calibri" w:hAnsi="Calibri" w:cs="Calibri"/>
          <w:color w:val="000000"/>
          <w:shd w:val="clear" w:color="auto" w:fill="FFFFFF"/>
        </w:rPr>
        <w:t xml:space="preserve"> </w:t>
      </w:r>
      <w:r w:rsidR="00171059" w:rsidRPr="001E5CEB">
        <w:rPr>
          <w:rFonts w:ascii="Calibri" w:hAnsi="Calibri" w:cs="Calibri"/>
          <w:color w:val="000000"/>
          <w:shd w:val="clear" w:color="auto" w:fill="FFFFFF"/>
        </w:rPr>
        <w:t xml:space="preserve"> </w:t>
      </w:r>
    </w:p>
    <w:p w14:paraId="27922FEF" w14:textId="77777777" w:rsidR="00BC70B1" w:rsidRDefault="00BC70B1" w:rsidP="00BC70B1">
      <w:pPr>
        <w:jc w:val="both"/>
        <w:rPr>
          <w:i/>
          <w:iCs/>
        </w:rPr>
      </w:pPr>
    </w:p>
    <w:p w14:paraId="2E459D4C" w14:textId="77777777" w:rsidR="00BC70B1" w:rsidRDefault="00BC70B1" w:rsidP="00BC70B1">
      <w:pPr>
        <w:jc w:val="both"/>
      </w:pPr>
    </w:p>
    <w:p w14:paraId="3FB02C4C" w14:textId="77777777" w:rsidR="00BC70B1" w:rsidRDefault="00BC70B1" w:rsidP="00BC70B1">
      <w:pPr>
        <w:jc w:val="center"/>
        <w:rPr>
          <w:b/>
        </w:rPr>
      </w:pPr>
      <w:r>
        <w:rPr>
          <w:b/>
        </w:rPr>
        <w:t>--- ENDS ---</w:t>
      </w:r>
    </w:p>
    <w:p w14:paraId="64A04895" w14:textId="77777777" w:rsidR="00BC70B1" w:rsidRDefault="00BC70B1" w:rsidP="00BC70B1">
      <w:pPr>
        <w:jc w:val="center"/>
        <w:rPr>
          <w:b/>
        </w:rPr>
      </w:pPr>
    </w:p>
    <w:p w14:paraId="740D6853" w14:textId="77777777" w:rsidR="00BC70B1" w:rsidRDefault="00BC70B1" w:rsidP="00BC70B1">
      <w:pPr>
        <w:jc w:val="both"/>
      </w:pPr>
    </w:p>
    <w:p w14:paraId="41681D15" w14:textId="77777777" w:rsidR="00BC70B1" w:rsidRDefault="00BC70B1" w:rsidP="00BC70B1">
      <w:pPr>
        <w:rPr>
          <w:b/>
          <w:bCs/>
        </w:rPr>
      </w:pPr>
      <w:r>
        <w:rPr>
          <w:b/>
          <w:bCs/>
        </w:rPr>
        <w:br w:type="page"/>
      </w:r>
    </w:p>
    <w:p w14:paraId="52307BE1" w14:textId="77777777" w:rsidR="00BC70B1" w:rsidRDefault="00BC70B1" w:rsidP="00BC70B1">
      <w:pPr>
        <w:jc w:val="both"/>
      </w:pPr>
      <w:r>
        <w:rPr>
          <w:b/>
          <w:bCs/>
        </w:rPr>
        <w:lastRenderedPageBreak/>
        <w:t>For further details contact:</w:t>
      </w:r>
    </w:p>
    <w:tbl>
      <w:tblPr>
        <w:tblW w:w="0" w:type="auto"/>
        <w:tblCellSpacing w:w="0" w:type="dxa"/>
        <w:shd w:val="clear" w:color="auto" w:fill="FFFFFF"/>
        <w:tblLook w:val="04A0" w:firstRow="1" w:lastRow="0" w:firstColumn="1" w:lastColumn="0" w:noHBand="0" w:noVBand="1"/>
      </w:tblPr>
      <w:tblGrid>
        <w:gridCol w:w="5333"/>
        <w:gridCol w:w="85"/>
        <w:gridCol w:w="85"/>
        <w:gridCol w:w="85"/>
        <w:gridCol w:w="85"/>
        <w:gridCol w:w="2908"/>
      </w:tblGrid>
      <w:tr w:rsidR="00BC70B1" w14:paraId="43C4ABE9" w14:textId="77777777" w:rsidTr="00BC70B1">
        <w:trPr>
          <w:tblCellSpacing w:w="0" w:type="dxa"/>
        </w:trPr>
        <w:tc>
          <w:tcPr>
            <w:tcW w:w="0" w:type="auto"/>
            <w:shd w:val="clear" w:color="auto" w:fill="FFFFFF"/>
            <w:noWrap/>
            <w:tcMar>
              <w:top w:w="15" w:type="dxa"/>
              <w:left w:w="0" w:type="dxa"/>
              <w:bottom w:w="15" w:type="dxa"/>
              <w:right w:w="0" w:type="dxa"/>
            </w:tcMar>
            <w:vAlign w:val="bottom"/>
            <w:hideMark/>
          </w:tcPr>
          <w:p w14:paraId="290D4AFE" w14:textId="77777777" w:rsidR="00BC70B1" w:rsidRDefault="00BC70B1">
            <w:pPr>
              <w:jc w:val="both"/>
            </w:pPr>
            <w:r>
              <w:rPr>
                <w:b/>
                <w:bCs/>
              </w:rPr>
              <w:t>Schroders Greencoat LLP (Investment</w:t>
            </w:r>
            <w:r>
              <w:t xml:space="preserve"> </w:t>
            </w:r>
            <w:r>
              <w:rPr>
                <w:b/>
                <w:bCs/>
              </w:rPr>
              <w:t>Manager)</w:t>
            </w:r>
          </w:p>
        </w:tc>
        <w:tc>
          <w:tcPr>
            <w:tcW w:w="0" w:type="auto"/>
            <w:shd w:val="clear" w:color="auto" w:fill="FFFFFF"/>
            <w:tcMar>
              <w:top w:w="15" w:type="dxa"/>
              <w:left w:w="15" w:type="dxa"/>
              <w:bottom w:w="15" w:type="dxa"/>
              <w:right w:w="15" w:type="dxa"/>
            </w:tcMar>
            <w:vAlign w:val="center"/>
            <w:hideMark/>
          </w:tcPr>
          <w:p w14:paraId="7E02CD75" w14:textId="77777777" w:rsidR="00BC70B1" w:rsidRDefault="00BC70B1">
            <w:pPr>
              <w:jc w:val="both"/>
            </w:pPr>
            <w:r>
              <w:t> </w:t>
            </w:r>
          </w:p>
        </w:tc>
        <w:tc>
          <w:tcPr>
            <w:tcW w:w="0" w:type="auto"/>
            <w:shd w:val="clear" w:color="auto" w:fill="FFFFFF"/>
            <w:tcMar>
              <w:top w:w="15" w:type="dxa"/>
              <w:left w:w="15" w:type="dxa"/>
              <w:bottom w:w="15" w:type="dxa"/>
              <w:right w:w="15" w:type="dxa"/>
            </w:tcMar>
            <w:vAlign w:val="center"/>
            <w:hideMark/>
          </w:tcPr>
          <w:p w14:paraId="4C9103E1" w14:textId="77777777" w:rsidR="00BC70B1" w:rsidRDefault="00BC70B1">
            <w:pPr>
              <w:jc w:val="both"/>
            </w:pPr>
            <w:r>
              <w:t> </w:t>
            </w:r>
          </w:p>
        </w:tc>
        <w:tc>
          <w:tcPr>
            <w:tcW w:w="0" w:type="auto"/>
            <w:shd w:val="clear" w:color="auto" w:fill="FFFFFF"/>
            <w:tcMar>
              <w:top w:w="15" w:type="dxa"/>
              <w:left w:w="15" w:type="dxa"/>
              <w:bottom w:w="15" w:type="dxa"/>
              <w:right w:w="15" w:type="dxa"/>
            </w:tcMar>
            <w:vAlign w:val="center"/>
            <w:hideMark/>
          </w:tcPr>
          <w:p w14:paraId="724EAAAC" w14:textId="77777777" w:rsidR="00BC70B1" w:rsidRDefault="00BC70B1">
            <w:pPr>
              <w:jc w:val="both"/>
            </w:pPr>
            <w:r>
              <w:t> </w:t>
            </w:r>
          </w:p>
        </w:tc>
        <w:tc>
          <w:tcPr>
            <w:tcW w:w="0" w:type="auto"/>
            <w:shd w:val="clear" w:color="auto" w:fill="FFFFFF"/>
            <w:tcMar>
              <w:top w:w="15" w:type="dxa"/>
              <w:left w:w="15" w:type="dxa"/>
              <w:bottom w:w="15" w:type="dxa"/>
              <w:right w:w="15" w:type="dxa"/>
            </w:tcMar>
            <w:vAlign w:val="center"/>
            <w:hideMark/>
          </w:tcPr>
          <w:p w14:paraId="4EF683D1" w14:textId="77777777" w:rsidR="00BC70B1" w:rsidRDefault="00BC70B1">
            <w:pPr>
              <w:jc w:val="both"/>
            </w:pPr>
            <w:r>
              <w:t> </w:t>
            </w:r>
          </w:p>
        </w:tc>
        <w:tc>
          <w:tcPr>
            <w:tcW w:w="0" w:type="auto"/>
            <w:shd w:val="clear" w:color="auto" w:fill="FFFFFF"/>
            <w:tcMar>
              <w:top w:w="15" w:type="dxa"/>
              <w:left w:w="15" w:type="dxa"/>
              <w:bottom w:w="15" w:type="dxa"/>
              <w:right w:w="15" w:type="dxa"/>
            </w:tcMar>
            <w:vAlign w:val="center"/>
            <w:hideMark/>
          </w:tcPr>
          <w:p w14:paraId="622BC22A" w14:textId="77777777" w:rsidR="00BC70B1" w:rsidRDefault="00BC70B1"/>
        </w:tc>
      </w:tr>
      <w:tr w:rsidR="00BC70B1" w14:paraId="5071BB24" w14:textId="77777777" w:rsidTr="00BC70B1">
        <w:trPr>
          <w:tblCellSpacing w:w="0" w:type="dxa"/>
        </w:trPr>
        <w:tc>
          <w:tcPr>
            <w:tcW w:w="0" w:type="auto"/>
            <w:shd w:val="clear" w:color="auto" w:fill="FFFFFF"/>
            <w:tcMar>
              <w:top w:w="15" w:type="dxa"/>
              <w:left w:w="0" w:type="dxa"/>
              <w:bottom w:w="15" w:type="dxa"/>
              <w:right w:w="15" w:type="dxa"/>
            </w:tcMar>
            <w:vAlign w:val="bottom"/>
            <w:hideMark/>
          </w:tcPr>
          <w:p w14:paraId="6B03DDA3" w14:textId="77777777" w:rsidR="00BC70B1" w:rsidRDefault="00BC70B1">
            <w:pPr>
              <w:jc w:val="both"/>
              <w:rPr>
                <w:lang w:val="fr-FR"/>
              </w:rPr>
            </w:pPr>
            <w:r>
              <w:rPr>
                <w:lang w:val="fr-FR"/>
              </w:rPr>
              <w:t>Bertrand Gautier</w:t>
            </w:r>
          </w:p>
          <w:p w14:paraId="0E5AA7CF" w14:textId="77777777" w:rsidR="00BC70B1" w:rsidRDefault="00BC70B1">
            <w:pPr>
              <w:jc w:val="both"/>
              <w:rPr>
                <w:lang w:val="fr-FR"/>
              </w:rPr>
            </w:pPr>
            <w:r>
              <w:rPr>
                <w:lang w:val="fr-FR"/>
              </w:rPr>
              <w:t>Paul O’Donnell</w:t>
            </w:r>
          </w:p>
          <w:p w14:paraId="46E471C3" w14:textId="77777777" w:rsidR="00BC70B1" w:rsidRDefault="00BC70B1">
            <w:pPr>
              <w:jc w:val="both"/>
              <w:rPr>
                <w:lang w:val="fr-FR"/>
              </w:rPr>
            </w:pPr>
            <w:r>
              <w:rPr>
                <w:lang w:val="fr-FR"/>
              </w:rPr>
              <w:t>Tom Rayner</w:t>
            </w:r>
          </w:p>
        </w:tc>
        <w:tc>
          <w:tcPr>
            <w:tcW w:w="0" w:type="auto"/>
            <w:shd w:val="clear" w:color="auto" w:fill="FFFFFF"/>
            <w:tcMar>
              <w:top w:w="15" w:type="dxa"/>
              <w:left w:w="15" w:type="dxa"/>
              <w:bottom w:w="15" w:type="dxa"/>
              <w:right w:w="15" w:type="dxa"/>
            </w:tcMar>
            <w:vAlign w:val="center"/>
            <w:hideMark/>
          </w:tcPr>
          <w:p w14:paraId="44ED1D35" w14:textId="77777777" w:rsidR="00BC70B1" w:rsidRDefault="00BC70B1">
            <w:pPr>
              <w:rPr>
                <w:lang w:val="fr-FR"/>
              </w:rPr>
            </w:pPr>
          </w:p>
        </w:tc>
        <w:tc>
          <w:tcPr>
            <w:tcW w:w="0" w:type="auto"/>
            <w:shd w:val="clear" w:color="auto" w:fill="FFFFFF"/>
            <w:tcMar>
              <w:top w:w="15" w:type="dxa"/>
              <w:left w:w="15" w:type="dxa"/>
              <w:bottom w:w="15" w:type="dxa"/>
              <w:right w:w="15" w:type="dxa"/>
            </w:tcMar>
            <w:vAlign w:val="center"/>
            <w:hideMark/>
          </w:tcPr>
          <w:p w14:paraId="57864C26" w14:textId="77777777" w:rsidR="00BC70B1" w:rsidRPr="0086084F" w:rsidRDefault="00BC70B1">
            <w:pPr>
              <w:rPr>
                <w:sz w:val="20"/>
                <w:szCs w:val="20"/>
                <w:lang w:val="de-DE" w:eastAsia="en-GB"/>
              </w:rPr>
            </w:pPr>
          </w:p>
        </w:tc>
        <w:tc>
          <w:tcPr>
            <w:tcW w:w="0" w:type="auto"/>
            <w:shd w:val="clear" w:color="auto" w:fill="FFFFFF"/>
            <w:tcMar>
              <w:top w:w="15" w:type="dxa"/>
              <w:left w:w="15" w:type="dxa"/>
              <w:bottom w:w="15" w:type="dxa"/>
              <w:right w:w="15" w:type="dxa"/>
            </w:tcMar>
            <w:vAlign w:val="center"/>
            <w:hideMark/>
          </w:tcPr>
          <w:p w14:paraId="56243C19" w14:textId="77777777" w:rsidR="00BC70B1" w:rsidRPr="0086084F" w:rsidRDefault="00BC70B1">
            <w:pPr>
              <w:rPr>
                <w:sz w:val="20"/>
                <w:szCs w:val="20"/>
                <w:lang w:val="de-DE" w:eastAsia="en-GB"/>
              </w:rPr>
            </w:pPr>
          </w:p>
        </w:tc>
        <w:tc>
          <w:tcPr>
            <w:tcW w:w="0" w:type="auto"/>
            <w:shd w:val="clear" w:color="auto" w:fill="FFFFFF"/>
            <w:tcMar>
              <w:top w:w="15" w:type="dxa"/>
              <w:left w:w="15" w:type="dxa"/>
              <w:bottom w:w="15" w:type="dxa"/>
              <w:right w:w="15" w:type="dxa"/>
            </w:tcMar>
            <w:vAlign w:val="center"/>
            <w:hideMark/>
          </w:tcPr>
          <w:p w14:paraId="4722734F" w14:textId="77777777" w:rsidR="00BC70B1" w:rsidRPr="0086084F" w:rsidRDefault="00BC70B1">
            <w:pPr>
              <w:rPr>
                <w:sz w:val="20"/>
                <w:szCs w:val="20"/>
                <w:lang w:val="de-DE" w:eastAsia="en-GB"/>
              </w:rPr>
            </w:pPr>
          </w:p>
        </w:tc>
        <w:tc>
          <w:tcPr>
            <w:tcW w:w="0" w:type="auto"/>
            <w:shd w:val="clear" w:color="auto" w:fill="FFFFFF"/>
            <w:noWrap/>
            <w:tcMar>
              <w:top w:w="15" w:type="dxa"/>
              <w:left w:w="0" w:type="dxa"/>
              <w:bottom w:w="15" w:type="dxa"/>
              <w:right w:w="0" w:type="dxa"/>
            </w:tcMar>
            <w:vAlign w:val="bottom"/>
          </w:tcPr>
          <w:p w14:paraId="0FAE6A94" w14:textId="77777777" w:rsidR="00BC70B1" w:rsidRDefault="00BC70B1">
            <w:pPr>
              <w:jc w:val="both"/>
            </w:pPr>
            <w:r>
              <w:t>+44 20 7832 9400</w:t>
            </w:r>
          </w:p>
          <w:p w14:paraId="313B712E" w14:textId="77777777" w:rsidR="00BC70B1" w:rsidRDefault="00BC70B1">
            <w:pPr>
              <w:jc w:val="both"/>
            </w:pPr>
          </w:p>
        </w:tc>
      </w:tr>
      <w:tr w:rsidR="00BC70B1" w14:paraId="362D74D0" w14:textId="77777777" w:rsidTr="00BC70B1">
        <w:trPr>
          <w:tblCellSpacing w:w="0" w:type="dxa"/>
        </w:trPr>
        <w:tc>
          <w:tcPr>
            <w:tcW w:w="0" w:type="auto"/>
            <w:shd w:val="clear" w:color="auto" w:fill="FFFFFF"/>
            <w:tcMar>
              <w:top w:w="15" w:type="dxa"/>
              <w:left w:w="0" w:type="dxa"/>
              <w:bottom w:w="15" w:type="dxa"/>
              <w:right w:w="15" w:type="dxa"/>
            </w:tcMar>
            <w:vAlign w:val="bottom"/>
            <w:hideMark/>
          </w:tcPr>
          <w:p w14:paraId="36252E38" w14:textId="77777777" w:rsidR="00BC70B1" w:rsidRDefault="00BC70B1"/>
        </w:tc>
        <w:tc>
          <w:tcPr>
            <w:tcW w:w="0" w:type="auto"/>
            <w:shd w:val="clear" w:color="auto" w:fill="FFFFFF"/>
            <w:tcMar>
              <w:top w:w="15" w:type="dxa"/>
              <w:left w:w="15" w:type="dxa"/>
              <w:bottom w:w="15" w:type="dxa"/>
              <w:right w:w="15" w:type="dxa"/>
            </w:tcMar>
            <w:vAlign w:val="center"/>
            <w:hideMark/>
          </w:tcPr>
          <w:p w14:paraId="4B6AE186"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E5AC0F2"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AA8FA00"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1F8BB608"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DD31730" w14:textId="77777777" w:rsidR="00BC70B1" w:rsidRDefault="00BC70B1">
            <w:pPr>
              <w:rPr>
                <w:sz w:val="20"/>
                <w:szCs w:val="20"/>
                <w:lang w:eastAsia="en-GB"/>
              </w:rPr>
            </w:pPr>
          </w:p>
        </w:tc>
      </w:tr>
      <w:tr w:rsidR="00BC70B1" w14:paraId="20E0EF34" w14:textId="77777777" w:rsidTr="00BC70B1">
        <w:trPr>
          <w:tblCellSpacing w:w="0" w:type="dxa"/>
        </w:trPr>
        <w:tc>
          <w:tcPr>
            <w:tcW w:w="0" w:type="auto"/>
            <w:shd w:val="clear" w:color="auto" w:fill="FFFFFF"/>
            <w:tcMar>
              <w:top w:w="15" w:type="dxa"/>
              <w:left w:w="0" w:type="dxa"/>
              <w:bottom w:w="15" w:type="dxa"/>
              <w:right w:w="15" w:type="dxa"/>
            </w:tcMar>
            <w:vAlign w:val="center"/>
            <w:hideMark/>
          </w:tcPr>
          <w:p w14:paraId="08E72A61"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2751846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7D517A52"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39CE9540"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5407CA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5FB3303" w14:textId="77777777" w:rsidR="00BC70B1" w:rsidRDefault="00BC70B1">
            <w:pPr>
              <w:rPr>
                <w:sz w:val="20"/>
                <w:szCs w:val="20"/>
                <w:lang w:eastAsia="en-GB"/>
              </w:rPr>
            </w:pPr>
          </w:p>
        </w:tc>
      </w:tr>
      <w:tr w:rsidR="00BC70B1" w14:paraId="3D109D17" w14:textId="77777777" w:rsidTr="00BC70B1">
        <w:trPr>
          <w:tblCellSpacing w:w="0" w:type="dxa"/>
        </w:trPr>
        <w:tc>
          <w:tcPr>
            <w:tcW w:w="0" w:type="auto"/>
            <w:shd w:val="clear" w:color="auto" w:fill="FFFFFF"/>
            <w:tcMar>
              <w:top w:w="15" w:type="dxa"/>
              <w:left w:w="15" w:type="dxa"/>
              <w:bottom w:w="15" w:type="dxa"/>
              <w:right w:w="15" w:type="dxa"/>
            </w:tcMar>
            <w:vAlign w:val="bottom"/>
          </w:tcPr>
          <w:p w14:paraId="338238F2" w14:textId="77777777" w:rsidR="00BC70B1" w:rsidRDefault="00BC70B1">
            <w:pPr>
              <w:jc w:val="both"/>
              <w:rPr>
                <w:b/>
                <w:bCs/>
              </w:rPr>
            </w:pPr>
          </w:p>
          <w:p w14:paraId="25CF5922" w14:textId="77777777" w:rsidR="00BC70B1" w:rsidRDefault="00BC70B1">
            <w:pPr>
              <w:jc w:val="both"/>
            </w:pPr>
            <w:r>
              <w:rPr>
                <w:b/>
                <w:bCs/>
              </w:rPr>
              <w:t>FTI Consulting (Investor Relations &amp; Media)</w:t>
            </w:r>
          </w:p>
        </w:tc>
        <w:tc>
          <w:tcPr>
            <w:tcW w:w="0" w:type="auto"/>
            <w:shd w:val="clear" w:color="auto" w:fill="FFFFFF"/>
            <w:tcMar>
              <w:top w:w="15" w:type="dxa"/>
              <w:left w:w="15" w:type="dxa"/>
              <w:bottom w:w="15" w:type="dxa"/>
              <w:right w:w="15" w:type="dxa"/>
            </w:tcMar>
            <w:vAlign w:val="center"/>
            <w:hideMark/>
          </w:tcPr>
          <w:p w14:paraId="1E9B3031" w14:textId="77777777" w:rsidR="00BC70B1" w:rsidRDefault="00BC70B1"/>
        </w:tc>
        <w:tc>
          <w:tcPr>
            <w:tcW w:w="0" w:type="auto"/>
            <w:shd w:val="clear" w:color="auto" w:fill="FFFFFF"/>
            <w:tcMar>
              <w:top w:w="15" w:type="dxa"/>
              <w:left w:w="15" w:type="dxa"/>
              <w:bottom w:w="15" w:type="dxa"/>
              <w:right w:w="15" w:type="dxa"/>
            </w:tcMar>
            <w:vAlign w:val="center"/>
            <w:hideMark/>
          </w:tcPr>
          <w:p w14:paraId="42947C2D"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56CA2E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3B2B94F"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3A7BDE6C" w14:textId="77777777" w:rsidR="00BC70B1" w:rsidRDefault="00BC70B1">
            <w:pPr>
              <w:jc w:val="both"/>
            </w:pPr>
            <w:r>
              <w:t> </w:t>
            </w:r>
          </w:p>
        </w:tc>
      </w:tr>
      <w:tr w:rsidR="00BC70B1" w14:paraId="3823496C" w14:textId="77777777" w:rsidTr="00BC70B1">
        <w:trPr>
          <w:tblCellSpacing w:w="0" w:type="dxa"/>
        </w:trPr>
        <w:tc>
          <w:tcPr>
            <w:tcW w:w="0" w:type="auto"/>
            <w:shd w:val="clear" w:color="auto" w:fill="FFFFFF"/>
            <w:noWrap/>
            <w:tcMar>
              <w:top w:w="15" w:type="dxa"/>
              <w:left w:w="0" w:type="dxa"/>
              <w:bottom w:w="15" w:type="dxa"/>
              <w:right w:w="0" w:type="dxa"/>
            </w:tcMar>
            <w:vAlign w:val="bottom"/>
            <w:hideMark/>
          </w:tcPr>
          <w:p w14:paraId="41675C9D" w14:textId="235FD859" w:rsidR="00BC70B1" w:rsidRDefault="00BC70B1">
            <w:pPr>
              <w:jc w:val="both"/>
            </w:pPr>
            <w:r>
              <w:t>Melanie Farrell</w:t>
            </w:r>
          </w:p>
        </w:tc>
        <w:tc>
          <w:tcPr>
            <w:tcW w:w="0" w:type="auto"/>
            <w:shd w:val="clear" w:color="auto" w:fill="FFFFFF"/>
            <w:tcMar>
              <w:top w:w="15" w:type="dxa"/>
              <w:left w:w="15" w:type="dxa"/>
              <w:bottom w:w="15" w:type="dxa"/>
              <w:right w:w="15" w:type="dxa"/>
            </w:tcMar>
            <w:vAlign w:val="center"/>
            <w:hideMark/>
          </w:tcPr>
          <w:p w14:paraId="3558C409" w14:textId="77777777" w:rsidR="00BC70B1" w:rsidRDefault="00BC70B1"/>
        </w:tc>
        <w:tc>
          <w:tcPr>
            <w:tcW w:w="0" w:type="auto"/>
            <w:shd w:val="clear" w:color="auto" w:fill="FFFFFF"/>
            <w:tcMar>
              <w:top w:w="15" w:type="dxa"/>
              <w:left w:w="15" w:type="dxa"/>
              <w:bottom w:w="15" w:type="dxa"/>
              <w:right w:w="15" w:type="dxa"/>
            </w:tcMar>
            <w:vAlign w:val="center"/>
            <w:hideMark/>
          </w:tcPr>
          <w:p w14:paraId="29654E4F"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2E79F9A7"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186B440D"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661E6C08" w14:textId="77777777" w:rsidR="00BC70B1" w:rsidRDefault="00BC70B1">
            <w:pPr>
              <w:rPr>
                <w:sz w:val="20"/>
                <w:szCs w:val="20"/>
                <w:lang w:eastAsia="en-GB"/>
              </w:rPr>
            </w:pPr>
          </w:p>
        </w:tc>
      </w:tr>
      <w:tr w:rsidR="00BC70B1" w14:paraId="72552A61" w14:textId="77777777" w:rsidTr="00BC70B1">
        <w:trPr>
          <w:tblCellSpacing w:w="0" w:type="dxa"/>
        </w:trPr>
        <w:tc>
          <w:tcPr>
            <w:tcW w:w="0" w:type="auto"/>
            <w:shd w:val="clear" w:color="auto" w:fill="FFFFFF"/>
            <w:tcMar>
              <w:top w:w="15" w:type="dxa"/>
              <w:left w:w="0" w:type="dxa"/>
              <w:bottom w:w="15" w:type="dxa"/>
              <w:right w:w="15" w:type="dxa"/>
            </w:tcMar>
            <w:vAlign w:val="bottom"/>
            <w:hideMark/>
          </w:tcPr>
          <w:p w14:paraId="3CC477E5" w14:textId="77777777" w:rsidR="00BC70B1" w:rsidRDefault="00BC70B1">
            <w:pPr>
              <w:jc w:val="both"/>
            </w:pPr>
            <w:r>
              <w:t xml:space="preserve">Orla Cox </w:t>
            </w:r>
          </w:p>
        </w:tc>
        <w:tc>
          <w:tcPr>
            <w:tcW w:w="0" w:type="auto"/>
            <w:shd w:val="clear" w:color="auto" w:fill="FFFFFF"/>
            <w:tcMar>
              <w:top w:w="15" w:type="dxa"/>
              <w:left w:w="15" w:type="dxa"/>
              <w:bottom w:w="15" w:type="dxa"/>
              <w:right w:w="15" w:type="dxa"/>
            </w:tcMar>
            <w:vAlign w:val="center"/>
            <w:hideMark/>
          </w:tcPr>
          <w:p w14:paraId="583866DA" w14:textId="77777777" w:rsidR="00BC70B1" w:rsidRDefault="00BC70B1"/>
        </w:tc>
        <w:tc>
          <w:tcPr>
            <w:tcW w:w="0" w:type="auto"/>
            <w:shd w:val="clear" w:color="auto" w:fill="FFFFFF"/>
            <w:tcMar>
              <w:top w:w="15" w:type="dxa"/>
              <w:left w:w="15" w:type="dxa"/>
              <w:bottom w:w="15" w:type="dxa"/>
              <w:right w:w="15" w:type="dxa"/>
            </w:tcMar>
            <w:vAlign w:val="center"/>
            <w:hideMark/>
          </w:tcPr>
          <w:p w14:paraId="06CEB12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26F1DF4"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3BDCEBFD" w14:textId="77777777" w:rsidR="00BC70B1" w:rsidRDefault="00BC70B1">
            <w:pPr>
              <w:rPr>
                <w:sz w:val="20"/>
                <w:szCs w:val="20"/>
                <w:lang w:eastAsia="en-GB"/>
              </w:rPr>
            </w:pPr>
          </w:p>
        </w:tc>
        <w:tc>
          <w:tcPr>
            <w:tcW w:w="0" w:type="auto"/>
            <w:shd w:val="clear" w:color="auto" w:fill="FFFFFF"/>
            <w:tcMar>
              <w:top w:w="15" w:type="dxa"/>
              <w:left w:w="0" w:type="dxa"/>
              <w:bottom w:w="15" w:type="dxa"/>
              <w:right w:w="15" w:type="dxa"/>
            </w:tcMar>
            <w:vAlign w:val="bottom"/>
            <w:hideMark/>
          </w:tcPr>
          <w:p w14:paraId="2556144A" w14:textId="77777777" w:rsidR="00BC70B1" w:rsidRDefault="009769D7">
            <w:pPr>
              <w:jc w:val="both"/>
            </w:pPr>
            <w:hyperlink r:id="rId12" w:history="1">
              <w:r w:rsidR="00BC70B1">
                <w:rPr>
                  <w:rStyle w:val="Hyperlink"/>
                </w:rPr>
                <w:t>greencoat@fticonsulting.com</w:t>
              </w:r>
            </w:hyperlink>
          </w:p>
        </w:tc>
      </w:tr>
      <w:tr w:rsidR="00BC70B1" w14:paraId="5CD58503" w14:textId="77777777" w:rsidTr="00BC70B1">
        <w:trPr>
          <w:tblCellSpacing w:w="0" w:type="dxa"/>
        </w:trPr>
        <w:tc>
          <w:tcPr>
            <w:tcW w:w="0" w:type="auto"/>
            <w:shd w:val="clear" w:color="auto" w:fill="FFFFFF"/>
            <w:tcMar>
              <w:top w:w="15" w:type="dxa"/>
              <w:left w:w="0" w:type="dxa"/>
              <w:bottom w:w="15" w:type="dxa"/>
              <w:right w:w="15" w:type="dxa"/>
            </w:tcMar>
            <w:vAlign w:val="bottom"/>
          </w:tcPr>
          <w:p w14:paraId="4847C0BA" w14:textId="77777777" w:rsidR="00BC70B1" w:rsidRDefault="00BC70B1">
            <w:pPr>
              <w:jc w:val="both"/>
              <w:rPr>
                <w:b/>
                <w:bCs/>
              </w:rPr>
            </w:pPr>
          </w:p>
          <w:p w14:paraId="03B97238" w14:textId="77777777" w:rsidR="00BC70B1" w:rsidRDefault="00BC70B1">
            <w:pPr>
              <w:jc w:val="both"/>
            </w:pPr>
            <w:r>
              <w:rPr>
                <w:b/>
                <w:bCs/>
              </w:rPr>
              <w:t>Davy (Broker, NOMAD and Euronext Growth Adviser)</w:t>
            </w:r>
          </w:p>
          <w:p w14:paraId="7C5F8F3A" w14:textId="63C1F76D" w:rsidR="00BC70B1" w:rsidRDefault="00620E41">
            <w:pPr>
              <w:jc w:val="both"/>
            </w:pPr>
            <w:r>
              <w:t xml:space="preserve">Brian Garrahy </w:t>
            </w:r>
          </w:p>
          <w:p w14:paraId="7906AFCF" w14:textId="77777777" w:rsidR="00BC70B1" w:rsidRDefault="00BC70B1">
            <w:pPr>
              <w:jc w:val="both"/>
            </w:pPr>
            <w:r>
              <w:t>Ronan Veale</w:t>
            </w:r>
          </w:p>
        </w:tc>
        <w:tc>
          <w:tcPr>
            <w:tcW w:w="0" w:type="auto"/>
            <w:shd w:val="clear" w:color="auto" w:fill="FFFFFF"/>
            <w:tcMar>
              <w:top w:w="15" w:type="dxa"/>
              <w:left w:w="15" w:type="dxa"/>
              <w:bottom w:w="15" w:type="dxa"/>
              <w:right w:w="15" w:type="dxa"/>
            </w:tcMar>
            <w:vAlign w:val="center"/>
            <w:hideMark/>
          </w:tcPr>
          <w:p w14:paraId="10938F43" w14:textId="77777777" w:rsidR="00BC70B1" w:rsidRDefault="00BC70B1"/>
        </w:tc>
        <w:tc>
          <w:tcPr>
            <w:tcW w:w="0" w:type="auto"/>
            <w:shd w:val="clear" w:color="auto" w:fill="FFFFFF"/>
            <w:tcMar>
              <w:top w:w="15" w:type="dxa"/>
              <w:left w:w="15" w:type="dxa"/>
              <w:bottom w:w="15" w:type="dxa"/>
              <w:right w:w="15" w:type="dxa"/>
            </w:tcMar>
            <w:vAlign w:val="center"/>
            <w:hideMark/>
          </w:tcPr>
          <w:p w14:paraId="07EBC8F2"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7B88A9F4"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44ECDEC4" w14:textId="77777777" w:rsidR="00BC70B1" w:rsidRDefault="00BC70B1">
            <w:pPr>
              <w:rPr>
                <w:sz w:val="20"/>
                <w:szCs w:val="20"/>
                <w:lang w:eastAsia="en-GB"/>
              </w:rPr>
            </w:pPr>
          </w:p>
        </w:tc>
        <w:tc>
          <w:tcPr>
            <w:tcW w:w="0" w:type="auto"/>
            <w:shd w:val="clear" w:color="auto" w:fill="FFFFFF"/>
            <w:noWrap/>
            <w:tcMar>
              <w:top w:w="15" w:type="dxa"/>
              <w:left w:w="0" w:type="dxa"/>
              <w:bottom w:w="15" w:type="dxa"/>
              <w:right w:w="0" w:type="dxa"/>
            </w:tcMar>
            <w:vAlign w:val="bottom"/>
            <w:hideMark/>
          </w:tcPr>
          <w:p w14:paraId="4E2AD90C" w14:textId="77777777" w:rsidR="00BC70B1" w:rsidRDefault="00BC70B1">
            <w:pPr>
              <w:jc w:val="both"/>
            </w:pPr>
            <w:r>
              <w:t>+353 1 679 6363</w:t>
            </w:r>
          </w:p>
        </w:tc>
      </w:tr>
      <w:tr w:rsidR="00BC70B1" w14:paraId="45539EEE" w14:textId="77777777" w:rsidTr="00BC70B1">
        <w:trPr>
          <w:tblCellSpacing w:w="0" w:type="dxa"/>
        </w:trPr>
        <w:tc>
          <w:tcPr>
            <w:tcW w:w="0" w:type="auto"/>
            <w:shd w:val="clear" w:color="auto" w:fill="FFFFFF"/>
            <w:noWrap/>
            <w:tcMar>
              <w:top w:w="15" w:type="dxa"/>
              <w:left w:w="0" w:type="dxa"/>
              <w:bottom w:w="15" w:type="dxa"/>
              <w:right w:w="0" w:type="dxa"/>
            </w:tcMar>
            <w:vAlign w:val="bottom"/>
          </w:tcPr>
          <w:p w14:paraId="065CB443" w14:textId="77777777" w:rsidR="00BC70B1" w:rsidRDefault="00BC70B1">
            <w:pPr>
              <w:jc w:val="both"/>
              <w:rPr>
                <w:b/>
                <w:bCs/>
              </w:rPr>
            </w:pPr>
          </w:p>
          <w:p w14:paraId="2D7C1E98" w14:textId="77777777" w:rsidR="00BC70B1" w:rsidRDefault="00BC70B1">
            <w:pPr>
              <w:jc w:val="both"/>
            </w:pPr>
            <w:r>
              <w:rPr>
                <w:b/>
                <w:bCs/>
              </w:rPr>
              <w:t>RBC Capital Markets (Joint Broker)</w:t>
            </w:r>
          </w:p>
          <w:p w14:paraId="0DAE8629" w14:textId="77777777" w:rsidR="00BC70B1" w:rsidRDefault="00BC70B1">
            <w:pPr>
              <w:jc w:val="both"/>
            </w:pPr>
            <w:r>
              <w:t>Matthew Coakes</w:t>
            </w:r>
          </w:p>
          <w:p w14:paraId="7B5D9DAB" w14:textId="77777777" w:rsidR="00BC70B1" w:rsidRDefault="00BC70B1">
            <w:pPr>
              <w:jc w:val="both"/>
            </w:pPr>
            <w:r>
              <w:t>Elizabeth Evans</w:t>
            </w:r>
          </w:p>
        </w:tc>
        <w:tc>
          <w:tcPr>
            <w:tcW w:w="0" w:type="auto"/>
            <w:shd w:val="clear" w:color="auto" w:fill="FFFFFF"/>
            <w:tcMar>
              <w:top w:w="15" w:type="dxa"/>
              <w:left w:w="15" w:type="dxa"/>
              <w:bottom w:w="15" w:type="dxa"/>
              <w:right w:w="15" w:type="dxa"/>
            </w:tcMar>
            <w:vAlign w:val="center"/>
            <w:hideMark/>
          </w:tcPr>
          <w:p w14:paraId="5176B3F6" w14:textId="77777777" w:rsidR="00BC70B1" w:rsidRDefault="00BC70B1"/>
        </w:tc>
        <w:tc>
          <w:tcPr>
            <w:tcW w:w="0" w:type="auto"/>
            <w:shd w:val="clear" w:color="auto" w:fill="FFFFFF"/>
            <w:tcMar>
              <w:top w:w="15" w:type="dxa"/>
              <w:left w:w="15" w:type="dxa"/>
              <w:bottom w:w="15" w:type="dxa"/>
              <w:right w:w="15" w:type="dxa"/>
            </w:tcMar>
            <w:vAlign w:val="center"/>
            <w:hideMark/>
          </w:tcPr>
          <w:p w14:paraId="51E2D489"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06006264" w14:textId="77777777" w:rsidR="00BC70B1" w:rsidRDefault="00BC70B1">
            <w:pPr>
              <w:rPr>
                <w:sz w:val="20"/>
                <w:szCs w:val="20"/>
                <w:lang w:eastAsia="en-GB"/>
              </w:rPr>
            </w:pPr>
          </w:p>
        </w:tc>
        <w:tc>
          <w:tcPr>
            <w:tcW w:w="0" w:type="auto"/>
            <w:shd w:val="clear" w:color="auto" w:fill="FFFFFF"/>
            <w:tcMar>
              <w:top w:w="15" w:type="dxa"/>
              <w:left w:w="15" w:type="dxa"/>
              <w:bottom w:w="15" w:type="dxa"/>
              <w:right w:w="15" w:type="dxa"/>
            </w:tcMar>
            <w:vAlign w:val="center"/>
            <w:hideMark/>
          </w:tcPr>
          <w:p w14:paraId="57CB48E7" w14:textId="77777777" w:rsidR="00BC70B1" w:rsidRDefault="00BC70B1">
            <w:pPr>
              <w:rPr>
                <w:sz w:val="20"/>
                <w:szCs w:val="20"/>
                <w:lang w:eastAsia="en-GB"/>
              </w:rPr>
            </w:pPr>
          </w:p>
        </w:tc>
        <w:tc>
          <w:tcPr>
            <w:tcW w:w="0" w:type="auto"/>
            <w:shd w:val="clear" w:color="auto" w:fill="FFFFFF"/>
            <w:noWrap/>
            <w:tcMar>
              <w:top w:w="15" w:type="dxa"/>
              <w:left w:w="0" w:type="dxa"/>
              <w:bottom w:w="15" w:type="dxa"/>
              <w:right w:w="0" w:type="dxa"/>
            </w:tcMar>
            <w:vAlign w:val="bottom"/>
            <w:hideMark/>
          </w:tcPr>
          <w:p w14:paraId="2CB8B710" w14:textId="77777777" w:rsidR="00BC70B1" w:rsidRDefault="00BC70B1">
            <w:pPr>
              <w:jc w:val="both"/>
            </w:pPr>
            <w:r>
              <w:t>+44 20 7653 4000</w:t>
            </w:r>
          </w:p>
        </w:tc>
      </w:tr>
    </w:tbl>
    <w:p w14:paraId="3404DA31" w14:textId="77777777" w:rsidR="00BC70B1" w:rsidRDefault="00BC70B1" w:rsidP="00BC70B1">
      <w:pPr>
        <w:rPr>
          <w:b/>
          <w:bCs/>
        </w:rPr>
      </w:pPr>
    </w:p>
    <w:p w14:paraId="39335973" w14:textId="77777777" w:rsidR="00BC70B1" w:rsidRDefault="00BC70B1" w:rsidP="00BC70B1">
      <w:r>
        <w:rPr>
          <w:b/>
          <w:bCs/>
        </w:rPr>
        <w:t>About Greencoat Renewables PLC</w:t>
      </w:r>
    </w:p>
    <w:p w14:paraId="01FB6DD8" w14:textId="77777777" w:rsidR="00BC70B1" w:rsidRDefault="00BC70B1" w:rsidP="00BC70B1">
      <w:pPr>
        <w:jc w:val="both"/>
      </w:pPr>
      <w:r>
        <w:rPr>
          <w:rFonts w:ascii="Calibri" w:hAnsi="Calibri" w:cs="Calibri"/>
          <w:color w:val="000000"/>
          <w:shd w:val="clear" w:color="auto" w:fill="FFFFFF"/>
        </w:rPr>
        <w:t>Greencoat Renewables PLC is an investor in euro-denominated renewable energy infrastructure assets. Initially focused solely on the acquisition and management of operating wind farms in </w:t>
      </w:r>
      <w:r>
        <w:t>Ireland</w:t>
      </w:r>
      <w:r>
        <w:rPr>
          <w:rFonts w:ascii="Calibri" w:hAnsi="Calibri" w:cs="Calibri"/>
          <w:color w:val="000000"/>
          <w:shd w:val="clear" w:color="auto" w:fill="FFFFFF"/>
        </w:rPr>
        <w:t>, the Company is now also investing in wind and solar assets in certain other European countries with stable and robust renewable energy frameworks. It is managed by Schroders Greencoat, an experienced investment manager in the listed renewable energy infrastructure sector.</w:t>
      </w:r>
      <w:r>
        <w:t xml:space="preserve"> </w:t>
      </w:r>
    </w:p>
    <w:p w14:paraId="25B19B83" w14:textId="77777777" w:rsidR="00BC70B1" w:rsidRDefault="00BC70B1" w:rsidP="00BC70B1">
      <w:pPr>
        <w:jc w:val="both"/>
      </w:pPr>
    </w:p>
    <w:p w14:paraId="29A7B23B" w14:textId="77777777" w:rsidR="00BC70B1" w:rsidRDefault="00BC70B1" w:rsidP="00BC70B1"/>
    <w:p w14:paraId="216D5069" w14:textId="77777777" w:rsidR="00BC70B1" w:rsidRDefault="00BC70B1" w:rsidP="00BC70B1">
      <w:pPr>
        <w:pStyle w:val="NormalWeb"/>
        <w:rPr>
          <w:rFonts w:asciiTheme="minorHAnsi" w:eastAsiaTheme="minorHAnsi" w:hAnsiTheme="minorHAnsi" w:cstheme="minorBidi"/>
          <w:lang w:val="en-GB" w:eastAsia="en-US"/>
        </w:rPr>
      </w:pPr>
    </w:p>
    <w:p w14:paraId="151ECAE9" w14:textId="77777777" w:rsidR="00BC70B1" w:rsidRDefault="00BC70B1" w:rsidP="00EA72B0">
      <w:pPr>
        <w:rPr>
          <w:b/>
          <w:bCs/>
          <w:sz w:val="28"/>
        </w:rPr>
      </w:pPr>
    </w:p>
    <w:sectPr w:rsidR="00BC70B1" w:rsidSect="00FF3457">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A7D5" w14:textId="77777777" w:rsidR="00AE2A09" w:rsidRDefault="00AE2A09" w:rsidP="00C02DE9">
      <w:r>
        <w:separator/>
      </w:r>
    </w:p>
  </w:endnote>
  <w:endnote w:type="continuationSeparator" w:id="0">
    <w:p w14:paraId="776C3DF5" w14:textId="77777777" w:rsidR="00AE2A09" w:rsidRDefault="00AE2A09" w:rsidP="00C02DE9">
      <w:r>
        <w:continuationSeparator/>
      </w:r>
    </w:p>
  </w:endnote>
  <w:endnote w:type="continuationNotice" w:id="1">
    <w:p w14:paraId="0B3C7B0F" w14:textId="77777777" w:rsidR="00AE2A09" w:rsidRDefault="00AE2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7E4F" w14:textId="77777777" w:rsidR="00AE2A09" w:rsidRDefault="00AE2A09" w:rsidP="00C02DE9">
      <w:r>
        <w:separator/>
      </w:r>
    </w:p>
  </w:footnote>
  <w:footnote w:type="continuationSeparator" w:id="0">
    <w:p w14:paraId="26561C83" w14:textId="77777777" w:rsidR="00AE2A09" w:rsidRDefault="00AE2A09" w:rsidP="00C02DE9">
      <w:r>
        <w:continuationSeparator/>
      </w:r>
    </w:p>
  </w:footnote>
  <w:footnote w:type="continuationNotice" w:id="1">
    <w:p w14:paraId="57F57E52" w14:textId="77777777" w:rsidR="00AE2A09" w:rsidRDefault="00AE2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111950">
    <w:abstractNumId w:val="0"/>
  </w:num>
  <w:num w:numId="2" w16cid:durableId="326835431">
    <w:abstractNumId w:val="1"/>
  </w:num>
  <w:num w:numId="3" w16cid:durableId="59186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6DFD"/>
    <w:rsid w:val="00007D17"/>
    <w:rsid w:val="00011BE2"/>
    <w:rsid w:val="00020867"/>
    <w:rsid w:val="00022C69"/>
    <w:rsid w:val="00034022"/>
    <w:rsid w:val="00035A3B"/>
    <w:rsid w:val="00050996"/>
    <w:rsid w:val="00074BC6"/>
    <w:rsid w:val="000752FF"/>
    <w:rsid w:val="0008512B"/>
    <w:rsid w:val="000856CC"/>
    <w:rsid w:val="0009013C"/>
    <w:rsid w:val="00092859"/>
    <w:rsid w:val="00097565"/>
    <w:rsid w:val="000A268D"/>
    <w:rsid w:val="000A3607"/>
    <w:rsid w:val="000B15A4"/>
    <w:rsid w:val="000C4B11"/>
    <w:rsid w:val="000D50F8"/>
    <w:rsid w:val="000E2A62"/>
    <w:rsid w:val="000F5BB3"/>
    <w:rsid w:val="00100007"/>
    <w:rsid w:val="0010201D"/>
    <w:rsid w:val="00103ABF"/>
    <w:rsid w:val="00104468"/>
    <w:rsid w:val="001146AB"/>
    <w:rsid w:val="001152FB"/>
    <w:rsid w:val="00120CAA"/>
    <w:rsid w:val="0013182A"/>
    <w:rsid w:val="001377B0"/>
    <w:rsid w:val="00145683"/>
    <w:rsid w:val="00145787"/>
    <w:rsid w:val="00152329"/>
    <w:rsid w:val="0015374D"/>
    <w:rsid w:val="00154A1F"/>
    <w:rsid w:val="00155248"/>
    <w:rsid w:val="00164D32"/>
    <w:rsid w:val="0017092D"/>
    <w:rsid w:val="00171059"/>
    <w:rsid w:val="001722B6"/>
    <w:rsid w:val="00174A1C"/>
    <w:rsid w:val="00186AC7"/>
    <w:rsid w:val="001A1F28"/>
    <w:rsid w:val="001C561E"/>
    <w:rsid w:val="001E11C0"/>
    <w:rsid w:val="001E5CEB"/>
    <w:rsid w:val="001E68FD"/>
    <w:rsid w:val="001E7B2B"/>
    <w:rsid w:val="001F52E5"/>
    <w:rsid w:val="00220FD1"/>
    <w:rsid w:val="002434B7"/>
    <w:rsid w:val="00247DE0"/>
    <w:rsid w:val="00257EE2"/>
    <w:rsid w:val="0026736F"/>
    <w:rsid w:val="00273A0B"/>
    <w:rsid w:val="002765E9"/>
    <w:rsid w:val="00280F0A"/>
    <w:rsid w:val="00285CCA"/>
    <w:rsid w:val="00294DB2"/>
    <w:rsid w:val="002B2AB6"/>
    <w:rsid w:val="002B2E78"/>
    <w:rsid w:val="002D1329"/>
    <w:rsid w:val="003010B8"/>
    <w:rsid w:val="00303A15"/>
    <w:rsid w:val="00325BCC"/>
    <w:rsid w:val="0033366C"/>
    <w:rsid w:val="00334904"/>
    <w:rsid w:val="00334BC2"/>
    <w:rsid w:val="00344F56"/>
    <w:rsid w:val="00345D61"/>
    <w:rsid w:val="00346050"/>
    <w:rsid w:val="0034651D"/>
    <w:rsid w:val="00354AFB"/>
    <w:rsid w:val="00354D83"/>
    <w:rsid w:val="0035711D"/>
    <w:rsid w:val="00357659"/>
    <w:rsid w:val="00364579"/>
    <w:rsid w:val="00374CA1"/>
    <w:rsid w:val="00374FA5"/>
    <w:rsid w:val="00376A67"/>
    <w:rsid w:val="0039571C"/>
    <w:rsid w:val="003A0B89"/>
    <w:rsid w:val="003A1776"/>
    <w:rsid w:val="003A4820"/>
    <w:rsid w:val="003A7703"/>
    <w:rsid w:val="003A7815"/>
    <w:rsid w:val="003A7A98"/>
    <w:rsid w:val="003B3F6C"/>
    <w:rsid w:val="003C70D6"/>
    <w:rsid w:val="003D3CF1"/>
    <w:rsid w:val="003E17A1"/>
    <w:rsid w:val="003E593C"/>
    <w:rsid w:val="003F10ED"/>
    <w:rsid w:val="00412B3B"/>
    <w:rsid w:val="00416E30"/>
    <w:rsid w:val="004209E6"/>
    <w:rsid w:val="004365D7"/>
    <w:rsid w:val="0044187E"/>
    <w:rsid w:val="004432CE"/>
    <w:rsid w:val="004476C3"/>
    <w:rsid w:val="00450321"/>
    <w:rsid w:val="004656CC"/>
    <w:rsid w:val="00472C98"/>
    <w:rsid w:val="0047358C"/>
    <w:rsid w:val="00496A23"/>
    <w:rsid w:val="004C0A7F"/>
    <w:rsid w:val="004D212E"/>
    <w:rsid w:val="004E59DC"/>
    <w:rsid w:val="004E6063"/>
    <w:rsid w:val="004F2ECC"/>
    <w:rsid w:val="00513D30"/>
    <w:rsid w:val="00517AE8"/>
    <w:rsid w:val="00521D7E"/>
    <w:rsid w:val="0052789E"/>
    <w:rsid w:val="00527B4A"/>
    <w:rsid w:val="005340EA"/>
    <w:rsid w:val="00544922"/>
    <w:rsid w:val="005571EF"/>
    <w:rsid w:val="00581E1D"/>
    <w:rsid w:val="0058413D"/>
    <w:rsid w:val="00586FBF"/>
    <w:rsid w:val="00594B48"/>
    <w:rsid w:val="005A52F3"/>
    <w:rsid w:val="005B7EF1"/>
    <w:rsid w:val="005C1681"/>
    <w:rsid w:val="005C46D3"/>
    <w:rsid w:val="005E0CC1"/>
    <w:rsid w:val="005E44E1"/>
    <w:rsid w:val="00614B78"/>
    <w:rsid w:val="00614E78"/>
    <w:rsid w:val="006168D1"/>
    <w:rsid w:val="00620E41"/>
    <w:rsid w:val="00623072"/>
    <w:rsid w:val="00647257"/>
    <w:rsid w:val="00680130"/>
    <w:rsid w:val="006847A5"/>
    <w:rsid w:val="00686B6A"/>
    <w:rsid w:val="006911EF"/>
    <w:rsid w:val="006B1E1C"/>
    <w:rsid w:val="006B2C87"/>
    <w:rsid w:val="006C17FA"/>
    <w:rsid w:val="006C698C"/>
    <w:rsid w:val="006D465F"/>
    <w:rsid w:val="006D5E51"/>
    <w:rsid w:val="006E360E"/>
    <w:rsid w:val="006F0CA6"/>
    <w:rsid w:val="006F1D80"/>
    <w:rsid w:val="006F4CD2"/>
    <w:rsid w:val="006F6549"/>
    <w:rsid w:val="0071666A"/>
    <w:rsid w:val="007177CA"/>
    <w:rsid w:val="0072091E"/>
    <w:rsid w:val="007277DC"/>
    <w:rsid w:val="007411F4"/>
    <w:rsid w:val="007457E0"/>
    <w:rsid w:val="00752CB3"/>
    <w:rsid w:val="0077314C"/>
    <w:rsid w:val="0077314E"/>
    <w:rsid w:val="00775DE5"/>
    <w:rsid w:val="007861A1"/>
    <w:rsid w:val="007870E6"/>
    <w:rsid w:val="007B0C85"/>
    <w:rsid w:val="007C22AB"/>
    <w:rsid w:val="007C5DC0"/>
    <w:rsid w:val="007D1E0A"/>
    <w:rsid w:val="007D502B"/>
    <w:rsid w:val="007E3C50"/>
    <w:rsid w:val="007E5B69"/>
    <w:rsid w:val="007F6B81"/>
    <w:rsid w:val="00806429"/>
    <w:rsid w:val="0081091A"/>
    <w:rsid w:val="008109A8"/>
    <w:rsid w:val="0082160D"/>
    <w:rsid w:val="008300AF"/>
    <w:rsid w:val="008303CB"/>
    <w:rsid w:val="00833C7C"/>
    <w:rsid w:val="0083577D"/>
    <w:rsid w:val="008371AB"/>
    <w:rsid w:val="00846966"/>
    <w:rsid w:val="008504AF"/>
    <w:rsid w:val="008533F5"/>
    <w:rsid w:val="0086084F"/>
    <w:rsid w:val="00862517"/>
    <w:rsid w:val="00874337"/>
    <w:rsid w:val="00882DAA"/>
    <w:rsid w:val="00886B82"/>
    <w:rsid w:val="00892FBE"/>
    <w:rsid w:val="008945FE"/>
    <w:rsid w:val="00897975"/>
    <w:rsid w:val="008A0C2A"/>
    <w:rsid w:val="008A652B"/>
    <w:rsid w:val="008B5C99"/>
    <w:rsid w:val="008C45F2"/>
    <w:rsid w:val="008F2537"/>
    <w:rsid w:val="00902ABD"/>
    <w:rsid w:val="009057FF"/>
    <w:rsid w:val="00911A3B"/>
    <w:rsid w:val="00917F3A"/>
    <w:rsid w:val="00920A4D"/>
    <w:rsid w:val="00927857"/>
    <w:rsid w:val="0094263D"/>
    <w:rsid w:val="009445E0"/>
    <w:rsid w:val="00960F00"/>
    <w:rsid w:val="0097334F"/>
    <w:rsid w:val="009756FF"/>
    <w:rsid w:val="009766A0"/>
    <w:rsid w:val="0097711D"/>
    <w:rsid w:val="00977675"/>
    <w:rsid w:val="00981DAC"/>
    <w:rsid w:val="00993F47"/>
    <w:rsid w:val="009943CE"/>
    <w:rsid w:val="00995AD3"/>
    <w:rsid w:val="009C64CE"/>
    <w:rsid w:val="009E245D"/>
    <w:rsid w:val="009E30B2"/>
    <w:rsid w:val="00A02550"/>
    <w:rsid w:val="00A03956"/>
    <w:rsid w:val="00A041E9"/>
    <w:rsid w:val="00A04BFF"/>
    <w:rsid w:val="00A44C0D"/>
    <w:rsid w:val="00A45DE3"/>
    <w:rsid w:val="00A46C04"/>
    <w:rsid w:val="00A47B61"/>
    <w:rsid w:val="00A50487"/>
    <w:rsid w:val="00A633F7"/>
    <w:rsid w:val="00A64189"/>
    <w:rsid w:val="00A670EA"/>
    <w:rsid w:val="00A7341D"/>
    <w:rsid w:val="00A744CD"/>
    <w:rsid w:val="00A778BB"/>
    <w:rsid w:val="00A80903"/>
    <w:rsid w:val="00A82926"/>
    <w:rsid w:val="00A8657D"/>
    <w:rsid w:val="00A945F2"/>
    <w:rsid w:val="00AA6D17"/>
    <w:rsid w:val="00AB184B"/>
    <w:rsid w:val="00AB30D7"/>
    <w:rsid w:val="00AB7056"/>
    <w:rsid w:val="00AC4E1C"/>
    <w:rsid w:val="00AD0EEA"/>
    <w:rsid w:val="00AD295C"/>
    <w:rsid w:val="00AE2A09"/>
    <w:rsid w:val="00AF269F"/>
    <w:rsid w:val="00AF29EC"/>
    <w:rsid w:val="00B0757D"/>
    <w:rsid w:val="00B16826"/>
    <w:rsid w:val="00B45CE6"/>
    <w:rsid w:val="00B541B5"/>
    <w:rsid w:val="00B606BB"/>
    <w:rsid w:val="00B75278"/>
    <w:rsid w:val="00B934A0"/>
    <w:rsid w:val="00B9776E"/>
    <w:rsid w:val="00BC70B1"/>
    <w:rsid w:val="00BD387E"/>
    <w:rsid w:val="00BE0886"/>
    <w:rsid w:val="00C02DE9"/>
    <w:rsid w:val="00C068A8"/>
    <w:rsid w:val="00C10C4A"/>
    <w:rsid w:val="00C16489"/>
    <w:rsid w:val="00C27F47"/>
    <w:rsid w:val="00C33355"/>
    <w:rsid w:val="00C35D6B"/>
    <w:rsid w:val="00C414DF"/>
    <w:rsid w:val="00C5570B"/>
    <w:rsid w:val="00C57F3D"/>
    <w:rsid w:val="00C82818"/>
    <w:rsid w:val="00C82B36"/>
    <w:rsid w:val="00C833DD"/>
    <w:rsid w:val="00C848F8"/>
    <w:rsid w:val="00C925CF"/>
    <w:rsid w:val="00C93A4B"/>
    <w:rsid w:val="00C94E57"/>
    <w:rsid w:val="00CB74EE"/>
    <w:rsid w:val="00CD49FD"/>
    <w:rsid w:val="00CD523B"/>
    <w:rsid w:val="00CD76F2"/>
    <w:rsid w:val="00CE1FC9"/>
    <w:rsid w:val="00CE32F5"/>
    <w:rsid w:val="00CE795F"/>
    <w:rsid w:val="00CF5052"/>
    <w:rsid w:val="00D027A7"/>
    <w:rsid w:val="00D10568"/>
    <w:rsid w:val="00D16CE9"/>
    <w:rsid w:val="00D16D19"/>
    <w:rsid w:val="00D2418A"/>
    <w:rsid w:val="00D32DAD"/>
    <w:rsid w:val="00D35B06"/>
    <w:rsid w:val="00D36506"/>
    <w:rsid w:val="00D41743"/>
    <w:rsid w:val="00D476C8"/>
    <w:rsid w:val="00D54BB3"/>
    <w:rsid w:val="00D971EF"/>
    <w:rsid w:val="00DA23D1"/>
    <w:rsid w:val="00DB1297"/>
    <w:rsid w:val="00DB150D"/>
    <w:rsid w:val="00DC2BF4"/>
    <w:rsid w:val="00DC7D23"/>
    <w:rsid w:val="00DD5155"/>
    <w:rsid w:val="00DE1928"/>
    <w:rsid w:val="00DE50E3"/>
    <w:rsid w:val="00DF17A1"/>
    <w:rsid w:val="00DF38D7"/>
    <w:rsid w:val="00DF625E"/>
    <w:rsid w:val="00E15CA3"/>
    <w:rsid w:val="00E163E9"/>
    <w:rsid w:val="00E24DC2"/>
    <w:rsid w:val="00E26777"/>
    <w:rsid w:val="00E3200F"/>
    <w:rsid w:val="00E35185"/>
    <w:rsid w:val="00E369AB"/>
    <w:rsid w:val="00E42B33"/>
    <w:rsid w:val="00E608CC"/>
    <w:rsid w:val="00E62D5A"/>
    <w:rsid w:val="00E64D4F"/>
    <w:rsid w:val="00E669A4"/>
    <w:rsid w:val="00E66BE3"/>
    <w:rsid w:val="00EA40DA"/>
    <w:rsid w:val="00EA72B0"/>
    <w:rsid w:val="00EB0EFC"/>
    <w:rsid w:val="00EB39A6"/>
    <w:rsid w:val="00EB579D"/>
    <w:rsid w:val="00EB7AC8"/>
    <w:rsid w:val="00ED064C"/>
    <w:rsid w:val="00ED2A48"/>
    <w:rsid w:val="00ED63DD"/>
    <w:rsid w:val="00EE25BB"/>
    <w:rsid w:val="00EE2980"/>
    <w:rsid w:val="00EE3C1B"/>
    <w:rsid w:val="00EE5B8B"/>
    <w:rsid w:val="00EE78C5"/>
    <w:rsid w:val="00EF2D28"/>
    <w:rsid w:val="00F007D8"/>
    <w:rsid w:val="00F02D83"/>
    <w:rsid w:val="00F04AFE"/>
    <w:rsid w:val="00F10645"/>
    <w:rsid w:val="00F14DDA"/>
    <w:rsid w:val="00F154A6"/>
    <w:rsid w:val="00F224F7"/>
    <w:rsid w:val="00F22F04"/>
    <w:rsid w:val="00F26FAB"/>
    <w:rsid w:val="00F32471"/>
    <w:rsid w:val="00F364A5"/>
    <w:rsid w:val="00F42C03"/>
    <w:rsid w:val="00F50324"/>
    <w:rsid w:val="00F86083"/>
    <w:rsid w:val="00F955AB"/>
    <w:rsid w:val="00FA30BC"/>
    <w:rsid w:val="00FA3746"/>
    <w:rsid w:val="00FB5A9B"/>
    <w:rsid w:val="00FC329F"/>
    <w:rsid w:val="00FC4393"/>
    <w:rsid w:val="00FC5D44"/>
    <w:rsid w:val="00FD48E2"/>
    <w:rsid w:val="00FD53C5"/>
    <w:rsid w:val="00FE1AF6"/>
    <w:rsid w:val="00FE52ED"/>
    <w:rsid w:val="00FE73C4"/>
    <w:rsid w:val="00FF25D7"/>
    <w:rsid w:val="00FF3457"/>
    <w:rsid w:val="14860CC6"/>
    <w:rsid w:val="4F9B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FDACD4"/>
  <w15:docId w15:val="{DF846B91-B5D9-49A6-9016-AB1A72A8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FootnoteText">
    <w:name w:val="footnote text"/>
    <w:basedOn w:val="Normal"/>
    <w:link w:val="FootnoteTextChar"/>
    <w:uiPriority w:val="99"/>
    <w:semiHidden/>
    <w:unhideWhenUsed/>
    <w:rsid w:val="00C02DE9"/>
    <w:rPr>
      <w:sz w:val="20"/>
      <w:szCs w:val="20"/>
    </w:rPr>
  </w:style>
  <w:style w:type="character" w:customStyle="1" w:styleId="FootnoteTextChar">
    <w:name w:val="Footnote Text Char"/>
    <w:basedOn w:val="DefaultParagraphFont"/>
    <w:link w:val="FootnoteText"/>
    <w:uiPriority w:val="99"/>
    <w:semiHidden/>
    <w:rsid w:val="00C02DE9"/>
    <w:rPr>
      <w:sz w:val="20"/>
      <w:szCs w:val="20"/>
      <w:lang w:val="en-GB"/>
    </w:rPr>
  </w:style>
  <w:style w:type="character" w:styleId="FootnoteReference">
    <w:name w:val="footnote reference"/>
    <w:basedOn w:val="DefaultParagraphFont"/>
    <w:uiPriority w:val="99"/>
    <w:semiHidden/>
    <w:unhideWhenUsed/>
    <w:rsid w:val="00C02DE9"/>
    <w:rPr>
      <w:vertAlign w:val="superscript"/>
    </w:rPr>
  </w:style>
  <w:style w:type="paragraph" w:styleId="Header">
    <w:name w:val="header"/>
    <w:basedOn w:val="Normal"/>
    <w:link w:val="HeaderChar"/>
    <w:uiPriority w:val="99"/>
    <w:unhideWhenUsed/>
    <w:rsid w:val="00F42C03"/>
    <w:pPr>
      <w:tabs>
        <w:tab w:val="center" w:pos="4513"/>
        <w:tab w:val="right" w:pos="9026"/>
      </w:tabs>
    </w:pPr>
  </w:style>
  <w:style w:type="character" w:customStyle="1" w:styleId="HeaderChar">
    <w:name w:val="Header Char"/>
    <w:basedOn w:val="DefaultParagraphFont"/>
    <w:link w:val="Header"/>
    <w:uiPriority w:val="99"/>
    <w:rsid w:val="00F42C03"/>
    <w:rPr>
      <w:lang w:val="en-GB"/>
    </w:rPr>
  </w:style>
  <w:style w:type="paragraph" w:styleId="Footer">
    <w:name w:val="footer"/>
    <w:basedOn w:val="Normal"/>
    <w:link w:val="FooterChar"/>
    <w:uiPriority w:val="99"/>
    <w:unhideWhenUsed/>
    <w:rsid w:val="00F42C03"/>
    <w:pPr>
      <w:tabs>
        <w:tab w:val="center" w:pos="4513"/>
        <w:tab w:val="right" w:pos="9026"/>
      </w:tabs>
    </w:pPr>
  </w:style>
  <w:style w:type="character" w:customStyle="1" w:styleId="FooterChar">
    <w:name w:val="Footer Char"/>
    <w:basedOn w:val="DefaultParagraphFont"/>
    <w:link w:val="Footer"/>
    <w:uiPriority w:val="99"/>
    <w:rsid w:val="00F42C03"/>
    <w:rPr>
      <w:lang w:val="en-GB"/>
    </w:rPr>
  </w:style>
  <w:style w:type="paragraph" w:styleId="Revision">
    <w:name w:val="Revision"/>
    <w:hidden/>
    <w:uiPriority w:val="99"/>
    <w:semiHidden/>
    <w:rsid w:val="002434B7"/>
    <w:rPr>
      <w:lang w:val="en-GB"/>
    </w:rPr>
  </w:style>
  <w:style w:type="paragraph" w:customStyle="1" w:styleId="xmsonormal">
    <w:name w:val="x_msonormal"/>
    <w:basedOn w:val="Normal"/>
    <w:uiPriority w:val="99"/>
    <w:rsid w:val="00D476C8"/>
    <w:rPr>
      <w:rFonts w:ascii="Calibri" w:hAnsi="Calibri" w:cs="Calibri"/>
      <w:sz w:val="22"/>
      <w:szCs w:val="22"/>
      <w:lang w:eastAsia="en-GB"/>
    </w:rPr>
  </w:style>
  <w:style w:type="character" w:customStyle="1" w:styleId="bk">
    <w:name w:val="bk"/>
    <w:basedOn w:val="DefaultParagraphFont"/>
    <w:rsid w:val="007411F4"/>
  </w:style>
  <w:style w:type="paragraph" w:customStyle="1" w:styleId="br">
    <w:name w:val="br"/>
    <w:basedOn w:val="Normal"/>
    <w:rsid w:val="007411F4"/>
    <w:pPr>
      <w:spacing w:before="100" w:beforeAutospacing="1" w:after="100" w:afterAutospacing="1"/>
    </w:pPr>
    <w:rPr>
      <w:rFonts w:ascii="Times New Roman" w:eastAsia="Times New Roman" w:hAnsi="Times New Roman" w:cs="Times New Roman"/>
      <w:lang w:eastAsia="en-GB"/>
    </w:rPr>
  </w:style>
  <w:style w:type="paragraph" w:customStyle="1" w:styleId="bu">
    <w:name w:val="bu"/>
    <w:basedOn w:val="Normal"/>
    <w:rsid w:val="007411F4"/>
    <w:pPr>
      <w:spacing w:before="100" w:beforeAutospacing="1" w:after="100" w:afterAutospacing="1"/>
    </w:pPr>
    <w:rPr>
      <w:rFonts w:ascii="Times New Roman" w:eastAsia="Times New Roman" w:hAnsi="Times New Roman" w:cs="Times New Roman"/>
      <w:lang w:eastAsia="en-GB"/>
    </w:rPr>
  </w:style>
  <w:style w:type="paragraph" w:customStyle="1" w:styleId="bv">
    <w:name w:val="bv"/>
    <w:basedOn w:val="Normal"/>
    <w:rsid w:val="007411F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7243">
      <w:bodyDiv w:val="1"/>
      <w:marLeft w:val="0"/>
      <w:marRight w:val="0"/>
      <w:marTop w:val="0"/>
      <w:marBottom w:val="0"/>
      <w:divBdr>
        <w:top w:val="none" w:sz="0" w:space="0" w:color="auto"/>
        <w:left w:val="none" w:sz="0" w:space="0" w:color="auto"/>
        <w:bottom w:val="none" w:sz="0" w:space="0" w:color="auto"/>
        <w:right w:val="none" w:sz="0" w:space="0" w:color="auto"/>
      </w:divBdr>
    </w:div>
    <w:div w:id="84494977">
      <w:bodyDiv w:val="1"/>
      <w:marLeft w:val="0"/>
      <w:marRight w:val="0"/>
      <w:marTop w:val="0"/>
      <w:marBottom w:val="0"/>
      <w:divBdr>
        <w:top w:val="none" w:sz="0" w:space="0" w:color="auto"/>
        <w:left w:val="none" w:sz="0" w:space="0" w:color="auto"/>
        <w:bottom w:val="none" w:sz="0" w:space="0" w:color="auto"/>
        <w:right w:val="none" w:sz="0" w:space="0" w:color="auto"/>
      </w:divBdr>
    </w:div>
    <w:div w:id="359745663">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883060737">
      <w:bodyDiv w:val="1"/>
      <w:marLeft w:val="0"/>
      <w:marRight w:val="0"/>
      <w:marTop w:val="0"/>
      <w:marBottom w:val="0"/>
      <w:divBdr>
        <w:top w:val="none" w:sz="0" w:space="0" w:color="auto"/>
        <w:left w:val="none" w:sz="0" w:space="0" w:color="auto"/>
        <w:bottom w:val="none" w:sz="0" w:space="0" w:color="auto"/>
        <w:right w:val="none" w:sz="0" w:space="0" w:color="auto"/>
      </w:divBdr>
    </w:div>
    <w:div w:id="931208306">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240364426">
      <w:bodyDiv w:val="1"/>
      <w:marLeft w:val="0"/>
      <w:marRight w:val="0"/>
      <w:marTop w:val="0"/>
      <w:marBottom w:val="0"/>
      <w:divBdr>
        <w:top w:val="none" w:sz="0" w:space="0" w:color="auto"/>
        <w:left w:val="none" w:sz="0" w:space="0" w:color="auto"/>
        <w:bottom w:val="none" w:sz="0" w:space="0" w:color="auto"/>
        <w:right w:val="none" w:sz="0" w:space="0" w:color="auto"/>
      </w:divBdr>
    </w:div>
    <w:div w:id="1419905884">
      <w:bodyDiv w:val="1"/>
      <w:marLeft w:val="0"/>
      <w:marRight w:val="0"/>
      <w:marTop w:val="0"/>
      <w:marBottom w:val="0"/>
      <w:divBdr>
        <w:top w:val="none" w:sz="0" w:space="0" w:color="auto"/>
        <w:left w:val="none" w:sz="0" w:space="0" w:color="auto"/>
        <w:bottom w:val="none" w:sz="0" w:space="0" w:color="auto"/>
        <w:right w:val="none" w:sz="0" w:space="0" w:color="auto"/>
      </w:divBdr>
    </w:div>
    <w:div w:id="1548879283">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2023-10-02T07:51:53+00:00</Date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CBEB4-A2CB-431D-98DC-F1F59CA81E33}">
  <ds:schemaRefs>
    <ds:schemaRef ds:uri="http://schemas.microsoft.com/office/2006/metadata/properties"/>
    <ds:schemaRef ds:uri="http://schemas.microsoft.com/office/infopath/2007/PartnerControls"/>
    <ds:schemaRef ds:uri="e1d438f5-7e8f-4486-a7ca-81405da6368d"/>
    <ds:schemaRef ds:uri="b9788881-0b14-4d8b-a5d4-0b7cb51b51a2"/>
  </ds:schemaRefs>
</ds:datastoreItem>
</file>

<file path=customXml/itemProps2.xml><?xml version="1.0" encoding="utf-8"?>
<ds:datastoreItem xmlns:ds="http://schemas.openxmlformats.org/officeDocument/2006/customXml" ds:itemID="{CB799D8B-F670-41E9-8273-AECB9D0E49E4}">
  <ds:schemaRefs>
    <ds:schemaRef ds:uri="http://schemas.microsoft.com/sharepoint/v3/contenttype/forms"/>
  </ds:schemaRefs>
</ds:datastoreItem>
</file>

<file path=customXml/itemProps3.xml><?xml version="1.0" encoding="utf-8"?>
<ds:datastoreItem xmlns:ds="http://schemas.openxmlformats.org/officeDocument/2006/customXml" ds:itemID="{64C7ABF5-2F2C-4642-8F66-604F6F2B1E01}">
  <ds:schemaRefs>
    <ds:schemaRef ds:uri="http://schemas.openxmlformats.org/officeDocument/2006/bibliography"/>
  </ds:schemaRefs>
</ds:datastoreItem>
</file>

<file path=customXml/itemProps4.xml><?xml version="1.0" encoding="utf-8"?>
<ds:datastoreItem xmlns:ds="http://schemas.openxmlformats.org/officeDocument/2006/customXml" ds:itemID="{F37637D9-6C8A-463A-9954-F3568F0F547E}"/>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Joyce, Joanne</cp:lastModifiedBy>
  <cp:revision>2</cp:revision>
  <cp:lastPrinted>2018-02-14T16:12:00Z</cp:lastPrinted>
  <dcterms:created xsi:type="dcterms:W3CDTF">2023-09-29T14:27:00Z</dcterms:created>
  <dcterms:modified xsi:type="dcterms:W3CDTF">2023-09-29T14:27:00Z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itusGUID">
    <vt:lpwstr>04eaecaa-29a6-4551-b60d-e5f704bcaf93</vt:lpwstr>
  </property>
  <property fmtid="{D5CDD505-2E9C-101B-9397-08002B2CF9AE}" pid="4" name="MediaServiceImageTags">
    <vt:lpwstr/>
  </property>
  <property fmtid="{D5CDD505-2E9C-101B-9397-08002B2CF9AE}" pid="5" name="_ExtendedDescription">
    <vt:lpwstr/>
  </property>
</Properties>
</file>