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D1C3E" w14:textId="627BE870" w:rsidR="00D54BB3" w:rsidRPr="00ED63DD" w:rsidRDefault="00D54BB3" w:rsidP="00ED63DD">
      <w:pPr>
        <w:tabs>
          <w:tab w:val="left" w:pos="870"/>
          <w:tab w:val="center" w:pos="3063"/>
        </w:tabs>
        <w:rPr>
          <w:b/>
          <w:bCs/>
          <w:sz w:val="22"/>
          <w:szCs w:val="22"/>
        </w:rPr>
      </w:pPr>
    </w:p>
    <w:p w14:paraId="320E28E5" w14:textId="1189AF20" w:rsidR="00BA3FC8" w:rsidRDefault="00BA3FC8" w:rsidP="009275D5">
      <w:pPr>
        <w:rPr>
          <w:rFonts w:ascii="TimesNewRomanPS-BoldMT" w:hAnsi="TimesNewRomanPS-BoldMT"/>
          <w:b/>
          <w:bCs/>
          <w:sz w:val="17"/>
          <w:szCs w:val="17"/>
          <w:lang w:eastAsia="en-GB"/>
        </w:rPr>
      </w:pPr>
    </w:p>
    <w:p w14:paraId="1D61C1D4" w14:textId="40E7898A" w:rsidR="001722B6" w:rsidRPr="001722B6" w:rsidRDefault="003E0231" w:rsidP="001722B6">
      <w:pPr>
        <w:jc w:val="both"/>
        <w:rPr>
          <w:sz w:val="20"/>
        </w:rPr>
      </w:pPr>
      <w:r w:rsidRPr="003E0231">
        <w:rPr>
          <w:sz w:val="20"/>
        </w:rPr>
        <w:t xml:space="preserve">THIS ANNOUNCEMENT IS NOT FOR RELEASE, PUBLICATION OR DISTRIBUTION IN WHOLE OR IN PART, DIRECTLY OR INDIRECTLY, BY ANY MEANS OR MEDIA, IN OR INTO OR FROM THE UNITED STATES, CANADA, AUSTRALIA, </w:t>
      </w:r>
      <w:r w:rsidR="00ED62DE">
        <w:rPr>
          <w:sz w:val="20"/>
        </w:rPr>
        <w:t xml:space="preserve">NEW ZEALAND, </w:t>
      </w:r>
      <w:r w:rsidRPr="003E0231">
        <w:rPr>
          <w:sz w:val="20"/>
        </w:rPr>
        <w:t>JAPAN, OR THE REPUBLIC OF SOUTH AFRICA OR ANY OTHER JURISDICTION IN WHICH RELEASE, PUBLICATION OR DISTRIBUTION WOULD BE UNLAWFUL.</w:t>
      </w:r>
    </w:p>
    <w:p w14:paraId="4A559BC9" w14:textId="77777777" w:rsidR="001722B6" w:rsidRDefault="001722B6" w:rsidP="00D54BB3">
      <w:pPr>
        <w:jc w:val="center"/>
        <w:rPr>
          <w:b/>
          <w:bCs/>
          <w:sz w:val="28"/>
        </w:rPr>
      </w:pPr>
    </w:p>
    <w:p w14:paraId="51464995" w14:textId="37AFDCE6" w:rsidR="00D54BB3" w:rsidRPr="00043C71" w:rsidRDefault="00917F3A" w:rsidP="00D54BB3">
      <w:pPr>
        <w:jc w:val="center"/>
        <w:rPr>
          <w:b/>
          <w:bCs/>
        </w:rPr>
      </w:pPr>
      <w:r w:rsidRPr="00043C71">
        <w:rPr>
          <w:b/>
          <w:bCs/>
        </w:rPr>
        <w:t xml:space="preserve">Net Asset Value </w:t>
      </w:r>
      <w:r w:rsidR="003E0231" w:rsidRPr="00043C71">
        <w:rPr>
          <w:b/>
          <w:bCs/>
        </w:rPr>
        <w:t xml:space="preserve">and Dividend </w:t>
      </w:r>
      <w:r w:rsidRPr="00043C71">
        <w:rPr>
          <w:b/>
          <w:bCs/>
        </w:rPr>
        <w:t>Announcement</w:t>
      </w:r>
    </w:p>
    <w:p w14:paraId="5A87E818" w14:textId="6D829D07" w:rsidR="00A7341D" w:rsidRPr="00043C71" w:rsidRDefault="00A7341D" w:rsidP="00A7341D">
      <w:pPr>
        <w:jc w:val="both"/>
      </w:pPr>
    </w:p>
    <w:p w14:paraId="2ADFB790" w14:textId="2DB6C2F6" w:rsidR="00EB39A6" w:rsidRPr="008C0A49" w:rsidRDefault="00A7341D" w:rsidP="00A7341D">
      <w:pPr>
        <w:jc w:val="both"/>
      </w:pPr>
      <w:r w:rsidRPr="00043C71">
        <w:rPr>
          <w:b/>
        </w:rPr>
        <w:t>Dublin</w:t>
      </w:r>
      <w:r w:rsidR="00F02D83" w:rsidRPr="00043C71">
        <w:rPr>
          <w:b/>
        </w:rPr>
        <w:t xml:space="preserve">, </w:t>
      </w:r>
      <w:r w:rsidR="003E0231" w:rsidRPr="00043C71">
        <w:rPr>
          <w:b/>
        </w:rPr>
        <w:t xml:space="preserve">London, </w:t>
      </w:r>
      <w:r w:rsidR="00474CD4">
        <w:rPr>
          <w:b/>
        </w:rPr>
        <w:t>25</w:t>
      </w:r>
      <w:r w:rsidR="00B10FD4">
        <w:rPr>
          <w:b/>
        </w:rPr>
        <w:t xml:space="preserve"> </w:t>
      </w:r>
      <w:r w:rsidR="00474CD4">
        <w:rPr>
          <w:b/>
        </w:rPr>
        <w:t>April</w:t>
      </w:r>
      <w:r w:rsidR="001F3526">
        <w:rPr>
          <w:b/>
        </w:rPr>
        <w:t xml:space="preserve"> </w:t>
      </w:r>
      <w:r w:rsidR="003856D5">
        <w:rPr>
          <w:b/>
        </w:rPr>
        <w:t>202</w:t>
      </w:r>
      <w:r w:rsidR="006879C5">
        <w:rPr>
          <w:b/>
        </w:rPr>
        <w:t>4</w:t>
      </w:r>
      <w:r w:rsidR="00917F3A" w:rsidRPr="00043C71">
        <w:rPr>
          <w:b/>
        </w:rPr>
        <w:t>:</w:t>
      </w:r>
      <w:r w:rsidR="00752CB3" w:rsidRPr="00043C71">
        <w:rPr>
          <w:b/>
        </w:rPr>
        <w:t xml:space="preserve"> </w:t>
      </w:r>
      <w:r w:rsidRPr="00043C71">
        <w:t>Greencoat Renewables</w:t>
      </w:r>
      <w:r w:rsidR="00752CB3" w:rsidRPr="00043C71">
        <w:t xml:space="preserve"> PLC (“</w:t>
      </w:r>
      <w:r w:rsidR="00752CB3" w:rsidRPr="00043C71">
        <w:rPr>
          <w:b/>
        </w:rPr>
        <w:t>G</w:t>
      </w:r>
      <w:r w:rsidR="00412B3B" w:rsidRPr="00043C71">
        <w:rPr>
          <w:b/>
        </w:rPr>
        <w:t>reencoat Renewables</w:t>
      </w:r>
      <w:r w:rsidR="00752CB3" w:rsidRPr="00043C71">
        <w:t>”</w:t>
      </w:r>
      <w:r w:rsidR="00635906" w:rsidRPr="00043C71">
        <w:t xml:space="preserve"> or </w:t>
      </w:r>
      <w:r w:rsidR="00635906" w:rsidRPr="008C0A49">
        <w:t>the “</w:t>
      </w:r>
      <w:r w:rsidR="00635906" w:rsidRPr="008C0A49">
        <w:rPr>
          <w:b/>
        </w:rPr>
        <w:t>Company</w:t>
      </w:r>
      <w:r w:rsidR="00635906" w:rsidRPr="008C0A49">
        <w:t>”</w:t>
      </w:r>
      <w:r w:rsidR="00752CB3" w:rsidRPr="008C0A49">
        <w:t xml:space="preserve">) </w:t>
      </w:r>
      <w:r w:rsidR="00357659" w:rsidRPr="00214EF5">
        <w:t xml:space="preserve">today </w:t>
      </w:r>
      <w:r w:rsidR="007861A1" w:rsidRPr="00214EF5">
        <w:t>announces</w:t>
      </w:r>
      <w:r w:rsidR="005E0CC1" w:rsidRPr="00214EF5">
        <w:t xml:space="preserve"> </w:t>
      </w:r>
      <w:r w:rsidR="00917F3A" w:rsidRPr="00214EF5">
        <w:t>that its unaudited Net Asset Va</w:t>
      </w:r>
      <w:r w:rsidR="00544922" w:rsidRPr="00214EF5">
        <w:t xml:space="preserve">lue as </w:t>
      </w:r>
      <w:r w:rsidR="000163FD" w:rsidRPr="00214EF5">
        <w:t xml:space="preserve">of </w:t>
      </w:r>
      <w:r w:rsidR="003856D5" w:rsidRPr="00214EF5">
        <w:t>3</w:t>
      </w:r>
      <w:r w:rsidR="006879C5">
        <w:t>1</w:t>
      </w:r>
      <w:r w:rsidR="007B732C">
        <w:t xml:space="preserve"> </w:t>
      </w:r>
      <w:r w:rsidR="00474CD4">
        <w:t>March</w:t>
      </w:r>
      <w:r w:rsidR="001F3526">
        <w:t xml:space="preserve"> </w:t>
      </w:r>
      <w:r w:rsidR="00005A94" w:rsidRPr="00214EF5">
        <w:t>2</w:t>
      </w:r>
      <w:r w:rsidR="003450C3" w:rsidRPr="00214EF5">
        <w:t>02</w:t>
      </w:r>
      <w:r w:rsidR="00474CD4">
        <w:t>4</w:t>
      </w:r>
      <w:r w:rsidR="003E0231" w:rsidRPr="00214EF5">
        <w:t xml:space="preserve"> is</w:t>
      </w:r>
      <w:r w:rsidR="00804ED1" w:rsidRPr="00214EF5">
        <w:t xml:space="preserve"> </w:t>
      </w:r>
      <w:r w:rsidR="003E0231" w:rsidRPr="00214EF5">
        <w:t>€</w:t>
      </w:r>
      <w:r w:rsidR="00EA4A72">
        <w:t>1,27</w:t>
      </w:r>
      <w:r w:rsidR="00474CD4">
        <w:t>3.7</w:t>
      </w:r>
      <w:r w:rsidR="00465160">
        <w:t xml:space="preserve"> </w:t>
      </w:r>
      <w:r w:rsidR="003E0231" w:rsidRPr="00214EF5">
        <w:t>million (</w:t>
      </w:r>
      <w:r w:rsidR="00EA4A72">
        <w:t>11</w:t>
      </w:r>
      <w:r w:rsidR="00474CD4">
        <w:t>1.6</w:t>
      </w:r>
      <w:r w:rsidR="003E0231" w:rsidRPr="00214EF5">
        <w:t>c per share).</w:t>
      </w:r>
      <w:r w:rsidR="00F835AF">
        <w:t xml:space="preserve"> </w:t>
      </w:r>
    </w:p>
    <w:p w14:paraId="6391D6CB" w14:textId="77777777" w:rsidR="00917F3A" w:rsidRPr="008C0A49" w:rsidRDefault="00917F3A" w:rsidP="00A7341D">
      <w:pPr>
        <w:jc w:val="both"/>
      </w:pPr>
    </w:p>
    <w:p w14:paraId="6CEA0E86" w14:textId="77777777" w:rsidR="00917F3A" w:rsidRPr="008C0A49" w:rsidRDefault="00917F3A" w:rsidP="00917F3A">
      <w:pPr>
        <w:autoSpaceDE w:val="0"/>
        <w:autoSpaceDN w:val="0"/>
        <w:adjustRightInd w:val="0"/>
        <w:jc w:val="both"/>
        <w:rPr>
          <w:b/>
        </w:rPr>
      </w:pPr>
      <w:r w:rsidRPr="008C0A49">
        <w:rPr>
          <w:b/>
        </w:rPr>
        <w:t>Net Asset Value</w:t>
      </w:r>
    </w:p>
    <w:p w14:paraId="6A3C1048" w14:textId="77777777" w:rsidR="00917F3A" w:rsidRPr="008C0A49" w:rsidRDefault="00917F3A" w:rsidP="00917F3A">
      <w:pPr>
        <w:autoSpaceDE w:val="0"/>
        <w:autoSpaceDN w:val="0"/>
        <w:adjustRightInd w:val="0"/>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5"/>
        <w:gridCol w:w="3830"/>
      </w:tblGrid>
      <w:tr w:rsidR="00917F3A" w:rsidRPr="008C0A49" w14:paraId="484D6A08" w14:textId="77777777" w:rsidTr="003E0231">
        <w:trPr>
          <w:trHeight w:val="70"/>
          <w:jc w:val="center"/>
        </w:trPr>
        <w:tc>
          <w:tcPr>
            <w:tcW w:w="4735" w:type="dxa"/>
            <w:shd w:val="clear" w:color="auto" w:fill="auto"/>
          </w:tcPr>
          <w:p w14:paraId="1D497FB0" w14:textId="77777777" w:rsidR="00917F3A" w:rsidRPr="00214EF5" w:rsidRDefault="00917F3A" w:rsidP="00FF489E">
            <w:pPr>
              <w:jc w:val="both"/>
              <w:rPr>
                <w:b/>
                <w:bCs/>
              </w:rPr>
            </w:pPr>
            <w:r w:rsidRPr="00214EF5">
              <w:rPr>
                <w:b/>
                <w:bCs/>
              </w:rPr>
              <w:t>Net Asset Value / Net Asset Value per share</w:t>
            </w:r>
          </w:p>
        </w:tc>
        <w:tc>
          <w:tcPr>
            <w:tcW w:w="3830" w:type="dxa"/>
            <w:shd w:val="clear" w:color="auto" w:fill="auto"/>
          </w:tcPr>
          <w:p w14:paraId="27B43B23" w14:textId="4EE4B201" w:rsidR="00917F3A" w:rsidRPr="00C477F8" w:rsidRDefault="00917F3A" w:rsidP="00483680">
            <w:pPr>
              <w:jc w:val="both"/>
              <w:rPr>
                <w:bCs/>
              </w:rPr>
            </w:pPr>
            <w:r w:rsidRPr="00214EF5">
              <w:rPr>
                <w:bCs/>
              </w:rPr>
              <w:t>€</w:t>
            </w:r>
            <w:r w:rsidR="00EA4A72">
              <w:rPr>
                <w:bCs/>
              </w:rPr>
              <w:t>1,27</w:t>
            </w:r>
            <w:r w:rsidR="00474CD4">
              <w:rPr>
                <w:bCs/>
              </w:rPr>
              <w:t>3</w:t>
            </w:r>
            <w:r w:rsidR="00EA4A72">
              <w:rPr>
                <w:bCs/>
              </w:rPr>
              <w:t>.</w:t>
            </w:r>
            <w:r w:rsidR="00474CD4">
              <w:rPr>
                <w:bCs/>
              </w:rPr>
              <w:t>7</w:t>
            </w:r>
            <w:r w:rsidR="00CC2726" w:rsidRPr="00214EF5">
              <w:rPr>
                <w:bCs/>
              </w:rPr>
              <w:t xml:space="preserve"> </w:t>
            </w:r>
            <w:r w:rsidR="003E0231" w:rsidRPr="00214EF5">
              <w:rPr>
                <w:bCs/>
              </w:rPr>
              <w:t xml:space="preserve">million / </w:t>
            </w:r>
            <w:r w:rsidR="00EA4A72">
              <w:rPr>
                <w:bCs/>
              </w:rPr>
              <w:t>11</w:t>
            </w:r>
            <w:r w:rsidR="00474CD4">
              <w:rPr>
                <w:bCs/>
              </w:rPr>
              <w:t>1</w:t>
            </w:r>
            <w:r w:rsidR="00EA4A72">
              <w:rPr>
                <w:bCs/>
              </w:rPr>
              <w:t>.</w:t>
            </w:r>
            <w:r w:rsidR="00474CD4">
              <w:rPr>
                <w:bCs/>
              </w:rPr>
              <w:t>6</w:t>
            </w:r>
            <w:r w:rsidR="00193982" w:rsidRPr="00214EF5">
              <w:rPr>
                <w:bCs/>
              </w:rPr>
              <w:t>c</w:t>
            </w:r>
            <w:r w:rsidR="003E0231" w:rsidRPr="00214EF5">
              <w:rPr>
                <w:bCs/>
              </w:rPr>
              <w:t xml:space="preserve"> per share</w:t>
            </w:r>
          </w:p>
        </w:tc>
      </w:tr>
      <w:tr w:rsidR="003E0231" w:rsidRPr="00043C71" w14:paraId="202E617C" w14:textId="77777777" w:rsidTr="003E0231">
        <w:trPr>
          <w:trHeight w:val="70"/>
          <w:jc w:val="center"/>
        </w:trPr>
        <w:tc>
          <w:tcPr>
            <w:tcW w:w="4735" w:type="dxa"/>
            <w:shd w:val="clear" w:color="auto" w:fill="auto"/>
          </w:tcPr>
          <w:p w14:paraId="5CE99736" w14:textId="368DB5D1" w:rsidR="003E0231" w:rsidRPr="008C0A49" w:rsidRDefault="00852A74" w:rsidP="003E0231">
            <w:pPr>
              <w:jc w:val="both"/>
              <w:rPr>
                <w:b/>
                <w:bCs/>
              </w:rPr>
            </w:pPr>
            <w:r w:rsidRPr="008C0A49">
              <w:rPr>
                <w:b/>
                <w:bCs/>
              </w:rPr>
              <w:t>Q</w:t>
            </w:r>
            <w:r w:rsidR="00474CD4">
              <w:rPr>
                <w:b/>
                <w:bCs/>
              </w:rPr>
              <w:t>1</w:t>
            </w:r>
            <w:r w:rsidRPr="008C0A49">
              <w:rPr>
                <w:b/>
                <w:bCs/>
              </w:rPr>
              <w:t xml:space="preserve"> </w:t>
            </w:r>
            <w:r w:rsidR="003E0231" w:rsidRPr="008C0A49">
              <w:rPr>
                <w:b/>
                <w:bCs/>
              </w:rPr>
              <w:t>Dividend/Dividend per share</w:t>
            </w:r>
            <w:r w:rsidR="003E0231" w:rsidRPr="008C0A49">
              <w:rPr>
                <w:b/>
                <w:bCs/>
              </w:rPr>
              <w:tab/>
            </w:r>
          </w:p>
        </w:tc>
        <w:tc>
          <w:tcPr>
            <w:tcW w:w="3830" w:type="dxa"/>
            <w:shd w:val="clear" w:color="auto" w:fill="auto"/>
          </w:tcPr>
          <w:p w14:paraId="085AD873" w14:textId="0725B0C2" w:rsidR="003E0231" w:rsidRPr="00C477F8" w:rsidRDefault="004A2B7A" w:rsidP="00635906">
            <w:pPr>
              <w:jc w:val="both"/>
              <w:rPr>
                <w:bCs/>
              </w:rPr>
            </w:pPr>
            <w:r w:rsidRPr="00C477F8">
              <w:rPr>
                <w:bCs/>
              </w:rPr>
              <w:t>€</w:t>
            </w:r>
            <w:r w:rsidR="00B10FD4">
              <w:rPr>
                <w:bCs/>
              </w:rPr>
              <w:t>1</w:t>
            </w:r>
            <w:r w:rsidR="00474CD4">
              <w:rPr>
                <w:bCs/>
              </w:rPr>
              <w:t>9.2</w:t>
            </w:r>
            <w:r w:rsidRPr="00C477F8">
              <w:rPr>
                <w:bCs/>
              </w:rPr>
              <w:t xml:space="preserve"> million / </w:t>
            </w:r>
            <w:r w:rsidR="00B10FD4">
              <w:rPr>
                <w:bCs/>
              </w:rPr>
              <w:t>1.6</w:t>
            </w:r>
            <w:r w:rsidR="00474CD4">
              <w:rPr>
                <w:bCs/>
              </w:rPr>
              <w:t>8</w:t>
            </w:r>
            <w:r w:rsidR="00B10FD4">
              <w:rPr>
                <w:bCs/>
              </w:rPr>
              <w:t>5</w:t>
            </w:r>
            <w:r w:rsidRPr="00C477F8">
              <w:rPr>
                <w:bCs/>
              </w:rPr>
              <w:t>c per share</w:t>
            </w:r>
          </w:p>
        </w:tc>
      </w:tr>
    </w:tbl>
    <w:p w14:paraId="2E5EA43F" w14:textId="77777777" w:rsidR="003E0231" w:rsidRPr="00043C71" w:rsidRDefault="003E0231" w:rsidP="003E0231">
      <w:pPr>
        <w:tabs>
          <w:tab w:val="left" w:pos="5760"/>
        </w:tabs>
        <w:contextualSpacing/>
        <w:jc w:val="both"/>
        <w:rPr>
          <w:b/>
          <w:bCs/>
        </w:rPr>
      </w:pPr>
    </w:p>
    <w:p w14:paraId="7FCFC253" w14:textId="6E3C06A6" w:rsidR="003E0231" w:rsidRDefault="007B14A7" w:rsidP="003E0231">
      <w:pPr>
        <w:tabs>
          <w:tab w:val="left" w:pos="5760"/>
        </w:tabs>
        <w:contextualSpacing/>
        <w:jc w:val="both"/>
        <w:rPr>
          <w:b/>
          <w:bCs/>
        </w:rPr>
      </w:pPr>
      <w:r w:rsidRPr="00B713E6">
        <w:rPr>
          <w:b/>
          <w:bCs/>
        </w:rPr>
        <w:t>Financial and Operation</w:t>
      </w:r>
      <w:r w:rsidR="002C10DC">
        <w:rPr>
          <w:b/>
          <w:bCs/>
        </w:rPr>
        <w:t>al</w:t>
      </w:r>
      <w:r w:rsidRPr="00B713E6">
        <w:rPr>
          <w:b/>
          <w:bCs/>
        </w:rPr>
        <w:t xml:space="preserve"> Highlights </w:t>
      </w:r>
    </w:p>
    <w:p w14:paraId="7B65BE0D" w14:textId="77777777" w:rsidR="007B285C" w:rsidRPr="00B713E6" w:rsidRDefault="007B285C" w:rsidP="003E0231">
      <w:pPr>
        <w:tabs>
          <w:tab w:val="left" w:pos="5760"/>
        </w:tabs>
        <w:contextualSpacing/>
        <w:jc w:val="both"/>
        <w:rPr>
          <w:b/>
          <w:bCs/>
        </w:rPr>
      </w:pPr>
    </w:p>
    <w:p w14:paraId="220939CB" w14:textId="77777777" w:rsidR="007B285C" w:rsidRDefault="007B285C" w:rsidP="007B285C">
      <w:pPr>
        <w:pStyle w:val="ListParagraph"/>
        <w:numPr>
          <w:ilvl w:val="0"/>
          <w:numId w:val="7"/>
        </w:numPr>
        <w:spacing w:after="200" w:line="276" w:lineRule="auto"/>
        <w:jc w:val="both"/>
        <w:rPr>
          <w:rFonts w:ascii="Calibri" w:hAnsi="Calibri" w:cs="Calibri"/>
          <w:sz w:val="20"/>
          <w:szCs w:val="20"/>
        </w:rPr>
      </w:pPr>
      <w:r>
        <w:rPr>
          <w:rFonts w:ascii="Calibri" w:hAnsi="Calibri" w:cs="Calibri"/>
          <w:sz w:val="20"/>
          <w:szCs w:val="20"/>
        </w:rPr>
        <w:t xml:space="preserve">Continued strong financial </w:t>
      </w:r>
      <w:proofErr w:type="gramStart"/>
      <w:r>
        <w:rPr>
          <w:rFonts w:ascii="Calibri" w:hAnsi="Calibri" w:cs="Calibri"/>
          <w:sz w:val="20"/>
          <w:szCs w:val="20"/>
        </w:rPr>
        <w:t>performance</w:t>
      </w:r>
      <w:proofErr w:type="gramEnd"/>
    </w:p>
    <w:p w14:paraId="06A2E037" w14:textId="77777777" w:rsidR="001E2D5B" w:rsidRDefault="007B285C" w:rsidP="007B285C">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Strong Q1 net cash generation of €72.8 million</w:t>
      </w:r>
      <w:r>
        <w:rPr>
          <w:rStyle w:val="FootnoteReference"/>
          <w:rFonts w:ascii="Calibri" w:hAnsi="Calibri" w:cs="Calibri"/>
          <w:sz w:val="20"/>
          <w:szCs w:val="20"/>
        </w:rPr>
        <w:footnoteReference w:id="2"/>
      </w:r>
    </w:p>
    <w:p w14:paraId="56FAF5DD" w14:textId="787CC44A" w:rsidR="007B285C" w:rsidRDefault="00046B77" w:rsidP="007B285C">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 xml:space="preserve">Q1 generation 12% </w:t>
      </w:r>
      <w:r w:rsidR="001E2D5B">
        <w:rPr>
          <w:rFonts w:ascii="Calibri" w:hAnsi="Calibri" w:cs="Calibri"/>
          <w:sz w:val="20"/>
          <w:szCs w:val="20"/>
        </w:rPr>
        <w:t>below</w:t>
      </w:r>
      <w:r>
        <w:rPr>
          <w:rFonts w:ascii="Calibri" w:hAnsi="Calibri" w:cs="Calibri"/>
          <w:sz w:val="20"/>
          <w:szCs w:val="20"/>
        </w:rPr>
        <w:t xml:space="preserve"> budget</w:t>
      </w:r>
      <w:r w:rsidR="007B285C">
        <w:rPr>
          <w:rFonts w:ascii="Calibri" w:hAnsi="Calibri" w:cs="Calibri"/>
          <w:sz w:val="20"/>
          <w:szCs w:val="20"/>
        </w:rPr>
        <w:t xml:space="preserve">  </w:t>
      </w:r>
    </w:p>
    <w:p w14:paraId="74B7064F" w14:textId="77777777" w:rsidR="007B285C" w:rsidRDefault="007B285C" w:rsidP="007B285C">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 xml:space="preserve">Dividends per share paid of 1.605c relating to Q4 2023 and 1.685c announced relating to Q1 2024 </w:t>
      </w:r>
    </w:p>
    <w:p w14:paraId="2C79FB89" w14:textId="77777777" w:rsidR="007B285C" w:rsidRDefault="007B285C" w:rsidP="007B285C">
      <w:pPr>
        <w:pStyle w:val="ListParagraph"/>
        <w:spacing w:after="200"/>
        <w:jc w:val="both"/>
        <w:rPr>
          <w:rFonts w:ascii="Calibri" w:hAnsi="Calibri" w:cs="Calibri"/>
          <w:sz w:val="20"/>
          <w:szCs w:val="20"/>
        </w:rPr>
      </w:pPr>
    </w:p>
    <w:p w14:paraId="5EB393E7" w14:textId="5BF87022" w:rsidR="007B285C" w:rsidRDefault="0003640F" w:rsidP="007B285C">
      <w:pPr>
        <w:pStyle w:val="ListParagraph"/>
        <w:numPr>
          <w:ilvl w:val="0"/>
          <w:numId w:val="7"/>
        </w:numPr>
        <w:spacing w:after="200" w:line="276" w:lineRule="auto"/>
        <w:jc w:val="both"/>
        <w:rPr>
          <w:rFonts w:ascii="Calibri" w:hAnsi="Calibri" w:cs="Calibri"/>
          <w:sz w:val="20"/>
          <w:szCs w:val="20"/>
        </w:rPr>
      </w:pPr>
      <w:r>
        <w:rPr>
          <w:rFonts w:ascii="Calibri" w:hAnsi="Calibri" w:cs="Calibri"/>
          <w:sz w:val="20"/>
          <w:szCs w:val="20"/>
        </w:rPr>
        <w:t>Intention to launch</w:t>
      </w:r>
      <w:r w:rsidR="001E2D5B">
        <w:rPr>
          <w:rFonts w:ascii="Calibri" w:hAnsi="Calibri" w:cs="Calibri"/>
          <w:sz w:val="20"/>
          <w:szCs w:val="20"/>
        </w:rPr>
        <w:t xml:space="preserve"> initial</w:t>
      </w:r>
      <w:r w:rsidR="007B285C">
        <w:rPr>
          <w:rFonts w:ascii="Calibri" w:hAnsi="Calibri" w:cs="Calibri"/>
          <w:sz w:val="20"/>
          <w:szCs w:val="20"/>
        </w:rPr>
        <w:t xml:space="preserve"> buyback program</w:t>
      </w:r>
      <w:r w:rsidR="00046B77">
        <w:rPr>
          <w:rFonts w:ascii="Calibri" w:hAnsi="Calibri" w:cs="Calibri"/>
          <w:sz w:val="20"/>
          <w:szCs w:val="20"/>
        </w:rPr>
        <w:t>me</w:t>
      </w:r>
      <w:r w:rsidR="007B285C">
        <w:rPr>
          <w:rFonts w:ascii="Calibri" w:hAnsi="Calibri" w:cs="Calibri"/>
          <w:sz w:val="20"/>
          <w:szCs w:val="20"/>
        </w:rPr>
        <w:t xml:space="preserve"> </w:t>
      </w:r>
    </w:p>
    <w:p w14:paraId="2A3DFCA8" w14:textId="2F85C6E6" w:rsidR="007B285C" w:rsidRPr="00ED4EE3" w:rsidRDefault="0003640F" w:rsidP="007B285C">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T</w:t>
      </w:r>
      <w:r w:rsidR="007B285C">
        <w:rPr>
          <w:rFonts w:ascii="Calibri" w:hAnsi="Calibri" w:cs="Calibri"/>
          <w:sz w:val="20"/>
          <w:szCs w:val="20"/>
        </w:rPr>
        <w:t>ranche of €25 million intended to be executed within the next 6 months, funded from operating cashflow and reviewed upon completion</w:t>
      </w:r>
      <w:r>
        <w:rPr>
          <w:rFonts w:ascii="Calibri" w:hAnsi="Calibri" w:cs="Calibri"/>
          <w:sz w:val="20"/>
          <w:szCs w:val="20"/>
        </w:rPr>
        <w:t xml:space="preserve"> subject to market conditions </w:t>
      </w:r>
    </w:p>
    <w:p w14:paraId="2712768D" w14:textId="77777777" w:rsidR="007B285C" w:rsidRDefault="007B285C" w:rsidP="007B285C">
      <w:pPr>
        <w:pStyle w:val="ListParagraph"/>
        <w:spacing w:after="200"/>
        <w:jc w:val="both"/>
        <w:rPr>
          <w:rFonts w:ascii="Calibri" w:hAnsi="Calibri" w:cs="Calibri"/>
          <w:sz w:val="20"/>
          <w:szCs w:val="20"/>
        </w:rPr>
      </w:pPr>
    </w:p>
    <w:p w14:paraId="0A5AB793" w14:textId="77777777" w:rsidR="007B285C" w:rsidRDefault="007B285C" w:rsidP="007B285C">
      <w:pPr>
        <w:pStyle w:val="ListParagraph"/>
        <w:numPr>
          <w:ilvl w:val="0"/>
          <w:numId w:val="7"/>
        </w:numPr>
        <w:spacing w:after="200" w:line="276" w:lineRule="auto"/>
        <w:jc w:val="both"/>
        <w:rPr>
          <w:rFonts w:ascii="Calibri" w:hAnsi="Calibri" w:cs="Calibri"/>
          <w:sz w:val="20"/>
          <w:szCs w:val="20"/>
        </w:rPr>
      </w:pPr>
      <w:r>
        <w:rPr>
          <w:rFonts w:ascii="Calibri" w:hAnsi="Calibri" w:cs="Calibri"/>
          <w:sz w:val="20"/>
          <w:szCs w:val="20"/>
        </w:rPr>
        <w:t>Stable NAV despite lower achieved power prices and lower short term forward curves</w:t>
      </w:r>
    </w:p>
    <w:p w14:paraId="5541264B" w14:textId="77777777" w:rsidR="007B285C" w:rsidRDefault="007B285C" w:rsidP="007B285C">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 xml:space="preserve">0.5c decrease in NAV per share to 111.6c </w:t>
      </w:r>
    </w:p>
    <w:p w14:paraId="3F66E54F" w14:textId="4805C9B6" w:rsidR="007B285C" w:rsidRDefault="007B285C" w:rsidP="007B285C">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Reduction in short-term power price (c</w:t>
      </w:r>
      <w:r w:rsidR="00232F6B">
        <w:rPr>
          <w:rFonts w:ascii="Calibri" w:hAnsi="Calibri" w:cs="Calibri"/>
          <w:sz w:val="20"/>
          <w:szCs w:val="20"/>
        </w:rPr>
        <w:t>15</w:t>
      </w:r>
      <w:r>
        <w:rPr>
          <w:rFonts w:ascii="Calibri" w:hAnsi="Calibri" w:cs="Calibri"/>
          <w:sz w:val="20"/>
          <w:szCs w:val="20"/>
        </w:rPr>
        <w:t xml:space="preserve">% down quarter on quarter) primarily offset by long-term price curve </w:t>
      </w:r>
      <w:r w:rsidR="001B2E1A">
        <w:rPr>
          <w:rFonts w:ascii="Calibri" w:hAnsi="Calibri" w:cs="Calibri"/>
          <w:sz w:val="20"/>
          <w:szCs w:val="20"/>
        </w:rPr>
        <w:t>uplift</w:t>
      </w:r>
    </w:p>
    <w:p w14:paraId="6977EE46" w14:textId="77777777" w:rsidR="007B285C" w:rsidRDefault="007B285C" w:rsidP="007B285C">
      <w:pPr>
        <w:pStyle w:val="ListParagraph"/>
        <w:numPr>
          <w:ilvl w:val="1"/>
          <w:numId w:val="7"/>
        </w:numPr>
        <w:spacing w:after="200" w:line="276" w:lineRule="auto"/>
        <w:jc w:val="both"/>
        <w:rPr>
          <w:rFonts w:ascii="Calibri" w:hAnsi="Calibri" w:cs="Calibri"/>
          <w:sz w:val="20"/>
          <w:szCs w:val="20"/>
        </w:rPr>
      </w:pPr>
      <w:r w:rsidRPr="00DB3BE9">
        <w:rPr>
          <w:rFonts w:ascii="Calibri" w:hAnsi="Calibri" w:cs="Calibri"/>
          <w:sz w:val="20"/>
          <w:szCs w:val="20"/>
        </w:rPr>
        <w:t>Unchanged levered IRR at 9%</w:t>
      </w:r>
      <w:r>
        <w:rPr>
          <w:rStyle w:val="FootnoteReference"/>
          <w:rFonts w:ascii="Calibri" w:hAnsi="Calibri" w:cs="Calibri"/>
          <w:sz w:val="20"/>
          <w:szCs w:val="20"/>
        </w:rPr>
        <w:footnoteReference w:id="3"/>
      </w:r>
      <w:r w:rsidRPr="00DB3BE9">
        <w:rPr>
          <w:rFonts w:ascii="Calibri" w:hAnsi="Calibri" w:cs="Calibri"/>
          <w:sz w:val="20"/>
          <w:szCs w:val="20"/>
        </w:rPr>
        <w:t xml:space="preserve"> </w:t>
      </w:r>
    </w:p>
    <w:p w14:paraId="38FCE6D2" w14:textId="77777777" w:rsidR="007B285C" w:rsidRDefault="007B285C" w:rsidP="007B285C">
      <w:pPr>
        <w:pStyle w:val="ListParagraph"/>
        <w:spacing w:after="200"/>
        <w:jc w:val="both"/>
        <w:rPr>
          <w:rFonts w:ascii="Calibri" w:hAnsi="Calibri" w:cs="Calibri"/>
          <w:sz w:val="20"/>
          <w:szCs w:val="20"/>
        </w:rPr>
      </w:pPr>
    </w:p>
    <w:p w14:paraId="592FD5A3" w14:textId="77777777" w:rsidR="007B285C" w:rsidRDefault="007B285C" w:rsidP="007B285C">
      <w:pPr>
        <w:pStyle w:val="ListParagraph"/>
        <w:numPr>
          <w:ilvl w:val="0"/>
          <w:numId w:val="7"/>
        </w:numPr>
        <w:spacing w:after="200" w:line="276" w:lineRule="auto"/>
        <w:jc w:val="both"/>
        <w:rPr>
          <w:rFonts w:ascii="Calibri" w:hAnsi="Calibri" w:cs="Calibri"/>
          <w:sz w:val="20"/>
          <w:szCs w:val="20"/>
        </w:rPr>
      </w:pPr>
      <w:r>
        <w:rPr>
          <w:rFonts w:ascii="Calibri" w:hAnsi="Calibri" w:cs="Calibri"/>
          <w:sz w:val="20"/>
          <w:szCs w:val="20"/>
        </w:rPr>
        <w:t xml:space="preserve">Cash generation supporting reduction in </w:t>
      </w:r>
      <w:proofErr w:type="gramStart"/>
      <w:r>
        <w:rPr>
          <w:rFonts w:ascii="Calibri" w:hAnsi="Calibri" w:cs="Calibri"/>
          <w:sz w:val="20"/>
          <w:szCs w:val="20"/>
        </w:rPr>
        <w:t>debt</w:t>
      </w:r>
      <w:proofErr w:type="gramEnd"/>
    </w:p>
    <w:p w14:paraId="1B23B5C5" w14:textId="77777777" w:rsidR="007B285C" w:rsidRDefault="007B285C" w:rsidP="007B285C">
      <w:pPr>
        <w:pStyle w:val="ListParagraph"/>
        <w:numPr>
          <w:ilvl w:val="1"/>
          <w:numId w:val="7"/>
        </w:numPr>
        <w:spacing w:after="200" w:line="276" w:lineRule="auto"/>
        <w:jc w:val="both"/>
        <w:rPr>
          <w:rFonts w:ascii="Calibri" w:hAnsi="Calibri" w:cs="Calibri"/>
          <w:sz w:val="20"/>
          <w:szCs w:val="20"/>
        </w:rPr>
      </w:pPr>
      <w:r w:rsidRPr="00FD0ED8">
        <w:rPr>
          <w:rFonts w:ascii="Calibri" w:hAnsi="Calibri" w:cs="Calibri"/>
          <w:sz w:val="20"/>
          <w:szCs w:val="20"/>
        </w:rPr>
        <w:t xml:space="preserve">Aggregate Group Debt </w:t>
      </w:r>
      <w:r>
        <w:rPr>
          <w:rFonts w:ascii="Calibri" w:hAnsi="Calibri" w:cs="Calibri"/>
          <w:sz w:val="20"/>
          <w:szCs w:val="20"/>
        </w:rPr>
        <w:t xml:space="preserve">reduced to €1,326 million as a result of organically funded debt repayments in line with the Company’s commitment to reduce gearing </w:t>
      </w:r>
      <w:proofErr w:type="gramStart"/>
      <w:r>
        <w:rPr>
          <w:rFonts w:ascii="Calibri" w:hAnsi="Calibri" w:cs="Calibri"/>
          <w:sz w:val="20"/>
          <w:szCs w:val="20"/>
        </w:rPr>
        <w:t>levels</w:t>
      </w:r>
      <w:proofErr w:type="gramEnd"/>
      <w:r>
        <w:rPr>
          <w:rFonts w:ascii="Calibri" w:hAnsi="Calibri" w:cs="Calibri"/>
          <w:sz w:val="20"/>
          <w:szCs w:val="20"/>
        </w:rPr>
        <w:t xml:space="preserve">  </w:t>
      </w:r>
    </w:p>
    <w:p w14:paraId="4400FB17" w14:textId="77777777" w:rsidR="007B285C" w:rsidRDefault="007B285C" w:rsidP="007B285C">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 xml:space="preserve">51% gross gearing, 49% net </w:t>
      </w:r>
      <w:proofErr w:type="gramStart"/>
      <w:r>
        <w:rPr>
          <w:rFonts w:ascii="Calibri" w:hAnsi="Calibri" w:cs="Calibri"/>
          <w:sz w:val="20"/>
          <w:szCs w:val="20"/>
        </w:rPr>
        <w:t>gearing</w:t>
      </w:r>
      <w:proofErr w:type="gramEnd"/>
      <w:r>
        <w:rPr>
          <w:rFonts w:ascii="Calibri" w:hAnsi="Calibri" w:cs="Calibri"/>
          <w:sz w:val="20"/>
          <w:szCs w:val="20"/>
        </w:rPr>
        <w:t xml:space="preserve"> </w:t>
      </w:r>
    </w:p>
    <w:p w14:paraId="5F9D833B" w14:textId="448278CB" w:rsidR="00416DA8" w:rsidRPr="0040219F" w:rsidRDefault="007B285C" w:rsidP="0040219F">
      <w:pPr>
        <w:pStyle w:val="ListParagraph"/>
        <w:numPr>
          <w:ilvl w:val="1"/>
          <w:numId w:val="7"/>
        </w:numPr>
        <w:spacing w:after="200" w:line="276" w:lineRule="auto"/>
        <w:jc w:val="both"/>
        <w:rPr>
          <w:rFonts w:ascii="Calibri" w:hAnsi="Calibri" w:cs="Calibri"/>
          <w:sz w:val="20"/>
          <w:szCs w:val="20"/>
        </w:rPr>
      </w:pPr>
      <w:r w:rsidRPr="001101B7">
        <w:rPr>
          <w:rFonts w:ascii="Calibri" w:hAnsi="Calibri" w:cs="Calibri"/>
          <w:sz w:val="20"/>
          <w:szCs w:val="20"/>
        </w:rPr>
        <w:t>Total cash of €1</w:t>
      </w:r>
      <w:r>
        <w:rPr>
          <w:rFonts w:ascii="Calibri" w:hAnsi="Calibri" w:cs="Calibri"/>
          <w:sz w:val="20"/>
          <w:szCs w:val="20"/>
        </w:rPr>
        <w:t>61</w:t>
      </w:r>
      <w:r w:rsidRPr="001101B7">
        <w:rPr>
          <w:rFonts w:ascii="Calibri" w:hAnsi="Calibri" w:cs="Calibri"/>
          <w:sz w:val="20"/>
          <w:szCs w:val="20"/>
        </w:rPr>
        <w:t xml:space="preserve"> million with €</w:t>
      </w:r>
      <w:r>
        <w:rPr>
          <w:rFonts w:ascii="Calibri" w:hAnsi="Calibri" w:cs="Calibri"/>
          <w:sz w:val="20"/>
          <w:szCs w:val="20"/>
        </w:rPr>
        <w:t>185</w:t>
      </w:r>
      <w:r w:rsidRPr="001101B7">
        <w:rPr>
          <w:rFonts w:ascii="Calibri" w:hAnsi="Calibri" w:cs="Calibri"/>
          <w:sz w:val="20"/>
          <w:szCs w:val="20"/>
        </w:rPr>
        <w:t xml:space="preserve"> million </w:t>
      </w:r>
      <w:r>
        <w:rPr>
          <w:rFonts w:ascii="Calibri" w:hAnsi="Calibri" w:cs="Calibri"/>
          <w:sz w:val="20"/>
          <w:szCs w:val="20"/>
        </w:rPr>
        <w:t xml:space="preserve">of </w:t>
      </w:r>
      <w:r w:rsidRPr="001101B7">
        <w:rPr>
          <w:rFonts w:ascii="Calibri" w:hAnsi="Calibri" w:cs="Calibri"/>
          <w:sz w:val="20"/>
          <w:szCs w:val="20"/>
        </w:rPr>
        <w:t xml:space="preserve">existing RCF capacity </w:t>
      </w:r>
      <w:r>
        <w:rPr>
          <w:rFonts w:ascii="Calibri" w:hAnsi="Calibri" w:cs="Calibri"/>
          <w:sz w:val="20"/>
          <w:szCs w:val="20"/>
        </w:rPr>
        <w:t xml:space="preserve">providing funding certainty for forward sales and supporting capital allocation optionality </w:t>
      </w:r>
    </w:p>
    <w:p w14:paraId="356985B7" w14:textId="77777777" w:rsidR="007B285C" w:rsidRDefault="007B285C" w:rsidP="007B285C">
      <w:pPr>
        <w:pStyle w:val="ListParagraph"/>
        <w:ind w:left="1440"/>
        <w:jc w:val="both"/>
        <w:rPr>
          <w:rFonts w:ascii="Calibri" w:hAnsi="Calibri" w:cs="Calibri"/>
          <w:sz w:val="20"/>
          <w:szCs w:val="20"/>
        </w:rPr>
      </w:pPr>
    </w:p>
    <w:p w14:paraId="2C3B97C5" w14:textId="77777777" w:rsidR="007B285C" w:rsidRDefault="007B285C" w:rsidP="007B285C">
      <w:pPr>
        <w:pStyle w:val="ListParagraph"/>
        <w:numPr>
          <w:ilvl w:val="0"/>
          <w:numId w:val="7"/>
        </w:numPr>
        <w:spacing w:after="200" w:line="276" w:lineRule="auto"/>
        <w:jc w:val="both"/>
        <w:rPr>
          <w:rFonts w:ascii="Calibri" w:hAnsi="Calibri" w:cs="Calibri"/>
          <w:sz w:val="20"/>
          <w:szCs w:val="20"/>
        </w:rPr>
      </w:pPr>
      <w:r>
        <w:rPr>
          <w:rFonts w:ascii="Calibri" w:hAnsi="Calibri" w:cs="Calibri"/>
          <w:sz w:val="20"/>
          <w:szCs w:val="20"/>
        </w:rPr>
        <w:t>New debt facility</w:t>
      </w:r>
    </w:p>
    <w:p w14:paraId="053A35B0" w14:textId="77777777" w:rsidR="007B285C" w:rsidRPr="00391055" w:rsidRDefault="007B285C" w:rsidP="007B285C">
      <w:pPr>
        <w:pStyle w:val="ListParagraph"/>
        <w:numPr>
          <w:ilvl w:val="1"/>
          <w:numId w:val="7"/>
        </w:numPr>
        <w:spacing w:after="200" w:line="276" w:lineRule="auto"/>
        <w:jc w:val="both"/>
      </w:pPr>
      <w:r>
        <w:rPr>
          <w:rFonts w:ascii="Calibri" w:hAnsi="Calibri" w:cs="Calibri"/>
          <w:sz w:val="20"/>
          <w:szCs w:val="20"/>
        </w:rPr>
        <w:t xml:space="preserve">€150 million 5-year term debt facility with an all-in interest rate of 4.1% agreed and used to repay RCF charged at </w:t>
      </w:r>
      <w:proofErr w:type="gramStart"/>
      <w:r>
        <w:rPr>
          <w:rFonts w:ascii="Calibri" w:hAnsi="Calibri" w:cs="Calibri"/>
          <w:sz w:val="20"/>
          <w:szCs w:val="20"/>
        </w:rPr>
        <w:t>5.3%</w:t>
      </w:r>
      <w:proofErr w:type="gramEnd"/>
    </w:p>
    <w:p w14:paraId="252A619A" w14:textId="77777777" w:rsidR="007B285C" w:rsidRPr="00030813" w:rsidRDefault="007B285C" w:rsidP="007B285C">
      <w:pPr>
        <w:pStyle w:val="ListParagraph"/>
        <w:spacing w:after="200"/>
        <w:jc w:val="both"/>
        <w:rPr>
          <w:rFonts w:ascii="Calibri" w:hAnsi="Calibri" w:cs="Calibri"/>
          <w:sz w:val="20"/>
          <w:szCs w:val="20"/>
        </w:rPr>
      </w:pPr>
    </w:p>
    <w:p w14:paraId="65EF216B" w14:textId="77777777" w:rsidR="007B285C" w:rsidRDefault="007B285C" w:rsidP="007B285C">
      <w:pPr>
        <w:pStyle w:val="ListParagraph"/>
        <w:numPr>
          <w:ilvl w:val="0"/>
          <w:numId w:val="7"/>
        </w:numPr>
        <w:spacing w:after="200" w:line="276" w:lineRule="auto"/>
        <w:jc w:val="both"/>
        <w:rPr>
          <w:rFonts w:ascii="Calibri" w:hAnsi="Calibri" w:cs="Calibri"/>
          <w:sz w:val="20"/>
          <w:szCs w:val="20"/>
        </w:rPr>
      </w:pPr>
      <w:r>
        <w:rPr>
          <w:rFonts w:ascii="Calibri" w:hAnsi="Calibri" w:cs="Calibri"/>
          <w:sz w:val="20"/>
          <w:szCs w:val="20"/>
        </w:rPr>
        <w:t xml:space="preserve">Active Asset Management </w:t>
      </w:r>
    </w:p>
    <w:p w14:paraId="21E1E2DC" w14:textId="63647D97" w:rsidR="007B285C" w:rsidRPr="00ED4EE3" w:rsidRDefault="007B285C" w:rsidP="007B285C">
      <w:pPr>
        <w:pStyle w:val="ListParagraph"/>
        <w:numPr>
          <w:ilvl w:val="1"/>
          <w:numId w:val="7"/>
        </w:numPr>
        <w:spacing w:after="200"/>
        <w:jc w:val="both"/>
        <w:rPr>
          <w:rFonts w:ascii="Calibri" w:hAnsi="Calibri" w:cs="Calibri"/>
          <w:sz w:val="20"/>
          <w:szCs w:val="20"/>
        </w:rPr>
      </w:pPr>
      <w:r>
        <w:rPr>
          <w:rFonts w:ascii="Calibri" w:hAnsi="Calibri" w:cs="Calibri"/>
          <w:sz w:val="20"/>
          <w:szCs w:val="20"/>
        </w:rPr>
        <w:lastRenderedPageBreak/>
        <w:t xml:space="preserve">Signed a 10-year power purchase agreement with Keppel DC REIT, a multinational data </w:t>
      </w:r>
      <w:proofErr w:type="spellStart"/>
      <w:r>
        <w:rPr>
          <w:rFonts w:ascii="Calibri" w:hAnsi="Calibri" w:cs="Calibri"/>
          <w:sz w:val="20"/>
          <w:szCs w:val="20"/>
        </w:rPr>
        <w:t>cent</w:t>
      </w:r>
      <w:r w:rsidR="00472C28">
        <w:rPr>
          <w:rFonts w:ascii="Calibri" w:hAnsi="Calibri" w:cs="Calibri"/>
          <w:sz w:val="20"/>
          <w:szCs w:val="20"/>
        </w:rPr>
        <w:t>er</w:t>
      </w:r>
      <w:proofErr w:type="spellEnd"/>
      <w:r>
        <w:rPr>
          <w:rFonts w:ascii="Calibri" w:hAnsi="Calibri" w:cs="Calibri"/>
          <w:sz w:val="20"/>
          <w:szCs w:val="20"/>
        </w:rPr>
        <w:t xml:space="preserve"> owner and operator, for 100% of the production of the Ballybane phase 1 wind farm with an annual output of 67 GWh, underpinning the increased demand for renewable electricity and demonstrating the Company’s ability to create and sustain long-term </w:t>
      </w:r>
      <w:proofErr w:type="gramStart"/>
      <w:r>
        <w:rPr>
          <w:rFonts w:ascii="Calibri" w:hAnsi="Calibri" w:cs="Calibri"/>
          <w:sz w:val="20"/>
          <w:szCs w:val="20"/>
        </w:rPr>
        <w:t>value</w:t>
      </w:r>
      <w:proofErr w:type="gramEnd"/>
    </w:p>
    <w:p w14:paraId="71C8D55B" w14:textId="77777777" w:rsidR="007B285C" w:rsidRPr="00030813" w:rsidRDefault="007B285C" w:rsidP="007B285C">
      <w:pPr>
        <w:rPr>
          <w:b/>
          <w:bCs/>
        </w:rPr>
      </w:pPr>
    </w:p>
    <w:p w14:paraId="647CD67D" w14:textId="77777777" w:rsidR="00474CD4" w:rsidRPr="00043C71" w:rsidRDefault="00474CD4" w:rsidP="003E0231">
      <w:pPr>
        <w:tabs>
          <w:tab w:val="left" w:pos="5760"/>
        </w:tabs>
        <w:contextualSpacing/>
        <w:jc w:val="both"/>
      </w:pPr>
    </w:p>
    <w:p w14:paraId="605EE841" w14:textId="6B4D3153" w:rsidR="003E0231" w:rsidRPr="00043C71" w:rsidRDefault="003E0231" w:rsidP="003E0231">
      <w:pPr>
        <w:tabs>
          <w:tab w:val="left" w:pos="5760"/>
        </w:tabs>
        <w:contextualSpacing/>
        <w:jc w:val="both"/>
      </w:pPr>
      <w:r w:rsidRPr="00043C71">
        <w:t>The Company</w:t>
      </w:r>
      <w:r w:rsidR="00D26F2C">
        <w:t>’</w:t>
      </w:r>
      <w:r w:rsidRPr="00043C71">
        <w:t xml:space="preserve">s </w:t>
      </w:r>
      <w:r w:rsidR="00474CD4">
        <w:t>March</w:t>
      </w:r>
      <w:r w:rsidR="001F3526">
        <w:t xml:space="preserve"> 202</w:t>
      </w:r>
      <w:r w:rsidR="00474CD4">
        <w:t>4</w:t>
      </w:r>
      <w:r w:rsidRPr="00043C71">
        <w:t xml:space="preserve"> Factsheet is available on the Company</w:t>
      </w:r>
      <w:r w:rsidR="00D26F2C">
        <w:t>’</w:t>
      </w:r>
      <w:r w:rsidRPr="00043C71">
        <w:t xml:space="preserve">s website, </w:t>
      </w:r>
      <w:hyperlink r:id="rId11" w:history="1">
        <w:r w:rsidRPr="00043C71">
          <w:rPr>
            <w:rStyle w:val="Hyperlink"/>
          </w:rPr>
          <w:t>www.greencoat-renewables.com</w:t>
        </w:r>
      </w:hyperlink>
      <w:r w:rsidR="00635906" w:rsidRPr="00043C71">
        <w:rPr>
          <w:rStyle w:val="Hyperlink"/>
        </w:rPr>
        <w:t>.</w:t>
      </w:r>
    </w:p>
    <w:p w14:paraId="349EEB31" w14:textId="77777777" w:rsidR="009034A5" w:rsidRDefault="009034A5" w:rsidP="009D646A">
      <w:pPr>
        <w:pStyle w:val="ListParagraph"/>
        <w:ind w:left="0"/>
        <w:jc w:val="both"/>
        <w:rPr>
          <w:rFonts w:cs="Arial"/>
        </w:rPr>
      </w:pPr>
    </w:p>
    <w:p w14:paraId="52D7C25F" w14:textId="77777777" w:rsidR="00BB1065" w:rsidRDefault="00BB1065" w:rsidP="002C2130">
      <w:pPr>
        <w:pStyle w:val="ListParagraph"/>
        <w:ind w:left="0"/>
        <w:jc w:val="both"/>
        <w:rPr>
          <w:bCs/>
        </w:rPr>
      </w:pPr>
    </w:p>
    <w:p w14:paraId="2E2048A3" w14:textId="049550CD" w:rsidR="009020C7" w:rsidRPr="00043C71" w:rsidRDefault="009020C7" w:rsidP="009020C7">
      <w:pPr>
        <w:pStyle w:val="ListParagraph"/>
        <w:numPr>
          <w:ilvl w:val="0"/>
          <w:numId w:val="4"/>
        </w:numPr>
        <w:tabs>
          <w:tab w:val="left" w:pos="5760"/>
        </w:tabs>
        <w:jc w:val="both"/>
      </w:pPr>
      <w:r w:rsidRPr="00043C71">
        <w:t xml:space="preserve">The Company also announces a quarterly interim dividend of </w:t>
      </w:r>
      <w:r w:rsidRPr="004A2B7A">
        <w:t>1.</w:t>
      </w:r>
      <w:r>
        <w:t>6</w:t>
      </w:r>
      <w:r w:rsidR="00474CD4">
        <w:t>85</w:t>
      </w:r>
      <w:r w:rsidRPr="004A2B7A">
        <w:t xml:space="preserve">c </w:t>
      </w:r>
      <w:r w:rsidRPr="00043C71">
        <w:t xml:space="preserve">per share with respect to the quarter ended </w:t>
      </w:r>
      <w:r>
        <w:t>3</w:t>
      </w:r>
      <w:r w:rsidR="006879C5">
        <w:t>1</w:t>
      </w:r>
      <w:r>
        <w:t xml:space="preserve"> </w:t>
      </w:r>
      <w:r w:rsidR="00474CD4">
        <w:t>March</w:t>
      </w:r>
      <w:r>
        <w:t xml:space="preserve"> 202</w:t>
      </w:r>
      <w:r w:rsidR="00474CD4">
        <w:t>4</w:t>
      </w:r>
      <w:r w:rsidRPr="00043C71">
        <w:t>.</w:t>
      </w:r>
    </w:p>
    <w:p w14:paraId="2293E437" w14:textId="77777777" w:rsidR="00893CD6" w:rsidRPr="005061C1" w:rsidRDefault="00893CD6" w:rsidP="005061C1">
      <w:pPr>
        <w:pStyle w:val="ListParagraph"/>
        <w:numPr>
          <w:ilvl w:val="0"/>
          <w:numId w:val="4"/>
        </w:numPr>
        <w:tabs>
          <w:tab w:val="left" w:pos="5760"/>
        </w:tabs>
        <w:jc w:val="both"/>
        <w:rPr>
          <w:b/>
        </w:rPr>
      </w:pPr>
    </w:p>
    <w:p w14:paraId="443B3134" w14:textId="77777777" w:rsidR="00893CD6" w:rsidRDefault="00893CD6" w:rsidP="002C2130">
      <w:pPr>
        <w:pStyle w:val="ListParagraph"/>
        <w:tabs>
          <w:tab w:val="left" w:pos="5760"/>
        </w:tabs>
        <w:ind w:left="0"/>
        <w:jc w:val="both"/>
        <w:rPr>
          <w:b/>
        </w:rPr>
      </w:pPr>
    </w:p>
    <w:p w14:paraId="78897C30" w14:textId="449D8437" w:rsidR="009020C7" w:rsidRPr="009020C7" w:rsidRDefault="009020C7" w:rsidP="009020C7">
      <w:pPr>
        <w:pStyle w:val="ListParagraph"/>
        <w:numPr>
          <w:ilvl w:val="0"/>
          <w:numId w:val="4"/>
        </w:numPr>
        <w:tabs>
          <w:tab w:val="left" w:pos="5760"/>
        </w:tabs>
        <w:jc w:val="both"/>
        <w:rPr>
          <w:b/>
        </w:rPr>
      </w:pPr>
      <w:r w:rsidRPr="009020C7">
        <w:rPr>
          <w:b/>
        </w:rPr>
        <w:t>Dividend Timetable</w:t>
      </w:r>
    </w:p>
    <w:p w14:paraId="4D6E3F83" w14:textId="74BAC7F8" w:rsidR="009020C7" w:rsidRPr="00043C71" w:rsidRDefault="009020C7" w:rsidP="009020C7">
      <w:pPr>
        <w:pStyle w:val="ListParagraph"/>
        <w:numPr>
          <w:ilvl w:val="0"/>
          <w:numId w:val="4"/>
        </w:numPr>
        <w:tabs>
          <w:tab w:val="left" w:pos="2835"/>
          <w:tab w:val="left" w:pos="5760"/>
        </w:tabs>
        <w:jc w:val="both"/>
      </w:pPr>
      <w:r w:rsidRPr="00043C71">
        <w:t>Ex-Dividend Date</w:t>
      </w:r>
      <w:r>
        <w:t>:</w:t>
      </w:r>
      <w:r w:rsidR="001660C7">
        <w:t xml:space="preserve"> </w:t>
      </w:r>
      <w:r w:rsidR="001660C7">
        <w:tab/>
        <w:t>02 May 2024</w:t>
      </w:r>
      <w:r>
        <w:tab/>
      </w:r>
    </w:p>
    <w:p w14:paraId="19876B05" w14:textId="0FDFB98D" w:rsidR="009020C7" w:rsidRPr="00043C71" w:rsidRDefault="009020C7" w:rsidP="009020C7">
      <w:pPr>
        <w:pStyle w:val="ListParagraph"/>
        <w:numPr>
          <w:ilvl w:val="0"/>
          <w:numId w:val="4"/>
        </w:numPr>
        <w:tabs>
          <w:tab w:val="left" w:pos="2835"/>
          <w:tab w:val="left" w:pos="5760"/>
        </w:tabs>
        <w:jc w:val="both"/>
      </w:pPr>
      <w:r w:rsidRPr="00043C71">
        <w:t>Record Date</w:t>
      </w:r>
      <w:r>
        <w:t>:</w:t>
      </w:r>
      <w:r w:rsidR="001660C7">
        <w:t xml:space="preserve"> </w:t>
      </w:r>
      <w:r w:rsidR="001660C7">
        <w:tab/>
        <w:t>03 May 2024</w:t>
      </w:r>
      <w:r>
        <w:tab/>
      </w:r>
    </w:p>
    <w:p w14:paraId="7B215DE7" w14:textId="73130991" w:rsidR="009020C7" w:rsidRPr="00043C71" w:rsidRDefault="009020C7" w:rsidP="009020C7">
      <w:pPr>
        <w:pStyle w:val="ListParagraph"/>
        <w:numPr>
          <w:ilvl w:val="0"/>
          <w:numId w:val="4"/>
        </w:numPr>
        <w:tabs>
          <w:tab w:val="left" w:pos="2835"/>
          <w:tab w:val="left" w:pos="5760"/>
        </w:tabs>
        <w:jc w:val="both"/>
      </w:pPr>
      <w:r w:rsidRPr="00043C71">
        <w:t>Payment Date</w:t>
      </w:r>
      <w:r>
        <w:t>:</w:t>
      </w:r>
      <w:r w:rsidR="001660C7">
        <w:t xml:space="preserve"> </w:t>
      </w:r>
      <w:r w:rsidR="001660C7">
        <w:tab/>
        <w:t>24 May 2024</w:t>
      </w:r>
      <w:r>
        <w:tab/>
      </w:r>
    </w:p>
    <w:p w14:paraId="1D892B6A" w14:textId="2EF16A70" w:rsidR="003450C3" w:rsidRDefault="003450C3" w:rsidP="009020C7">
      <w:pPr>
        <w:jc w:val="both"/>
        <w:rPr>
          <w:bCs/>
        </w:rPr>
      </w:pPr>
    </w:p>
    <w:p w14:paraId="7E8D0AAC" w14:textId="38F68A93" w:rsidR="009020C7" w:rsidRPr="009020C7" w:rsidRDefault="009020C7" w:rsidP="00AD0D60">
      <w:pPr>
        <w:jc w:val="center"/>
        <w:rPr>
          <w:bCs/>
        </w:rPr>
      </w:pPr>
      <w:r>
        <w:rPr>
          <w:bCs/>
        </w:rPr>
        <w:t>-ENDS-</w:t>
      </w:r>
    </w:p>
    <w:p w14:paraId="1BDC03F9" w14:textId="77777777" w:rsidR="00BB1065" w:rsidRDefault="00BB1065" w:rsidP="003450C3">
      <w:pPr>
        <w:pStyle w:val="ListParagraph"/>
        <w:numPr>
          <w:ilvl w:val="0"/>
          <w:numId w:val="4"/>
        </w:numPr>
        <w:jc w:val="both"/>
        <w:rPr>
          <w:bCs/>
          <w:lang w:val="fr-FR"/>
        </w:rPr>
      </w:pPr>
    </w:p>
    <w:p w14:paraId="749012E6" w14:textId="77777777" w:rsidR="00BB1065" w:rsidRDefault="00BB1065" w:rsidP="00BB1065">
      <w:pPr>
        <w:pStyle w:val="ListParagraph"/>
        <w:numPr>
          <w:ilvl w:val="0"/>
          <w:numId w:val="4"/>
        </w:numPr>
        <w:jc w:val="both"/>
        <w:rPr>
          <w:bCs/>
        </w:rPr>
      </w:pPr>
      <w:r>
        <w:rPr>
          <w:bCs/>
        </w:rPr>
        <w:t>For further information on the Announcement, please contact:</w:t>
      </w:r>
    </w:p>
    <w:p w14:paraId="74081164" w14:textId="77777777" w:rsidR="00BB1065" w:rsidRPr="0040219F" w:rsidRDefault="00BB1065" w:rsidP="003450C3">
      <w:pPr>
        <w:pStyle w:val="ListParagraph"/>
        <w:numPr>
          <w:ilvl w:val="0"/>
          <w:numId w:val="4"/>
        </w:numPr>
        <w:jc w:val="both"/>
      </w:pPr>
    </w:p>
    <w:p w14:paraId="32533BBA" w14:textId="62911CBB" w:rsidR="003450C3" w:rsidRDefault="003450C3" w:rsidP="003450C3">
      <w:pPr>
        <w:pStyle w:val="ListParagraph"/>
        <w:numPr>
          <w:ilvl w:val="0"/>
          <w:numId w:val="4"/>
        </w:numPr>
        <w:jc w:val="both"/>
        <w:rPr>
          <w:bCs/>
          <w:lang w:val="fr-FR"/>
        </w:rPr>
      </w:pPr>
      <w:r>
        <w:rPr>
          <w:bCs/>
          <w:lang w:val="fr-FR"/>
        </w:rPr>
        <w:t xml:space="preserve">Greencoat Renewables </w:t>
      </w:r>
      <w:proofErr w:type="gramStart"/>
      <w:r>
        <w:rPr>
          <w:bCs/>
          <w:lang w:val="fr-FR"/>
        </w:rPr>
        <w:t>PLC:</w:t>
      </w:r>
      <w:proofErr w:type="gramEnd"/>
      <w:r w:rsidR="00297CE7">
        <w:rPr>
          <w:bCs/>
          <w:lang w:val="fr-FR"/>
        </w:rPr>
        <w:tab/>
      </w:r>
      <w:r w:rsidR="00297CE7">
        <w:rPr>
          <w:bCs/>
          <w:lang w:val="fr-FR"/>
        </w:rPr>
        <w:tab/>
      </w:r>
      <w:r w:rsidR="00297CE7">
        <w:rPr>
          <w:bCs/>
          <w:lang w:val="fr-FR"/>
        </w:rPr>
        <w:tab/>
      </w:r>
      <w:r w:rsidR="00297CE7">
        <w:rPr>
          <w:bCs/>
          <w:lang w:val="fr-FR"/>
        </w:rPr>
        <w:tab/>
      </w:r>
      <w:r w:rsidR="00297CE7">
        <w:rPr>
          <w:bCs/>
          <w:lang w:val="fr-FR"/>
        </w:rPr>
        <w:tab/>
      </w:r>
      <w:r w:rsidR="00297CE7">
        <w:rPr>
          <w:bCs/>
          <w:lang w:val="fr-FR"/>
        </w:rPr>
        <w:tab/>
      </w:r>
      <w:r w:rsidR="00297CE7">
        <w:rPr>
          <w:bCs/>
          <w:lang w:val="fr-FR"/>
        </w:rPr>
        <w:tab/>
      </w:r>
      <w:r>
        <w:rPr>
          <w:bCs/>
          <w:lang w:val="fr-FR"/>
        </w:rPr>
        <w:t>+44 20 7832 9400</w:t>
      </w:r>
    </w:p>
    <w:p w14:paraId="3E272D94" w14:textId="77777777" w:rsidR="003450C3" w:rsidRDefault="003450C3" w:rsidP="003450C3">
      <w:pPr>
        <w:pStyle w:val="ListParagraph"/>
        <w:numPr>
          <w:ilvl w:val="0"/>
          <w:numId w:val="4"/>
        </w:numPr>
        <w:jc w:val="both"/>
        <w:rPr>
          <w:bCs/>
          <w:lang w:val="fr-FR"/>
        </w:rPr>
      </w:pPr>
      <w:r>
        <w:rPr>
          <w:bCs/>
          <w:lang w:val="fr-FR"/>
        </w:rPr>
        <w:t>Bertrand Gautier</w:t>
      </w:r>
    </w:p>
    <w:p w14:paraId="000C6CE6" w14:textId="77777777" w:rsidR="003450C3" w:rsidRDefault="003450C3" w:rsidP="003450C3">
      <w:pPr>
        <w:pStyle w:val="ListParagraph"/>
        <w:numPr>
          <w:ilvl w:val="0"/>
          <w:numId w:val="4"/>
        </w:numPr>
        <w:jc w:val="both"/>
        <w:rPr>
          <w:bCs/>
          <w:lang w:val="fr-FR"/>
        </w:rPr>
      </w:pPr>
      <w:r>
        <w:rPr>
          <w:bCs/>
          <w:lang w:val="fr-FR"/>
        </w:rPr>
        <w:t xml:space="preserve">Paul O’Donnell </w:t>
      </w:r>
      <w:r>
        <w:rPr>
          <w:bCs/>
          <w:lang w:val="fr-FR"/>
        </w:rPr>
        <w:tab/>
      </w:r>
      <w:r>
        <w:rPr>
          <w:bCs/>
          <w:lang w:val="fr-FR"/>
        </w:rPr>
        <w:tab/>
      </w:r>
    </w:p>
    <w:p w14:paraId="77BA56C5" w14:textId="4398C749" w:rsidR="003450C3" w:rsidRDefault="00340C62" w:rsidP="003450C3">
      <w:pPr>
        <w:pStyle w:val="ListParagraph"/>
        <w:numPr>
          <w:ilvl w:val="0"/>
          <w:numId w:val="4"/>
        </w:numPr>
        <w:jc w:val="both"/>
        <w:rPr>
          <w:bCs/>
        </w:rPr>
      </w:pPr>
      <w:r>
        <w:rPr>
          <w:bCs/>
        </w:rPr>
        <w:t>John Musk</w:t>
      </w:r>
    </w:p>
    <w:p w14:paraId="429FABA5" w14:textId="77777777" w:rsidR="003450C3" w:rsidRDefault="003450C3" w:rsidP="003450C3">
      <w:pPr>
        <w:pStyle w:val="ListParagraph"/>
        <w:numPr>
          <w:ilvl w:val="0"/>
          <w:numId w:val="4"/>
        </w:numPr>
        <w:jc w:val="both"/>
        <w:rPr>
          <w:bCs/>
        </w:rPr>
      </w:pPr>
    </w:p>
    <w:p w14:paraId="0288A599" w14:textId="40631A41" w:rsidR="003450C3" w:rsidRDefault="003450C3" w:rsidP="003450C3">
      <w:pPr>
        <w:pStyle w:val="ListParagraph"/>
        <w:numPr>
          <w:ilvl w:val="0"/>
          <w:numId w:val="4"/>
        </w:numPr>
        <w:jc w:val="both"/>
        <w:rPr>
          <w:bCs/>
        </w:rPr>
      </w:pPr>
      <w:r>
        <w:rPr>
          <w:bCs/>
        </w:rPr>
        <w:t>Davy (Joint Broker, Nomad and</w:t>
      </w:r>
      <w:r w:rsidR="00B9582A">
        <w:rPr>
          <w:bCs/>
        </w:rPr>
        <w:t xml:space="preserve"> </w:t>
      </w:r>
    </w:p>
    <w:p w14:paraId="4F458B17" w14:textId="4182C351" w:rsidR="003450C3" w:rsidRDefault="003450C3" w:rsidP="003450C3">
      <w:pPr>
        <w:pStyle w:val="ListParagraph"/>
        <w:numPr>
          <w:ilvl w:val="0"/>
          <w:numId w:val="4"/>
        </w:numPr>
        <w:jc w:val="both"/>
        <w:rPr>
          <w:bCs/>
        </w:rPr>
      </w:pPr>
      <w:r>
        <w:rPr>
          <w:bCs/>
        </w:rPr>
        <w:t xml:space="preserve">Euronext Growth </w:t>
      </w:r>
      <w:r w:rsidR="00B9582A">
        <w:rPr>
          <w:bCs/>
        </w:rPr>
        <w:t xml:space="preserve">Listing </w:t>
      </w:r>
      <w:r w:rsidR="00AE2A23">
        <w:rPr>
          <w:bCs/>
        </w:rPr>
        <w:t>Sponsor</w:t>
      </w:r>
      <w:r>
        <w:rPr>
          <w:bCs/>
        </w:rPr>
        <w:t>)</w:t>
      </w:r>
      <w:r w:rsidR="00297CE7">
        <w:rPr>
          <w:bCs/>
        </w:rPr>
        <w:tab/>
      </w:r>
      <w:r w:rsidR="00297CE7">
        <w:rPr>
          <w:bCs/>
        </w:rPr>
        <w:tab/>
      </w:r>
      <w:r w:rsidR="00297CE7">
        <w:rPr>
          <w:bCs/>
        </w:rPr>
        <w:tab/>
      </w:r>
      <w:r w:rsidR="00297CE7">
        <w:rPr>
          <w:bCs/>
        </w:rPr>
        <w:tab/>
      </w:r>
      <w:r w:rsidR="00297CE7">
        <w:rPr>
          <w:bCs/>
        </w:rPr>
        <w:tab/>
      </w:r>
      <w:r w:rsidR="00297CE7">
        <w:rPr>
          <w:bCs/>
        </w:rPr>
        <w:tab/>
      </w:r>
      <w:r w:rsidR="00B9582A">
        <w:rPr>
          <w:bCs/>
        </w:rPr>
        <w:t xml:space="preserve">   </w:t>
      </w:r>
      <w:r>
        <w:rPr>
          <w:bCs/>
        </w:rPr>
        <w:t>+353 1 6796363</w:t>
      </w:r>
    </w:p>
    <w:p w14:paraId="24E5ECD3" w14:textId="77777777" w:rsidR="003450C3" w:rsidRDefault="003450C3" w:rsidP="003450C3">
      <w:pPr>
        <w:pStyle w:val="ListParagraph"/>
        <w:numPr>
          <w:ilvl w:val="0"/>
          <w:numId w:val="4"/>
        </w:numPr>
        <w:jc w:val="both"/>
        <w:rPr>
          <w:bCs/>
        </w:rPr>
      </w:pPr>
      <w:r>
        <w:rPr>
          <w:bCs/>
        </w:rPr>
        <w:t>Ronan Veale</w:t>
      </w:r>
    </w:p>
    <w:p w14:paraId="5D47550F" w14:textId="04DB7E07" w:rsidR="003450C3" w:rsidRDefault="0084419F" w:rsidP="003450C3">
      <w:pPr>
        <w:pStyle w:val="ListParagraph"/>
        <w:numPr>
          <w:ilvl w:val="0"/>
          <w:numId w:val="4"/>
        </w:numPr>
        <w:jc w:val="both"/>
        <w:rPr>
          <w:bCs/>
        </w:rPr>
      </w:pPr>
      <w:r w:rsidRPr="0084419F">
        <w:rPr>
          <w:bCs/>
        </w:rPr>
        <w:t>Brian Garrahy </w:t>
      </w:r>
    </w:p>
    <w:p w14:paraId="737E911B" w14:textId="77777777" w:rsidR="0084419F" w:rsidRPr="0084419F" w:rsidRDefault="0084419F" w:rsidP="0084419F">
      <w:pPr>
        <w:jc w:val="both"/>
        <w:rPr>
          <w:bCs/>
        </w:rPr>
      </w:pPr>
    </w:p>
    <w:p w14:paraId="149710D8" w14:textId="019A75F3" w:rsidR="003450C3" w:rsidRDefault="003450C3" w:rsidP="003450C3">
      <w:pPr>
        <w:pStyle w:val="ListParagraph"/>
        <w:numPr>
          <w:ilvl w:val="0"/>
          <w:numId w:val="4"/>
        </w:numPr>
        <w:jc w:val="both"/>
        <w:rPr>
          <w:bCs/>
        </w:rPr>
      </w:pPr>
      <w:r>
        <w:rPr>
          <w:bCs/>
        </w:rPr>
        <w:t>RBC (Joint Broker)</w:t>
      </w:r>
      <w:r w:rsidR="00297CE7">
        <w:rPr>
          <w:bCs/>
        </w:rPr>
        <w:tab/>
      </w:r>
      <w:r w:rsidR="00297CE7">
        <w:rPr>
          <w:bCs/>
        </w:rPr>
        <w:tab/>
      </w:r>
      <w:r w:rsidR="00297CE7">
        <w:rPr>
          <w:bCs/>
        </w:rPr>
        <w:tab/>
      </w:r>
      <w:r w:rsidR="00297CE7">
        <w:rPr>
          <w:bCs/>
        </w:rPr>
        <w:tab/>
      </w:r>
      <w:r w:rsidR="00297CE7">
        <w:rPr>
          <w:bCs/>
        </w:rPr>
        <w:tab/>
      </w:r>
      <w:r w:rsidR="00297CE7">
        <w:rPr>
          <w:bCs/>
        </w:rPr>
        <w:tab/>
      </w:r>
      <w:r w:rsidR="00297CE7">
        <w:rPr>
          <w:bCs/>
        </w:rPr>
        <w:tab/>
      </w:r>
      <w:r w:rsidR="00297CE7">
        <w:rPr>
          <w:bCs/>
        </w:rPr>
        <w:tab/>
      </w:r>
      <w:r>
        <w:rPr>
          <w:bCs/>
        </w:rPr>
        <w:t>+44 20 7653 4000</w:t>
      </w:r>
    </w:p>
    <w:p w14:paraId="026DF3A2" w14:textId="77777777" w:rsidR="003450C3" w:rsidRDefault="003450C3" w:rsidP="003450C3">
      <w:pPr>
        <w:pStyle w:val="ListParagraph"/>
        <w:numPr>
          <w:ilvl w:val="0"/>
          <w:numId w:val="4"/>
        </w:numPr>
        <w:jc w:val="both"/>
        <w:rPr>
          <w:bCs/>
        </w:rPr>
      </w:pPr>
      <w:r>
        <w:rPr>
          <w:bCs/>
        </w:rPr>
        <w:t>Matthew Coakes</w:t>
      </w:r>
    </w:p>
    <w:p w14:paraId="3637C1D1" w14:textId="77777777" w:rsidR="00BB1065" w:rsidRDefault="00AE2A23" w:rsidP="00BB1065">
      <w:pPr>
        <w:pStyle w:val="ListParagraph"/>
        <w:numPr>
          <w:ilvl w:val="0"/>
          <w:numId w:val="4"/>
        </w:numPr>
        <w:jc w:val="both"/>
        <w:rPr>
          <w:bCs/>
        </w:rPr>
      </w:pPr>
      <w:r>
        <w:rPr>
          <w:bCs/>
        </w:rPr>
        <w:t>Elizabeth Evans</w:t>
      </w:r>
    </w:p>
    <w:p w14:paraId="443FC8D7" w14:textId="77777777" w:rsidR="00BB1065" w:rsidRDefault="00BB1065" w:rsidP="00BB1065">
      <w:pPr>
        <w:pStyle w:val="ListParagraph"/>
        <w:numPr>
          <w:ilvl w:val="0"/>
          <w:numId w:val="4"/>
        </w:numPr>
        <w:jc w:val="both"/>
        <w:rPr>
          <w:bCs/>
        </w:rPr>
      </w:pPr>
    </w:p>
    <w:p w14:paraId="396DBBAC" w14:textId="1413520F" w:rsidR="00B16700" w:rsidRPr="00BB1065" w:rsidRDefault="003450C3" w:rsidP="00BB1065">
      <w:pPr>
        <w:pStyle w:val="ListParagraph"/>
        <w:numPr>
          <w:ilvl w:val="0"/>
          <w:numId w:val="4"/>
        </w:numPr>
        <w:jc w:val="both"/>
        <w:rPr>
          <w:bCs/>
        </w:rPr>
      </w:pPr>
      <w:r w:rsidRPr="00BB1065">
        <w:rPr>
          <w:bCs/>
        </w:rPr>
        <w:t>FTI Consulting (Media Enquiries</w:t>
      </w:r>
      <w:r w:rsidR="00297CE7" w:rsidRPr="00BB1065">
        <w:rPr>
          <w:bCs/>
        </w:rPr>
        <w:t>)</w:t>
      </w:r>
      <w:r w:rsidR="00297CE7" w:rsidRPr="00BB1065">
        <w:rPr>
          <w:bCs/>
        </w:rPr>
        <w:tab/>
      </w:r>
      <w:r w:rsidR="00297CE7" w:rsidRPr="00BB1065">
        <w:rPr>
          <w:bCs/>
        </w:rPr>
        <w:tab/>
      </w:r>
      <w:r w:rsidR="00297CE7" w:rsidRPr="00BB1065">
        <w:rPr>
          <w:bCs/>
        </w:rPr>
        <w:tab/>
      </w:r>
      <w:r w:rsidR="00297CE7" w:rsidRPr="00BB1065">
        <w:rPr>
          <w:bCs/>
        </w:rPr>
        <w:tab/>
      </w:r>
      <w:r w:rsidR="00297CE7" w:rsidRPr="00BB1065">
        <w:rPr>
          <w:bCs/>
        </w:rPr>
        <w:tab/>
      </w:r>
      <w:r w:rsidR="00297CE7" w:rsidRPr="00BB1065">
        <w:rPr>
          <w:bCs/>
        </w:rPr>
        <w:tab/>
      </w:r>
      <w:r w:rsidR="00B16700" w:rsidRPr="00BB1065">
        <w:rPr>
          <w:bCs/>
        </w:rPr>
        <w:t>+353 1 765 0886</w:t>
      </w:r>
    </w:p>
    <w:p w14:paraId="7A91B329" w14:textId="62DA3B0E" w:rsidR="00297CE7" w:rsidRPr="00297CE7" w:rsidRDefault="00B16700" w:rsidP="0053604D">
      <w:pPr>
        <w:pStyle w:val="ListParagraph"/>
        <w:numPr>
          <w:ilvl w:val="0"/>
          <w:numId w:val="4"/>
        </w:numPr>
        <w:jc w:val="both"/>
        <w:rPr>
          <w:bCs/>
        </w:rPr>
      </w:pPr>
      <w:r w:rsidRPr="00297CE7">
        <w:rPr>
          <w:bCs/>
        </w:rPr>
        <w:t>Melanie Farrell</w:t>
      </w:r>
      <w:r w:rsidR="00297CE7" w:rsidRPr="00297CE7">
        <w:rPr>
          <w:bCs/>
        </w:rPr>
        <w:tab/>
      </w:r>
      <w:r w:rsidR="00297CE7" w:rsidRPr="00297CE7">
        <w:rPr>
          <w:bCs/>
        </w:rPr>
        <w:tab/>
      </w:r>
      <w:r w:rsidR="00297CE7" w:rsidRPr="00297CE7">
        <w:rPr>
          <w:bCs/>
        </w:rPr>
        <w:tab/>
      </w:r>
      <w:r w:rsidR="00297CE7" w:rsidRPr="00297CE7">
        <w:rPr>
          <w:bCs/>
        </w:rPr>
        <w:tab/>
      </w:r>
      <w:r w:rsidR="00297CE7" w:rsidRPr="00297CE7">
        <w:rPr>
          <w:bCs/>
        </w:rPr>
        <w:tab/>
      </w:r>
      <w:r w:rsidR="00297CE7" w:rsidRPr="00297CE7">
        <w:rPr>
          <w:bCs/>
        </w:rPr>
        <w:tab/>
      </w:r>
      <w:r w:rsidR="00297CE7">
        <w:rPr>
          <w:bCs/>
        </w:rPr>
        <w:t xml:space="preserve">    </w:t>
      </w:r>
      <w:hyperlink r:id="rId12" w:history="1">
        <w:r w:rsidR="00297CE7" w:rsidRPr="00DE0334">
          <w:rPr>
            <w:rStyle w:val="Hyperlink"/>
          </w:rPr>
          <w:t>greencoat@fticonsulting.com</w:t>
        </w:r>
      </w:hyperlink>
    </w:p>
    <w:p w14:paraId="4F7A83B9" w14:textId="77777777" w:rsidR="00AE2A23" w:rsidRPr="00297CE7" w:rsidRDefault="001721AE" w:rsidP="0053604D">
      <w:pPr>
        <w:pStyle w:val="ListParagraph"/>
        <w:numPr>
          <w:ilvl w:val="0"/>
          <w:numId w:val="4"/>
        </w:numPr>
        <w:jc w:val="both"/>
        <w:rPr>
          <w:bCs/>
        </w:rPr>
      </w:pPr>
      <w:r>
        <w:rPr>
          <w:bCs/>
        </w:rPr>
        <w:t>Aoife Mullen</w:t>
      </w:r>
    </w:p>
    <w:p w14:paraId="56031464" w14:textId="77777777" w:rsidR="003450C3" w:rsidRDefault="003450C3" w:rsidP="003450C3">
      <w:pPr>
        <w:pStyle w:val="ListParagraph"/>
        <w:numPr>
          <w:ilvl w:val="0"/>
          <w:numId w:val="4"/>
        </w:numPr>
        <w:jc w:val="both"/>
        <w:rPr>
          <w:rFonts w:ascii="Book Antiqua" w:hAnsi="Book Antiqua"/>
          <w:b/>
          <w:bCs/>
          <w:sz w:val="20"/>
          <w:szCs w:val="20"/>
        </w:rPr>
      </w:pPr>
    </w:p>
    <w:p w14:paraId="4F32222F" w14:textId="77777777" w:rsidR="003450C3" w:rsidRDefault="003450C3" w:rsidP="003450C3">
      <w:pPr>
        <w:pStyle w:val="ListParagraph"/>
        <w:numPr>
          <w:ilvl w:val="0"/>
          <w:numId w:val="4"/>
        </w:numPr>
        <w:jc w:val="both"/>
        <w:rPr>
          <w:rFonts w:cstheme="minorHAnsi"/>
          <w:b/>
          <w:bCs/>
        </w:rPr>
      </w:pPr>
      <w:r>
        <w:rPr>
          <w:rFonts w:cstheme="minorHAnsi"/>
          <w:b/>
          <w:bCs/>
        </w:rPr>
        <w:t>About Greencoat Renewables PLC</w:t>
      </w:r>
    </w:p>
    <w:p w14:paraId="51564774" w14:textId="05BB867A" w:rsidR="003450C3" w:rsidRDefault="003450C3" w:rsidP="003450C3">
      <w:pPr>
        <w:pStyle w:val="ListParagraph"/>
        <w:numPr>
          <w:ilvl w:val="0"/>
          <w:numId w:val="4"/>
        </w:numPr>
        <w:jc w:val="both"/>
      </w:pPr>
      <w:r>
        <w:t>Greencoat Renewables PLC is an investor in euro-denominated renewable energy infrastructure assets. Initially focused solely on the acquisition and management of operating wind farms in</w:t>
      </w:r>
      <w:r w:rsidR="00962676">
        <w:t xml:space="preserve"> </w:t>
      </w:r>
      <w:r>
        <w:t>Ireland, the Company also invest</w:t>
      </w:r>
      <w:r w:rsidR="006879C5">
        <w:t>s</w:t>
      </w:r>
      <w:r>
        <w:t xml:space="preserve"> in wind and solar assets in certain other European countries with stable and robust renewable energy frameworks. It is managed by </w:t>
      </w:r>
      <w:r w:rsidR="00962676">
        <w:t xml:space="preserve">Schroders </w:t>
      </w:r>
      <w:r>
        <w:t>Greencoat LLP, an experienced investment manager in the listed renewable energy infrastructure sector.</w:t>
      </w:r>
    </w:p>
    <w:p w14:paraId="7F301B60" w14:textId="77777777" w:rsidR="00043C71" w:rsidRPr="003450C3" w:rsidRDefault="00043C71" w:rsidP="003450C3">
      <w:pPr>
        <w:pStyle w:val="ListParagraph"/>
        <w:ind w:left="0"/>
        <w:jc w:val="both"/>
        <w:rPr>
          <w:rFonts w:cs="Arial"/>
        </w:rPr>
      </w:pPr>
    </w:p>
    <w:p w14:paraId="09D59E7D" w14:textId="77777777" w:rsidR="00EB7AC8" w:rsidRPr="00043C71" w:rsidRDefault="007457E0" w:rsidP="00EB7AC8">
      <w:pPr>
        <w:jc w:val="both"/>
        <w:rPr>
          <w:b/>
        </w:rPr>
      </w:pPr>
      <w:r w:rsidRPr="00043C71">
        <w:rPr>
          <w:b/>
        </w:rPr>
        <w:lastRenderedPageBreak/>
        <w:t xml:space="preserve">Forward Looking Statements and </w:t>
      </w:r>
      <w:r w:rsidR="00EB7AC8" w:rsidRPr="00043C71">
        <w:rPr>
          <w:b/>
        </w:rPr>
        <w:t>Important Information</w:t>
      </w:r>
    </w:p>
    <w:p w14:paraId="632DCF7D" w14:textId="77777777" w:rsidR="007457E0" w:rsidRPr="00043C71" w:rsidRDefault="007457E0" w:rsidP="00EB7AC8">
      <w:pPr>
        <w:jc w:val="both"/>
      </w:pPr>
    </w:p>
    <w:p w14:paraId="6F7DE372" w14:textId="2407AE8E" w:rsidR="007457E0" w:rsidRPr="00043C71" w:rsidRDefault="007457E0" w:rsidP="007457E0">
      <w:pPr>
        <w:jc w:val="both"/>
      </w:pPr>
      <w:r w:rsidRPr="00043C71">
        <w:t>This announcement may include statements that are, or may be deemed to be</w:t>
      </w:r>
      <w:r w:rsidR="00882DAA" w:rsidRPr="00043C71">
        <w:t xml:space="preserve">, “forward-looking statements”, including terms such as “believes”, “estimates”, “anticipates”, “expects”, “intends”, “may”, “plans”, “projects”, “will”, “explore” or “should” or, in each case, their negative or other variations or comparable terminology or by discussions of strategy, plans, objectives, goals, future events or intentions. </w:t>
      </w:r>
      <w:r w:rsidRPr="00043C71">
        <w:t>Forward-looking statements include all matters that are not historical facts. By their nature, forward-looking statements involve risks and uncertainties because they relate to future events and depend on circumstances that may or may not occur in the future. Forward-looking statements are not guarantees of future performance. The Company’s actual investment performance, results of operations, financial condition, liquidity, distribution policy and the development of its financing strategies may differ materially from the impression created by, or described in or suggested by, the forward-looking statements contained in this announcement.</w:t>
      </w:r>
      <w:r w:rsidR="0083577D" w:rsidRPr="00043C71">
        <w:t xml:space="preserve"> </w:t>
      </w:r>
      <w:r w:rsidR="00D027A7" w:rsidRPr="00043C71">
        <w:t xml:space="preserve">In addition, this announcement may include target figures for future financial periods. Any such figures are targets only and are not forecasts. </w:t>
      </w:r>
      <w:r w:rsidR="0083577D" w:rsidRPr="00043C71">
        <w:t xml:space="preserve">Subject to their legal and regulatory obligations, Greencoat Renewables, the </w:t>
      </w:r>
      <w:proofErr w:type="gramStart"/>
      <w:r w:rsidR="0083577D" w:rsidRPr="00043C71">
        <w:t>Directors</w:t>
      </w:r>
      <w:proofErr w:type="gramEnd"/>
      <w:r w:rsidR="0083577D" w:rsidRPr="00043C71">
        <w:t xml:space="preserve"> and </w:t>
      </w:r>
      <w:r w:rsidR="00962676">
        <w:t xml:space="preserve">Schroders </w:t>
      </w:r>
      <w:r w:rsidR="0083577D" w:rsidRPr="00043C71">
        <w:t>Greencoat LLP</w:t>
      </w:r>
      <w:r w:rsidR="00791EA9">
        <w:t xml:space="preserve">, </w:t>
      </w:r>
      <w:r w:rsidR="0083577D" w:rsidRPr="00043C71">
        <w:t>expressly disclaim any obligations to update or revise any forward-looking statement contained herein to reflect any change in expectations with regard thereto or any change in events, conditions or circumstances on which any statement is based.</w:t>
      </w:r>
    </w:p>
    <w:p w14:paraId="4B8B81FA" w14:textId="2396CA5D" w:rsidR="003A7A98" w:rsidRDefault="0083577D" w:rsidP="00ED63DD">
      <w:pPr>
        <w:pStyle w:val="NormalWeb"/>
        <w:rPr>
          <w:rFonts w:asciiTheme="minorHAnsi" w:eastAsiaTheme="minorHAnsi" w:hAnsiTheme="minorHAnsi" w:cstheme="minorBidi"/>
          <w:lang w:val="en-GB" w:eastAsia="en-US"/>
        </w:rPr>
      </w:pPr>
      <w:r w:rsidRPr="00043C71">
        <w:rPr>
          <w:rFonts w:asciiTheme="minorHAnsi" w:eastAsiaTheme="minorHAnsi" w:hAnsiTheme="minorHAnsi" w:cstheme="minorBidi"/>
          <w:lang w:val="en-GB" w:eastAsia="en-US"/>
        </w:rPr>
        <w:t xml:space="preserve">The financial information contained in this announcement has not </w:t>
      </w:r>
      <w:r w:rsidR="00C10C4A" w:rsidRPr="00043C71">
        <w:rPr>
          <w:rFonts w:asciiTheme="minorHAnsi" w:eastAsiaTheme="minorHAnsi" w:hAnsiTheme="minorHAnsi" w:cstheme="minorBidi"/>
          <w:lang w:val="en-GB" w:eastAsia="en-US"/>
        </w:rPr>
        <w:t>been audited or reviewed by Greencoat Renewables’ a</w:t>
      </w:r>
      <w:r w:rsidRPr="00043C71">
        <w:rPr>
          <w:rFonts w:asciiTheme="minorHAnsi" w:eastAsiaTheme="minorHAnsi" w:hAnsiTheme="minorHAnsi" w:cstheme="minorBidi"/>
          <w:lang w:val="en-GB" w:eastAsia="en-US"/>
        </w:rPr>
        <w:t>uditor</w:t>
      </w:r>
      <w:r w:rsidR="00C10C4A" w:rsidRPr="00043C71">
        <w:rPr>
          <w:rFonts w:asciiTheme="minorHAnsi" w:eastAsiaTheme="minorHAnsi" w:hAnsiTheme="minorHAnsi" w:cstheme="minorBidi"/>
          <w:lang w:val="en-GB" w:eastAsia="en-US"/>
        </w:rPr>
        <w:t>s</w:t>
      </w:r>
      <w:r w:rsidRPr="00043C71">
        <w:rPr>
          <w:rFonts w:asciiTheme="minorHAnsi" w:eastAsiaTheme="minorHAnsi" w:hAnsiTheme="minorHAnsi" w:cstheme="minorBidi"/>
          <w:lang w:val="en-GB" w:eastAsia="en-US"/>
        </w:rPr>
        <w:t xml:space="preserve"> in accordance with the International Standards on Auditing (Ireland) or International Standa</w:t>
      </w:r>
      <w:r w:rsidR="00C10C4A" w:rsidRPr="00043C71">
        <w:rPr>
          <w:rFonts w:asciiTheme="minorHAnsi" w:eastAsiaTheme="minorHAnsi" w:hAnsiTheme="minorHAnsi" w:cstheme="minorBidi"/>
          <w:lang w:val="en-GB" w:eastAsia="en-US"/>
        </w:rPr>
        <w:t>rd on Review Engagements</w:t>
      </w:r>
      <w:r w:rsidRPr="00043C71">
        <w:rPr>
          <w:rFonts w:asciiTheme="minorHAnsi" w:eastAsiaTheme="minorHAnsi" w:hAnsiTheme="minorHAnsi" w:cstheme="minorBidi"/>
          <w:lang w:val="en-GB" w:eastAsia="en-US"/>
        </w:rPr>
        <w:t>.</w:t>
      </w:r>
    </w:p>
    <w:p w14:paraId="6ADE2328" w14:textId="66F79969" w:rsidR="00BB1065" w:rsidRDefault="00BB1065" w:rsidP="00ED63DD">
      <w:pPr>
        <w:pStyle w:val="NormalWeb"/>
        <w:rPr>
          <w:rFonts w:asciiTheme="minorHAnsi" w:eastAsiaTheme="minorHAnsi" w:hAnsiTheme="minorHAnsi" w:cstheme="minorBidi"/>
          <w:lang w:val="en-GB" w:eastAsia="en-US"/>
        </w:rPr>
      </w:pPr>
    </w:p>
    <w:p w14:paraId="43C52FEE" w14:textId="7ECC8EAE" w:rsidR="00BB1065" w:rsidRDefault="00BB1065" w:rsidP="00ED63DD">
      <w:pPr>
        <w:pStyle w:val="NormalWeb"/>
        <w:rPr>
          <w:rFonts w:asciiTheme="minorHAnsi" w:eastAsiaTheme="minorHAnsi" w:hAnsiTheme="minorHAnsi" w:cstheme="minorBidi"/>
          <w:lang w:val="en-GB" w:eastAsia="en-US"/>
        </w:rPr>
      </w:pPr>
    </w:p>
    <w:p w14:paraId="088AA585" w14:textId="49FC9FFB" w:rsidR="00BB1065" w:rsidRDefault="00BB1065" w:rsidP="00ED63DD">
      <w:pPr>
        <w:pStyle w:val="NormalWeb"/>
        <w:rPr>
          <w:rFonts w:asciiTheme="minorHAnsi" w:eastAsiaTheme="minorHAnsi" w:hAnsiTheme="minorHAnsi" w:cstheme="minorBidi"/>
          <w:lang w:val="en-GB" w:eastAsia="en-US"/>
        </w:rPr>
      </w:pPr>
    </w:p>
    <w:p w14:paraId="7B9230A7" w14:textId="32617A05" w:rsidR="00BB1065" w:rsidRDefault="00BB1065" w:rsidP="00ED63DD">
      <w:pPr>
        <w:pStyle w:val="NormalWeb"/>
        <w:rPr>
          <w:rFonts w:asciiTheme="minorHAnsi" w:eastAsiaTheme="minorHAnsi" w:hAnsiTheme="minorHAnsi" w:cstheme="minorBidi"/>
          <w:lang w:val="en-GB" w:eastAsia="en-US"/>
        </w:rPr>
      </w:pPr>
    </w:p>
    <w:p w14:paraId="5D8B585C" w14:textId="45C9B988" w:rsidR="00BB1065" w:rsidRDefault="00BB1065" w:rsidP="00ED63DD">
      <w:pPr>
        <w:pStyle w:val="NormalWeb"/>
        <w:rPr>
          <w:rFonts w:asciiTheme="minorHAnsi" w:eastAsiaTheme="minorHAnsi" w:hAnsiTheme="minorHAnsi" w:cstheme="minorBidi"/>
          <w:lang w:val="en-GB" w:eastAsia="en-US"/>
        </w:rPr>
      </w:pPr>
    </w:p>
    <w:p w14:paraId="66DF76C3" w14:textId="73BA6F0A" w:rsidR="00BB1065" w:rsidRPr="00BB1065" w:rsidRDefault="00BB1065" w:rsidP="00ED63DD">
      <w:pPr>
        <w:pStyle w:val="ListParagraph"/>
        <w:numPr>
          <w:ilvl w:val="0"/>
          <w:numId w:val="4"/>
        </w:numPr>
        <w:jc w:val="center"/>
        <w:rPr>
          <w:b/>
        </w:rPr>
      </w:pPr>
    </w:p>
    <w:sectPr w:rsidR="00BB1065" w:rsidRPr="00BB1065" w:rsidSect="00675CA8">
      <w:footerReference w:type="default" r:id="rId13"/>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458DF" w14:textId="77777777" w:rsidR="00675CA8" w:rsidRDefault="00675CA8" w:rsidP="00ED62DE">
      <w:r>
        <w:separator/>
      </w:r>
    </w:p>
  </w:endnote>
  <w:endnote w:type="continuationSeparator" w:id="0">
    <w:p w14:paraId="0BCB597B" w14:textId="77777777" w:rsidR="00675CA8" w:rsidRDefault="00675CA8" w:rsidP="00ED62DE">
      <w:r>
        <w:continuationSeparator/>
      </w:r>
    </w:p>
  </w:endnote>
  <w:endnote w:type="continuationNotice" w:id="1">
    <w:p w14:paraId="5FFA03FC" w14:textId="77777777" w:rsidR="00675CA8" w:rsidRDefault="00675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TimesNewRomanPS-BoldMT">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E7F2" w14:textId="7D44A319" w:rsidR="005A320C" w:rsidRPr="00050515" w:rsidRDefault="005A320C" w:rsidP="005A320C">
    <w:pPr>
      <w:pStyle w:val="FootnoteText"/>
    </w:pPr>
  </w:p>
  <w:p w14:paraId="348E7529" w14:textId="77777777" w:rsidR="005A320C" w:rsidRPr="00B713E6" w:rsidRDefault="005A320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3B9A3" w14:textId="77777777" w:rsidR="00675CA8" w:rsidRDefault="00675CA8" w:rsidP="00ED62DE">
      <w:r>
        <w:separator/>
      </w:r>
    </w:p>
  </w:footnote>
  <w:footnote w:type="continuationSeparator" w:id="0">
    <w:p w14:paraId="2007D6A1" w14:textId="77777777" w:rsidR="00675CA8" w:rsidRDefault="00675CA8" w:rsidP="00ED62DE">
      <w:r>
        <w:continuationSeparator/>
      </w:r>
    </w:p>
  </w:footnote>
  <w:footnote w:type="continuationNotice" w:id="1">
    <w:p w14:paraId="0D19E814" w14:textId="77777777" w:rsidR="00675CA8" w:rsidRDefault="00675CA8"/>
  </w:footnote>
  <w:footnote w:id="2">
    <w:p w14:paraId="40ADF02E" w14:textId="77777777" w:rsidR="007B285C" w:rsidRPr="00DB3BE9" w:rsidRDefault="007B285C" w:rsidP="007B285C">
      <w:pPr>
        <w:pStyle w:val="FootnoteText"/>
        <w:rPr>
          <w:rFonts w:ascii="Calibri" w:hAnsi="Calibri" w:cs="Calibri"/>
        </w:rPr>
      </w:pPr>
      <w:r w:rsidRPr="00DB3BE9">
        <w:rPr>
          <w:rStyle w:val="FootnoteReference"/>
          <w:rFonts w:ascii="Calibri" w:hAnsi="Calibri" w:cs="Calibri"/>
          <w:sz w:val="16"/>
          <w:szCs w:val="16"/>
        </w:rPr>
        <w:footnoteRef/>
      </w:r>
      <w:r w:rsidRPr="00DB3BE9">
        <w:rPr>
          <w:rFonts w:ascii="Calibri" w:hAnsi="Calibri" w:cs="Calibri"/>
          <w:sz w:val="16"/>
          <w:szCs w:val="16"/>
        </w:rPr>
        <w:t xml:space="preserve"> </w:t>
      </w:r>
      <w:r>
        <w:rPr>
          <w:rFonts w:ascii="Calibri" w:hAnsi="Calibri" w:cs="Calibri"/>
          <w:sz w:val="16"/>
          <w:szCs w:val="16"/>
        </w:rPr>
        <w:t>Gross cash generation and equating to 4.0x dividend cover. Net cash generation of €71.7 million, 3.9x dividend cover.</w:t>
      </w:r>
    </w:p>
  </w:footnote>
  <w:footnote w:id="3">
    <w:p w14:paraId="6BE3F2BE" w14:textId="77777777" w:rsidR="007B285C" w:rsidRPr="00481DD2" w:rsidRDefault="007B285C" w:rsidP="007B285C">
      <w:pPr>
        <w:pStyle w:val="FootnoteText"/>
        <w:rPr>
          <w:rFonts w:ascii="Calibri" w:hAnsi="Calibri" w:cs="Calibri"/>
          <w:lang w:val="en-GB"/>
        </w:rPr>
      </w:pPr>
      <w:r w:rsidRPr="00481DD2">
        <w:rPr>
          <w:rStyle w:val="FootnoteReference"/>
          <w:rFonts w:ascii="Calibri" w:hAnsi="Calibri" w:cs="Calibri"/>
          <w:sz w:val="16"/>
          <w:szCs w:val="16"/>
        </w:rPr>
        <w:footnoteRef/>
      </w:r>
      <w:r w:rsidRPr="00481DD2">
        <w:rPr>
          <w:rFonts w:ascii="Calibri" w:hAnsi="Calibri" w:cs="Calibri"/>
          <w:sz w:val="16"/>
          <w:szCs w:val="16"/>
        </w:rPr>
        <w:t xml:space="preserve"> </w:t>
      </w:r>
      <w:r w:rsidRPr="00481DD2">
        <w:rPr>
          <w:rFonts w:ascii="Calibri" w:hAnsi="Calibri" w:cs="Calibri"/>
          <w:sz w:val="16"/>
          <w:szCs w:val="16"/>
          <w:lang w:val="en-GB"/>
        </w:rPr>
        <w:t>Based on unlevered portfolio IRR of 7.1%, long term gearing assumption of 40% and cost of debt assumption of 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7F41C2"/>
    <w:multiLevelType w:val="hybridMultilevel"/>
    <w:tmpl w:val="8A3815CE"/>
    <w:lvl w:ilvl="0" w:tplc="736ED25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B28DF"/>
    <w:multiLevelType w:val="hybridMultilevel"/>
    <w:tmpl w:val="20E2E7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16659A"/>
    <w:multiLevelType w:val="hybridMultilevel"/>
    <w:tmpl w:val="1390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A0811"/>
    <w:multiLevelType w:val="hybridMultilevel"/>
    <w:tmpl w:val="4C861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87277"/>
    <w:multiLevelType w:val="hybridMultilevel"/>
    <w:tmpl w:val="B44C397E"/>
    <w:lvl w:ilvl="0" w:tplc="D6E487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680414">
    <w:abstractNumId w:val="1"/>
  </w:num>
  <w:num w:numId="2" w16cid:durableId="978462167">
    <w:abstractNumId w:val="5"/>
  </w:num>
  <w:num w:numId="3" w16cid:durableId="1842160551">
    <w:abstractNumId w:val="8"/>
  </w:num>
  <w:num w:numId="4" w16cid:durableId="372048351">
    <w:abstractNumId w:val="0"/>
  </w:num>
  <w:num w:numId="5" w16cid:durableId="1945727216">
    <w:abstractNumId w:val="3"/>
  </w:num>
  <w:num w:numId="6" w16cid:durableId="1535072501">
    <w:abstractNumId w:val="7"/>
  </w:num>
  <w:num w:numId="7" w16cid:durableId="296494391">
    <w:abstractNumId w:val="6"/>
  </w:num>
  <w:num w:numId="8" w16cid:durableId="983778586">
    <w:abstractNumId w:val="2"/>
  </w:num>
  <w:num w:numId="9" w16cid:durableId="561990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05A94"/>
    <w:rsid w:val="000163FD"/>
    <w:rsid w:val="0003640F"/>
    <w:rsid w:val="000408E3"/>
    <w:rsid w:val="00043C71"/>
    <w:rsid w:val="0004541B"/>
    <w:rsid w:val="00046B77"/>
    <w:rsid w:val="0005059B"/>
    <w:rsid w:val="00054753"/>
    <w:rsid w:val="00055EA5"/>
    <w:rsid w:val="00060DA4"/>
    <w:rsid w:val="00066080"/>
    <w:rsid w:val="00097565"/>
    <w:rsid w:val="00097DF0"/>
    <w:rsid w:val="000A1C0F"/>
    <w:rsid w:val="000F0E56"/>
    <w:rsid w:val="0010201D"/>
    <w:rsid w:val="00125263"/>
    <w:rsid w:val="001377B0"/>
    <w:rsid w:val="0014419A"/>
    <w:rsid w:val="00152329"/>
    <w:rsid w:val="00154A1F"/>
    <w:rsid w:val="00165659"/>
    <w:rsid w:val="001660C7"/>
    <w:rsid w:val="001721AE"/>
    <w:rsid w:val="001722B6"/>
    <w:rsid w:val="0017401F"/>
    <w:rsid w:val="00186F85"/>
    <w:rsid w:val="00193982"/>
    <w:rsid w:val="00194B85"/>
    <w:rsid w:val="001A28A1"/>
    <w:rsid w:val="001A5F6E"/>
    <w:rsid w:val="001A6E56"/>
    <w:rsid w:val="001B2E1A"/>
    <w:rsid w:val="001C332B"/>
    <w:rsid w:val="001E2D5B"/>
    <w:rsid w:val="001F0D24"/>
    <w:rsid w:val="001F3526"/>
    <w:rsid w:val="00214EF5"/>
    <w:rsid w:val="00220C2A"/>
    <w:rsid w:val="00231EF3"/>
    <w:rsid w:val="00232F6B"/>
    <w:rsid w:val="00240470"/>
    <w:rsid w:val="00247DE0"/>
    <w:rsid w:val="0025451C"/>
    <w:rsid w:val="00254550"/>
    <w:rsid w:val="002554CA"/>
    <w:rsid w:val="0026247E"/>
    <w:rsid w:val="00270A4D"/>
    <w:rsid w:val="002765E9"/>
    <w:rsid w:val="00284028"/>
    <w:rsid w:val="00291D0A"/>
    <w:rsid w:val="00297CE7"/>
    <w:rsid w:val="002B2E78"/>
    <w:rsid w:val="002B6D12"/>
    <w:rsid w:val="002C10DC"/>
    <w:rsid w:val="002C2130"/>
    <w:rsid w:val="002D2556"/>
    <w:rsid w:val="003364B3"/>
    <w:rsid w:val="00340C62"/>
    <w:rsid w:val="003450C3"/>
    <w:rsid w:val="00357659"/>
    <w:rsid w:val="00362772"/>
    <w:rsid w:val="003856D5"/>
    <w:rsid w:val="003A3AC9"/>
    <w:rsid w:val="003A7A98"/>
    <w:rsid w:val="003C332D"/>
    <w:rsid w:val="003C70D6"/>
    <w:rsid w:val="003D6064"/>
    <w:rsid w:val="003E0231"/>
    <w:rsid w:val="003F092A"/>
    <w:rsid w:val="0040219F"/>
    <w:rsid w:val="00412B3B"/>
    <w:rsid w:val="00416DA8"/>
    <w:rsid w:val="0043665A"/>
    <w:rsid w:val="004474CC"/>
    <w:rsid w:val="004476C3"/>
    <w:rsid w:val="004650E7"/>
    <w:rsid w:val="00465160"/>
    <w:rsid w:val="00472C28"/>
    <w:rsid w:val="00474CD4"/>
    <w:rsid w:val="00483680"/>
    <w:rsid w:val="00493A64"/>
    <w:rsid w:val="00496A23"/>
    <w:rsid w:val="004A2B7A"/>
    <w:rsid w:val="004D212E"/>
    <w:rsid w:val="004E6063"/>
    <w:rsid w:val="004F2ECC"/>
    <w:rsid w:val="005061C1"/>
    <w:rsid w:val="00513B67"/>
    <w:rsid w:val="005221DC"/>
    <w:rsid w:val="0052336F"/>
    <w:rsid w:val="0054248F"/>
    <w:rsid w:val="00544922"/>
    <w:rsid w:val="00553976"/>
    <w:rsid w:val="00582B3D"/>
    <w:rsid w:val="0058413D"/>
    <w:rsid w:val="00586FBF"/>
    <w:rsid w:val="005A1AEB"/>
    <w:rsid w:val="005A320C"/>
    <w:rsid w:val="005A7AB8"/>
    <w:rsid w:val="005C46D3"/>
    <w:rsid w:val="005D1098"/>
    <w:rsid w:val="005E0CC1"/>
    <w:rsid w:val="005E3668"/>
    <w:rsid w:val="00617866"/>
    <w:rsid w:val="00635906"/>
    <w:rsid w:val="006412A9"/>
    <w:rsid w:val="00665346"/>
    <w:rsid w:val="00675CA8"/>
    <w:rsid w:val="00682820"/>
    <w:rsid w:val="00686B6A"/>
    <w:rsid w:val="006879C5"/>
    <w:rsid w:val="00691286"/>
    <w:rsid w:val="006A0FE6"/>
    <w:rsid w:val="006A3A2E"/>
    <w:rsid w:val="006A42F5"/>
    <w:rsid w:val="006B1E1C"/>
    <w:rsid w:val="006B2C87"/>
    <w:rsid w:val="006F3CF5"/>
    <w:rsid w:val="0070525C"/>
    <w:rsid w:val="0071149B"/>
    <w:rsid w:val="00725050"/>
    <w:rsid w:val="007255A8"/>
    <w:rsid w:val="00732D2E"/>
    <w:rsid w:val="00732D4A"/>
    <w:rsid w:val="007426E5"/>
    <w:rsid w:val="007457E0"/>
    <w:rsid w:val="00752CB3"/>
    <w:rsid w:val="007861A1"/>
    <w:rsid w:val="00791EA9"/>
    <w:rsid w:val="007B14A7"/>
    <w:rsid w:val="007B285C"/>
    <w:rsid w:val="007B542A"/>
    <w:rsid w:val="007B732C"/>
    <w:rsid w:val="007E17FA"/>
    <w:rsid w:val="007E5B69"/>
    <w:rsid w:val="007F6B81"/>
    <w:rsid w:val="0080202D"/>
    <w:rsid w:val="00804ED1"/>
    <w:rsid w:val="0081134F"/>
    <w:rsid w:val="008132FC"/>
    <w:rsid w:val="00827EBF"/>
    <w:rsid w:val="0083577D"/>
    <w:rsid w:val="0084419F"/>
    <w:rsid w:val="008504AF"/>
    <w:rsid w:val="00852A74"/>
    <w:rsid w:val="00860B54"/>
    <w:rsid w:val="00871173"/>
    <w:rsid w:val="008723BC"/>
    <w:rsid w:val="00882DAA"/>
    <w:rsid w:val="00893CD6"/>
    <w:rsid w:val="008A652B"/>
    <w:rsid w:val="008C0A49"/>
    <w:rsid w:val="008F06E7"/>
    <w:rsid w:val="008F5846"/>
    <w:rsid w:val="009020C7"/>
    <w:rsid w:val="009034A5"/>
    <w:rsid w:val="00905C20"/>
    <w:rsid w:val="00917F3A"/>
    <w:rsid w:val="009275D5"/>
    <w:rsid w:val="00927857"/>
    <w:rsid w:val="00930EDE"/>
    <w:rsid w:val="009469B3"/>
    <w:rsid w:val="00951027"/>
    <w:rsid w:val="00954739"/>
    <w:rsid w:val="00960F00"/>
    <w:rsid w:val="00962676"/>
    <w:rsid w:val="00984F7C"/>
    <w:rsid w:val="009A4622"/>
    <w:rsid w:val="009A4B32"/>
    <w:rsid w:val="009B342B"/>
    <w:rsid w:val="009D646A"/>
    <w:rsid w:val="009D7DFF"/>
    <w:rsid w:val="009F1688"/>
    <w:rsid w:val="009F179A"/>
    <w:rsid w:val="00A00D82"/>
    <w:rsid w:val="00A10A1F"/>
    <w:rsid w:val="00A27338"/>
    <w:rsid w:val="00A30EB6"/>
    <w:rsid w:val="00A42A47"/>
    <w:rsid w:val="00A60BE5"/>
    <w:rsid w:val="00A7341D"/>
    <w:rsid w:val="00AA152D"/>
    <w:rsid w:val="00AB010B"/>
    <w:rsid w:val="00AB0616"/>
    <w:rsid w:val="00AB4A10"/>
    <w:rsid w:val="00AC4A76"/>
    <w:rsid w:val="00AC4E1C"/>
    <w:rsid w:val="00AD0D60"/>
    <w:rsid w:val="00AE2A23"/>
    <w:rsid w:val="00AF2B23"/>
    <w:rsid w:val="00AF353B"/>
    <w:rsid w:val="00B10FD4"/>
    <w:rsid w:val="00B16700"/>
    <w:rsid w:val="00B22844"/>
    <w:rsid w:val="00B2536D"/>
    <w:rsid w:val="00B46654"/>
    <w:rsid w:val="00B65215"/>
    <w:rsid w:val="00B713E6"/>
    <w:rsid w:val="00B80374"/>
    <w:rsid w:val="00B9582A"/>
    <w:rsid w:val="00BA3FC8"/>
    <w:rsid w:val="00BB0B24"/>
    <w:rsid w:val="00BB1065"/>
    <w:rsid w:val="00BC12BA"/>
    <w:rsid w:val="00BD1A38"/>
    <w:rsid w:val="00BF3CB3"/>
    <w:rsid w:val="00C051B3"/>
    <w:rsid w:val="00C10C4A"/>
    <w:rsid w:val="00C477F8"/>
    <w:rsid w:val="00C52B1C"/>
    <w:rsid w:val="00C80C26"/>
    <w:rsid w:val="00C834E8"/>
    <w:rsid w:val="00CC2726"/>
    <w:rsid w:val="00CC67F5"/>
    <w:rsid w:val="00D027A7"/>
    <w:rsid w:val="00D105C3"/>
    <w:rsid w:val="00D26F2C"/>
    <w:rsid w:val="00D32C3A"/>
    <w:rsid w:val="00D35413"/>
    <w:rsid w:val="00D500F8"/>
    <w:rsid w:val="00D52CDC"/>
    <w:rsid w:val="00D54BB3"/>
    <w:rsid w:val="00D71CAD"/>
    <w:rsid w:val="00D742B4"/>
    <w:rsid w:val="00DA60CC"/>
    <w:rsid w:val="00DB150D"/>
    <w:rsid w:val="00DC301D"/>
    <w:rsid w:val="00DC7D23"/>
    <w:rsid w:val="00DD4709"/>
    <w:rsid w:val="00DF17A1"/>
    <w:rsid w:val="00DF38D7"/>
    <w:rsid w:val="00E26777"/>
    <w:rsid w:val="00E72602"/>
    <w:rsid w:val="00E87BE1"/>
    <w:rsid w:val="00E92DB1"/>
    <w:rsid w:val="00E94D5B"/>
    <w:rsid w:val="00EA4A72"/>
    <w:rsid w:val="00EB39A6"/>
    <w:rsid w:val="00EB64F2"/>
    <w:rsid w:val="00EB7AC8"/>
    <w:rsid w:val="00EB7F61"/>
    <w:rsid w:val="00EC323B"/>
    <w:rsid w:val="00ED2B31"/>
    <w:rsid w:val="00ED4AF6"/>
    <w:rsid w:val="00ED62DE"/>
    <w:rsid w:val="00ED63DD"/>
    <w:rsid w:val="00EE25BB"/>
    <w:rsid w:val="00EE2980"/>
    <w:rsid w:val="00EE5B8B"/>
    <w:rsid w:val="00EE78C5"/>
    <w:rsid w:val="00EF2120"/>
    <w:rsid w:val="00F02D83"/>
    <w:rsid w:val="00F03FBE"/>
    <w:rsid w:val="00F0789B"/>
    <w:rsid w:val="00F07E0B"/>
    <w:rsid w:val="00F22F04"/>
    <w:rsid w:val="00F3493C"/>
    <w:rsid w:val="00F51BB7"/>
    <w:rsid w:val="00F723D7"/>
    <w:rsid w:val="00F76EA7"/>
    <w:rsid w:val="00F835AF"/>
    <w:rsid w:val="00F96268"/>
    <w:rsid w:val="00FB31BD"/>
    <w:rsid w:val="00FB5A9B"/>
    <w:rsid w:val="00FC329F"/>
    <w:rsid w:val="00FC5991"/>
    <w:rsid w:val="00FF0595"/>
    <w:rsid w:val="00FF25D7"/>
    <w:rsid w:val="00FF3457"/>
    <w:rsid w:val="00FF48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B09A43"/>
  <w15:docId w15:val="{3EC5CCBB-9E2A-4407-AD6B-4D33B43F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paragraph" w:styleId="Heading1">
    <w:name w:val="heading 1"/>
    <w:aliases w:val="Section Heading,Section,1,Heading,heading,h1,main,section,H1,Heading 1 Char1,Heading 1 Char Char,Heading 1 Char2 Char Char,Heading 1 Char1 Char Char Char,Heading 1 Char Char Char Char Char,Heading 1 Char Char1 Char Char,sub para,Heading apps"/>
    <w:basedOn w:val="Normal"/>
    <w:next w:val="Normal"/>
    <w:link w:val="Heading1Char"/>
    <w:qFormat/>
    <w:rsid w:val="00043C71"/>
    <w:pPr>
      <w:outlineLvl w:val="0"/>
    </w:pPr>
    <w:rPr>
      <w:rFonts w:ascii="Arial" w:hAnsi="Arial"/>
      <w:b/>
      <w:cap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unhideWhenUsed/>
    <w:rsid w:val="00EE5B8B"/>
    <w:rPr>
      <w:sz w:val="20"/>
      <w:szCs w:val="20"/>
    </w:rPr>
  </w:style>
  <w:style w:type="character" w:customStyle="1" w:styleId="CommentTextChar">
    <w:name w:val="Comment Text Char"/>
    <w:basedOn w:val="DefaultParagraphFont"/>
    <w:link w:val="CommentText"/>
    <w:uiPriority w:val="99"/>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Header">
    <w:name w:val="header"/>
    <w:basedOn w:val="Normal"/>
    <w:link w:val="HeaderChar"/>
    <w:uiPriority w:val="99"/>
    <w:unhideWhenUsed/>
    <w:rsid w:val="00ED62DE"/>
    <w:pPr>
      <w:tabs>
        <w:tab w:val="center" w:pos="4513"/>
        <w:tab w:val="right" w:pos="9026"/>
      </w:tabs>
    </w:pPr>
  </w:style>
  <w:style w:type="character" w:customStyle="1" w:styleId="HeaderChar">
    <w:name w:val="Header Char"/>
    <w:basedOn w:val="DefaultParagraphFont"/>
    <w:link w:val="Header"/>
    <w:uiPriority w:val="99"/>
    <w:rsid w:val="00ED62DE"/>
    <w:rPr>
      <w:lang w:val="en-GB"/>
    </w:rPr>
  </w:style>
  <w:style w:type="paragraph" w:styleId="Footer">
    <w:name w:val="footer"/>
    <w:basedOn w:val="Normal"/>
    <w:link w:val="FooterChar"/>
    <w:uiPriority w:val="99"/>
    <w:unhideWhenUsed/>
    <w:rsid w:val="00ED62DE"/>
    <w:pPr>
      <w:tabs>
        <w:tab w:val="center" w:pos="4513"/>
        <w:tab w:val="right" w:pos="9026"/>
      </w:tabs>
    </w:pPr>
  </w:style>
  <w:style w:type="character" w:customStyle="1" w:styleId="FooterChar">
    <w:name w:val="Footer Char"/>
    <w:basedOn w:val="DefaultParagraphFont"/>
    <w:link w:val="Footer"/>
    <w:uiPriority w:val="99"/>
    <w:rsid w:val="00ED62DE"/>
    <w:rPr>
      <w:lang w:val="en-GB"/>
    </w:rPr>
  </w:style>
  <w:style w:type="character" w:customStyle="1" w:styleId="Heading1Char">
    <w:name w:val="Heading 1 Char"/>
    <w:aliases w:val="Section Heading Char,Section Char,1 Char,Heading Char,heading Char,h1 Char,main Char,section Char,H1 Char,Heading 1 Char1 Char,Heading 1 Char Char Char,Heading 1 Char2 Char Char Char,Heading 1 Char1 Char Char Char Char,sub para Char"/>
    <w:basedOn w:val="DefaultParagraphFont"/>
    <w:link w:val="Heading1"/>
    <w:rsid w:val="00043C71"/>
    <w:rPr>
      <w:rFonts w:ascii="Arial" w:hAnsi="Arial"/>
      <w:b/>
      <w:caps/>
      <w:sz w:val="26"/>
      <w:lang w:val="en-GB"/>
    </w:rPr>
  </w:style>
  <w:style w:type="paragraph" w:styleId="Revision">
    <w:name w:val="Revision"/>
    <w:hidden/>
    <w:uiPriority w:val="99"/>
    <w:semiHidden/>
    <w:rsid w:val="007E17FA"/>
    <w:rPr>
      <w:lang w:val="en-GB"/>
    </w:rPr>
  </w:style>
  <w:style w:type="character" w:styleId="UnresolvedMention">
    <w:name w:val="Unresolved Mention"/>
    <w:basedOn w:val="DefaultParagraphFont"/>
    <w:uiPriority w:val="99"/>
    <w:semiHidden/>
    <w:unhideWhenUsed/>
    <w:rsid w:val="00B16700"/>
    <w:rPr>
      <w:color w:val="605E5C"/>
      <w:shd w:val="clear" w:color="auto" w:fill="E1DFDD"/>
    </w:rPr>
  </w:style>
  <w:style w:type="character" w:styleId="FootnoteReference">
    <w:name w:val="footnote reference"/>
    <w:basedOn w:val="DefaultParagraphFont"/>
    <w:uiPriority w:val="99"/>
    <w:semiHidden/>
    <w:unhideWhenUsed/>
    <w:rsid w:val="00B65215"/>
    <w:rPr>
      <w:vertAlign w:val="superscript"/>
    </w:rPr>
  </w:style>
  <w:style w:type="paragraph" w:styleId="FootnoteText">
    <w:name w:val="footnote text"/>
    <w:basedOn w:val="Normal"/>
    <w:link w:val="FootnoteTextChar"/>
    <w:uiPriority w:val="99"/>
    <w:unhideWhenUsed/>
    <w:rsid w:val="00BB1065"/>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B1065"/>
    <w:rPr>
      <w:rFonts w:eastAsiaTheme="minorEastAsia"/>
      <w:sz w:val="20"/>
      <w:szCs w:val="20"/>
      <w:lang w:eastAsia="ja-JP"/>
    </w:rPr>
  </w:style>
  <w:style w:type="table" w:styleId="TableGrid">
    <w:name w:val="Table Grid"/>
    <w:basedOn w:val="TableNormal"/>
    <w:uiPriority w:val="39"/>
    <w:rsid w:val="0025451C"/>
    <w:rPr>
      <w:rFonts w:eastAsiaTheme="minorEastAsia"/>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51706">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encoat@fticonsult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encoat-renewable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1a3cf6-255d-4ff5-98fe-b4415afa84b5" xsi:nil="true"/>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2024-04-25T15:04:16+00:00</DateReceive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F878F-51F5-47A8-9CEB-04DA656F4378}"/>
</file>

<file path=customXml/itemProps2.xml><?xml version="1.0" encoding="utf-8"?>
<ds:datastoreItem xmlns:ds="http://schemas.openxmlformats.org/officeDocument/2006/customXml" ds:itemID="{0D11F215-E035-4CDC-9124-EC4F20EAAA34}">
  <ds:schemaRefs>
    <ds:schemaRef ds:uri="http://schemas.microsoft.com/office/2006/documentManagement/types"/>
    <ds:schemaRef ds:uri="http://schemas.openxmlformats.org/package/2006/metadata/core-properties"/>
    <ds:schemaRef ds:uri="b9788881-0b14-4d8b-a5d4-0b7cb51b51a2"/>
    <ds:schemaRef ds:uri="e1d438f5-7e8f-4486-a7ca-81405da6368d"/>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C150E9E-70F2-4E3D-A2B3-F7ACCA0228D9}">
  <ds:schemaRefs>
    <ds:schemaRef ds:uri="http://schemas.openxmlformats.org/officeDocument/2006/bibliography"/>
  </ds:schemaRefs>
</ds:datastoreItem>
</file>

<file path=customXml/itemProps4.xml><?xml version="1.0" encoding="utf-8"?>
<ds:datastoreItem xmlns:ds="http://schemas.openxmlformats.org/officeDocument/2006/customXml" ds:itemID="{D9122C81-9B30-4EBB-86D1-90F0171DE9A3}">
  <ds:schemaRefs>
    <ds:schemaRef ds:uri="http://schemas.microsoft.com/sharepoint/v3/contenttype/forms"/>
  </ds:schemaRefs>
</ds:datastoreItem>
</file>

<file path=docMetadata/LabelInfo.xml><?xml version="1.0" encoding="utf-8"?>
<clbl:labelList xmlns:clbl="http://schemas.microsoft.com/office/2020/mipLabelMetadata">
  <clbl:label id="{2f57b6c4-17e4-4965-ac1a-85ccccbe6c4a}" enabled="0" method="" siteId="{2f57b6c4-17e4-4965-ac1a-85ccccbe6c4a}" removed="1"/>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Mc Daniel</dc:creator>
  <cp:lastModifiedBy>Kelly, Diarmuid</cp:lastModifiedBy>
  <cp:revision>2</cp:revision>
  <dcterms:created xsi:type="dcterms:W3CDTF">2024-04-25T13:20:00Z</dcterms:created>
  <dcterms:modified xsi:type="dcterms:W3CDTF">2024-04-25T13:20:00Z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y fmtid="{D5CDD505-2E9C-101B-9397-08002B2CF9AE}" pid="4" name="_ExtendedDescription">
    <vt:lpwstr/>
  </property>
</Properties>
</file>