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26239" w14:textId="77777777" w:rsidR="00D54BB3" w:rsidRPr="00ED63DD" w:rsidRDefault="00917F3A" w:rsidP="00ED63DD">
      <w:pPr>
        <w:tabs>
          <w:tab w:val="left" w:pos="870"/>
          <w:tab w:val="center" w:pos="3063"/>
        </w:tabs>
        <w:rPr>
          <w:b/>
          <w:bCs/>
          <w:sz w:val="22"/>
          <w:szCs w:val="22"/>
        </w:rPr>
      </w:pPr>
      <w:r w:rsidRPr="00ED63DD">
        <w:rPr>
          <w:noProof/>
          <w:sz w:val="22"/>
          <w:szCs w:val="22"/>
          <w:lang w:val="en-IE" w:eastAsia="en-IE"/>
        </w:rPr>
        <w:drawing>
          <wp:anchor distT="0" distB="0" distL="114300" distR="114300" simplePos="0" relativeHeight="251658240" behindDoc="0" locked="0" layoutInCell="1" allowOverlap="1" wp14:anchorId="751FCF10" wp14:editId="60578289">
            <wp:simplePos x="0" y="0"/>
            <wp:positionH relativeFrom="margin">
              <wp:posOffset>4004310</wp:posOffset>
            </wp:positionH>
            <wp:positionV relativeFrom="margin">
              <wp:posOffset>-438785</wp:posOffset>
            </wp:positionV>
            <wp:extent cx="2484755" cy="7219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4755" cy="721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AEDDBA" w14:textId="77777777" w:rsidR="00EA72B0" w:rsidRPr="001579C7" w:rsidRDefault="00EA72B0" w:rsidP="00EA72B0">
      <w:pPr>
        <w:rPr>
          <w:b/>
          <w:bCs/>
          <w:sz w:val="28"/>
        </w:rPr>
      </w:pPr>
    </w:p>
    <w:p w14:paraId="482298AF" w14:textId="6BC37C31" w:rsidR="00EA72B0" w:rsidRPr="001579C7" w:rsidRDefault="001579C7" w:rsidP="00920A4D">
      <w:pPr>
        <w:jc w:val="center"/>
        <w:rPr>
          <w:b/>
          <w:sz w:val="28"/>
        </w:rPr>
      </w:pPr>
      <w:r w:rsidRPr="001579C7">
        <w:rPr>
          <w:b/>
          <w:sz w:val="28"/>
        </w:rPr>
        <w:t xml:space="preserve">Greencoat Renewables PLC AGM Result </w:t>
      </w:r>
    </w:p>
    <w:p w14:paraId="05B0D40C" w14:textId="77777777" w:rsidR="001579C7" w:rsidRDefault="001579C7" w:rsidP="00920A4D">
      <w:pPr>
        <w:jc w:val="center"/>
        <w:rPr>
          <w:b/>
          <w:bCs/>
          <w:sz w:val="28"/>
        </w:rPr>
      </w:pPr>
    </w:p>
    <w:p w14:paraId="2F52C868" w14:textId="2EE41D3C" w:rsidR="001579C7" w:rsidRPr="00713AE1" w:rsidRDefault="00A7341D" w:rsidP="00713AE1">
      <w:pPr>
        <w:spacing w:line="276" w:lineRule="auto"/>
        <w:jc w:val="both"/>
        <w:rPr>
          <w:sz w:val="22"/>
          <w:szCs w:val="22"/>
        </w:rPr>
      </w:pPr>
      <w:r w:rsidRPr="00713AE1">
        <w:rPr>
          <w:b/>
          <w:sz w:val="22"/>
          <w:szCs w:val="22"/>
        </w:rPr>
        <w:t>Dublin</w:t>
      </w:r>
      <w:r w:rsidR="00F02D83" w:rsidRPr="00713AE1">
        <w:rPr>
          <w:b/>
          <w:sz w:val="22"/>
          <w:szCs w:val="22"/>
        </w:rPr>
        <w:t xml:space="preserve">, </w:t>
      </w:r>
      <w:r w:rsidR="00B30497" w:rsidRPr="00713AE1">
        <w:rPr>
          <w:b/>
          <w:sz w:val="22"/>
          <w:szCs w:val="22"/>
        </w:rPr>
        <w:t>London, 2</w:t>
      </w:r>
      <w:r w:rsidR="00393C8B">
        <w:rPr>
          <w:b/>
          <w:sz w:val="22"/>
          <w:szCs w:val="22"/>
        </w:rPr>
        <w:t>5</w:t>
      </w:r>
      <w:r w:rsidR="00AA4928" w:rsidRPr="00713AE1">
        <w:rPr>
          <w:b/>
          <w:sz w:val="22"/>
          <w:szCs w:val="22"/>
        </w:rPr>
        <w:t xml:space="preserve"> April</w:t>
      </w:r>
      <w:r w:rsidR="00B30497" w:rsidRPr="00713AE1">
        <w:rPr>
          <w:b/>
          <w:sz w:val="22"/>
          <w:szCs w:val="22"/>
        </w:rPr>
        <w:t xml:space="preserve"> </w:t>
      </w:r>
      <w:r w:rsidR="009F70E5">
        <w:rPr>
          <w:b/>
          <w:sz w:val="22"/>
          <w:szCs w:val="22"/>
        </w:rPr>
        <w:t>202</w:t>
      </w:r>
      <w:r w:rsidR="00393C8B">
        <w:rPr>
          <w:b/>
          <w:sz w:val="22"/>
          <w:szCs w:val="22"/>
        </w:rPr>
        <w:t>4</w:t>
      </w:r>
      <w:r w:rsidR="00917F3A" w:rsidRPr="00713AE1">
        <w:rPr>
          <w:b/>
          <w:sz w:val="22"/>
          <w:szCs w:val="22"/>
        </w:rPr>
        <w:t>:</w:t>
      </w:r>
      <w:r w:rsidR="00752CB3" w:rsidRPr="00713AE1">
        <w:rPr>
          <w:b/>
          <w:sz w:val="22"/>
          <w:szCs w:val="22"/>
        </w:rPr>
        <w:t xml:space="preserve"> </w:t>
      </w:r>
      <w:r w:rsidRPr="00713AE1">
        <w:rPr>
          <w:sz w:val="22"/>
          <w:szCs w:val="22"/>
        </w:rPr>
        <w:t>Greencoat Renewables</w:t>
      </w:r>
      <w:r w:rsidR="00752CB3" w:rsidRPr="00713AE1">
        <w:rPr>
          <w:sz w:val="22"/>
          <w:szCs w:val="22"/>
        </w:rPr>
        <w:t xml:space="preserve"> PLC (“</w:t>
      </w:r>
      <w:r w:rsidR="00B30497" w:rsidRPr="00713AE1">
        <w:rPr>
          <w:b/>
          <w:sz w:val="22"/>
          <w:szCs w:val="22"/>
        </w:rPr>
        <w:t>Greencoat Renewables</w:t>
      </w:r>
      <w:r w:rsidR="00752CB3" w:rsidRPr="00713AE1">
        <w:rPr>
          <w:sz w:val="22"/>
          <w:szCs w:val="22"/>
        </w:rPr>
        <w:t>”</w:t>
      </w:r>
      <w:r w:rsidR="00B30497" w:rsidRPr="00713AE1">
        <w:rPr>
          <w:sz w:val="22"/>
          <w:szCs w:val="22"/>
        </w:rPr>
        <w:t xml:space="preserve"> or the “</w:t>
      </w:r>
      <w:r w:rsidR="00B30497" w:rsidRPr="00713AE1">
        <w:rPr>
          <w:b/>
          <w:sz w:val="22"/>
          <w:szCs w:val="22"/>
        </w:rPr>
        <w:t>Company</w:t>
      </w:r>
      <w:r w:rsidR="00B30497" w:rsidRPr="00713AE1">
        <w:rPr>
          <w:sz w:val="22"/>
          <w:szCs w:val="22"/>
        </w:rPr>
        <w:t>”</w:t>
      </w:r>
      <w:r w:rsidR="00752CB3" w:rsidRPr="00713AE1">
        <w:rPr>
          <w:sz w:val="22"/>
          <w:szCs w:val="22"/>
        </w:rPr>
        <w:t xml:space="preserve">) </w:t>
      </w:r>
      <w:r w:rsidR="007861A1" w:rsidRPr="00713AE1">
        <w:rPr>
          <w:sz w:val="22"/>
          <w:szCs w:val="22"/>
        </w:rPr>
        <w:t>the r</w:t>
      </w:r>
      <w:r w:rsidR="00811F7A" w:rsidRPr="00713AE1">
        <w:rPr>
          <w:sz w:val="22"/>
          <w:szCs w:val="22"/>
        </w:rPr>
        <w:t>enewable infrastructure company invested in euro-dominated assets,</w:t>
      </w:r>
      <w:r w:rsidR="007861A1" w:rsidRPr="00713AE1">
        <w:rPr>
          <w:sz w:val="22"/>
          <w:szCs w:val="22"/>
        </w:rPr>
        <w:t xml:space="preserve"> </w:t>
      </w:r>
      <w:r w:rsidR="001579C7" w:rsidRPr="00713AE1">
        <w:rPr>
          <w:sz w:val="22"/>
          <w:szCs w:val="22"/>
        </w:rPr>
        <w:t xml:space="preserve">is pleased to announce that at the </w:t>
      </w:r>
      <w:r w:rsidR="00B67B4D">
        <w:rPr>
          <w:sz w:val="22"/>
          <w:szCs w:val="22"/>
        </w:rPr>
        <w:t xml:space="preserve">Company’s </w:t>
      </w:r>
      <w:r w:rsidR="001579C7" w:rsidRPr="00713AE1">
        <w:rPr>
          <w:sz w:val="22"/>
          <w:szCs w:val="22"/>
        </w:rPr>
        <w:t xml:space="preserve">AGM held at </w:t>
      </w:r>
      <w:r w:rsidR="00370B98">
        <w:rPr>
          <w:sz w:val="22"/>
          <w:szCs w:val="22"/>
        </w:rPr>
        <w:t>9</w:t>
      </w:r>
      <w:r w:rsidR="009F70E5">
        <w:rPr>
          <w:sz w:val="22"/>
          <w:szCs w:val="22"/>
        </w:rPr>
        <w:t>.</w:t>
      </w:r>
      <w:r w:rsidR="00370B98">
        <w:rPr>
          <w:sz w:val="22"/>
          <w:szCs w:val="22"/>
        </w:rPr>
        <w:t>3</w:t>
      </w:r>
      <w:r w:rsidR="009F70E5">
        <w:rPr>
          <w:sz w:val="22"/>
          <w:szCs w:val="22"/>
        </w:rPr>
        <w:t>0 am</w:t>
      </w:r>
      <w:r w:rsidR="00B30497" w:rsidRPr="00713AE1">
        <w:rPr>
          <w:sz w:val="22"/>
          <w:szCs w:val="22"/>
        </w:rPr>
        <w:t xml:space="preserve"> today, 2</w:t>
      </w:r>
      <w:r w:rsidR="00393C8B">
        <w:rPr>
          <w:sz w:val="22"/>
          <w:szCs w:val="22"/>
        </w:rPr>
        <w:t>5</w:t>
      </w:r>
      <w:r w:rsidR="00B30497" w:rsidRPr="00713AE1">
        <w:rPr>
          <w:sz w:val="22"/>
          <w:szCs w:val="22"/>
        </w:rPr>
        <w:t xml:space="preserve"> April </w:t>
      </w:r>
      <w:r w:rsidR="009F70E5">
        <w:rPr>
          <w:sz w:val="22"/>
          <w:szCs w:val="22"/>
        </w:rPr>
        <w:t>202</w:t>
      </w:r>
      <w:r w:rsidR="00393C8B">
        <w:rPr>
          <w:sz w:val="22"/>
          <w:szCs w:val="22"/>
        </w:rPr>
        <w:t>4</w:t>
      </w:r>
      <w:r w:rsidR="001579C7" w:rsidRPr="00713AE1">
        <w:rPr>
          <w:sz w:val="22"/>
          <w:szCs w:val="22"/>
        </w:rPr>
        <w:t xml:space="preserve">, each of the Resolutions </w:t>
      </w:r>
      <w:r w:rsidR="005903CD">
        <w:rPr>
          <w:sz w:val="22"/>
          <w:szCs w:val="22"/>
        </w:rPr>
        <w:t>was</w:t>
      </w:r>
      <w:r w:rsidR="001579C7" w:rsidRPr="00713AE1">
        <w:rPr>
          <w:sz w:val="22"/>
          <w:szCs w:val="22"/>
        </w:rPr>
        <w:t xml:space="preserve"> duly passed without amendment.  </w:t>
      </w:r>
    </w:p>
    <w:p w14:paraId="15DF1381" w14:textId="77777777" w:rsidR="001579C7" w:rsidRPr="00713AE1" w:rsidRDefault="001579C7" w:rsidP="00713AE1">
      <w:pPr>
        <w:spacing w:line="276" w:lineRule="auto"/>
        <w:jc w:val="both"/>
        <w:rPr>
          <w:sz w:val="22"/>
          <w:szCs w:val="22"/>
        </w:rPr>
      </w:pPr>
    </w:p>
    <w:p w14:paraId="61BD5CF7" w14:textId="7B11FFF7" w:rsidR="001579C7" w:rsidRPr="00713AE1" w:rsidRDefault="00860F8F" w:rsidP="00713AE1">
      <w:pPr>
        <w:spacing w:line="276" w:lineRule="auto"/>
        <w:jc w:val="both"/>
        <w:rPr>
          <w:sz w:val="22"/>
          <w:szCs w:val="22"/>
        </w:rPr>
      </w:pPr>
      <w:r>
        <w:rPr>
          <w:sz w:val="22"/>
          <w:szCs w:val="22"/>
        </w:rPr>
        <w:t xml:space="preserve">All resolutions as set out in the Notice of </w:t>
      </w:r>
      <w:r w:rsidR="006C251C">
        <w:rPr>
          <w:sz w:val="22"/>
          <w:szCs w:val="22"/>
        </w:rPr>
        <w:t>A</w:t>
      </w:r>
      <w:r>
        <w:rPr>
          <w:sz w:val="22"/>
          <w:szCs w:val="22"/>
        </w:rPr>
        <w:t>GM were voted on by way of poll and the results were as follows:</w:t>
      </w:r>
    </w:p>
    <w:p w14:paraId="14DED26F" w14:textId="77777777" w:rsidR="001579C7" w:rsidRPr="00713AE1" w:rsidRDefault="001579C7" w:rsidP="00713AE1">
      <w:pPr>
        <w:spacing w:line="276" w:lineRule="auto"/>
        <w:jc w:val="both"/>
        <w:rPr>
          <w:sz w:val="22"/>
          <w:szCs w:val="22"/>
        </w:rPr>
      </w:pPr>
    </w:p>
    <w:tbl>
      <w:tblPr>
        <w:tblW w:w="8379" w:type="dxa"/>
        <w:tblInd w:w="93" w:type="dxa"/>
        <w:tblLayout w:type="fixed"/>
        <w:tblLook w:val="04A0" w:firstRow="1" w:lastRow="0" w:firstColumn="1" w:lastColumn="0" w:noHBand="0" w:noVBand="1"/>
      </w:tblPr>
      <w:tblGrid>
        <w:gridCol w:w="1433"/>
        <w:gridCol w:w="1417"/>
        <w:gridCol w:w="1276"/>
        <w:gridCol w:w="11"/>
        <w:gridCol w:w="1379"/>
        <w:gridCol w:w="1303"/>
        <w:gridCol w:w="1560"/>
      </w:tblGrid>
      <w:tr w:rsidR="001579C7" w:rsidRPr="00713AE1" w14:paraId="3FB6469F" w14:textId="77777777" w:rsidTr="00B30497">
        <w:trPr>
          <w:trHeight w:val="300"/>
        </w:trPr>
        <w:tc>
          <w:tcPr>
            <w:tcW w:w="1433" w:type="dxa"/>
            <w:tcBorders>
              <w:top w:val="nil"/>
              <w:left w:val="nil"/>
              <w:bottom w:val="nil"/>
              <w:right w:val="nil"/>
            </w:tcBorders>
            <w:shd w:val="clear" w:color="auto" w:fill="auto"/>
            <w:noWrap/>
            <w:vAlign w:val="bottom"/>
            <w:hideMark/>
          </w:tcPr>
          <w:p w14:paraId="2E4691B9" w14:textId="77777777" w:rsidR="001579C7" w:rsidRPr="00713AE1" w:rsidRDefault="001579C7" w:rsidP="00713AE1">
            <w:pPr>
              <w:spacing w:line="276" w:lineRule="auto"/>
              <w:jc w:val="both"/>
              <w:rPr>
                <w:rFonts w:eastAsia="Times New Roman" w:cs="Times New Roman"/>
                <w:color w:val="000000"/>
                <w:sz w:val="22"/>
                <w:szCs w:val="22"/>
                <w:lang w:eastAsia="en-GB"/>
              </w:rPr>
            </w:pPr>
          </w:p>
        </w:tc>
        <w:tc>
          <w:tcPr>
            <w:tcW w:w="2693" w:type="dxa"/>
            <w:gridSpan w:val="2"/>
            <w:tcBorders>
              <w:top w:val="nil"/>
              <w:left w:val="nil"/>
              <w:bottom w:val="nil"/>
              <w:right w:val="nil"/>
            </w:tcBorders>
            <w:shd w:val="clear" w:color="auto" w:fill="auto"/>
            <w:noWrap/>
            <w:vAlign w:val="bottom"/>
            <w:hideMark/>
          </w:tcPr>
          <w:p w14:paraId="64512718" w14:textId="77777777" w:rsidR="001579C7" w:rsidRPr="00713AE1" w:rsidRDefault="001579C7" w:rsidP="00713AE1">
            <w:pPr>
              <w:spacing w:line="276" w:lineRule="auto"/>
              <w:jc w:val="both"/>
              <w:rPr>
                <w:rFonts w:eastAsia="Times New Roman" w:cs="Times New Roman"/>
                <w:color w:val="000000"/>
                <w:sz w:val="22"/>
                <w:szCs w:val="22"/>
                <w:lang w:eastAsia="en-GB"/>
              </w:rPr>
            </w:pPr>
            <w:r w:rsidRPr="00713AE1">
              <w:rPr>
                <w:rFonts w:eastAsia="Times New Roman" w:cs="Times New Roman"/>
                <w:color w:val="000000"/>
                <w:sz w:val="22"/>
                <w:szCs w:val="22"/>
                <w:lang w:eastAsia="en-GB"/>
              </w:rPr>
              <w:t xml:space="preserve">In Favour </w:t>
            </w:r>
          </w:p>
          <w:p w14:paraId="1855A919" w14:textId="77777777" w:rsidR="001579C7" w:rsidRPr="00713AE1" w:rsidRDefault="001579C7" w:rsidP="00713AE1">
            <w:pPr>
              <w:spacing w:line="276" w:lineRule="auto"/>
              <w:jc w:val="both"/>
              <w:rPr>
                <w:rFonts w:eastAsia="Times New Roman" w:cs="Times New Roman"/>
                <w:color w:val="000000"/>
                <w:sz w:val="22"/>
                <w:szCs w:val="22"/>
                <w:lang w:eastAsia="en-GB"/>
              </w:rPr>
            </w:pPr>
            <w:r w:rsidRPr="00713AE1">
              <w:rPr>
                <w:rFonts w:eastAsia="Times New Roman" w:cs="Times New Roman"/>
                <w:color w:val="000000"/>
                <w:sz w:val="22"/>
                <w:szCs w:val="22"/>
                <w:lang w:eastAsia="en-GB"/>
              </w:rPr>
              <w:t>(including discretionary)</w:t>
            </w:r>
          </w:p>
        </w:tc>
        <w:tc>
          <w:tcPr>
            <w:tcW w:w="2693" w:type="dxa"/>
            <w:gridSpan w:val="3"/>
            <w:tcBorders>
              <w:top w:val="nil"/>
              <w:left w:val="nil"/>
              <w:bottom w:val="nil"/>
              <w:right w:val="nil"/>
            </w:tcBorders>
            <w:shd w:val="clear" w:color="auto" w:fill="auto"/>
            <w:noWrap/>
            <w:vAlign w:val="bottom"/>
            <w:hideMark/>
          </w:tcPr>
          <w:p w14:paraId="2944F4B5" w14:textId="77777777" w:rsidR="001579C7" w:rsidRPr="00713AE1" w:rsidRDefault="001579C7" w:rsidP="00713AE1">
            <w:pPr>
              <w:spacing w:line="276" w:lineRule="auto"/>
              <w:jc w:val="both"/>
              <w:rPr>
                <w:rFonts w:eastAsia="Times New Roman" w:cs="Times New Roman"/>
                <w:color w:val="000000"/>
                <w:sz w:val="22"/>
                <w:szCs w:val="22"/>
                <w:lang w:eastAsia="en-GB"/>
              </w:rPr>
            </w:pPr>
            <w:r w:rsidRPr="00713AE1">
              <w:rPr>
                <w:rFonts w:eastAsia="Times New Roman" w:cs="Times New Roman"/>
                <w:color w:val="000000"/>
                <w:sz w:val="22"/>
                <w:szCs w:val="22"/>
                <w:lang w:eastAsia="en-GB"/>
              </w:rPr>
              <w:t>Against</w:t>
            </w:r>
          </w:p>
        </w:tc>
        <w:tc>
          <w:tcPr>
            <w:tcW w:w="1560" w:type="dxa"/>
            <w:tcBorders>
              <w:top w:val="nil"/>
              <w:left w:val="nil"/>
              <w:bottom w:val="nil"/>
              <w:right w:val="nil"/>
            </w:tcBorders>
            <w:shd w:val="clear" w:color="auto" w:fill="auto"/>
            <w:noWrap/>
            <w:vAlign w:val="bottom"/>
            <w:hideMark/>
          </w:tcPr>
          <w:p w14:paraId="556C8850" w14:textId="77777777" w:rsidR="001579C7" w:rsidRPr="00713AE1" w:rsidRDefault="001579C7" w:rsidP="00713AE1">
            <w:pPr>
              <w:spacing w:line="276" w:lineRule="auto"/>
              <w:jc w:val="both"/>
              <w:rPr>
                <w:rFonts w:eastAsia="Times New Roman" w:cs="Times New Roman"/>
                <w:color w:val="000000"/>
                <w:sz w:val="22"/>
                <w:szCs w:val="22"/>
                <w:lang w:eastAsia="en-GB"/>
              </w:rPr>
            </w:pPr>
            <w:r w:rsidRPr="00713AE1">
              <w:rPr>
                <w:rFonts w:eastAsia="Times New Roman" w:cs="Times New Roman"/>
                <w:color w:val="000000"/>
                <w:sz w:val="22"/>
                <w:szCs w:val="22"/>
                <w:lang w:eastAsia="en-GB"/>
              </w:rPr>
              <w:t>Withheld*</w:t>
            </w:r>
          </w:p>
        </w:tc>
      </w:tr>
      <w:tr w:rsidR="001579C7" w:rsidRPr="00713AE1" w14:paraId="771B326F" w14:textId="77777777" w:rsidTr="00811F7A">
        <w:trPr>
          <w:trHeight w:val="300"/>
        </w:trPr>
        <w:tc>
          <w:tcPr>
            <w:tcW w:w="1433" w:type="dxa"/>
            <w:tcBorders>
              <w:top w:val="nil"/>
              <w:left w:val="nil"/>
              <w:bottom w:val="nil"/>
              <w:right w:val="nil"/>
            </w:tcBorders>
            <w:shd w:val="clear" w:color="auto" w:fill="auto"/>
            <w:noWrap/>
            <w:vAlign w:val="bottom"/>
            <w:hideMark/>
          </w:tcPr>
          <w:p w14:paraId="4EC00845" w14:textId="77777777" w:rsidR="001579C7" w:rsidRPr="00713AE1" w:rsidRDefault="001579C7" w:rsidP="00713AE1">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Resolution</w:t>
            </w:r>
          </w:p>
        </w:tc>
        <w:tc>
          <w:tcPr>
            <w:tcW w:w="1417" w:type="dxa"/>
            <w:tcBorders>
              <w:top w:val="nil"/>
              <w:left w:val="nil"/>
              <w:bottom w:val="nil"/>
              <w:right w:val="nil"/>
            </w:tcBorders>
            <w:shd w:val="clear" w:color="auto" w:fill="auto"/>
            <w:noWrap/>
            <w:vAlign w:val="bottom"/>
            <w:hideMark/>
          </w:tcPr>
          <w:p w14:paraId="380A15FC" w14:textId="77777777" w:rsidR="001579C7" w:rsidRPr="00713AE1" w:rsidRDefault="001579C7" w:rsidP="00713AE1">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Votes</w:t>
            </w:r>
          </w:p>
        </w:tc>
        <w:tc>
          <w:tcPr>
            <w:tcW w:w="1287" w:type="dxa"/>
            <w:gridSpan w:val="2"/>
            <w:tcBorders>
              <w:top w:val="nil"/>
              <w:left w:val="nil"/>
              <w:bottom w:val="nil"/>
              <w:right w:val="nil"/>
            </w:tcBorders>
          </w:tcPr>
          <w:p w14:paraId="75FA32FE" w14:textId="77777777" w:rsidR="001579C7" w:rsidRPr="00713AE1" w:rsidRDefault="001579C7" w:rsidP="00713AE1">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w:t>
            </w:r>
          </w:p>
        </w:tc>
        <w:tc>
          <w:tcPr>
            <w:tcW w:w="1379" w:type="dxa"/>
            <w:tcBorders>
              <w:top w:val="nil"/>
              <w:left w:val="nil"/>
              <w:bottom w:val="nil"/>
              <w:right w:val="nil"/>
            </w:tcBorders>
            <w:shd w:val="clear" w:color="auto" w:fill="auto"/>
            <w:noWrap/>
            <w:vAlign w:val="bottom"/>
            <w:hideMark/>
          </w:tcPr>
          <w:p w14:paraId="1A83414C" w14:textId="77777777" w:rsidR="001579C7" w:rsidRPr="00713AE1" w:rsidRDefault="001579C7" w:rsidP="00713AE1">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Votes</w:t>
            </w:r>
          </w:p>
        </w:tc>
        <w:tc>
          <w:tcPr>
            <w:tcW w:w="1303" w:type="dxa"/>
            <w:tcBorders>
              <w:top w:val="nil"/>
              <w:left w:val="nil"/>
              <w:bottom w:val="nil"/>
              <w:right w:val="nil"/>
            </w:tcBorders>
          </w:tcPr>
          <w:p w14:paraId="386CC039" w14:textId="77777777" w:rsidR="001579C7" w:rsidRPr="00713AE1" w:rsidRDefault="001579C7" w:rsidP="00713AE1">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w:t>
            </w:r>
          </w:p>
        </w:tc>
        <w:tc>
          <w:tcPr>
            <w:tcW w:w="1560" w:type="dxa"/>
            <w:tcBorders>
              <w:top w:val="nil"/>
              <w:left w:val="nil"/>
              <w:bottom w:val="nil"/>
              <w:right w:val="nil"/>
            </w:tcBorders>
            <w:shd w:val="clear" w:color="auto" w:fill="auto"/>
            <w:noWrap/>
            <w:vAlign w:val="bottom"/>
            <w:hideMark/>
          </w:tcPr>
          <w:p w14:paraId="3F172CB7" w14:textId="77777777" w:rsidR="001579C7" w:rsidRPr="00713AE1" w:rsidRDefault="001579C7" w:rsidP="00713AE1">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Votes</w:t>
            </w:r>
          </w:p>
        </w:tc>
      </w:tr>
      <w:tr w:rsidR="00F96922" w:rsidRPr="00713AE1" w14:paraId="20B350DD" w14:textId="77777777" w:rsidTr="00F96922">
        <w:trPr>
          <w:trHeight w:val="300"/>
        </w:trPr>
        <w:tc>
          <w:tcPr>
            <w:tcW w:w="1433" w:type="dxa"/>
            <w:tcBorders>
              <w:top w:val="nil"/>
              <w:left w:val="nil"/>
              <w:bottom w:val="nil"/>
              <w:right w:val="nil"/>
            </w:tcBorders>
            <w:shd w:val="clear" w:color="auto" w:fill="auto"/>
            <w:noWrap/>
          </w:tcPr>
          <w:p w14:paraId="083936A7" w14:textId="24165103" w:rsidR="00F96922" w:rsidRPr="00713AE1" w:rsidRDefault="00F96922" w:rsidP="00713AE1">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1</w:t>
            </w:r>
          </w:p>
          <w:p w14:paraId="7E5483B9" w14:textId="5D044789" w:rsidR="00F96922" w:rsidRPr="00713AE1" w:rsidRDefault="00F96922" w:rsidP="00713AE1">
            <w:pPr>
              <w:spacing w:line="276" w:lineRule="auto"/>
              <w:jc w:val="center"/>
              <w:rPr>
                <w:rFonts w:eastAsia="Times New Roman" w:cs="Times New Roman"/>
                <w:color w:val="000000"/>
                <w:sz w:val="22"/>
                <w:szCs w:val="22"/>
                <w:lang w:eastAsia="en-GB"/>
              </w:rPr>
            </w:pPr>
          </w:p>
        </w:tc>
        <w:tc>
          <w:tcPr>
            <w:tcW w:w="1417" w:type="dxa"/>
            <w:tcBorders>
              <w:top w:val="nil"/>
              <w:left w:val="nil"/>
              <w:bottom w:val="nil"/>
              <w:right w:val="nil"/>
            </w:tcBorders>
            <w:shd w:val="clear" w:color="auto" w:fill="auto"/>
            <w:noWrap/>
          </w:tcPr>
          <w:p w14:paraId="0B4E4D7E" w14:textId="6AA0A3A3" w:rsidR="00F96922" w:rsidRPr="008E7445" w:rsidRDefault="00FE0E53" w:rsidP="00713AE1">
            <w:pPr>
              <w:spacing w:line="276" w:lineRule="auto"/>
              <w:jc w:val="center"/>
              <w:rPr>
                <w:rFonts w:eastAsia="Times New Roman" w:cs="Times New Roman"/>
                <w:color w:val="000000"/>
                <w:sz w:val="22"/>
                <w:szCs w:val="22"/>
                <w:lang w:eastAsia="en-GB"/>
              </w:rPr>
            </w:pPr>
            <w:r w:rsidRPr="00FE0E53">
              <w:rPr>
                <w:rFonts w:eastAsia="Times New Roman" w:cs="Times New Roman"/>
                <w:color w:val="000000"/>
                <w:sz w:val="22"/>
                <w:szCs w:val="22"/>
                <w:lang w:eastAsia="en-GB"/>
              </w:rPr>
              <w:t>719,193,182</w:t>
            </w:r>
          </w:p>
        </w:tc>
        <w:tc>
          <w:tcPr>
            <w:tcW w:w="1287" w:type="dxa"/>
            <w:gridSpan w:val="2"/>
            <w:tcBorders>
              <w:top w:val="nil"/>
              <w:left w:val="nil"/>
              <w:bottom w:val="nil"/>
              <w:right w:val="nil"/>
            </w:tcBorders>
          </w:tcPr>
          <w:p w14:paraId="55FF82DC" w14:textId="258A7117" w:rsidR="00F96922" w:rsidRPr="008E7445" w:rsidRDefault="00403A09" w:rsidP="00713AE1">
            <w:pPr>
              <w:spacing w:line="276" w:lineRule="auto"/>
              <w:jc w:val="center"/>
              <w:rPr>
                <w:rFonts w:eastAsia="Times New Roman" w:cs="Times New Roman"/>
                <w:color w:val="000000"/>
                <w:sz w:val="22"/>
                <w:szCs w:val="22"/>
                <w:lang w:eastAsia="en-GB"/>
              </w:rPr>
            </w:pPr>
            <w:r>
              <w:rPr>
                <w:rFonts w:eastAsia="Calibri" w:cs="Times New Roman"/>
                <w:color w:val="000000"/>
                <w:sz w:val="22"/>
                <w:szCs w:val="22"/>
              </w:rPr>
              <w:t>100</w:t>
            </w:r>
            <w:r w:rsidR="00DB7327">
              <w:rPr>
                <w:rFonts w:eastAsia="Calibri" w:cs="Times New Roman"/>
                <w:color w:val="000000"/>
                <w:sz w:val="22"/>
                <w:szCs w:val="22"/>
              </w:rPr>
              <w:t>.00</w:t>
            </w:r>
          </w:p>
        </w:tc>
        <w:tc>
          <w:tcPr>
            <w:tcW w:w="1379" w:type="dxa"/>
            <w:tcBorders>
              <w:top w:val="nil"/>
              <w:left w:val="nil"/>
              <w:bottom w:val="nil"/>
              <w:right w:val="nil"/>
            </w:tcBorders>
            <w:shd w:val="clear" w:color="auto" w:fill="auto"/>
            <w:noWrap/>
          </w:tcPr>
          <w:p w14:paraId="464C1294" w14:textId="6F616FFA" w:rsidR="00F96922" w:rsidRPr="008E7445" w:rsidRDefault="00F22E4C" w:rsidP="00713AE1">
            <w:pPr>
              <w:spacing w:line="276" w:lineRule="auto"/>
              <w:jc w:val="center"/>
              <w:rPr>
                <w:rFonts w:eastAsia="Times New Roman" w:cs="Times New Roman"/>
                <w:color w:val="000000"/>
                <w:sz w:val="22"/>
                <w:szCs w:val="22"/>
                <w:lang w:eastAsia="en-GB"/>
              </w:rPr>
            </w:pPr>
            <w:r>
              <w:rPr>
                <w:rFonts w:eastAsia="Calibri" w:cs="Times New Roman"/>
                <w:color w:val="000000"/>
                <w:sz w:val="22"/>
                <w:szCs w:val="22"/>
              </w:rPr>
              <w:t>0</w:t>
            </w:r>
          </w:p>
        </w:tc>
        <w:tc>
          <w:tcPr>
            <w:tcW w:w="1303" w:type="dxa"/>
            <w:tcBorders>
              <w:top w:val="nil"/>
              <w:left w:val="nil"/>
              <w:bottom w:val="nil"/>
              <w:right w:val="nil"/>
            </w:tcBorders>
          </w:tcPr>
          <w:p w14:paraId="6F719DBE" w14:textId="7AE76683" w:rsidR="00F96922" w:rsidRPr="008E7445" w:rsidRDefault="00DB7327" w:rsidP="00713AE1">
            <w:pPr>
              <w:spacing w:line="276" w:lineRule="auto"/>
              <w:jc w:val="center"/>
              <w:rPr>
                <w:rFonts w:eastAsia="Times New Roman" w:cs="Times New Roman"/>
                <w:color w:val="000000"/>
                <w:sz w:val="22"/>
                <w:szCs w:val="22"/>
                <w:lang w:eastAsia="en-GB"/>
              </w:rPr>
            </w:pPr>
            <w:r>
              <w:rPr>
                <w:rFonts w:eastAsia="Calibri" w:cs="Times New Roman"/>
                <w:color w:val="000000"/>
                <w:sz w:val="22"/>
                <w:szCs w:val="22"/>
              </w:rPr>
              <w:t>0.00</w:t>
            </w:r>
          </w:p>
        </w:tc>
        <w:tc>
          <w:tcPr>
            <w:tcW w:w="1560" w:type="dxa"/>
            <w:tcBorders>
              <w:top w:val="nil"/>
              <w:left w:val="nil"/>
              <w:bottom w:val="nil"/>
              <w:right w:val="nil"/>
            </w:tcBorders>
            <w:shd w:val="clear" w:color="auto" w:fill="auto"/>
            <w:noWrap/>
          </w:tcPr>
          <w:p w14:paraId="74BD6407" w14:textId="5181ABB8" w:rsidR="00F96922" w:rsidRPr="008E7445" w:rsidRDefault="008E6084" w:rsidP="00713AE1">
            <w:pPr>
              <w:spacing w:line="276" w:lineRule="auto"/>
              <w:jc w:val="center"/>
              <w:rPr>
                <w:rFonts w:eastAsia="Times New Roman" w:cs="Times New Roman"/>
                <w:color w:val="000000"/>
                <w:sz w:val="22"/>
                <w:szCs w:val="22"/>
                <w:lang w:eastAsia="en-GB"/>
              </w:rPr>
            </w:pPr>
            <w:r>
              <w:rPr>
                <w:rFonts w:eastAsia="Calibri" w:cs="Times New Roman"/>
                <w:color w:val="000000"/>
                <w:sz w:val="22"/>
                <w:szCs w:val="22"/>
              </w:rPr>
              <w:t>2</w:t>
            </w:r>
            <w:r w:rsidR="00F22E4C">
              <w:rPr>
                <w:rFonts w:eastAsia="Calibri" w:cs="Times New Roman"/>
                <w:color w:val="000000"/>
                <w:sz w:val="22"/>
                <w:szCs w:val="22"/>
              </w:rPr>
              <w:t>,472</w:t>
            </w:r>
          </w:p>
        </w:tc>
      </w:tr>
      <w:tr w:rsidR="00370B98" w:rsidRPr="00713AE1" w14:paraId="2BB9363E" w14:textId="77777777" w:rsidTr="00F96922">
        <w:trPr>
          <w:trHeight w:val="300"/>
        </w:trPr>
        <w:tc>
          <w:tcPr>
            <w:tcW w:w="1433" w:type="dxa"/>
            <w:tcBorders>
              <w:top w:val="nil"/>
              <w:left w:val="nil"/>
              <w:bottom w:val="nil"/>
              <w:right w:val="nil"/>
            </w:tcBorders>
            <w:shd w:val="clear" w:color="auto" w:fill="auto"/>
            <w:noWrap/>
          </w:tcPr>
          <w:p w14:paraId="5792980C" w14:textId="175C2CC0" w:rsidR="00370B98" w:rsidRPr="00713AE1" w:rsidRDefault="00370B98" w:rsidP="00370B98">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2 (a)</w:t>
            </w:r>
          </w:p>
          <w:p w14:paraId="7F20BEB7" w14:textId="4A9BD6F7" w:rsidR="00370B98" w:rsidRPr="00713AE1" w:rsidRDefault="00370B98" w:rsidP="00370B98">
            <w:pPr>
              <w:spacing w:line="276" w:lineRule="auto"/>
              <w:jc w:val="center"/>
              <w:rPr>
                <w:rFonts w:eastAsia="Times New Roman" w:cs="Times New Roman"/>
                <w:color w:val="000000"/>
                <w:sz w:val="22"/>
                <w:szCs w:val="22"/>
                <w:lang w:eastAsia="en-GB"/>
              </w:rPr>
            </w:pPr>
          </w:p>
        </w:tc>
        <w:tc>
          <w:tcPr>
            <w:tcW w:w="1417" w:type="dxa"/>
            <w:tcBorders>
              <w:top w:val="nil"/>
              <w:left w:val="nil"/>
              <w:bottom w:val="nil"/>
              <w:right w:val="nil"/>
            </w:tcBorders>
            <w:shd w:val="clear" w:color="auto" w:fill="auto"/>
            <w:noWrap/>
          </w:tcPr>
          <w:p w14:paraId="26417B00" w14:textId="33188842" w:rsidR="00370B98" w:rsidRPr="008E7445" w:rsidRDefault="00FE0E53" w:rsidP="00370B98">
            <w:pPr>
              <w:spacing w:line="276" w:lineRule="auto"/>
              <w:jc w:val="center"/>
              <w:rPr>
                <w:rFonts w:eastAsia="Times New Roman" w:cs="Times New Roman"/>
                <w:color w:val="000000"/>
                <w:sz w:val="22"/>
                <w:szCs w:val="22"/>
                <w:lang w:eastAsia="en-GB"/>
              </w:rPr>
            </w:pPr>
            <w:r w:rsidRPr="00FE0E53">
              <w:rPr>
                <w:rFonts w:eastAsia="Times New Roman" w:cs="Times New Roman"/>
                <w:color w:val="000000"/>
                <w:sz w:val="22"/>
                <w:szCs w:val="22"/>
                <w:lang w:eastAsia="en-GB"/>
              </w:rPr>
              <w:t>718,786,036</w:t>
            </w:r>
          </w:p>
        </w:tc>
        <w:tc>
          <w:tcPr>
            <w:tcW w:w="1287" w:type="dxa"/>
            <w:gridSpan w:val="2"/>
            <w:tcBorders>
              <w:top w:val="nil"/>
              <w:left w:val="nil"/>
              <w:bottom w:val="nil"/>
              <w:right w:val="nil"/>
            </w:tcBorders>
          </w:tcPr>
          <w:p w14:paraId="3918870B" w14:textId="01C65B87" w:rsidR="00370B98" w:rsidRPr="008E7445" w:rsidRDefault="00FD1233" w:rsidP="00370B98">
            <w:pPr>
              <w:spacing w:line="276" w:lineRule="auto"/>
              <w:jc w:val="center"/>
              <w:rPr>
                <w:rFonts w:eastAsia="Times New Roman" w:cs="Times New Roman"/>
                <w:color w:val="000000"/>
                <w:sz w:val="22"/>
                <w:szCs w:val="22"/>
                <w:lang w:eastAsia="en-GB"/>
              </w:rPr>
            </w:pPr>
            <w:r>
              <w:rPr>
                <w:rFonts w:eastAsia="Calibri" w:cs="Times New Roman"/>
                <w:color w:val="000000"/>
                <w:sz w:val="22"/>
                <w:szCs w:val="22"/>
              </w:rPr>
              <w:t>99.9</w:t>
            </w:r>
            <w:r w:rsidR="00FE0E53">
              <w:rPr>
                <w:rFonts w:eastAsia="Calibri" w:cs="Times New Roman"/>
                <w:color w:val="000000"/>
                <w:sz w:val="22"/>
                <w:szCs w:val="22"/>
              </w:rPr>
              <w:t>5</w:t>
            </w:r>
          </w:p>
        </w:tc>
        <w:tc>
          <w:tcPr>
            <w:tcW w:w="1379" w:type="dxa"/>
            <w:tcBorders>
              <w:top w:val="nil"/>
              <w:left w:val="nil"/>
              <w:bottom w:val="nil"/>
              <w:right w:val="nil"/>
            </w:tcBorders>
            <w:shd w:val="clear" w:color="auto" w:fill="auto"/>
            <w:noWrap/>
          </w:tcPr>
          <w:p w14:paraId="7D0174E1" w14:textId="38F02429" w:rsidR="00370B98" w:rsidRPr="008E7445" w:rsidRDefault="00F22E4C" w:rsidP="00370B98">
            <w:pPr>
              <w:spacing w:line="276" w:lineRule="auto"/>
              <w:jc w:val="center"/>
              <w:rPr>
                <w:rFonts w:eastAsia="Times New Roman" w:cs="Times New Roman"/>
                <w:color w:val="000000"/>
                <w:sz w:val="22"/>
                <w:szCs w:val="22"/>
                <w:lang w:eastAsia="en-GB"/>
              </w:rPr>
            </w:pPr>
            <w:r>
              <w:rPr>
                <w:rFonts w:eastAsia="Calibri" w:cs="Times New Roman"/>
                <w:color w:val="000000"/>
                <w:sz w:val="22"/>
                <w:szCs w:val="22"/>
              </w:rPr>
              <w:t>388,660</w:t>
            </w:r>
          </w:p>
        </w:tc>
        <w:tc>
          <w:tcPr>
            <w:tcW w:w="1303" w:type="dxa"/>
            <w:tcBorders>
              <w:top w:val="nil"/>
              <w:left w:val="nil"/>
              <w:bottom w:val="nil"/>
              <w:right w:val="nil"/>
            </w:tcBorders>
          </w:tcPr>
          <w:p w14:paraId="3BEDCB4F" w14:textId="4CA93B1E" w:rsidR="00370B98" w:rsidRPr="008E7445" w:rsidRDefault="00FD1233" w:rsidP="00370B98">
            <w:pPr>
              <w:spacing w:line="276" w:lineRule="auto"/>
              <w:jc w:val="center"/>
              <w:rPr>
                <w:rFonts w:eastAsia="Times New Roman" w:cs="Times New Roman"/>
                <w:color w:val="000000"/>
                <w:sz w:val="22"/>
                <w:szCs w:val="22"/>
                <w:lang w:eastAsia="en-GB"/>
              </w:rPr>
            </w:pPr>
            <w:r>
              <w:rPr>
                <w:rFonts w:eastAsia="Calibri" w:cs="Times New Roman"/>
                <w:color w:val="000000"/>
                <w:sz w:val="22"/>
                <w:szCs w:val="22"/>
              </w:rPr>
              <w:t>0.05</w:t>
            </w:r>
          </w:p>
        </w:tc>
        <w:tc>
          <w:tcPr>
            <w:tcW w:w="1560" w:type="dxa"/>
            <w:tcBorders>
              <w:top w:val="nil"/>
              <w:left w:val="nil"/>
              <w:bottom w:val="nil"/>
              <w:right w:val="nil"/>
            </w:tcBorders>
            <w:shd w:val="clear" w:color="auto" w:fill="auto"/>
            <w:noWrap/>
          </w:tcPr>
          <w:p w14:paraId="2C9D5B02" w14:textId="55E9E292" w:rsidR="00370B98" w:rsidRPr="008E7445" w:rsidRDefault="00F22E4C" w:rsidP="00370B98">
            <w:pPr>
              <w:spacing w:line="276" w:lineRule="auto"/>
              <w:jc w:val="center"/>
              <w:rPr>
                <w:rFonts w:eastAsia="Times New Roman" w:cs="Times New Roman"/>
                <w:color w:val="000000"/>
                <w:sz w:val="22"/>
                <w:szCs w:val="22"/>
                <w:lang w:eastAsia="en-GB"/>
              </w:rPr>
            </w:pPr>
            <w:r>
              <w:rPr>
                <w:rFonts w:eastAsia="Calibri" w:cs="Times New Roman"/>
                <w:color w:val="000000"/>
                <w:sz w:val="22"/>
                <w:szCs w:val="22"/>
              </w:rPr>
              <w:t>20,958</w:t>
            </w:r>
          </w:p>
        </w:tc>
      </w:tr>
      <w:tr w:rsidR="00370B98" w:rsidRPr="00713AE1" w14:paraId="2DA35C42" w14:textId="77777777" w:rsidTr="00F96922">
        <w:trPr>
          <w:trHeight w:val="300"/>
        </w:trPr>
        <w:tc>
          <w:tcPr>
            <w:tcW w:w="1433" w:type="dxa"/>
            <w:tcBorders>
              <w:top w:val="nil"/>
              <w:left w:val="nil"/>
              <w:bottom w:val="nil"/>
              <w:right w:val="nil"/>
            </w:tcBorders>
            <w:shd w:val="clear" w:color="auto" w:fill="auto"/>
            <w:noWrap/>
          </w:tcPr>
          <w:p w14:paraId="58E2CE9A" w14:textId="14A987EB" w:rsidR="00370B98" w:rsidRPr="00713AE1" w:rsidRDefault="00370B98" w:rsidP="00370B98">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2 (b)</w:t>
            </w:r>
          </w:p>
          <w:p w14:paraId="5B78B3A8" w14:textId="77777777" w:rsidR="00370B98" w:rsidRPr="00713AE1" w:rsidRDefault="00370B98" w:rsidP="00370B98">
            <w:pPr>
              <w:spacing w:line="276" w:lineRule="auto"/>
              <w:jc w:val="center"/>
              <w:rPr>
                <w:rFonts w:eastAsia="Times New Roman" w:cs="Times New Roman"/>
                <w:color w:val="000000"/>
                <w:sz w:val="22"/>
                <w:szCs w:val="22"/>
                <w:lang w:eastAsia="en-GB"/>
              </w:rPr>
            </w:pPr>
          </w:p>
        </w:tc>
        <w:tc>
          <w:tcPr>
            <w:tcW w:w="1417" w:type="dxa"/>
            <w:tcBorders>
              <w:top w:val="nil"/>
              <w:left w:val="nil"/>
              <w:bottom w:val="nil"/>
              <w:right w:val="nil"/>
            </w:tcBorders>
            <w:shd w:val="clear" w:color="auto" w:fill="auto"/>
            <w:noWrap/>
          </w:tcPr>
          <w:p w14:paraId="4091093A" w14:textId="4E9B8CB8" w:rsidR="00370B98" w:rsidRPr="008E7445" w:rsidRDefault="00FE0E53" w:rsidP="00370B98">
            <w:pPr>
              <w:spacing w:line="276" w:lineRule="auto"/>
              <w:jc w:val="center"/>
              <w:rPr>
                <w:rFonts w:eastAsia="Calibri" w:cs="Times New Roman"/>
                <w:color w:val="000000"/>
                <w:sz w:val="22"/>
                <w:szCs w:val="22"/>
              </w:rPr>
            </w:pPr>
            <w:r w:rsidRPr="00FE0E53">
              <w:rPr>
                <w:rFonts w:eastAsia="Times New Roman" w:cs="Times New Roman"/>
                <w:color w:val="000000"/>
                <w:sz w:val="22"/>
                <w:szCs w:val="22"/>
                <w:lang w:eastAsia="en-GB"/>
              </w:rPr>
              <w:t>713,146,036</w:t>
            </w:r>
          </w:p>
        </w:tc>
        <w:tc>
          <w:tcPr>
            <w:tcW w:w="1287" w:type="dxa"/>
            <w:gridSpan w:val="2"/>
            <w:tcBorders>
              <w:top w:val="nil"/>
              <w:left w:val="nil"/>
              <w:bottom w:val="nil"/>
              <w:right w:val="nil"/>
            </w:tcBorders>
          </w:tcPr>
          <w:p w14:paraId="171BBDB4" w14:textId="02961414" w:rsidR="00370B98" w:rsidRPr="008E7445" w:rsidRDefault="00FD1233" w:rsidP="00370B98">
            <w:pPr>
              <w:spacing w:line="276" w:lineRule="auto"/>
              <w:jc w:val="center"/>
              <w:rPr>
                <w:rFonts w:eastAsia="Calibri" w:cs="Times New Roman"/>
                <w:color w:val="000000"/>
                <w:sz w:val="22"/>
                <w:szCs w:val="22"/>
              </w:rPr>
            </w:pPr>
            <w:r>
              <w:rPr>
                <w:rFonts w:eastAsia="Calibri" w:cs="Times New Roman"/>
                <w:color w:val="000000"/>
                <w:sz w:val="22"/>
                <w:szCs w:val="22"/>
              </w:rPr>
              <w:t>99.16</w:t>
            </w:r>
          </w:p>
        </w:tc>
        <w:tc>
          <w:tcPr>
            <w:tcW w:w="1379" w:type="dxa"/>
            <w:tcBorders>
              <w:top w:val="nil"/>
              <w:left w:val="nil"/>
              <w:bottom w:val="nil"/>
              <w:right w:val="nil"/>
            </w:tcBorders>
            <w:shd w:val="clear" w:color="auto" w:fill="auto"/>
            <w:noWrap/>
          </w:tcPr>
          <w:p w14:paraId="1E496EBF" w14:textId="09EF9E87" w:rsidR="00370B98" w:rsidRPr="008E7445" w:rsidRDefault="002261D1" w:rsidP="00370B98">
            <w:pPr>
              <w:spacing w:line="276" w:lineRule="auto"/>
              <w:jc w:val="center"/>
              <w:rPr>
                <w:rFonts w:eastAsia="Calibri" w:cs="Times New Roman"/>
                <w:color w:val="000000"/>
                <w:sz w:val="22"/>
                <w:szCs w:val="22"/>
              </w:rPr>
            </w:pPr>
            <w:r>
              <w:rPr>
                <w:rFonts w:eastAsia="Calibri" w:cs="Times New Roman"/>
                <w:color w:val="000000"/>
                <w:sz w:val="22"/>
                <w:szCs w:val="22"/>
              </w:rPr>
              <w:t>6,028,660</w:t>
            </w:r>
          </w:p>
        </w:tc>
        <w:tc>
          <w:tcPr>
            <w:tcW w:w="1303" w:type="dxa"/>
            <w:tcBorders>
              <w:top w:val="nil"/>
              <w:left w:val="nil"/>
              <w:bottom w:val="nil"/>
              <w:right w:val="nil"/>
            </w:tcBorders>
          </w:tcPr>
          <w:p w14:paraId="022A4C63" w14:textId="1D6A795A" w:rsidR="00370B98" w:rsidRPr="008E7445" w:rsidRDefault="00FD1233" w:rsidP="00370B98">
            <w:pPr>
              <w:spacing w:line="276" w:lineRule="auto"/>
              <w:jc w:val="center"/>
              <w:rPr>
                <w:rFonts w:eastAsia="Calibri" w:cs="Times New Roman"/>
                <w:color w:val="000000"/>
                <w:sz w:val="22"/>
                <w:szCs w:val="22"/>
              </w:rPr>
            </w:pPr>
            <w:r>
              <w:rPr>
                <w:rFonts w:eastAsia="Calibri" w:cs="Times New Roman"/>
                <w:color w:val="000000"/>
                <w:sz w:val="22"/>
                <w:szCs w:val="22"/>
              </w:rPr>
              <w:t>0.84</w:t>
            </w:r>
          </w:p>
        </w:tc>
        <w:tc>
          <w:tcPr>
            <w:tcW w:w="1560" w:type="dxa"/>
            <w:tcBorders>
              <w:top w:val="nil"/>
              <w:left w:val="nil"/>
              <w:bottom w:val="nil"/>
              <w:right w:val="nil"/>
            </w:tcBorders>
            <w:shd w:val="clear" w:color="auto" w:fill="auto"/>
            <w:noWrap/>
          </w:tcPr>
          <w:p w14:paraId="2BC131E1" w14:textId="4CE1749F" w:rsidR="00370B98" w:rsidRPr="008E7445" w:rsidRDefault="002261D1" w:rsidP="00370B98">
            <w:pPr>
              <w:spacing w:line="276" w:lineRule="auto"/>
              <w:jc w:val="center"/>
              <w:rPr>
                <w:rFonts w:eastAsia="Calibri" w:cs="Times New Roman"/>
                <w:color w:val="000000"/>
                <w:sz w:val="22"/>
                <w:szCs w:val="22"/>
              </w:rPr>
            </w:pPr>
            <w:r>
              <w:rPr>
                <w:rFonts w:eastAsia="Calibri" w:cs="Times New Roman"/>
                <w:color w:val="000000"/>
                <w:sz w:val="22"/>
                <w:szCs w:val="22"/>
              </w:rPr>
              <w:t>20,958</w:t>
            </w:r>
          </w:p>
        </w:tc>
      </w:tr>
      <w:tr w:rsidR="00370B98" w:rsidRPr="00713AE1" w14:paraId="0A40FE45" w14:textId="77777777" w:rsidTr="00F96922">
        <w:trPr>
          <w:trHeight w:val="300"/>
        </w:trPr>
        <w:tc>
          <w:tcPr>
            <w:tcW w:w="1433" w:type="dxa"/>
            <w:tcBorders>
              <w:top w:val="nil"/>
              <w:left w:val="nil"/>
              <w:bottom w:val="nil"/>
              <w:right w:val="nil"/>
            </w:tcBorders>
            <w:shd w:val="clear" w:color="auto" w:fill="auto"/>
            <w:noWrap/>
          </w:tcPr>
          <w:p w14:paraId="269D18C8" w14:textId="0529962D" w:rsidR="00370B98" w:rsidRPr="00713AE1" w:rsidRDefault="00370B98" w:rsidP="00370B98">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2 (c)</w:t>
            </w:r>
          </w:p>
          <w:p w14:paraId="0A2F25F2" w14:textId="77777777" w:rsidR="00370B98" w:rsidRPr="00713AE1" w:rsidRDefault="00370B98" w:rsidP="00370B98">
            <w:pPr>
              <w:spacing w:line="276" w:lineRule="auto"/>
              <w:jc w:val="center"/>
              <w:rPr>
                <w:rFonts w:eastAsia="Times New Roman" w:cs="Times New Roman"/>
                <w:color w:val="000000"/>
                <w:sz w:val="22"/>
                <w:szCs w:val="22"/>
                <w:lang w:eastAsia="en-GB"/>
              </w:rPr>
            </w:pPr>
          </w:p>
        </w:tc>
        <w:tc>
          <w:tcPr>
            <w:tcW w:w="1417" w:type="dxa"/>
            <w:tcBorders>
              <w:top w:val="nil"/>
              <w:left w:val="nil"/>
              <w:bottom w:val="nil"/>
              <w:right w:val="nil"/>
            </w:tcBorders>
            <w:shd w:val="clear" w:color="auto" w:fill="auto"/>
            <w:noWrap/>
          </w:tcPr>
          <w:p w14:paraId="4DCF617F" w14:textId="389FE33D" w:rsidR="00370B98" w:rsidRPr="008E7445" w:rsidRDefault="00FE0E53" w:rsidP="00370B98">
            <w:pPr>
              <w:spacing w:line="276" w:lineRule="auto"/>
              <w:jc w:val="center"/>
              <w:rPr>
                <w:rFonts w:eastAsia="Calibri" w:cs="Times New Roman"/>
                <w:color w:val="000000"/>
                <w:sz w:val="22"/>
                <w:szCs w:val="22"/>
              </w:rPr>
            </w:pPr>
            <w:r w:rsidRPr="00FE0E53">
              <w:rPr>
                <w:rFonts w:eastAsia="Times New Roman" w:cs="Times New Roman"/>
                <w:color w:val="000000"/>
                <w:sz w:val="22"/>
                <w:szCs w:val="22"/>
                <w:lang w:eastAsia="en-GB"/>
              </w:rPr>
              <w:t>718,786,036</w:t>
            </w:r>
          </w:p>
        </w:tc>
        <w:tc>
          <w:tcPr>
            <w:tcW w:w="1287" w:type="dxa"/>
            <w:gridSpan w:val="2"/>
            <w:tcBorders>
              <w:top w:val="nil"/>
              <w:left w:val="nil"/>
              <w:bottom w:val="nil"/>
              <w:right w:val="nil"/>
            </w:tcBorders>
          </w:tcPr>
          <w:p w14:paraId="27DC21E6" w14:textId="1A2C9F16" w:rsidR="00370B98" w:rsidRPr="008E7445" w:rsidRDefault="008625B0" w:rsidP="00370B98">
            <w:pPr>
              <w:spacing w:line="276" w:lineRule="auto"/>
              <w:jc w:val="center"/>
              <w:rPr>
                <w:rFonts w:eastAsia="Calibri" w:cs="Times New Roman"/>
                <w:color w:val="000000"/>
                <w:sz w:val="22"/>
                <w:szCs w:val="22"/>
              </w:rPr>
            </w:pPr>
            <w:r>
              <w:rPr>
                <w:rFonts w:eastAsia="Calibri" w:cs="Times New Roman"/>
                <w:color w:val="000000"/>
                <w:sz w:val="22"/>
                <w:szCs w:val="22"/>
              </w:rPr>
              <w:t>99.9</w:t>
            </w:r>
            <w:r w:rsidR="00A4671F">
              <w:rPr>
                <w:rFonts w:eastAsia="Calibri" w:cs="Times New Roman"/>
                <w:color w:val="000000"/>
                <w:sz w:val="22"/>
                <w:szCs w:val="22"/>
              </w:rPr>
              <w:t>5</w:t>
            </w:r>
          </w:p>
        </w:tc>
        <w:tc>
          <w:tcPr>
            <w:tcW w:w="1379" w:type="dxa"/>
            <w:tcBorders>
              <w:top w:val="nil"/>
              <w:left w:val="nil"/>
              <w:bottom w:val="nil"/>
              <w:right w:val="nil"/>
            </w:tcBorders>
            <w:shd w:val="clear" w:color="auto" w:fill="auto"/>
            <w:noWrap/>
          </w:tcPr>
          <w:p w14:paraId="430D4973" w14:textId="72ECD3F7" w:rsidR="00370B98" w:rsidRPr="008E7445" w:rsidRDefault="002261D1" w:rsidP="00370B98">
            <w:pPr>
              <w:spacing w:line="276" w:lineRule="auto"/>
              <w:jc w:val="center"/>
              <w:rPr>
                <w:rFonts w:eastAsia="Calibri" w:cs="Times New Roman"/>
                <w:color w:val="000000"/>
                <w:sz w:val="22"/>
                <w:szCs w:val="22"/>
              </w:rPr>
            </w:pPr>
            <w:r>
              <w:rPr>
                <w:rFonts w:eastAsia="Calibri" w:cs="Times New Roman"/>
                <w:color w:val="000000"/>
                <w:sz w:val="22"/>
                <w:szCs w:val="22"/>
              </w:rPr>
              <w:t>388,660</w:t>
            </w:r>
          </w:p>
        </w:tc>
        <w:tc>
          <w:tcPr>
            <w:tcW w:w="1303" w:type="dxa"/>
            <w:tcBorders>
              <w:top w:val="nil"/>
              <w:left w:val="nil"/>
              <w:bottom w:val="nil"/>
              <w:right w:val="nil"/>
            </w:tcBorders>
          </w:tcPr>
          <w:p w14:paraId="6FC792E5" w14:textId="25AFD3B1" w:rsidR="00370B98" w:rsidRPr="008E7445" w:rsidRDefault="008625B0" w:rsidP="00370B98">
            <w:pPr>
              <w:spacing w:line="276" w:lineRule="auto"/>
              <w:jc w:val="center"/>
              <w:rPr>
                <w:rFonts w:eastAsia="Calibri" w:cs="Times New Roman"/>
                <w:color w:val="000000"/>
                <w:sz w:val="22"/>
                <w:szCs w:val="22"/>
              </w:rPr>
            </w:pPr>
            <w:r>
              <w:rPr>
                <w:rFonts w:eastAsia="Calibri" w:cs="Times New Roman"/>
                <w:color w:val="000000"/>
                <w:sz w:val="22"/>
                <w:szCs w:val="22"/>
              </w:rPr>
              <w:t>0.05</w:t>
            </w:r>
          </w:p>
        </w:tc>
        <w:tc>
          <w:tcPr>
            <w:tcW w:w="1560" w:type="dxa"/>
            <w:tcBorders>
              <w:top w:val="nil"/>
              <w:left w:val="nil"/>
              <w:bottom w:val="nil"/>
              <w:right w:val="nil"/>
            </w:tcBorders>
            <w:shd w:val="clear" w:color="auto" w:fill="auto"/>
            <w:noWrap/>
          </w:tcPr>
          <w:p w14:paraId="565B5E64" w14:textId="601FA072" w:rsidR="00370B98" w:rsidRPr="008E7445" w:rsidRDefault="000B7747" w:rsidP="00370B98">
            <w:pPr>
              <w:spacing w:line="276" w:lineRule="auto"/>
              <w:jc w:val="center"/>
              <w:rPr>
                <w:rFonts w:eastAsia="Calibri" w:cs="Times New Roman"/>
                <w:color w:val="000000"/>
                <w:sz w:val="22"/>
                <w:szCs w:val="22"/>
              </w:rPr>
            </w:pPr>
            <w:r>
              <w:rPr>
                <w:rFonts w:eastAsia="Calibri" w:cs="Times New Roman"/>
                <w:color w:val="000000"/>
                <w:sz w:val="22"/>
                <w:szCs w:val="22"/>
              </w:rPr>
              <w:t>20,958</w:t>
            </w:r>
          </w:p>
        </w:tc>
      </w:tr>
      <w:tr w:rsidR="00370B98" w:rsidRPr="00713AE1" w14:paraId="3709C172" w14:textId="77777777" w:rsidTr="00F96922">
        <w:trPr>
          <w:trHeight w:val="300"/>
        </w:trPr>
        <w:tc>
          <w:tcPr>
            <w:tcW w:w="1433" w:type="dxa"/>
            <w:tcBorders>
              <w:top w:val="nil"/>
              <w:left w:val="nil"/>
              <w:bottom w:val="nil"/>
              <w:right w:val="nil"/>
            </w:tcBorders>
            <w:shd w:val="clear" w:color="auto" w:fill="auto"/>
            <w:noWrap/>
          </w:tcPr>
          <w:p w14:paraId="60C11DEF" w14:textId="61AB5AC7" w:rsidR="00370B98" w:rsidRPr="00713AE1" w:rsidRDefault="00370B98" w:rsidP="00370B98">
            <w:pPr>
              <w:spacing w:after="240"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2 (d)</w:t>
            </w:r>
          </w:p>
        </w:tc>
        <w:tc>
          <w:tcPr>
            <w:tcW w:w="1417" w:type="dxa"/>
            <w:tcBorders>
              <w:top w:val="nil"/>
              <w:left w:val="nil"/>
              <w:bottom w:val="nil"/>
              <w:right w:val="nil"/>
            </w:tcBorders>
            <w:shd w:val="clear" w:color="auto" w:fill="auto"/>
            <w:noWrap/>
          </w:tcPr>
          <w:p w14:paraId="6BA63D8D" w14:textId="53F8DD9E" w:rsidR="00370B98" w:rsidRPr="008E7445" w:rsidRDefault="00FE0E53" w:rsidP="00370B98">
            <w:pPr>
              <w:spacing w:after="240" w:line="276" w:lineRule="auto"/>
              <w:jc w:val="center"/>
              <w:rPr>
                <w:rFonts w:eastAsia="Calibri" w:cs="Times New Roman"/>
                <w:color w:val="000000"/>
                <w:sz w:val="22"/>
                <w:szCs w:val="22"/>
              </w:rPr>
            </w:pPr>
            <w:r w:rsidRPr="00FE0E53">
              <w:rPr>
                <w:rFonts w:eastAsia="Times New Roman" w:cs="Times New Roman"/>
                <w:color w:val="000000"/>
                <w:sz w:val="22"/>
                <w:szCs w:val="22"/>
                <w:lang w:eastAsia="en-GB"/>
              </w:rPr>
              <w:t>627,576,439</w:t>
            </w:r>
          </w:p>
        </w:tc>
        <w:tc>
          <w:tcPr>
            <w:tcW w:w="1287" w:type="dxa"/>
            <w:gridSpan w:val="2"/>
            <w:tcBorders>
              <w:top w:val="nil"/>
              <w:left w:val="nil"/>
              <w:bottom w:val="nil"/>
              <w:right w:val="nil"/>
            </w:tcBorders>
          </w:tcPr>
          <w:p w14:paraId="6394415B" w14:textId="51C43326" w:rsidR="00370B98" w:rsidRPr="008E7445" w:rsidRDefault="008625B0" w:rsidP="00370B98">
            <w:pPr>
              <w:spacing w:after="240" w:line="276" w:lineRule="auto"/>
              <w:jc w:val="center"/>
              <w:rPr>
                <w:rFonts w:eastAsia="Calibri" w:cs="Times New Roman"/>
                <w:color w:val="000000"/>
                <w:sz w:val="22"/>
                <w:szCs w:val="22"/>
              </w:rPr>
            </w:pPr>
            <w:r>
              <w:rPr>
                <w:rFonts w:eastAsia="Calibri" w:cs="Times New Roman"/>
                <w:color w:val="000000"/>
                <w:sz w:val="22"/>
                <w:szCs w:val="22"/>
              </w:rPr>
              <w:t>87.26</w:t>
            </w:r>
          </w:p>
        </w:tc>
        <w:tc>
          <w:tcPr>
            <w:tcW w:w="1379" w:type="dxa"/>
            <w:tcBorders>
              <w:top w:val="nil"/>
              <w:left w:val="nil"/>
              <w:bottom w:val="nil"/>
              <w:right w:val="nil"/>
            </w:tcBorders>
            <w:shd w:val="clear" w:color="auto" w:fill="auto"/>
            <w:noWrap/>
          </w:tcPr>
          <w:p w14:paraId="499C3911" w14:textId="5455161A" w:rsidR="00370B98" w:rsidRPr="008E7445" w:rsidRDefault="000B7747" w:rsidP="00370B98">
            <w:pPr>
              <w:spacing w:after="240" w:line="276" w:lineRule="auto"/>
              <w:jc w:val="center"/>
              <w:rPr>
                <w:rFonts w:eastAsia="Calibri" w:cs="Times New Roman"/>
                <w:color w:val="000000"/>
                <w:sz w:val="22"/>
                <w:szCs w:val="22"/>
              </w:rPr>
            </w:pPr>
            <w:r>
              <w:rPr>
                <w:rFonts w:eastAsia="Calibri" w:cs="Times New Roman"/>
                <w:color w:val="000000"/>
                <w:sz w:val="22"/>
                <w:szCs w:val="22"/>
              </w:rPr>
              <w:t>91,598,257</w:t>
            </w:r>
          </w:p>
        </w:tc>
        <w:tc>
          <w:tcPr>
            <w:tcW w:w="1303" w:type="dxa"/>
            <w:tcBorders>
              <w:top w:val="nil"/>
              <w:left w:val="nil"/>
              <w:bottom w:val="nil"/>
              <w:right w:val="nil"/>
            </w:tcBorders>
          </w:tcPr>
          <w:p w14:paraId="0946286E" w14:textId="1549C5FF" w:rsidR="00370B98" w:rsidRPr="008E7445" w:rsidRDefault="008625B0" w:rsidP="00370B98">
            <w:pPr>
              <w:spacing w:after="240" w:line="276" w:lineRule="auto"/>
              <w:jc w:val="center"/>
              <w:rPr>
                <w:rFonts w:eastAsia="Calibri" w:cs="Times New Roman"/>
                <w:color w:val="000000"/>
                <w:sz w:val="22"/>
                <w:szCs w:val="22"/>
              </w:rPr>
            </w:pPr>
            <w:r>
              <w:rPr>
                <w:rFonts w:eastAsia="Calibri" w:cs="Times New Roman"/>
                <w:color w:val="000000"/>
                <w:sz w:val="22"/>
                <w:szCs w:val="22"/>
              </w:rPr>
              <w:t>12.74</w:t>
            </w:r>
          </w:p>
        </w:tc>
        <w:tc>
          <w:tcPr>
            <w:tcW w:w="1560" w:type="dxa"/>
            <w:tcBorders>
              <w:top w:val="nil"/>
              <w:left w:val="nil"/>
              <w:bottom w:val="nil"/>
              <w:right w:val="nil"/>
            </w:tcBorders>
            <w:shd w:val="clear" w:color="auto" w:fill="auto"/>
            <w:noWrap/>
          </w:tcPr>
          <w:p w14:paraId="6389C2F9" w14:textId="39721B62" w:rsidR="00370B98" w:rsidRPr="008E7445" w:rsidRDefault="00735E4F" w:rsidP="00370B98">
            <w:pPr>
              <w:spacing w:after="240" w:line="276" w:lineRule="auto"/>
              <w:jc w:val="center"/>
              <w:rPr>
                <w:rFonts w:eastAsia="Calibri" w:cs="Times New Roman"/>
                <w:color w:val="000000"/>
                <w:sz w:val="22"/>
                <w:szCs w:val="22"/>
              </w:rPr>
            </w:pPr>
            <w:r>
              <w:rPr>
                <w:rFonts w:eastAsia="Calibri" w:cs="Times New Roman"/>
                <w:color w:val="000000"/>
                <w:sz w:val="22"/>
                <w:szCs w:val="22"/>
              </w:rPr>
              <w:t>20,958</w:t>
            </w:r>
          </w:p>
        </w:tc>
      </w:tr>
      <w:tr w:rsidR="00370B98" w:rsidRPr="00713AE1" w14:paraId="03D302BE" w14:textId="77777777" w:rsidTr="00A63A3C">
        <w:trPr>
          <w:trHeight w:val="300"/>
        </w:trPr>
        <w:tc>
          <w:tcPr>
            <w:tcW w:w="1433" w:type="dxa"/>
            <w:tcBorders>
              <w:top w:val="nil"/>
              <w:left w:val="nil"/>
              <w:bottom w:val="nil"/>
              <w:right w:val="nil"/>
            </w:tcBorders>
            <w:shd w:val="clear" w:color="auto" w:fill="auto"/>
            <w:noWrap/>
          </w:tcPr>
          <w:p w14:paraId="4D8DDC2A" w14:textId="5CC94DE9" w:rsidR="00370B98" w:rsidRPr="00713AE1" w:rsidRDefault="00370B98" w:rsidP="00A63A3C">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2 (</w:t>
            </w:r>
            <w:r>
              <w:rPr>
                <w:rFonts w:eastAsia="Times New Roman" w:cs="Times New Roman"/>
                <w:color w:val="000000"/>
                <w:sz w:val="22"/>
                <w:szCs w:val="22"/>
                <w:lang w:eastAsia="en-GB"/>
              </w:rPr>
              <w:t>e</w:t>
            </w:r>
            <w:r w:rsidRPr="00713AE1">
              <w:rPr>
                <w:rFonts w:eastAsia="Times New Roman" w:cs="Times New Roman"/>
                <w:color w:val="000000"/>
                <w:sz w:val="22"/>
                <w:szCs w:val="22"/>
                <w:lang w:eastAsia="en-GB"/>
              </w:rPr>
              <w:t>)</w:t>
            </w:r>
          </w:p>
        </w:tc>
        <w:tc>
          <w:tcPr>
            <w:tcW w:w="1417" w:type="dxa"/>
            <w:tcBorders>
              <w:top w:val="nil"/>
              <w:left w:val="nil"/>
              <w:bottom w:val="nil"/>
              <w:right w:val="nil"/>
            </w:tcBorders>
            <w:shd w:val="clear" w:color="auto" w:fill="auto"/>
            <w:noWrap/>
          </w:tcPr>
          <w:p w14:paraId="56440302" w14:textId="6F40062E" w:rsidR="00370B98" w:rsidRPr="008E7445" w:rsidRDefault="00FE0E53" w:rsidP="00A63A3C">
            <w:pPr>
              <w:spacing w:line="276" w:lineRule="auto"/>
              <w:jc w:val="center"/>
              <w:rPr>
                <w:rFonts w:eastAsia="Calibri" w:cs="Times New Roman"/>
                <w:color w:val="000000"/>
                <w:sz w:val="22"/>
                <w:szCs w:val="22"/>
              </w:rPr>
            </w:pPr>
            <w:r w:rsidRPr="00FE0E53">
              <w:rPr>
                <w:rFonts w:eastAsia="Times New Roman" w:cs="Times New Roman"/>
                <w:color w:val="000000"/>
                <w:sz w:val="22"/>
                <w:szCs w:val="22"/>
                <w:lang w:eastAsia="en-GB"/>
              </w:rPr>
              <w:t>718,786,036</w:t>
            </w:r>
          </w:p>
        </w:tc>
        <w:tc>
          <w:tcPr>
            <w:tcW w:w="1287" w:type="dxa"/>
            <w:gridSpan w:val="2"/>
            <w:tcBorders>
              <w:top w:val="nil"/>
              <w:left w:val="nil"/>
              <w:bottom w:val="nil"/>
              <w:right w:val="nil"/>
            </w:tcBorders>
          </w:tcPr>
          <w:p w14:paraId="0A345612" w14:textId="6EBE6C91" w:rsidR="00370B98" w:rsidRPr="008E7445" w:rsidRDefault="008625B0" w:rsidP="00A63A3C">
            <w:pPr>
              <w:spacing w:line="276" w:lineRule="auto"/>
              <w:jc w:val="center"/>
              <w:rPr>
                <w:rFonts w:eastAsia="Calibri" w:cs="Times New Roman"/>
                <w:color w:val="000000"/>
                <w:sz w:val="22"/>
                <w:szCs w:val="22"/>
              </w:rPr>
            </w:pPr>
            <w:r>
              <w:rPr>
                <w:rFonts w:eastAsia="Calibri" w:cs="Times New Roman"/>
                <w:color w:val="000000"/>
                <w:sz w:val="22"/>
                <w:szCs w:val="22"/>
              </w:rPr>
              <w:t>99.9</w:t>
            </w:r>
            <w:r w:rsidR="00A4671F">
              <w:rPr>
                <w:rFonts w:eastAsia="Calibri" w:cs="Times New Roman"/>
                <w:color w:val="000000"/>
                <w:sz w:val="22"/>
                <w:szCs w:val="22"/>
              </w:rPr>
              <w:t>5</w:t>
            </w:r>
          </w:p>
        </w:tc>
        <w:tc>
          <w:tcPr>
            <w:tcW w:w="1379" w:type="dxa"/>
            <w:tcBorders>
              <w:top w:val="nil"/>
              <w:left w:val="nil"/>
              <w:bottom w:val="nil"/>
              <w:right w:val="nil"/>
            </w:tcBorders>
            <w:shd w:val="clear" w:color="auto" w:fill="auto"/>
            <w:noWrap/>
          </w:tcPr>
          <w:p w14:paraId="14D6AB10" w14:textId="106B9985" w:rsidR="00370B98" w:rsidRPr="008E7445" w:rsidRDefault="00735E4F" w:rsidP="00A63A3C">
            <w:pPr>
              <w:spacing w:line="276" w:lineRule="auto"/>
              <w:jc w:val="center"/>
              <w:rPr>
                <w:rFonts w:eastAsia="Calibri" w:cs="Times New Roman"/>
                <w:color w:val="000000"/>
                <w:sz w:val="22"/>
                <w:szCs w:val="22"/>
              </w:rPr>
            </w:pPr>
            <w:r>
              <w:rPr>
                <w:rFonts w:eastAsia="Calibri" w:cs="Times New Roman"/>
                <w:color w:val="000000"/>
                <w:sz w:val="22"/>
                <w:szCs w:val="22"/>
              </w:rPr>
              <w:t>388,660</w:t>
            </w:r>
          </w:p>
        </w:tc>
        <w:tc>
          <w:tcPr>
            <w:tcW w:w="1303" w:type="dxa"/>
            <w:tcBorders>
              <w:top w:val="nil"/>
              <w:left w:val="nil"/>
              <w:bottom w:val="nil"/>
              <w:right w:val="nil"/>
            </w:tcBorders>
          </w:tcPr>
          <w:p w14:paraId="0A6D32F9" w14:textId="701B9E92" w:rsidR="00370B98" w:rsidRPr="008E7445" w:rsidRDefault="008625B0" w:rsidP="00A63A3C">
            <w:pPr>
              <w:spacing w:line="276" w:lineRule="auto"/>
              <w:jc w:val="center"/>
              <w:rPr>
                <w:rFonts w:eastAsia="Calibri" w:cs="Times New Roman"/>
                <w:color w:val="000000"/>
                <w:sz w:val="22"/>
                <w:szCs w:val="22"/>
              </w:rPr>
            </w:pPr>
            <w:r>
              <w:rPr>
                <w:rFonts w:eastAsia="Calibri" w:cs="Times New Roman"/>
                <w:color w:val="000000"/>
                <w:sz w:val="22"/>
                <w:szCs w:val="22"/>
              </w:rPr>
              <w:t>0.05</w:t>
            </w:r>
          </w:p>
        </w:tc>
        <w:tc>
          <w:tcPr>
            <w:tcW w:w="1560" w:type="dxa"/>
            <w:tcBorders>
              <w:top w:val="nil"/>
              <w:left w:val="nil"/>
              <w:bottom w:val="nil"/>
              <w:right w:val="nil"/>
            </w:tcBorders>
            <w:shd w:val="clear" w:color="auto" w:fill="auto"/>
            <w:noWrap/>
          </w:tcPr>
          <w:p w14:paraId="1A4929BD" w14:textId="3E98C9BB" w:rsidR="00370B98" w:rsidRPr="008E7445" w:rsidRDefault="00735E4F" w:rsidP="00A63A3C">
            <w:pPr>
              <w:spacing w:line="276" w:lineRule="auto"/>
              <w:jc w:val="center"/>
              <w:rPr>
                <w:rFonts w:eastAsia="Calibri" w:cs="Times New Roman"/>
                <w:color w:val="000000"/>
                <w:sz w:val="22"/>
                <w:szCs w:val="22"/>
              </w:rPr>
            </w:pPr>
            <w:r>
              <w:rPr>
                <w:rFonts w:eastAsia="Calibri" w:cs="Times New Roman"/>
                <w:color w:val="000000"/>
                <w:sz w:val="22"/>
                <w:szCs w:val="22"/>
              </w:rPr>
              <w:t>20,958</w:t>
            </w:r>
          </w:p>
        </w:tc>
      </w:tr>
      <w:tr w:rsidR="00370B98" w:rsidRPr="00713AE1" w14:paraId="36CEFA90" w14:textId="77777777" w:rsidTr="00F96922">
        <w:trPr>
          <w:trHeight w:val="300"/>
        </w:trPr>
        <w:tc>
          <w:tcPr>
            <w:tcW w:w="1433" w:type="dxa"/>
            <w:tcBorders>
              <w:top w:val="nil"/>
              <w:left w:val="nil"/>
              <w:bottom w:val="nil"/>
              <w:right w:val="nil"/>
            </w:tcBorders>
            <w:shd w:val="clear" w:color="auto" w:fill="auto"/>
            <w:noWrap/>
          </w:tcPr>
          <w:p w14:paraId="4323BE59" w14:textId="77777777" w:rsidR="00370B98" w:rsidRPr="00713AE1" w:rsidRDefault="00370B98" w:rsidP="00370B98">
            <w:pPr>
              <w:spacing w:line="276" w:lineRule="auto"/>
              <w:jc w:val="center"/>
              <w:rPr>
                <w:rFonts w:eastAsia="Times New Roman" w:cs="Times New Roman"/>
                <w:color w:val="000000"/>
                <w:sz w:val="22"/>
                <w:szCs w:val="22"/>
                <w:lang w:eastAsia="en-GB"/>
              </w:rPr>
            </w:pPr>
          </w:p>
        </w:tc>
        <w:tc>
          <w:tcPr>
            <w:tcW w:w="1417" w:type="dxa"/>
            <w:tcBorders>
              <w:top w:val="nil"/>
              <w:left w:val="nil"/>
              <w:bottom w:val="nil"/>
              <w:right w:val="nil"/>
            </w:tcBorders>
            <w:shd w:val="clear" w:color="auto" w:fill="auto"/>
            <w:noWrap/>
          </w:tcPr>
          <w:p w14:paraId="4D4A2E4E" w14:textId="77777777" w:rsidR="00370B98" w:rsidRDefault="00370B98" w:rsidP="00370B98">
            <w:pPr>
              <w:spacing w:line="276" w:lineRule="auto"/>
              <w:jc w:val="center"/>
              <w:rPr>
                <w:rFonts w:eastAsia="Times New Roman" w:cs="Times New Roman"/>
                <w:color w:val="000000"/>
                <w:sz w:val="22"/>
                <w:szCs w:val="22"/>
                <w:lang w:eastAsia="en-GB"/>
              </w:rPr>
            </w:pPr>
          </w:p>
        </w:tc>
        <w:tc>
          <w:tcPr>
            <w:tcW w:w="1287" w:type="dxa"/>
            <w:gridSpan w:val="2"/>
            <w:tcBorders>
              <w:top w:val="nil"/>
              <w:left w:val="nil"/>
              <w:bottom w:val="nil"/>
              <w:right w:val="nil"/>
            </w:tcBorders>
          </w:tcPr>
          <w:p w14:paraId="31DF353D" w14:textId="77777777" w:rsidR="00370B98" w:rsidRDefault="00370B98" w:rsidP="00370B98">
            <w:pPr>
              <w:spacing w:line="276" w:lineRule="auto"/>
              <w:jc w:val="center"/>
              <w:rPr>
                <w:rFonts w:eastAsia="Calibri" w:cs="Times New Roman"/>
                <w:color w:val="000000"/>
                <w:sz w:val="22"/>
                <w:szCs w:val="22"/>
              </w:rPr>
            </w:pPr>
          </w:p>
        </w:tc>
        <w:tc>
          <w:tcPr>
            <w:tcW w:w="1379" w:type="dxa"/>
            <w:tcBorders>
              <w:top w:val="nil"/>
              <w:left w:val="nil"/>
              <w:bottom w:val="nil"/>
              <w:right w:val="nil"/>
            </w:tcBorders>
            <w:shd w:val="clear" w:color="auto" w:fill="auto"/>
            <w:noWrap/>
          </w:tcPr>
          <w:p w14:paraId="5B0A22E6" w14:textId="77777777" w:rsidR="00370B98" w:rsidRDefault="00370B98" w:rsidP="00370B98">
            <w:pPr>
              <w:spacing w:line="276" w:lineRule="auto"/>
              <w:jc w:val="center"/>
              <w:rPr>
                <w:rFonts w:eastAsia="Calibri" w:cs="Times New Roman"/>
                <w:color w:val="000000"/>
                <w:sz w:val="22"/>
                <w:szCs w:val="22"/>
              </w:rPr>
            </w:pPr>
          </w:p>
        </w:tc>
        <w:tc>
          <w:tcPr>
            <w:tcW w:w="1303" w:type="dxa"/>
            <w:tcBorders>
              <w:top w:val="nil"/>
              <w:left w:val="nil"/>
              <w:bottom w:val="nil"/>
              <w:right w:val="nil"/>
            </w:tcBorders>
          </w:tcPr>
          <w:p w14:paraId="2EE9C52C" w14:textId="77777777" w:rsidR="00370B98" w:rsidRDefault="00370B98" w:rsidP="00370B98">
            <w:pPr>
              <w:spacing w:line="276" w:lineRule="auto"/>
              <w:jc w:val="center"/>
              <w:rPr>
                <w:rFonts w:eastAsia="Calibri" w:cs="Times New Roman"/>
                <w:color w:val="000000"/>
                <w:sz w:val="22"/>
                <w:szCs w:val="22"/>
              </w:rPr>
            </w:pPr>
          </w:p>
        </w:tc>
        <w:tc>
          <w:tcPr>
            <w:tcW w:w="1560" w:type="dxa"/>
            <w:tcBorders>
              <w:top w:val="nil"/>
              <w:left w:val="nil"/>
              <w:bottom w:val="nil"/>
              <w:right w:val="nil"/>
            </w:tcBorders>
            <w:shd w:val="clear" w:color="auto" w:fill="auto"/>
            <w:noWrap/>
          </w:tcPr>
          <w:p w14:paraId="593DE6E0" w14:textId="77777777" w:rsidR="00370B98" w:rsidRDefault="00370B98" w:rsidP="00370B98">
            <w:pPr>
              <w:spacing w:line="276" w:lineRule="auto"/>
              <w:jc w:val="center"/>
              <w:rPr>
                <w:rFonts w:eastAsia="Calibri" w:cs="Times New Roman"/>
                <w:color w:val="000000"/>
                <w:sz w:val="22"/>
                <w:szCs w:val="22"/>
              </w:rPr>
            </w:pPr>
          </w:p>
        </w:tc>
      </w:tr>
      <w:tr w:rsidR="00370B98" w:rsidRPr="00713AE1" w14:paraId="1A32AE2E" w14:textId="77777777" w:rsidTr="00F96922">
        <w:trPr>
          <w:trHeight w:val="300"/>
        </w:trPr>
        <w:tc>
          <w:tcPr>
            <w:tcW w:w="1433" w:type="dxa"/>
            <w:tcBorders>
              <w:top w:val="nil"/>
              <w:left w:val="nil"/>
              <w:bottom w:val="nil"/>
              <w:right w:val="nil"/>
            </w:tcBorders>
            <w:shd w:val="clear" w:color="auto" w:fill="auto"/>
            <w:noWrap/>
          </w:tcPr>
          <w:p w14:paraId="797EA7D5" w14:textId="6D570598" w:rsidR="00370B98" w:rsidRPr="00713AE1" w:rsidRDefault="00370B98" w:rsidP="00370B98">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3</w:t>
            </w:r>
          </w:p>
          <w:p w14:paraId="2156D68C" w14:textId="79B39597" w:rsidR="00370B98" w:rsidRPr="00713AE1" w:rsidRDefault="00370B98" w:rsidP="00370B98">
            <w:pPr>
              <w:spacing w:line="276" w:lineRule="auto"/>
              <w:jc w:val="center"/>
              <w:rPr>
                <w:rFonts w:eastAsia="Times New Roman" w:cs="Times New Roman"/>
                <w:color w:val="000000"/>
                <w:sz w:val="22"/>
                <w:szCs w:val="22"/>
                <w:lang w:eastAsia="en-GB"/>
              </w:rPr>
            </w:pPr>
          </w:p>
        </w:tc>
        <w:tc>
          <w:tcPr>
            <w:tcW w:w="1417" w:type="dxa"/>
            <w:tcBorders>
              <w:top w:val="nil"/>
              <w:left w:val="nil"/>
              <w:bottom w:val="nil"/>
              <w:right w:val="nil"/>
            </w:tcBorders>
            <w:shd w:val="clear" w:color="auto" w:fill="auto"/>
            <w:noWrap/>
          </w:tcPr>
          <w:p w14:paraId="1B716C7D" w14:textId="788D5186" w:rsidR="00370B98" w:rsidRPr="008E7445" w:rsidRDefault="00FE0E53" w:rsidP="00370B98">
            <w:pPr>
              <w:spacing w:line="276" w:lineRule="auto"/>
              <w:jc w:val="center"/>
              <w:rPr>
                <w:rFonts w:eastAsia="Times New Roman" w:cs="Times New Roman"/>
                <w:color w:val="000000"/>
                <w:sz w:val="22"/>
                <w:szCs w:val="22"/>
                <w:lang w:eastAsia="en-GB"/>
              </w:rPr>
            </w:pPr>
            <w:r w:rsidRPr="00FE0E53">
              <w:rPr>
                <w:rFonts w:eastAsia="Times New Roman" w:cs="Times New Roman"/>
                <w:color w:val="000000"/>
                <w:sz w:val="22"/>
                <w:szCs w:val="22"/>
                <w:lang w:eastAsia="en-GB"/>
              </w:rPr>
              <w:t>719,175,518</w:t>
            </w:r>
          </w:p>
        </w:tc>
        <w:tc>
          <w:tcPr>
            <w:tcW w:w="1287" w:type="dxa"/>
            <w:gridSpan w:val="2"/>
            <w:tcBorders>
              <w:top w:val="nil"/>
              <w:left w:val="nil"/>
              <w:bottom w:val="nil"/>
              <w:right w:val="nil"/>
            </w:tcBorders>
          </w:tcPr>
          <w:p w14:paraId="695BB0A7" w14:textId="2D626D79" w:rsidR="00370B98" w:rsidRPr="008E7445" w:rsidRDefault="008625B0" w:rsidP="00370B98">
            <w:pPr>
              <w:spacing w:line="276" w:lineRule="auto"/>
              <w:jc w:val="center"/>
              <w:rPr>
                <w:rFonts w:eastAsia="Times New Roman" w:cs="Times New Roman"/>
                <w:color w:val="000000"/>
                <w:sz w:val="22"/>
                <w:szCs w:val="22"/>
                <w:lang w:eastAsia="en-GB"/>
              </w:rPr>
            </w:pPr>
            <w:r>
              <w:rPr>
                <w:rFonts w:eastAsia="Calibri" w:cs="Times New Roman"/>
                <w:color w:val="000000"/>
                <w:sz w:val="22"/>
                <w:szCs w:val="22"/>
              </w:rPr>
              <w:t>100.00</w:t>
            </w:r>
          </w:p>
        </w:tc>
        <w:tc>
          <w:tcPr>
            <w:tcW w:w="1379" w:type="dxa"/>
            <w:tcBorders>
              <w:top w:val="nil"/>
              <w:left w:val="nil"/>
              <w:bottom w:val="nil"/>
              <w:right w:val="nil"/>
            </w:tcBorders>
            <w:shd w:val="clear" w:color="auto" w:fill="auto"/>
            <w:noWrap/>
          </w:tcPr>
          <w:p w14:paraId="7D94EE2D" w14:textId="337BA98D" w:rsidR="00370B98" w:rsidRPr="008E7445" w:rsidRDefault="00735E4F" w:rsidP="00370B98">
            <w:pPr>
              <w:spacing w:line="276" w:lineRule="auto"/>
              <w:jc w:val="center"/>
              <w:rPr>
                <w:rFonts w:eastAsia="Times New Roman" w:cs="Times New Roman"/>
                <w:color w:val="000000"/>
                <w:sz w:val="22"/>
                <w:szCs w:val="22"/>
                <w:lang w:eastAsia="en-GB"/>
              </w:rPr>
            </w:pPr>
            <w:r>
              <w:rPr>
                <w:rFonts w:eastAsia="Calibri" w:cs="Times New Roman"/>
                <w:color w:val="000000"/>
                <w:sz w:val="22"/>
                <w:szCs w:val="22"/>
              </w:rPr>
              <w:t>0</w:t>
            </w:r>
          </w:p>
        </w:tc>
        <w:tc>
          <w:tcPr>
            <w:tcW w:w="1303" w:type="dxa"/>
            <w:tcBorders>
              <w:top w:val="nil"/>
              <w:left w:val="nil"/>
              <w:bottom w:val="nil"/>
              <w:right w:val="nil"/>
            </w:tcBorders>
          </w:tcPr>
          <w:p w14:paraId="558229AF" w14:textId="373BA3EB" w:rsidR="00370B98" w:rsidRPr="008E7445" w:rsidRDefault="008625B0" w:rsidP="00370B98">
            <w:pPr>
              <w:spacing w:line="276" w:lineRule="auto"/>
              <w:jc w:val="center"/>
              <w:rPr>
                <w:rFonts w:eastAsia="Times New Roman" w:cs="Times New Roman"/>
                <w:color w:val="000000"/>
                <w:sz w:val="22"/>
                <w:szCs w:val="22"/>
                <w:lang w:eastAsia="en-GB"/>
              </w:rPr>
            </w:pPr>
            <w:r>
              <w:rPr>
                <w:rFonts w:eastAsia="Calibri" w:cs="Times New Roman"/>
                <w:color w:val="000000"/>
                <w:sz w:val="22"/>
                <w:szCs w:val="22"/>
              </w:rPr>
              <w:t>0.00</w:t>
            </w:r>
          </w:p>
        </w:tc>
        <w:tc>
          <w:tcPr>
            <w:tcW w:w="1560" w:type="dxa"/>
            <w:tcBorders>
              <w:top w:val="nil"/>
              <w:left w:val="nil"/>
              <w:bottom w:val="nil"/>
              <w:right w:val="nil"/>
            </w:tcBorders>
            <w:shd w:val="clear" w:color="auto" w:fill="auto"/>
            <w:noWrap/>
          </w:tcPr>
          <w:p w14:paraId="7D8609CB" w14:textId="44B66BA9" w:rsidR="00370B98" w:rsidRPr="008E7445" w:rsidRDefault="00735E4F" w:rsidP="00370B98">
            <w:pPr>
              <w:spacing w:line="276" w:lineRule="auto"/>
              <w:jc w:val="center"/>
              <w:rPr>
                <w:rFonts w:eastAsia="Times New Roman" w:cs="Times New Roman"/>
                <w:color w:val="000000"/>
                <w:sz w:val="22"/>
                <w:szCs w:val="22"/>
                <w:lang w:eastAsia="en-GB"/>
              </w:rPr>
            </w:pPr>
            <w:r>
              <w:rPr>
                <w:rFonts w:eastAsia="Calibri" w:cs="Times New Roman"/>
                <w:color w:val="000000"/>
                <w:sz w:val="22"/>
                <w:szCs w:val="22"/>
              </w:rPr>
              <w:t>20,136</w:t>
            </w:r>
          </w:p>
        </w:tc>
      </w:tr>
      <w:tr w:rsidR="00370B98" w:rsidRPr="00713AE1" w14:paraId="64D8933E" w14:textId="77777777" w:rsidTr="00F96922">
        <w:trPr>
          <w:trHeight w:val="300"/>
        </w:trPr>
        <w:tc>
          <w:tcPr>
            <w:tcW w:w="1433" w:type="dxa"/>
            <w:tcBorders>
              <w:top w:val="nil"/>
              <w:left w:val="nil"/>
              <w:bottom w:val="nil"/>
              <w:right w:val="nil"/>
            </w:tcBorders>
            <w:shd w:val="clear" w:color="auto" w:fill="auto"/>
            <w:noWrap/>
          </w:tcPr>
          <w:p w14:paraId="767C8B96" w14:textId="0568F7C6" w:rsidR="00370B98" w:rsidRPr="00713AE1" w:rsidRDefault="00370B98" w:rsidP="00370B98">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4</w:t>
            </w:r>
          </w:p>
          <w:p w14:paraId="6B3B6FB6" w14:textId="7916B076" w:rsidR="00370B98" w:rsidRPr="00713AE1" w:rsidRDefault="00370B98" w:rsidP="00370B98">
            <w:pPr>
              <w:spacing w:line="276" w:lineRule="auto"/>
              <w:jc w:val="center"/>
              <w:rPr>
                <w:rFonts w:eastAsia="Times New Roman" w:cs="Times New Roman"/>
                <w:color w:val="000000"/>
                <w:sz w:val="22"/>
                <w:szCs w:val="22"/>
                <w:lang w:eastAsia="en-GB"/>
              </w:rPr>
            </w:pPr>
          </w:p>
        </w:tc>
        <w:tc>
          <w:tcPr>
            <w:tcW w:w="1417" w:type="dxa"/>
            <w:tcBorders>
              <w:top w:val="nil"/>
              <w:left w:val="nil"/>
              <w:bottom w:val="nil"/>
              <w:right w:val="nil"/>
            </w:tcBorders>
            <w:shd w:val="clear" w:color="auto" w:fill="auto"/>
            <w:noWrap/>
          </w:tcPr>
          <w:p w14:paraId="62397A86" w14:textId="3B2C4182" w:rsidR="00370B98" w:rsidRPr="008E7445" w:rsidRDefault="00FE0E53" w:rsidP="00370B98">
            <w:pPr>
              <w:spacing w:line="276" w:lineRule="auto"/>
              <w:jc w:val="center"/>
              <w:rPr>
                <w:rFonts w:eastAsia="Times New Roman" w:cs="Times New Roman"/>
                <w:color w:val="000000"/>
                <w:sz w:val="22"/>
                <w:szCs w:val="22"/>
                <w:lang w:eastAsia="en-GB"/>
              </w:rPr>
            </w:pPr>
            <w:r w:rsidRPr="00FE0E53">
              <w:rPr>
                <w:rFonts w:eastAsia="Times New Roman" w:cs="Times New Roman"/>
                <w:color w:val="000000"/>
                <w:sz w:val="22"/>
                <w:szCs w:val="22"/>
                <w:lang w:eastAsia="en-GB"/>
              </w:rPr>
              <w:t>719,192,852</w:t>
            </w:r>
          </w:p>
        </w:tc>
        <w:tc>
          <w:tcPr>
            <w:tcW w:w="1287" w:type="dxa"/>
            <w:gridSpan w:val="2"/>
            <w:tcBorders>
              <w:top w:val="nil"/>
              <w:left w:val="nil"/>
              <w:bottom w:val="nil"/>
              <w:right w:val="nil"/>
            </w:tcBorders>
          </w:tcPr>
          <w:p w14:paraId="521E459D" w14:textId="7597F62D" w:rsidR="00370B98" w:rsidRPr="008E7445" w:rsidRDefault="00DE414D" w:rsidP="00370B98">
            <w:pPr>
              <w:spacing w:line="276" w:lineRule="auto"/>
              <w:jc w:val="center"/>
              <w:rPr>
                <w:rFonts w:eastAsia="Times New Roman" w:cs="Times New Roman"/>
                <w:color w:val="000000"/>
                <w:sz w:val="22"/>
                <w:szCs w:val="22"/>
                <w:lang w:eastAsia="en-GB"/>
              </w:rPr>
            </w:pPr>
            <w:r>
              <w:rPr>
                <w:rFonts w:eastAsia="Calibri" w:cs="Times New Roman"/>
                <w:color w:val="000000"/>
                <w:sz w:val="22"/>
                <w:szCs w:val="22"/>
              </w:rPr>
              <w:t>100.00</w:t>
            </w:r>
          </w:p>
        </w:tc>
        <w:tc>
          <w:tcPr>
            <w:tcW w:w="1379" w:type="dxa"/>
            <w:tcBorders>
              <w:top w:val="nil"/>
              <w:left w:val="nil"/>
              <w:bottom w:val="nil"/>
              <w:right w:val="nil"/>
            </w:tcBorders>
            <w:shd w:val="clear" w:color="auto" w:fill="auto"/>
            <w:noWrap/>
          </w:tcPr>
          <w:p w14:paraId="6E617731" w14:textId="6419EADC" w:rsidR="00370B98" w:rsidRPr="008E7445" w:rsidRDefault="00735E4F" w:rsidP="00370B98">
            <w:pPr>
              <w:spacing w:line="276" w:lineRule="auto"/>
              <w:jc w:val="center"/>
              <w:rPr>
                <w:rFonts w:eastAsia="Times New Roman" w:cs="Times New Roman"/>
                <w:color w:val="000000"/>
                <w:sz w:val="22"/>
                <w:szCs w:val="22"/>
                <w:lang w:eastAsia="en-GB"/>
              </w:rPr>
            </w:pPr>
            <w:r>
              <w:rPr>
                <w:rFonts w:eastAsia="Calibri" w:cs="Times New Roman"/>
                <w:color w:val="000000"/>
                <w:sz w:val="22"/>
                <w:szCs w:val="22"/>
              </w:rPr>
              <w:t>330</w:t>
            </w:r>
          </w:p>
        </w:tc>
        <w:tc>
          <w:tcPr>
            <w:tcW w:w="1303" w:type="dxa"/>
            <w:tcBorders>
              <w:top w:val="nil"/>
              <w:left w:val="nil"/>
              <w:bottom w:val="nil"/>
              <w:right w:val="nil"/>
            </w:tcBorders>
          </w:tcPr>
          <w:p w14:paraId="2C2686DE" w14:textId="1631F3A8" w:rsidR="00370B98" w:rsidRPr="008E7445" w:rsidRDefault="008625B0" w:rsidP="00370B98">
            <w:pPr>
              <w:spacing w:line="276" w:lineRule="auto"/>
              <w:jc w:val="center"/>
              <w:rPr>
                <w:rFonts w:eastAsia="Times New Roman" w:cs="Times New Roman"/>
                <w:color w:val="000000"/>
                <w:sz w:val="22"/>
                <w:szCs w:val="22"/>
                <w:lang w:eastAsia="en-GB"/>
              </w:rPr>
            </w:pPr>
            <w:r>
              <w:rPr>
                <w:rFonts w:eastAsia="Calibri" w:cs="Times New Roman"/>
                <w:color w:val="000000"/>
                <w:sz w:val="22"/>
                <w:szCs w:val="22"/>
              </w:rPr>
              <w:t>0.0</w:t>
            </w:r>
            <w:r w:rsidR="00FE0E53">
              <w:rPr>
                <w:rFonts w:eastAsia="Calibri" w:cs="Times New Roman"/>
                <w:color w:val="000000"/>
                <w:sz w:val="22"/>
                <w:szCs w:val="22"/>
              </w:rPr>
              <w:t>0</w:t>
            </w:r>
          </w:p>
        </w:tc>
        <w:tc>
          <w:tcPr>
            <w:tcW w:w="1560" w:type="dxa"/>
            <w:tcBorders>
              <w:top w:val="nil"/>
              <w:left w:val="nil"/>
              <w:bottom w:val="nil"/>
              <w:right w:val="nil"/>
            </w:tcBorders>
            <w:shd w:val="clear" w:color="auto" w:fill="auto"/>
            <w:noWrap/>
          </w:tcPr>
          <w:p w14:paraId="5D10B40F" w14:textId="7F62E2C1" w:rsidR="00370B98" w:rsidRPr="008E7445" w:rsidRDefault="00735E4F" w:rsidP="00370B98">
            <w:pPr>
              <w:spacing w:line="276" w:lineRule="auto"/>
              <w:jc w:val="center"/>
              <w:rPr>
                <w:rFonts w:eastAsia="Times New Roman" w:cs="Times New Roman"/>
                <w:color w:val="000000"/>
                <w:sz w:val="22"/>
                <w:szCs w:val="22"/>
                <w:lang w:eastAsia="en-GB"/>
              </w:rPr>
            </w:pPr>
            <w:r>
              <w:rPr>
                <w:rFonts w:eastAsia="Calibri" w:cs="Times New Roman"/>
                <w:color w:val="000000"/>
                <w:sz w:val="22"/>
                <w:szCs w:val="22"/>
              </w:rPr>
              <w:t>2,472</w:t>
            </w:r>
          </w:p>
        </w:tc>
      </w:tr>
      <w:tr w:rsidR="00370B98" w:rsidRPr="00713AE1" w14:paraId="2AA8B870" w14:textId="77777777" w:rsidTr="00811F7A">
        <w:trPr>
          <w:trHeight w:val="300"/>
        </w:trPr>
        <w:tc>
          <w:tcPr>
            <w:tcW w:w="1433" w:type="dxa"/>
            <w:tcBorders>
              <w:top w:val="nil"/>
              <w:left w:val="nil"/>
              <w:bottom w:val="nil"/>
              <w:right w:val="nil"/>
            </w:tcBorders>
            <w:shd w:val="clear" w:color="auto" w:fill="auto"/>
            <w:noWrap/>
          </w:tcPr>
          <w:p w14:paraId="696AB0E0" w14:textId="77777777" w:rsidR="00370B98" w:rsidRPr="00713AE1" w:rsidRDefault="00370B98" w:rsidP="00370B98">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5</w:t>
            </w:r>
          </w:p>
        </w:tc>
        <w:tc>
          <w:tcPr>
            <w:tcW w:w="1417" w:type="dxa"/>
            <w:tcBorders>
              <w:top w:val="nil"/>
              <w:left w:val="nil"/>
              <w:bottom w:val="nil"/>
              <w:right w:val="nil"/>
            </w:tcBorders>
            <w:shd w:val="clear" w:color="auto" w:fill="auto"/>
            <w:noWrap/>
          </w:tcPr>
          <w:p w14:paraId="3D107870" w14:textId="6DCA09F5" w:rsidR="00370B98" w:rsidRPr="008E7445" w:rsidRDefault="00FE0E53" w:rsidP="00370B98">
            <w:pPr>
              <w:spacing w:after="200" w:line="276" w:lineRule="auto"/>
              <w:jc w:val="center"/>
              <w:rPr>
                <w:rFonts w:eastAsia="Calibri" w:cs="Times New Roman"/>
                <w:color w:val="000000"/>
                <w:sz w:val="22"/>
                <w:szCs w:val="22"/>
              </w:rPr>
            </w:pPr>
            <w:r w:rsidRPr="00FE0E53">
              <w:rPr>
                <w:rFonts w:eastAsia="Times New Roman" w:cs="Times New Roman"/>
                <w:color w:val="000000"/>
                <w:sz w:val="22"/>
                <w:szCs w:val="22"/>
                <w:lang w:eastAsia="en-GB"/>
              </w:rPr>
              <w:t>719,192,852</w:t>
            </w:r>
          </w:p>
        </w:tc>
        <w:tc>
          <w:tcPr>
            <w:tcW w:w="1287" w:type="dxa"/>
            <w:gridSpan w:val="2"/>
            <w:tcBorders>
              <w:top w:val="nil"/>
              <w:left w:val="nil"/>
              <w:bottom w:val="nil"/>
              <w:right w:val="nil"/>
            </w:tcBorders>
          </w:tcPr>
          <w:p w14:paraId="3BE92C37" w14:textId="36267994" w:rsidR="00370B98" w:rsidRPr="008E7445" w:rsidRDefault="008625B0" w:rsidP="00370B98">
            <w:pPr>
              <w:autoSpaceDE w:val="0"/>
              <w:autoSpaceDN w:val="0"/>
              <w:adjustRightInd w:val="0"/>
              <w:spacing w:line="276" w:lineRule="auto"/>
              <w:jc w:val="center"/>
              <w:rPr>
                <w:rFonts w:eastAsia="Calibri" w:cs="Times New Roman"/>
                <w:color w:val="000000"/>
                <w:sz w:val="22"/>
                <w:szCs w:val="22"/>
              </w:rPr>
            </w:pPr>
            <w:r>
              <w:rPr>
                <w:rFonts w:eastAsia="Calibri" w:cs="Times New Roman"/>
                <w:color w:val="000000"/>
                <w:sz w:val="22"/>
                <w:szCs w:val="22"/>
              </w:rPr>
              <w:t>100.00</w:t>
            </w:r>
          </w:p>
        </w:tc>
        <w:tc>
          <w:tcPr>
            <w:tcW w:w="1379" w:type="dxa"/>
            <w:tcBorders>
              <w:top w:val="nil"/>
              <w:left w:val="nil"/>
              <w:bottom w:val="nil"/>
              <w:right w:val="nil"/>
            </w:tcBorders>
            <w:shd w:val="clear" w:color="auto" w:fill="auto"/>
            <w:noWrap/>
          </w:tcPr>
          <w:p w14:paraId="7B52176A" w14:textId="3D220D34" w:rsidR="00370B98" w:rsidRPr="008E7445" w:rsidRDefault="00292BA1" w:rsidP="00370B98">
            <w:pPr>
              <w:spacing w:after="200" w:line="276" w:lineRule="auto"/>
              <w:jc w:val="center"/>
              <w:rPr>
                <w:rFonts w:eastAsia="Calibri" w:cs="Times New Roman"/>
                <w:color w:val="000000"/>
                <w:sz w:val="22"/>
                <w:szCs w:val="22"/>
              </w:rPr>
            </w:pPr>
            <w:r>
              <w:rPr>
                <w:rFonts w:eastAsia="Calibri" w:cs="Times New Roman"/>
                <w:color w:val="000000"/>
                <w:sz w:val="22"/>
                <w:szCs w:val="22"/>
              </w:rPr>
              <w:t>0</w:t>
            </w:r>
          </w:p>
        </w:tc>
        <w:tc>
          <w:tcPr>
            <w:tcW w:w="1303" w:type="dxa"/>
            <w:tcBorders>
              <w:top w:val="nil"/>
              <w:left w:val="nil"/>
              <w:bottom w:val="nil"/>
              <w:right w:val="nil"/>
            </w:tcBorders>
          </w:tcPr>
          <w:p w14:paraId="17592AC2" w14:textId="0D1AFE04" w:rsidR="00370B98" w:rsidRPr="008E7445" w:rsidRDefault="00E609B1" w:rsidP="00370B98">
            <w:pPr>
              <w:autoSpaceDE w:val="0"/>
              <w:autoSpaceDN w:val="0"/>
              <w:adjustRightInd w:val="0"/>
              <w:spacing w:line="276" w:lineRule="auto"/>
              <w:jc w:val="center"/>
              <w:rPr>
                <w:rFonts w:eastAsia="Calibri" w:cs="Times New Roman"/>
                <w:color w:val="000000"/>
                <w:sz w:val="22"/>
                <w:szCs w:val="22"/>
              </w:rPr>
            </w:pPr>
            <w:r>
              <w:rPr>
                <w:rFonts w:eastAsia="Calibri" w:cs="Times New Roman"/>
                <w:color w:val="000000"/>
                <w:sz w:val="22"/>
                <w:szCs w:val="22"/>
              </w:rPr>
              <w:t>0.00</w:t>
            </w:r>
          </w:p>
        </w:tc>
        <w:tc>
          <w:tcPr>
            <w:tcW w:w="1560" w:type="dxa"/>
            <w:tcBorders>
              <w:top w:val="nil"/>
              <w:left w:val="nil"/>
              <w:bottom w:val="nil"/>
              <w:right w:val="nil"/>
            </w:tcBorders>
            <w:shd w:val="clear" w:color="auto" w:fill="auto"/>
            <w:noWrap/>
          </w:tcPr>
          <w:p w14:paraId="52CA0182" w14:textId="18800B67" w:rsidR="00370B98" w:rsidRPr="008E7445" w:rsidRDefault="00292BA1" w:rsidP="00370B98">
            <w:pPr>
              <w:spacing w:after="200" w:line="276" w:lineRule="auto"/>
              <w:jc w:val="center"/>
              <w:rPr>
                <w:rFonts w:eastAsia="Calibri" w:cs="Times New Roman"/>
                <w:color w:val="000000"/>
                <w:sz w:val="22"/>
                <w:szCs w:val="22"/>
              </w:rPr>
            </w:pPr>
            <w:r>
              <w:rPr>
                <w:rFonts w:eastAsia="Calibri" w:cs="Times New Roman"/>
                <w:color w:val="000000"/>
                <w:sz w:val="22"/>
                <w:szCs w:val="22"/>
              </w:rPr>
              <w:t>2,802</w:t>
            </w:r>
          </w:p>
        </w:tc>
      </w:tr>
      <w:tr w:rsidR="00370B98" w:rsidRPr="00713AE1" w14:paraId="166E7244" w14:textId="77777777" w:rsidTr="00811F7A">
        <w:trPr>
          <w:trHeight w:val="300"/>
        </w:trPr>
        <w:tc>
          <w:tcPr>
            <w:tcW w:w="1433" w:type="dxa"/>
            <w:tcBorders>
              <w:top w:val="nil"/>
              <w:left w:val="nil"/>
              <w:bottom w:val="nil"/>
              <w:right w:val="nil"/>
            </w:tcBorders>
            <w:shd w:val="clear" w:color="auto" w:fill="auto"/>
            <w:noWrap/>
          </w:tcPr>
          <w:p w14:paraId="25B85CDB" w14:textId="77777777" w:rsidR="00370B98" w:rsidRPr="00713AE1" w:rsidRDefault="00370B98" w:rsidP="00370B98">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6</w:t>
            </w:r>
          </w:p>
        </w:tc>
        <w:tc>
          <w:tcPr>
            <w:tcW w:w="1417" w:type="dxa"/>
            <w:tcBorders>
              <w:top w:val="nil"/>
              <w:left w:val="nil"/>
              <w:bottom w:val="nil"/>
              <w:right w:val="nil"/>
            </w:tcBorders>
            <w:shd w:val="clear" w:color="auto" w:fill="auto"/>
            <w:noWrap/>
          </w:tcPr>
          <w:p w14:paraId="2CCF11EE" w14:textId="4B9689BF" w:rsidR="00370B98" w:rsidRPr="008E7445" w:rsidRDefault="00FE0E53" w:rsidP="00370B98">
            <w:pPr>
              <w:spacing w:after="200" w:line="276" w:lineRule="auto"/>
              <w:jc w:val="center"/>
              <w:rPr>
                <w:rFonts w:eastAsia="Calibri" w:cs="Times New Roman"/>
                <w:color w:val="000000"/>
                <w:sz w:val="22"/>
                <w:szCs w:val="22"/>
              </w:rPr>
            </w:pPr>
            <w:r w:rsidRPr="00FE0E53">
              <w:rPr>
                <w:rFonts w:eastAsia="Times New Roman" w:cs="Times New Roman"/>
                <w:color w:val="000000"/>
                <w:sz w:val="22"/>
                <w:szCs w:val="22"/>
                <w:lang w:eastAsia="en-GB"/>
              </w:rPr>
              <w:t>709,468,340</w:t>
            </w:r>
          </w:p>
        </w:tc>
        <w:tc>
          <w:tcPr>
            <w:tcW w:w="1287" w:type="dxa"/>
            <w:gridSpan w:val="2"/>
            <w:tcBorders>
              <w:top w:val="nil"/>
              <w:left w:val="nil"/>
              <w:bottom w:val="nil"/>
              <w:right w:val="nil"/>
            </w:tcBorders>
          </w:tcPr>
          <w:p w14:paraId="1EEF9F2B" w14:textId="12746752" w:rsidR="00370B98" w:rsidRPr="008E7445" w:rsidRDefault="00E609B1" w:rsidP="00370B98">
            <w:pPr>
              <w:autoSpaceDE w:val="0"/>
              <w:autoSpaceDN w:val="0"/>
              <w:adjustRightInd w:val="0"/>
              <w:spacing w:line="276" w:lineRule="auto"/>
              <w:jc w:val="center"/>
              <w:rPr>
                <w:rFonts w:eastAsia="Calibri" w:cs="Times New Roman"/>
                <w:color w:val="000000"/>
                <w:sz w:val="22"/>
                <w:szCs w:val="22"/>
              </w:rPr>
            </w:pPr>
            <w:r>
              <w:rPr>
                <w:rFonts w:eastAsia="Calibri" w:cs="Times New Roman"/>
                <w:color w:val="000000"/>
                <w:sz w:val="22"/>
                <w:szCs w:val="22"/>
              </w:rPr>
              <w:t>98.65</w:t>
            </w:r>
          </w:p>
        </w:tc>
        <w:tc>
          <w:tcPr>
            <w:tcW w:w="1379" w:type="dxa"/>
            <w:tcBorders>
              <w:top w:val="nil"/>
              <w:left w:val="nil"/>
              <w:bottom w:val="nil"/>
              <w:right w:val="nil"/>
            </w:tcBorders>
            <w:shd w:val="clear" w:color="auto" w:fill="auto"/>
            <w:noWrap/>
          </w:tcPr>
          <w:p w14:paraId="69BA07F0" w14:textId="6C4E1A01" w:rsidR="00370B98" w:rsidRPr="008E7445" w:rsidRDefault="00292BA1" w:rsidP="00370B98">
            <w:pPr>
              <w:spacing w:after="200" w:line="276" w:lineRule="auto"/>
              <w:jc w:val="center"/>
              <w:rPr>
                <w:rFonts w:eastAsia="Calibri" w:cs="Times New Roman"/>
                <w:color w:val="000000"/>
                <w:sz w:val="22"/>
                <w:szCs w:val="22"/>
              </w:rPr>
            </w:pPr>
            <w:r>
              <w:rPr>
                <w:rFonts w:eastAsia="Calibri" w:cs="Times New Roman"/>
                <w:color w:val="000000"/>
                <w:sz w:val="22"/>
                <w:szCs w:val="22"/>
              </w:rPr>
              <w:t>9,724,512</w:t>
            </w:r>
          </w:p>
        </w:tc>
        <w:tc>
          <w:tcPr>
            <w:tcW w:w="1303" w:type="dxa"/>
            <w:tcBorders>
              <w:top w:val="nil"/>
              <w:left w:val="nil"/>
              <w:bottom w:val="nil"/>
              <w:right w:val="nil"/>
            </w:tcBorders>
          </w:tcPr>
          <w:p w14:paraId="20CF81CB" w14:textId="255445A6" w:rsidR="00370B98" w:rsidRPr="008E7445" w:rsidRDefault="00E609B1" w:rsidP="00370B98">
            <w:pPr>
              <w:autoSpaceDE w:val="0"/>
              <w:autoSpaceDN w:val="0"/>
              <w:adjustRightInd w:val="0"/>
              <w:spacing w:line="276" w:lineRule="auto"/>
              <w:jc w:val="center"/>
              <w:rPr>
                <w:rFonts w:eastAsia="Calibri" w:cs="Times New Roman"/>
                <w:color w:val="000000"/>
                <w:sz w:val="22"/>
                <w:szCs w:val="22"/>
              </w:rPr>
            </w:pPr>
            <w:r>
              <w:rPr>
                <w:rFonts w:eastAsia="Calibri" w:cs="Times New Roman"/>
                <w:color w:val="000000"/>
                <w:sz w:val="22"/>
                <w:szCs w:val="22"/>
              </w:rPr>
              <w:t>1.35</w:t>
            </w:r>
          </w:p>
        </w:tc>
        <w:tc>
          <w:tcPr>
            <w:tcW w:w="1560" w:type="dxa"/>
            <w:tcBorders>
              <w:top w:val="nil"/>
              <w:left w:val="nil"/>
              <w:bottom w:val="nil"/>
              <w:right w:val="nil"/>
            </w:tcBorders>
            <w:shd w:val="clear" w:color="auto" w:fill="auto"/>
            <w:noWrap/>
          </w:tcPr>
          <w:p w14:paraId="53B30909" w14:textId="57BE7A5D" w:rsidR="00370B98" w:rsidRPr="008E7445" w:rsidRDefault="00292BA1" w:rsidP="00370B98">
            <w:pPr>
              <w:spacing w:after="200" w:line="276" w:lineRule="auto"/>
              <w:jc w:val="center"/>
              <w:rPr>
                <w:rFonts w:eastAsia="Calibri" w:cs="Times New Roman"/>
                <w:color w:val="000000"/>
                <w:sz w:val="22"/>
                <w:szCs w:val="22"/>
              </w:rPr>
            </w:pPr>
            <w:r>
              <w:rPr>
                <w:rFonts w:eastAsia="Calibri" w:cs="Times New Roman"/>
                <w:color w:val="000000"/>
                <w:sz w:val="22"/>
                <w:szCs w:val="22"/>
              </w:rPr>
              <w:t>2,802</w:t>
            </w:r>
          </w:p>
        </w:tc>
      </w:tr>
      <w:tr w:rsidR="00370B98" w:rsidRPr="00713AE1" w14:paraId="7349FBC6" w14:textId="77777777" w:rsidTr="00811F7A">
        <w:trPr>
          <w:trHeight w:val="300"/>
        </w:trPr>
        <w:tc>
          <w:tcPr>
            <w:tcW w:w="1433" w:type="dxa"/>
            <w:tcBorders>
              <w:top w:val="nil"/>
              <w:left w:val="nil"/>
              <w:bottom w:val="nil"/>
              <w:right w:val="nil"/>
            </w:tcBorders>
            <w:shd w:val="clear" w:color="auto" w:fill="auto"/>
            <w:noWrap/>
          </w:tcPr>
          <w:p w14:paraId="262265EF" w14:textId="77777777" w:rsidR="00370B98" w:rsidRPr="00713AE1" w:rsidRDefault="00370B98" w:rsidP="00370B98">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7</w:t>
            </w:r>
          </w:p>
        </w:tc>
        <w:tc>
          <w:tcPr>
            <w:tcW w:w="1417" w:type="dxa"/>
            <w:tcBorders>
              <w:top w:val="nil"/>
              <w:left w:val="nil"/>
              <w:bottom w:val="nil"/>
              <w:right w:val="nil"/>
            </w:tcBorders>
            <w:shd w:val="clear" w:color="auto" w:fill="auto"/>
            <w:noWrap/>
          </w:tcPr>
          <w:p w14:paraId="10AD4364" w14:textId="5851755D" w:rsidR="00370B98" w:rsidRPr="008E7445" w:rsidRDefault="00FE0E53" w:rsidP="00370B98">
            <w:pPr>
              <w:spacing w:after="200" w:line="276" w:lineRule="auto"/>
              <w:jc w:val="center"/>
              <w:rPr>
                <w:rFonts w:eastAsia="Calibri" w:cs="Times New Roman"/>
                <w:color w:val="000000"/>
                <w:sz w:val="22"/>
                <w:szCs w:val="22"/>
              </w:rPr>
            </w:pPr>
            <w:r w:rsidRPr="00FE0E53">
              <w:rPr>
                <w:rFonts w:eastAsia="Times New Roman" w:cs="Times New Roman"/>
                <w:color w:val="000000"/>
                <w:sz w:val="22"/>
                <w:szCs w:val="22"/>
                <w:lang w:eastAsia="en-GB"/>
              </w:rPr>
              <w:t>709,468,340</w:t>
            </w:r>
          </w:p>
        </w:tc>
        <w:tc>
          <w:tcPr>
            <w:tcW w:w="1287" w:type="dxa"/>
            <w:gridSpan w:val="2"/>
            <w:tcBorders>
              <w:top w:val="nil"/>
              <w:left w:val="nil"/>
              <w:bottom w:val="nil"/>
              <w:right w:val="nil"/>
            </w:tcBorders>
          </w:tcPr>
          <w:p w14:paraId="61FF0454" w14:textId="155572DC" w:rsidR="00370B98" w:rsidRPr="008E7445" w:rsidRDefault="00E609B1" w:rsidP="00370B98">
            <w:pPr>
              <w:autoSpaceDE w:val="0"/>
              <w:autoSpaceDN w:val="0"/>
              <w:adjustRightInd w:val="0"/>
              <w:spacing w:line="276" w:lineRule="auto"/>
              <w:jc w:val="center"/>
              <w:rPr>
                <w:rFonts w:eastAsia="Calibri" w:cs="Times New Roman"/>
                <w:color w:val="000000"/>
                <w:sz w:val="22"/>
                <w:szCs w:val="22"/>
              </w:rPr>
            </w:pPr>
            <w:r>
              <w:rPr>
                <w:rFonts w:eastAsia="Calibri" w:cs="Times New Roman"/>
                <w:color w:val="000000"/>
                <w:sz w:val="22"/>
                <w:szCs w:val="22"/>
              </w:rPr>
              <w:t>98.65</w:t>
            </w:r>
          </w:p>
        </w:tc>
        <w:tc>
          <w:tcPr>
            <w:tcW w:w="1379" w:type="dxa"/>
            <w:tcBorders>
              <w:top w:val="nil"/>
              <w:left w:val="nil"/>
              <w:bottom w:val="nil"/>
              <w:right w:val="nil"/>
            </w:tcBorders>
            <w:shd w:val="clear" w:color="auto" w:fill="auto"/>
            <w:noWrap/>
          </w:tcPr>
          <w:p w14:paraId="0F5602C7" w14:textId="357568C5" w:rsidR="00370B98" w:rsidRPr="008E7445" w:rsidRDefault="00292BA1" w:rsidP="00370B98">
            <w:pPr>
              <w:spacing w:after="200" w:line="276" w:lineRule="auto"/>
              <w:jc w:val="center"/>
              <w:rPr>
                <w:rFonts w:eastAsia="Calibri" w:cs="Times New Roman"/>
                <w:color w:val="000000"/>
                <w:sz w:val="22"/>
                <w:szCs w:val="22"/>
              </w:rPr>
            </w:pPr>
            <w:r>
              <w:rPr>
                <w:rFonts w:eastAsia="Calibri" w:cs="Times New Roman"/>
                <w:color w:val="000000"/>
                <w:sz w:val="22"/>
                <w:szCs w:val="22"/>
              </w:rPr>
              <w:t>9,723,360</w:t>
            </w:r>
          </w:p>
        </w:tc>
        <w:tc>
          <w:tcPr>
            <w:tcW w:w="1303" w:type="dxa"/>
            <w:tcBorders>
              <w:top w:val="nil"/>
              <w:left w:val="nil"/>
              <w:bottom w:val="nil"/>
              <w:right w:val="nil"/>
            </w:tcBorders>
          </w:tcPr>
          <w:p w14:paraId="71B55439" w14:textId="2112FF13" w:rsidR="00370B98" w:rsidRPr="008E7445" w:rsidRDefault="00E609B1" w:rsidP="00370B98">
            <w:pPr>
              <w:autoSpaceDE w:val="0"/>
              <w:autoSpaceDN w:val="0"/>
              <w:adjustRightInd w:val="0"/>
              <w:spacing w:line="276" w:lineRule="auto"/>
              <w:jc w:val="center"/>
              <w:rPr>
                <w:rFonts w:eastAsia="Calibri" w:cs="Times New Roman"/>
                <w:color w:val="000000"/>
                <w:sz w:val="22"/>
                <w:szCs w:val="22"/>
              </w:rPr>
            </w:pPr>
            <w:r>
              <w:rPr>
                <w:rFonts w:eastAsia="Calibri" w:cs="Times New Roman"/>
                <w:color w:val="000000"/>
                <w:sz w:val="22"/>
                <w:szCs w:val="22"/>
              </w:rPr>
              <w:t>1.35</w:t>
            </w:r>
          </w:p>
        </w:tc>
        <w:tc>
          <w:tcPr>
            <w:tcW w:w="1560" w:type="dxa"/>
            <w:tcBorders>
              <w:top w:val="nil"/>
              <w:left w:val="nil"/>
              <w:bottom w:val="nil"/>
              <w:right w:val="nil"/>
            </w:tcBorders>
            <w:shd w:val="clear" w:color="auto" w:fill="auto"/>
            <w:noWrap/>
          </w:tcPr>
          <w:p w14:paraId="546CF6EE" w14:textId="328701F6" w:rsidR="00370B98" w:rsidRPr="008E7445" w:rsidRDefault="00292BA1" w:rsidP="00370B98">
            <w:pPr>
              <w:spacing w:after="200" w:line="276" w:lineRule="auto"/>
              <w:jc w:val="center"/>
              <w:rPr>
                <w:rFonts w:eastAsia="Calibri" w:cs="Times New Roman"/>
                <w:color w:val="000000"/>
                <w:sz w:val="22"/>
                <w:szCs w:val="22"/>
              </w:rPr>
            </w:pPr>
            <w:r>
              <w:rPr>
                <w:rFonts w:eastAsia="Calibri" w:cs="Times New Roman"/>
                <w:color w:val="000000"/>
                <w:sz w:val="22"/>
                <w:szCs w:val="22"/>
              </w:rPr>
              <w:t>3,954</w:t>
            </w:r>
          </w:p>
        </w:tc>
      </w:tr>
      <w:tr w:rsidR="00370B98" w:rsidRPr="00713AE1" w14:paraId="4ECAE1D1" w14:textId="77777777" w:rsidTr="00811F7A">
        <w:trPr>
          <w:trHeight w:val="300"/>
        </w:trPr>
        <w:tc>
          <w:tcPr>
            <w:tcW w:w="1433" w:type="dxa"/>
            <w:tcBorders>
              <w:top w:val="nil"/>
              <w:left w:val="nil"/>
              <w:bottom w:val="nil"/>
              <w:right w:val="nil"/>
            </w:tcBorders>
            <w:shd w:val="clear" w:color="auto" w:fill="auto"/>
            <w:noWrap/>
          </w:tcPr>
          <w:p w14:paraId="784CC9AC" w14:textId="77777777" w:rsidR="00370B98" w:rsidRPr="00713AE1" w:rsidRDefault="00370B98" w:rsidP="00370B98">
            <w:pPr>
              <w:spacing w:line="276" w:lineRule="auto"/>
              <w:jc w:val="center"/>
              <w:rPr>
                <w:rFonts w:eastAsia="Times New Roman" w:cs="Times New Roman"/>
                <w:color w:val="000000"/>
                <w:sz w:val="22"/>
                <w:szCs w:val="22"/>
                <w:lang w:eastAsia="en-GB"/>
              </w:rPr>
            </w:pPr>
            <w:r w:rsidRPr="00713AE1">
              <w:rPr>
                <w:rFonts w:eastAsia="Times New Roman" w:cs="Times New Roman"/>
                <w:color w:val="000000"/>
                <w:sz w:val="22"/>
                <w:szCs w:val="22"/>
                <w:lang w:eastAsia="en-GB"/>
              </w:rPr>
              <w:t>8</w:t>
            </w:r>
          </w:p>
        </w:tc>
        <w:tc>
          <w:tcPr>
            <w:tcW w:w="1417" w:type="dxa"/>
            <w:tcBorders>
              <w:top w:val="nil"/>
              <w:left w:val="nil"/>
              <w:bottom w:val="nil"/>
              <w:right w:val="nil"/>
            </w:tcBorders>
            <w:shd w:val="clear" w:color="auto" w:fill="auto"/>
            <w:noWrap/>
          </w:tcPr>
          <w:p w14:paraId="34E1B728" w14:textId="1BF712B0" w:rsidR="00370B98" w:rsidRPr="008E7445" w:rsidRDefault="00FE0E53" w:rsidP="00370B98">
            <w:pPr>
              <w:spacing w:after="200" w:line="276" w:lineRule="auto"/>
              <w:jc w:val="center"/>
              <w:rPr>
                <w:rFonts w:eastAsia="Calibri" w:cs="Times New Roman"/>
                <w:color w:val="000000"/>
                <w:sz w:val="22"/>
                <w:szCs w:val="22"/>
              </w:rPr>
            </w:pPr>
            <w:r w:rsidRPr="00FE0E53">
              <w:rPr>
                <w:rFonts w:eastAsia="Times New Roman" w:cs="Times New Roman"/>
                <w:color w:val="000000"/>
                <w:sz w:val="22"/>
                <w:szCs w:val="22"/>
                <w:lang w:eastAsia="en-GB"/>
              </w:rPr>
              <w:t>718,149,133</w:t>
            </w:r>
          </w:p>
        </w:tc>
        <w:tc>
          <w:tcPr>
            <w:tcW w:w="1287" w:type="dxa"/>
            <w:gridSpan w:val="2"/>
            <w:tcBorders>
              <w:top w:val="nil"/>
              <w:left w:val="nil"/>
              <w:bottom w:val="nil"/>
              <w:right w:val="nil"/>
            </w:tcBorders>
          </w:tcPr>
          <w:p w14:paraId="523C541E" w14:textId="208866CB" w:rsidR="00370B98" w:rsidRPr="008E7445" w:rsidRDefault="00573F73" w:rsidP="00370B98">
            <w:pPr>
              <w:autoSpaceDE w:val="0"/>
              <w:autoSpaceDN w:val="0"/>
              <w:adjustRightInd w:val="0"/>
              <w:spacing w:line="276" w:lineRule="auto"/>
              <w:jc w:val="center"/>
              <w:rPr>
                <w:rFonts w:eastAsia="Calibri" w:cs="Times New Roman"/>
                <w:color w:val="000000"/>
                <w:sz w:val="22"/>
                <w:szCs w:val="22"/>
              </w:rPr>
            </w:pPr>
            <w:r>
              <w:rPr>
                <w:rFonts w:eastAsia="Calibri" w:cs="Times New Roman"/>
                <w:color w:val="000000"/>
                <w:sz w:val="22"/>
                <w:szCs w:val="22"/>
              </w:rPr>
              <w:t>99.</w:t>
            </w:r>
            <w:r w:rsidR="00DE414D">
              <w:rPr>
                <w:rFonts w:eastAsia="Calibri" w:cs="Times New Roman"/>
                <w:color w:val="000000"/>
                <w:sz w:val="22"/>
                <w:szCs w:val="22"/>
              </w:rPr>
              <w:t>8</w:t>
            </w:r>
            <w:r>
              <w:rPr>
                <w:rFonts w:eastAsia="Calibri" w:cs="Times New Roman"/>
                <w:color w:val="000000"/>
                <w:sz w:val="22"/>
                <w:szCs w:val="22"/>
              </w:rPr>
              <w:t>5</w:t>
            </w:r>
          </w:p>
        </w:tc>
        <w:tc>
          <w:tcPr>
            <w:tcW w:w="1379" w:type="dxa"/>
            <w:tcBorders>
              <w:top w:val="nil"/>
              <w:left w:val="nil"/>
              <w:bottom w:val="nil"/>
              <w:right w:val="nil"/>
            </w:tcBorders>
            <w:shd w:val="clear" w:color="auto" w:fill="auto"/>
            <w:noWrap/>
          </w:tcPr>
          <w:p w14:paraId="6F73F3E3" w14:textId="6A92D5DA" w:rsidR="00370B98" w:rsidRPr="008E7445" w:rsidRDefault="00292BA1" w:rsidP="00370B98">
            <w:pPr>
              <w:spacing w:after="200" w:line="276" w:lineRule="auto"/>
              <w:jc w:val="center"/>
              <w:rPr>
                <w:rFonts w:eastAsia="Calibri" w:cs="Times New Roman"/>
                <w:color w:val="000000"/>
                <w:sz w:val="22"/>
                <w:szCs w:val="22"/>
              </w:rPr>
            </w:pPr>
            <w:r>
              <w:rPr>
                <w:rFonts w:eastAsia="Calibri" w:cs="Times New Roman"/>
                <w:color w:val="000000"/>
                <w:sz w:val="22"/>
                <w:szCs w:val="22"/>
              </w:rPr>
              <w:t>1,046,521</w:t>
            </w:r>
          </w:p>
        </w:tc>
        <w:tc>
          <w:tcPr>
            <w:tcW w:w="1303" w:type="dxa"/>
            <w:tcBorders>
              <w:top w:val="nil"/>
              <w:left w:val="nil"/>
              <w:bottom w:val="nil"/>
              <w:right w:val="nil"/>
            </w:tcBorders>
          </w:tcPr>
          <w:p w14:paraId="4E60485F" w14:textId="264B5E7E" w:rsidR="00370B98" w:rsidRPr="008E7445" w:rsidRDefault="00CF05E2" w:rsidP="00370B98">
            <w:pPr>
              <w:autoSpaceDE w:val="0"/>
              <w:autoSpaceDN w:val="0"/>
              <w:adjustRightInd w:val="0"/>
              <w:spacing w:line="276" w:lineRule="auto"/>
              <w:jc w:val="center"/>
              <w:rPr>
                <w:rFonts w:eastAsia="Calibri" w:cs="Times New Roman"/>
                <w:color w:val="000000"/>
                <w:sz w:val="22"/>
                <w:szCs w:val="22"/>
              </w:rPr>
            </w:pPr>
            <w:r>
              <w:rPr>
                <w:rFonts w:eastAsia="Calibri" w:cs="Times New Roman"/>
                <w:color w:val="000000"/>
                <w:sz w:val="22"/>
                <w:szCs w:val="22"/>
              </w:rPr>
              <w:t>0.</w:t>
            </w:r>
            <w:r w:rsidR="00573F73">
              <w:rPr>
                <w:rFonts w:eastAsia="Calibri" w:cs="Times New Roman"/>
                <w:color w:val="000000"/>
                <w:sz w:val="22"/>
                <w:szCs w:val="22"/>
              </w:rPr>
              <w:t>15</w:t>
            </w:r>
          </w:p>
        </w:tc>
        <w:tc>
          <w:tcPr>
            <w:tcW w:w="1560" w:type="dxa"/>
            <w:tcBorders>
              <w:top w:val="nil"/>
              <w:left w:val="nil"/>
              <w:bottom w:val="nil"/>
              <w:right w:val="nil"/>
            </w:tcBorders>
            <w:shd w:val="clear" w:color="auto" w:fill="auto"/>
            <w:noWrap/>
          </w:tcPr>
          <w:p w14:paraId="5EC5368F" w14:textId="3F28307D" w:rsidR="00370B98" w:rsidRPr="008E7445" w:rsidRDefault="00292BA1" w:rsidP="00370B98">
            <w:pPr>
              <w:spacing w:after="200" w:line="276" w:lineRule="auto"/>
              <w:jc w:val="center"/>
              <w:rPr>
                <w:rFonts w:eastAsia="Calibri" w:cs="Times New Roman"/>
                <w:color w:val="000000"/>
                <w:sz w:val="22"/>
                <w:szCs w:val="22"/>
              </w:rPr>
            </w:pPr>
            <w:r>
              <w:rPr>
                <w:rFonts w:eastAsia="Calibri" w:cs="Times New Roman"/>
                <w:color w:val="000000"/>
                <w:sz w:val="22"/>
                <w:szCs w:val="22"/>
              </w:rPr>
              <w:t>0</w:t>
            </w:r>
          </w:p>
        </w:tc>
      </w:tr>
      <w:tr w:rsidR="00370B98" w:rsidRPr="00713AE1" w14:paraId="460B58CA" w14:textId="77777777" w:rsidTr="00811F7A">
        <w:trPr>
          <w:trHeight w:val="300"/>
        </w:trPr>
        <w:tc>
          <w:tcPr>
            <w:tcW w:w="1433" w:type="dxa"/>
            <w:tcBorders>
              <w:top w:val="nil"/>
              <w:left w:val="nil"/>
              <w:bottom w:val="nil"/>
              <w:right w:val="nil"/>
            </w:tcBorders>
            <w:shd w:val="clear" w:color="auto" w:fill="auto"/>
            <w:noWrap/>
          </w:tcPr>
          <w:p w14:paraId="11B2F589" w14:textId="3C5A04A4" w:rsidR="00370B98" w:rsidRPr="00713AE1" w:rsidRDefault="00370B98" w:rsidP="00370B98">
            <w:pPr>
              <w:spacing w:line="276" w:lineRule="auto"/>
              <w:jc w:val="center"/>
              <w:rPr>
                <w:rFonts w:eastAsia="Times New Roman" w:cs="Times New Roman"/>
                <w:color w:val="000000"/>
                <w:sz w:val="22"/>
                <w:szCs w:val="22"/>
                <w:lang w:eastAsia="en-GB"/>
              </w:rPr>
            </w:pPr>
            <w:r>
              <w:rPr>
                <w:rFonts w:eastAsia="Times New Roman" w:cs="Times New Roman"/>
                <w:color w:val="000000"/>
                <w:sz w:val="22"/>
                <w:szCs w:val="22"/>
                <w:lang w:eastAsia="en-GB"/>
              </w:rPr>
              <w:t>9</w:t>
            </w:r>
          </w:p>
        </w:tc>
        <w:tc>
          <w:tcPr>
            <w:tcW w:w="1417" w:type="dxa"/>
            <w:tcBorders>
              <w:top w:val="nil"/>
              <w:left w:val="nil"/>
              <w:bottom w:val="nil"/>
              <w:right w:val="nil"/>
            </w:tcBorders>
            <w:shd w:val="clear" w:color="auto" w:fill="auto"/>
            <w:noWrap/>
          </w:tcPr>
          <w:p w14:paraId="198250B4" w14:textId="7C9F2C10" w:rsidR="00370B98" w:rsidRDefault="00FE0E53" w:rsidP="00370B98">
            <w:pPr>
              <w:spacing w:after="200" w:line="276" w:lineRule="auto"/>
              <w:jc w:val="center"/>
              <w:rPr>
                <w:rFonts w:eastAsia="Times New Roman" w:cs="Times New Roman"/>
                <w:color w:val="000000"/>
                <w:sz w:val="22"/>
                <w:szCs w:val="22"/>
                <w:lang w:eastAsia="en-GB"/>
              </w:rPr>
            </w:pPr>
            <w:r w:rsidRPr="00FE0E53">
              <w:rPr>
                <w:rFonts w:eastAsia="Times New Roman" w:cs="Times New Roman"/>
                <w:color w:val="000000"/>
                <w:sz w:val="22"/>
                <w:szCs w:val="22"/>
                <w:lang w:eastAsia="en-GB"/>
              </w:rPr>
              <w:t>719,169,749</w:t>
            </w:r>
          </w:p>
        </w:tc>
        <w:tc>
          <w:tcPr>
            <w:tcW w:w="1287" w:type="dxa"/>
            <w:gridSpan w:val="2"/>
            <w:tcBorders>
              <w:top w:val="nil"/>
              <w:left w:val="nil"/>
              <w:bottom w:val="nil"/>
              <w:right w:val="nil"/>
            </w:tcBorders>
          </w:tcPr>
          <w:p w14:paraId="375ECB41" w14:textId="6FD480E2" w:rsidR="00370B98" w:rsidRDefault="00DE414D" w:rsidP="00370B98">
            <w:pPr>
              <w:autoSpaceDE w:val="0"/>
              <w:autoSpaceDN w:val="0"/>
              <w:adjustRightInd w:val="0"/>
              <w:spacing w:line="276" w:lineRule="auto"/>
              <w:jc w:val="center"/>
              <w:rPr>
                <w:rFonts w:eastAsia="Calibri" w:cs="Times New Roman"/>
                <w:color w:val="000000"/>
                <w:sz w:val="22"/>
                <w:szCs w:val="22"/>
              </w:rPr>
            </w:pPr>
            <w:r>
              <w:rPr>
                <w:rFonts w:eastAsia="Calibri" w:cs="Times New Roman"/>
                <w:color w:val="000000"/>
                <w:sz w:val="22"/>
                <w:szCs w:val="22"/>
              </w:rPr>
              <w:t>100.00</w:t>
            </w:r>
          </w:p>
        </w:tc>
        <w:tc>
          <w:tcPr>
            <w:tcW w:w="1379" w:type="dxa"/>
            <w:tcBorders>
              <w:top w:val="nil"/>
              <w:left w:val="nil"/>
              <w:bottom w:val="nil"/>
              <w:right w:val="nil"/>
            </w:tcBorders>
            <w:shd w:val="clear" w:color="auto" w:fill="auto"/>
            <w:noWrap/>
          </w:tcPr>
          <w:p w14:paraId="4AA8497D" w14:textId="6F5361A9" w:rsidR="00370B98" w:rsidRDefault="00292BA1" w:rsidP="00370B98">
            <w:pPr>
              <w:spacing w:after="200" w:line="276" w:lineRule="auto"/>
              <w:jc w:val="center"/>
              <w:rPr>
                <w:rFonts w:eastAsia="Calibri" w:cs="Times New Roman"/>
                <w:color w:val="000000"/>
                <w:sz w:val="22"/>
                <w:szCs w:val="22"/>
              </w:rPr>
            </w:pPr>
            <w:r>
              <w:rPr>
                <w:rFonts w:eastAsia="Calibri" w:cs="Times New Roman"/>
                <w:color w:val="000000"/>
                <w:sz w:val="22"/>
                <w:szCs w:val="22"/>
              </w:rPr>
              <w:t>8,571</w:t>
            </w:r>
          </w:p>
        </w:tc>
        <w:tc>
          <w:tcPr>
            <w:tcW w:w="1303" w:type="dxa"/>
            <w:tcBorders>
              <w:top w:val="nil"/>
              <w:left w:val="nil"/>
              <w:bottom w:val="nil"/>
              <w:right w:val="nil"/>
            </w:tcBorders>
          </w:tcPr>
          <w:p w14:paraId="35182830" w14:textId="30F840F4" w:rsidR="00370B98" w:rsidRDefault="00CF05E2" w:rsidP="00370B98">
            <w:pPr>
              <w:autoSpaceDE w:val="0"/>
              <w:autoSpaceDN w:val="0"/>
              <w:adjustRightInd w:val="0"/>
              <w:spacing w:line="276" w:lineRule="auto"/>
              <w:jc w:val="center"/>
              <w:rPr>
                <w:rFonts w:eastAsia="Calibri" w:cs="Times New Roman"/>
                <w:color w:val="000000"/>
                <w:sz w:val="22"/>
                <w:szCs w:val="22"/>
              </w:rPr>
            </w:pPr>
            <w:r>
              <w:rPr>
                <w:rFonts w:eastAsia="Calibri" w:cs="Times New Roman"/>
                <w:color w:val="000000"/>
                <w:sz w:val="22"/>
                <w:szCs w:val="22"/>
              </w:rPr>
              <w:t>0.0</w:t>
            </w:r>
            <w:r w:rsidR="00FE0E53">
              <w:rPr>
                <w:rFonts w:eastAsia="Calibri" w:cs="Times New Roman"/>
                <w:color w:val="000000"/>
                <w:sz w:val="22"/>
                <w:szCs w:val="22"/>
              </w:rPr>
              <w:t>0</w:t>
            </w:r>
          </w:p>
        </w:tc>
        <w:tc>
          <w:tcPr>
            <w:tcW w:w="1560" w:type="dxa"/>
            <w:tcBorders>
              <w:top w:val="nil"/>
              <w:left w:val="nil"/>
              <w:bottom w:val="nil"/>
              <w:right w:val="nil"/>
            </w:tcBorders>
            <w:shd w:val="clear" w:color="auto" w:fill="auto"/>
            <w:noWrap/>
          </w:tcPr>
          <w:p w14:paraId="7ACA82DD" w14:textId="1B3D41D2" w:rsidR="00370B98" w:rsidRDefault="00292BA1" w:rsidP="00370B98">
            <w:pPr>
              <w:spacing w:after="200" w:line="276" w:lineRule="auto"/>
              <w:jc w:val="center"/>
              <w:rPr>
                <w:rFonts w:eastAsia="Calibri" w:cs="Times New Roman"/>
                <w:color w:val="000000"/>
                <w:sz w:val="22"/>
                <w:szCs w:val="22"/>
              </w:rPr>
            </w:pPr>
            <w:r>
              <w:rPr>
                <w:rFonts w:eastAsia="Calibri" w:cs="Times New Roman"/>
                <w:color w:val="000000"/>
                <w:sz w:val="22"/>
                <w:szCs w:val="22"/>
              </w:rPr>
              <w:t>17,334</w:t>
            </w:r>
          </w:p>
        </w:tc>
      </w:tr>
    </w:tbl>
    <w:p w14:paraId="433BA75E" w14:textId="77777777" w:rsidR="001579C7" w:rsidRPr="00713AE1" w:rsidRDefault="001579C7" w:rsidP="00713AE1">
      <w:pPr>
        <w:spacing w:line="276" w:lineRule="auto"/>
        <w:jc w:val="both"/>
        <w:rPr>
          <w:sz w:val="22"/>
          <w:szCs w:val="22"/>
        </w:rPr>
      </w:pPr>
    </w:p>
    <w:p w14:paraId="07EAAE3D" w14:textId="24F79911" w:rsidR="001579C7" w:rsidRDefault="001579C7" w:rsidP="00713AE1">
      <w:pPr>
        <w:spacing w:line="276" w:lineRule="auto"/>
        <w:jc w:val="both"/>
        <w:rPr>
          <w:sz w:val="22"/>
          <w:szCs w:val="22"/>
        </w:rPr>
      </w:pPr>
      <w:r w:rsidRPr="00713AE1">
        <w:rPr>
          <w:sz w:val="22"/>
          <w:szCs w:val="22"/>
        </w:rPr>
        <w:t>*A vote withheld is not a vote in law and is therefore not counted towards the proportion of votes "</w:t>
      </w:r>
      <w:r w:rsidR="00D13891">
        <w:rPr>
          <w:sz w:val="22"/>
          <w:szCs w:val="22"/>
        </w:rPr>
        <w:t>in favour</w:t>
      </w:r>
      <w:r w:rsidRPr="00713AE1">
        <w:rPr>
          <w:sz w:val="22"/>
          <w:szCs w:val="22"/>
        </w:rPr>
        <w:t xml:space="preserve">" or "against" the Resolution. </w:t>
      </w:r>
    </w:p>
    <w:p w14:paraId="49B7E1C4" w14:textId="2E5CE5B6" w:rsidR="0070733F" w:rsidRDefault="0070733F" w:rsidP="00713AE1">
      <w:pPr>
        <w:spacing w:line="276" w:lineRule="auto"/>
        <w:jc w:val="both"/>
        <w:rPr>
          <w:sz w:val="22"/>
          <w:szCs w:val="22"/>
        </w:rPr>
      </w:pPr>
    </w:p>
    <w:p w14:paraId="7AE52153" w14:textId="47AB2055" w:rsidR="001579C7" w:rsidRPr="00713AE1" w:rsidRDefault="00F96922" w:rsidP="00713AE1">
      <w:pPr>
        <w:spacing w:line="276" w:lineRule="auto"/>
        <w:jc w:val="both"/>
        <w:rPr>
          <w:sz w:val="22"/>
          <w:szCs w:val="22"/>
        </w:rPr>
      </w:pPr>
      <w:r w:rsidRPr="00713AE1">
        <w:rPr>
          <w:sz w:val="22"/>
          <w:szCs w:val="22"/>
        </w:rPr>
        <w:t>The full wording of the</w:t>
      </w:r>
      <w:r w:rsidR="001579C7" w:rsidRPr="00713AE1">
        <w:rPr>
          <w:sz w:val="22"/>
          <w:szCs w:val="22"/>
        </w:rPr>
        <w:t xml:space="preserve"> resolutions</w:t>
      </w:r>
      <w:r w:rsidRPr="00713AE1">
        <w:rPr>
          <w:sz w:val="22"/>
          <w:szCs w:val="22"/>
        </w:rPr>
        <w:t xml:space="preserve">, </w:t>
      </w:r>
      <w:r w:rsidR="00D13891">
        <w:rPr>
          <w:sz w:val="22"/>
          <w:szCs w:val="22"/>
        </w:rPr>
        <w:t>that</w:t>
      </w:r>
      <w:r w:rsidR="00D13891" w:rsidRPr="00713AE1">
        <w:rPr>
          <w:sz w:val="22"/>
          <w:szCs w:val="22"/>
        </w:rPr>
        <w:t xml:space="preserve"> </w:t>
      </w:r>
      <w:r w:rsidRPr="00713AE1">
        <w:rPr>
          <w:sz w:val="22"/>
          <w:szCs w:val="22"/>
        </w:rPr>
        <w:t>were not ordinary business of the AGM</w:t>
      </w:r>
      <w:r w:rsidR="001579C7" w:rsidRPr="00713AE1">
        <w:rPr>
          <w:sz w:val="22"/>
          <w:szCs w:val="22"/>
        </w:rPr>
        <w:t xml:space="preserve"> can be found below:-</w:t>
      </w:r>
    </w:p>
    <w:p w14:paraId="433C66D6" w14:textId="77777777" w:rsidR="001579C7" w:rsidRPr="00713AE1" w:rsidRDefault="001579C7" w:rsidP="00713AE1">
      <w:pPr>
        <w:spacing w:line="276" w:lineRule="auto"/>
        <w:jc w:val="both"/>
        <w:rPr>
          <w:sz w:val="22"/>
          <w:szCs w:val="22"/>
        </w:rPr>
      </w:pPr>
    </w:p>
    <w:p w14:paraId="7F41F8FA" w14:textId="206197C4" w:rsidR="001579C7" w:rsidRPr="00713AE1" w:rsidRDefault="001579C7" w:rsidP="00713AE1">
      <w:pPr>
        <w:spacing w:line="276" w:lineRule="auto"/>
        <w:jc w:val="both"/>
        <w:rPr>
          <w:sz w:val="22"/>
          <w:szCs w:val="22"/>
        </w:rPr>
      </w:pPr>
      <w:r w:rsidRPr="00713AE1">
        <w:rPr>
          <w:sz w:val="22"/>
          <w:szCs w:val="22"/>
        </w:rPr>
        <w:t xml:space="preserve">To consider and, if thought fit, to pass the following resolutions as </w:t>
      </w:r>
      <w:r w:rsidR="00370B98">
        <w:rPr>
          <w:sz w:val="22"/>
          <w:szCs w:val="22"/>
        </w:rPr>
        <w:t xml:space="preserve">an </w:t>
      </w:r>
      <w:r w:rsidRPr="00713AE1">
        <w:rPr>
          <w:sz w:val="22"/>
          <w:szCs w:val="22"/>
        </w:rPr>
        <w:t>ordinary resolution:</w:t>
      </w:r>
    </w:p>
    <w:p w14:paraId="303F96C0" w14:textId="77777777" w:rsidR="001579C7" w:rsidRPr="00713AE1" w:rsidRDefault="001579C7" w:rsidP="00713AE1">
      <w:pPr>
        <w:spacing w:line="276" w:lineRule="auto"/>
        <w:jc w:val="both"/>
        <w:rPr>
          <w:sz w:val="22"/>
          <w:szCs w:val="22"/>
        </w:rPr>
      </w:pPr>
    </w:p>
    <w:p w14:paraId="20F99BD6" w14:textId="1E363D3E" w:rsidR="001579C7" w:rsidRPr="00875F33" w:rsidRDefault="001579C7" w:rsidP="00713AE1">
      <w:pPr>
        <w:spacing w:line="276" w:lineRule="auto"/>
        <w:ind w:left="720" w:hanging="720"/>
        <w:jc w:val="both"/>
        <w:rPr>
          <w:sz w:val="22"/>
          <w:szCs w:val="22"/>
          <w:lang w:val="en-US"/>
        </w:rPr>
      </w:pPr>
      <w:r w:rsidRPr="00713AE1">
        <w:rPr>
          <w:sz w:val="22"/>
          <w:szCs w:val="22"/>
        </w:rPr>
        <w:t>5.</w:t>
      </w:r>
      <w:r w:rsidRPr="00713AE1">
        <w:rPr>
          <w:sz w:val="22"/>
          <w:szCs w:val="22"/>
        </w:rPr>
        <w:tab/>
      </w:r>
      <w:r w:rsidR="00D166AD" w:rsidRPr="00D166AD">
        <w:rPr>
          <w:rFonts w:cs="Arial"/>
          <w:sz w:val="22"/>
          <w:szCs w:val="22"/>
        </w:rPr>
        <w:t>That</w:t>
      </w:r>
      <w:r w:rsidR="00370B98">
        <w:rPr>
          <w:rFonts w:cs="Arial"/>
          <w:sz w:val="22"/>
          <w:szCs w:val="22"/>
        </w:rPr>
        <w:t xml:space="preserve"> </w:t>
      </w:r>
      <w:r w:rsidR="00D166AD" w:rsidRPr="00D166AD">
        <w:rPr>
          <w:rFonts w:cs="Arial"/>
          <w:sz w:val="22"/>
          <w:szCs w:val="22"/>
        </w:rPr>
        <w:t xml:space="preserve">the Directors be and are hereby generally and unconditionally </w:t>
      </w:r>
      <w:r w:rsidR="002568C6">
        <w:rPr>
          <w:rFonts w:cs="Arial"/>
          <w:sz w:val="22"/>
          <w:szCs w:val="22"/>
        </w:rPr>
        <w:t>authorised</w:t>
      </w:r>
      <w:r w:rsidR="00D166AD" w:rsidRPr="00D166AD">
        <w:rPr>
          <w:rFonts w:cs="Arial"/>
          <w:sz w:val="22"/>
          <w:szCs w:val="22"/>
        </w:rPr>
        <w:t>, pursuant to Section 1021 of the Companies Act 2014, to exercise all of the powers of the Company to allot relevant securities (within the meaning of the said Section 1021) up to an aggregate nominal amount equal to €3,804,129. The authority hereby conferred shall expire at the conclusion of the next annual general meeting of the Company after the date of passing of this resolution or at the close of business on the date which is 15 calendar months after the date of passing of this resolution, whichever is earlier, unless previously renewed, varied or revoked; provided that the Company may make an offer or agreement before the expiry of the authority conferred by this Resolution which would or might require relevant securities to be allotted after such authority has expired, and the Directors may allot relevant securities in pursuance of such an offer or agreement as if the power conferred by this resolution had not expired.</w:t>
      </w:r>
    </w:p>
    <w:p w14:paraId="22DC34BD" w14:textId="77777777" w:rsidR="001579C7" w:rsidRPr="00713AE1" w:rsidRDefault="001579C7" w:rsidP="00713AE1">
      <w:pPr>
        <w:spacing w:line="276" w:lineRule="auto"/>
        <w:jc w:val="both"/>
        <w:rPr>
          <w:sz w:val="22"/>
          <w:szCs w:val="22"/>
        </w:rPr>
      </w:pPr>
    </w:p>
    <w:p w14:paraId="74E001E3" w14:textId="77777777" w:rsidR="001579C7" w:rsidRPr="00713AE1" w:rsidRDefault="001579C7" w:rsidP="00713AE1">
      <w:pPr>
        <w:spacing w:line="276" w:lineRule="auto"/>
        <w:jc w:val="both"/>
        <w:rPr>
          <w:sz w:val="22"/>
          <w:szCs w:val="22"/>
        </w:rPr>
      </w:pPr>
      <w:r w:rsidRPr="00713AE1">
        <w:rPr>
          <w:sz w:val="22"/>
          <w:szCs w:val="22"/>
        </w:rPr>
        <w:t>To consider and, if thought fit, to pass the following resolutions as special resolutions:</w:t>
      </w:r>
    </w:p>
    <w:p w14:paraId="12871C3E" w14:textId="77777777" w:rsidR="001579C7" w:rsidRPr="00713AE1" w:rsidRDefault="001579C7" w:rsidP="00713AE1">
      <w:pPr>
        <w:spacing w:line="276" w:lineRule="auto"/>
        <w:jc w:val="both"/>
        <w:rPr>
          <w:sz w:val="22"/>
          <w:szCs w:val="22"/>
        </w:rPr>
      </w:pPr>
    </w:p>
    <w:p w14:paraId="6E2E294C" w14:textId="5A331E03" w:rsidR="00D166AD" w:rsidRPr="00D166AD" w:rsidRDefault="001579C7" w:rsidP="00D166AD">
      <w:pPr>
        <w:pStyle w:val="BodyText"/>
        <w:tabs>
          <w:tab w:val="left" w:pos="546"/>
        </w:tabs>
        <w:spacing w:line="276" w:lineRule="auto"/>
        <w:ind w:left="720" w:right="85" w:hanging="615"/>
        <w:jc w:val="both"/>
        <w:rPr>
          <w:rFonts w:asciiTheme="minorHAnsi" w:hAnsiTheme="minorHAnsi"/>
          <w:sz w:val="22"/>
          <w:szCs w:val="22"/>
        </w:rPr>
      </w:pPr>
      <w:r w:rsidRPr="00713AE1">
        <w:rPr>
          <w:rFonts w:asciiTheme="minorHAnsi" w:hAnsiTheme="minorHAnsi"/>
          <w:sz w:val="22"/>
          <w:szCs w:val="22"/>
        </w:rPr>
        <w:t>6.</w:t>
      </w:r>
      <w:r w:rsidRPr="00713AE1">
        <w:rPr>
          <w:rFonts w:asciiTheme="minorHAnsi" w:hAnsiTheme="minorHAnsi"/>
          <w:sz w:val="22"/>
          <w:szCs w:val="22"/>
        </w:rPr>
        <w:tab/>
      </w:r>
      <w:r w:rsidR="00B30497" w:rsidRPr="00713AE1">
        <w:rPr>
          <w:rFonts w:asciiTheme="minorHAnsi" w:hAnsiTheme="minorHAnsi"/>
          <w:sz w:val="22"/>
          <w:szCs w:val="22"/>
        </w:rPr>
        <w:tab/>
      </w:r>
      <w:r w:rsidR="00D166AD" w:rsidRPr="00D166AD">
        <w:rPr>
          <w:rFonts w:asciiTheme="minorHAnsi" w:hAnsiTheme="minorHAnsi"/>
          <w:sz w:val="22"/>
          <w:szCs w:val="22"/>
        </w:rPr>
        <w:t>That the Directors be and are hereby empowered, pursuant to Sections 1022 and 1023(3) of the Companies Act 2014, to allot equity securities (within the meaning of the said Section 1023(1)) for cash pursuant to the authority to allot relevant securities conferred on the Directors by Resolution 5 of this Notice of AGM as if Section 1022(1) did not apply to any such allotment, such power being limited to:</w:t>
      </w:r>
    </w:p>
    <w:p w14:paraId="7BF33015" w14:textId="77777777" w:rsidR="00D166AD" w:rsidRPr="00D166AD" w:rsidRDefault="00D166AD" w:rsidP="00D166AD">
      <w:pPr>
        <w:pStyle w:val="BodyText"/>
        <w:tabs>
          <w:tab w:val="left" w:pos="546"/>
        </w:tabs>
        <w:spacing w:line="276" w:lineRule="auto"/>
        <w:ind w:left="720" w:right="85" w:hanging="615"/>
        <w:jc w:val="both"/>
        <w:rPr>
          <w:rFonts w:asciiTheme="minorHAnsi" w:hAnsiTheme="minorHAnsi"/>
          <w:sz w:val="22"/>
          <w:szCs w:val="22"/>
        </w:rPr>
      </w:pPr>
      <w:r w:rsidRPr="00D166AD">
        <w:rPr>
          <w:rFonts w:asciiTheme="minorHAnsi" w:hAnsiTheme="minorHAnsi"/>
          <w:sz w:val="22"/>
          <w:szCs w:val="22"/>
        </w:rPr>
        <w:t xml:space="preserve"> </w:t>
      </w:r>
    </w:p>
    <w:p w14:paraId="3B888FFD" w14:textId="446B2009" w:rsidR="00D166AD" w:rsidRPr="00D166AD" w:rsidRDefault="00D166AD" w:rsidP="00D166AD">
      <w:pPr>
        <w:pStyle w:val="BodyText"/>
        <w:numPr>
          <w:ilvl w:val="0"/>
          <w:numId w:val="12"/>
        </w:numPr>
        <w:tabs>
          <w:tab w:val="left" w:pos="546"/>
        </w:tabs>
        <w:spacing w:line="276" w:lineRule="auto"/>
        <w:ind w:right="85"/>
        <w:jc w:val="both"/>
        <w:rPr>
          <w:rFonts w:asciiTheme="minorHAnsi" w:hAnsiTheme="minorHAnsi"/>
          <w:sz w:val="22"/>
          <w:szCs w:val="22"/>
        </w:rPr>
      </w:pPr>
      <w:r w:rsidRPr="00D166AD">
        <w:rPr>
          <w:rFonts w:asciiTheme="minorHAnsi" w:hAnsiTheme="minorHAnsi"/>
          <w:sz w:val="22"/>
          <w:szCs w:val="22"/>
        </w:rPr>
        <w:t>the allotment of equity securities in connection with any offer of securities, open for a period fixed by the Directors, by way of rights issue, open offer or otherwise in favour of the holders of equity securities and/or any persons having or who may acquire a right to subscribe for equity securities in the capital of the Company where the equity securities respectively attributable to the interests of such holders are proportional (as nearly as may reasonably be) to the respective number of equity securities held by them, and subject thereto, the allotment by way of placing or otherwise of any equity securities not taken up in such issue or offer to such persons as the Directors may determine; and, generally, subject to such exclusions or other arrangements as the Directors may deem necessary or expedient in relation to legal or practical problems (including dealing with any fractional entitlements and/or arising in respect of any oversees shareholders) under the laws of, or the requirements of any regulatory body or stock exchange in, any territory; and</w:t>
      </w:r>
    </w:p>
    <w:p w14:paraId="0108A838" w14:textId="77777777" w:rsidR="00D166AD" w:rsidRPr="00D166AD" w:rsidRDefault="00D166AD" w:rsidP="00D166AD">
      <w:pPr>
        <w:pStyle w:val="BodyText"/>
        <w:tabs>
          <w:tab w:val="left" w:pos="546"/>
        </w:tabs>
        <w:spacing w:line="276" w:lineRule="auto"/>
        <w:ind w:left="720" w:right="85" w:hanging="615"/>
        <w:jc w:val="both"/>
        <w:rPr>
          <w:rFonts w:asciiTheme="minorHAnsi" w:hAnsiTheme="minorHAnsi"/>
          <w:sz w:val="22"/>
          <w:szCs w:val="22"/>
        </w:rPr>
      </w:pPr>
    </w:p>
    <w:p w14:paraId="442A0E83" w14:textId="27D2CC66" w:rsidR="00D166AD" w:rsidRPr="00D166AD" w:rsidRDefault="00D166AD" w:rsidP="00D166AD">
      <w:pPr>
        <w:pStyle w:val="BodyText"/>
        <w:numPr>
          <w:ilvl w:val="0"/>
          <w:numId w:val="12"/>
        </w:numPr>
        <w:tabs>
          <w:tab w:val="left" w:pos="546"/>
        </w:tabs>
        <w:spacing w:line="276" w:lineRule="auto"/>
        <w:ind w:right="85"/>
        <w:jc w:val="both"/>
        <w:rPr>
          <w:rFonts w:asciiTheme="minorHAnsi" w:hAnsiTheme="minorHAnsi"/>
          <w:sz w:val="22"/>
          <w:szCs w:val="22"/>
        </w:rPr>
      </w:pPr>
      <w:r w:rsidRPr="00D166AD">
        <w:rPr>
          <w:rFonts w:asciiTheme="minorHAnsi" w:hAnsiTheme="minorHAnsi"/>
          <w:sz w:val="22"/>
          <w:szCs w:val="22"/>
        </w:rPr>
        <w:t>the allotment of equity securities (otherwise than pursuant to sub-paragraph (a) above) up to a nominal aggregate amount equal to €1,141,238.</w:t>
      </w:r>
    </w:p>
    <w:p w14:paraId="1C7B8AD7" w14:textId="77777777" w:rsidR="00D166AD" w:rsidRPr="00D166AD" w:rsidRDefault="00D166AD" w:rsidP="00D166AD">
      <w:pPr>
        <w:pStyle w:val="BodyText"/>
        <w:tabs>
          <w:tab w:val="left" w:pos="546"/>
        </w:tabs>
        <w:spacing w:line="276" w:lineRule="auto"/>
        <w:ind w:left="720" w:right="85" w:hanging="615"/>
        <w:jc w:val="both"/>
        <w:rPr>
          <w:rFonts w:asciiTheme="minorHAnsi" w:hAnsiTheme="minorHAnsi"/>
          <w:sz w:val="22"/>
          <w:szCs w:val="22"/>
        </w:rPr>
      </w:pPr>
    </w:p>
    <w:p w14:paraId="4A8A117A" w14:textId="13581534" w:rsidR="00D166AD" w:rsidRPr="00D166AD" w:rsidRDefault="00D166AD" w:rsidP="00D166AD">
      <w:pPr>
        <w:pStyle w:val="BodyText"/>
        <w:tabs>
          <w:tab w:val="left" w:pos="546"/>
        </w:tabs>
        <w:spacing w:line="276" w:lineRule="auto"/>
        <w:ind w:left="720" w:right="85" w:hanging="615"/>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Pr="00D166AD">
        <w:rPr>
          <w:rFonts w:asciiTheme="minorHAnsi" w:hAnsiTheme="minorHAnsi"/>
          <w:sz w:val="22"/>
          <w:szCs w:val="22"/>
        </w:rPr>
        <w:t>provided that such power shall expire at the conclusion of the next annual general meeting of</w:t>
      </w:r>
      <w:r>
        <w:rPr>
          <w:rFonts w:asciiTheme="minorHAnsi" w:hAnsiTheme="minorHAnsi"/>
          <w:sz w:val="22"/>
          <w:szCs w:val="22"/>
        </w:rPr>
        <w:t xml:space="preserve"> </w:t>
      </w:r>
      <w:r w:rsidRPr="00D166AD">
        <w:rPr>
          <w:rFonts w:asciiTheme="minorHAnsi" w:hAnsiTheme="minorHAnsi"/>
          <w:sz w:val="22"/>
          <w:szCs w:val="22"/>
        </w:rPr>
        <w:t>the Company after the date of passing of this resolution, or at the close of business on the date which is 15 calendar months after the date of passing of this resolution, whichever is the earlier, unless previously varied, revoked or renewed, and provided further that the Company may before such expiry make an offer or agreement which would or might require equity securities to be allotted after such expiry and the Directors may allot equity securities in pursuance of such offer or agreement as if the power conferred hereby had not expired.</w:t>
      </w:r>
    </w:p>
    <w:p w14:paraId="25B2DA81" w14:textId="2DCD5814" w:rsidR="001579C7" w:rsidRPr="00713AE1" w:rsidRDefault="001579C7" w:rsidP="00D166AD">
      <w:pPr>
        <w:pStyle w:val="BodyText"/>
        <w:tabs>
          <w:tab w:val="left" w:pos="546"/>
        </w:tabs>
        <w:spacing w:line="276" w:lineRule="auto"/>
        <w:ind w:left="720" w:right="85" w:hanging="615"/>
        <w:jc w:val="both"/>
        <w:rPr>
          <w:sz w:val="22"/>
          <w:szCs w:val="22"/>
        </w:rPr>
      </w:pPr>
    </w:p>
    <w:p w14:paraId="1CF032A4" w14:textId="77C542AC" w:rsidR="004054BB" w:rsidRDefault="004054BB" w:rsidP="00FE30B8">
      <w:pPr>
        <w:pStyle w:val="BodyText"/>
        <w:keepNext/>
        <w:keepLines/>
        <w:numPr>
          <w:ilvl w:val="0"/>
          <w:numId w:val="13"/>
        </w:numPr>
        <w:spacing w:line="276" w:lineRule="auto"/>
        <w:ind w:left="709" w:right="85" w:hanging="709"/>
        <w:jc w:val="both"/>
        <w:rPr>
          <w:rFonts w:asciiTheme="minorHAnsi" w:hAnsiTheme="minorHAnsi" w:cstheme="minorHAnsi"/>
          <w:spacing w:val="-1"/>
          <w:sz w:val="22"/>
          <w:szCs w:val="22"/>
        </w:rPr>
      </w:pPr>
      <w:r>
        <w:rPr>
          <w:rFonts w:asciiTheme="minorHAnsi" w:hAnsiTheme="minorHAnsi" w:cstheme="minorHAnsi"/>
          <w:spacing w:val="-1"/>
          <w:sz w:val="22"/>
          <w:szCs w:val="22"/>
        </w:rPr>
        <w:lastRenderedPageBreak/>
        <w:t xml:space="preserve">That the Directors be and are hereby empowered, pursuant to Sections 1022 and 1023(3) of the Companies Act 2014 and in addition to the power conferred by Resolution 6, to allot equity securities (within the meaning of the said section 1023(1)) for cash pursuant to the authority to allot relevant securities conferred on the Directors by Resolution 5 of this Notice of AGM as if Section 1022 (1) did not apply to any such allotment, such power being limited to the allotment of equity securities up to a </w:t>
      </w:r>
      <w:r w:rsidR="00E325F4">
        <w:rPr>
          <w:rFonts w:asciiTheme="minorHAnsi" w:hAnsiTheme="minorHAnsi" w:cstheme="minorHAnsi"/>
          <w:spacing w:val="-1"/>
          <w:sz w:val="22"/>
          <w:szCs w:val="22"/>
        </w:rPr>
        <w:t>nominal aggregate amount equal to €1,141,238, provided that such power</w:t>
      </w:r>
      <w:r w:rsidR="00D166AD" w:rsidRPr="00D166AD">
        <w:rPr>
          <w:rFonts w:asciiTheme="minorHAnsi" w:hAnsiTheme="minorHAnsi" w:cstheme="minorHAnsi"/>
          <w:spacing w:val="-1"/>
          <w:sz w:val="22"/>
          <w:szCs w:val="22"/>
        </w:rPr>
        <w:t xml:space="preserve"> </w:t>
      </w:r>
      <w:r w:rsidR="00E325F4">
        <w:rPr>
          <w:rFonts w:asciiTheme="minorHAnsi" w:hAnsiTheme="minorHAnsi" w:cstheme="minorHAnsi"/>
          <w:spacing w:val="-1"/>
          <w:sz w:val="22"/>
          <w:szCs w:val="22"/>
        </w:rPr>
        <w:t xml:space="preserve">shall expire at the conclusion of the next annual general meeting of the Company after the date of passing this resolution, or at the close of business on the date which is 15 calendar months after the date of passing of this resolution, whichever is the earlier, unless previously varied, revoked or renewed, and provided further that the Company may before such expiry make an offer or agreement which would or might require equity securities to be allotted after such expiry and the Directors may allot equity securities in pursuance of such offer or agreement as if the power conferred hereby had not expired. </w:t>
      </w:r>
    </w:p>
    <w:p w14:paraId="659BC3FB" w14:textId="77777777" w:rsidR="00E325F4" w:rsidRDefault="00E325F4" w:rsidP="00E325F4">
      <w:pPr>
        <w:pStyle w:val="BodyText"/>
        <w:keepNext/>
        <w:keepLines/>
        <w:spacing w:line="276" w:lineRule="auto"/>
        <w:ind w:left="465" w:right="85"/>
        <w:jc w:val="both"/>
        <w:rPr>
          <w:rFonts w:asciiTheme="minorHAnsi" w:hAnsiTheme="minorHAnsi" w:cstheme="minorHAnsi"/>
          <w:spacing w:val="-1"/>
          <w:sz w:val="22"/>
          <w:szCs w:val="22"/>
        </w:rPr>
      </w:pPr>
    </w:p>
    <w:p w14:paraId="5274F7F1" w14:textId="64835211" w:rsidR="00D166AD" w:rsidRPr="00D166AD" w:rsidRDefault="00D166AD" w:rsidP="00FE30B8">
      <w:pPr>
        <w:pStyle w:val="BodyText"/>
        <w:keepNext/>
        <w:keepLines/>
        <w:numPr>
          <w:ilvl w:val="0"/>
          <w:numId w:val="13"/>
        </w:numPr>
        <w:spacing w:line="276" w:lineRule="auto"/>
        <w:ind w:left="709" w:right="85" w:hanging="709"/>
        <w:jc w:val="both"/>
        <w:rPr>
          <w:rFonts w:asciiTheme="minorHAnsi" w:hAnsiTheme="minorHAnsi" w:cstheme="minorHAnsi"/>
          <w:spacing w:val="-1"/>
          <w:sz w:val="22"/>
          <w:szCs w:val="22"/>
        </w:rPr>
      </w:pPr>
      <w:r w:rsidRPr="00D166AD">
        <w:rPr>
          <w:rFonts w:asciiTheme="minorHAnsi" w:hAnsiTheme="minorHAnsi" w:cstheme="minorHAnsi"/>
          <w:spacing w:val="-1"/>
          <w:sz w:val="22"/>
          <w:szCs w:val="22"/>
        </w:rPr>
        <w:t>That pursuant to Section 1074 of the Companies Act 2014, the Company and any subsidiary of the Company be and they are each hereby generally authorised to make market purchases or overseas market purchases (as defined by Section 1072 of that Act) of ordinary shares of €0.01 each in the capital of the Company (“</w:t>
      </w:r>
      <w:r w:rsidRPr="00D166AD">
        <w:rPr>
          <w:rFonts w:asciiTheme="minorHAnsi" w:hAnsiTheme="minorHAnsi" w:cstheme="minorHAnsi"/>
          <w:b/>
          <w:spacing w:val="-1"/>
          <w:sz w:val="22"/>
          <w:szCs w:val="22"/>
        </w:rPr>
        <w:t>Ordinary Shares</w:t>
      </w:r>
      <w:r w:rsidRPr="00D166AD">
        <w:rPr>
          <w:rFonts w:asciiTheme="minorHAnsi" w:hAnsiTheme="minorHAnsi" w:cstheme="minorHAnsi"/>
          <w:spacing w:val="-1"/>
          <w:sz w:val="22"/>
          <w:szCs w:val="22"/>
        </w:rPr>
        <w:t>”) on such terms and conditions and in such manner as the Directors may determine from time to time; but subject however to the provisions of that Act and to the following restrictions and provisions:</w:t>
      </w:r>
    </w:p>
    <w:p w14:paraId="6C58C02D" w14:textId="77777777" w:rsidR="00D166AD" w:rsidRPr="00D166AD" w:rsidRDefault="00D166AD" w:rsidP="00D166AD">
      <w:pPr>
        <w:keepNext/>
        <w:keepLines/>
        <w:spacing w:before="11" w:line="276" w:lineRule="auto"/>
        <w:ind w:right="85"/>
        <w:rPr>
          <w:rFonts w:eastAsia="Arial" w:cstheme="minorHAnsi"/>
          <w:sz w:val="22"/>
          <w:szCs w:val="22"/>
        </w:rPr>
      </w:pPr>
    </w:p>
    <w:p w14:paraId="23D16035" w14:textId="77777777" w:rsidR="00D166AD" w:rsidRPr="00D166AD" w:rsidRDefault="00D166AD" w:rsidP="00D166AD">
      <w:pPr>
        <w:pStyle w:val="BodyText"/>
        <w:keepNext/>
        <w:keepLines/>
        <w:numPr>
          <w:ilvl w:val="1"/>
          <w:numId w:val="4"/>
        </w:numPr>
        <w:tabs>
          <w:tab w:val="left" w:pos="1106"/>
        </w:tabs>
        <w:spacing w:line="276" w:lineRule="auto"/>
        <w:ind w:left="1105" w:right="85" w:hanging="567"/>
        <w:jc w:val="both"/>
        <w:rPr>
          <w:rFonts w:asciiTheme="minorHAnsi" w:hAnsiTheme="minorHAnsi" w:cstheme="minorHAnsi"/>
          <w:sz w:val="22"/>
          <w:szCs w:val="22"/>
        </w:rPr>
      </w:pPr>
      <w:r w:rsidRPr="00D166AD">
        <w:rPr>
          <w:rFonts w:asciiTheme="minorHAnsi" w:hAnsiTheme="minorHAnsi" w:cstheme="minorHAnsi"/>
          <w:sz w:val="22"/>
          <w:szCs w:val="22"/>
        </w:rPr>
        <w:t>the</w:t>
      </w:r>
      <w:r w:rsidRPr="00D166AD">
        <w:rPr>
          <w:rFonts w:asciiTheme="minorHAnsi" w:hAnsiTheme="minorHAnsi" w:cstheme="minorHAnsi"/>
          <w:spacing w:val="6"/>
          <w:sz w:val="22"/>
          <w:szCs w:val="22"/>
        </w:rPr>
        <w:t xml:space="preserve"> </w:t>
      </w:r>
      <w:r w:rsidRPr="00D166AD">
        <w:rPr>
          <w:rFonts w:asciiTheme="minorHAnsi" w:hAnsiTheme="minorHAnsi" w:cstheme="minorHAnsi"/>
          <w:sz w:val="22"/>
          <w:szCs w:val="22"/>
        </w:rPr>
        <w:t>maximum</w:t>
      </w:r>
      <w:r w:rsidRPr="00D166AD">
        <w:rPr>
          <w:rFonts w:asciiTheme="minorHAnsi" w:hAnsiTheme="minorHAnsi" w:cstheme="minorHAnsi"/>
          <w:spacing w:val="7"/>
          <w:sz w:val="22"/>
          <w:szCs w:val="22"/>
        </w:rPr>
        <w:t xml:space="preserve"> </w:t>
      </w:r>
      <w:r w:rsidRPr="00D166AD">
        <w:rPr>
          <w:rFonts w:asciiTheme="minorHAnsi" w:hAnsiTheme="minorHAnsi" w:cstheme="minorHAnsi"/>
          <w:spacing w:val="-1"/>
          <w:sz w:val="22"/>
          <w:szCs w:val="22"/>
        </w:rPr>
        <w:t>number</w:t>
      </w:r>
      <w:r w:rsidRPr="00D166AD">
        <w:rPr>
          <w:rFonts w:asciiTheme="minorHAnsi" w:hAnsiTheme="minorHAnsi" w:cstheme="minorHAnsi"/>
          <w:spacing w:val="7"/>
          <w:sz w:val="22"/>
          <w:szCs w:val="22"/>
        </w:rPr>
        <w:t xml:space="preserve"> </w:t>
      </w:r>
      <w:r w:rsidRPr="00D166AD">
        <w:rPr>
          <w:rFonts w:asciiTheme="minorHAnsi" w:hAnsiTheme="minorHAnsi" w:cstheme="minorHAnsi"/>
          <w:spacing w:val="-1"/>
          <w:sz w:val="22"/>
          <w:szCs w:val="22"/>
        </w:rPr>
        <w:t>of</w:t>
      </w:r>
      <w:r w:rsidRPr="00D166AD">
        <w:rPr>
          <w:rFonts w:asciiTheme="minorHAnsi" w:hAnsiTheme="minorHAnsi" w:cstheme="minorHAnsi"/>
          <w:spacing w:val="6"/>
          <w:sz w:val="22"/>
          <w:szCs w:val="22"/>
        </w:rPr>
        <w:t xml:space="preserve"> </w:t>
      </w:r>
      <w:r w:rsidRPr="00D166AD">
        <w:rPr>
          <w:rFonts w:asciiTheme="minorHAnsi" w:hAnsiTheme="minorHAnsi" w:cstheme="minorHAnsi"/>
          <w:spacing w:val="-1"/>
          <w:sz w:val="22"/>
          <w:szCs w:val="22"/>
        </w:rPr>
        <w:t>Ordinary</w:t>
      </w:r>
      <w:r w:rsidRPr="00D166AD">
        <w:rPr>
          <w:rFonts w:asciiTheme="minorHAnsi" w:hAnsiTheme="minorHAnsi" w:cstheme="minorHAnsi"/>
          <w:spacing w:val="7"/>
          <w:sz w:val="22"/>
          <w:szCs w:val="22"/>
        </w:rPr>
        <w:t xml:space="preserve"> </w:t>
      </w:r>
      <w:r w:rsidRPr="00D166AD">
        <w:rPr>
          <w:rFonts w:asciiTheme="minorHAnsi" w:hAnsiTheme="minorHAnsi" w:cstheme="minorHAnsi"/>
          <w:sz w:val="22"/>
          <w:szCs w:val="22"/>
        </w:rPr>
        <w:t>Shares</w:t>
      </w:r>
      <w:r w:rsidRPr="00D166AD">
        <w:rPr>
          <w:rFonts w:asciiTheme="minorHAnsi" w:hAnsiTheme="minorHAnsi" w:cstheme="minorHAnsi"/>
          <w:spacing w:val="7"/>
          <w:sz w:val="22"/>
          <w:szCs w:val="22"/>
        </w:rPr>
        <w:t xml:space="preserve"> </w:t>
      </w:r>
      <w:r w:rsidRPr="00D166AD">
        <w:rPr>
          <w:rFonts w:asciiTheme="minorHAnsi" w:hAnsiTheme="minorHAnsi" w:cstheme="minorHAnsi"/>
          <w:spacing w:val="-1"/>
          <w:sz w:val="22"/>
          <w:szCs w:val="22"/>
        </w:rPr>
        <w:t>authorised</w:t>
      </w:r>
      <w:r w:rsidRPr="00D166AD">
        <w:rPr>
          <w:rFonts w:asciiTheme="minorHAnsi" w:hAnsiTheme="minorHAnsi" w:cstheme="minorHAnsi"/>
          <w:spacing w:val="7"/>
          <w:sz w:val="22"/>
          <w:szCs w:val="22"/>
        </w:rPr>
        <w:t xml:space="preserve"> </w:t>
      </w:r>
      <w:r w:rsidRPr="00D166AD">
        <w:rPr>
          <w:rFonts w:asciiTheme="minorHAnsi" w:hAnsiTheme="minorHAnsi" w:cstheme="minorHAnsi"/>
          <w:sz w:val="22"/>
          <w:szCs w:val="22"/>
        </w:rPr>
        <w:t>to</w:t>
      </w:r>
      <w:r w:rsidRPr="00D166AD">
        <w:rPr>
          <w:rFonts w:asciiTheme="minorHAnsi" w:hAnsiTheme="minorHAnsi" w:cstheme="minorHAnsi"/>
          <w:spacing w:val="6"/>
          <w:sz w:val="22"/>
          <w:szCs w:val="22"/>
        </w:rPr>
        <w:t xml:space="preserve"> </w:t>
      </w:r>
      <w:r w:rsidRPr="00D166AD">
        <w:rPr>
          <w:rFonts w:asciiTheme="minorHAnsi" w:hAnsiTheme="minorHAnsi" w:cstheme="minorHAnsi"/>
          <w:spacing w:val="-1"/>
          <w:sz w:val="22"/>
          <w:szCs w:val="22"/>
        </w:rPr>
        <w:t>be</w:t>
      </w:r>
      <w:r w:rsidRPr="00D166AD">
        <w:rPr>
          <w:rFonts w:asciiTheme="minorHAnsi" w:hAnsiTheme="minorHAnsi" w:cstheme="minorHAnsi"/>
          <w:spacing w:val="7"/>
          <w:sz w:val="22"/>
          <w:szCs w:val="22"/>
        </w:rPr>
        <w:t xml:space="preserve"> </w:t>
      </w:r>
      <w:r w:rsidRPr="00D166AD">
        <w:rPr>
          <w:rFonts w:asciiTheme="minorHAnsi" w:hAnsiTheme="minorHAnsi" w:cstheme="minorHAnsi"/>
          <w:spacing w:val="-1"/>
          <w:sz w:val="22"/>
          <w:szCs w:val="22"/>
        </w:rPr>
        <w:t>acquired</w:t>
      </w:r>
      <w:r w:rsidRPr="00D166AD">
        <w:rPr>
          <w:rFonts w:asciiTheme="minorHAnsi" w:hAnsiTheme="minorHAnsi" w:cstheme="minorHAnsi"/>
          <w:spacing w:val="7"/>
          <w:sz w:val="22"/>
          <w:szCs w:val="22"/>
        </w:rPr>
        <w:t xml:space="preserve"> </w:t>
      </w:r>
      <w:r w:rsidRPr="00D166AD">
        <w:rPr>
          <w:rFonts w:asciiTheme="minorHAnsi" w:hAnsiTheme="minorHAnsi" w:cstheme="minorHAnsi"/>
          <w:sz w:val="22"/>
          <w:szCs w:val="22"/>
        </w:rPr>
        <w:t>shall</w:t>
      </w:r>
      <w:r w:rsidRPr="00D166AD">
        <w:rPr>
          <w:rFonts w:asciiTheme="minorHAnsi" w:hAnsiTheme="minorHAnsi" w:cstheme="minorHAnsi"/>
          <w:spacing w:val="7"/>
          <w:sz w:val="22"/>
          <w:szCs w:val="22"/>
        </w:rPr>
        <w:t xml:space="preserve"> </w:t>
      </w:r>
      <w:r w:rsidRPr="00D166AD">
        <w:rPr>
          <w:rFonts w:asciiTheme="minorHAnsi" w:hAnsiTheme="minorHAnsi" w:cstheme="minorHAnsi"/>
          <w:spacing w:val="-1"/>
          <w:sz w:val="22"/>
          <w:szCs w:val="22"/>
        </w:rPr>
        <w:t>not</w:t>
      </w:r>
      <w:r w:rsidRPr="00D166AD">
        <w:rPr>
          <w:rFonts w:asciiTheme="minorHAnsi" w:hAnsiTheme="minorHAnsi" w:cstheme="minorHAnsi"/>
          <w:spacing w:val="6"/>
          <w:sz w:val="22"/>
          <w:szCs w:val="22"/>
        </w:rPr>
        <w:t xml:space="preserve"> </w:t>
      </w:r>
      <w:r w:rsidRPr="00D166AD">
        <w:rPr>
          <w:rFonts w:asciiTheme="minorHAnsi" w:hAnsiTheme="minorHAnsi" w:cstheme="minorHAnsi"/>
          <w:spacing w:val="-1"/>
          <w:sz w:val="22"/>
          <w:szCs w:val="22"/>
        </w:rPr>
        <w:t>exceed</w:t>
      </w:r>
      <w:r w:rsidRPr="00D166AD">
        <w:rPr>
          <w:rFonts w:asciiTheme="minorHAnsi" w:hAnsiTheme="minorHAnsi" w:cstheme="minorHAnsi"/>
          <w:spacing w:val="7"/>
          <w:sz w:val="22"/>
          <w:szCs w:val="22"/>
        </w:rPr>
        <w:t xml:space="preserve"> </w:t>
      </w:r>
      <w:r w:rsidRPr="00D166AD">
        <w:rPr>
          <w:rFonts w:asciiTheme="minorHAnsi" w:hAnsiTheme="minorHAnsi" w:cstheme="minorHAnsi"/>
          <w:spacing w:val="-1"/>
          <w:sz w:val="22"/>
          <w:szCs w:val="22"/>
        </w:rPr>
        <w:t>14.99 per cent.</w:t>
      </w:r>
      <w:r w:rsidRPr="00D166AD">
        <w:rPr>
          <w:rFonts w:asciiTheme="minorHAnsi" w:hAnsiTheme="minorHAnsi" w:cstheme="minorHAnsi"/>
          <w:spacing w:val="7"/>
          <w:sz w:val="22"/>
          <w:szCs w:val="22"/>
        </w:rPr>
        <w:t xml:space="preserve"> </w:t>
      </w:r>
      <w:r w:rsidRPr="00D166AD">
        <w:rPr>
          <w:rFonts w:asciiTheme="minorHAnsi" w:hAnsiTheme="minorHAnsi" w:cstheme="minorHAnsi"/>
          <w:spacing w:val="-1"/>
          <w:sz w:val="22"/>
          <w:szCs w:val="22"/>
        </w:rPr>
        <w:t>of</w:t>
      </w:r>
      <w:r w:rsidRPr="00D166AD">
        <w:rPr>
          <w:rFonts w:asciiTheme="minorHAnsi" w:hAnsiTheme="minorHAnsi" w:cstheme="minorHAnsi"/>
          <w:spacing w:val="6"/>
          <w:sz w:val="22"/>
          <w:szCs w:val="22"/>
        </w:rPr>
        <w:t xml:space="preserve"> </w:t>
      </w:r>
      <w:r w:rsidRPr="00D166AD">
        <w:rPr>
          <w:rFonts w:asciiTheme="minorHAnsi" w:hAnsiTheme="minorHAnsi" w:cstheme="minorHAnsi"/>
          <w:sz w:val="22"/>
          <w:szCs w:val="22"/>
        </w:rPr>
        <w:t>the</w:t>
      </w:r>
      <w:r w:rsidRPr="00D166AD">
        <w:rPr>
          <w:rFonts w:asciiTheme="minorHAnsi" w:hAnsiTheme="minorHAnsi" w:cstheme="minorHAnsi"/>
          <w:spacing w:val="7"/>
          <w:sz w:val="22"/>
          <w:szCs w:val="22"/>
        </w:rPr>
        <w:t xml:space="preserve"> </w:t>
      </w:r>
      <w:r w:rsidRPr="00D166AD">
        <w:rPr>
          <w:rFonts w:asciiTheme="minorHAnsi" w:hAnsiTheme="minorHAnsi" w:cstheme="minorHAnsi"/>
          <w:spacing w:val="-1"/>
          <w:sz w:val="22"/>
          <w:szCs w:val="22"/>
        </w:rPr>
        <w:t>ordinary</w:t>
      </w:r>
      <w:r w:rsidRPr="00D166AD">
        <w:rPr>
          <w:rFonts w:asciiTheme="minorHAnsi" w:hAnsiTheme="minorHAnsi" w:cstheme="minorHAnsi"/>
          <w:spacing w:val="7"/>
          <w:sz w:val="22"/>
          <w:szCs w:val="22"/>
        </w:rPr>
        <w:t xml:space="preserve"> </w:t>
      </w:r>
      <w:r w:rsidRPr="00D166AD">
        <w:rPr>
          <w:rFonts w:asciiTheme="minorHAnsi" w:hAnsiTheme="minorHAnsi" w:cstheme="minorHAnsi"/>
          <w:sz w:val="22"/>
          <w:szCs w:val="22"/>
        </w:rPr>
        <w:t>share</w:t>
      </w:r>
      <w:r w:rsidRPr="00D166AD">
        <w:rPr>
          <w:rFonts w:asciiTheme="minorHAnsi" w:hAnsiTheme="minorHAnsi" w:cstheme="minorHAnsi"/>
          <w:spacing w:val="25"/>
          <w:sz w:val="22"/>
          <w:szCs w:val="22"/>
        </w:rPr>
        <w:t xml:space="preserve"> </w:t>
      </w:r>
      <w:r w:rsidRPr="00D166AD">
        <w:rPr>
          <w:rFonts w:asciiTheme="minorHAnsi" w:hAnsiTheme="minorHAnsi" w:cstheme="minorHAnsi"/>
          <w:sz w:val="22"/>
          <w:szCs w:val="22"/>
        </w:rPr>
        <w:t>capital</w:t>
      </w:r>
      <w:r w:rsidRPr="00D166AD">
        <w:rPr>
          <w:rFonts w:asciiTheme="minorHAnsi" w:hAnsiTheme="minorHAnsi" w:cstheme="minorHAnsi"/>
          <w:spacing w:val="-2"/>
          <w:sz w:val="22"/>
          <w:szCs w:val="22"/>
        </w:rPr>
        <w:t xml:space="preserve"> </w:t>
      </w:r>
      <w:r w:rsidRPr="00D166AD">
        <w:rPr>
          <w:rFonts w:asciiTheme="minorHAnsi" w:hAnsiTheme="minorHAnsi" w:cstheme="minorHAnsi"/>
          <w:spacing w:val="-1"/>
          <w:sz w:val="22"/>
          <w:szCs w:val="22"/>
        </w:rPr>
        <w:t>in</w:t>
      </w:r>
      <w:r w:rsidRPr="00D166AD">
        <w:rPr>
          <w:rFonts w:asciiTheme="minorHAnsi" w:hAnsiTheme="minorHAnsi" w:cstheme="minorHAnsi"/>
          <w:sz w:val="22"/>
          <w:szCs w:val="22"/>
        </w:rPr>
        <w:t xml:space="preserve"> </w:t>
      </w:r>
      <w:r w:rsidRPr="00D166AD">
        <w:rPr>
          <w:rFonts w:asciiTheme="minorHAnsi" w:hAnsiTheme="minorHAnsi" w:cstheme="minorHAnsi"/>
          <w:spacing w:val="-1"/>
          <w:sz w:val="22"/>
          <w:szCs w:val="22"/>
        </w:rPr>
        <w:t>issue</w:t>
      </w:r>
      <w:r w:rsidRPr="00D166AD">
        <w:rPr>
          <w:rFonts w:asciiTheme="minorHAnsi" w:hAnsiTheme="minorHAnsi" w:cstheme="minorHAnsi"/>
          <w:sz w:val="22"/>
          <w:szCs w:val="22"/>
        </w:rPr>
        <w:t xml:space="preserve"> </w:t>
      </w:r>
      <w:r w:rsidRPr="00D166AD">
        <w:rPr>
          <w:rFonts w:asciiTheme="minorHAnsi" w:hAnsiTheme="minorHAnsi" w:cstheme="minorHAnsi"/>
          <w:spacing w:val="-1"/>
          <w:sz w:val="22"/>
          <w:szCs w:val="22"/>
        </w:rPr>
        <w:t>in</w:t>
      </w:r>
      <w:r w:rsidRPr="00D166AD">
        <w:rPr>
          <w:rFonts w:asciiTheme="minorHAnsi" w:hAnsiTheme="minorHAnsi" w:cstheme="minorHAnsi"/>
          <w:sz w:val="22"/>
          <w:szCs w:val="22"/>
        </w:rPr>
        <w:t xml:space="preserve"> the</w:t>
      </w:r>
      <w:r w:rsidRPr="00D166AD">
        <w:rPr>
          <w:rFonts w:asciiTheme="minorHAnsi" w:hAnsiTheme="minorHAnsi" w:cstheme="minorHAnsi"/>
          <w:spacing w:val="-1"/>
          <w:sz w:val="22"/>
          <w:szCs w:val="22"/>
        </w:rPr>
        <w:t xml:space="preserve"> Company</w:t>
      </w:r>
      <w:r w:rsidRPr="00D166AD">
        <w:rPr>
          <w:rFonts w:asciiTheme="minorHAnsi" w:hAnsiTheme="minorHAnsi" w:cstheme="minorHAnsi"/>
          <w:sz w:val="22"/>
          <w:szCs w:val="22"/>
        </w:rPr>
        <w:t xml:space="preserve"> </w:t>
      </w:r>
      <w:r w:rsidRPr="00D166AD">
        <w:rPr>
          <w:rFonts w:asciiTheme="minorHAnsi" w:hAnsiTheme="minorHAnsi" w:cstheme="minorHAnsi"/>
          <w:spacing w:val="-1"/>
          <w:sz w:val="22"/>
          <w:szCs w:val="22"/>
        </w:rPr>
        <w:t>as at</w:t>
      </w:r>
      <w:r w:rsidRPr="00D166AD">
        <w:rPr>
          <w:rFonts w:asciiTheme="minorHAnsi" w:hAnsiTheme="minorHAnsi" w:cstheme="minorHAnsi"/>
          <w:sz w:val="22"/>
          <w:szCs w:val="22"/>
        </w:rPr>
        <w:t xml:space="preserve"> close</w:t>
      </w:r>
      <w:r w:rsidRPr="00D166AD">
        <w:rPr>
          <w:rFonts w:asciiTheme="minorHAnsi" w:hAnsiTheme="minorHAnsi" w:cstheme="minorHAnsi"/>
          <w:spacing w:val="-1"/>
          <w:sz w:val="22"/>
          <w:szCs w:val="22"/>
        </w:rPr>
        <w:t xml:space="preserve"> of</w:t>
      </w:r>
      <w:r w:rsidRPr="00D166AD">
        <w:rPr>
          <w:rFonts w:asciiTheme="minorHAnsi" w:hAnsiTheme="minorHAnsi" w:cstheme="minorHAnsi"/>
          <w:sz w:val="22"/>
          <w:szCs w:val="22"/>
        </w:rPr>
        <w:t xml:space="preserve"> </w:t>
      </w:r>
      <w:r w:rsidRPr="00D166AD">
        <w:rPr>
          <w:rFonts w:asciiTheme="minorHAnsi" w:hAnsiTheme="minorHAnsi" w:cstheme="minorHAnsi"/>
          <w:spacing w:val="-1"/>
          <w:sz w:val="22"/>
          <w:szCs w:val="22"/>
        </w:rPr>
        <w:t>business</w:t>
      </w:r>
      <w:r w:rsidRPr="00D166AD">
        <w:rPr>
          <w:rFonts w:asciiTheme="minorHAnsi" w:hAnsiTheme="minorHAnsi" w:cstheme="minorHAnsi"/>
          <w:sz w:val="22"/>
          <w:szCs w:val="22"/>
        </w:rPr>
        <w:t xml:space="preserve"> </w:t>
      </w:r>
      <w:r w:rsidRPr="00D166AD">
        <w:rPr>
          <w:rFonts w:asciiTheme="minorHAnsi" w:hAnsiTheme="minorHAnsi" w:cstheme="minorHAnsi"/>
          <w:spacing w:val="-1"/>
          <w:sz w:val="22"/>
          <w:szCs w:val="22"/>
        </w:rPr>
        <w:t>on</w:t>
      </w:r>
      <w:r w:rsidRPr="00D166AD">
        <w:rPr>
          <w:rFonts w:asciiTheme="minorHAnsi" w:hAnsiTheme="minorHAnsi" w:cstheme="minorHAnsi"/>
          <w:sz w:val="22"/>
          <w:szCs w:val="22"/>
        </w:rPr>
        <w:t xml:space="preserve"> the</w:t>
      </w:r>
      <w:r w:rsidRPr="00D166AD">
        <w:rPr>
          <w:rFonts w:asciiTheme="minorHAnsi" w:hAnsiTheme="minorHAnsi" w:cstheme="minorHAnsi"/>
          <w:spacing w:val="-2"/>
          <w:sz w:val="22"/>
          <w:szCs w:val="22"/>
        </w:rPr>
        <w:t xml:space="preserve"> </w:t>
      </w:r>
      <w:r w:rsidRPr="00D166AD">
        <w:rPr>
          <w:rFonts w:asciiTheme="minorHAnsi" w:hAnsiTheme="minorHAnsi" w:cstheme="minorHAnsi"/>
          <w:spacing w:val="-1"/>
          <w:sz w:val="22"/>
          <w:szCs w:val="22"/>
        </w:rPr>
        <w:t>date</w:t>
      </w:r>
      <w:r w:rsidRPr="00D166AD">
        <w:rPr>
          <w:rFonts w:asciiTheme="minorHAnsi" w:hAnsiTheme="minorHAnsi" w:cstheme="minorHAnsi"/>
          <w:sz w:val="22"/>
          <w:szCs w:val="22"/>
        </w:rPr>
        <w:t xml:space="preserve"> </w:t>
      </w:r>
      <w:r w:rsidRPr="00D166AD">
        <w:rPr>
          <w:rFonts w:asciiTheme="minorHAnsi" w:hAnsiTheme="minorHAnsi" w:cstheme="minorHAnsi"/>
          <w:spacing w:val="-1"/>
          <w:sz w:val="22"/>
          <w:szCs w:val="22"/>
        </w:rPr>
        <w:t>on</w:t>
      </w:r>
      <w:r w:rsidRPr="00D166AD">
        <w:rPr>
          <w:rFonts w:asciiTheme="minorHAnsi" w:hAnsiTheme="minorHAnsi" w:cstheme="minorHAnsi"/>
          <w:sz w:val="22"/>
          <w:szCs w:val="22"/>
        </w:rPr>
        <w:t xml:space="preserve"> </w:t>
      </w:r>
      <w:r w:rsidRPr="00D166AD">
        <w:rPr>
          <w:rFonts w:asciiTheme="minorHAnsi" w:hAnsiTheme="minorHAnsi" w:cstheme="minorHAnsi"/>
          <w:spacing w:val="-1"/>
          <w:sz w:val="22"/>
          <w:szCs w:val="22"/>
        </w:rPr>
        <w:t>which</w:t>
      </w:r>
      <w:r w:rsidRPr="00D166AD">
        <w:rPr>
          <w:rFonts w:asciiTheme="minorHAnsi" w:hAnsiTheme="minorHAnsi" w:cstheme="minorHAnsi"/>
          <w:sz w:val="22"/>
          <w:szCs w:val="22"/>
        </w:rPr>
        <w:t xml:space="preserve"> this</w:t>
      </w:r>
      <w:r w:rsidRPr="00D166AD">
        <w:rPr>
          <w:rFonts w:asciiTheme="minorHAnsi" w:hAnsiTheme="minorHAnsi" w:cstheme="minorHAnsi"/>
          <w:spacing w:val="-1"/>
          <w:sz w:val="22"/>
          <w:szCs w:val="22"/>
        </w:rPr>
        <w:t xml:space="preserve"> resolution</w:t>
      </w:r>
      <w:r w:rsidRPr="00D166AD">
        <w:rPr>
          <w:rFonts w:asciiTheme="minorHAnsi" w:hAnsiTheme="minorHAnsi" w:cstheme="minorHAnsi"/>
          <w:sz w:val="22"/>
          <w:szCs w:val="22"/>
        </w:rPr>
        <w:t xml:space="preserve"> </w:t>
      </w:r>
      <w:r w:rsidRPr="00D166AD">
        <w:rPr>
          <w:rFonts w:asciiTheme="minorHAnsi" w:hAnsiTheme="minorHAnsi" w:cstheme="minorHAnsi"/>
          <w:spacing w:val="-1"/>
          <w:sz w:val="22"/>
          <w:szCs w:val="22"/>
        </w:rPr>
        <w:t>is</w:t>
      </w:r>
      <w:r w:rsidRPr="00D166AD">
        <w:rPr>
          <w:rFonts w:asciiTheme="minorHAnsi" w:hAnsiTheme="minorHAnsi" w:cstheme="minorHAnsi"/>
          <w:sz w:val="22"/>
          <w:szCs w:val="22"/>
        </w:rPr>
        <w:t xml:space="preserve"> </w:t>
      </w:r>
      <w:r w:rsidRPr="00D166AD">
        <w:rPr>
          <w:rFonts w:asciiTheme="minorHAnsi" w:hAnsiTheme="minorHAnsi" w:cstheme="minorHAnsi"/>
          <w:spacing w:val="-1"/>
          <w:sz w:val="22"/>
          <w:szCs w:val="22"/>
        </w:rPr>
        <w:t>passed;</w:t>
      </w:r>
    </w:p>
    <w:p w14:paraId="32648D6C" w14:textId="77777777" w:rsidR="00D166AD" w:rsidRPr="00D166AD" w:rsidRDefault="00D166AD" w:rsidP="00D166AD">
      <w:pPr>
        <w:pStyle w:val="BodyText"/>
        <w:keepNext/>
        <w:keepLines/>
        <w:tabs>
          <w:tab w:val="left" w:pos="1106"/>
        </w:tabs>
        <w:spacing w:line="276" w:lineRule="auto"/>
        <w:ind w:left="1105" w:right="85"/>
        <w:jc w:val="both"/>
        <w:rPr>
          <w:rFonts w:asciiTheme="minorHAnsi" w:hAnsiTheme="minorHAnsi" w:cstheme="minorHAnsi"/>
          <w:sz w:val="22"/>
          <w:szCs w:val="22"/>
        </w:rPr>
      </w:pPr>
    </w:p>
    <w:p w14:paraId="56923C9A" w14:textId="77777777" w:rsidR="00D166AD" w:rsidRPr="00D166AD" w:rsidRDefault="00D166AD" w:rsidP="00D166AD">
      <w:pPr>
        <w:pStyle w:val="BodyText"/>
        <w:keepNext/>
        <w:keepLines/>
        <w:numPr>
          <w:ilvl w:val="1"/>
          <w:numId w:val="4"/>
        </w:numPr>
        <w:tabs>
          <w:tab w:val="left" w:pos="1106"/>
        </w:tabs>
        <w:spacing w:line="276" w:lineRule="auto"/>
        <w:ind w:left="1105" w:right="85" w:hanging="567"/>
        <w:jc w:val="both"/>
        <w:rPr>
          <w:rFonts w:asciiTheme="minorHAnsi" w:hAnsiTheme="minorHAnsi" w:cstheme="minorHAnsi"/>
          <w:sz w:val="22"/>
          <w:szCs w:val="22"/>
        </w:rPr>
      </w:pPr>
      <w:r w:rsidRPr="00D166AD">
        <w:rPr>
          <w:rFonts w:asciiTheme="minorHAnsi" w:hAnsiTheme="minorHAnsi" w:cstheme="minorHAnsi"/>
          <w:sz w:val="22"/>
          <w:szCs w:val="22"/>
        </w:rPr>
        <w:t>the</w:t>
      </w:r>
      <w:r w:rsidRPr="00D166AD">
        <w:rPr>
          <w:rFonts w:asciiTheme="minorHAnsi" w:hAnsiTheme="minorHAnsi" w:cstheme="minorHAnsi"/>
          <w:spacing w:val="3"/>
          <w:sz w:val="22"/>
          <w:szCs w:val="22"/>
        </w:rPr>
        <w:t xml:space="preserve"> </w:t>
      </w:r>
      <w:r w:rsidRPr="00D166AD">
        <w:rPr>
          <w:rFonts w:asciiTheme="minorHAnsi" w:hAnsiTheme="minorHAnsi" w:cstheme="minorHAnsi"/>
          <w:sz w:val="22"/>
          <w:szCs w:val="22"/>
        </w:rPr>
        <w:t>minimum</w:t>
      </w:r>
      <w:r w:rsidRPr="00D166AD">
        <w:rPr>
          <w:rFonts w:asciiTheme="minorHAnsi" w:hAnsiTheme="minorHAnsi" w:cstheme="minorHAnsi"/>
          <w:spacing w:val="4"/>
          <w:sz w:val="22"/>
          <w:szCs w:val="22"/>
        </w:rPr>
        <w:t xml:space="preserve"> </w:t>
      </w:r>
      <w:r w:rsidRPr="00D166AD">
        <w:rPr>
          <w:rFonts w:asciiTheme="minorHAnsi" w:hAnsiTheme="minorHAnsi" w:cstheme="minorHAnsi"/>
          <w:spacing w:val="-1"/>
          <w:sz w:val="22"/>
          <w:szCs w:val="22"/>
        </w:rPr>
        <w:t>price</w:t>
      </w:r>
      <w:r w:rsidRPr="00D166AD">
        <w:rPr>
          <w:rFonts w:asciiTheme="minorHAnsi" w:hAnsiTheme="minorHAnsi" w:cstheme="minorHAnsi"/>
          <w:spacing w:val="4"/>
          <w:sz w:val="22"/>
          <w:szCs w:val="22"/>
        </w:rPr>
        <w:t xml:space="preserve"> </w:t>
      </w:r>
      <w:r w:rsidRPr="00D166AD">
        <w:rPr>
          <w:rFonts w:asciiTheme="minorHAnsi" w:hAnsiTheme="minorHAnsi" w:cstheme="minorHAnsi"/>
          <w:sz w:val="22"/>
          <w:szCs w:val="22"/>
        </w:rPr>
        <w:t>(excluding</w:t>
      </w:r>
      <w:r w:rsidRPr="00D166AD">
        <w:rPr>
          <w:rFonts w:asciiTheme="minorHAnsi" w:hAnsiTheme="minorHAnsi" w:cstheme="minorHAnsi"/>
          <w:spacing w:val="4"/>
          <w:sz w:val="22"/>
          <w:szCs w:val="22"/>
        </w:rPr>
        <w:t xml:space="preserve"> </w:t>
      </w:r>
      <w:r w:rsidRPr="00D166AD">
        <w:rPr>
          <w:rFonts w:asciiTheme="minorHAnsi" w:hAnsiTheme="minorHAnsi" w:cstheme="minorHAnsi"/>
          <w:spacing w:val="-1"/>
          <w:sz w:val="22"/>
          <w:szCs w:val="22"/>
        </w:rPr>
        <w:t>expenses)</w:t>
      </w:r>
      <w:r w:rsidRPr="00D166AD">
        <w:rPr>
          <w:rFonts w:asciiTheme="minorHAnsi" w:hAnsiTheme="minorHAnsi" w:cstheme="minorHAnsi"/>
          <w:spacing w:val="4"/>
          <w:sz w:val="22"/>
          <w:szCs w:val="22"/>
        </w:rPr>
        <w:t xml:space="preserve"> </w:t>
      </w:r>
      <w:r w:rsidRPr="00D166AD">
        <w:rPr>
          <w:rFonts w:asciiTheme="minorHAnsi" w:hAnsiTheme="minorHAnsi" w:cstheme="minorHAnsi"/>
          <w:spacing w:val="-1"/>
          <w:sz w:val="22"/>
          <w:szCs w:val="22"/>
        </w:rPr>
        <w:t>which</w:t>
      </w:r>
      <w:r w:rsidRPr="00D166AD">
        <w:rPr>
          <w:rFonts w:asciiTheme="minorHAnsi" w:hAnsiTheme="minorHAnsi" w:cstheme="minorHAnsi"/>
          <w:spacing w:val="3"/>
          <w:sz w:val="22"/>
          <w:szCs w:val="22"/>
        </w:rPr>
        <w:t xml:space="preserve"> </w:t>
      </w:r>
      <w:r w:rsidRPr="00D166AD">
        <w:rPr>
          <w:rFonts w:asciiTheme="minorHAnsi" w:hAnsiTheme="minorHAnsi" w:cstheme="minorHAnsi"/>
          <w:sz w:val="22"/>
          <w:szCs w:val="22"/>
        </w:rPr>
        <w:t>may</w:t>
      </w:r>
      <w:r w:rsidRPr="00D166AD">
        <w:rPr>
          <w:rFonts w:asciiTheme="minorHAnsi" w:hAnsiTheme="minorHAnsi" w:cstheme="minorHAnsi"/>
          <w:spacing w:val="4"/>
          <w:sz w:val="22"/>
          <w:szCs w:val="22"/>
        </w:rPr>
        <w:t xml:space="preserve"> </w:t>
      </w:r>
      <w:r w:rsidRPr="00D166AD">
        <w:rPr>
          <w:rFonts w:asciiTheme="minorHAnsi" w:hAnsiTheme="minorHAnsi" w:cstheme="minorHAnsi"/>
          <w:spacing w:val="-1"/>
          <w:sz w:val="22"/>
          <w:szCs w:val="22"/>
        </w:rPr>
        <w:t>be</w:t>
      </w:r>
      <w:r w:rsidRPr="00D166AD">
        <w:rPr>
          <w:rFonts w:asciiTheme="minorHAnsi" w:hAnsiTheme="minorHAnsi" w:cstheme="minorHAnsi"/>
          <w:spacing w:val="4"/>
          <w:sz w:val="22"/>
          <w:szCs w:val="22"/>
        </w:rPr>
        <w:t xml:space="preserve"> </w:t>
      </w:r>
      <w:r w:rsidRPr="00D166AD">
        <w:rPr>
          <w:rFonts w:asciiTheme="minorHAnsi" w:hAnsiTheme="minorHAnsi" w:cstheme="minorHAnsi"/>
          <w:spacing w:val="-1"/>
          <w:sz w:val="22"/>
          <w:szCs w:val="22"/>
        </w:rPr>
        <w:t>paid</w:t>
      </w:r>
      <w:r w:rsidRPr="00D166AD">
        <w:rPr>
          <w:rFonts w:asciiTheme="minorHAnsi" w:hAnsiTheme="minorHAnsi" w:cstheme="minorHAnsi"/>
          <w:spacing w:val="4"/>
          <w:sz w:val="22"/>
          <w:szCs w:val="22"/>
        </w:rPr>
        <w:t xml:space="preserve"> </w:t>
      </w:r>
      <w:r w:rsidRPr="00D166AD">
        <w:rPr>
          <w:rFonts w:asciiTheme="minorHAnsi" w:hAnsiTheme="minorHAnsi" w:cstheme="minorHAnsi"/>
          <w:sz w:val="22"/>
          <w:szCs w:val="22"/>
        </w:rPr>
        <w:t>for</w:t>
      </w:r>
      <w:r w:rsidRPr="00D166AD">
        <w:rPr>
          <w:rFonts w:asciiTheme="minorHAnsi" w:hAnsiTheme="minorHAnsi" w:cstheme="minorHAnsi"/>
          <w:spacing w:val="4"/>
          <w:sz w:val="22"/>
          <w:szCs w:val="22"/>
        </w:rPr>
        <w:t xml:space="preserve"> </w:t>
      </w:r>
      <w:r w:rsidRPr="00D166AD">
        <w:rPr>
          <w:rFonts w:asciiTheme="minorHAnsi" w:hAnsiTheme="minorHAnsi" w:cstheme="minorHAnsi"/>
          <w:spacing w:val="-1"/>
          <w:sz w:val="22"/>
          <w:szCs w:val="22"/>
        </w:rPr>
        <w:t>any</w:t>
      </w:r>
      <w:r w:rsidRPr="00D166AD">
        <w:rPr>
          <w:rFonts w:asciiTheme="minorHAnsi" w:hAnsiTheme="minorHAnsi" w:cstheme="minorHAnsi"/>
          <w:spacing w:val="3"/>
          <w:sz w:val="22"/>
          <w:szCs w:val="22"/>
        </w:rPr>
        <w:t xml:space="preserve"> </w:t>
      </w:r>
      <w:r w:rsidRPr="00D166AD">
        <w:rPr>
          <w:rFonts w:asciiTheme="minorHAnsi" w:hAnsiTheme="minorHAnsi" w:cstheme="minorHAnsi"/>
          <w:spacing w:val="-1"/>
          <w:sz w:val="22"/>
          <w:szCs w:val="22"/>
        </w:rPr>
        <w:t>Ordinary</w:t>
      </w:r>
      <w:r w:rsidRPr="00D166AD">
        <w:rPr>
          <w:rFonts w:asciiTheme="minorHAnsi" w:hAnsiTheme="minorHAnsi" w:cstheme="minorHAnsi"/>
          <w:spacing w:val="4"/>
          <w:sz w:val="22"/>
          <w:szCs w:val="22"/>
        </w:rPr>
        <w:t xml:space="preserve"> </w:t>
      </w:r>
      <w:r w:rsidRPr="00D166AD">
        <w:rPr>
          <w:rFonts w:asciiTheme="minorHAnsi" w:hAnsiTheme="minorHAnsi" w:cstheme="minorHAnsi"/>
          <w:sz w:val="22"/>
          <w:szCs w:val="22"/>
        </w:rPr>
        <w:t>Share</w:t>
      </w:r>
      <w:r w:rsidRPr="00D166AD">
        <w:rPr>
          <w:rFonts w:asciiTheme="minorHAnsi" w:hAnsiTheme="minorHAnsi" w:cstheme="minorHAnsi"/>
          <w:spacing w:val="4"/>
          <w:sz w:val="22"/>
          <w:szCs w:val="22"/>
        </w:rPr>
        <w:t xml:space="preserve"> </w:t>
      </w:r>
      <w:r w:rsidRPr="00D166AD">
        <w:rPr>
          <w:rFonts w:asciiTheme="minorHAnsi" w:hAnsiTheme="minorHAnsi" w:cstheme="minorHAnsi"/>
          <w:sz w:val="22"/>
          <w:szCs w:val="22"/>
        </w:rPr>
        <w:t>shall</w:t>
      </w:r>
      <w:r w:rsidRPr="00D166AD">
        <w:rPr>
          <w:rFonts w:asciiTheme="minorHAnsi" w:hAnsiTheme="minorHAnsi" w:cstheme="minorHAnsi"/>
          <w:spacing w:val="4"/>
          <w:sz w:val="22"/>
          <w:szCs w:val="22"/>
        </w:rPr>
        <w:t xml:space="preserve"> </w:t>
      </w:r>
      <w:r w:rsidRPr="00D166AD">
        <w:rPr>
          <w:rFonts w:asciiTheme="minorHAnsi" w:hAnsiTheme="minorHAnsi" w:cstheme="minorHAnsi"/>
          <w:spacing w:val="-1"/>
          <w:sz w:val="22"/>
          <w:szCs w:val="22"/>
        </w:rPr>
        <w:t>be</w:t>
      </w:r>
      <w:r w:rsidRPr="00D166AD">
        <w:rPr>
          <w:rFonts w:asciiTheme="minorHAnsi" w:hAnsiTheme="minorHAnsi" w:cstheme="minorHAnsi"/>
          <w:spacing w:val="4"/>
          <w:sz w:val="22"/>
          <w:szCs w:val="22"/>
        </w:rPr>
        <w:t xml:space="preserve"> </w:t>
      </w:r>
      <w:r w:rsidRPr="00D166AD">
        <w:rPr>
          <w:rFonts w:asciiTheme="minorHAnsi" w:hAnsiTheme="minorHAnsi" w:cstheme="minorHAnsi"/>
          <w:spacing w:val="-1"/>
          <w:sz w:val="22"/>
          <w:szCs w:val="22"/>
        </w:rPr>
        <w:t>an</w:t>
      </w:r>
      <w:r w:rsidRPr="00D166AD">
        <w:rPr>
          <w:rFonts w:asciiTheme="minorHAnsi" w:hAnsiTheme="minorHAnsi" w:cstheme="minorHAnsi"/>
          <w:spacing w:val="4"/>
          <w:sz w:val="22"/>
          <w:szCs w:val="22"/>
        </w:rPr>
        <w:t xml:space="preserve"> </w:t>
      </w:r>
      <w:r w:rsidRPr="00D166AD">
        <w:rPr>
          <w:rFonts w:asciiTheme="minorHAnsi" w:hAnsiTheme="minorHAnsi" w:cstheme="minorHAnsi"/>
          <w:spacing w:val="-1"/>
          <w:sz w:val="22"/>
          <w:szCs w:val="22"/>
        </w:rPr>
        <w:t>amount</w:t>
      </w:r>
      <w:r w:rsidRPr="00D166AD">
        <w:rPr>
          <w:rFonts w:asciiTheme="minorHAnsi" w:hAnsiTheme="minorHAnsi" w:cstheme="minorHAnsi"/>
          <w:spacing w:val="3"/>
          <w:sz w:val="22"/>
          <w:szCs w:val="22"/>
        </w:rPr>
        <w:t xml:space="preserve"> </w:t>
      </w:r>
      <w:r w:rsidRPr="00D166AD">
        <w:rPr>
          <w:rFonts w:asciiTheme="minorHAnsi" w:hAnsiTheme="minorHAnsi" w:cstheme="minorHAnsi"/>
          <w:spacing w:val="-1"/>
          <w:sz w:val="22"/>
          <w:szCs w:val="22"/>
        </w:rPr>
        <w:t>equal</w:t>
      </w:r>
      <w:r w:rsidRPr="00D166AD">
        <w:rPr>
          <w:rFonts w:asciiTheme="minorHAnsi" w:hAnsiTheme="minorHAnsi" w:cstheme="minorHAnsi"/>
          <w:spacing w:val="4"/>
          <w:sz w:val="22"/>
          <w:szCs w:val="22"/>
        </w:rPr>
        <w:t xml:space="preserve"> </w:t>
      </w:r>
      <w:r w:rsidRPr="00D166AD">
        <w:rPr>
          <w:rFonts w:asciiTheme="minorHAnsi" w:hAnsiTheme="minorHAnsi" w:cstheme="minorHAnsi"/>
          <w:sz w:val="22"/>
          <w:szCs w:val="22"/>
        </w:rPr>
        <w:t>to</w:t>
      </w:r>
      <w:r w:rsidRPr="00D166AD">
        <w:rPr>
          <w:rFonts w:asciiTheme="minorHAnsi" w:hAnsiTheme="minorHAnsi" w:cstheme="minorHAnsi"/>
          <w:spacing w:val="23"/>
          <w:w w:val="99"/>
          <w:sz w:val="22"/>
          <w:szCs w:val="22"/>
        </w:rPr>
        <w:t xml:space="preserve"> </w:t>
      </w:r>
      <w:r w:rsidRPr="00D166AD">
        <w:rPr>
          <w:rFonts w:asciiTheme="minorHAnsi" w:hAnsiTheme="minorHAnsi" w:cstheme="minorHAnsi"/>
          <w:sz w:val="22"/>
          <w:szCs w:val="22"/>
        </w:rPr>
        <w:t>the</w:t>
      </w:r>
      <w:r w:rsidRPr="00D166AD">
        <w:rPr>
          <w:rFonts w:asciiTheme="minorHAnsi" w:hAnsiTheme="minorHAnsi" w:cstheme="minorHAnsi"/>
          <w:spacing w:val="-1"/>
          <w:sz w:val="22"/>
          <w:szCs w:val="22"/>
        </w:rPr>
        <w:t xml:space="preserve"> nominal</w:t>
      </w:r>
      <w:r w:rsidRPr="00D166AD">
        <w:rPr>
          <w:rFonts w:asciiTheme="minorHAnsi" w:hAnsiTheme="minorHAnsi" w:cstheme="minorHAnsi"/>
          <w:sz w:val="22"/>
          <w:szCs w:val="22"/>
        </w:rPr>
        <w:t xml:space="preserve"> value</w:t>
      </w:r>
      <w:r w:rsidRPr="00D166AD">
        <w:rPr>
          <w:rFonts w:asciiTheme="minorHAnsi" w:hAnsiTheme="minorHAnsi" w:cstheme="minorHAnsi"/>
          <w:spacing w:val="-1"/>
          <w:sz w:val="22"/>
          <w:szCs w:val="22"/>
        </w:rPr>
        <w:t xml:space="preserve"> </w:t>
      </w:r>
      <w:r w:rsidRPr="00D166AD">
        <w:rPr>
          <w:rFonts w:asciiTheme="minorHAnsi" w:hAnsiTheme="minorHAnsi" w:cstheme="minorHAnsi"/>
          <w:sz w:val="22"/>
          <w:szCs w:val="22"/>
        </w:rPr>
        <w:t xml:space="preserve">thereof; </w:t>
      </w:r>
    </w:p>
    <w:p w14:paraId="432BCE04" w14:textId="77777777" w:rsidR="00D166AD" w:rsidRPr="00D166AD" w:rsidRDefault="00D166AD" w:rsidP="00D166AD">
      <w:pPr>
        <w:pStyle w:val="BodyText"/>
        <w:keepNext/>
        <w:keepLines/>
        <w:tabs>
          <w:tab w:val="left" w:pos="1106"/>
        </w:tabs>
        <w:spacing w:line="276" w:lineRule="auto"/>
        <w:ind w:left="0" w:right="85"/>
        <w:rPr>
          <w:rFonts w:asciiTheme="minorHAnsi" w:hAnsiTheme="minorHAnsi" w:cstheme="minorHAnsi"/>
          <w:sz w:val="22"/>
          <w:szCs w:val="22"/>
        </w:rPr>
      </w:pPr>
    </w:p>
    <w:p w14:paraId="028B42C7" w14:textId="77777777" w:rsidR="00D166AD" w:rsidRPr="00D166AD" w:rsidRDefault="00D166AD" w:rsidP="00D166AD">
      <w:pPr>
        <w:pStyle w:val="BodyText"/>
        <w:keepNext/>
        <w:keepLines/>
        <w:numPr>
          <w:ilvl w:val="1"/>
          <w:numId w:val="4"/>
        </w:numPr>
        <w:tabs>
          <w:tab w:val="left" w:pos="1106"/>
        </w:tabs>
        <w:spacing w:line="276" w:lineRule="auto"/>
        <w:ind w:left="1105" w:right="85" w:hanging="567"/>
        <w:jc w:val="both"/>
        <w:rPr>
          <w:rFonts w:asciiTheme="minorHAnsi" w:hAnsiTheme="minorHAnsi" w:cstheme="minorHAnsi"/>
          <w:sz w:val="22"/>
          <w:szCs w:val="22"/>
        </w:rPr>
      </w:pPr>
      <w:r w:rsidRPr="00D166AD">
        <w:rPr>
          <w:rFonts w:asciiTheme="minorHAnsi" w:hAnsiTheme="minorHAnsi" w:cstheme="minorHAnsi"/>
          <w:sz w:val="22"/>
          <w:szCs w:val="22"/>
        </w:rPr>
        <w:t>the</w:t>
      </w:r>
      <w:r w:rsidRPr="00D166AD">
        <w:rPr>
          <w:rFonts w:asciiTheme="minorHAnsi" w:hAnsiTheme="minorHAnsi" w:cstheme="minorHAnsi"/>
          <w:spacing w:val="-2"/>
          <w:sz w:val="22"/>
          <w:szCs w:val="22"/>
        </w:rPr>
        <w:t xml:space="preserve"> </w:t>
      </w:r>
      <w:r w:rsidRPr="00D166AD">
        <w:rPr>
          <w:rFonts w:asciiTheme="minorHAnsi" w:hAnsiTheme="minorHAnsi" w:cstheme="minorHAnsi"/>
          <w:sz w:val="22"/>
          <w:szCs w:val="22"/>
        </w:rPr>
        <w:t>maximum</w:t>
      </w:r>
      <w:r w:rsidRPr="00D166AD">
        <w:rPr>
          <w:rFonts w:asciiTheme="minorHAnsi" w:hAnsiTheme="minorHAnsi" w:cstheme="minorHAnsi"/>
          <w:spacing w:val="-1"/>
          <w:sz w:val="22"/>
          <w:szCs w:val="22"/>
        </w:rPr>
        <w:t xml:space="preserve"> price</w:t>
      </w:r>
      <w:r w:rsidRPr="00D166AD">
        <w:rPr>
          <w:rFonts w:asciiTheme="minorHAnsi" w:hAnsiTheme="minorHAnsi" w:cstheme="minorHAnsi"/>
          <w:sz w:val="22"/>
          <w:szCs w:val="22"/>
        </w:rPr>
        <w:t xml:space="preserve"> (excluding</w:t>
      </w:r>
      <w:r w:rsidRPr="00D166AD">
        <w:rPr>
          <w:rFonts w:asciiTheme="minorHAnsi" w:hAnsiTheme="minorHAnsi" w:cstheme="minorHAnsi"/>
          <w:spacing w:val="-1"/>
          <w:sz w:val="22"/>
          <w:szCs w:val="22"/>
        </w:rPr>
        <w:t xml:space="preserve"> expenses) which</w:t>
      </w:r>
      <w:r w:rsidRPr="00D166AD">
        <w:rPr>
          <w:rFonts w:asciiTheme="minorHAnsi" w:hAnsiTheme="minorHAnsi" w:cstheme="minorHAnsi"/>
          <w:sz w:val="22"/>
          <w:szCs w:val="22"/>
        </w:rPr>
        <w:t xml:space="preserve"> may </w:t>
      </w:r>
      <w:r w:rsidRPr="00D166AD">
        <w:rPr>
          <w:rFonts w:asciiTheme="minorHAnsi" w:hAnsiTheme="minorHAnsi" w:cstheme="minorHAnsi"/>
          <w:spacing w:val="-1"/>
          <w:sz w:val="22"/>
          <w:szCs w:val="22"/>
        </w:rPr>
        <w:t>be</w:t>
      </w:r>
      <w:r w:rsidRPr="00D166AD">
        <w:rPr>
          <w:rFonts w:asciiTheme="minorHAnsi" w:hAnsiTheme="minorHAnsi" w:cstheme="minorHAnsi"/>
          <w:sz w:val="22"/>
          <w:szCs w:val="22"/>
        </w:rPr>
        <w:t xml:space="preserve"> </w:t>
      </w:r>
      <w:r w:rsidRPr="00D166AD">
        <w:rPr>
          <w:rFonts w:asciiTheme="minorHAnsi" w:hAnsiTheme="minorHAnsi" w:cstheme="minorHAnsi"/>
          <w:spacing w:val="-1"/>
          <w:sz w:val="22"/>
          <w:szCs w:val="22"/>
        </w:rPr>
        <w:t xml:space="preserve">paid </w:t>
      </w:r>
      <w:r w:rsidRPr="00D166AD">
        <w:rPr>
          <w:rFonts w:asciiTheme="minorHAnsi" w:hAnsiTheme="minorHAnsi" w:cstheme="minorHAnsi"/>
          <w:sz w:val="22"/>
          <w:szCs w:val="22"/>
        </w:rPr>
        <w:t>for</w:t>
      </w:r>
      <w:r w:rsidRPr="00D166AD">
        <w:rPr>
          <w:rFonts w:asciiTheme="minorHAnsi" w:hAnsiTheme="minorHAnsi" w:cstheme="minorHAnsi"/>
          <w:spacing w:val="-1"/>
          <w:sz w:val="22"/>
          <w:szCs w:val="22"/>
        </w:rPr>
        <w:t xml:space="preserve"> any</w:t>
      </w:r>
      <w:r w:rsidRPr="00D166AD">
        <w:rPr>
          <w:rFonts w:asciiTheme="minorHAnsi" w:hAnsiTheme="minorHAnsi" w:cstheme="minorHAnsi"/>
          <w:sz w:val="22"/>
          <w:szCs w:val="22"/>
        </w:rPr>
        <w:t xml:space="preserve"> </w:t>
      </w:r>
      <w:r w:rsidRPr="00D166AD">
        <w:rPr>
          <w:rFonts w:asciiTheme="minorHAnsi" w:hAnsiTheme="minorHAnsi" w:cstheme="minorHAnsi"/>
          <w:spacing w:val="-1"/>
          <w:sz w:val="22"/>
          <w:szCs w:val="22"/>
        </w:rPr>
        <w:t>Ordinary</w:t>
      </w:r>
      <w:r w:rsidRPr="00D166AD">
        <w:rPr>
          <w:rFonts w:asciiTheme="minorHAnsi" w:hAnsiTheme="minorHAnsi" w:cstheme="minorHAnsi"/>
          <w:sz w:val="22"/>
          <w:szCs w:val="22"/>
        </w:rPr>
        <w:t xml:space="preserve"> Share (a “</w:t>
      </w:r>
      <w:r w:rsidRPr="00D166AD">
        <w:rPr>
          <w:rFonts w:asciiTheme="minorHAnsi" w:hAnsiTheme="minorHAnsi" w:cstheme="minorHAnsi"/>
          <w:b/>
          <w:sz w:val="22"/>
          <w:szCs w:val="22"/>
        </w:rPr>
        <w:t>Relevant Share</w:t>
      </w:r>
      <w:r w:rsidRPr="00D166AD">
        <w:rPr>
          <w:rFonts w:asciiTheme="minorHAnsi" w:hAnsiTheme="minorHAnsi" w:cstheme="minorHAnsi"/>
          <w:sz w:val="22"/>
          <w:szCs w:val="22"/>
        </w:rPr>
        <w:t>”)</w:t>
      </w:r>
      <w:r w:rsidRPr="00D166AD">
        <w:rPr>
          <w:rFonts w:asciiTheme="minorHAnsi" w:hAnsiTheme="minorHAnsi" w:cstheme="minorHAnsi"/>
          <w:spacing w:val="-2"/>
          <w:sz w:val="22"/>
          <w:szCs w:val="22"/>
        </w:rPr>
        <w:t xml:space="preserve"> </w:t>
      </w:r>
      <w:r w:rsidRPr="00D166AD">
        <w:rPr>
          <w:rFonts w:asciiTheme="minorHAnsi" w:hAnsiTheme="minorHAnsi" w:cstheme="minorHAnsi"/>
          <w:sz w:val="22"/>
          <w:szCs w:val="22"/>
        </w:rPr>
        <w:t>shall</w:t>
      </w:r>
      <w:r w:rsidRPr="00D166AD">
        <w:rPr>
          <w:rFonts w:asciiTheme="minorHAnsi" w:hAnsiTheme="minorHAnsi" w:cstheme="minorHAnsi"/>
          <w:spacing w:val="-1"/>
          <w:sz w:val="22"/>
          <w:szCs w:val="22"/>
        </w:rPr>
        <w:t xml:space="preserve"> be</w:t>
      </w:r>
      <w:r w:rsidRPr="00D166AD">
        <w:rPr>
          <w:rFonts w:asciiTheme="minorHAnsi" w:hAnsiTheme="minorHAnsi" w:cstheme="minorHAnsi"/>
          <w:sz w:val="22"/>
          <w:szCs w:val="22"/>
        </w:rPr>
        <w:t xml:space="preserve"> the</w:t>
      </w:r>
      <w:r w:rsidRPr="00D166AD">
        <w:rPr>
          <w:rFonts w:asciiTheme="minorHAnsi" w:hAnsiTheme="minorHAnsi" w:cstheme="minorHAnsi"/>
          <w:spacing w:val="-1"/>
          <w:sz w:val="22"/>
          <w:szCs w:val="22"/>
        </w:rPr>
        <w:t xml:space="preserve"> higher of:</w:t>
      </w:r>
    </w:p>
    <w:p w14:paraId="338D7F2C" w14:textId="77777777" w:rsidR="00D166AD" w:rsidRPr="00D166AD" w:rsidRDefault="00D166AD" w:rsidP="00D166AD">
      <w:pPr>
        <w:keepNext/>
        <w:keepLines/>
        <w:spacing w:line="276" w:lineRule="auto"/>
        <w:ind w:right="85"/>
        <w:rPr>
          <w:rFonts w:eastAsia="Arial" w:cstheme="minorHAnsi"/>
          <w:sz w:val="22"/>
          <w:szCs w:val="22"/>
        </w:rPr>
      </w:pPr>
    </w:p>
    <w:p w14:paraId="56547B46" w14:textId="77777777" w:rsidR="00D166AD" w:rsidRPr="00D166AD" w:rsidRDefault="00D166AD" w:rsidP="00D166AD">
      <w:pPr>
        <w:pStyle w:val="BodyText"/>
        <w:keepNext/>
        <w:keepLines/>
        <w:numPr>
          <w:ilvl w:val="2"/>
          <w:numId w:val="4"/>
        </w:numPr>
        <w:tabs>
          <w:tab w:val="left" w:pos="1553"/>
        </w:tabs>
        <w:spacing w:line="276" w:lineRule="auto"/>
        <w:ind w:right="85" w:hanging="447"/>
        <w:jc w:val="both"/>
        <w:rPr>
          <w:rFonts w:asciiTheme="minorHAnsi" w:hAnsiTheme="minorHAnsi" w:cstheme="minorHAnsi"/>
          <w:sz w:val="22"/>
          <w:szCs w:val="22"/>
        </w:rPr>
      </w:pPr>
      <w:r w:rsidRPr="00D166AD">
        <w:rPr>
          <w:rFonts w:asciiTheme="minorHAnsi" w:hAnsiTheme="minorHAnsi" w:cstheme="minorHAnsi"/>
          <w:sz w:val="22"/>
          <w:szCs w:val="22"/>
        </w:rPr>
        <w:t>5 per cent. above the average market price of an Ordinary Share as determined in accordance with this sub-paragraph (c); and</w:t>
      </w:r>
    </w:p>
    <w:p w14:paraId="020A176E" w14:textId="77777777" w:rsidR="00D166AD" w:rsidRPr="00D166AD" w:rsidRDefault="00D166AD" w:rsidP="00D166AD">
      <w:pPr>
        <w:keepNext/>
        <w:keepLines/>
        <w:spacing w:line="276" w:lineRule="auto"/>
        <w:ind w:right="85"/>
        <w:rPr>
          <w:rFonts w:eastAsia="Arial" w:cstheme="minorHAnsi"/>
          <w:sz w:val="22"/>
          <w:szCs w:val="22"/>
        </w:rPr>
      </w:pPr>
    </w:p>
    <w:p w14:paraId="5831991F" w14:textId="77777777" w:rsidR="00D166AD" w:rsidRPr="00D166AD" w:rsidRDefault="00D166AD" w:rsidP="00D166AD">
      <w:pPr>
        <w:pStyle w:val="BodyText"/>
        <w:keepNext/>
        <w:keepLines/>
        <w:numPr>
          <w:ilvl w:val="2"/>
          <w:numId w:val="4"/>
        </w:numPr>
        <w:tabs>
          <w:tab w:val="left" w:pos="1553"/>
        </w:tabs>
        <w:spacing w:line="276" w:lineRule="auto"/>
        <w:ind w:right="85" w:hanging="447"/>
        <w:jc w:val="both"/>
        <w:rPr>
          <w:rFonts w:asciiTheme="minorHAnsi" w:hAnsiTheme="minorHAnsi" w:cstheme="minorHAnsi"/>
          <w:sz w:val="22"/>
          <w:szCs w:val="22"/>
        </w:rPr>
      </w:pPr>
      <w:r w:rsidRPr="00D166AD">
        <w:rPr>
          <w:rFonts w:asciiTheme="minorHAnsi" w:hAnsiTheme="minorHAnsi" w:cstheme="minorHAnsi"/>
          <w:sz w:val="22"/>
          <w:szCs w:val="22"/>
        </w:rPr>
        <w:t>the</w:t>
      </w:r>
      <w:r w:rsidRPr="00D166AD">
        <w:rPr>
          <w:rFonts w:asciiTheme="minorHAnsi" w:hAnsiTheme="minorHAnsi" w:cstheme="minorHAnsi"/>
          <w:spacing w:val="30"/>
          <w:sz w:val="22"/>
          <w:szCs w:val="22"/>
        </w:rPr>
        <w:t xml:space="preserve"> </w:t>
      </w:r>
      <w:r w:rsidRPr="00D166AD">
        <w:rPr>
          <w:rFonts w:asciiTheme="minorHAnsi" w:hAnsiTheme="minorHAnsi" w:cstheme="minorHAnsi"/>
          <w:spacing w:val="-1"/>
          <w:sz w:val="22"/>
          <w:szCs w:val="22"/>
        </w:rPr>
        <w:t>amount</w:t>
      </w:r>
      <w:r w:rsidRPr="00D166AD">
        <w:rPr>
          <w:rFonts w:asciiTheme="minorHAnsi" w:hAnsiTheme="minorHAnsi" w:cstheme="minorHAnsi"/>
          <w:spacing w:val="22"/>
          <w:sz w:val="22"/>
          <w:szCs w:val="22"/>
        </w:rPr>
        <w:t xml:space="preserve"> </w:t>
      </w:r>
      <w:r w:rsidRPr="00D166AD">
        <w:rPr>
          <w:rFonts w:asciiTheme="minorHAnsi" w:hAnsiTheme="minorHAnsi" w:cstheme="minorHAnsi"/>
          <w:sz w:val="22"/>
          <w:szCs w:val="22"/>
        </w:rPr>
        <w:t>stipulated</w:t>
      </w:r>
      <w:r w:rsidRPr="00D166AD">
        <w:rPr>
          <w:rFonts w:asciiTheme="minorHAnsi" w:hAnsiTheme="minorHAnsi" w:cstheme="minorHAnsi"/>
          <w:spacing w:val="23"/>
          <w:sz w:val="22"/>
          <w:szCs w:val="22"/>
        </w:rPr>
        <w:t xml:space="preserve"> </w:t>
      </w:r>
      <w:r w:rsidRPr="00D166AD">
        <w:rPr>
          <w:rFonts w:asciiTheme="minorHAnsi" w:hAnsiTheme="minorHAnsi" w:cstheme="minorHAnsi"/>
          <w:spacing w:val="-1"/>
          <w:sz w:val="22"/>
          <w:szCs w:val="22"/>
        </w:rPr>
        <w:t xml:space="preserve">by </w:t>
      </w:r>
      <w:r w:rsidRPr="00D166AD">
        <w:rPr>
          <w:rFonts w:asciiTheme="minorHAnsi" w:hAnsiTheme="minorHAnsi" w:cstheme="minorHAnsi"/>
          <w:sz w:val="22"/>
          <w:szCs w:val="22"/>
        </w:rPr>
        <w:t>Article</w:t>
      </w:r>
      <w:r w:rsidRPr="00D166AD">
        <w:rPr>
          <w:rFonts w:asciiTheme="minorHAnsi" w:hAnsiTheme="minorHAnsi" w:cstheme="minorHAnsi"/>
          <w:spacing w:val="-2"/>
          <w:sz w:val="22"/>
          <w:szCs w:val="22"/>
        </w:rPr>
        <w:t xml:space="preserve"> </w:t>
      </w:r>
      <w:r w:rsidRPr="00D166AD">
        <w:rPr>
          <w:rFonts w:asciiTheme="minorHAnsi" w:hAnsiTheme="minorHAnsi" w:cstheme="minorHAnsi"/>
          <w:sz w:val="22"/>
          <w:szCs w:val="22"/>
        </w:rPr>
        <w:t xml:space="preserve">5(6) </w:t>
      </w:r>
      <w:r w:rsidRPr="00D166AD">
        <w:rPr>
          <w:rFonts w:asciiTheme="minorHAnsi" w:hAnsiTheme="minorHAnsi" w:cstheme="minorHAnsi"/>
          <w:spacing w:val="-1"/>
          <w:sz w:val="22"/>
          <w:szCs w:val="22"/>
        </w:rPr>
        <w:t>of</w:t>
      </w:r>
      <w:r w:rsidRPr="00D166AD">
        <w:rPr>
          <w:rFonts w:asciiTheme="minorHAnsi" w:hAnsiTheme="minorHAnsi" w:cstheme="minorHAnsi"/>
          <w:sz w:val="22"/>
          <w:szCs w:val="22"/>
        </w:rPr>
        <w:t xml:space="preserve"> </w:t>
      </w:r>
      <w:r w:rsidRPr="00D166AD">
        <w:rPr>
          <w:rFonts w:asciiTheme="minorHAnsi" w:hAnsiTheme="minorHAnsi" w:cstheme="minorHAnsi"/>
          <w:spacing w:val="-1"/>
          <w:sz w:val="22"/>
          <w:szCs w:val="22"/>
        </w:rPr>
        <w:t>Regulation No.</w:t>
      </w:r>
      <w:r w:rsidRPr="00D166AD">
        <w:rPr>
          <w:rFonts w:asciiTheme="minorHAnsi" w:hAnsiTheme="minorHAnsi" w:cstheme="minorHAnsi"/>
          <w:sz w:val="22"/>
          <w:szCs w:val="22"/>
        </w:rPr>
        <w:t xml:space="preserve"> </w:t>
      </w:r>
      <w:r w:rsidRPr="00D166AD">
        <w:rPr>
          <w:rFonts w:asciiTheme="minorHAnsi" w:hAnsiTheme="minorHAnsi" w:cstheme="minorHAnsi"/>
          <w:spacing w:val="-1"/>
          <w:sz w:val="22"/>
          <w:szCs w:val="22"/>
        </w:rPr>
        <w:t>596/2014</w:t>
      </w:r>
      <w:r w:rsidRPr="00D166AD">
        <w:rPr>
          <w:rFonts w:asciiTheme="minorHAnsi" w:hAnsiTheme="minorHAnsi" w:cstheme="minorHAnsi"/>
          <w:sz w:val="22"/>
          <w:szCs w:val="22"/>
        </w:rPr>
        <w:t xml:space="preserve"> </w:t>
      </w:r>
      <w:r w:rsidRPr="00D166AD">
        <w:rPr>
          <w:rFonts w:asciiTheme="minorHAnsi" w:hAnsiTheme="minorHAnsi" w:cstheme="minorHAnsi"/>
          <w:spacing w:val="-1"/>
          <w:sz w:val="22"/>
          <w:szCs w:val="22"/>
        </w:rPr>
        <w:t>of</w:t>
      </w:r>
      <w:r w:rsidRPr="00D166AD">
        <w:rPr>
          <w:rFonts w:asciiTheme="minorHAnsi" w:hAnsiTheme="minorHAnsi" w:cstheme="minorHAnsi"/>
          <w:sz w:val="22"/>
          <w:szCs w:val="22"/>
        </w:rPr>
        <w:t xml:space="preserve"> the</w:t>
      </w:r>
      <w:r w:rsidRPr="00D166AD">
        <w:rPr>
          <w:rFonts w:asciiTheme="minorHAnsi" w:hAnsiTheme="minorHAnsi" w:cstheme="minorHAnsi"/>
          <w:spacing w:val="-2"/>
          <w:sz w:val="22"/>
          <w:szCs w:val="22"/>
        </w:rPr>
        <w:t xml:space="preserve"> </w:t>
      </w:r>
      <w:r w:rsidRPr="00D166AD">
        <w:rPr>
          <w:rFonts w:asciiTheme="minorHAnsi" w:hAnsiTheme="minorHAnsi" w:cstheme="minorHAnsi"/>
          <w:sz w:val="22"/>
          <w:szCs w:val="22"/>
        </w:rPr>
        <w:t>European</w:t>
      </w:r>
      <w:r w:rsidRPr="00D166AD">
        <w:rPr>
          <w:rFonts w:asciiTheme="minorHAnsi" w:hAnsiTheme="minorHAnsi" w:cstheme="minorHAnsi"/>
          <w:spacing w:val="-1"/>
          <w:sz w:val="22"/>
          <w:szCs w:val="22"/>
        </w:rPr>
        <w:t xml:space="preserve"> </w:t>
      </w:r>
      <w:r w:rsidRPr="00D166AD">
        <w:rPr>
          <w:rFonts w:asciiTheme="minorHAnsi" w:hAnsiTheme="minorHAnsi" w:cstheme="minorHAnsi"/>
          <w:sz w:val="22"/>
          <w:szCs w:val="22"/>
        </w:rPr>
        <w:t>Parliament</w:t>
      </w:r>
      <w:r w:rsidRPr="00D166AD">
        <w:rPr>
          <w:rFonts w:asciiTheme="minorHAnsi" w:hAnsiTheme="minorHAnsi" w:cstheme="minorHAnsi"/>
          <w:spacing w:val="-1"/>
          <w:sz w:val="22"/>
          <w:szCs w:val="22"/>
        </w:rPr>
        <w:t xml:space="preserve"> and</w:t>
      </w:r>
      <w:r w:rsidRPr="00D166AD">
        <w:rPr>
          <w:rFonts w:asciiTheme="minorHAnsi" w:hAnsiTheme="minorHAnsi" w:cstheme="minorHAnsi"/>
          <w:sz w:val="22"/>
          <w:szCs w:val="22"/>
        </w:rPr>
        <w:t xml:space="preserve"> </w:t>
      </w:r>
      <w:r w:rsidRPr="00D166AD">
        <w:rPr>
          <w:rFonts w:asciiTheme="minorHAnsi" w:hAnsiTheme="minorHAnsi" w:cstheme="minorHAnsi"/>
          <w:spacing w:val="-1"/>
          <w:sz w:val="22"/>
          <w:szCs w:val="22"/>
        </w:rPr>
        <w:t>Council (or by any corresponding provision of legislation replacing that regulation);</w:t>
      </w:r>
    </w:p>
    <w:p w14:paraId="01CC2305" w14:textId="77777777" w:rsidR="00D166AD" w:rsidRPr="00D166AD" w:rsidRDefault="00D166AD" w:rsidP="00D166AD">
      <w:pPr>
        <w:pStyle w:val="ListParagraph"/>
        <w:keepNext/>
        <w:spacing w:line="276" w:lineRule="auto"/>
        <w:ind w:right="85"/>
        <w:rPr>
          <w:rFonts w:cstheme="minorHAnsi"/>
          <w:sz w:val="22"/>
          <w:szCs w:val="22"/>
        </w:rPr>
      </w:pPr>
    </w:p>
    <w:p w14:paraId="0F681863" w14:textId="77777777" w:rsidR="00D166AD" w:rsidRPr="00D166AD" w:rsidRDefault="00D166AD" w:rsidP="00D166AD">
      <w:pPr>
        <w:pStyle w:val="BodyText"/>
        <w:keepNext/>
        <w:keepLines/>
        <w:tabs>
          <w:tab w:val="left" w:pos="1553"/>
        </w:tabs>
        <w:spacing w:line="276" w:lineRule="auto"/>
        <w:ind w:left="1105" w:right="85"/>
        <w:jc w:val="both"/>
        <w:rPr>
          <w:rFonts w:asciiTheme="minorHAnsi" w:hAnsiTheme="minorHAnsi" w:cstheme="minorHAnsi"/>
          <w:sz w:val="22"/>
          <w:szCs w:val="22"/>
        </w:rPr>
      </w:pPr>
      <w:r w:rsidRPr="00D166AD">
        <w:rPr>
          <w:rFonts w:asciiTheme="minorHAnsi" w:hAnsiTheme="minorHAnsi" w:cstheme="minorHAnsi"/>
          <w:sz w:val="22"/>
          <w:szCs w:val="22"/>
        </w:rPr>
        <w:t>where the average market value of an Ordinary Share for the purpose of sub-paragraph (i) shall be the amount equal to the average of the five amounts resulting from determining whichever of the following ((A), (B) or (C) specified below) in respect of Ordinary Shares shall be appropriate for each of the five business days immediately preceding the day on which the Relevant Share is purchased as determined from the information published by the trading venue where the purchase will be carried out reporting the business done on each of those five days:</w:t>
      </w:r>
    </w:p>
    <w:p w14:paraId="277C4FD5" w14:textId="77777777" w:rsidR="00D166AD" w:rsidRPr="00D166AD" w:rsidRDefault="00D166AD" w:rsidP="00D166AD">
      <w:pPr>
        <w:pStyle w:val="BodyText"/>
        <w:keepNext/>
        <w:keepLines/>
        <w:tabs>
          <w:tab w:val="left" w:pos="1553"/>
        </w:tabs>
        <w:spacing w:line="276" w:lineRule="auto"/>
        <w:ind w:left="1105" w:right="85"/>
        <w:jc w:val="both"/>
        <w:rPr>
          <w:rFonts w:asciiTheme="minorHAnsi" w:hAnsiTheme="minorHAnsi" w:cstheme="minorHAnsi"/>
          <w:sz w:val="22"/>
          <w:szCs w:val="22"/>
        </w:rPr>
      </w:pPr>
    </w:p>
    <w:p w14:paraId="670F5BE5" w14:textId="77777777" w:rsidR="00D166AD" w:rsidRPr="00D166AD" w:rsidRDefault="00D166AD" w:rsidP="00D166AD">
      <w:pPr>
        <w:pStyle w:val="BodyText"/>
        <w:keepNext/>
        <w:keepLines/>
        <w:numPr>
          <w:ilvl w:val="0"/>
          <w:numId w:val="5"/>
        </w:numPr>
        <w:spacing w:line="276" w:lineRule="auto"/>
        <w:ind w:left="1701" w:right="85" w:hanging="567"/>
        <w:jc w:val="both"/>
        <w:rPr>
          <w:rFonts w:asciiTheme="minorHAnsi" w:hAnsiTheme="minorHAnsi" w:cstheme="minorHAnsi"/>
          <w:sz w:val="22"/>
          <w:szCs w:val="22"/>
        </w:rPr>
      </w:pPr>
      <w:r w:rsidRPr="00D166AD">
        <w:rPr>
          <w:rFonts w:asciiTheme="minorHAnsi" w:hAnsiTheme="minorHAnsi" w:cstheme="minorHAnsi"/>
          <w:sz w:val="22"/>
          <w:szCs w:val="22"/>
        </w:rPr>
        <w:lastRenderedPageBreak/>
        <w:t>if there shall be more than one dealing reported for the day, the average of the prices at which such dealings took place; or</w:t>
      </w:r>
    </w:p>
    <w:p w14:paraId="53453EE6" w14:textId="77777777" w:rsidR="00D166AD" w:rsidRPr="00D166AD" w:rsidRDefault="00D166AD" w:rsidP="00D166AD">
      <w:pPr>
        <w:pStyle w:val="BodyText"/>
        <w:keepNext/>
        <w:keepLines/>
        <w:spacing w:line="276" w:lineRule="auto"/>
        <w:ind w:left="1701" w:right="85" w:hanging="567"/>
        <w:jc w:val="both"/>
        <w:rPr>
          <w:rFonts w:asciiTheme="minorHAnsi" w:hAnsiTheme="minorHAnsi" w:cstheme="minorHAnsi"/>
          <w:sz w:val="22"/>
          <w:szCs w:val="22"/>
        </w:rPr>
      </w:pPr>
    </w:p>
    <w:p w14:paraId="228AEE2D" w14:textId="77777777" w:rsidR="00D166AD" w:rsidRPr="00D166AD" w:rsidRDefault="00D166AD" w:rsidP="00D166AD">
      <w:pPr>
        <w:pStyle w:val="BodyText"/>
        <w:keepNext/>
        <w:keepLines/>
        <w:numPr>
          <w:ilvl w:val="0"/>
          <w:numId w:val="5"/>
        </w:numPr>
        <w:spacing w:line="276" w:lineRule="auto"/>
        <w:ind w:left="1701" w:right="85" w:hanging="567"/>
        <w:jc w:val="both"/>
        <w:rPr>
          <w:rFonts w:asciiTheme="minorHAnsi" w:hAnsiTheme="minorHAnsi" w:cstheme="minorHAnsi"/>
          <w:sz w:val="22"/>
          <w:szCs w:val="22"/>
        </w:rPr>
      </w:pPr>
      <w:r w:rsidRPr="00D166AD">
        <w:rPr>
          <w:rFonts w:asciiTheme="minorHAnsi" w:hAnsiTheme="minorHAnsi" w:cstheme="minorHAnsi"/>
          <w:sz w:val="22"/>
          <w:szCs w:val="22"/>
        </w:rPr>
        <w:t>if there shall be only one dealing reported for the day, the price at which such dealing took place; or</w:t>
      </w:r>
    </w:p>
    <w:p w14:paraId="46DFE80C" w14:textId="77777777" w:rsidR="00D166AD" w:rsidRPr="00D166AD" w:rsidRDefault="00D166AD" w:rsidP="00D166AD">
      <w:pPr>
        <w:pStyle w:val="ListParagraph"/>
        <w:keepNext/>
        <w:spacing w:line="276" w:lineRule="auto"/>
        <w:ind w:left="1701" w:right="85" w:hanging="567"/>
        <w:rPr>
          <w:rFonts w:cstheme="minorHAnsi"/>
          <w:sz w:val="22"/>
          <w:szCs w:val="22"/>
        </w:rPr>
      </w:pPr>
    </w:p>
    <w:p w14:paraId="16D5FAF0" w14:textId="77777777" w:rsidR="00D166AD" w:rsidRPr="00D166AD" w:rsidRDefault="00D166AD" w:rsidP="00D166AD">
      <w:pPr>
        <w:pStyle w:val="BodyText"/>
        <w:keepNext/>
        <w:keepLines/>
        <w:numPr>
          <w:ilvl w:val="0"/>
          <w:numId w:val="5"/>
        </w:numPr>
        <w:spacing w:line="276" w:lineRule="auto"/>
        <w:ind w:left="1701" w:right="85" w:hanging="567"/>
        <w:jc w:val="both"/>
        <w:rPr>
          <w:rFonts w:asciiTheme="minorHAnsi" w:hAnsiTheme="minorHAnsi" w:cstheme="minorHAnsi"/>
          <w:sz w:val="22"/>
          <w:szCs w:val="22"/>
        </w:rPr>
      </w:pPr>
      <w:r w:rsidRPr="00D166AD">
        <w:rPr>
          <w:rFonts w:asciiTheme="minorHAnsi" w:hAnsiTheme="minorHAnsi" w:cstheme="minorHAnsi"/>
          <w:sz w:val="22"/>
          <w:szCs w:val="22"/>
        </w:rPr>
        <w:t>if there shall not be any dealing reported for the day, the average of the closing bid and offer prices for the day,</w:t>
      </w:r>
    </w:p>
    <w:p w14:paraId="2A089637" w14:textId="77777777" w:rsidR="00D166AD" w:rsidRPr="00D166AD" w:rsidRDefault="00D166AD" w:rsidP="00D166AD">
      <w:pPr>
        <w:pStyle w:val="ListParagraph"/>
        <w:keepNext/>
        <w:spacing w:line="276" w:lineRule="auto"/>
        <w:ind w:right="85"/>
        <w:rPr>
          <w:rFonts w:cstheme="minorHAnsi"/>
          <w:sz w:val="22"/>
          <w:szCs w:val="22"/>
        </w:rPr>
      </w:pPr>
    </w:p>
    <w:p w14:paraId="26778B55" w14:textId="77777777" w:rsidR="00D166AD" w:rsidRPr="00D166AD" w:rsidRDefault="00D166AD" w:rsidP="00D166AD">
      <w:pPr>
        <w:pStyle w:val="BodyText"/>
        <w:keepNext/>
        <w:keepLines/>
        <w:spacing w:line="276" w:lineRule="auto"/>
        <w:ind w:left="1105" w:right="85"/>
        <w:jc w:val="both"/>
        <w:rPr>
          <w:rFonts w:asciiTheme="minorHAnsi" w:hAnsiTheme="minorHAnsi" w:cstheme="minorHAnsi"/>
          <w:sz w:val="22"/>
          <w:szCs w:val="22"/>
        </w:rPr>
      </w:pPr>
      <w:r w:rsidRPr="00D166AD">
        <w:rPr>
          <w:rFonts w:asciiTheme="minorHAnsi" w:hAnsiTheme="minorHAnsi" w:cstheme="minorHAnsi"/>
          <w:sz w:val="22"/>
          <w:szCs w:val="22"/>
        </w:rPr>
        <w:t>and if there shall be only a bid (but not an offer) price or an offer (but not a bid) price reported, or if there shall not be any bid or offer price reported, for any particular day, that day shall not be treated as a business day for the purposes of this sub-paragraph (c); provided that, if for any reason it shall be impossible or impracticable to determine an appropriate amount for any of those five days on the above basis, the Directors may, if they think fit and having taken into account the prices at which recent dealings in such shares have taken place, determine an amount for such day and the amount so determined shall be deemed to be appropriate for that day for the purposes of calculating the maximum price; and if the means of providing the foregoing information as to dealings and prices by reference to which the maximum price is to be determined is altered or is replaced by some other means, then the maximum price shall be determined on the basis of the equivalent information published by the relevant authority in relation to dealings on the Euronext Dublin or its equivalent; and</w:t>
      </w:r>
    </w:p>
    <w:p w14:paraId="5328FD11" w14:textId="77777777" w:rsidR="00D166AD" w:rsidRPr="00D166AD" w:rsidRDefault="00D166AD" w:rsidP="00D166AD">
      <w:pPr>
        <w:pStyle w:val="BodyText"/>
        <w:keepNext/>
        <w:keepLines/>
        <w:numPr>
          <w:ilvl w:val="1"/>
          <w:numId w:val="4"/>
        </w:numPr>
        <w:tabs>
          <w:tab w:val="left" w:pos="1106"/>
        </w:tabs>
        <w:spacing w:before="119" w:line="276" w:lineRule="auto"/>
        <w:ind w:left="1105" w:right="85" w:hanging="567"/>
        <w:jc w:val="both"/>
        <w:rPr>
          <w:rFonts w:asciiTheme="minorHAnsi" w:hAnsiTheme="minorHAnsi" w:cstheme="minorHAnsi"/>
          <w:sz w:val="22"/>
          <w:szCs w:val="22"/>
        </w:rPr>
      </w:pPr>
      <w:r w:rsidRPr="00D166AD">
        <w:rPr>
          <w:rFonts w:asciiTheme="minorHAnsi" w:hAnsiTheme="minorHAnsi" w:cstheme="minorHAnsi"/>
          <w:sz w:val="22"/>
          <w:szCs w:val="22"/>
        </w:rPr>
        <w:t>the authority conferred by this resolution shall expire on close of business on the date of the next annual general meeting of the Company after the date of passing this resolution or the date which is 15 calendar months after the date of passing of this resolution (whichever is earlier), unless previously varied, revoked or renewed in accordance with the provisions of Section 1074 of the Companies Act 2014. The Company or any subsidiary may, before such expiry, enter into a contract for the purchase of Ordinary Shares which would or might be executed wholly or partly after such expiry and may complete any such contract as if the authority conferred hereby had not expired.</w:t>
      </w:r>
    </w:p>
    <w:p w14:paraId="658697FE" w14:textId="66815010" w:rsidR="001579C7" w:rsidRPr="00713AE1" w:rsidRDefault="001579C7" w:rsidP="00D166AD">
      <w:pPr>
        <w:pStyle w:val="BodyText"/>
        <w:keepLines/>
        <w:spacing w:line="276" w:lineRule="auto"/>
        <w:ind w:left="537" w:right="85" w:hanging="432"/>
        <w:jc w:val="both"/>
        <w:rPr>
          <w:sz w:val="22"/>
          <w:szCs w:val="22"/>
        </w:rPr>
      </w:pPr>
    </w:p>
    <w:p w14:paraId="4909347B" w14:textId="38F37CFD" w:rsidR="001579C7" w:rsidRPr="00FE30B8" w:rsidRDefault="00FE30B8" w:rsidP="00FE30B8">
      <w:pPr>
        <w:pStyle w:val="ListParagraph"/>
        <w:numPr>
          <w:ilvl w:val="0"/>
          <w:numId w:val="13"/>
        </w:numPr>
        <w:spacing w:line="276" w:lineRule="auto"/>
        <w:ind w:left="709" w:hanging="709"/>
        <w:jc w:val="both"/>
        <w:rPr>
          <w:sz w:val="22"/>
          <w:szCs w:val="22"/>
        </w:rPr>
      </w:pPr>
      <w:r w:rsidRPr="00FE30B8">
        <w:rPr>
          <w:rFonts w:cstheme="minorHAnsi"/>
          <w:spacing w:val="-1"/>
          <w:sz w:val="22"/>
          <w:szCs w:val="22"/>
        </w:rPr>
        <w:t>That</w:t>
      </w:r>
      <w:r>
        <w:rPr>
          <w:rFonts w:cstheme="minorHAnsi"/>
          <w:spacing w:val="-1"/>
          <w:sz w:val="22"/>
          <w:szCs w:val="22"/>
        </w:rPr>
        <w:t>:</w:t>
      </w:r>
    </w:p>
    <w:p w14:paraId="700EC88E" w14:textId="77777777" w:rsidR="00FE30B8" w:rsidRPr="00FE30B8" w:rsidRDefault="00FE30B8" w:rsidP="00FE30B8">
      <w:pPr>
        <w:pStyle w:val="ListParagraph"/>
        <w:spacing w:line="276" w:lineRule="auto"/>
        <w:ind w:left="465"/>
        <w:jc w:val="both"/>
        <w:rPr>
          <w:sz w:val="22"/>
          <w:szCs w:val="22"/>
        </w:rPr>
      </w:pPr>
    </w:p>
    <w:p w14:paraId="46851307" w14:textId="41CDDA1F" w:rsidR="00B30497" w:rsidRPr="00713AE1" w:rsidRDefault="00B30497" w:rsidP="00713AE1">
      <w:pPr>
        <w:pStyle w:val="BodyText"/>
        <w:keepLines/>
        <w:numPr>
          <w:ilvl w:val="0"/>
          <w:numId w:val="6"/>
        </w:numPr>
        <w:spacing w:line="276" w:lineRule="auto"/>
        <w:ind w:right="85"/>
        <w:jc w:val="both"/>
        <w:rPr>
          <w:rFonts w:asciiTheme="minorHAnsi" w:hAnsiTheme="minorHAnsi"/>
          <w:spacing w:val="-1"/>
          <w:sz w:val="22"/>
          <w:szCs w:val="22"/>
        </w:rPr>
      </w:pPr>
      <w:r w:rsidRPr="00713AE1">
        <w:rPr>
          <w:rFonts w:asciiTheme="minorHAnsi" w:hAnsiTheme="minorHAnsi"/>
          <w:spacing w:val="-1"/>
          <w:sz w:val="22"/>
          <w:szCs w:val="22"/>
        </w:rPr>
        <w:t xml:space="preserve">subject to the passing of Resolution No. </w:t>
      </w:r>
      <w:r w:rsidR="00E325F4">
        <w:rPr>
          <w:rFonts w:asciiTheme="minorHAnsi" w:hAnsiTheme="minorHAnsi"/>
          <w:spacing w:val="-1"/>
          <w:sz w:val="22"/>
          <w:szCs w:val="22"/>
        </w:rPr>
        <w:t>8</w:t>
      </w:r>
      <w:r w:rsidRPr="00713AE1">
        <w:rPr>
          <w:rFonts w:asciiTheme="minorHAnsi" w:hAnsiTheme="minorHAnsi"/>
          <w:spacing w:val="-1"/>
          <w:sz w:val="22"/>
          <w:szCs w:val="22"/>
        </w:rPr>
        <w:t xml:space="preserve"> above, for the purposes of section 1078 of the Companies Act, the re-allotment price range at which any treasury shares (as defined by the said Companies Act) for the time being held by the Company may be re-allotted off-market as ordinary shares of €0.01 each of the Company (“</w:t>
      </w:r>
      <w:r w:rsidRPr="00713AE1">
        <w:rPr>
          <w:rFonts w:asciiTheme="minorHAnsi" w:hAnsiTheme="minorHAnsi"/>
          <w:b/>
          <w:spacing w:val="-1"/>
          <w:sz w:val="22"/>
          <w:szCs w:val="22"/>
        </w:rPr>
        <w:t>Ordinary Shares</w:t>
      </w:r>
      <w:r w:rsidRPr="00713AE1">
        <w:rPr>
          <w:rFonts w:asciiTheme="minorHAnsi" w:hAnsiTheme="minorHAnsi"/>
          <w:spacing w:val="-1"/>
          <w:sz w:val="22"/>
          <w:szCs w:val="22"/>
        </w:rPr>
        <w:t>”) shall be as follows:</w:t>
      </w:r>
    </w:p>
    <w:p w14:paraId="7A37C177" w14:textId="77777777" w:rsidR="00B30497" w:rsidRPr="00713AE1" w:rsidRDefault="00B30497" w:rsidP="00713AE1">
      <w:pPr>
        <w:pStyle w:val="BodyText"/>
        <w:keepLines/>
        <w:spacing w:line="276" w:lineRule="auto"/>
        <w:ind w:left="1134" w:right="85"/>
        <w:jc w:val="both"/>
        <w:rPr>
          <w:rFonts w:asciiTheme="minorHAnsi" w:hAnsiTheme="minorHAnsi"/>
          <w:spacing w:val="-1"/>
          <w:sz w:val="22"/>
          <w:szCs w:val="22"/>
        </w:rPr>
      </w:pPr>
    </w:p>
    <w:p w14:paraId="4805EED6" w14:textId="169519A4" w:rsidR="00B30497" w:rsidRPr="00713AE1" w:rsidRDefault="009F70E5" w:rsidP="00C53A61">
      <w:pPr>
        <w:pStyle w:val="BodyText"/>
        <w:keepLines/>
        <w:spacing w:line="276" w:lineRule="auto"/>
        <w:ind w:left="1401" w:right="85"/>
        <w:jc w:val="both"/>
        <w:rPr>
          <w:rFonts w:asciiTheme="minorHAnsi" w:hAnsiTheme="minorHAnsi"/>
          <w:spacing w:val="-1"/>
          <w:sz w:val="22"/>
          <w:szCs w:val="22"/>
        </w:rPr>
      </w:pPr>
      <w:r>
        <w:rPr>
          <w:rFonts w:asciiTheme="minorHAnsi" w:hAnsiTheme="minorHAnsi"/>
          <w:spacing w:val="-1"/>
          <w:sz w:val="22"/>
          <w:szCs w:val="22"/>
        </w:rPr>
        <w:t xml:space="preserve">(i) </w:t>
      </w:r>
      <w:r w:rsidR="00B30497" w:rsidRPr="00713AE1">
        <w:rPr>
          <w:rFonts w:asciiTheme="minorHAnsi" w:hAnsiTheme="minorHAnsi"/>
          <w:spacing w:val="-1"/>
          <w:sz w:val="22"/>
          <w:szCs w:val="22"/>
        </w:rPr>
        <w:t>the maximum price at which a treasury share may be re-allotted off-market shall be an amount equal to 120 per cent. of the Appropriate Price; and</w:t>
      </w:r>
    </w:p>
    <w:p w14:paraId="26A86448" w14:textId="77777777" w:rsidR="00B30497" w:rsidRPr="00713AE1" w:rsidRDefault="00B30497" w:rsidP="00713AE1">
      <w:pPr>
        <w:pStyle w:val="BodyText"/>
        <w:keepLines/>
        <w:spacing w:line="276" w:lineRule="auto"/>
        <w:ind w:left="1552" w:right="85"/>
        <w:jc w:val="both"/>
        <w:rPr>
          <w:rFonts w:asciiTheme="minorHAnsi" w:hAnsiTheme="minorHAnsi"/>
          <w:spacing w:val="-1"/>
          <w:sz w:val="22"/>
          <w:szCs w:val="22"/>
        </w:rPr>
      </w:pPr>
    </w:p>
    <w:p w14:paraId="251BDE26" w14:textId="4A7101AC" w:rsidR="00B30497" w:rsidRPr="00713AE1" w:rsidRDefault="009F70E5" w:rsidP="00C53A61">
      <w:pPr>
        <w:pStyle w:val="BodyText"/>
        <w:keepLines/>
        <w:spacing w:line="276" w:lineRule="auto"/>
        <w:ind w:left="1401" w:right="85"/>
        <w:jc w:val="both"/>
        <w:rPr>
          <w:rFonts w:asciiTheme="minorHAnsi" w:hAnsiTheme="minorHAnsi"/>
          <w:spacing w:val="-1"/>
          <w:sz w:val="22"/>
          <w:szCs w:val="22"/>
        </w:rPr>
      </w:pPr>
      <w:r>
        <w:rPr>
          <w:rFonts w:asciiTheme="minorHAnsi" w:hAnsiTheme="minorHAnsi"/>
          <w:spacing w:val="-1"/>
          <w:sz w:val="22"/>
          <w:szCs w:val="22"/>
        </w:rPr>
        <w:t xml:space="preserve">(ii) </w:t>
      </w:r>
      <w:r w:rsidR="00B30497" w:rsidRPr="00713AE1">
        <w:rPr>
          <w:rFonts w:asciiTheme="minorHAnsi" w:hAnsiTheme="minorHAnsi"/>
          <w:spacing w:val="-1"/>
          <w:sz w:val="22"/>
          <w:szCs w:val="22"/>
        </w:rPr>
        <w:t>the minimum price at which a treasury share may be re-allotted off-market shall be an amount equal to 95 per cent. of the Appropriate Price;</w:t>
      </w:r>
    </w:p>
    <w:p w14:paraId="39260FED" w14:textId="77777777" w:rsidR="00B30497" w:rsidRPr="00713AE1" w:rsidRDefault="00B30497" w:rsidP="00713AE1">
      <w:pPr>
        <w:pStyle w:val="BodyText"/>
        <w:keepLines/>
        <w:spacing w:line="276" w:lineRule="auto"/>
        <w:ind w:left="1134" w:right="85"/>
        <w:rPr>
          <w:rFonts w:asciiTheme="minorHAnsi" w:hAnsiTheme="minorHAnsi"/>
          <w:spacing w:val="-1"/>
          <w:sz w:val="22"/>
          <w:szCs w:val="22"/>
        </w:rPr>
      </w:pPr>
    </w:p>
    <w:p w14:paraId="043DD2D0" w14:textId="77777777" w:rsidR="00B30497" w:rsidRPr="00713AE1" w:rsidRDefault="00B30497" w:rsidP="00713AE1">
      <w:pPr>
        <w:pStyle w:val="BodyText"/>
        <w:keepLines/>
        <w:numPr>
          <w:ilvl w:val="0"/>
          <w:numId w:val="6"/>
        </w:numPr>
        <w:spacing w:line="276" w:lineRule="auto"/>
        <w:ind w:right="85"/>
        <w:jc w:val="both"/>
        <w:rPr>
          <w:rFonts w:asciiTheme="minorHAnsi" w:hAnsiTheme="minorHAnsi"/>
          <w:spacing w:val="-1"/>
          <w:sz w:val="22"/>
          <w:szCs w:val="22"/>
        </w:rPr>
      </w:pPr>
      <w:r w:rsidRPr="00713AE1">
        <w:rPr>
          <w:rFonts w:asciiTheme="minorHAnsi" w:hAnsiTheme="minorHAnsi"/>
          <w:spacing w:val="-1"/>
          <w:sz w:val="22"/>
          <w:szCs w:val="22"/>
        </w:rPr>
        <w:lastRenderedPageBreak/>
        <w:t>for the purposes of this resolution the expression “</w:t>
      </w:r>
      <w:r w:rsidRPr="00713AE1">
        <w:rPr>
          <w:rFonts w:asciiTheme="minorHAnsi" w:hAnsiTheme="minorHAnsi"/>
          <w:b/>
          <w:spacing w:val="-1"/>
          <w:sz w:val="22"/>
          <w:szCs w:val="22"/>
        </w:rPr>
        <w:t>Appropriate Price</w:t>
      </w:r>
      <w:r w:rsidRPr="00713AE1">
        <w:rPr>
          <w:rFonts w:asciiTheme="minorHAnsi" w:hAnsiTheme="minorHAnsi"/>
          <w:spacing w:val="-1"/>
          <w:sz w:val="22"/>
          <w:szCs w:val="22"/>
        </w:rPr>
        <w:t>” shall mean the average of the five amounts resulting from determining whichever of the following ((i), (ii) or (iii) specified below) in respect of Ordinary Shares shall be appropriate for each of the five business days immediately preceding the day on which such treasury share is re-allotted, as determined from information published in the Euronext Dublin Daily Official List (or any successor publication thereto or any equivalent publication for securities admitted to trading on the Euronext Growth Market) reporting the business done on each of those five business days:</w:t>
      </w:r>
    </w:p>
    <w:p w14:paraId="52CD35A0" w14:textId="77777777" w:rsidR="00B30497" w:rsidRPr="00713AE1" w:rsidRDefault="00B30497" w:rsidP="00713AE1">
      <w:pPr>
        <w:pStyle w:val="BodyText"/>
        <w:keepLines/>
        <w:spacing w:line="276" w:lineRule="auto"/>
        <w:ind w:left="1134" w:right="85"/>
        <w:jc w:val="both"/>
        <w:rPr>
          <w:rFonts w:asciiTheme="minorHAnsi" w:hAnsiTheme="minorHAnsi"/>
          <w:spacing w:val="-1"/>
          <w:sz w:val="22"/>
          <w:szCs w:val="22"/>
        </w:rPr>
      </w:pPr>
    </w:p>
    <w:p w14:paraId="258F2094" w14:textId="3AEA8460" w:rsidR="00B30497" w:rsidRPr="00713AE1" w:rsidRDefault="009F70E5" w:rsidP="00875F33">
      <w:pPr>
        <w:pStyle w:val="BodyText"/>
        <w:keepLines/>
        <w:spacing w:line="276" w:lineRule="auto"/>
        <w:ind w:left="1552" w:right="85"/>
        <w:jc w:val="both"/>
        <w:rPr>
          <w:rFonts w:asciiTheme="minorHAnsi" w:hAnsiTheme="minorHAnsi"/>
          <w:spacing w:val="-1"/>
          <w:sz w:val="22"/>
          <w:szCs w:val="22"/>
        </w:rPr>
      </w:pPr>
      <w:r>
        <w:rPr>
          <w:rFonts w:asciiTheme="minorHAnsi" w:hAnsiTheme="minorHAnsi"/>
          <w:spacing w:val="-1"/>
          <w:sz w:val="22"/>
          <w:szCs w:val="22"/>
        </w:rPr>
        <w:t xml:space="preserve">(i) </w:t>
      </w:r>
      <w:r w:rsidR="00B30497" w:rsidRPr="00713AE1">
        <w:rPr>
          <w:rFonts w:asciiTheme="minorHAnsi" w:hAnsiTheme="minorHAnsi"/>
          <w:spacing w:val="-1"/>
          <w:sz w:val="22"/>
          <w:szCs w:val="22"/>
        </w:rPr>
        <w:t>if there shall be more than one dealing reported for the day, the average of the prices at which such dealings took place; or</w:t>
      </w:r>
    </w:p>
    <w:p w14:paraId="7EE1A55A" w14:textId="77777777" w:rsidR="00B30497" w:rsidRPr="00713AE1" w:rsidRDefault="00B30497" w:rsidP="00713AE1">
      <w:pPr>
        <w:pStyle w:val="BodyText"/>
        <w:keepLines/>
        <w:spacing w:line="276" w:lineRule="auto"/>
        <w:ind w:left="1552" w:right="85"/>
        <w:jc w:val="both"/>
        <w:rPr>
          <w:rFonts w:asciiTheme="minorHAnsi" w:hAnsiTheme="minorHAnsi"/>
          <w:spacing w:val="-1"/>
          <w:sz w:val="22"/>
          <w:szCs w:val="22"/>
        </w:rPr>
      </w:pPr>
    </w:p>
    <w:p w14:paraId="31917ADD" w14:textId="205733BA" w:rsidR="00B30497" w:rsidRPr="00713AE1" w:rsidRDefault="009F70E5" w:rsidP="00875F33">
      <w:pPr>
        <w:pStyle w:val="BodyText"/>
        <w:keepLines/>
        <w:spacing w:line="276" w:lineRule="auto"/>
        <w:ind w:left="1552" w:right="85"/>
        <w:jc w:val="both"/>
        <w:rPr>
          <w:rFonts w:asciiTheme="minorHAnsi" w:hAnsiTheme="minorHAnsi"/>
          <w:spacing w:val="-1"/>
          <w:sz w:val="22"/>
          <w:szCs w:val="22"/>
        </w:rPr>
      </w:pPr>
      <w:r>
        <w:rPr>
          <w:rFonts w:asciiTheme="minorHAnsi" w:hAnsiTheme="minorHAnsi"/>
          <w:spacing w:val="-1"/>
          <w:sz w:val="22"/>
          <w:szCs w:val="22"/>
        </w:rPr>
        <w:t xml:space="preserve">(ii) </w:t>
      </w:r>
      <w:r w:rsidR="00B30497" w:rsidRPr="00713AE1">
        <w:rPr>
          <w:rFonts w:asciiTheme="minorHAnsi" w:hAnsiTheme="minorHAnsi"/>
          <w:spacing w:val="-1"/>
          <w:sz w:val="22"/>
          <w:szCs w:val="22"/>
        </w:rPr>
        <w:t>if there shall be only one dealing reported for the day, the price at which such dealing took place; or</w:t>
      </w:r>
    </w:p>
    <w:p w14:paraId="35232BDB" w14:textId="77777777" w:rsidR="00B30497" w:rsidRPr="00713AE1" w:rsidRDefault="00B30497" w:rsidP="00713AE1">
      <w:pPr>
        <w:pStyle w:val="ListParagraph"/>
        <w:keepLines/>
        <w:spacing w:line="276" w:lineRule="auto"/>
        <w:ind w:right="85"/>
        <w:rPr>
          <w:spacing w:val="-1"/>
          <w:sz w:val="22"/>
          <w:szCs w:val="22"/>
        </w:rPr>
      </w:pPr>
    </w:p>
    <w:p w14:paraId="2156338C" w14:textId="510ECAA9" w:rsidR="00B30497" w:rsidRPr="00713AE1" w:rsidRDefault="009F70E5" w:rsidP="00875F33">
      <w:pPr>
        <w:pStyle w:val="BodyText"/>
        <w:keepLines/>
        <w:spacing w:line="276" w:lineRule="auto"/>
        <w:ind w:left="1552" w:right="85"/>
        <w:jc w:val="both"/>
        <w:rPr>
          <w:rFonts w:asciiTheme="minorHAnsi" w:hAnsiTheme="minorHAnsi"/>
          <w:spacing w:val="-1"/>
          <w:sz w:val="22"/>
          <w:szCs w:val="22"/>
        </w:rPr>
      </w:pPr>
      <w:r>
        <w:rPr>
          <w:rFonts w:asciiTheme="minorHAnsi" w:hAnsiTheme="minorHAnsi"/>
          <w:spacing w:val="-1"/>
          <w:sz w:val="22"/>
          <w:szCs w:val="22"/>
        </w:rPr>
        <w:t xml:space="preserve">(iii) </w:t>
      </w:r>
      <w:r w:rsidR="00B30497" w:rsidRPr="00713AE1">
        <w:rPr>
          <w:rFonts w:asciiTheme="minorHAnsi" w:hAnsiTheme="minorHAnsi"/>
          <w:spacing w:val="-1"/>
          <w:sz w:val="22"/>
          <w:szCs w:val="22"/>
        </w:rPr>
        <w:t>if there shall not be any dealing reported for the day, the average of the closing bid and offer prices for the day:</w:t>
      </w:r>
    </w:p>
    <w:p w14:paraId="0304442D" w14:textId="77777777" w:rsidR="00B30497" w:rsidRPr="00713AE1" w:rsidRDefault="00B30497" w:rsidP="00713AE1">
      <w:pPr>
        <w:pStyle w:val="BodyText"/>
        <w:keepLines/>
        <w:spacing w:line="276" w:lineRule="auto"/>
        <w:ind w:left="1552" w:right="85"/>
        <w:jc w:val="both"/>
        <w:rPr>
          <w:rFonts w:asciiTheme="minorHAnsi" w:hAnsiTheme="minorHAnsi"/>
          <w:spacing w:val="-1"/>
          <w:sz w:val="22"/>
          <w:szCs w:val="22"/>
        </w:rPr>
      </w:pPr>
    </w:p>
    <w:p w14:paraId="55B81C4E" w14:textId="77777777" w:rsidR="00B30497" w:rsidRPr="00713AE1" w:rsidRDefault="00B30497" w:rsidP="00713AE1">
      <w:pPr>
        <w:pStyle w:val="BodyText"/>
        <w:keepLines/>
        <w:spacing w:line="276" w:lineRule="auto"/>
        <w:ind w:left="1134" w:right="85"/>
        <w:jc w:val="both"/>
        <w:rPr>
          <w:rFonts w:asciiTheme="minorHAnsi" w:hAnsiTheme="minorHAnsi"/>
          <w:spacing w:val="-1"/>
          <w:sz w:val="22"/>
          <w:szCs w:val="22"/>
        </w:rPr>
      </w:pPr>
      <w:r w:rsidRPr="00713AE1">
        <w:rPr>
          <w:rFonts w:asciiTheme="minorHAnsi" w:hAnsiTheme="minorHAnsi"/>
          <w:spacing w:val="-1"/>
          <w:sz w:val="22"/>
          <w:szCs w:val="22"/>
        </w:rPr>
        <w:t>and if there shall be only a bid (but not an offer) price or an offer (but not a bid) price reported, or if there shall not be any bid or offer price reported, for any particular day, then that day shall not be treated as a business day for the purposes of this sub-paragraph (b); provided that if for any reason it shall be impossible or impracticable to determine an appropriate amount for any of those five days on the above basis, the Directors may, if they think fit and having taken into account the prices at which recent dealings in such shares have taken place, determine an amount for such day and the amount so determined shall be deemed to be appropriate for that day for the purposes of calculating the Appropriate Price; and if the means of providing the foregoing information as to dealings and prices by reference to which the Appropriate Price is to be determined is altered or is replaced by some other means, then the Appropriate Price shall be determined on the basis of the equivalent information published by the relevant authority in relation to dealings on the Euronext Dublin or its equivalent; and</w:t>
      </w:r>
    </w:p>
    <w:p w14:paraId="1322D1C1" w14:textId="77777777" w:rsidR="00B30497" w:rsidRPr="00713AE1" w:rsidRDefault="00B30497" w:rsidP="00713AE1">
      <w:pPr>
        <w:pStyle w:val="BodyText"/>
        <w:keepLines/>
        <w:spacing w:line="276" w:lineRule="auto"/>
        <w:ind w:left="1134" w:right="85"/>
        <w:jc w:val="both"/>
        <w:rPr>
          <w:rFonts w:asciiTheme="minorHAnsi" w:hAnsiTheme="minorHAnsi"/>
          <w:spacing w:val="-1"/>
          <w:sz w:val="22"/>
          <w:szCs w:val="22"/>
        </w:rPr>
      </w:pPr>
    </w:p>
    <w:p w14:paraId="39D5956E" w14:textId="77777777" w:rsidR="00B30497" w:rsidRPr="00713AE1" w:rsidRDefault="00B30497" w:rsidP="00713AE1">
      <w:pPr>
        <w:pStyle w:val="BodyText"/>
        <w:keepLines/>
        <w:numPr>
          <w:ilvl w:val="0"/>
          <w:numId w:val="6"/>
        </w:numPr>
        <w:spacing w:line="276" w:lineRule="auto"/>
        <w:ind w:right="85"/>
        <w:jc w:val="both"/>
        <w:rPr>
          <w:rFonts w:asciiTheme="minorHAnsi" w:hAnsiTheme="minorHAnsi"/>
          <w:spacing w:val="-1"/>
          <w:sz w:val="22"/>
          <w:szCs w:val="22"/>
        </w:rPr>
      </w:pPr>
      <w:r w:rsidRPr="00713AE1">
        <w:rPr>
          <w:rFonts w:asciiTheme="minorHAnsi" w:hAnsiTheme="minorHAnsi"/>
          <w:spacing w:val="-1"/>
          <w:sz w:val="22"/>
          <w:szCs w:val="22"/>
        </w:rPr>
        <w:t>the authority hereby conferred shall expire on</w:t>
      </w:r>
      <w:r w:rsidRPr="00713AE1">
        <w:rPr>
          <w:rFonts w:asciiTheme="minorHAnsi" w:hAnsiTheme="minorHAnsi"/>
          <w:spacing w:val="12"/>
          <w:sz w:val="22"/>
          <w:szCs w:val="22"/>
        </w:rPr>
        <w:t xml:space="preserve"> </w:t>
      </w:r>
      <w:r w:rsidRPr="00713AE1">
        <w:rPr>
          <w:rFonts w:asciiTheme="minorHAnsi" w:hAnsiTheme="minorHAnsi"/>
          <w:sz w:val="22"/>
          <w:szCs w:val="22"/>
        </w:rPr>
        <w:t>close</w:t>
      </w:r>
      <w:r w:rsidRPr="00713AE1">
        <w:rPr>
          <w:rFonts w:asciiTheme="minorHAnsi" w:hAnsiTheme="minorHAnsi"/>
          <w:spacing w:val="12"/>
          <w:sz w:val="22"/>
          <w:szCs w:val="22"/>
        </w:rPr>
        <w:t xml:space="preserve"> </w:t>
      </w:r>
      <w:r w:rsidRPr="00713AE1">
        <w:rPr>
          <w:rFonts w:asciiTheme="minorHAnsi" w:hAnsiTheme="minorHAnsi"/>
          <w:spacing w:val="-1"/>
          <w:sz w:val="22"/>
          <w:szCs w:val="22"/>
        </w:rPr>
        <w:t>of</w:t>
      </w:r>
      <w:r w:rsidRPr="00713AE1">
        <w:rPr>
          <w:rFonts w:asciiTheme="minorHAnsi" w:hAnsiTheme="minorHAnsi"/>
          <w:spacing w:val="11"/>
          <w:sz w:val="22"/>
          <w:szCs w:val="22"/>
        </w:rPr>
        <w:t xml:space="preserve"> </w:t>
      </w:r>
      <w:r w:rsidRPr="00713AE1">
        <w:rPr>
          <w:rFonts w:asciiTheme="minorHAnsi" w:hAnsiTheme="minorHAnsi"/>
          <w:spacing w:val="-1"/>
          <w:sz w:val="22"/>
          <w:szCs w:val="22"/>
        </w:rPr>
        <w:t>business</w:t>
      </w:r>
      <w:r w:rsidRPr="00713AE1">
        <w:rPr>
          <w:rFonts w:asciiTheme="minorHAnsi" w:hAnsiTheme="minorHAnsi"/>
          <w:spacing w:val="12"/>
          <w:sz w:val="22"/>
          <w:szCs w:val="22"/>
        </w:rPr>
        <w:t xml:space="preserve"> </w:t>
      </w:r>
      <w:r w:rsidRPr="00713AE1">
        <w:rPr>
          <w:rFonts w:asciiTheme="minorHAnsi" w:hAnsiTheme="minorHAnsi"/>
          <w:spacing w:val="-1"/>
          <w:sz w:val="22"/>
          <w:szCs w:val="22"/>
        </w:rPr>
        <w:t>on</w:t>
      </w:r>
      <w:r w:rsidRPr="00713AE1">
        <w:rPr>
          <w:rFonts w:asciiTheme="minorHAnsi" w:hAnsiTheme="minorHAnsi"/>
          <w:spacing w:val="12"/>
          <w:sz w:val="22"/>
          <w:szCs w:val="22"/>
        </w:rPr>
        <w:t xml:space="preserve"> </w:t>
      </w:r>
      <w:r w:rsidRPr="00713AE1">
        <w:rPr>
          <w:rFonts w:asciiTheme="minorHAnsi" w:hAnsiTheme="minorHAnsi"/>
          <w:sz w:val="22"/>
          <w:szCs w:val="22"/>
        </w:rPr>
        <w:t>the</w:t>
      </w:r>
      <w:r w:rsidRPr="00713AE1">
        <w:rPr>
          <w:rFonts w:asciiTheme="minorHAnsi" w:hAnsiTheme="minorHAnsi"/>
          <w:spacing w:val="11"/>
          <w:sz w:val="22"/>
          <w:szCs w:val="22"/>
        </w:rPr>
        <w:t xml:space="preserve"> </w:t>
      </w:r>
      <w:r w:rsidRPr="00713AE1">
        <w:rPr>
          <w:rFonts w:asciiTheme="minorHAnsi" w:hAnsiTheme="minorHAnsi"/>
          <w:spacing w:val="-1"/>
          <w:sz w:val="22"/>
          <w:szCs w:val="22"/>
        </w:rPr>
        <w:t>date</w:t>
      </w:r>
      <w:r w:rsidRPr="00713AE1">
        <w:rPr>
          <w:rFonts w:asciiTheme="minorHAnsi" w:hAnsiTheme="minorHAnsi"/>
          <w:spacing w:val="12"/>
          <w:sz w:val="22"/>
          <w:szCs w:val="22"/>
        </w:rPr>
        <w:t xml:space="preserve"> </w:t>
      </w:r>
      <w:r w:rsidRPr="00713AE1">
        <w:rPr>
          <w:rFonts w:asciiTheme="minorHAnsi" w:hAnsiTheme="minorHAnsi"/>
          <w:spacing w:val="-1"/>
          <w:sz w:val="22"/>
          <w:szCs w:val="22"/>
        </w:rPr>
        <w:t>of</w:t>
      </w:r>
      <w:r w:rsidRPr="00713AE1">
        <w:rPr>
          <w:rFonts w:asciiTheme="minorHAnsi" w:hAnsiTheme="minorHAnsi"/>
          <w:spacing w:val="12"/>
          <w:sz w:val="22"/>
          <w:szCs w:val="22"/>
        </w:rPr>
        <w:t xml:space="preserve"> </w:t>
      </w:r>
      <w:r w:rsidRPr="00713AE1">
        <w:rPr>
          <w:rFonts w:asciiTheme="minorHAnsi" w:hAnsiTheme="minorHAnsi"/>
          <w:sz w:val="22"/>
          <w:szCs w:val="22"/>
        </w:rPr>
        <w:t>the</w:t>
      </w:r>
      <w:r w:rsidRPr="00713AE1">
        <w:rPr>
          <w:rFonts w:asciiTheme="minorHAnsi" w:hAnsiTheme="minorHAnsi"/>
          <w:spacing w:val="11"/>
          <w:sz w:val="22"/>
          <w:szCs w:val="22"/>
        </w:rPr>
        <w:t xml:space="preserve"> </w:t>
      </w:r>
      <w:r w:rsidRPr="00713AE1">
        <w:rPr>
          <w:rFonts w:asciiTheme="minorHAnsi" w:hAnsiTheme="minorHAnsi"/>
          <w:spacing w:val="-1"/>
          <w:sz w:val="22"/>
          <w:szCs w:val="22"/>
        </w:rPr>
        <w:t>next</w:t>
      </w:r>
      <w:r w:rsidRPr="00713AE1">
        <w:rPr>
          <w:rFonts w:asciiTheme="minorHAnsi" w:hAnsiTheme="minorHAnsi"/>
          <w:spacing w:val="12"/>
          <w:sz w:val="22"/>
          <w:szCs w:val="22"/>
        </w:rPr>
        <w:t xml:space="preserve"> </w:t>
      </w:r>
      <w:r w:rsidRPr="00713AE1">
        <w:rPr>
          <w:rFonts w:asciiTheme="minorHAnsi" w:hAnsiTheme="minorHAnsi"/>
          <w:spacing w:val="-1"/>
          <w:sz w:val="22"/>
          <w:szCs w:val="22"/>
        </w:rPr>
        <w:t>annual</w:t>
      </w:r>
      <w:r w:rsidRPr="00713AE1">
        <w:rPr>
          <w:rFonts w:asciiTheme="minorHAnsi" w:hAnsiTheme="minorHAnsi"/>
          <w:spacing w:val="12"/>
          <w:sz w:val="22"/>
          <w:szCs w:val="22"/>
        </w:rPr>
        <w:t xml:space="preserve"> </w:t>
      </w:r>
      <w:r w:rsidRPr="00713AE1">
        <w:rPr>
          <w:rFonts w:asciiTheme="minorHAnsi" w:hAnsiTheme="minorHAnsi"/>
          <w:spacing w:val="-1"/>
          <w:sz w:val="22"/>
          <w:szCs w:val="22"/>
        </w:rPr>
        <w:t>general</w:t>
      </w:r>
      <w:r w:rsidRPr="00713AE1">
        <w:rPr>
          <w:rFonts w:asciiTheme="minorHAnsi" w:hAnsiTheme="minorHAnsi"/>
          <w:spacing w:val="11"/>
          <w:sz w:val="22"/>
          <w:szCs w:val="22"/>
        </w:rPr>
        <w:t xml:space="preserve"> </w:t>
      </w:r>
      <w:r w:rsidRPr="00713AE1">
        <w:rPr>
          <w:rFonts w:asciiTheme="minorHAnsi" w:hAnsiTheme="minorHAnsi"/>
          <w:sz w:val="22"/>
          <w:szCs w:val="22"/>
        </w:rPr>
        <w:t>meeting</w:t>
      </w:r>
      <w:r w:rsidRPr="00713AE1">
        <w:rPr>
          <w:rFonts w:asciiTheme="minorHAnsi" w:hAnsiTheme="minorHAnsi"/>
          <w:spacing w:val="12"/>
          <w:sz w:val="22"/>
          <w:szCs w:val="22"/>
        </w:rPr>
        <w:t xml:space="preserve"> </w:t>
      </w:r>
      <w:r w:rsidRPr="00713AE1">
        <w:rPr>
          <w:rFonts w:asciiTheme="minorHAnsi" w:hAnsiTheme="minorHAnsi"/>
          <w:spacing w:val="-1"/>
          <w:sz w:val="22"/>
          <w:szCs w:val="22"/>
        </w:rPr>
        <w:t>of</w:t>
      </w:r>
      <w:r w:rsidRPr="00713AE1">
        <w:rPr>
          <w:rFonts w:asciiTheme="minorHAnsi" w:hAnsiTheme="minorHAnsi"/>
          <w:spacing w:val="12"/>
          <w:sz w:val="22"/>
          <w:szCs w:val="22"/>
        </w:rPr>
        <w:t xml:space="preserve"> </w:t>
      </w:r>
      <w:r w:rsidRPr="00713AE1">
        <w:rPr>
          <w:rFonts w:asciiTheme="minorHAnsi" w:hAnsiTheme="minorHAnsi"/>
          <w:sz w:val="22"/>
          <w:szCs w:val="22"/>
        </w:rPr>
        <w:t>the</w:t>
      </w:r>
      <w:r w:rsidRPr="00713AE1">
        <w:rPr>
          <w:rFonts w:asciiTheme="minorHAnsi" w:hAnsiTheme="minorHAnsi"/>
          <w:spacing w:val="27"/>
          <w:sz w:val="22"/>
          <w:szCs w:val="22"/>
        </w:rPr>
        <w:t xml:space="preserve"> </w:t>
      </w:r>
      <w:r w:rsidRPr="00713AE1">
        <w:rPr>
          <w:rFonts w:asciiTheme="minorHAnsi" w:hAnsiTheme="minorHAnsi"/>
          <w:spacing w:val="-1"/>
          <w:sz w:val="22"/>
          <w:szCs w:val="22"/>
        </w:rPr>
        <w:t>Company</w:t>
      </w:r>
      <w:r w:rsidRPr="00713AE1">
        <w:rPr>
          <w:rFonts w:asciiTheme="minorHAnsi" w:hAnsiTheme="minorHAnsi"/>
          <w:spacing w:val="8"/>
          <w:sz w:val="22"/>
          <w:szCs w:val="22"/>
        </w:rPr>
        <w:t xml:space="preserve"> </w:t>
      </w:r>
      <w:r w:rsidRPr="00713AE1">
        <w:rPr>
          <w:rFonts w:asciiTheme="minorHAnsi" w:hAnsiTheme="minorHAnsi"/>
          <w:spacing w:val="-1"/>
          <w:sz w:val="22"/>
          <w:szCs w:val="22"/>
        </w:rPr>
        <w:t>after</w:t>
      </w:r>
      <w:r w:rsidRPr="00713AE1">
        <w:rPr>
          <w:rFonts w:asciiTheme="minorHAnsi" w:hAnsiTheme="minorHAnsi"/>
          <w:spacing w:val="9"/>
          <w:sz w:val="22"/>
          <w:szCs w:val="22"/>
        </w:rPr>
        <w:t xml:space="preserve"> </w:t>
      </w:r>
      <w:r w:rsidRPr="00713AE1">
        <w:rPr>
          <w:rFonts w:asciiTheme="minorHAnsi" w:hAnsiTheme="minorHAnsi"/>
          <w:sz w:val="22"/>
          <w:szCs w:val="22"/>
        </w:rPr>
        <w:t>the</w:t>
      </w:r>
      <w:r w:rsidRPr="00713AE1">
        <w:rPr>
          <w:rFonts w:asciiTheme="minorHAnsi" w:hAnsiTheme="minorHAnsi"/>
          <w:spacing w:val="7"/>
          <w:sz w:val="22"/>
          <w:szCs w:val="22"/>
        </w:rPr>
        <w:t xml:space="preserve"> </w:t>
      </w:r>
      <w:r w:rsidRPr="00713AE1">
        <w:rPr>
          <w:rFonts w:asciiTheme="minorHAnsi" w:hAnsiTheme="minorHAnsi"/>
          <w:spacing w:val="-1"/>
          <w:sz w:val="22"/>
          <w:szCs w:val="22"/>
        </w:rPr>
        <w:t>date</w:t>
      </w:r>
      <w:r w:rsidRPr="00713AE1">
        <w:rPr>
          <w:rFonts w:asciiTheme="minorHAnsi" w:hAnsiTheme="minorHAnsi"/>
          <w:spacing w:val="9"/>
          <w:sz w:val="22"/>
          <w:szCs w:val="22"/>
        </w:rPr>
        <w:t xml:space="preserve"> </w:t>
      </w:r>
      <w:r w:rsidRPr="00713AE1">
        <w:rPr>
          <w:rFonts w:asciiTheme="minorHAnsi" w:hAnsiTheme="minorHAnsi"/>
          <w:spacing w:val="-1"/>
          <w:sz w:val="22"/>
          <w:szCs w:val="22"/>
        </w:rPr>
        <w:t>of</w:t>
      </w:r>
      <w:r w:rsidRPr="00713AE1">
        <w:rPr>
          <w:rFonts w:asciiTheme="minorHAnsi" w:hAnsiTheme="minorHAnsi"/>
          <w:spacing w:val="8"/>
          <w:sz w:val="22"/>
          <w:szCs w:val="22"/>
        </w:rPr>
        <w:t xml:space="preserve"> </w:t>
      </w:r>
      <w:r w:rsidRPr="00713AE1">
        <w:rPr>
          <w:rFonts w:asciiTheme="minorHAnsi" w:hAnsiTheme="minorHAnsi"/>
          <w:spacing w:val="-1"/>
          <w:sz w:val="22"/>
          <w:szCs w:val="22"/>
        </w:rPr>
        <w:t>passing</w:t>
      </w:r>
      <w:r w:rsidRPr="00713AE1">
        <w:rPr>
          <w:rFonts w:asciiTheme="minorHAnsi" w:hAnsiTheme="minorHAnsi"/>
          <w:spacing w:val="9"/>
          <w:sz w:val="22"/>
          <w:szCs w:val="22"/>
        </w:rPr>
        <w:t xml:space="preserve"> </w:t>
      </w:r>
      <w:r w:rsidRPr="00713AE1">
        <w:rPr>
          <w:rFonts w:asciiTheme="minorHAnsi" w:hAnsiTheme="minorHAnsi"/>
          <w:sz w:val="22"/>
          <w:szCs w:val="22"/>
        </w:rPr>
        <w:t>this</w:t>
      </w:r>
      <w:r w:rsidRPr="00713AE1">
        <w:rPr>
          <w:rFonts w:asciiTheme="minorHAnsi" w:hAnsiTheme="minorHAnsi"/>
          <w:spacing w:val="7"/>
          <w:sz w:val="22"/>
          <w:szCs w:val="22"/>
        </w:rPr>
        <w:t xml:space="preserve"> </w:t>
      </w:r>
      <w:r w:rsidRPr="00713AE1">
        <w:rPr>
          <w:rFonts w:asciiTheme="minorHAnsi" w:hAnsiTheme="minorHAnsi"/>
          <w:spacing w:val="-1"/>
          <w:sz w:val="22"/>
          <w:szCs w:val="22"/>
        </w:rPr>
        <w:t>resolution</w:t>
      </w:r>
      <w:r w:rsidRPr="00713AE1">
        <w:rPr>
          <w:rFonts w:asciiTheme="minorHAnsi" w:hAnsiTheme="minorHAnsi"/>
          <w:spacing w:val="9"/>
          <w:sz w:val="22"/>
          <w:szCs w:val="22"/>
        </w:rPr>
        <w:t xml:space="preserve"> </w:t>
      </w:r>
      <w:r w:rsidRPr="00713AE1">
        <w:rPr>
          <w:rFonts w:asciiTheme="minorHAnsi" w:hAnsiTheme="minorHAnsi"/>
          <w:spacing w:val="-1"/>
          <w:sz w:val="22"/>
          <w:szCs w:val="22"/>
        </w:rPr>
        <w:t>or</w:t>
      </w:r>
      <w:r w:rsidRPr="00713AE1">
        <w:rPr>
          <w:rFonts w:asciiTheme="minorHAnsi" w:hAnsiTheme="minorHAnsi"/>
          <w:spacing w:val="8"/>
          <w:sz w:val="22"/>
          <w:szCs w:val="22"/>
        </w:rPr>
        <w:t xml:space="preserve"> </w:t>
      </w:r>
      <w:r w:rsidRPr="00713AE1">
        <w:rPr>
          <w:rFonts w:asciiTheme="minorHAnsi" w:hAnsiTheme="minorHAnsi"/>
          <w:sz w:val="22"/>
          <w:szCs w:val="22"/>
        </w:rPr>
        <w:t>the</w:t>
      </w:r>
      <w:r w:rsidRPr="00713AE1">
        <w:rPr>
          <w:rFonts w:asciiTheme="minorHAnsi" w:hAnsiTheme="minorHAnsi"/>
          <w:spacing w:val="8"/>
          <w:sz w:val="22"/>
          <w:szCs w:val="22"/>
        </w:rPr>
        <w:t xml:space="preserve"> </w:t>
      </w:r>
      <w:r w:rsidRPr="00713AE1">
        <w:rPr>
          <w:rFonts w:asciiTheme="minorHAnsi" w:hAnsiTheme="minorHAnsi"/>
          <w:spacing w:val="-1"/>
          <w:sz w:val="22"/>
          <w:szCs w:val="22"/>
        </w:rPr>
        <w:t>date</w:t>
      </w:r>
      <w:r w:rsidRPr="00713AE1">
        <w:rPr>
          <w:rFonts w:asciiTheme="minorHAnsi" w:hAnsiTheme="minorHAnsi"/>
          <w:spacing w:val="8"/>
          <w:sz w:val="22"/>
          <w:szCs w:val="22"/>
        </w:rPr>
        <w:t xml:space="preserve"> </w:t>
      </w:r>
      <w:r w:rsidRPr="00713AE1">
        <w:rPr>
          <w:rFonts w:asciiTheme="minorHAnsi" w:hAnsiTheme="minorHAnsi"/>
          <w:spacing w:val="-1"/>
          <w:sz w:val="22"/>
          <w:szCs w:val="22"/>
        </w:rPr>
        <w:t>which</w:t>
      </w:r>
      <w:r w:rsidRPr="00713AE1">
        <w:rPr>
          <w:rFonts w:asciiTheme="minorHAnsi" w:hAnsiTheme="minorHAnsi"/>
          <w:spacing w:val="9"/>
          <w:sz w:val="22"/>
          <w:szCs w:val="22"/>
        </w:rPr>
        <w:t xml:space="preserve"> </w:t>
      </w:r>
      <w:r w:rsidRPr="00713AE1">
        <w:rPr>
          <w:rFonts w:asciiTheme="minorHAnsi" w:hAnsiTheme="minorHAnsi"/>
          <w:spacing w:val="-1"/>
          <w:sz w:val="22"/>
          <w:szCs w:val="22"/>
        </w:rPr>
        <w:t>is</w:t>
      </w:r>
      <w:r w:rsidRPr="00713AE1">
        <w:rPr>
          <w:rFonts w:asciiTheme="minorHAnsi" w:hAnsiTheme="minorHAnsi"/>
          <w:spacing w:val="8"/>
          <w:sz w:val="22"/>
          <w:szCs w:val="22"/>
        </w:rPr>
        <w:t xml:space="preserve"> </w:t>
      </w:r>
      <w:r w:rsidRPr="00713AE1">
        <w:rPr>
          <w:rFonts w:asciiTheme="minorHAnsi" w:hAnsiTheme="minorHAnsi"/>
          <w:spacing w:val="-1"/>
          <w:sz w:val="22"/>
          <w:szCs w:val="22"/>
        </w:rPr>
        <w:t>15</w:t>
      </w:r>
      <w:r w:rsidRPr="00713AE1">
        <w:rPr>
          <w:rFonts w:asciiTheme="minorHAnsi" w:hAnsiTheme="minorHAnsi"/>
          <w:spacing w:val="9"/>
          <w:sz w:val="22"/>
          <w:szCs w:val="22"/>
        </w:rPr>
        <w:t xml:space="preserve"> </w:t>
      </w:r>
      <w:r w:rsidRPr="00713AE1">
        <w:rPr>
          <w:rFonts w:asciiTheme="minorHAnsi" w:hAnsiTheme="minorHAnsi"/>
          <w:sz w:val="22"/>
          <w:szCs w:val="22"/>
        </w:rPr>
        <w:t>calendar</w:t>
      </w:r>
      <w:r w:rsidRPr="00713AE1">
        <w:rPr>
          <w:rFonts w:asciiTheme="minorHAnsi" w:hAnsiTheme="minorHAnsi"/>
          <w:spacing w:val="7"/>
          <w:sz w:val="22"/>
          <w:szCs w:val="22"/>
        </w:rPr>
        <w:t xml:space="preserve"> </w:t>
      </w:r>
      <w:r w:rsidRPr="00713AE1">
        <w:rPr>
          <w:rFonts w:asciiTheme="minorHAnsi" w:hAnsiTheme="minorHAnsi"/>
          <w:sz w:val="22"/>
          <w:szCs w:val="22"/>
        </w:rPr>
        <w:t>months</w:t>
      </w:r>
      <w:r w:rsidRPr="00713AE1">
        <w:rPr>
          <w:rFonts w:asciiTheme="minorHAnsi" w:hAnsiTheme="minorHAnsi"/>
          <w:spacing w:val="9"/>
          <w:sz w:val="22"/>
          <w:szCs w:val="22"/>
        </w:rPr>
        <w:t xml:space="preserve"> </w:t>
      </w:r>
      <w:r w:rsidRPr="00713AE1">
        <w:rPr>
          <w:rFonts w:asciiTheme="minorHAnsi" w:hAnsiTheme="minorHAnsi"/>
          <w:spacing w:val="-1"/>
          <w:sz w:val="22"/>
          <w:szCs w:val="22"/>
        </w:rPr>
        <w:t>after</w:t>
      </w:r>
      <w:r w:rsidRPr="00713AE1">
        <w:rPr>
          <w:rFonts w:asciiTheme="minorHAnsi" w:hAnsiTheme="minorHAnsi"/>
          <w:spacing w:val="8"/>
          <w:sz w:val="22"/>
          <w:szCs w:val="22"/>
        </w:rPr>
        <w:t xml:space="preserve"> </w:t>
      </w:r>
      <w:r w:rsidRPr="00713AE1">
        <w:rPr>
          <w:rFonts w:asciiTheme="minorHAnsi" w:hAnsiTheme="minorHAnsi"/>
          <w:sz w:val="22"/>
          <w:szCs w:val="22"/>
        </w:rPr>
        <w:t>the</w:t>
      </w:r>
      <w:r w:rsidRPr="00713AE1">
        <w:rPr>
          <w:rFonts w:asciiTheme="minorHAnsi" w:hAnsiTheme="minorHAnsi"/>
          <w:spacing w:val="8"/>
          <w:sz w:val="22"/>
          <w:szCs w:val="22"/>
        </w:rPr>
        <w:t xml:space="preserve"> </w:t>
      </w:r>
      <w:r w:rsidRPr="00713AE1">
        <w:rPr>
          <w:rFonts w:asciiTheme="minorHAnsi" w:hAnsiTheme="minorHAnsi"/>
          <w:spacing w:val="-1"/>
          <w:sz w:val="22"/>
          <w:szCs w:val="22"/>
        </w:rPr>
        <w:t>date</w:t>
      </w:r>
      <w:r w:rsidRPr="00713AE1">
        <w:rPr>
          <w:rFonts w:asciiTheme="minorHAnsi" w:hAnsiTheme="minorHAnsi"/>
          <w:spacing w:val="9"/>
          <w:sz w:val="22"/>
          <w:szCs w:val="22"/>
        </w:rPr>
        <w:t xml:space="preserve"> </w:t>
      </w:r>
      <w:r w:rsidRPr="00713AE1">
        <w:rPr>
          <w:rFonts w:asciiTheme="minorHAnsi" w:hAnsiTheme="minorHAnsi"/>
          <w:spacing w:val="-1"/>
          <w:sz w:val="22"/>
          <w:szCs w:val="22"/>
        </w:rPr>
        <w:t>of</w:t>
      </w:r>
      <w:r w:rsidRPr="00713AE1">
        <w:rPr>
          <w:rFonts w:asciiTheme="minorHAnsi" w:hAnsiTheme="minorHAnsi"/>
          <w:spacing w:val="8"/>
          <w:sz w:val="22"/>
          <w:szCs w:val="22"/>
        </w:rPr>
        <w:t xml:space="preserve"> </w:t>
      </w:r>
      <w:r w:rsidRPr="00713AE1">
        <w:rPr>
          <w:rFonts w:asciiTheme="minorHAnsi" w:hAnsiTheme="minorHAnsi"/>
          <w:spacing w:val="-1"/>
          <w:sz w:val="22"/>
          <w:szCs w:val="22"/>
        </w:rPr>
        <w:t>passing</w:t>
      </w:r>
      <w:r w:rsidRPr="00713AE1">
        <w:rPr>
          <w:rFonts w:asciiTheme="minorHAnsi" w:hAnsiTheme="minorHAnsi"/>
          <w:spacing w:val="28"/>
          <w:sz w:val="22"/>
          <w:szCs w:val="22"/>
        </w:rPr>
        <w:t xml:space="preserve"> of </w:t>
      </w:r>
      <w:r w:rsidRPr="00713AE1">
        <w:rPr>
          <w:rFonts w:asciiTheme="minorHAnsi" w:hAnsiTheme="minorHAnsi"/>
          <w:sz w:val="22"/>
          <w:szCs w:val="22"/>
        </w:rPr>
        <w:t>this</w:t>
      </w:r>
      <w:r w:rsidRPr="00713AE1">
        <w:rPr>
          <w:rFonts w:asciiTheme="minorHAnsi" w:hAnsiTheme="minorHAnsi"/>
          <w:spacing w:val="14"/>
          <w:sz w:val="22"/>
          <w:szCs w:val="22"/>
        </w:rPr>
        <w:t xml:space="preserve"> </w:t>
      </w:r>
      <w:r w:rsidRPr="00713AE1">
        <w:rPr>
          <w:rFonts w:asciiTheme="minorHAnsi" w:hAnsiTheme="minorHAnsi"/>
          <w:spacing w:val="-1"/>
          <w:sz w:val="22"/>
          <w:szCs w:val="22"/>
        </w:rPr>
        <w:t>resolution</w:t>
      </w:r>
      <w:r w:rsidRPr="00713AE1">
        <w:rPr>
          <w:rFonts w:asciiTheme="minorHAnsi" w:hAnsiTheme="minorHAnsi"/>
          <w:spacing w:val="14"/>
          <w:sz w:val="22"/>
          <w:szCs w:val="22"/>
        </w:rPr>
        <w:t xml:space="preserve"> </w:t>
      </w:r>
      <w:r w:rsidRPr="00713AE1">
        <w:rPr>
          <w:rFonts w:asciiTheme="minorHAnsi" w:hAnsiTheme="minorHAnsi"/>
          <w:sz w:val="22"/>
          <w:szCs w:val="22"/>
        </w:rPr>
        <w:t>(whichever</w:t>
      </w:r>
      <w:r w:rsidRPr="00713AE1">
        <w:rPr>
          <w:rFonts w:asciiTheme="minorHAnsi" w:hAnsiTheme="minorHAnsi"/>
          <w:spacing w:val="14"/>
          <w:sz w:val="22"/>
          <w:szCs w:val="22"/>
        </w:rPr>
        <w:t xml:space="preserve"> </w:t>
      </w:r>
      <w:r w:rsidRPr="00713AE1">
        <w:rPr>
          <w:rFonts w:asciiTheme="minorHAnsi" w:hAnsiTheme="minorHAnsi"/>
          <w:spacing w:val="-1"/>
          <w:sz w:val="22"/>
          <w:szCs w:val="22"/>
        </w:rPr>
        <w:t>is</w:t>
      </w:r>
      <w:r w:rsidRPr="00713AE1">
        <w:rPr>
          <w:rFonts w:asciiTheme="minorHAnsi" w:hAnsiTheme="minorHAnsi"/>
          <w:spacing w:val="14"/>
          <w:sz w:val="22"/>
          <w:szCs w:val="22"/>
        </w:rPr>
        <w:t xml:space="preserve"> </w:t>
      </w:r>
      <w:r w:rsidRPr="00713AE1">
        <w:rPr>
          <w:rFonts w:asciiTheme="minorHAnsi" w:hAnsiTheme="minorHAnsi"/>
          <w:spacing w:val="-1"/>
          <w:sz w:val="22"/>
          <w:szCs w:val="22"/>
        </w:rPr>
        <w:t>earlier).</w:t>
      </w:r>
    </w:p>
    <w:p w14:paraId="7A535AFD" w14:textId="77777777" w:rsidR="002B32F4" w:rsidRPr="00713AE1" w:rsidRDefault="002B32F4" w:rsidP="00713AE1">
      <w:pPr>
        <w:spacing w:line="276" w:lineRule="auto"/>
        <w:jc w:val="both"/>
        <w:rPr>
          <w:sz w:val="22"/>
          <w:szCs w:val="22"/>
          <w:lang w:val="en-US"/>
        </w:rPr>
      </w:pPr>
    </w:p>
    <w:p w14:paraId="6290A015" w14:textId="1144B62C" w:rsidR="001579C7" w:rsidRPr="00713AE1" w:rsidRDefault="001579C7" w:rsidP="00713AE1">
      <w:pPr>
        <w:spacing w:line="276" w:lineRule="auto"/>
        <w:jc w:val="both"/>
        <w:rPr>
          <w:sz w:val="22"/>
          <w:szCs w:val="22"/>
        </w:rPr>
      </w:pPr>
      <w:r w:rsidRPr="00713AE1">
        <w:rPr>
          <w:sz w:val="22"/>
          <w:szCs w:val="22"/>
        </w:rPr>
        <w:t>The full text of each resolution and a summary of proxy votes received will shortly be available on the Company’s website and will also be submitted to the National Storage Mechanism for in</w:t>
      </w:r>
      <w:r w:rsidR="00B30497" w:rsidRPr="00713AE1">
        <w:rPr>
          <w:sz w:val="22"/>
          <w:szCs w:val="22"/>
        </w:rPr>
        <w:t xml:space="preserve">spection at </w:t>
      </w:r>
      <w:hyperlink r:id="rId11" w:anchor="/nsm/nationalstoragemechanism" w:history="1">
        <w:r w:rsidR="00F96922" w:rsidRPr="00713AE1">
          <w:rPr>
            <w:rStyle w:val="Hyperlink"/>
            <w:sz w:val="22"/>
            <w:szCs w:val="22"/>
          </w:rPr>
          <w:t>https://data.fca.org.uk/#/nsm/nationalstoragemechanism</w:t>
        </w:r>
      </w:hyperlink>
      <w:r w:rsidR="00F96922" w:rsidRPr="00713AE1">
        <w:rPr>
          <w:sz w:val="22"/>
          <w:szCs w:val="22"/>
        </w:rPr>
        <w:t>.</w:t>
      </w:r>
      <w:r w:rsidR="00B30497" w:rsidRPr="00713AE1">
        <w:rPr>
          <w:sz w:val="22"/>
          <w:szCs w:val="22"/>
        </w:rPr>
        <w:t xml:space="preserve"> </w:t>
      </w:r>
    </w:p>
    <w:p w14:paraId="52046BCF" w14:textId="77777777" w:rsidR="00F96922" w:rsidRPr="00713AE1" w:rsidRDefault="00F96922" w:rsidP="00713AE1">
      <w:pPr>
        <w:spacing w:line="276" w:lineRule="auto"/>
        <w:jc w:val="both"/>
        <w:rPr>
          <w:sz w:val="22"/>
          <w:szCs w:val="22"/>
        </w:rPr>
      </w:pPr>
    </w:p>
    <w:p w14:paraId="1B888B74" w14:textId="77777777" w:rsidR="00860F8F" w:rsidRDefault="00860F8F" w:rsidP="00860F8F">
      <w:pPr>
        <w:pStyle w:val="ListParagraph"/>
        <w:numPr>
          <w:ilvl w:val="0"/>
          <w:numId w:val="11"/>
        </w:numPr>
        <w:jc w:val="center"/>
        <w:rPr>
          <w:b/>
        </w:rPr>
      </w:pPr>
      <w:r>
        <w:rPr>
          <w:b/>
        </w:rPr>
        <w:t>--- ENDS ---</w:t>
      </w:r>
    </w:p>
    <w:p w14:paraId="605AA686" w14:textId="77777777" w:rsidR="00860F8F" w:rsidRDefault="00860F8F" w:rsidP="00860F8F">
      <w:pPr>
        <w:pStyle w:val="ListParagraph"/>
        <w:numPr>
          <w:ilvl w:val="0"/>
          <w:numId w:val="11"/>
        </w:numPr>
        <w:jc w:val="both"/>
      </w:pPr>
    </w:p>
    <w:p w14:paraId="10B3442A" w14:textId="77777777" w:rsidR="00860F8F" w:rsidRPr="008E7445" w:rsidRDefault="00860F8F" w:rsidP="00860F8F">
      <w:pPr>
        <w:pStyle w:val="ListParagraph"/>
        <w:numPr>
          <w:ilvl w:val="0"/>
          <w:numId w:val="11"/>
        </w:numPr>
        <w:jc w:val="both"/>
        <w:rPr>
          <w:bCs/>
          <w:sz w:val="22"/>
          <w:szCs w:val="22"/>
        </w:rPr>
      </w:pPr>
      <w:r w:rsidRPr="008E7445">
        <w:rPr>
          <w:bCs/>
          <w:sz w:val="22"/>
          <w:szCs w:val="22"/>
        </w:rPr>
        <w:t>For further information on the Announcement, please contact:</w:t>
      </w:r>
    </w:p>
    <w:p w14:paraId="484ABECC" w14:textId="77777777" w:rsidR="00860F8F" w:rsidRPr="008E7445" w:rsidRDefault="00860F8F" w:rsidP="00860F8F">
      <w:pPr>
        <w:pStyle w:val="ListParagraph"/>
        <w:numPr>
          <w:ilvl w:val="0"/>
          <w:numId w:val="11"/>
        </w:numPr>
        <w:jc w:val="both"/>
        <w:rPr>
          <w:bCs/>
          <w:sz w:val="22"/>
          <w:szCs w:val="22"/>
        </w:rPr>
      </w:pPr>
    </w:p>
    <w:p w14:paraId="76867325" w14:textId="77777777" w:rsidR="00860F8F" w:rsidRPr="008E7445" w:rsidRDefault="00860F8F" w:rsidP="00860F8F">
      <w:pPr>
        <w:pStyle w:val="ListParagraph"/>
        <w:numPr>
          <w:ilvl w:val="0"/>
          <w:numId w:val="11"/>
        </w:numPr>
        <w:jc w:val="both"/>
        <w:rPr>
          <w:bCs/>
          <w:sz w:val="22"/>
          <w:szCs w:val="22"/>
          <w:lang w:val="fr-FR"/>
        </w:rPr>
      </w:pPr>
      <w:r w:rsidRPr="008E7445">
        <w:rPr>
          <w:bCs/>
          <w:sz w:val="22"/>
          <w:szCs w:val="22"/>
          <w:lang w:val="fr-FR"/>
        </w:rPr>
        <w:t>Greencoat Renewables PLC:</w:t>
      </w:r>
      <w:r w:rsidRPr="008E7445">
        <w:rPr>
          <w:bCs/>
          <w:sz w:val="22"/>
          <w:szCs w:val="22"/>
          <w:lang w:val="fr-FR"/>
        </w:rPr>
        <w:tab/>
      </w:r>
      <w:r w:rsidRPr="008E7445">
        <w:rPr>
          <w:bCs/>
          <w:sz w:val="22"/>
          <w:szCs w:val="22"/>
          <w:lang w:val="fr-FR"/>
        </w:rPr>
        <w:tab/>
      </w:r>
      <w:r w:rsidRPr="008E7445">
        <w:rPr>
          <w:bCs/>
          <w:sz w:val="22"/>
          <w:szCs w:val="22"/>
          <w:lang w:val="fr-FR"/>
        </w:rPr>
        <w:tab/>
      </w:r>
      <w:r w:rsidRPr="008E7445">
        <w:rPr>
          <w:bCs/>
          <w:sz w:val="22"/>
          <w:szCs w:val="22"/>
          <w:lang w:val="fr-FR"/>
        </w:rPr>
        <w:tab/>
      </w:r>
      <w:r w:rsidRPr="008E7445">
        <w:rPr>
          <w:bCs/>
          <w:sz w:val="22"/>
          <w:szCs w:val="22"/>
          <w:lang w:val="fr-FR"/>
        </w:rPr>
        <w:tab/>
      </w:r>
      <w:r w:rsidRPr="008E7445">
        <w:rPr>
          <w:bCs/>
          <w:sz w:val="22"/>
          <w:szCs w:val="22"/>
          <w:lang w:val="fr-FR"/>
        </w:rPr>
        <w:tab/>
        <w:t>+44 20 7832 9400</w:t>
      </w:r>
    </w:p>
    <w:p w14:paraId="1EFC46E2" w14:textId="77777777" w:rsidR="00860F8F" w:rsidRPr="008E7445" w:rsidRDefault="00860F8F" w:rsidP="00860F8F">
      <w:pPr>
        <w:pStyle w:val="ListParagraph"/>
        <w:numPr>
          <w:ilvl w:val="0"/>
          <w:numId w:val="11"/>
        </w:numPr>
        <w:jc w:val="both"/>
        <w:rPr>
          <w:bCs/>
          <w:sz w:val="22"/>
          <w:szCs w:val="22"/>
          <w:lang w:val="fr-FR"/>
        </w:rPr>
      </w:pPr>
      <w:r w:rsidRPr="008E7445">
        <w:rPr>
          <w:bCs/>
          <w:sz w:val="22"/>
          <w:szCs w:val="22"/>
          <w:lang w:val="fr-FR"/>
        </w:rPr>
        <w:t>Bertrand Gautier</w:t>
      </w:r>
    </w:p>
    <w:p w14:paraId="4F380A11" w14:textId="77777777" w:rsidR="00860F8F" w:rsidRPr="008E7445" w:rsidRDefault="00860F8F" w:rsidP="00860F8F">
      <w:pPr>
        <w:pStyle w:val="ListParagraph"/>
        <w:numPr>
          <w:ilvl w:val="0"/>
          <w:numId w:val="11"/>
        </w:numPr>
        <w:jc w:val="both"/>
        <w:rPr>
          <w:bCs/>
          <w:sz w:val="22"/>
          <w:szCs w:val="22"/>
          <w:lang w:val="fr-FR"/>
        </w:rPr>
      </w:pPr>
      <w:r w:rsidRPr="008E7445">
        <w:rPr>
          <w:bCs/>
          <w:sz w:val="22"/>
          <w:szCs w:val="22"/>
          <w:lang w:val="fr-FR"/>
        </w:rPr>
        <w:lastRenderedPageBreak/>
        <w:t xml:space="preserve">Paul O’Donnell </w:t>
      </w:r>
      <w:r w:rsidRPr="008E7445">
        <w:rPr>
          <w:bCs/>
          <w:sz w:val="22"/>
          <w:szCs w:val="22"/>
          <w:lang w:val="fr-FR"/>
        </w:rPr>
        <w:tab/>
      </w:r>
      <w:r w:rsidRPr="008E7445">
        <w:rPr>
          <w:bCs/>
          <w:sz w:val="22"/>
          <w:szCs w:val="22"/>
          <w:lang w:val="fr-FR"/>
        </w:rPr>
        <w:tab/>
      </w:r>
    </w:p>
    <w:p w14:paraId="33E71055" w14:textId="77777777" w:rsidR="00860F8F" w:rsidRPr="008E7445" w:rsidRDefault="00860F8F" w:rsidP="00860F8F">
      <w:pPr>
        <w:pStyle w:val="ListParagraph"/>
        <w:numPr>
          <w:ilvl w:val="0"/>
          <w:numId w:val="11"/>
        </w:numPr>
        <w:jc w:val="both"/>
        <w:rPr>
          <w:bCs/>
          <w:sz w:val="22"/>
          <w:szCs w:val="22"/>
        </w:rPr>
      </w:pPr>
      <w:r w:rsidRPr="008E7445">
        <w:rPr>
          <w:bCs/>
          <w:sz w:val="22"/>
          <w:szCs w:val="22"/>
        </w:rPr>
        <w:t>Tom Rayner</w:t>
      </w:r>
    </w:p>
    <w:p w14:paraId="426A64C5" w14:textId="77777777" w:rsidR="00860F8F" w:rsidRPr="008E7445" w:rsidRDefault="00860F8F" w:rsidP="00860F8F">
      <w:pPr>
        <w:pStyle w:val="ListParagraph"/>
        <w:numPr>
          <w:ilvl w:val="0"/>
          <w:numId w:val="11"/>
        </w:numPr>
        <w:jc w:val="both"/>
        <w:rPr>
          <w:bCs/>
          <w:sz w:val="22"/>
          <w:szCs w:val="22"/>
        </w:rPr>
      </w:pPr>
    </w:p>
    <w:p w14:paraId="06A8B5E2" w14:textId="77777777" w:rsidR="00860F8F" w:rsidRPr="008E7445" w:rsidRDefault="00860F8F" w:rsidP="00860F8F">
      <w:pPr>
        <w:pStyle w:val="ListParagraph"/>
        <w:numPr>
          <w:ilvl w:val="0"/>
          <w:numId w:val="11"/>
        </w:numPr>
        <w:jc w:val="both"/>
        <w:rPr>
          <w:bCs/>
          <w:sz w:val="22"/>
          <w:szCs w:val="22"/>
        </w:rPr>
      </w:pPr>
      <w:r w:rsidRPr="008E7445">
        <w:rPr>
          <w:bCs/>
          <w:sz w:val="22"/>
          <w:szCs w:val="22"/>
        </w:rPr>
        <w:t>Davy (Joint Broker, Nomad and</w:t>
      </w:r>
    </w:p>
    <w:p w14:paraId="11564A30" w14:textId="0FBD2074" w:rsidR="00860F8F" w:rsidRPr="008E7445" w:rsidRDefault="00860F8F" w:rsidP="00860F8F">
      <w:pPr>
        <w:pStyle w:val="ListParagraph"/>
        <w:numPr>
          <w:ilvl w:val="0"/>
          <w:numId w:val="11"/>
        </w:numPr>
        <w:jc w:val="both"/>
        <w:rPr>
          <w:bCs/>
          <w:sz w:val="22"/>
          <w:szCs w:val="22"/>
        </w:rPr>
      </w:pPr>
      <w:r w:rsidRPr="008E7445">
        <w:rPr>
          <w:bCs/>
          <w:sz w:val="22"/>
          <w:szCs w:val="22"/>
        </w:rPr>
        <w:t xml:space="preserve">Euronext Growth </w:t>
      </w:r>
      <w:r w:rsidR="005012E9">
        <w:rPr>
          <w:bCs/>
          <w:sz w:val="22"/>
          <w:szCs w:val="22"/>
        </w:rPr>
        <w:t>Listing Sponsor</w:t>
      </w:r>
      <w:r w:rsidRPr="008E7445">
        <w:rPr>
          <w:bCs/>
          <w:sz w:val="22"/>
          <w:szCs w:val="22"/>
        </w:rPr>
        <w:t>)</w:t>
      </w:r>
      <w:r w:rsidRPr="008E7445">
        <w:rPr>
          <w:bCs/>
          <w:sz w:val="22"/>
          <w:szCs w:val="22"/>
        </w:rPr>
        <w:tab/>
      </w:r>
      <w:r w:rsidRPr="008E7445">
        <w:rPr>
          <w:bCs/>
          <w:sz w:val="22"/>
          <w:szCs w:val="22"/>
        </w:rPr>
        <w:tab/>
      </w:r>
      <w:r w:rsidRPr="008E7445">
        <w:rPr>
          <w:bCs/>
          <w:sz w:val="22"/>
          <w:szCs w:val="22"/>
        </w:rPr>
        <w:tab/>
      </w:r>
      <w:r w:rsidRPr="008E7445">
        <w:rPr>
          <w:bCs/>
          <w:sz w:val="22"/>
          <w:szCs w:val="22"/>
        </w:rPr>
        <w:tab/>
      </w:r>
      <w:r w:rsidR="00695988">
        <w:rPr>
          <w:bCs/>
          <w:sz w:val="22"/>
          <w:szCs w:val="22"/>
        </w:rPr>
        <w:tab/>
        <w:t xml:space="preserve">   </w:t>
      </w:r>
      <w:r w:rsidRPr="008E7445">
        <w:rPr>
          <w:bCs/>
          <w:sz w:val="22"/>
          <w:szCs w:val="22"/>
        </w:rPr>
        <w:t>+353 1 6796363</w:t>
      </w:r>
    </w:p>
    <w:p w14:paraId="6F305352" w14:textId="77777777" w:rsidR="00860F8F" w:rsidRPr="008E7445" w:rsidRDefault="00860F8F" w:rsidP="00860F8F">
      <w:pPr>
        <w:pStyle w:val="ListParagraph"/>
        <w:numPr>
          <w:ilvl w:val="0"/>
          <w:numId w:val="11"/>
        </w:numPr>
        <w:jc w:val="both"/>
        <w:rPr>
          <w:bCs/>
          <w:sz w:val="22"/>
          <w:szCs w:val="22"/>
        </w:rPr>
      </w:pPr>
      <w:r w:rsidRPr="008E7445">
        <w:rPr>
          <w:bCs/>
          <w:sz w:val="22"/>
          <w:szCs w:val="22"/>
        </w:rPr>
        <w:t>Ronan Veale</w:t>
      </w:r>
    </w:p>
    <w:p w14:paraId="19290C33" w14:textId="10A8DBA4" w:rsidR="00860F8F" w:rsidRDefault="00695988" w:rsidP="00860F8F">
      <w:pPr>
        <w:pStyle w:val="ListParagraph"/>
        <w:numPr>
          <w:ilvl w:val="0"/>
          <w:numId w:val="11"/>
        </w:numPr>
        <w:jc w:val="both"/>
        <w:rPr>
          <w:bCs/>
          <w:sz w:val="22"/>
          <w:szCs w:val="22"/>
        </w:rPr>
      </w:pPr>
      <w:r w:rsidRPr="00695988">
        <w:rPr>
          <w:bCs/>
          <w:sz w:val="22"/>
          <w:szCs w:val="22"/>
        </w:rPr>
        <w:t>Brian Garrahy</w:t>
      </w:r>
    </w:p>
    <w:p w14:paraId="38FEDE39" w14:textId="77777777" w:rsidR="00695988" w:rsidRPr="008E7445" w:rsidRDefault="00695988" w:rsidP="00860F8F">
      <w:pPr>
        <w:pStyle w:val="ListParagraph"/>
        <w:numPr>
          <w:ilvl w:val="0"/>
          <w:numId w:val="11"/>
        </w:numPr>
        <w:jc w:val="both"/>
        <w:rPr>
          <w:bCs/>
          <w:sz w:val="22"/>
          <w:szCs w:val="22"/>
        </w:rPr>
      </w:pPr>
    </w:p>
    <w:p w14:paraId="56C5D27F" w14:textId="77777777" w:rsidR="00860F8F" w:rsidRPr="008E7445" w:rsidRDefault="00860F8F" w:rsidP="00860F8F">
      <w:pPr>
        <w:pStyle w:val="ListParagraph"/>
        <w:numPr>
          <w:ilvl w:val="0"/>
          <w:numId w:val="11"/>
        </w:numPr>
        <w:jc w:val="both"/>
        <w:rPr>
          <w:bCs/>
          <w:sz w:val="22"/>
          <w:szCs w:val="22"/>
        </w:rPr>
      </w:pPr>
      <w:r w:rsidRPr="008E7445">
        <w:rPr>
          <w:bCs/>
          <w:sz w:val="22"/>
          <w:szCs w:val="22"/>
        </w:rPr>
        <w:t>RBC (Joint Broker)</w:t>
      </w:r>
      <w:r w:rsidRPr="008E7445">
        <w:rPr>
          <w:bCs/>
          <w:sz w:val="22"/>
          <w:szCs w:val="22"/>
        </w:rPr>
        <w:tab/>
      </w:r>
      <w:r w:rsidRPr="008E7445">
        <w:rPr>
          <w:bCs/>
          <w:sz w:val="22"/>
          <w:szCs w:val="22"/>
        </w:rPr>
        <w:tab/>
      </w:r>
      <w:r w:rsidRPr="008E7445">
        <w:rPr>
          <w:bCs/>
          <w:sz w:val="22"/>
          <w:szCs w:val="22"/>
        </w:rPr>
        <w:tab/>
      </w:r>
      <w:r w:rsidRPr="008E7445">
        <w:rPr>
          <w:bCs/>
          <w:sz w:val="22"/>
          <w:szCs w:val="22"/>
        </w:rPr>
        <w:tab/>
      </w:r>
      <w:r w:rsidRPr="008E7445">
        <w:rPr>
          <w:bCs/>
          <w:sz w:val="22"/>
          <w:szCs w:val="22"/>
        </w:rPr>
        <w:tab/>
      </w:r>
      <w:r w:rsidRPr="008E7445">
        <w:rPr>
          <w:bCs/>
          <w:sz w:val="22"/>
          <w:szCs w:val="22"/>
        </w:rPr>
        <w:tab/>
      </w:r>
      <w:r w:rsidRPr="008E7445">
        <w:rPr>
          <w:bCs/>
          <w:sz w:val="22"/>
          <w:szCs w:val="22"/>
        </w:rPr>
        <w:tab/>
        <w:t>+44 20 7653 4000</w:t>
      </w:r>
    </w:p>
    <w:p w14:paraId="7E294765" w14:textId="77777777" w:rsidR="00860F8F" w:rsidRPr="008E7445" w:rsidRDefault="00860F8F" w:rsidP="00860F8F">
      <w:pPr>
        <w:pStyle w:val="ListParagraph"/>
        <w:numPr>
          <w:ilvl w:val="0"/>
          <w:numId w:val="11"/>
        </w:numPr>
        <w:jc w:val="both"/>
        <w:rPr>
          <w:bCs/>
          <w:sz w:val="22"/>
          <w:szCs w:val="22"/>
        </w:rPr>
      </w:pPr>
      <w:r w:rsidRPr="008E7445">
        <w:rPr>
          <w:bCs/>
          <w:sz w:val="22"/>
          <w:szCs w:val="22"/>
        </w:rPr>
        <w:t>Matthew Coakes</w:t>
      </w:r>
    </w:p>
    <w:p w14:paraId="23D10A26" w14:textId="77777777" w:rsidR="00860F8F" w:rsidRPr="008E7445" w:rsidRDefault="00860F8F" w:rsidP="00860F8F">
      <w:pPr>
        <w:pStyle w:val="ListParagraph"/>
        <w:numPr>
          <w:ilvl w:val="0"/>
          <w:numId w:val="11"/>
        </w:numPr>
        <w:jc w:val="both"/>
        <w:rPr>
          <w:bCs/>
          <w:sz w:val="22"/>
          <w:szCs w:val="22"/>
        </w:rPr>
      </w:pPr>
      <w:r w:rsidRPr="008E7445">
        <w:rPr>
          <w:bCs/>
          <w:sz w:val="22"/>
          <w:szCs w:val="22"/>
        </w:rPr>
        <w:t>Elizabeth Evans</w:t>
      </w:r>
    </w:p>
    <w:p w14:paraId="257F11B3" w14:textId="77777777" w:rsidR="00860F8F" w:rsidRPr="008E7445" w:rsidRDefault="00860F8F" w:rsidP="00860F8F">
      <w:pPr>
        <w:pStyle w:val="ListParagraph"/>
        <w:numPr>
          <w:ilvl w:val="0"/>
          <w:numId w:val="11"/>
        </w:numPr>
        <w:jc w:val="both"/>
        <w:rPr>
          <w:bCs/>
          <w:sz w:val="22"/>
          <w:szCs w:val="22"/>
        </w:rPr>
      </w:pPr>
    </w:p>
    <w:p w14:paraId="16D6B4DB" w14:textId="77777777" w:rsidR="00860F8F" w:rsidRPr="008E7445" w:rsidRDefault="00860F8F" w:rsidP="00860F8F">
      <w:pPr>
        <w:pStyle w:val="ListParagraph"/>
        <w:numPr>
          <w:ilvl w:val="0"/>
          <w:numId w:val="11"/>
        </w:numPr>
        <w:jc w:val="both"/>
        <w:rPr>
          <w:bCs/>
          <w:sz w:val="22"/>
          <w:szCs w:val="22"/>
        </w:rPr>
      </w:pPr>
      <w:r w:rsidRPr="008E7445">
        <w:rPr>
          <w:bCs/>
          <w:sz w:val="22"/>
          <w:szCs w:val="22"/>
        </w:rPr>
        <w:t>FTI Consulting (Media Enquiries)</w:t>
      </w:r>
      <w:r w:rsidRPr="008E7445">
        <w:rPr>
          <w:bCs/>
          <w:sz w:val="22"/>
          <w:szCs w:val="22"/>
        </w:rPr>
        <w:tab/>
      </w:r>
      <w:r w:rsidRPr="008E7445">
        <w:rPr>
          <w:bCs/>
          <w:sz w:val="22"/>
          <w:szCs w:val="22"/>
        </w:rPr>
        <w:tab/>
      </w:r>
      <w:r w:rsidRPr="008E7445">
        <w:rPr>
          <w:bCs/>
          <w:sz w:val="22"/>
          <w:szCs w:val="22"/>
        </w:rPr>
        <w:tab/>
      </w:r>
      <w:r w:rsidRPr="008E7445">
        <w:rPr>
          <w:bCs/>
          <w:sz w:val="22"/>
          <w:szCs w:val="22"/>
        </w:rPr>
        <w:tab/>
      </w:r>
      <w:r w:rsidRPr="008E7445">
        <w:rPr>
          <w:bCs/>
          <w:sz w:val="22"/>
          <w:szCs w:val="22"/>
        </w:rPr>
        <w:tab/>
        <w:t>+353 1 765 0886</w:t>
      </w:r>
    </w:p>
    <w:p w14:paraId="7A202C30" w14:textId="673410AE" w:rsidR="00860F8F" w:rsidRDefault="00860F8F" w:rsidP="00860F8F">
      <w:pPr>
        <w:pStyle w:val="ListParagraph"/>
        <w:numPr>
          <w:ilvl w:val="0"/>
          <w:numId w:val="11"/>
        </w:numPr>
        <w:jc w:val="both"/>
        <w:rPr>
          <w:bCs/>
          <w:sz w:val="22"/>
          <w:szCs w:val="22"/>
        </w:rPr>
      </w:pPr>
      <w:r w:rsidRPr="008E7445">
        <w:rPr>
          <w:bCs/>
          <w:sz w:val="22"/>
          <w:szCs w:val="22"/>
        </w:rPr>
        <w:t>Melanie Farrell</w:t>
      </w:r>
    </w:p>
    <w:p w14:paraId="5370C54B" w14:textId="411D048F" w:rsidR="005012E9" w:rsidRPr="008E7445" w:rsidRDefault="002B32F4" w:rsidP="00860F8F">
      <w:pPr>
        <w:pStyle w:val="ListParagraph"/>
        <w:numPr>
          <w:ilvl w:val="0"/>
          <w:numId w:val="11"/>
        </w:numPr>
        <w:jc w:val="both"/>
        <w:rPr>
          <w:bCs/>
          <w:sz w:val="22"/>
          <w:szCs w:val="22"/>
        </w:rPr>
      </w:pPr>
      <w:r>
        <w:rPr>
          <w:bCs/>
          <w:sz w:val="22"/>
          <w:szCs w:val="22"/>
        </w:rPr>
        <w:t>Aoife Mullen</w:t>
      </w:r>
    </w:p>
    <w:p w14:paraId="3F4C28C5" w14:textId="77777777" w:rsidR="00860F8F" w:rsidRPr="008E7445" w:rsidRDefault="00860F8F" w:rsidP="00860F8F">
      <w:pPr>
        <w:pStyle w:val="ListParagraph"/>
        <w:numPr>
          <w:ilvl w:val="0"/>
          <w:numId w:val="11"/>
        </w:numPr>
        <w:jc w:val="both"/>
        <w:rPr>
          <w:rFonts w:ascii="Book Antiqua" w:hAnsi="Book Antiqua"/>
          <w:b/>
          <w:bCs/>
          <w:sz w:val="22"/>
          <w:szCs w:val="22"/>
        </w:rPr>
      </w:pPr>
    </w:p>
    <w:p w14:paraId="67C4E6CE" w14:textId="77777777" w:rsidR="00860F8F" w:rsidRPr="008E7445" w:rsidRDefault="00860F8F" w:rsidP="00860F8F">
      <w:pPr>
        <w:pStyle w:val="ListParagraph"/>
        <w:numPr>
          <w:ilvl w:val="0"/>
          <w:numId w:val="11"/>
        </w:numPr>
        <w:jc w:val="both"/>
        <w:rPr>
          <w:rFonts w:cstheme="minorHAnsi"/>
          <w:b/>
          <w:bCs/>
          <w:sz w:val="22"/>
          <w:szCs w:val="22"/>
        </w:rPr>
      </w:pPr>
      <w:r w:rsidRPr="008E7445">
        <w:rPr>
          <w:rFonts w:cstheme="minorHAnsi"/>
          <w:b/>
          <w:bCs/>
          <w:sz w:val="22"/>
          <w:szCs w:val="22"/>
        </w:rPr>
        <w:t>About Greencoat Renewables PLC</w:t>
      </w:r>
    </w:p>
    <w:p w14:paraId="2B870036" w14:textId="59AEC52D" w:rsidR="003A7A98" w:rsidRPr="008E7445" w:rsidRDefault="00655BD9" w:rsidP="00655BD9">
      <w:pPr>
        <w:spacing w:line="276" w:lineRule="auto"/>
        <w:rPr>
          <w:sz w:val="22"/>
          <w:szCs w:val="22"/>
        </w:rPr>
      </w:pPr>
      <w:r w:rsidRPr="00655BD9">
        <w:rPr>
          <w:sz w:val="22"/>
          <w:szCs w:val="22"/>
        </w:rPr>
        <w:t xml:space="preserve">Greencoat Renewables PLC is an investor in euro-denominated renewable energy infrastructure assets. Initially focused solely on the acquisition and management of operating wind farms in Ireland, the Company is now also investing in wind and solar assets in certain other European countries with stable and robust renewable energy frameworks. It is managed by Greencoat </w:t>
      </w:r>
      <w:r w:rsidR="00FE30B8">
        <w:rPr>
          <w:sz w:val="22"/>
          <w:szCs w:val="22"/>
        </w:rPr>
        <w:t>Schroders</w:t>
      </w:r>
      <w:r w:rsidRPr="00655BD9">
        <w:rPr>
          <w:sz w:val="22"/>
          <w:szCs w:val="22"/>
        </w:rPr>
        <w:t xml:space="preserve"> LLP, an experienced investment manager in the listed renewable energy infrastructure sector.</w:t>
      </w:r>
    </w:p>
    <w:sectPr w:rsidR="003A7A98" w:rsidRPr="008E7445" w:rsidSect="00EA31EC">
      <w:headerReference w:type="even" r:id="rId12"/>
      <w:headerReference w:type="default" r:id="rId13"/>
      <w:footerReference w:type="even" r:id="rId14"/>
      <w:footerReference w:type="default" r:id="rId15"/>
      <w:headerReference w:type="first" r:id="rId16"/>
      <w:footerReference w:type="first" r:id="rId17"/>
      <w:pgSz w:w="11900" w:h="16840"/>
      <w:pgMar w:top="90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8B4D0" w14:textId="77777777" w:rsidR="00EA31EC" w:rsidRDefault="00EA31EC" w:rsidP="006D7682">
      <w:r>
        <w:separator/>
      </w:r>
    </w:p>
  </w:endnote>
  <w:endnote w:type="continuationSeparator" w:id="0">
    <w:p w14:paraId="60AB9BF2" w14:textId="77777777" w:rsidR="00EA31EC" w:rsidRDefault="00EA31EC" w:rsidP="006D7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B3364" w14:textId="77777777" w:rsidR="002B32F4" w:rsidRDefault="002B3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5B217" w14:textId="77777777" w:rsidR="008E7445" w:rsidRDefault="008E7445">
    <w:pPr>
      <w:spacing w:line="14" w:lineRule="auto"/>
      <w:rPr>
        <w:sz w:val="18"/>
        <w:szCs w:val="18"/>
      </w:rPr>
    </w:pPr>
    <w:r>
      <w:rPr>
        <w:noProof/>
        <w:lang w:val="en-IE" w:eastAsia="en-IE"/>
      </w:rPr>
      <mc:AlternateContent>
        <mc:Choice Requires="wps">
          <w:drawing>
            <wp:anchor distT="0" distB="0" distL="114300" distR="114300" simplePos="0" relativeHeight="251659264" behindDoc="1" locked="0" layoutInCell="1" allowOverlap="1" wp14:anchorId="30778780" wp14:editId="749608C5">
              <wp:simplePos x="0" y="0"/>
              <wp:positionH relativeFrom="page">
                <wp:posOffset>3796030</wp:posOffset>
              </wp:positionH>
              <wp:positionV relativeFrom="page">
                <wp:posOffset>10327005</wp:posOffset>
              </wp:positionV>
              <wp:extent cx="207645" cy="156845"/>
              <wp:effectExtent l="0" t="1905"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40537" w14:textId="4053D777" w:rsidR="008E7445" w:rsidRDefault="008E7445">
                          <w:pPr>
                            <w:spacing w:line="225" w:lineRule="exact"/>
                            <w:ind w:left="86"/>
                            <w:rPr>
                              <w:rFonts w:ascii="Times New Roman" w:eastAsia="Times New Roman" w:hAnsi="Times New Roman" w:cs="Times New Roman"/>
                              <w:sz w:val="20"/>
                              <w:szCs w:val="20"/>
                            </w:rPr>
                          </w:pPr>
                          <w:r>
                            <w:fldChar w:fldCharType="begin"/>
                          </w:r>
                          <w:r>
                            <w:rPr>
                              <w:rFonts w:ascii="Times New Roman"/>
                              <w:color w:val="231F20"/>
                              <w:sz w:val="20"/>
                            </w:rPr>
                            <w:instrText xml:space="preserve"> PAGE </w:instrText>
                          </w:r>
                          <w:r>
                            <w:fldChar w:fldCharType="separate"/>
                          </w:r>
                          <w:r w:rsidR="002568C6">
                            <w:rPr>
                              <w:rFonts w:ascii="Times New Roman"/>
                              <w:noProof/>
                              <w:color w:val="231F20"/>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78780" id="_x0000_t202" coordsize="21600,21600" o:spt="202" path="m,l,21600r21600,l21600,xe">
              <v:stroke joinstyle="miter"/>
              <v:path gradientshapeok="t" o:connecttype="rect"/>
            </v:shapetype>
            <v:shape id="Text Box 1" o:spid="_x0000_s1026" type="#_x0000_t202" style="position:absolute;margin-left:298.9pt;margin-top:813.15pt;width:16.35pt;height:12.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" filled="f" stroked="f">
              <v:textbox inset="0,0,0,0">
                <w:txbxContent>
                  <w:p w14:paraId="59340537" w14:textId="4053D777" w:rsidR="008E7445" w:rsidRDefault="008E7445">
                    <w:pPr>
                      <w:spacing w:line="225" w:lineRule="exact"/>
                      <w:ind w:left="86"/>
                      <w:rPr>
                        <w:rFonts w:ascii="Times New Roman" w:eastAsia="Times New Roman" w:hAnsi="Times New Roman" w:cs="Times New Roman"/>
                        <w:sz w:val="20"/>
                        <w:szCs w:val="20"/>
                      </w:rPr>
                    </w:pPr>
                    <w:r>
                      <w:fldChar w:fldCharType="begin"/>
                    </w:r>
                    <w:r>
                      <w:rPr>
                        <w:rFonts w:ascii="Times New Roman"/>
                        <w:color w:val="231F20"/>
                        <w:sz w:val="20"/>
                      </w:rPr>
                      <w:instrText xml:space="preserve"> PAGE </w:instrText>
                    </w:r>
                    <w:r>
                      <w:fldChar w:fldCharType="separate"/>
                    </w:r>
                    <w:r w:rsidR="002568C6">
                      <w:rPr>
                        <w:rFonts w:ascii="Times New Roman"/>
                        <w:noProof/>
                        <w:color w:val="231F20"/>
                        <w:sz w:val="20"/>
                      </w:rPr>
                      <w:t>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9FB3B" w14:textId="77777777" w:rsidR="002B32F4" w:rsidRDefault="002B3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BE227" w14:textId="77777777" w:rsidR="00EA31EC" w:rsidRDefault="00EA31EC" w:rsidP="006D7682">
      <w:r>
        <w:separator/>
      </w:r>
    </w:p>
  </w:footnote>
  <w:footnote w:type="continuationSeparator" w:id="0">
    <w:p w14:paraId="706663F8" w14:textId="77777777" w:rsidR="00EA31EC" w:rsidRDefault="00EA31EC" w:rsidP="006D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51AAD" w14:textId="77777777" w:rsidR="002B32F4" w:rsidRDefault="002B32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0CBF0" w14:textId="77777777" w:rsidR="002B32F4" w:rsidRDefault="002B32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9FBA0" w14:textId="77777777" w:rsidR="002B32F4" w:rsidRDefault="002B3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C3A47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8417AF"/>
    <w:multiLevelType w:val="hybridMultilevel"/>
    <w:tmpl w:val="21007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6D32F3"/>
    <w:multiLevelType w:val="hybridMultilevel"/>
    <w:tmpl w:val="0DDE761C"/>
    <w:lvl w:ilvl="0" w:tplc="2338A76A">
      <w:start w:val="1"/>
      <w:numFmt w:val="decimal"/>
      <w:lvlText w:val="%1."/>
      <w:lvlJc w:val="left"/>
      <w:pPr>
        <w:ind w:left="545" w:hanging="429"/>
      </w:pPr>
      <w:rPr>
        <w:rFonts w:ascii="Book Antiqua" w:eastAsia="Arial" w:hAnsi="Book Antiqua" w:hint="default"/>
        <w:spacing w:val="-1"/>
        <w:sz w:val="18"/>
        <w:szCs w:val="18"/>
      </w:rPr>
    </w:lvl>
    <w:lvl w:ilvl="1" w:tplc="2542B638">
      <w:start w:val="1"/>
      <w:numFmt w:val="lowerLetter"/>
      <w:lvlText w:val="(%2)"/>
      <w:lvlJc w:val="left"/>
      <w:pPr>
        <w:ind w:left="1401" w:hanging="571"/>
      </w:pPr>
      <w:rPr>
        <w:rFonts w:asciiTheme="minorHAnsi" w:eastAsia="Arial" w:hAnsiTheme="minorHAnsi" w:hint="default"/>
        <w:sz w:val="22"/>
        <w:szCs w:val="22"/>
      </w:rPr>
    </w:lvl>
    <w:lvl w:ilvl="2" w:tplc="8D4888C0">
      <w:start w:val="1"/>
      <w:numFmt w:val="lowerRoman"/>
      <w:lvlText w:val="(%3)"/>
      <w:lvlJc w:val="left"/>
      <w:pPr>
        <w:ind w:left="1552" w:hanging="448"/>
      </w:pPr>
      <w:rPr>
        <w:rFonts w:asciiTheme="minorHAnsi" w:eastAsia="Arial" w:hAnsiTheme="minorHAnsi" w:hint="default"/>
        <w:sz w:val="22"/>
        <w:szCs w:val="22"/>
      </w:rPr>
    </w:lvl>
    <w:lvl w:ilvl="3" w:tplc="625CFA84">
      <w:start w:val="1"/>
      <w:numFmt w:val="bullet"/>
      <w:lvlText w:val="•"/>
      <w:lvlJc w:val="left"/>
      <w:pPr>
        <w:ind w:left="1112" w:hanging="448"/>
      </w:pPr>
      <w:rPr>
        <w:rFonts w:hint="default"/>
      </w:rPr>
    </w:lvl>
    <w:lvl w:ilvl="4" w:tplc="5AD86404">
      <w:start w:val="1"/>
      <w:numFmt w:val="bullet"/>
      <w:lvlText w:val="•"/>
      <w:lvlJc w:val="left"/>
      <w:pPr>
        <w:ind w:left="1401" w:hanging="448"/>
      </w:pPr>
      <w:rPr>
        <w:rFonts w:hint="default"/>
      </w:rPr>
    </w:lvl>
    <w:lvl w:ilvl="5" w:tplc="6822402C">
      <w:start w:val="1"/>
      <w:numFmt w:val="bullet"/>
      <w:lvlText w:val="•"/>
      <w:lvlJc w:val="left"/>
      <w:pPr>
        <w:ind w:left="1552" w:hanging="448"/>
      </w:pPr>
      <w:rPr>
        <w:rFonts w:hint="default"/>
      </w:rPr>
    </w:lvl>
    <w:lvl w:ilvl="6" w:tplc="22383544">
      <w:start w:val="1"/>
      <w:numFmt w:val="bullet"/>
      <w:lvlText w:val="•"/>
      <w:lvlJc w:val="left"/>
      <w:pPr>
        <w:ind w:left="1560" w:hanging="448"/>
      </w:pPr>
      <w:rPr>
        <w:rFonts w:hint="default"/>
      </w:rPr>
    </w:lvl>
    <w:lvl w:ilvl="7" w:tplc="C5B2EF10">
      <w:start w:val="1"/>
      <w:numFmt w:val="bullet"/>
      <w:lvlText w:val="•"/>
      <w:lvlJc w:val="left"/>
      <w:pPr>
        <w:ind w:left="3686" w:hanging="448"/>
      </w:pPr>
      <w:rPr>
        <w:rFonts w:hint="default"/>
      </w:rPr>
    </w:lvl>
    <w:lvl w:ilvl="8" w:tplc="BFEE9A6C">
      <w:start w:val="1"/>
      <w:numFmt w:val="bullet"/>
      <w:lvlText w:val="•"/>
      <w:lvlJc w:val="left"/>
      <w:pPr>
        <w:ind w:left="5812" w:hanging="448"/>
      </w:pPr>
      <w:rPr>
        <w:rFonts w:hint="default"/>
      </w:rPr>
    </w:lvl>
  </w:abstractNum>
  <w:abstractNum w:abstractNumId="3" w15:restartNumberingAfterBreak="0">
    <w:nsid w:val="24797D92"/>
    <w:multiLevelType w:val="hybridMultilevel"/>
    <w:tmpl w:val="6CC4F7E0"/>
    <w:lvl w:ilvl="0" w:tplc="7DB86B94">
      <w:start w:val="1"/>
      <w:numFmt w:val="upperLetter"/>
      <w:lvlText w:val="(%1)"/>
      <w:lvlJc w:val="left"/>
      <w:pPr>
        <w:ind w:left="1915" w:hanging="360"/>
      </w:pPr>
      <w:rPr>
        <w:rFonts w:cstheme="minorBidi" w:hint="default"/>
      </w:rPr>
    </w:lvl>
    <w:lvl w:ilvl="1" w:tplc="18090019" w:tentative="1">
      <w:start w:val="1"/>
      <w:numFmt w:val="lowerLetter"/>
      <w:lvlText w:val="%2."/>
      <w:lvlJc w:val="left"/>
      <w:pPr>
        <w:ind w:left="2635" w:hanging="360"/>
      </w:pPr>
    </w:lvl>
    <w:lvl w:ilvl="2" w:tplc="1809001B" w:tentative="1">
      <w:start w:val="1"/>
      <w:numFmt w:val="lowerRoman"/>
      <w:lvlText w:val="%3."/>
      <w:lvlJc w:val="right"/>
      <w:pPr>
        <w:ind w:left="3355" w:hanging="180"/>
      </w:pPr>
    </w:lvl>
    <w:lvl w:ilvl="3" w:tplc="1809000F" w:tentative="1">
      <w:start w:val="1"/>
      <w:numFmt w:val="decimal"/>
      <w:lvlText w:val="%4."/>
      <w:lvlJc w:val="left"/>
      <w:pPr>
        <w:ind w:left="4075" w:hanging="360"/>
      </w:pPr>
    </w:lvl>
    <w:lvl w:ilvl="4" w:tplc="18090019" w:tentative="1">
      <w:start w:val="1"/>
      <w:numFmt w:val="lowerLetter"/>
      <w:lvlText w:val="%5."/>
      <w:lvlJc w:val="left"/>
      <w:pPr>
        <w:ind w:left="4795" w:hanging="360"/>
      </w:pPr>
    </w:lvl>
    <w:lvl w:ilvl="5" w:tplc="1809001B" w:tentative="1">
      <w:start w:val="1"/>
      <w:numFmt w:val="lowerRoman"/>
      <w:lvlText w:val="%6."/>
      <w:lvlJc w:val="right"/>
      <w:pPr>
        <w:ind w:left="5515" w:hanging="180"/>
      </w:pPr>
    </w:lvl>
    <w:lvl w:ilvl="6" w:tplc="1809000F" w:tentative="1">
      <w:start w:val="1"/>
      <w:numFmt w:val="decimal"/>
      <w:lvlText w:val="%7."/>
      <w:lvlJc w:val="left"/>
      <w:pPr>
        <w:ind w:left="6235" w:hanging="360"/>
      </w:pPr>
    </w:lvl>
    <w:lvl w:ilvl="7" w:tplc="18090019" w:tentative="1">
      <w:start w:val="1"/>
      <w:numFmt w:val="lowerLetter"/>
      <w:lvlText w:val="%8."/>
      <w:lvlJc w:val="left"/>
      <w:pPr>
        <w:ind w:left="6955" w:hanging="360"/>
      </w:pPr>
    </w:lvl>
    <w:lvl w:ilvl="8" w:tplc="1809001B" w:tentative="1">
      <w:start w:val="1"/>
      <w:numFmt w:val="lowerRoman"/>
      <w:lvlText w:val="%9."/>
      <w:lvlJc w:val="right"/>
      <w:pPr>
        <w:ind w:left="7675" w:hanging="180"/>
      </w:pPr>
    </w:lvl>
  </w:abstractNum>
  <w:abstractNum w:abstractNumId="4" w15:restartNumberingAfterBreak="0">
    <w:nsid w:val="44095913"/>
    <w:multiLevelType w:val="hybridMultilevel"/>
    <w:tmpl w:val="FD32237E"/>
    <w:lvl w:ilvl="0" w:tplc="F9607132">
      <w:start w:val="7"/>
      <w:numFmt w:val="decimal"/>
      <w:lvlText w:val="%1."/>
      <w:lvlJc w:val="left"/>
      <w:pPr>
        <w:ind w:left="465" w:hanging="360"/>
      </w:pPr>
      <w:rPr>
        <w:rFonts w:asciiTheme="minorHAnsi" w:hAnsiTheme="minorHAnsi" w:hint="default"/>
        <w:sz w:val="22"/>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5" w15:restartNumberingAfterBreak="0">
    <w:nsid w:val="46D057BF"/>
    <w:multiLevelType w:val="hybridMultilevel"/>
    <w:tmpl w:val="21B6B174"/>
    <w:lvl w:ilvl="0" w:tplc="3C5020E8">
      <w:start w:val="1"/>
      <w:numFmt w:val="lowerLetter"/>
      <w:lvlText w:val="(%1)"/>
      <w:lvlJc w:val="left"/>
      <w:pPr>
        <w:ind w:left="1401" w:hanging="571"/>
      </w:pPr>
      <w:rPr>
        <w:rFonts w:asciiTheme="minorHAnsi" w:eastAsia="Arial" w:hAnsi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C035AA"/>
    <w:multiLevelType w:val="hybridMultilevel"/>
    <w:tmpl w:val="E15ADDF2"/>
    <w:lvl w:ilvl="0" w:tplc="CDD63B78">
      <w:start w:val="1"/>
      <w:numFmt w:val="lowerLetter"/>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7" w15:restartNumberingAfterBreak="0">
    <w:nsid w:val="50342E4D"/>
    <w:multiLevelType w:val="hybridMultilevel"/>
    <w:tmpl w:val="002CE3F0"/>
    <w:lvl w:ilvl="0" w:tplc="AA26FC0A">
      <w:start w:val="4"/>
      <w:numFmt w:val="lowerLetter"/>
      <w:lvlText w:val="(%1)"/>
      <w:lvlJc w:val="left"/>
      <w:pPr>
        <w:ind w:left="1401" w:hanging="571"/>
      </w:pPr>
      <w:rPr>
        <w:rFonts w:asciiTheme="minorHAnsi" w:eastAsia="Arial" w:hAnsi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08262B"/>
    <w:multiLevelType w:val="hybridMultilevel"/>
    <w:tmpl w:val="CF8C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B83964"/>
    <w:multiLevelType w:val="hybridMultilevel"/>
    <w:tmpl w:val="3BF20710"/>
    <w:lvl w:ilvl="0" w:tplc="E43A477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D03767E"/>
    <w:multiLevelType w:val="hybridMultilevel"/>
    <w:tmpl w:val="B7E2E94E"/>
    <w:lvl w:ilvl="0" w:tplc="2338A76A">
      <w:start w:val="1"/>
      <w:numFmt w:val="decimal"/>
      <w:lvlText w:val="%1."/>
      <w:lvlJc w:val="left"/>
      <w:pPr>
        <w:ind w:left="545" w:hanging="429"/>
      </w:pPr>
      <w:rPr>
        <w:rFonts w:ascii="Book Antiqua" w:eastAsia="Arial" w:hAnsi="Book Antiqua" w:hint="default"/>
        <w:spacing w:val="-1"/>
        <w:sz w:val="18"/>
        <w:szCs w:val="18"/>
      </w:rPr>
    </w:lvl>
    <w:lvl w:ilvl="1" w:tplc="05DC0658">
      <w:start w:val="1"/>
      <w:numFmt w:val="lowerLetter"/>
      <w:lvlText w:val="(%2)"/>
      <w:lvlJc w:val="left"/>
      <w:pPr>
        <w:ind w:left="1401" w:hanging="571"/>
      </w:pPr>
      <w:rPr>
        <w:rFonts w:ascii="Book Antiqua" w:eastAsia="Arial" w:hAnsi="Book Antiqua" w:hint="default"/>
        <w:sz w:val="18"/>
        <w:szCs w:val="18"/>
      </w:rPr>
    </w:lvl>
    <w:lvl w:ilvl="2" w:tplc="FBB01210">
      <w:start w:val="1"/>
      <w:numFmt w:val="lowerRoman"/>
      <w:lvlText w:val="(%3)"/>
      <w:lvlJc w:val="left"/>
      <w:pPr>
        <w:ind w:left="1552" w:hanging="448"/>
      </w:pPr>
      <w:rPr>
        <w:rFonts w:ascii="Book Antiqua" w:eastAsia="Arial" w:hAnsi="Book Antiqua" w:hint="default"/>
        <w:sz w:val="18"/>
        <w:szCs w:val="18"/>
      </w:rPr>
    </w:lvl>
    <w:lvl w:ilvl="3" w:tplc="625CFA84">
      <w:start w:val="1"/>
      <w:numFmt w:val="bullet"/>
      <w:lvlText w:val="•"/>
      <w:lvlJc w:val="left"/>
      <w:pPr>
        <w:ind w:left="1112" w:hanging="448"/>
      </w:pPr>
      <w:rPr>
        <w:rFonts w:hint="default"/>
      </w:rPr>
    </w:lvl>
    <w:lvl w:ilvl="4" w:tplc="5AD86404">
      <w:start w:val="1"/>
      <w:numFmt w:val="bullet"/>
      <w:lvlText w:val="•"/>
      <w:lvlJc w:val="left"/>
      <w:pPr>
        <w:ind w:left="1401" w:hanging="448"/>
      </w:pPr>
      <w:rPr>
        <w:rFonts w:hint="default"/>
      </w:rPr>
    </w:lvl>
    <w:lvl w:ilvl="5" w:tplc="6822402C">
      <w:start w:val="1"/>
      <w:numFmt w:val="bullet"/>
      <w:lvlText w:val="•"/>
      <w:lvlJc w:val="left"/>
      <w:pPr>
        <w:ind w:left="1552" w:hanging="448"/>
      </w:pPr>
      <w:rPr>
        <w:rFonts w:hint="default"/>
      </w:rPr>
    </w:lvl>
    <w:lvl w:ilvl="6" w:tplc="22383544">
      <w:start w:val="1"/>
      <w:numFmt w:val="bullet"/>
      <w:lvlText w:val="•"/>
      <w:lvlJc w:val="left"/>
      <w:pPr>
        <w:ind w:left="1560" w:hanging="448"/>
      </w:pPr>
      <w:rPr>
        <w:rFonts w:hint="default"/>
      </w:rPr>
    </w:lvl>
    <w:lvl w:ilvl="7" w:tplc="C5B2EF10">
      <w:start w:val="1"/>
      <w:numFmt w:val="bullet"/>
      <w:lvlText w:val="•"/>
      <w:lvlJc w:val="left"/>
      <w:pPr>
        <w:ind w:left="3686" w:hanging="448"/>
      </w:pPr>
      <w:rPr>
        <w:rFonts w:hint="default"/>
      </w:rPr>
    </w:lvl>
    <w:lvl w:ilvl="8" w:tplc="BFEE9A6C">
      <w:start w:val="1"/>
      <w:numFmt w:val="bullet"/>
      <w:lvlText w:val="•"/>
      <w:lvlJc w:val="left"/>
      <w:pPr>
        <w:ind w:left="5812" w:hanging="448"/>
      </w:pPr>
      <w:rPr>
        <w:rFonts w:hint="default"/>
      </w:rPr>
    </w:lvl>
  </w:abstractNum>
  <w:abstractNum w:abstractNumId="11" w15:restartNumberingAfterBreak="0">
    <w:nsid w:val="71824794"/>
    <w:multiLevelType w:val="hybridMultilevel"/>
    <w:tmpl w:val="C8E243E4"/>
    <w:lvl w:ilvl="0" w:tplc="FA683014">
      <w:start w:val="9"/>
      <w:numFmt w:val="decimal"/>
      <w:lvlText w:val="%1."/>
      <w:lvlJc w:val="left"/>
      <w:pPr>
        <w:ind w:left="1259" w:hanging="429"/>
      </w:pPr>
      <w:rPr>
        <w:rFonts w:asciiTheme="minorHAnsi" w:eastAsia="Arial" w:hAnsiTheme="minorHAnsi" w:hint="default"/>
        <w:spacing w:val="-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ED79A9"/>
    <w:multiLevelType w:val="hybridMultilevel"/>
    <w:tmpl w:val="1AA2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4612809">
    <w:abstractNumId w:val="1"/>
  </w:num>
  <w:num w:numId="2" w16cid:durableId="538475868">
    <w:abstractNumId w:val="8"/>
  </w:num>
  <w:num w:numId="3" w16cid:durableId="1554853676">
    <w:abstractNumId w:val="12"/>
  </w:num>
  <w:num w:numId="4" w16cid:durableId="1922907785">
    <w:abstractNumId w:val="2"/>
  </w:num>
  <w:num w:numId="5" w16cid:durableId="1024020286">
    <w:abstractNumId w:val="3"/>
  </w:num>
  <w:num w:numId="6" w16cid:durableId="371883926">
    <w:abstractNumId w:val="5"/>
  </w:num>
  <w:num w:numId="7" w16cid:durableId="1443721202">
    <w:abstractNumId w:val="10"/>
  </w:num>
  <w:num w:numId="8" w16cid:durableId="1865899244">
    <w:abstractNumId w:val="11"/>
  </w:num>
  <w:num w:numId="9" w16cid:durableId="870338035">
    <w:abstractNumId w:val="6"/>
  </w:num>
  <w:num w:numId="10" w16cid:durableId="74859302">
    <w:abstractNumId w:val="7"/>
  </w:num>
  <w:num w:numId="11" w16cid:durableId="531070219">
    <w:abstractNumId w:val="0"/>
  </w:num>
  <w:num w:numId="12" w16cid:durableId="1765413918">
    <w:abstractNumId w:val="9"/>
  </w:num>
  <w:num w:numId="13" w16cid:durableId="86925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E" w:vendorID="64" w:dllVersion="6" w:nlCheck="1" w:checkStyle="1"/>
  <w:activeWritingStyle w:appName="MSWord" w:lang="en-IE"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1D"/>
    <w:rsid w:val="00011BE2"/>
    <w:rsid w:val="00021285"/>
    <w:rsid w:val="00035D01"/>
    <w:rsid w:val="000752FF"/>
    <w:rsid w:val="00097565"/>
    <w:rsid w:val="000B6FBC"/>
    <w:rsid w:val="000B7747"/>
    <w:rsid w:val="000F053B"/>
    <w:rsid w:val="0010201D"/>
    <w:rsid w:val="001112ED"/>
    <w:rsid w:val="00125039"/>
    <w:rsid w:val="0012733D"/>
    <w:rsid w:val="001377B0"/>
    <w:rsid w:val="00152329"/>
    <w:rsid w:val="00154A1F"/>
    <w:rsid w:val="001579C7"/>
    <w:rsid w:val="001722B6"/>
    <w:rsid w:val="0018779C"/>
    <w:rsid w:val="001971F5"/>
    <w:rsid w:val="001A1F28"/>
    <w:rsid w:val="001A4D74"/>
    <w:rsid w:val="001F52E5"/>
    <w:rsid w:val="001F5C17"/>
    <w:rsid w:val="002261D1"/>
    <w:rsid w:val="0022772C"/>
    <w:rsid w:val="00247DE0"/>
    <w:rsid w:val="002568C6"/>
    <w:rsid w:val="002765E9"/>
    <w:rsid w:val="00280F0A"/>
    <w:rsid w:val="00292BA1"/>
    <w:rsid w:val="002B2E78"/>
    <w:rsid w:val="002B32F4"/>
    <w:rsid w:val="002B6D12"/>
    <w:rsid w:val="0030518B"/>
    <w:rsid w:val="00305E10"/>
    <w:rsid w:val="003400DE"/>
    <w:rsid w:val="00357659"/>
    <w:rsid w:val="00364579"/>
    <w:rsid w:val="00370B98"/>
    <w:rsid w:val="0039135C"/>
    <w:rsid w:val="00393C8B"/>
    <w:rsid w:val="003A7A98"/>
    <w:rsid w:val="003B3F6C"/>
    <w:rsid w:val="003C70D6"/>
    <w:rsid w:val="003E37D9"/>
    <w:rsid w:val="00403A09"/>
    <w:rsid w:val="004054BB"/>
    <w:rsid w:val="00412B3B"/>
    <w:rsid w:val="00433326"/>
    <w:rsid w:val="004476C3"/>
    <w:rsid w:val="004504D2"/>
    <w:rsid w:val="0047358C"/>
    <w:rsid w:val="00496A23"/>
    <w:rsid w:val="004D212E"/>
    <w:rsid w:val="004E6063"/>
    <w:rsid w:val="004F2ECC"/>
    <w:rsid w:val="005012E9"/>
    <w:rsid w:val="0052789E"/>
    <w:rsid w:val="00544922"/>
    <w:rsid w:val="00573F73"/>
    <w:rsid w:val="0058413D"/>
    <w:rsid w:val="00586FBF"/>
    <w:rsid w:val="005903CD"/>
    <w:rsid w:val="005A750A"/>
    <w:rsid w:val="005C46D3"/>
    <w:rsid w:val="005D7D90"/>
    <w:rsid w:val="005E0CC1"/>
    <w:rsid w:val="005F7F52"/>
    <w:rsid w:val="00621EA6"/>
    <w:rsid w:val="00624F59"/>
    <w:rsid w:val="006357FD"/>
    <w:rsid w:val="006424C1"/>
    <w:rsid w:val="00655BD9"/>
    <w:rsid w:val="00673122"/>
    <w:rsid w:val="00686B6A"/>
    <w:rsid w:val="00695988"/>
    <w:rsid w:val="006B1E1C"/>
    <w:rsid w:val="006B2C87"/>
    <w:rsid w:val="006C251C"/>
    <w:rsid w:val="006D7682"/>
    <w:rsid w:val="0070733F"/>
    <w:rsid w:val="00713AE1"/>
    <w:rsid w:val="00716CF3"/>
    <w:rsid w:val="00735E4F"/>
    <w:rsid w:val="007457E0"/>
    <w:rsid w:val="00752CB3"/>
    <w:rsid w:val="00775DE5"/>
    <w:rsid w:val="007861A1"/>
    <w:rsid w:val="00787F71"/>
    <w:rsid w:val="007A1111"/>
    <w:rsid w:val="007B2FA2"/>
    <w:rsid w:val="007C462D"/>
    <w:rsid w:val="007E5B69"/>
    <w:rsid w:val="007F6B81"/>
    <w:rsid w:val="00811F7A"/>
    <w:rsid w:val="0083577D"/>
    <w:rsid w:val="008473F3"/>
    <w:rsid w:val="008504AF"/>
    <w:rsid w:val="00857DE4"/>
    <w:rsid w:val="00860F8F"/>
    <w:rsid w:val="008625B0"/>
    <w:rsid w:val="008704D4"/>
    <w:rsid w:val="00875F33"/>
    <w:rsid w:val="00882DAA"/>
    <w:rsid w:val="008A652B"/>
    <w:rsid w:val="008B4B98"/>
    <w:rsid w:val="008E6084"/>
    <w:rsid w:val="008E7445"/>
    <w:rsid w:val="00917F3A"/>
    <w:rsid w:val="00920A4D"/>
    <w:rsid w:val="00927857"/>
    <w:rsid w:val="00954F50"/>
    <w:rsid w:val="00960F00"/>
    <w:rsid w:val="00971B5A"/>
    <w:rsid w:val="009A6F16"/>
    <w:rsid w:val="009E245D"/>
    <w:rsid w:val="009F70E5"/>
    <w:rsid w:val="00A01511"/>
    <w:rsid w:val="00A03956"/>
    <w:rsid w:val="00A041E9"/>
    <w:rsid w:val="00A22136"/>
    <w:rsid w:val="00A4671F"/>
    <w:rsid w:val="00A61167"/>
    <w:rsid w:val="00A63160"/>
    <w:rsid w:val="00A7341D"/>
    <w:rsid w:val="00A776DB"/>
    <w:rsid w:val="00A778BB"/>
    <w:rsid w:val="00AA4928"/>
    <w:rsid w:val="00AA7149"/>
    <w:rsid w:val="00AB12BC"/>
    <w:rsid w:val="00AC4E1C"/>
    <w:rsid w:val="00B30497"/>
    <w:rsid w:val="00B67B4D"/>
    <w:rsid w:val="00C10C4A"/>
    <w:rsid w:val="00C446A2"/>
    <w:rsid w:val="00C53A61"/>
    <w:rsid w:val="00C5570B"/>
    <w:rsid w:val="00C821B0"/>
    <w:rsid w:val="00CC06D3"/>
    <w:rsid w:val="00CC5113"/>
    <w:rsid w:val="00CC549B"/>
    <w:rsid w:val="00CD523B"/>
    <w:rsid w:val="00CE1FC9"/>
    <w:rsid w:val="00CF05E2"/>
    <w:rsid w:val="00D027A7"/>
    <w:rsid w:val="00D131CA"/>
    <w:rsid w:val="00D13891"/>
    <w:rsid w:val="00D166AD"/>
    <w:rsid w:val="00D27BF9"/>
    <w:rsid w:val="00D308B6"/>
    <w:rsid w:val="00D54BB3"/>
    <w:rsid w:val="00DB150D"/>
    <w:rsid w:val="00DB7327"/>
    <w:rsid w:val="00DC7D23"/>
    <w:rsid w:val="00DE414D"/>
    <w:rsid w:val="00DE582E"/>
    <w:rsid w:val="00DE7658"/>
    <w:rsid w:val="00DF17A1"/>
    <w:rsid w:val="00DF38D7"/>
    <w:rsid w:val="00DF6665"/>
    <w:rsid w:val="00DF6839"/>
    <w:rsid w:val="00E14A84"/>
    <w:rsid w:val="00E26777"/>
    <w:rsid w:val="00E325F4"/>
    <w:rsid w:val="00E609B1"/>
    <w:rsid w:val="00E64D4F"/>
    <w:rsid w:val="00E669A4"/>
    <w:rsid w:val="00E72D08"/>
    <w:rsid w:val="00E72E9D"/>
    <w:rsid w:val="00EA31EC"/>
    <w:rsid w:val="00EA5DD8"/>
    <w:rsid w:val="00EA72B0"/>
    <w:rsid w:val="00EB39A6"/>
    <w:rsid w:val="00EB7AC8"/>
    <w:rsid w:val="00ED2A48"/>
    <w:rsid w:val="00ED63DD"/>
    <w:rsid w:val="00EE25BB"/>
    <w:rsid w:val="00EE2980"/>
    <w:rsid w:val="00EE5B8B"/>
    <w:rsid w:val="00EE78C5"/>
    <w:rsid w:val="00F02450"/>
    <w:rsid w:val="00F02D83"/>
    <w:rsid w:val="00F22E4C"/>
    <w:rsid w:val="00F22F04"/>
    <w:rsid w:val="00F2354B"/>
    <w:rsid w:val="00F96922"/>
    <w:rsid w:val="00FB5A9B"/>
    <w:rsid w:val="00FC329F"/>
    <w:rsid w:val="00FD1233"/>
    <w:rsid w:val="00FE0E53"/>
    <w:rsid w:val="00FE30B8"/>
    <w:rsid w:val="00FF1507"/>
    <w:rsid w:val="00FF25D7"/>
    <w:rsid w:val="00FF34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55FD26"/>
  <w15:docId w15:val="{5CA320BB-D4A4-4FFC-8486-41CA6426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1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7341D"/>
    <w:pPr>
      <w:ind w:left="720"/>
      <w:contextualSpacing/>
    </w:pPr>
  </w:style>
  <w:style w:type="character" w:styleId="Hyperlink">
    <w:name w:val="Hyperlink"/>
    <w:basedOn w:val="DefaultParagraphFont"/>
    <w:uiPriority w:val="99"/>
    <w:unhideWhenUsed/>
    <w:rsid w:val="004F2ECC"/>
    <w:rPr>
      <w:color w:val="0563C1" w:themeColor="hyperlink"/>
      <w:u w:val="single"/>
    </w:rPr>
  </w:style>
  <w:style w:type="paragraph" w:styleId="BalloonText">
    <w:name w:val="Balloon Text"/>
    <w:basedOn w:val="Normal"/>
    <w:link w:val="BalloonTextChar"/>
    <w:uiPriority w:val="99"/>
    <w:semiHidden/>
    <w:unhideWhenUsed/>
    <w:rsid w:val="00447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6C3"/>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EE5B8B"/>
    <w:rPr>
      <w:sz w:val="16"/>
      <w:szCs w:val="16"/>
    </w:rPr>
  </w:style>
  <w:style w:type="paragraph" w:styleId="CommentText">
    <w:name w:val="annotation text"/>
    <w:basedOn w:val="Normal"/>
    <w:link w:val="CommentTextChar"/>
    <w:uiPriority w:val="99"/>
    <w:semiHidden/>
    <w:unhideWhenUsed/>
    <w:rsid w:val="00EE5B8B"/>
    <w:rPr>
      <w:sz w:val="20"/>
      <w:szCs w:val="20"/>
    </w:rPr>
  </w:style>
  <w:style w:type="character" w:customStyle="1" w:styleId="CommentTextChar">
    <w:name w:val="Comment Text Char"/>
    <w:basedOn w:val="DefaultParagraphFont"/>
    <w:link w:val="CommentText"/>
    <w:uiPriority w:val="99"/>
    <w:semiHidden/>
    <w:rsid w:val="00EE5B8B"/>
    <w:rPr>
      <w:sz w:val="20"/>
      <w:szCs w:val="20"/>
      <w:lang w:val="en-GB"/>
    </w:rPr>
  </w:style>
  <w:style w:type="paragraph" w:styleId="CommentSubject">
    <w:name w:val="annotation subject"/>
    <w:basedOn w:val="CommentText"/>
    <w:next w:val="CommentText"/>
    <w:link w:val="CommentSubjectChar"/>
    <w:uiPriority w:val="99"/>
    <w:semiHidden/>
    <w:unhideWhenUsed/>
    <w:rsid w:val="00EE5B8B"/>
    <w:rPr>
      <w:b/>
      <w:bCs/>
    </w:rPr>
  </w:style>
  <w:style w:type="character" w:customStyle="1" w:styleId="CommentSubjectChar">
    <w:name w:val="Comment Subject Char"/>
    <w:basedOn w:val="CommentTextChar"/>
    <w:link w:val="CommentSubject"/>
    <w:uiPriority w:val="99"/>
    <w:semiHidden/>
    <w:rsid w:val="00EE5B8B"/>
    <w:rPr>
      <w:b/>
      <w:bCs/>
      <w:sz w:val="20"/>
      <w:szCs w:val="20"/>
      <w:lang w:val="en-GB"/>
    </w:rPr>
  </w:style>
  <w:style w:type="paragraph" w:styleId="NormalWeb">
    <w:name w:val="Normal (Web)"/>
    <w:basedOn w:val="Normal"/>
    <w:uiPriority w:val="99"/>
    <w:unhideWhenUsed/>
    <w:rsid w:val="003A7A98"/>
    <w:pPr>
      <w:spacing w:before="100" w:beforeAutospacing="1" w:after="100" w:afterAutospacing="1"/>
    </w:pPr>
    <w:rPr>
      <w:rFonts w:ascii="Times New Roman" w:eastAsia="Times New Roman" w:hAnsi="Times New Roman" w:cs="Times New Roman"/>
      <w:lang w:val="en-IE" w:eastAsia="en-IE"/>
    </w:rPr>
  </w:style>
  <w:style w:type="paragraph" w:styleId="Header">
    <w:name w:val="header"/>
    <w:basedOn w:val="Normal"/>
    <w:link w:val="HeaderChar"/>
    <w:uiPriority w:val="99"/>
    <w:unhideWhenUsed/>
    <w:rsid w:val="006D7682"/>
    <w:pPr>
      <w:tabs>
        <w:tab w:val="center" w:pos="4513"/>
        <w:tab w:val="right" w:pos="9026"/>
      </w:tabs>
    </w:pPr>
  </w:style>
  <w:style w:type="character" w:customStyle="1" w:styleId="HeaderChar">
    <w:name w:val="Header Char"/>
    <w:basedOn w:val="DefaultParagraphFont"/>
    <w:link w:val="Header"/>
    <w:uiPriority w:val="99"/>
    <w:rsid w:val="006D7682"/>
    <w:rPr>
      <w:lang w:val="en-GB"/>
    </w:rPr>
  </w:style>
  <w:style w:type="paragraph" w:styleId="Footer">
    <w:name w:val="footer"/>
    <w:basedOn w:val="Normal"/>
    <w:link w:val="FooterChar"/>
    <w:uiPriority w:val="99"/>
    <w:unhideWhenUsed/>
    <w:rsid w:val="006D7682"/>
    <w:pPr>
      <w:tabs>
        <w:tab w:val="center" w:pos="4513"/>
        <w:tab w:val="right" w:pos="9026"/>
      </w:tabs>
    </w:pPr>
  </w:style>
  <w:style w:type="character" w:customStyle="1" w:styleId="FooterChar">
    <w:name w:val="Footer Char"/>
    <w:basedOn w:val="DefaultParagraphFont"/>
    <w:link w:val="Footer"/>
    <w:uiPriority w:val="99"/>
    <w:rsid w:val="006D7682"/>
    <w:rPr>
      <w:lang w:val="en-GB"/>
    </w:rPr>
  </w:style>
  <w:style w:type="paragraph" w:styleId="BodyText">
    <w:name w:val="Body Text"/>
    <w:basedOn w:val="Normal"/>
    <w:link w:val="BodyTextChar"/>
    <w:uiPriority w:val="1"/>
    <w:qFormat/>
    <w:rsid w:val="00B30497"/>
    <w:pPr>
      <w:widowControl w:val="0"/>
      <w:ind w:left="105"/>
    </w:pPr>
    <w:rPr>
      <w:rFonts w:ascii="Arial" w:eastAsia="Arial" w:hAnsi="Arial"/>
      <w:sz w:val="18"/>
      <w:szCs w:val="18"/>
      <w:lang w:val="en-US"/>
    </w:rPr>
  </w:style>
  <w:style w:type="character" w:customStyle="1" w:styleId="BodyTextChar">
    <w:name w:val="Body Text Char"/>
    <w:basedOn w:val="DefaultParagraphFont"/>
    <w:link w:val="BodyText"/>
    <w:uiPriority w:val="1"/>
    <w:rsid w:val="00B30497"/>
    <w:rPr>
      <w:rFonts w:ascii="Arial" w:eastAsia="Arial" w:hAnsi="Arial"/>
      <w:sz w:val="18"/>
      <w:szCs w:val="18"/>
    </w:rPr>
  </w:style>
  <w:style w:type="character" w:styleId="FollowedHyperlink">
    <w:name w:val="FollowedHyperlink"/>
    <w:basedOn w:val="DefaultParagraphFont"/>
    <w:uiPriority w:val="99"/>
    <w:semiHidden/>
    <w:unhideWhenUsed/>
    <w:rsid w:val="00F96922"/>
    <w:rPr>
      <w:color w:val="954F72" w:themeColor="followedHyperlink"/>
      <w:u w:val="single"/>
    </w:rPr>
  </w:style>
  <w:style w:type="paragraph" w:styleId="Revision">
    <w:name w:val="Revision"/>
    <w:hidden/>
    <w:uiPriority w:val="99"/>
    <w:semiHidden/>
    <w:rsid w:val="005012E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27243">
      <w:bodyDiv w:val="1"/>
      <w:marLeft w:val="0"/>
      <w:marRight w:val="0"/>
      <w:marTop w:val="0"/>
      <w:marBottom w:val="0"/>
      <w:divBdr>
        <w:top w:val="none" w:sz="0" w:space="0" w:color="auto"/>
        <w:left w:val="none" w:sz="0" w:space="0" w:color="auto"/>
        <w:bottom w:val="none" w:sz="0" w:space="0" w:color="auto"/>
        <w:right w:val="none" w:sz="0" w:space="0" w:color="auto"/>
      </w:divBdr>
    </w:div>
    <w:div w:id="815879939">
      <w:bodyDiv w:val="1"/>
      <w:marLeft w:val="0"/>
      <w:marRight w:val="0"/>
      <w:marTop w:val="0"/>
      <w:marBottom w:val="0"/>
      <w:divBdr>
        <w:top w:val="none" w:sz="0" w:space="0" w:color="auto"/>
        <w:left w:val="none" w:sz="0" w:space="0" w:color="auto"/>
        <w:bottom w:val="none" w:sz="0" w:space="0" w:color="auto"/>
        <w:right w:val="none" w:sz="0" w:space="0" w:color="auto"/>
      </w:divBdr>
    </w:div>
    <w:div w:id="852449768">
      <w:bodyDiv w:val="1"/>
      <w:marLeft w:val="0"/>
      <w:marRight w:val="0"/>
      <w:marTop w:val="0"/>
      <w:marBottom w:val="0"/>
      <w:divBdr>
        <w:top w:val="none" w:sz="0" w:space="0" w:color="auto"/>
        <w:left w:val="none" w:sz="0" w:space="0" w:color="auto"/>
        <w:bottom w:val="none" w:sz="0" w:space="0" w:color="auto"/>
        <w:right w:val="none" w:sz="0" w:space="0" w:color="auto"/>
      </w:divBdr>
    </w:div>
    <w:div w:id="1227180634">
      <w:bodyDiv w:val="1"/>
      <w:marLeft w:val="0"/>
      <w:marRight w:val="0"/>
      <w:marTop w:val="0"/>
      <w:marBottom w:val="0"/>
      <w:divBdr>
        <w:top w:val="none" w:sz="0" w:space="0" w:color="auto"/>
        <w:left w:val="none" w:sz="0" w:space="0" w:color="auto"/>
        <w:bottom w:val="none" w:sz="0" w:space="0" w:color="auto"/>
        <w:right w:val="none" w:sz="0" w:space="0" w:color="auto"/>
      </w:divBdr>
    </w:div>
    <w:div w:id="1765760990">
      <w:bodyDiv w:val="1"/>
      <w:marLeft w:val="0"/>
      <w:marRight w:val="0"/>
      <w:marTop w:val="0"/>
      <w:marBottom w:val="0"/>
      <w:divBdr>
        <w:top w:val="none" w:sz="0" w:space="0" w:color="auto"/>
        <w:left w:val="none" w:sz="0" w:space="0" w:color="auto"/>
        <w:bottom w:val="none" w:sz="0" w:space="0" w:color="auto"/>
        <w:right w:val="none" w:sz="0" w:space="0" w:color="auto"/>
      </w:divBdr>
      <w:divsChild>
        <w:div w:id="1416586543">
          <w:marLeft w:val="0"/>
          <w:marRight w:val="0"/>
          <w:marTop w:val="0"/>
          <w:marBottom w:val="0"/>
          <w:divBdr>
            <w:top w:val="single" w:sz="6" w:space="0" w:color="CCCCCC"/>
            <w:left w:val="single" w:sz="6" w:space="0" w:color="CCCCCC"/>
            <w:bottom w:val="single" w:sz="6" w:space="0" w:color="CCCCCC"/>
            <w:right w:val="single" w:sz="6" w:space="0" w:color="CCCCCC"/>
          </w:divBdr>
          <w:divsChild>
            <w:div w:id="9987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4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ta.fca.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2024-04-25T11:31:06+00:00</DateReceived>
    <TaxCatchAll xmlns="801a3cf6-255d-4ff5-98fe-b4415afa84b5" xsi:nil="true"/>
  </documentManagement>
</p:properties>
</file>

<file path=customXml/itemProps1.xml><?xml version="1.0" encoding="utf-8"?>
<ds:datastoreItem xmlns:ds="http://schemas.openxmlformats.org/officeDocument/2006/customXml" ds:itemID="{A76D2723-6F37-4445-AED7-284957BCD4C0}"/>
</file>

<file path=customXml/itemProps2.xml><?xml version="1.0" encoding="utf-8"?>
<ds:datastoreItem xmlns:ds="http://schemas.openxmlformats.org/officeDocument/2006/customXml" ds:itemID="{D9982F81-2C8A-470F-B3BF-B782ACE43B99}">
  <ds:schemaRefs>
    <ds:schemaRef ds:uri="http://schemas.openxmlformats.org/officeDocument/2006/bibliography"/>
  </ds:schemaRefs>
</ds:datastoreItem>
</file>

<file path=customXml/itemProps3.xml><?xml version="1.0" encoding="utf-8"?>
<ds:datastoreItem xmlns:ds="http://schemas.openxmlformats.org/officeDocument/2006/customXml" ds:itemID="{C6AA4C47-7BAA-411C-9B51-DDD003EB355B}">
  <ds:schemaRefs>
    <ds:schemaRef ds:uri="http://schemas.microsoft.com/sharepoint/v3/contenttype/forms"/>
  </ds:schemaRefs>
</ds:datastoreItem>
</file>

<file path=customXml/itemProps4.xml><?xml version="1.0" encoding="utf-8"?>
<ds:datastoreItem xmlns:ds="http://schemas.openxmlformats.org/officeDocument/2006/customXml" ds:itemID="{EB91A709-1BCB-444B-AB9B-736BB7F78D71}"/>
</file>

<file path=docProps/app.xml><?xml version="1.0" encoding="utf-8"?>
<Properties xmlns="http://schemas.openxmlformats.org/officeDocument/2006/extended-properties" xmlns:vt="http://schemas.openxmlformats.org/officeDocument/2006/docPropsVTypes">
  <Template>Normal</Template>
  <TotalTime>33</TotalTime>
  <Pages>6</Pages>
  <Words>2355</Words>
  <Characters>12059</Characters>
  <Application>Microsoft Office Word</Application>
  <DocSecurity>0</DocSecurity>
  <Lines>709</Lines>
  <Paragraphs>464</Paragraphs>
  <ScaleCrop>false</ScaleCrop>
  <HeadingPairs>
    <vt:vector size="2" baseType="variant">
      <vt:variant>
        <vt:lpstr>Title</vt:lpstr>
      </vt:variant>
      <vt:variant>
        <vt:i4>1</vt:i4>
      </vt:variant>
    </vt:vector>
  </HeadingPairs>
  <TitlesOfParts>
    <vt:vector size="1" baseType="lpstr">
      <vt:lpstr/>
    </vt:vector>
  </TitlesOfParts>
  <Company>Heritage Group</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Mc Daniel</dc:creator>
  <cp:lastModifiedBy>Nina Nuzi</cp:lastModifiedBy>
  <cp:revision>24</cp:revision>
  <cp:lastPrinted>2018-04-03T12:19:00Z</cp:lastPrinted>
  <dcterms:created xsi:type="dcterms:W3CDTF">2023-04-12T14:20:00Z</dcterms:created>
  <dcterms:modified xsi:type="dcterms:W3CDTF">2024-04-25T10:45:00Z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