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11E7" w14:textId="7FEDCFE5" w:rsidR="000A3191" w:rsidRPr="00E53E9A" w:rsidRDefault="00D23353">
      <w:pPr>
        <w:rPr>
          <w:rFonts w:ascii="Arial" w:hAnsi="Arial" w:cs="Arial"/>
          <w:sz w:val="28"/>
          <w:szCs w:val="48"/>
        </w:rPr>
      </w:pPr>
      <w:r w:rsidRPr="00E53E9A">
        <w:rPr>
          <w:rFonts w:ascii="Arial" w:hAnsi="Arial" w:cs="Arial"/>
          <w:sz w:val="28"/>
          <w:szCs w:val="48"/>
        </w:rPr>
        <w:t>Greencoat Renewables 2024 Final Results</w:t>
      </w:r>
    </w:p>
    <w:p w14:paraId="52C0E5EF" w14:textId="77777777" w:rsidR="00D23353" w:rsidRPr="00E53E9A" w:rsidRDefault="00D23353">
      <w:pPr>
        <w:rPr>
          <w:rFonts w:ascii="Arial" w:hAnsi="Arial" w:cs="Arial"/>
          <w:sz w:val="22"/>
          <w:szCs w:val="40"/>
        </w:rPr>
      </w:pPr>
    </w:p>
    <w:p w14:paraId="70FCACCB" w14:textId="1B09A5E5" w:rsidR="00D23353" w:rsidRPr="00E53E9A" w:rsidRDefault="00D23353">
      <w:pPr>
        <w:rPr>
          <w:rFonts w:ascii="Arial" w:hAnsi="Arial" w:cs="Arial"/>
          <w:sz w:val="22"/>
          <w:szCs w:val="40"/>
        </w:rPr>
      </w:pPr>
      <w:r w:rsidRPr="00E53E9A">
        <w:rPr>
          <w:rFonts w:ascii="Arial" w:hAnsi="Arial" w:cs="Arial"/>
          <w:b/>
          <w:bCs/>
          <w:sz w:val="22"/>
          <w:szCs w:val="40"/>
        </w:rPr>
        <w:t>Dublin, London | 6 March 2025:</w:t>
      </w:r>
      <w:r w:rsidRPr="00E53E9A">
        <w:rPr>
          <w:rFonts w:ascii="Arial" w:hAnsi="Arial" w:cs="Arial"/>
          <w:sz w:val="22"/>
          <w:szCs w:val="40"/>
        </w:rPr>
        <w:t> Greencoat Renewables PLC ("Greencoat Renewables" or the "Company") today announces its results for the year ended 31 December 2024, which have been published in full on the Company's website: </w:t>
      </w:r>
      <w:hyperlink r:id="rId10" w:history="1">
        <w:r w:rsidRPr="00E53E9A">
          <w:rPr>
            <w:rStyle w:val="Hyperlink"/>
            <w:rFonts w:ascii="Arial" w:hAnsi="Arial" w:cs="Arial"/>
            <w:sz w:val="22"/>
            <w:szCs w:val="40"/>
          </w:rPr>
          <w:t>www.greencoat-renewables.com</w:t>
        </w:r>
      </w:hyperlink>
      <w:r w:rsidRPr="00E53E9A">
        <w:rPr>
          <w:rFonts w:ascii="Arial" w:hAnsi="Arial" w:cs="Arial"/>
          <w:sz w:val="22"/>
          <w:szCs w:val="40"/>
        </w:rPr>
        <w:t>.</w:t>
      </w:r>
    </w:p>
    <w:p w14:paraId="13511AA8" w14:textId="77777777" w:rsidR="00A436C2" w:rsidRDefault="00A436C2" w:rsidP="00B02F06">
      <w:pPr>
        <w:rPr>
          <w:rFonts w:ascii="Arial" w:hAnsi="Arial" w:cs="Arial"/>
          <w:b/>
          <w:bCs/>
          <w:sz w:val="28"/>
          <w:szCs w:val="48"/>
        </w:rPr>
      </w:pPr>
    </w:p>
    <w:p w14:paraId="5F156E47" w14:textId="0EE21BCC" w:rsidR="00B02F06" w:rsidRPr="006267B5" w:rsidRDefault="00B02F06" w:rsidP="00B02F06">
      <w:pPr>
        <w:rPr>
          <w:rFonts w:ascii="Arial" w:hAnsi="Arial" w:cs="Arial"/>
          <w:b/>
          <w:bCs/>
          <w:sz w:val="28"/>
          <w:szCs w:val="48"/>
        </w:rPr>
      </w:pPr>
      <w:r w:rsidRPr="006267B5">
        <w:rPr>
          <w:rFonts w:ascii="Arial" w:hAnsi="Arial" w:cs="Arial"/>
          <w:b/>
          <w:bCs/>
          <w:sz w:val="28"/>
          <w:szCs w:val="48"/>
        </w:rPr>
        <w:t xml:space="preserve">4.5% NAV Total Return Including Dividends Paid </w:t>
      </w:r>
    </w:p>
    <w:p w14:paraId="726728BE" w14:textId="77777777" w:rsidR="00D33886" w:rsidRDefault="00D33886">
      <w:pPr>
        <w:rPr>
          <w:rFonts w:ascii="Arial" w:hAnsi="Arial" w:cs="Arial"/>
          <w:sz w:val="22"/>
          <w:szCs w:val="40"/>
        </w:rPr>
      </w:pPr>
    </w:p>
    <w:p w14:paraId="6D3FC4D0" w14:textId="77777777" w:rsidR="00B02F06" w:rsidRPr="00E53E9A" w:rsidRDefault="00B02F06">
      <w:pPr>
        <w:rPr>
          <w:rFonts w:ascii="Arial" w:hAnsi="Arial" w:cs="Arial"/>
          <w:sz w:val="22"/>
          <w:szCs w:val="40"/>
        </w:rPr>
      </w:pPr>
    </w:p>
    <w:p w14:paraId="4F93FC4A" w14:textId="5C65C7B8" w:rsidR="00D23353" w:rsidRPr="00E53E9A" w:rsidRDefault="00D23353">
      <w:pPr>
        <w:rPr>
          <w:rFonts w:ascii="Arial" w:hAnsi="Arial" w:cs="Arial"/>
          <w:sz w:val="22"/>
          <w:szCs w:val="40"/>
        </w:rPr>
      </w:pPr>
      <w:r w:rsidRPr="00E53E9A">
        <w:rPr>
          <w:rFonts w:ascii="Arial" w:hAnsi="Arial" w:cs="Arial"/>
          <w:b/>
          <w:bCs/>
          <w:sz w:val="22"/>
          <w:szCs w:val="40"/>
        </w:rPr>
        <w:t>2024 Highlights</w:t>
      </w:r>
    </w:p>
    <w:p w14:paraId="7AE077B7" w14:textId="77777777" w:rsidR="007D7738" w:rsidRPr="00E53E9A" w:rsidRDefault="007D7738">
      <w:pPr>
        <w:rPr>
          <w:rFonts w:ascii="Arial" w:hAnsi="Arial" w:cs="Arial"/>
          <w:sz w:val="22"/>
          <w:szCs w:val="40"/>
        </w:rPr>
      </w:pPr>
    </w:p>
    <w:p w14:paraId="3771594F" w14:textId="258801B3" w:rsidR="007D7738" w:rsidRPr="00E53E9A" w:rsidRDefault="00D23353" w:rsidP="00907231">
      <w:pPr>
        <w:pStyle w:val="ListParagraph"/>
        <w:numPr>
          <w:ilvl w:val="0"/>
          <w:numId w:val="7"/>
        </w:numPr>
        <w:rPr>
          <w:rFonts w:ascii="Arial" w:hAnsi="Arial" w:cs="Arial"/>
          <w:sz w:val="22"/>
          <w:szCs w:val="40"/>
        </w:rPr>
      </w:pPr>
      <w:r w:rsidRPr="00E53E9A">
        <w:rPr>
          <w:rFonts w:ascii="Arial" w:hAnsi="Arial" w:cs="Arial"/>
          <w:sz w:val="22"/>
          <w:szCs w:val="40"/>
        </w:rPr>
        <w:t>3,</w:t>
      </w:r>
      <w:r w:rsidR="00F867F8" w:rsidRPr="00E53E9A">
        <w:rPr>
          <w:rFonts w:ascii="Arial" w:hAnsi="Arial" w:cs="Arial"/>
          <w:sz w:val="22"/>
          <w:szCs w:val="40"/>
        </w:rPr>
        <w:t>443</w:t>
      </w:r>
      <w:r w:rsidRPr="00E53E9A">
        <w:rPr>
          <w:rFonts w:ascii="Arial" w:hAnsi="Arial" w:cs="Arial"/>
          <w:sz w:val="22"/>
          <w:szCs w:val="40"/>
        </w:rPr>
        <w:t xml:space="preserve"> GWh of </w:t>
      </w:r>
      <w:r w:rsidR="00543C19" w:rsidRPr="00E53E9A">
        <w:rPr>
          <w:rFonts w:ascii="Arial" w:hAnsi="Arial" w:cs="Arial"/>
          <w:sz w:val="22"/>
          <w:szCs w:val="40"/>
        </w:rPr>
        <w:t xml:space="preserve">clean electricity </w:t>
      </w:r>
      <w:r w:rsidR="00F867F8" w:rsidRPr="00E53E9A">
        <w:rPr>
          <w:rFonts w:ascii="Arial" w:hAnsi="Arial" w:cs="Arial"/>
          <w:sz w:val="22"/>
          <w:szCs w:val="40"/>
        </w:rPr>
        <w:t xml:space="preserve">generated </w:t>
      </w:r>
      <w:r w:rsidRPr="00E53E9A">
        <w:rPr>
          <w:rFonts w:ascii="Arial" w:hAnsi="Arial" w:cs="Arial"/>
          <w:sz w:val="22"/>
          <w:szCs w:val="40"/>
        </w:rPr>
        <w:t xml:space="preserve">in the period </w:t>
      </w:r>
      <w:r w:rsidR="007949BF">
        <w:rPr>
          <w:rFonts w:ascii="Arial" w:hAnsi="Arial" w:cs="Arial"/>
          <w:sz w:val="22"/>
          <w:szCs w:val="40"/>
        </w:rPr>
        <w:t xml:space="preserve">with total capacity of 1.5GWh across 39 </w:t>
      </w:r>
      <w:r w:rsidR="007949BF" w:rsidRPr="00E53E9A">
        <w:rPr>
          <w:rFonts w:ascii="Arial" w:hAnsi="Arial" w:cs="Arial"/>
          <w:sz w:val="22"/>
          <w:szCs w:val="40"/>
        </w:rPr>
        <w:t xml:space="preserve">renewable generation and storage assets </w:t>
      </w:r>
      <w:r w:rsidR="008756F0">
        <w:rPr>
          <w:rFonts w:ascii="Arial" w:hAnsi="Arial" w:cs="Arial"/>
          <w:sz w:val="22"/>
          <w:szCs w:val="40"/>
        </w:rPr>
        <w:t>in</w:t>
      </w:r>
      <w:r w:rsidR="007949BF" w:rsidRPr="00E53E9A">
        <w:rPr>
          <w:rFonts w:ascii="Arial" w:hAnsi="Arial" w:cs="Arial"/>
          <w:sz w:val="22"/>
          <w:szCs w:val="40"/>
        </w:rPr>
        <w:t xml:space="preserve"> five European </w:t>
      </w:r>
      <w:r w:rsidR="008756F0">
        <w:rPr>
          <w:rFonts w:ascii="Arial" w:hAnsi="Arial" w:cs="Arial"/>
          <w:sz w:val="22"/>
          <w:szCs w:val="40"/>
        </w:rPr>
        <w:t xml:space="preserve">countries </w:t>
      </w:r>
    </w:p>
    <w:p w14:paraId="53D5D1C8" w14:textId="77777777" w:rsidR="00907231" w:rsidRPr="00E53E9A" w:rsidRDefault="00907231" w:rsidP="00907231">
      <w:pPr>
        <w:pStyle w:val="ListParagraph"/>
        <w:rPr>
          <w:rFonts w:ascii="Arial" w:hAnsi="Arial" w:cs="Arial"/>
          <w:sz w:val="22"/>
          <w:szCs w:val="40"/>
        </w:rPr>
      </w:pPr>
    </w:p>
    <w:p w14:paraId="32B41B79" w14:textId="7991933E" w:rsidR="00FD6383" w:rsidRDefault="006A3BC2" w:rsidP="00FD6383">
      <w:pPr>
        <w:pStyle w:val="ListParagraph"/>
        <w:numPr>
          <w:ilvl w:val="0"/>
          <w:numId w:val="2"/>
        </w:numPr>
        <w:rPr>
          <w:rFonts w:ascii="Arial" w:hAnsi="Arial" w:cs="Arial"/>
          <w:sz w:val="22"/>
          <w:szCs w:val="40"/>
        </w:rPr>
      </w:pPr>
      <w:r>
        <w:rPr>
          <w:rFonts w:ascii="Arial" w:hAnsi="Arial" w:cs="Arial"/>
          <w:sz w:val="22"/>
          <w:szCs w:val="40"/>
        </w:rPr>
        <w:t>C</w:t>
      </w:r>
      <w:r w:rsidR="00FD6383" w:rsidRPr="00E53E9A">
        <w:rPr>
          <w:rFonts w:ascii="Arial" w:hAnsi="Arial" w:cs="Arial"/>
          <w:sz w:val="22"/>
          <w:szCs w:val="40"/>
        </w:rPr>
        <w:t>ash generation of €14</w:t>
      </w:r>
      <w:r>
        <w:rPr>
          <w:rFonts w:ascii="Arial" w:hAnsi="Arial" w:cs="Arial"/>
          <w:sz w:val="22"/>
          <w:szCs w:val="40"/>
        </w:rPr>
        <w:t>8.6</w:t>
      </w:r>
      <w:r w:rsidRPr="006A3BC2">
        <w:rPr>
          <w:rFonts w:ascii="Arial" w:hAnsi="Arial" w:cs="Arial"/>
          <w:sz w:val="22"/>
          <w:szCs w:val="40"/>
          <w:vertAlign w:val="superscript"/>
        </w:rPr>
        <w:t>1</w:t>
      </w:r>
      <w:r w:rsidR="00FD6383" w:rsidRPr="00E53E9A">
        <w:rPr>
          <w:rFonts w:ascii="Arial" w:hAnsi="Arial" w:cs="Arial"/>
          <w:sz w:val="22"/>
          <w:szCs w:val="40"/>
        </w:rPr>
        <w:t xml:space="preserve"> million </w:t>
      </w:r>
      <w:r w:rsidR="00725264">
        <w:rPr>
          <w:rFonts w:ascii="Arial" w:hAnsi="Arial" w:cs="Arial"/>
          <w:sz w:val="22"/>
          <w:szCs w:val="40"/>
        </w:rPr>
        <w:t xml:space="preserve">(2023: </w:t>
      </w:r>
      <w:r w:rsidR="00FD6383" w:rsidRPr="00E53E9A">
        <w:rPr>
          <w:rFonts w:ascii="Arial" w:hAnsi="Arial" w:cs="Arial"/>
          <w:sz w:val="22"/>
          <w:szCs w:val="40"/>
        </w:rPr>
        <w:t>€196.7 million</w:t>
      </w:r>
      <w:r w:rsidR="00725264">
        <w:rPr>
          <w:rFonts w:ascii="Arial" w:hAnsi="Arial" w:cs="Arial"/>
          <w:sz w:val="22"/>
          <w:szCs w:val="40"/>
        </w:rPr>
        <w:t>)</w:t>
      </w:r>
      <w:r w:rsidR="00FD6383" w:rsidRPr="00E53E9A">
        <w:rPr>
          <w:rFonts w:ascii="Arial" w:hAnsi="Arial" w:cs="Arial"/>
          <w:sz w:val="22"/>
          <w:szCs w:val="40"/>
        </w:rPr>
        <w:t xml:space="preserve">, delivering </w:t>
      </w:r>
      <w:r w:rsidR="00DF27FB">
        <w:rPr>
          <w:rFonts w:ascii="Arial" w:hAnsi="Arial" w:cs="Arial"/>
          <w:sz w:val="22"/>
          <w:szCs w:val="40"/>
        </w:rPr>
        <w:t>gross</w:t>
      </w:r>
      <w:r w:rsidR="00FD6383" w:rsidRPr="00E53E9A">
        <w:rPr>
          <w:rFonts w:ascii="Arial" w:hAnsi="Arial" w:cs="Arial"/>
          <w:sz w:val="22"/>
          <w:szCs w:val="40"/>
        </w:rPr>
        <w:t xml:space="preserve"> dividend cover of </w:t>
      </w:r>
      <w:r w:rsidR="00DF27FB">
        <w:rPr>
          <w:rFonts w:ascii="Arial" w:hAnsi="Arial" w:cs="Arial"/>
          <w:sz w:val="22"/>
          <w:szCs w:val="40"/>
        </w:rPr>
        <w:t>2.0</w:t>
      </w:r>
      <w:r w:rsidR="00FD6383" w:rsidRPr="00E53E9A">
        <w:rPr>
          <w:rFonts w:ascii="Arial" w:hAnsi="Arial" w:cs="Arial"/>
          <w:sz w:val="22"/>
          <w:szCs w:val="40"/>
        </w:rPr>
        <w:t xml:space="preserve">x (2023: </w:t>
      </w:r>
      <w:r w:rsidR="00DF27FB">
        <w:rPr>
          <w:rFonts w:ascii="Arial" w:hAnsi="Arial" w:cs="Arial"/>
          <w:sz w:val="22"/>
          <w:szCs w:val="40"/>
        </w:rPr>
        <w:t>2.7x</w:t>
      </w:r>
      <w:r w:rsidR="00FD6383" w:rsidRPr="00E53E9A">
        <w:rPr>
          <w:rFonts w:ascii="Arial" w:hAnsi="Arial" w:cs="Arial"/>
          <w:sz w:val="22"/>
          <w:szCs w:val="40"/>
        </w:rPr>
        <w:t>)</w:t>
      </w:r>
    </w:p>
    <w:p w14:paraId="29922744" w14:textId="77777777" w:rsidR="007949BF" w:rsidRDefault="007949BF" w:rsidP="007949BF">
      <w:pPr>
        <w:pStyle w:val="ListParagraph"/>
        <w:rPr>
          <w:rFonts w:ascii="Arial" w:hAnsi="Arial" w:cs="Arial"/>
          <w:sz w:val="22"/>
          <w:szCs w:val="40"/>
        </w:rPr>
      </w:pPr>
    </w:p>
    <w:p w14:paraId="7FF0C131" w14:textId="17FC6827" w:rsidR="007949BF" w:rsidRPr="00854005" w:rsidRDefault="007949BF" w:rsidP="007949BF">
      <w:pPr>
        <w:pStyle w:val="ListParagraph"/>
        <w:numPr>
          <w:ilvl w:val="0"/>
          <w:numId w:val="2"/>
        </w:numPr>
        <w:rPr>
          <w:rFonts w:ascii="Arial" w:hAnsi="Arial" w:cs="Arial"/>
          <w:sz w:val="22"/>
          <w:szCs w:val="40"/>
        </w:rPr>
      </w:pPr>
      <w:r w:rsidRPr="00E53E9A">
        <w:rPr>
          <w:rFonts w:ascii="Arial" w:hAnsi="Arial" w:cs="Arial"/>
          <w:sz w:val="22"/>
          <w:szCs w:val="40"/>
        </w:rPr>
        <w:t>NAV per share of 110.5 cents (2023: 112.4 cents)</w:t>
      </w:r>
      <w:r>
        <w:rPr>
          <w:rFonts w:ascii="Arial" w:hAnsi="Arial" w:cs="Arial"/>
          <w:sz w:val="22"/>
          <w:szCs w:val="40"/>
        </w:rPr>
        <w:t xml:space="preserve"> with </w:t>
      </w:r>
      <w:r w:rsidR="00807764">
        <w:rPr>
          <w:rFonts w:ascii="Arial" w:hAnsi="Arial" w:cs="Arial"/>
          <w:sz w:val="22"/>
          <w:szCs w:val="40"/>
        </w:rPr>
        <w:t>+</w:t>
      </w:r>
      <w:r>
        <w:rPr>
          <w:rFonts w:ascii="Arial" w:hAnsi="Arial" w:cs="Arial"/>
          <w:sz w:val="22"/>
          <w:szCs w:val="40"/>
        </w:rPr>
        <w:t xml:space="preserve">4.5% total return including dividends paid </w:t>
      </w:r>
    </w:p>
    <w:p w14:paraId="1025DC4F" w14:textId="77777777" w:rsidR="007949BF" w:rsidRPr="007949BF" w:rsidRDefault="007949BF" w:rsidP="007949BF">
      <w:pPr>
        <w:rPr>
          <w:rFonts w:ascii="Arial" w:hAnsi="Arial" w:cs="Arial"/>
          <w:sz w:val="22"/>
          <w:szCs w:val="40"/>
        </w:rPr>
      </w:pPr>
    </w:p>
    <w:p w14:paraId="1ECE9A91" w14:textId="5EB981F2" w:rsidR="007949BF" w:rsidRPr="007949BF" w:rsidRDefault="007949BF" w:rsidP="00DD453C">
      <w:pPr>
        <w:pStyle w:val="ListParagraph"/>
        <w:numPr>
          <w:ilvl w:val="0"/>
          <w:numId w:val="2"/>
        </w:numPr>
        <w:rPr>
          <w:rFonts w:ascii="Arial" w:hAnsi="Arial" w:cs="Arial"/>
          <w:b/>
          <w:bCs/>
          <w:sz w:val="22"/>
          <w:szCs w:val="40"/>
        </w:rPr>
      </w:pPr>
      <w:r>
        <w:rPr>
          <w:rFonts w:ascii="Arial" w:hAnsi="Arial" w:cs="Arial"/>
          <w:sz w:val="22"/>
          <w:szCs w:val="40"/>
        </w:rPr>
        <w:t xml:space="preserve">€100m distributed to shareholders via </w:t>
      </w:r>
      <w:r w:rsidR="00391A99" w:rsidRPr="00E53E9A">
        <w:rPr>
          <w:rFonts w:ascii="Arial" w:hAnsi="Arial" w:cs="Arial"/>
          <w:sz w:val="22"/>
          <w:szCs w:val="40"/>
        </w:rPr>
        <w:t>d</w:t>
      </w:r>
      <w:r w:rsidR="00DD453C" w:rsidRPr="00E53E9A">
        <w:rPr>
          <w:rFonts w:ascii="Arial" w:hAnsi="Arial" w:cs="Arial"/>
          <w:sz w:val="22"/>
          <w:szCs w:val="40"/>
        </w:rPr>
        <w:t xml:space="preserve">ividends </w:t>
      </w:r>
      <w:r>
        <w:rPr>
          <w:rFonts w:ascii="Arial" w:hAnsi="Arial" w:cs="Arial"/>
          <w:sz w:val="22"/>
          <w:szCs w:val="40"/>
        </w:rPr>
        <w:t>and share buyback</w:t>
      </w:r>
      <w:r w:rsidR="007C7E09">
        <w:rPr>
          <w:rFonts w:ascii="Arial" w:hAnsi="Arial" w:cs="Arial"/>
          <w:sz w:val="22"/>
          <w:szCs w:val="40"/>
        </w:rPr>
        <w:t xml:space="preserve"> representing c.8% of opening NAV </w:t>
      </w:r>
      <w:r>
        <w:rPr>
          <w:rFonts w:ascii="Arial" w:hAnsi="Arial" w:cs="Arial"/>
          <w:sz w:val="22"/>
          <w:szCs w:val="40"/>
        </w:rPr>
        <w:t xml:space="preserve"> </w:t>
      </w:r>
    </w:p>
    <w:p w14:paraId="03B71239" w14:textId="77777777" w:rsidR="007949BF" w:rsidRPr="007949BF" w:rsidRDefault="007949BF" w:rsidP="007949BF">
      <w:pPr>
        <w:ind w:left="360"/>
        <w:rPr>
          <w:rFonts w:ascii="Arial" w:hAnsi="Arial" w:cs="Arial"/>
          <w:sz w:val="22"/>
          <w:szCs w:val="40"/>
        </w:rPr>
      </w:pPr>
    </w:p>
    <w:p w14:paraId="1CC8A81B" w14:textId="4307553D" w:rsidR="007949BF" w:rsidRPr="007949BF" w:rsidRDefault="007949BF" w:rsidP="007949BF">
      <w:pPr>
        <w:pStyle w:val="ListParagraph"/>
        <w:numPr>
          <w:ilvl w:val="0"/>
          <w:numId w:val="2"/>
        </w:numPr>
        <w:rPr>
          <w:rFonts w:ascii="Arial" w:hAnsi="Arial" w:cs="Arial"/>
          <w:sz w:val="22"/>
          <w:szCs w:val="40"/>
        </w:rPr>
      </w:pPr>
      <w:r>
        <w:rPr>
          <w:rFonts w:ascii="Arial" w:hAnsi="Arial" w:cs="Arial"/>
          <w:sz w:val="22"/>
          <w:szCs w:val="40"/>
        </w:rPr>
        <w:t xml:space="preserve">Completed first asset sale of </w:t>
      </w:r>
      <w:proofErr w:type="spellStart"/>
      <w:r>
        <w:rPr>
          <w:rFonts w:ascii="Arial" w:hAnsi="Arial" w:cs="Arial"/>
          <w:sz w:val="22"/>
          <w:szCs w:val="40"/>
        </w:rPr>
        <w:t>Kokkoneva</w:t>
      </w:r>
      <w:proofErr w:type="spellEnd"/>
      <w:r>
        <w:rPr>
          <w:rFonts w:ascii="Arial" w:hAnsi="Arial" w:cs="Arial"/>
          <w:sz w:val="22"/>
          <w:szCs w:val="40"/>
        </w:rPr>
        <w:t xml:space="preserve"> wind farm in Finland at a premium to NAV with proceeds used to </w:t>
      </w:r>
      <w:r w:rsidR="006B46E1">
        <w:rPr>
          <w:rFonts w:ascii="Arial" w:hAnsi="Arial" w:cs="Arial"/>
          <w:sz w:val="22"/>
          <w:szCs w:val="40"/>
        </w:rPr>
        <w:t>repay debt</w:t>
      </w:r>
    </w:p>
    <w:p w14:paraId="1FA73860" w14:textId="77777777" w:rsidR="00F86B1E" w:rsidRPr="00E53E9A" w:rsidRDefault="00F86B1E" w:rsidP="00A543F3">
      <w:pPr>
        <w:rPr>
          <w:rFonts w:ascii="Arial" w:hAnsi="Arial" w:cs="Arial"/>
          <w:b/>
          <w:bCs/>
          <w:sz w:val="22"/>
          <w:szCs w:val="40"/>
          <w:highlight w:val="yellow"/>
        </w:rPr>
      </w:pPr>
    </w:p>
    <w:p w14:paraId="794EE36F" w14:textId="123AD5F8" w:rsidR="00854005" w:rsidRPr="00970CF5" w:rsidRDefault="007949BF" w:rsidP="00854005">
      <w:pPr>
        <w:pStyle w:val="ListParagraph"/>
        <w:numPr>
          <w:ilvl w:val="0"/>
          <w:numId w:val="2"/>
        </w:numPr>
        <w:rPr>
          <w:rFonts w:ascii="Arial" w:hAnsi="Arial" w:cs="Arial"/>
          <w:sz w:val="22"/>
          <w:szCs w:val="40"/>
        </w:rPr>
      </w:pPr>
      <w:r>
        <w:rPr>
          <w:rFonts w:ascii="Arial" w:hAnsi="Arial" w:cs="Arial"/>
          <w:sz w:val="22"/>
          <w:szCs w:val="40"/>
        </w:rPr>
        <w:t>Completed the acquisition of the</w:t>
      </w:r>
      <w:r w:rsidR="00D33886">
        <w:rPr>
          <w:rFonts w:ascii="Arial" w:hAnsi="Arial" w:cs="Arial"/>
          <w:sz w:val="22"/>
          <w:szCs w:val="40"/>
        </w:rPr>
        <w:t xml:space="preserve"> </w:t>
      </w:r>
      <w:r w:rsidR="004C1FBF" w:rsidRPr="00E53E9A">
        <w:rPr>
          <w:rFonts w:ascii="Arial" w:hAnsi="Arial" w:cs="Arial"/>
          <w:sz w:val="22"/>
          <w:szCs w:val="40"/>
        </w:rPr>
        <w:t xml:space="preserve">South Meath </w:t>
      </w:r>
      <w:r>
        <w:rPr>
          <w:rFonts w:ascii="Arial" w:hAnsi="Arial" w:cs="Arial"/>
          <w:sz w:val="22"/>
          <w:szCs w:val="40"/>
        </w:rPr>
        <w:t>s</w:t>
      </w:r>
      <w:r w:rsidR="004C1FBF" w:rsidRPr="00E53E9A">
        <w:rPr>
          <w:rFonts w:ascii="Arial" w:hAnsi="Arial" w:cs="Arial"/>
          <w:sz w:val="22"/>
          <w:szCs w:val="40"/>
        </w:rPr>
        <w:t xml:space="preserve">olar </w:t>
      </w:r>
      <w:r>
        <w:rPr>
          <w:rFonts w:ascii="Arial" w:hAnsi="Arial" w:cs="Arial"/>
          <w:sz w:val="22"/>
          <w:szCs w:val="40"/>
        </w:rPr>
        <w:t>f</w:t>
      </w:r>
      <w:r w:rsidR="004C1FBF" w:rsidRPr="00E53E9A">
        <w:rPr>
          <w:rFonts w:ascii="Arial" w:hAnsi="Arial" w:cs="Arial"/>
          <w:sz w:val="22"/>
          <w:szCs w:val="40"/>
        </w:rPr>
        <w:t>arm</w:t>
      </w:r>
      <w:r w:rsidR="00D33886">
        <w:rPr>
          <w:rFonts w:ascii="Arial" w:hAnsi="Arial" w:cs="Arial"/>
          <w:sz w:val="22"/>
          <w:szCs w:val="40"/>
        </w:rPr>
        <w:t xml:space="preserve">, the company’s </w:t>
      </w:r>
      <w:r w:rsidR="004C1FBF">
        <w:rPr>
          <w:rFonts w:ascii="Arial" w:hAnsi="Arial" w:cs="Arial"/>
          <w:sz w:val="22"/>
          <w:szCs w:val="40"/>
        </w:rPr>
        <w:t>first investment</w:t>
      </w:r>
      <w:r w:rsidR="007D7738" w:rsidRPr="00E53E9A">
        <w:rPr>
          <w:rFonts w:ascii="Arial" w:hAnsi="Arial" w:cs="Arial"/>
          <w:sz w:val="22"/>
          <w:szCs w:val="40"/>
        </w:rPr>
        <w:t xml:space="preserve"> into the Irish solar market</w:t>
      </w:r>
      <w:r>
        <w:rPr>
          <w:rFonts w:ascii="Arial" w:hAnsi="Arial" w:cs="Arial"/>
          <w:sz w:val="22"/>
          <w:szCs w:val="40"/>
        </w:rPr>
        <w:t xml:space="preserve">, under forward sale agreement committed to in July 2022 </w:t>
      </w:r>
    </w:p>
    <w:p w14:paraId="6CCAD148" w14:textId="77777777" w:rsidR="00F867F8" w:rsidRPr="00E53E9A" w:rsidRDefault="00F867F8" w:rsidP="00F867F8">
      <w:pPr>
        <w:rPr>
          <w:rFonts w:ascii="Arial" w:hAnsi="Arial" w:cs="Arial"/>
          <w:sz w:val="22"/>
          <w:szCs w:val="40"/>
          <w:highlight w:val="yellow"/>
        </w:rPr>
      </w:pPr>
    </w:p>
    <w:p w14:paraId="341C7A97" w14:textId="72326E5E" w:rsidR="00970CF5" w:rsidRDefault="00D23353">
      <w:pPr>
        <w:pStyle w:val="ListParagraph"/>
        <w:numPr>
          <w:ilvl w:val="0"/>
          <w:numId w:val="2"/>
        </w:numPr>
        <w:rPr>
          <w:rFonts w:ascii="Arial" w:hAnsi="Arial" w:cs="Arial"/>
          <w:sz w:val="22"/>
          <w:szCs w:val="40"/>
        </w:rPr>
      </w:pPr>
      <w:r w:rsidRPr="00E53E9A">
        <w:rPr>
          <w:rFonts w:ascii="Arial" w:hAnsi="Arial" w:cs="Arial"/>
          <w:sz w:val="22"/>
          <w:szCs w:val="40"/>
        </w:rPr>
        <w:t>Aggregate Group Debt</w:t>
      </w:r>
      <w:r w:rsidR="005250E2" w:rsidRPr="00E53E9A">
        <w:rPr>
          <w:rFonts w:ascii="Arial" w:hAnsi="Arial" w:cs="Arial"/>
          <w:sz w:val="22"/>
          <w:szCs w:val="40"/>
        </w:rPr>
        <w:t xml:space="preserve"> reduced</w:t>
      </w:r>
      <w:r w:rsidRPr="00E53E9A">
        <w:rPr>
          <w:rFonts w:ascii="Arial" w:hAnsi="Arial" w:cs="Arial"/>
          <w:sz w:val="22"/>
          <w:szCs w:val="40"/>
        </w:rPr>
        <w:t xml:space="preserve"> </w:t>
      </w:r>
      <w:r w:rsidR="005250E2" w:rsidRPr="00E53E9A">
        <w:rPr>
          <w:rFonts w:ascii="Arial" w:hAnsi="Arial" w:cs="Arial"/>
          <w:sz w:val="22"/>
          <w:szCs w:val="40"/>
        </w:rPr>
        <w:t>to</w:t>
      </w:r>
      <w:r w:rsidRPr="00E53E9A">
        <w:rPr>
          <w:rFonts w:ascii="Arial" w:hAnsi="Arial" w:cs="Arial"/>
          <w:sz w:val="22"/>
          <w:szCs w:val="40"/>
        </w:rPr>
        <w:t xml:space="preserve"> €1,</w:t>
      </w:r>
      <w:r w:rsidR="005250E2" w:rsidRPr="00E53E9A">
        <w:rPr>
          <w:rFonts w:ascii="Arial" w:hAnsi="Arial" w:cs="Arial"/>
          <w:sz w:val="22"/>
          <w:szCs w:val="40"/>
        </w:rPr>
        <w:t>263</w:t>
      </w:r>
      <w:r w:rsidRPr="00E53E9A">
        <w:rPr>
          <w:rFonts w:ascii="Arial" w:hAnsi="Arial" w:cs="Arial"/>
          <w:sz w:val="22"/>
          <w:szCs w:val="40"/>
        </w:rPr>
        <w:t xml:space="preserve"> million</w:t>
      </w:r>
      <w:r w:rsidR="00725264">
        <w:rPr>
          <w:rFonts w:ascii="Arial" w:hAnsi="Arial" w:cs="Arial"/>
          <w:sz w:val="22"/>
          <w:szCs w:val="40"/>
        </w:rPr>
        <w:t xml:space="preserve"> (2023: €1,342 million)</w:t>
      </w:r>
      <w:r w:rsidR="00992780">
        <w:rPr>
          <w:rFonts w:ascii="Arial" w:hAnsi="Arial" w:cs="Arial"/>
          <w:sz w:val="22"/>
          <w:szCs w:val="40"/>
        </w:rPr>
        <w:t xml:space="preserve">, </w:t>
      </w:r>
      <w:r w:rsidR="00992780" w:rsidRPr="00E53E9A">
        <w:rPr>
          <w:rFonts w:ascii="Arial" w:hAnsi="Arial" w:cs="Arial"/>
          <w:sz w:val="22"/>
          <w:szCs w:val="40"/>
        </w:rPr>
        <w:t xml:space="preserve">equivalent to </w:t>
      </w:r>
      <w:r w:rsidR="00992780">
        <w:rPr>
          <w:rFonts w:ascii="Arial" w:hAnsi="Arial" w:cs="Arial"/>
          <w:sz w:val="22"/>
          <w:szCs w:val="40"/>
        </w:rPr>
        <w:t>51</w:t>
      </w:r>
      <w:r w:rsidR="00992780" w:rsidRPr="00E53E9A">
        <w:rPr>
          <w:rFonts w:ascii="Arial" w:hAnsi="Arial" w:cs="Arial"/>
          <w:sz w:val="22"/>
          <w:szCs w:val="40"/>
        </w:rPr>
        <w:t>% of GAV</w:t>
      </w:r>
      <w:r w:rsidR="00992780">
        <w:rPr>
          <w:rFonts w:ascii="Arial" w:hAnsi="Arial" w:cs="Arial"/>
          <w:sz w:val="22"/>
          <w:szCs w:val="40"/>
        </w:rPr>
        <w:t>,</w:t>
      </w:r>
      <w:r w:rsidR="00970CF5">
        <w:rPr>
          <w:rFonts w:ascii="Arial" w:hAnsi="Arial" w:cs="Arial"/>
          <w:sz w:val="22"/>
          <w:szCs w:val="40"/>
        </w:rPr>
        <w:t xml:space="preserve"> </w:t>
      </w:r>
      <w:proofErr w:type="gramStart"/>
      <w:r w:rsidR="00970CF5">
        <w:rPr>
          <w:rFonts w:ascii="Arial" w:hAnsi="Arial" w:cs="Arial"/>
          <w:sz w:val="22"/>
          <w:szCs w:val="40"/>
        </w:rPr>
        <w:t xml:space="preserve">as a </w:t>
      </w:r>
      <w:r w:rsidR="007439ED">
        <w:rPr>
          <w:rFonts w:ascii="Arial" w:hAnsi="Arial" w:cs="Arial"/>
          <w:sz w:val="22"/>
          <w:szCs w:val="40"/>
        </w:rPr>
        <w:t>result</w:t>
      </w:r>
      <w:r w:rsidR="00970CF5">
        <w:rPr>
          <w:rFonts w:ascii="Arial" w:hAnsi="Arial" w:cs="Arial"/>
          <w:sz w:val="22"/>
          <w:szCs w:val="40"/>
        </w:rPr>
        <w:t xml:space="preserve"> of</w:t>
      </w:r>
      <w:proofErr w:type="gramEnd"/>
      <w:r w:rsidR="00970CF5">
        <w:rPr>
          <w:rFonts w:ascii="Arial" w:hAnsi="Arial" w:cs="Arial"/>
          <w:sz w:val="22"/>
          <w:szCs w:val="40"/>
        </w:rPr>
        <w:t xml:space="preserve"> </w:t>
      </w:r>
      <w:r w:rsidR="00992780">
        <w:rPr>
          <w:rFonts w:ascii="Arial" w:hAnsi="Arial" w:cs="Arial"/>
          <w:sz w:val="22"/>
          <w:szCs w:val="40"/>
        </w:rPr>
        <w:t xml:space="preserve">debt repayments using a combination of operating cashflow and proceeds from disposals </w:t>
      </w:r>
    </w:p>
    <w:p w14:paraId="4397BE88" w14:textId="77777777" w:rsidR="00970CF5" w:rsidRPr="00970CF5" w:rsidRDefault="00970CF5" w:rsidP="00970CF5">
      <w:pPr>
        <w:pStyle w:val="ListParagraph"/>
        <w:rPr>
          <w:rFonts w:ascii="Arial" w:hAnsi="Arial" w:cs="Arial"/>
          <w:sz w:val="22"/>
          <w:szCs w:val="40"/>
        </w:rPr>
      </w:pPr>
    </w:p>
    <w:p w14:paraId="34B39A83" w14:textId="7BE91F87" w:rsidR="00F867F8" w:rsidRPr="00E53E9A" w:rsidRDefault="00970CF5">
      <w:pPr>
        <w:pStyle w:val="ListParagraph"/>
        <w:numPr>
          <w:ilvl w:val="0"/>
          <w:numId w:val="2"/>
        </w:numPr>
        <w:rPr>
          <w:rFonts w:ascii="Arial" w:hAnsi="Arial" w:cs="Arial"/>
          <w:sz w:val="22"/>
          <w:szCs w:val="40"/>
        </w:rPr>
      </w:pPr>
      <w:r>
        <w:rPr>
          <w:rFonts w:ascii="Arial" w:hAnsi="Arial" w:cs="Arial"/>
          <w:sz w:val="22"/>
          <w:szCs w:val="40"/>
        </w:rPr>
        <w:t>N</w:t>
      </w:r>
      <w:r w:rsidR="009B676E" w:rsidRPr="00E53E9A">
        <w:rPr>
          <w:rFonts w:ascii="Arial" w:hAnsi="Arial" w:cs="Arial"/>
          <w:sz w:val="22"/>
          <w:szCs w:val="40"/>
        </w:rPr>
        <w:t xml:space="preserve">ew </w:t>
      </w:r>
      <w:r w:rsidR="00263AD6" w:rsidRPr="00E53E9A">
        <w:rPr>
          <w:rFonts w:ascii="Arial" w:hAnsi="Arial" w:cs="Arial"/>
          <w:sz w:val="22"/>
          <w:szCs w:val="40"/>
        </w:rPr>
        <w:t xml:space="preserve">€150 million 5-year term debt facility agreed in the period </w:t>
      </w:r>
      <w:r>
        <w:rPr>
          <w:rFonts w:ascii="Arial" w:hAnsi="Arial" w:cs="Arial"/>
          <w:sz w:val="22"/>
          <w:szCs w:val="40"/>
        </w:rPr>
        <w:t xml:space="preserve">used to repay RCF and early agreement to extend €235 million of Facility A maturing in October 2025 for additional </w:t>
      </w:r>
      <w:r w:rsidR="00807764">
        <w:rPr>
          <w:rFonts w:ascii="Arial" w:hAnsi="Arial" w:cs="Arial"/>
          <w:sz w:val="22"/>
          <w:szCs w:val="40"/>
        </w:rPr>
        <w:t>5-year</w:t>
      </w:r>
      <w:r>
        <w:rPr>
          <w:rFonts w:ascii="Arial" w:hAnsi="Arial" w:cs="Arial"/>
          <w:sz w:val="22"/>
          <w:szCs w:val="40"/>
        </w:rPr>
        <w:t xml:space="preserve"> term </w:t>
      </w:r>
    </w:p>
    <w:p w14:paraId="5FBD6660" w14:textId="77777777" w:rsidR="0098558C" w:rsidRPr="00E53E9A" w:rsidRDefault="0098558C" w:rsidP="0098558C">
      <w:pPr>
        <w:pStyle w:val="ListParagraph"/>
        <w:rPr>
          <w:rFonts w:ascii="Arial" w:hAnsi="Arial" w:cs="Arial"/>
          <w:b/>
          <w:bCs/>
          <w:sz w:val="22"/>
          <w:szCs w:val="40"/>
          <w:highlight w:val="yellow"/>
        </w:rPr>
      </w:pPr>
    </w:p>
    <w:p w14:paraId="78D72967" w14:textId="26220B9B" w:rsidR="00F867F8" w:rsidRPr="00E53E9A" w:rsidRDefault="001F480B" w:rsidP="001F480B">
      <w:pPr>
        <w:pStyle w:val="ListParagraph"/>
        <w:numPr>
          <w:ilvl w:val="0"/>
          <w:numId w:val="2"/>
        </w:numPr>
        <w:rPr>
          <w:rFonts w:ascii="Arial" w:hAnsi="Arial" w:cs="Arial"/>
          <w:sz w:val="22"/>
          <w:szCs w:val="40"/>
        </w:rPr>
      </w:pPr>
      <w:r w:rsidRPr="00E53E9A">
        <w:rPr>
          <w:rFonts w:ascii="Arial" w:hAnsi="Arial" w:cs="Arial"/>
          <w:sz w:val="22"/>
          <w:szCs w:val="40"/>
        </w:rPr>
        <w:t>T</w:t>
      </w:r>
      <w:r w:rsidR="0098558C" w:rsidRPr="00E53E9A">
        <w:rPr>
          <w:rFonts w:ascii="Arial" w:hAnsi="Arial" w:cs="Arial"/>
          <w:sz w:val="22"/>
          <w:szCs w:val="40"/>
        </w:rPr>
        <w:t>wo long-term</w:t>
      </w:r>
      <w:r w:rsidR="00386028">
        <w:rPr>
          <w:rFonts w:ascii="Arial" w:hAnsi="Arial" w:cs="Arial"/>
          <w:sz w:val="22"/>
          <w:szCs w:val="40"/>
        </w:rPr>
        <w:t xml:space="preserve"> power purchase agreements (“PPAs”)</w:t>
      </w:r>
      <w:r w:rsidR="0098558C" w:rsidRPr="00E53E9A">
        <w:rPr>
          <w:rFonts w:ascii="Arial" w:hAnsi="Arial" w:cs="Arial"/>
          <w:sz w:val="22"/>
          <w:szCs w:val="40"/>
        </w:rPr>
        <w:t xml:space="preserve"> with strong counterparties</w:t>
      </w:r>
      <w:r w:rsidR="00F31826">
        <w:rPr>
          <w:rFonts w:ascii="Arial" w:hAnsi="Arial" w:cs="Arial"/>
          <w:sz w:val="22"/>
          <w:szCs w:val="40"/>
        </w:rPr>
        <w:t xml:space="preserve"> in Ireland</w:t>
      </w:r>
      <w:r w:rsidR="0098558C" w:rsidRPr="00E53E9A">
        <w:rPr>
          <w:rFonts w:ascii="Arial" w:hAnsi="Arial" w:cs="Arial"/>
          <w:sz w:val="22"/>
          <w:szCs w:val="40"/>
        </w:rPr>
        <w:t xml:space="preserve">, highlighting growing presence in the market and the increasing demand for </w:t>
      </w:r>
      <w:r w:rsidR="008C66CF">
        <w:rPr>
          <w:rFonts w:ascii="Arial" w:hAnsi="Arial" w:cs="Arial"/>
          <w:sz w:val="22"/>
          <w:szCs w:val="40"/>
        </w:rPr>
        <w:t>clean</w:t>
      </w:r>
      <w:r w:rsidR="0098558C" w:rsidRPr="00E53E9A">
        <w:rPr>
          <w:rFonts w:ascii="Arial" w:hAnsi="Arial" w:cs="Arial"/>
          <w:sz w:val="22"/>
          <w:szCs w:val="40"/>
        </w:rPr>
        <w:t xml:space="preserve"> energy from Big Tech</w:t>
      </w:r>
      <w:r w:rsidR="00C231DC" w:rsidRPr="00E53E9A">
        <w:rPr>
          <w:rFonts w:ascii="Arial" w:hAnsi="Arial" w:cs="Arial"/>
          <w:sz w:val="22"/>
          <w:szCs w:val="40"/>
        </w:rPr>
        <w:t xml:space="preserve"> and AI</w:t>
      </w:r>
    </w:p>
    <w:p w14:paraId="0258570E" w14:textId="77777777" w:rsidR="0098558C" w:rsidRPr="00E53E9A" w:rsidRDefault="0098558C" w:rsidP="0098558C">
      <w:pPr>
        <w:rPr>
          <w:rFonts w:ascii="Arial" w:hAnsi="Arial" w:cs="Arial"/>
          <w:sz w:val="22"/>
          <w:szCs w:val="40"/>
          <w:highlight w:val="yellow"/>
        </w:rPr>
      </w:pPr>
    </w:p>
    <w:p w14:paraId="0226DFB5" w14:textId="68CF8A03" w:rsidR="00F867F8" w:rsidRDefault="00F60922" w:rsidP="00F60922">
      <w:pPr>
        <w:pStyle w:val="ListParagraph"/>
        <w:numPr>
          <w:ilvl w:val="0"/>
          <w:numId w:val="2"/>
        </w:numPr>
        <w:rPr>
          <w:rFonts w:ascii="Arial" w:hAnsi="Arial" w:cs="Arial"/>
          <w:sz w:val="22"/>
          <w:szCs w:val="40"/>
        </w:rPr>
      </w:pPr>
      <w:r w:rsidRPr="00E53E9A">
        <w:rPr>
          <w:rFonts w:ascii="Arial" w:hAnsi="Arial" w:cs="Arial"/>
          <w:sz w:val="22"/>
          <w:szCs w:val="40"/>
        </w:rPr>
        <w:t>The portfolio generated renewable energy sufficient to power approximately 775,000 homes, preventing around 1.4 million tonnes</w:t>
      </w:r>
      <w:r w:rsidR="00B02F06" w:rsidRPr="00A93A93">
        <w:rPr>
          <w:rFonts w:ascii="Arial" w:hAnsi="Arial" w:cs="Arial"/>
          <w:sz w:val="22"/>
          <w:szCs w:val="40"/>
          <w:vertAlign w:val="superscript"/>
        </w:rPr>
        <w:t>2</w:t>
      </w:r>
      <w:r w:rsidRPr="00E53E9A">
        <w:rPr>
          <w:rFonts w:ascii="Arial" w:hAnsi="Arial" w:cs="Arial"/>
          <w:sz w:val="22"/>
          <w:szCs w:val="40"/>
        </w:rPr>
        <w:t xml:space="preserve"> of CO</w:t>
      </w:r>
      <w:r w:rsidRPr="00E53E9A">
        <w:rPr>
          <w:rFonts w:ascii="Cambria Math" w:hAnsi="Cambria Math" w:cs="Cambria Math"/>
          <w:sz w:val="22"/>
          <w:szCs w:val="40"/>
        </w:rPr>
        <w:t>₂</w:t>
      </w:r>
      <w:r w:rsidRPr="00E53E9A">
        <w:rPr>
          <w:rFonts w:ascii="Arial" w:hAnsi="Arial" w:cs="Arial"/>
          <w:sz w:val="22"/>
          <w:szCs w:val="40"/>
        </w:rPr>
        <w:t xml:space="preserve"> emissions – a 7% increase from 2023</w:t>
      </w:r>
    </w:p>
    <w:p w14:paraId="173F3961" w14:textId="77777777" w:rsidR="00EA768A" w:rsidRPr="0001088C" w:rsidRDefault="00EA768A" w:rsidP="0001088C">
      <w:pPr>
        <w:pStyle w:val="ListParagraph"/>
        <w:rPr>
          <w:rFonts w:ascii="Arial" w:hAnsi="Arial" w:cs="Arial"/>
          <w:sz w:val="22"/>
          <w:szCs w:val="40"/>
        </w:rPr>
      </w:pPr>
    </w:p>
    <w:p w14:paraId="06A8DD52" w14:textId="23CDCD87" w:rsidR="00EA768A" w:rsidRDefault="00F00DF6" w:rsidP="00F60922">
      <w:pPr>
        <w:pStyle w:val="ListParagraph"/>
        <w:numPr>
          <w:ilvl w:val="0"/>
          <w:numId w:val="2"/>
        </w:numPr>
        <w:rPr>
          <w:rFonts w:ascii="Arial" w:hAnsi="Arial" w:cs="Arial"/>
          <w:sz w:val="22"/>
          <w:szCs w:val="40"/>
        </w:rPr>
      </w:pPr>
      <w:r>
        <w:rPr>
          <w:rFonts w:ascii="Arial" w:hAnsi="Arial" w:cs="Arial"/>
          <w:sz w:val="22"/>
          <w:szCs w:val="40"/>
        </w:rPr>
        <w:t>Post year end, a</w:t>
      </w:r>
      <w:r w:rsidR="00314DD9">
        <w:rPr>
          <w:rFonts w:ascii="Arial" w:hAnsi="Arial" w:cs="Arial"/>
          <w:sz w:val="22"/>
          <w:szCs w:val="40"/>
        </w:rPr>
        <w:t>greed a</w:t>
      </w:r>
      <w:r>
        <w:rPr>
          <w:rFonts w:ascii="Arial" w:hAnsi="Arial" w:cs="Arial"/>
          <w:sz w:val="22"/>
          <w:szCs w:val="40"/>
        </w:rPr>
        <w:t>n amendment to</w:t>
      </w:r>
      <w:r w:rsidR="00314DD9">
        <w:rPr>
          <w:rFonts w:ascii="Arial" w:hAnsi="Arial" w:cs="Arial"/>
          <w:sz w:val="22"/>
          <w:szCs w:val="40"/>
        </w:rPr>
        <w:t xml:space="preserve"> the Investment Management Agreement (“IMA”) with 50% of fees payable on NAV and the other 50% based on </w:t>
      </w:r>
      <w:r>
        <w:rPr>
          <w:rFonts w:ascii="Arial" w:hAnsi="Arial" w:cs="Arial"/>
          <w:sz w:val="22"/>
          <w:szCs w:val="40"/>
        </w:rPr>
        <w:t xml:space="preserve">the lower of NAV and </w:t>
      </w:r>
      <w:r w:rsidR="00314DD9">
        <w:rPr>
          <w:rFonts w:ascii="Arial" w:hAnsi="Arial" w:cs="Arial"/>
          <w:sz w:val="22"/>
          <w:szCs w:val="40"/>
        </w:rPr>
        <w:t>market capitalisation</w:t>
      </w:r>
      <w:r w:rsidR="0050251C">
        <w:rPr>
          <w:rFonts w:ascii="Arial" w:hAnsi="Arial" w:cs="Arial"/>
          <w:sz w:val="22"/>
          <w:szCs w:val="40"/>
        </w:rPr>
        <w:t>, effective 1 April 2025</w:t>
      </w:r>
    </w:p>
    <w:p w14:paraId="54ACC411" w14:textId="77777777" w:rsidR="00EA768A" w:rsidRPr="0001088C" w:rsidRDefault="00EA768A" w:rsidP="0001088C">
      <w:pPr>
        <w:pStyle w:val="ListParagraph"/>
        <w:rPr>
          <w:rFonts w:ascii="Arial" w:hAnsi="Arial" w:cs="Arial"/>
          <w:sz w:val="22"/>
          <w:szCs w:val="40"/>
        </w:rPr>
      </w:pPr>
    </w:p>
    <w:p w14:paraId="11C23830" w14:textId="77777777" w:rsidR="00F60922" w:rsidRPr="00E53E9A" w:rsidRDefault="00F60922" w:rsidP="00F867F8">
      <w:pPr>
        <w:pStyle w:val="ListParagraph"/>
        <w:rPr>
          <w:rFonts w:ascii="Arial" w:hAnsi="Arial" w:cs="Arial"/>
          <w:sz w:val="22"/>
          <w:szCs w:val="40"/>
        </w:rPr>
      </w:pPr>
    </w:p>
    <w:p w14:paraId="0D16AD96" w14:textId="77777777" w:rsidR="006A3BC2" w:rsidRPr="0044201C" w:rsidRDefault="006A3BC2" w:rsidP="006A3BC2">
      <w:pPr>
        <w:jc w:val="both"/>
        <w:rPr>
          <w:rFonts w:ascii="Schroders Circular TT Normal" w:hAnsi="Schroders Circular TT Normal" w:cs="Schroders Circular TT Normal"/>
          <w:sz w:val="16"/>
          <w:szCs w:val="16"/>
        </w:rPr>
      </w:pPr>
      <w:r w:rsidRPr="0044201C">
        <w:rPr>
          <w:rFonts w:ascii="Schroders Circular TT Normal" w:hAnsi="Schroders Circular TT Normal" w:cs="Schroders Circular TT Normal"/>
          <w:sz w:val="16"/>
          <w:szCs w:val="16"/>
          <w:vertAlign w:val="superscript"/>
        </w:rPr>
        <w:t>1</w:t>
      </w:r>
      <w:r w:rsidRPr="0044201C">
        <w:rPr>
          <w:rFonts w:ascii="Schroders Circular TT Normal" w:hAnsi="Schroders Circular TT Normal" w:cs="Schroders Circular TT Normal"/>
          <w:sz w:val="16"/>
          <w:szCs w:val="16"/>
        </w:rPr>
        <w:t xml:space="preserve">Gross cash generation is stated gross of scheduled SPV level debt repayments amounting to €7.8 million. After </w:t>
      </w:r>
      <w:proofErr w:type="gramStart"/>
      <w:r w:rsidRPr="0044201C">
        <w:rPr>
          <w:rFonts w:ascii="Schroders Circular TT Normal" w:hAnsi="Schroders Circular TT Normal" w:cs="Schroders Circular TT Normal"/>
          <w:sz w:val="16"/>
          <w:szCs w:val="16"/>
        </w:rPr>
        <w:t>taking into account</w:t>
      </w:r>
      <w:proofErr w:type="gramEnd"/>
      <w:r w:rsidRPr="0044201C">
        <w:rPr>
          <w:rFonts w:ascii="Schroders Circular TT Normal" w:hAnsi="Schroders Circular TT Normal" w:cs="Schroders Circular TT Normal"/>
          <w:sz w:val="16"/>
          <w:szCs w:val="16"/>
        </w:rPr>
        <w:t xml:space="preserve"> SPV level debt repayments, net cash generation amounted to €140.8 million</w:t>
      </w:r>
      <w:r>
        <w:rPr>
          <w:rFonts w:ascii="Schroders Circular TT Normal" w:hAnsi="Schroders Circular TT Normal" w:cs="Schroders Circular TT Normal"/>
          <w:sz w:val="16"/>
          <w:szCs w:val="16"/>
        </w:rPr>
        <w:t xml:space="preserve"> equating to 1.9x dividend cover. </w:t>
      </w:r>
    </w:p>
    <w:p w14:paraId="249674F2" w14:textId="77777777" w:rsidR="00F867F8" w:rsidRPr="00E53E9A" w:rsidRDefault="00F867F8" w:rsidP="005250E2">
      <w:pPr>
        <w:rPr>
          <w:rFonts w:ascii="Arial" w:hAnsi="Arial" w:cs="Arial"/>
          <w:b/>
          <w:bCs/>
          <w:sz w:val="22"/>
          <w:szCs w:val="40"/>
        </w:rPr>
      </w:pPr>
    </w:p>
    <w:p w14:paraId="26A7332C" w14:textId="0C3A688F" w:rsidR="00505F87" w:rsidRDefault="00B02F06" w:rsidP="005250E2">
      <w:pPr>
        <w:rPr>
          <w:rFonts w:ascii="Arial" w:hAnsi="Arial" w:cs="Arial"/>
          <w:b/>
          <w:bCs/>
          <w:sz w:val="22"/>
          <w:szCs w:val="40"/>
        </w:rPr>
      </w:pPr>
      <w:r w:rsidRPr="006267B5">
        <w:rPr>
          <w:rFonts w:ascii="Schroders Circular TT Normal" w:hAnsi="Schroders Circular TT Normal" w:cs="Schroders Circular TT Normal"/>
          <w:i/>
          <w:iCs/>
          <w:sz w:val="16"/>
          <w:szCs w:val="16"/>
          <w:vertAlign w:val="superscript"/>
        </w:rPr>
        <w:lastRenderedPageBreak/>
        <w:t>2</w:t>
      </w:r>
      <w:r>
        <w:rPr>
          <w:rFonts w:ascii="Schroders Circular TT Normal" w:hAnsi="Schroders Circular TT Normal" w:cs="Schroders Circular TT Normal"/>
          <w:i/>
          <w:iCs/>
          <w:sz w:val="16"/>
          <w:szCs w:val="16"/>
        </w:rPr>
        <w:t xml:space="preserve"> </w:t>
      </w:r>
      <w:r w:rsidRPr="003061D3">
        <w:rPr>
          <w:rFonts w:ascii="Schroders Circular TT Normal" w:hAnsi="Schroders Circular TT Normal" w:cs="Schroders Circular TT Normal"/>
          <w:i/>
          <w:iCs/>
          <w:sz w:val="16"/>
          <w:szCs w:val="16"/>
        </w:rPr>
        <w:t>Estimated emissions avoided are calculated assuming that renewable energy generation replaces the marginal generator (i.e., the generation that is most likely to be displaced as the next dispatch option in the electricity system) in each region. The marginal generators in each country are listed here: combined cycle gas turbine (CCGT) generation for Ireland and Spain, nuclear</w:t>
      </w:r>
      <w:r w:rsidRPr="003061D3">
        <w:rPr>
          <w:rFonts w:ascii="Arial" w:hAnsi="Arial" w:cs="Arial"/>
          <w:i/>
          <w:iCs/>
          <w:sz w:val="16"/>
          <w:szCs w:val="16"/>
        </w:rPr>
        <w:t> </w:t>
      </w:r>
      <w:r w:rsidRPr="003061D3">
        <w:rPr>
          <w:rFonts w:ascii="Schroders Circular TT Normal" w:hAnsi="Schroders Circular TT Normal" w:cs="Schroders Circular TT Normal"/>
          <w:i/>
          <w:iCs/>
          <w:sz w:val="16"/>
          <w:szCs w:val="16"/>
        </w:rPr>
        <w:t>generation for France</w:t>
      </w:r>
      <w:r>
        <w:rPr>
          <w:rFonts w:ascii="Schroders Circular TT Normal" w:hAnsi="Schroders Circular TT Normal" w:cs="Schroders Circular TT Normal"/>
          <w:i/>
          <w:iCs/>
          <w:sz w:val="16"/>
          <w:szCs w:val="16"/>
        </w:rPr>
        <w:t xml:space="preserve"> and </w:t>
      </w:r>
      <w:r w:rsidRPr="003061D3">
        <w:rPr>
          <w:rFonts w:ascii="Schroders Circular TT Normal" w:hAnsi="Schroders Circular TT Normal" w:cs="Schroders Circular TT Normal"/>
          <w:i/>
          <w:iCs/>
          <w:sz w:val="16"/>
          <w:szCs w:val="16"/>
        </w:rPr>
        <w:t>Sweden</w:t>
      </w:r>
      <w:r>
        <w:rPr>
          <w:rFonts w:ascii="Schroders Circular TT Normal" w:hAnsi="Schroders Circular TT Normal" w:cs="Schroders Circular TT Normal"/>
          <w:i/>
          <w:iCs/>
          <w:sz w:val="16"/>
          <w:szCs w:val="16"/>
        </w:rPr>
        <w:t>, biomass generation for Finland</w:t>
      </w:r>
      <w:r w:rsidRPr="003061D3">
        <w:rPr>
          <w:rFonts w:ascii="Schroders Circular TT Normal" w:hAnsi="Schroders Circular TT Normal" w:cs="Schroders Circular TT Normal"/>
          <w:i/>
          <w:iCs/>
          <w:sz w:val="16"/>
          <w:szCs w:val="16"/>
        </w:rPr>
        <w:t>, and coal generation for Germany.</w:t>
      </w:r>
      <w:r w:rsidRPr="003061D3">
        <w:rPr>
          <w:rFonts w:ascii="Arial" w:hAnsi="Arial" w:cs="Arial"/>
          <w:i/>
          <w:iCs/>
          <w:sz w:val="16"/>
          <w:szCs w:val="16"/>
        </w:rPr>
        <w:t> </w:t>
      </w:r>
      <w:r w:rsidRPr="003061D3">
        <w:rPr>
          <w:rFonts w:ascii="Schroders Circular TT Normal" w:hAnsi="Schroders Circular TT Normal" w:cs="Schroders Circular TT Normal"/>
          <w:i/>
          <w:iCs/>
          <w:sz w:val="16"/>
          <w:szCs w:val="16"/>
        </w:rPr>
        <w:t>The “Operating margin” approach is the preferred option under PCAF guidance for measuring carbon avoided. Carbon emissions factors (gCO2/kWh) for the marginal generator in each region is sourced from an IEA dataset (2024). Nuclear carbon emissions factor is sourced from</w:t>
      </w:r>
      <w:r>
        <w:rPr>
          <w:rFonts w:ascii="Schroders Circular TT Normal" w:hAnsi="Schroders Circular TT Normal" w:cs="Schroders Circular TT Normal"/>
          <w:i/>
          <w:sz w:val="16"/>
          <w:szCs w:val="16"/>
        </w:rPr>
        <w:t xml:space="preserve"> </w:t>
      </w:r>
      <w:r>
        <w:rPr>
          <w:rFonts w:ascii="Schroders Circular TT Normal" w:hAnsi="Schroders Circular TT Normal" w:cs="Schroders Circular TT Normal"/>
          <w:i/>
          <w:iCs/>
          <w:sz w:val="16"/>
          <w:szCs w:val="16"/>
        </w:rPr>
        <w:t>IPCC</w:t>
      </w:r>
      <w:r w:rsidRPr="00C7059F">
        <w:rPr>
          <w:rFonts w:ascii="Schroders Circular TT Normal" w:hAnsi="Schroders Circular TT Normal" w:cs="Schroders Circular TT Normal"/>
          <w:i/>
          <w:iCs/>
          <w:sz w:val="16"/>
          <w:szCs w:val="16"/>
        </w:rPr>
        <w:t>.</w:t>
      </w:r>
    </w:p>
    <w:p w14:paraId="49D48C31" w14:textId="77777777" w:rsidR="00422F0F" w:rsidRPr="00E53E9A" w:rsidRDefault="00422F0F" w:rsidP="005250E2">
      <w:pPr>
        <w:rPr>
          <w:rFonts w:ascii="Arial" w:hAnsi="Arial" w:cs="Arial"/>
          <w:b/>
          <w:bCs/>
          <w:sz w:val="22"/>
          <w:szCs w:val="40"/>
        </w:rPr>
      </w:pPr>
    </w:p>
    <w:p w14:paraId="75CDAD48" w14:textId="3C7E086D" w:rsidR="00D23353" w:rsidRPr="00E53E9A" w:rsidRDefault="00D23353" w:rsidP="00D23353">
      <w:pPr>
        <w:rPr>
          <w:rFonts w:ascii="Arial" w:hAnsi="Arial" w:cs="Arial"/>
          <w:b/>
          <w:bCs/>
          <w:sz w:val="22"/>
          <w:szCs w:val="40"/>
        </w:rPr>
      </w:pPr>
      <w:r w:rsidRPr="00E53E9A">
        <w:rPr>
          <w:rFonts w:ascii="Arial" w:hAnsi="Arial" w:cs="Arial"/>
          <w:b/>
          <w:bCs/>
          <w:sz w:val="22"/>
          <w:szCs w:val="40"/>
        </w:rPr>
        <w:t xml:space="preserve">Commenting on the results, Ronan Murphy, Non-Executive Chairman of Greencoat Renewables, said: </w:t>
      </w:r>
    </w:p>
    <w:p w14:paraId="4E656026" w14:textId="77777777" w:rsidR="00D23353" w:rsidRPr="00E53E9A" w:rsidRDefault="00D23353" w:rsidP="00D23353">
      <w:pPr>
        <w:rPr>
          <w:rFonts w:ascii="Arial" w:hAnsi="Arial" w:cs="Arial"/>
          <w:sz w:val="22"/>
          <w:szCs w:val="40"/>
        </w:rPr>
      </w:pPr>
    </w:p>
    <w:p w14:paraId="5B939208" w14:textId="77777777" w:rsidR="00DB3E1E" w:rsidRDefault="00DB3E1E" w:rsidP="00D23353">
      <w:pPr>
        <w:rPr>
          <w:rFonts w:ascii="Arial" w:hAnsi="Arial" w:cs="Arial"/>
          <w:sz w:val="22"/>
          <w:szCs w:val="40"/>
        </w:rPr>
      </w:pPr>
    </w:p>
    <w:p w14:paraId="70DF3B1E" w14:textId="60CAAC7B" w:rsidR="007C6F88" w:rsidRPr="00784D13" w:rsidRDefault="00784D13" w:rsidP="00784D13">
      <w:pPr>
        <w:spacing w:line="276" w:lineRule="auto"/>
        <w:rPr>
          <w:rFonts w:ascii="Arial" w:hAnsi="Arial" w:cs="Arial"/>
          <w:sz w:val="22"/>
          <w:szCs w:val="40"/>
        </w:rPr>
      </w:pPr>
      <w:r>
        <w:rPr>
          <w:rFonts w:ascii="Arial" w:hAnsi="Arial" w:cs="Arial"/>
          <w:sz w:val="22"/>
          <w:szCs w:val="40"/>
        </w:rPr>
        <w:t>“</w:t>
      </w:r>
      <w:r w:rsidR="007C6F88" w:rsidRPr="00784D13">
        <w:rPr>
          <w:rFonts w:ascii="Arial" w:hAnsi="Arial" w:cs="Arial"/>
          <w:sz w:val="22"/>
          <w:szCs w:val="40"/>
        </w:rPr>
        <w:t xml:space="preserve">I am pleased to report continued strong operating performance in a year where a range of macro-economic headwinds unsettled </w:t>
      </w:r>
      <w:r w:rsidR="000C0BEC">
        <w:rPr>
          <w:rFonts w:ascii="Arial" w:hAnsi="Arial" w:cs="Arial"/>
          <w:sz w:val="22"/>
          <w:szCs w:val="40"/>
        </w:rPr>
        <w:t>the sector</w:t>
      </w:r>
      <w:r w:rsidR="007C6F88" w:rsidRPr="00784D13">
        <w:rPr>
          <w:rFonts w:ascii="Arial" w:hAnsi="Arial" w:cs="Arial"/>
          <w:sz w:val="22"/>
          <w:szCs w:val="40"/>
        </w:rPr>
        <w:t>. A combination of intensive asset management, a balanced approach to power price risk and a robust balance sheet underpinned cash generation of €148.6</w:t>
      </w:r>
      <w:r w:rsidR="00E83404" w:rsidRPr="00E83404">
        <w:rPr>
          <w:rFonts w:ascii="Arial" w:hAnsi="Arial" w:cs="Arial"/>
          <w:sz w:val="22"/>
          <w:szCs w:val="40"/>
          <w:vertAlign w:val="superscript"/>
        </w:rPr>
        <w:t>1</w:t>
      </w:r>
      <w:r w:rsidR="007C6F88" w:rsidRPr="00784D13">
        <w:rPr>
          <w:rFonts w:ascii="Arial" w:hAnsi="Arial" w:cs="Arial"/>
          <w:sz w:val="22"/>
          <w:szCs w:val="40"/>
        </w:rPr>
        <w:t xml:space="preserve"> million and 2.0x dividend cover.</w:t>
      </w:r>
    </w:p>
    <w:p w14:paraId="2F2259FA" w14:textId="77777777" w:rsidR="00784D13" w:rsidRPr="00784D13" w:rsidRDefault="00784D13" w:rsidP="00784D13">
      <w:pPr>
        <w:spacing w:line="276" w:lineRule="auto"/>
        <w:rPr>
          <w:rFonts w:ascii="Arial" w:hAnsi="Arial" w:cs="Arial"/>
          <w:sz w:val="22"/>
          <w:szCs w:val="40"/>
        </w:rPr>
      </w:pPr>
    </w:p>
    <w:p w14:paraId="001473FD" w14:textId="4E0D8320" w:rsidR="00784D13" w:rsidRDefault="007C6F88" w:rsidP="00784D13">
      <w:pPr>
        <w:spacing w:line="276" w:lineRule="auto"/>
        <w:rPr>
          <w:rFonts w:ascii="Arial" w:hAnsi="Arial" w:cs="Arial"/>
          <w:sz w:val="22"/>
          <w:szCs w:val="40"/>
        </w:rPr>
      </w:pPr>
      <w:r w:rsidRPr="00784D13">
        <w:rPr>
          <w:rFonts w:ascii="Arial" w:hAnsi="Arial" w:cs="Arial"/>
          <w:sz w:val="22"/>
          <w:szCs w:val="40"/>
        </w:rPr>
        <w:t>Importantly, the Company’s structural cash generation capacity allowed us to allocate capital in a highly disciplined manner in line with our strategic objectives</w:t>
      </w:r>
      <w:r w:rsidR="00784D13" w:rsidRPr="00784D13">
        <w:rPr>
          <w:rFonts w:ascii="Arial" w:hAnsi="Arial" w:cs="Arial"/>
          <w:sz w:val="22"/>
          <w:szCs w:val="40"/>
        </w:rPr>
        <w:t xml:space="preserve">. </w:t>
      </w:r>
      <w:r w:rsidRPr="00784D13">
        <w:rPr>
          <w:rFonts w:ascii="Arial" w:hAnsi="Arial" w:cs="Arial"/>
          <w:sz w:val="22"/>
          <w:szCs w:val="40"/>
        </w:rPr>
        <w:t xml:space="preserve"> </w:t>
      </w:r>
      <w:r w:rsidR="00784D13" w:rsidRPr="00784D13">
        <w:rPr>
          <w:rFonts w:ascii="Arial" w:hAnsi="Arial" w:cs="Arial"/>
          <w:sz w:val="22"/>
          <w:szCs w:val="40"/>
        </w:rPr>
        <w:t xml:space="preserve">Accordingly, in addition to meeting our dividend target for the year, we used operating cashflow and disposal proceeds to make material debt repayments, fund an accretive share buyback and part-fund our sole acquisition. </w:t>
      </w:r>
    </w:p>
    <w:p w14:paraId="0ADA56B0" w14:textId="77777777" w:rsidR="00122656" w:rsidRDefault="00122656" w:rsidP="00784D13">
      <w:pPr>
        <w:spacing w:line="276" w:lineRule="auto"/>
        <w:rPr>
          <w:rFonts w:ascii="Arial" w:hAnsi="Arial" w:cs="Arial"/>
          <w:sz w:val="22"/>
          <w:szCs w:val="40"/>
        </w:rPr>
      </w:pPr>
    </w:p>
    <w:p w14:paraId="70AAA95D" w14:textId="6DF4B190" w:rsidR="00122656" w:rsidRDefault="00122656" w:rsidP="00784D13">
      <w:pPr>
        <w:spacing w:line="276" w:lineRule="auto"/>
        <w:rPr>
          <w:rFonts w:ascii="Arial" w:hAnsi="Arial" w:cs="Arial"/>
          <w:sz w:val="22"/>
          <w:szCs w:val="40"/>
        </w:rPr>
      </w:pPr>
      <w:r>
        <w:rPr>
          <w:rFonts w:ascii="Arial" w:hAnsi="Arial" w:cs="Arial"/>
          <w:sz w:val="22"/>
          <w:szCs w:val="40"/>
        </w:rPr>
        <w:t>I am also pleased to communicate that</w:t>
      </w:r>
      <w:r w:rsidR="003C4324">
        <w:rPr>
          <w:rFonts w:ascii="Arial" w:hAnsi="Arial" w:cs="Arial"/>
          <w:sz w:val="22"/>
          <w:szCs w:val="40"/>
        </w:rPr>
        <w:t xml:space="preserve"> </w:t>
      </w:r>
      <w:r>
        <w:rPr>
          <w:rFonts w:ascii="Arial" w:hAnsi="Arial" w:cs="Arial"/>
          <w:sz w:val="22"/>
          <w:szCs w:val="40"/>
        </w:rPr>
        <w:t>a revision of the terms of the Investment Management Agreement (“IMA”) has been agreed</w:t>
      </w:r>
      <w:r w:rsidR="003C4324">
        <w:rPr>
          <w:rFonts w:ascii="Arial" w:hAnsi="Arial" w:cs="Arial"/>
          <w:sz w:val="22"/>
          <w:szCs w:val="40"/>
        </w:rPr>
        <w:t>.</w:t>
      </w:r>
      <w:r>
        <w:rPr>
          <w:rFonts w:ascii="Arial" w:hAnsi="Arial" w:cs="Arial"/>
          <w:sz w:val="22"/>
          <w:szCs w:val="40"/>
        </w:rPr>
        <w:t xml:space="preserve"> </w:t>
      </w:r>
      <w:r w:rsidRPr="005A639B">
        <w:rPr>
          <w:rFonts w:ascii="Arial" w:hAnsi="Arial" w:cs="Arial"/>
          <w:sz w:val="22"/>
          <w:szCs w:val="40"/>
        </w:rPr>
        <w:t xml:space="preserve">Under the terms of the revised IMA, </w:t>
      </w:r>
      <w:r>
        <w:rPr>
          <w:rFonts w:ascii="Arial" w:hAnsi="Arial" w:cs="Arial"/>
          <w:sz w:val="22"/>
          <w:szCs w:val="40"/>
        </w:rPr>
        <w:t xml:space="preserve">50% of the investment management fee will remain based on NAV and </w:t>
      </w:r>
      <w:r w:rsidR="003C4324">
        <w:rPr>
          <w:rFonts w:ascii="Arial" w:hAnsi="Arial" w:cs="Arial"/>
          <w:sz w:val="22"/>
          <w:szCs w:val="40"/>
        </w:rPr>
        <w:t xml:space="preserve">the other </w:t>
      </w:r>
      <w:r>
        <w:rPr>
          <w:rFonts w:ascii="Arial" w:hAnsi="Arial" w:cs="Arial"/>
          <w:sz w:val="22"/>
          <w:szCs w:val="40"/>
        </w:rPr>
        <w:t xml:space="preserve">50% </w:t>
      </w:r>
      <w:r w:rsidR="008E7917">
        <w:rPr>
          <w:rFonts w:ascii="Arial" w:hAnsi="Arial" w:cs="Arial"/>
          <w:sz w:val="22"/>
          <w:szCs w:val="40"/>
        </w:rPr>
        <w:t xml:space="preserve">will be </w:t>
      </w:r>
      <w:r>
        <w:rPr>
          <w:rFonts w:ascii="Arial" w:hAnsi="Arial" w:cs="Arial"/>
          <w:sz w:val="22"/>
          <w:szCs w:val="40"/>
        </w:rPr>
        <w:t xml:space="preserve">based on the lower of NAV and market capitalisation. The existing tiered fee structure </w:t>
      </w:r>
      <w:r w:rsidR="003C4324">
        <w:rPr>
          <w:rFonts w:ascii="Arial" w:hAnsi="Arial" w:cs="Arial"/>
          <w:sz w:val="22"/>
          <w:szCs w:val="40"/>
        </w:rPr>
        <w:t xml:space="preserve">will </w:t>
      </w:r>
      <w:r>
        <w:rPr>
          <w:rFonts w:ascii="Arial" w:hAnsi="Arial" w:cs="Arial"/>
          <w:sz w:val="22"/>
          <w:szCs w:val="40"/>
        </w:rPr>
        <w:t>remain</w:t>
      </w:r>
      <w:r w:rsidR="003C4324">
        <w:rPr>
          <w:rFonts w:ascii="Arial" w:hAnsi="Arial" w:cs="Arial"/>
          <w:sz w:val="22"/>
          <w:szCs w:val="40"/>
        </w:rPr>
        <w:t xml:space="preserve"> in place. T</w:t>
      </w:r>
      <w:r>
        <w:rPr>
          <w:rFonts w:ascii="Arial" w:hAnsi="Arial" w:cs="Arial"/>
          <w:sz w:val="22"/>
          <w:szCs w:val="40"/>
        </w:rPr>
        <w:t>he</w:t>
      </w:r>
      <w:r w:rsidRPr="005A639B">
        <w:rPr>
          <w:rFonts w:ascii="Arial" w:hAnsi="Arial" w:cs="Arial"/>
          <w:sz w:val="22"/>
          <w:szCs w:val="40"/>
        </w:rPr>
        <w:t xml:space="preserve"> revised </w:t>
      </w:r>
      <w:r w:rsidR="003C4324">
        <w:rPr>
          <w:rFonts w:ascii="Arial" w:hAnsi="Arial" w:cs="Arial"/>
          <w:sz w:val="22"/>
          <w:szCs w:val="40"/>
        </w:rPr>
        <w:t>arrangements will be</w:t>
      </w:r>
      <w:r>
        <w:rPr>
          <w:rFonts w:ascii="Arial" w:hAnsi="Arial" w:cs="Arial"/>
          <w:sz w:val="22"/>
          <w:szCs w:val="40"/>
        </w:rPr>
        <w:t xml:space="preserve"> effective from 1 April 2025. </w:t>
      </w:r>
    </w:p>
    <w:p w14:paraId="05E1D3F6" w14:textId="77777777" w:rsidR="00784D13" w:rsidRPr="00784D13" w:rsidRDefault="00784D13" w:rsidP="00784D13">
      <w:pPr>
        <w:spacing w:line="276" w:lineRule="auto"/>
        <w:rPr>
          <w:rFonts w:ascii="Arial" w:hAnsi="Arial" w:cs="Arial"/>
          <w:sz w:val="22"/>
          <w:szCs w:val="40"/>
        </w:rPr>
      </w:pPr>
    </w:p>
    <w:p w14:paraId="3DD17401" w14:textId="472A25A2" w:rsidR="00122656" w:rsidRPr="00784D13" w:rsidRDefault="00C76F2B" w:rsidP="00784D13">
      <w:pPr>
        <w:spacing w:line="276" w:lineRule="auto"/>
        <w:rPr>
          <w:rFonts w:ascii="Arial" w:hAnsi="Arial" w:cs="Arial"/>
          <w:sz w:val="22"/>
          <w:szCs w:val="40"/>
        </w:rPr>
      </w:pPr>
      <w:r>
        <w:rPr>
          <w:rFonts w:ascii="Arial" w:hAnsi="Arial" w:cs="Arial"/>
          <w:sz w:val="22"/>
          <w:szCs w:val="40"/>
        </w:rPr>
        <w:t>Overall, t</w:t>
      </w:r>
      <w:r w:rsidR="00784D13" w:rsidRPr="00784D13">
        <w:rPr>
          <w:rFonts w:ascii="Arial" w:hAnsi="Arial" w:cs="Arial"/>
          <w:sz w:val="22"/>
          <w:szCs w:val="40"/>
        </w:rPr>
        <w:t xml:space="preserve">he Company continues to explore ways in which it can achieve its strategic aims of diversifying its shareholder base and positioning itself to take advantage of growth opportunities as market conditions </w:t>
      </w:r>
      <w:r w:rsidR="006304A6">
        <w:rPr>
          <w:rFonts w:ascii="Arial" w:hAnsi="Arial" w:cs="Arial"/>
          <w:sz w:val="22"/>
          <w:szCs w:val="40"/>
        </w:rPr>
        <w:t>improve</w:t>
      </w:r>
      <w:r w:rsidR="00CA49BC">
        <w:rPr>
          <w:rFonts w:ascii="Arial" w:hAnsi="Arial" w:cs="Arial"/>
          <w:sz w:val="22"/>
          <w:szCs w:val="40"/>
        </w:rPr>
        <w:t>,</w:t>
      </w:r>
      <w:r w:rsidR="00784D13" w:rsidRPr="00784D13">
        <w:rPr>
          <w:rFonts w:ascii="Arial" w:hAnsi="Arial" w:cs="Arial"/>
          <w:sz w:val="22"/>
          <w:szCs w:val="40"/>
        </w:rPr>
        <w:t xml:space="preserve"> including the possibility of an additional listing</w:t>
      </w:r>
      <w:r w:rsidR="006304A6">
        <w:rPr>
          <w:rFonts w:ascii="Arial" w:hAnsi="Arial" w:cs="Arial"/>
          <w:sz w:val="22"/>
          <w:szCs w:val="40"/>
        </w:rPr>
        <w:t xml:space="preserve"> to enhance the Company’s profile, improve liquidity and support future growth</w:t>
      </w:r>
      <w:r w:rsidR="00784D13">
        <w:rPr>
          <w:rFonts w:ascii="Arial" w:hAnsi="Arial" w:cs="Arial"/>
          <w:sz w:val="22"/>
          <w:szCs w:val="40"/>
        </w:rPr>
        <w:t>”</w:t>
      </w:r>
      <w:r w:rsidR="00784D13" w:rsidRPr="00784D13">
        <w:rPr>
          <w:rFonts w:ascii="Arial" w:hAnsi="Arial" w:cs="Arial"/>
          <w:sz w:val="22"/>
          <w:szCs w:val="40"/>
        </w:rPr>
        <w:t>.</w:t>
      </w:r>
    </w:p>
    <w:p w14:paraId="112BFDF4" w14:textId="77777777" w:rsidR="00105FCC" w:rsidRDefault="00105FCC" w:rsidP="00D23353">
      <w:pPr>
        <w:rPr>
          <w:rFonts w:asciiTheme="minorHAnsi" w:eastAsiaTheme="minorEastAsia" w:hAnsiTheme="minorHAnsi" w:cstheme="minorBidi"/>
          <w:sz w:val="24"/>
          <w:szCs w:val="24"/>
          <w:lang w:eastAsia="zh-CN"/>
        </w:rPr>
      </w:pPr>
    </w:p>
    <w:p w14:paraId="687E3275" w14:textId="77777777" w:rsidR="00E83404" w:rsidRPr="0044201C" w:rsidRDefault="00E83404" w:rsidP="00E83404">
      <w:pPr>
        <w:jc w:val="both"/>
        <w:rPr>
          <w:rFonts w:ascii="Schroders Circular TT Normal" w:hAnsi="Schroders Circular TT Normal" w:cs="Schroders Circular TT Normal"/>
          <w:sz w:val="16"/>
          <w:szCs w:val="16"/>
        </w:rPr>
      </w:pPr>
      <w:r w:rsidRPr="0044201C">
        <w:rPr>
          <w:rFonts w:ascii="Schroders Circular TT Normal" w:hAnsi="Schroders Circular TT Normal" w:cs="Schroders Circular TT Normal"/>
          <w:sz w:val="16"/>
          <w:szCs w:val="16"/>
          <w:vertAlign w:val="superscript"/>
        </w:rPr>
        <w:t>1</w:t>
      </w:r>
      <w:r w:rsidRPr="0044201C">
        <w:rPr>
          <w:rFonts w:ascii="Schroders Circular TT Normal" w:hAnsi="Schroders Circular TT Normal" w:cs="Schroders Circular TT Normal"/>
          <w:sz w:val="16"/>
          <w:szCs w:val="16"/>
        </w:rPr>
        <w:t xml:space="preserve">Gross cash generation is stated gross of scheduled SPV level debt repayments amounting to €7.8 million. After </w:t>
      </w:r>
      <w:proofErr w:type="gramStart"/>
      <w:r w:rsidRPr="0044201C">
        <w:rPr>
          <w:rFonts w:ascii="Schroders Circular TT Normal" w:hAnsi="Schroders Circular TT Normal" w:cs="Schroders Circular TT Normal"/>
          <w:sz w:val="16"/>
          <w:szCs w:val="16"/>
        </w:rPr>
        <w:t>taking into account</w:t>
      </w:r>
      <w:proofErr w:type="gramEnd"/>
      <w:r w:rsidRPr="0044201C">
        <w:rPr>
          <w:rFonts w:ascii="Schroders Circular TT Normal" w:hAnsi="Schroders Circular TT Normal" w:cs="Schroders Circular TT Normal"/>
          <w:sz w:val="16"/>
          <w:szCs w:val="16"/>
        </w:rPr>
        <w:t xml:space="preserve"> SPV level debt repayments, net cash generation amounted to €140.8 million</w:t>
      </w:r>
      <w:r>
        <w:rPr>
          <w:rFonts w:ascii="Schroders Circular TT Normal" w:hAnsi="Schroders Circular TT Normal" w:cs="Schroders Circular TT Normal"/>
          <w:sz w:val="16"/>
          <w:szCs w:val="16"/>
        </w:rPr>
        <w:t xml:space="preserve"> equating to 1.9x dividend cover. </w:t>
      </w:r>
    </w:p>
    <w:p w14:paraId="077A7E98" w14:textId="77777777" w:rsidR="00784D13" w:rsidRDefault="00784D13" w:rsidP="00D23353">
      <w:pPr>
        <w:rPr>
          <w:rFonts w:ascii="Arial" w:hAnsi="Arial" w:cs="Arial"/>
          <w:sz w:val="22"/>
          <w:szCs w:val="40"/>
        </w:rPr>
      </w:pPr>
    </w:p>
    <w:p w14:paraId="7DAEF39A" w14:textId="77777777" w:rsidR="006A3BC2" w:rsidRPr="00E53E9A" w:rsidRDefault="006A3BC2" w:rsidP="00D23353">
      <w:pPr>
        <w:rPr>
          <w:rFonts w:ascii="Arial" w:hAnsi="Arial" w:cs="Arial"/>
          <w:sz w:val="22"/>
          <w:szCs w:val="40"/>
        </w:rPr>
      </w:pPr>
    </w:p>
    <w:p w14:paraId="4DE9E117" w14:textId="5B25ACDF" w:rsidR="00DB3E1E" w:rsidRPr="00E53E9A" w:rsidRDefault="00DB3E1E" w:rsidP="00D23353">
      <w:pPr>
        <w:rPr>
          <w:rFonts w:ascii="Arial" w:hAnsi="Arial" w:cs="Arial"/>
          <w:b/>
          <w:bCs/>
          <w:sz w:val="22"/>
          <w:szCs w:val="40"/>
        </w:rPr>
      </w:pPr>
      <w:r w:rsidRPr="00E53E9A">
        <w:rPr>
          <w:rFonts w:ascii="Arial" w:hAnsi="Arial" w:cs="Arial"/>
          <w:b/>
          <w:bCs/>
          <w:sz w:val="22"/>
          <w:szCs w:val="40"/>
        </w:rPr>
        <w:t xml:space="preserve">Key Metrics </w:t>
      </w:r>
      <w:r w:rsidR="00BA57B0">
        <w:rPr>
          <w:rFonts w:ascii="Arial" w:hAnsi="Arial" w:cs="Arial"/>
          <w:b/>
          <w:bCs/>
          <w:sz w:val="22"/>
          <w:szCs w:val="40"/>
        </w:rPr>
        <w:t>– Year Ended 31 December 2024</w:t>
      </w:r>
    </w:p>
    <w:p w14:paraId="59AA1F56" w14:textId="77777777" w:rsidR="003D271F" w:rsidRPr="00E53E9A" w:rsidRDefault="003D271F" w:rsidP="00D23353">
      <w:pPr>
        <w:rPr>
          <w:rFonts w:ascii="Arial" w:hAnsi="Arial" w:cs="Arial"/>
          <w:sz w:val="22"/>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28"/>
      </w:tblGrid>
      <w:tr w:rsidR="001C17AE" w:rsidRPr="00E53E9A" w14:paraId="36C84CF9" w14:textId="77777777" w:rsidTr="00E53E9A">
        <w:tc>
          <w:tcPr>
            <w:tcW w:w="7088" w:type="dxa"/>
            <w:shd w:val="clear" w:color="auto" w:fill="auto"/>
          </w:tcPr>
          <w:p w14:paraId="6BA7DDC9" w14:textId="1099A8A5" w:rsidR="001C17AE" w:rsidRPr="00E53E9A" w:rsidRDefault="001C17AE" w:rsidP="001C17AE">
            <w:pPr>
              <w:pStyle w:val="p1"/>
              <w:rPr>
                <w:rFonts w:ascii="Arial" w:hAnsi="Arial" w:cs="Arial"/>
                <w:sz w:val="22"/>
                <w:szCs w:val="22"/>
              </w:rPr>
            </w:pPr>
            <w:r w:rsidRPr="00E53E9A">
              <w:rPr>
                <w:rFonts w:ascii="Arial" w:hAnsi="Arial" w:cs="Arial"/>
                <w:sz w:val="22"/>
                <w:szCs w:val="22"/>
              </w:rPr>
              <w:t>Market capitalisation</w:t>
            </w:r>
            <w:r w:rsidRPr="00E53E9A">
              <w:rPr>
                <w:rStyle w:val="apple-converted-space"/>
                <w:rFonts w:ascii="Arial" w:eastAsiaTheme="majorEastAsia" w:hAnsi="Arial" w:cs="Arial"/>
                <w:sz w:val="22"/>
                <w:szCs w:val="22"/>
              </w:rPr>
              <w:t> </w:t>
            </w:r>
          </w:p>
        </w:tc>
        <w:tc>
          <w:tcPr>
            <w:tcW w:w="1928" w:type="dxa"/>
            <w:shd w:val="clear" w:color="auto" w:fill="auto"/>
          </w:tcPr>
          <w:p w14:paraId="21F45E09" w14:textId="0567B4D3" w:rsidR="001C17AE" w:rsidRPr="00E53E9A" w:rsidRDefault="001C17AE" w:rsidP="001C17AE">
            <w:pPr>
              <w:pStyle w:val="p1"/>
              <w:rPr>
                <w:rFonts w:ascii="Arial" w:hAnsi="Arial" w:cs="Arial"/>
                <w:sz w:val="22"/>
                <w:szCs w:val="22"/>
              </w:rPr>
            </w:pPr>
            <w:r w:rsidRPr="00E53E9A">
              <w:rPr>
                <w:rFonts w:ascii="Arial" w:hAnsi="Arial" w:cs="Arial"/>
                <w:sz w:val="22"/>
                <w:szCs w:val="22"/>
              </w:rPr>
              <w:t>€916 million</w:t>
            </w:r>
          </w:p>
        </w:tc>
      </w:tr>
      <w:tr w:rsidR="001C17AE" w:rsidRPr="00E53E9A" w14:paraId="197E184D" w14:textId="77777777" w:rsidTr="00E53E9A">
        <w:tc>
          <w:tcPr>
            <w:tcW w:w="7088" w:type="dxa"/>
            <w:shd w:val="clear" w:color="auto" w:fill="auto"/>
          </w:tcPr>
          <w:p w14:paraId="3D3DADCC" w14:textId="5149A468" w:rsidR="001C17AE" w:rsidRPr="00E53E9A" w:rsidRDefault="001C17AE" w:rsidP="001C17AE">
            <w:pPr>
              <w:pStyle w:val="p1"/>
              <w:rPr>
                <w:rFonts w:ascii="Arial" w:hAnsi="Arial" w:cs="Arial"/>
                <w:sz w:val="22"/>
                <w:szCs w:val="22"/>
              </w:rPr>
            </w:pPr>
            <w:r w:rsidRPr="00E53E9A">
              <w:rPr>
                <w:rFonts w:ascii="Arial" w:hAnsi="Arial" w:cs="Arial"/>
                <w:sz w:val="22"/>
                <w:szCs w:val="22"/>
              </w:rPr>
              <w:t>Share price</w:t>
            </w:r>
            <w:r w:rsidRPr="00E53E9A">
              <w:rPr>
                <w:rStyle w:val="apple-converted-space"/>
                <w:rFonts w:ascii="Arial" w:eastAsiaTheme="majorEastAsia" w:hAnsi="Arial" w:cs="Arial"/>
                <w:sz w:val="22"/>
                <w:szCs w:val="22"/>
              </w:rPr>
              <w:t> </w:t>
            </w:r>
          </w:p>
        </w:tc>
        <w:tc>
          <w:tcPr>
            <w:tcW w:w="1928" w:type="dxa"/>
            <w:shd w:val="clear" w:color="auto" w:fill="auto"/>
          </w:tcPr>
          <w:p w14:paraId="02412D93" w14:textId="70A0EA35" w:rsidR="001C17AE" w:rsidRPr="00E53E9A" w:rsidRDefault="001C17AE" w:rsidP="001C17AE">
            <w:pPr>
              <w:pStyle w:val="p1"/>
              <w:rPr>
                <w:rFonts w:ascii="Arial" w:hAnsi="Arial" w:cs="Arial"/>
                <w:sz w:val="22"/>
                <w:szCs w:val="22"/>
              </w:rPr>
            </w:pPr>
            <w:r w:rsidRPr="00E53E9A">
              <w:rPr>
                <w:rFonts w:ascii="Arial" w:hAnsi="Arial" w:cs="Arial"/>
                <w:sz w:val="22"/>
                <w:szCs w:val="22"/>
              </w:rPr>
              <w:t>82.3 cent</w:t>
            </w:r>
          </w:p>
        </w:tc>
      </w:tr>
      <w:tr w:rsidR="001C17AE" w:rsidRPr="00E53E9A" w14:paraId="09A75B42" w14:textId="77777777" w:rsidTr="00E53E9A">
        <w:tc>
          <w:tcPr>
            <w:tcW w:w="7088" w:type="dxa"/>
            <w:shd w:val="clear" w:color="auto" w:fill="auto"/>
          </w:tcPr>
          <w:p w14:paraId="157708C9" w14:textId="0539C040" w:rsidR="001C17AE" w:rsidRPr="00E53E9A" w:rsidRDefault="001C17AE" w:rsidP="001C17AE">
            <w:pPr>
              <w:pStyle w:val="p1"/>
              <w:rPr>
                <w:rFonts w:ascii="Arial" w:hAnsi="Arial" w:cs="Arial"/>
                <w:sz w:val="22"/>
                <w:szCs w:val="22"/>
              </w:rPr>
            </w:pPr>
            <w:r w:rsidRPr="00E53E9A">
              <w:rPr>
                <w:rFonts w:ascii="Arial" w:hAnsi="Arial" w:cs="Arial"/>
                <w:sz w:val="22"/>
                <w:szCs w:val="22"/>
              </w:rPr>
              <w:t xml:space="preserve">Dividends with respect to the </w:t>
            </w:r>
            <w:r w:rsidR="00BA57B0">
              <w:rPr>
                <w:rFonts w:ascii="Arial" w:hAnsi="Arial" w:cs="Arial"/>
                <w:sz w:val="22"/>
                <w:szCs w:val="22"/>
              </w:rPr>
              <w:t>year</w:t>
            </w:r>
            <w:r w:rsidRPr="00E53E9A">
              <w:rPr>
                <w:rStyle w:val="apple-converted-space"/>
                <w:rFonts w:ascii="Arial" w:eastAsiaTheme="majorEastAsia" w:hAnsi="Arial" w:cs="Arial"/>
                <w:sz w:val="22"/>
                <w:szCs w:val="22"/>
              </w:rPr>
              <w:t> </w:t>
            </w:r>
          </w:p>
        </w:tc>
        <w:tc>
          <w:tcPr>
            <w:tcW w:w="1928" w:type="dxa"/>
            <w:shd w:val="clear" w:color="auto" w:fill="auto"/>
          </w:tcPr>
          <w:p w14:paraId="1298C417" w14:textId="7C05810F" w:rsidR="001C17AE" w:rsidRPr="00E53E9A" w:rsidRDefault="001C17AE" w:rsidP="001C17AE">
            <w:pPr>
              <w:pStyle w:val="p1"/>
              <w:rPr>
                <w:rFonts w:ascii="Arial" w:hAnsi="Arial" w:cs="Arial"/>
                <w:sz w:val="22"/>
                <w:szCs w:val="22"/>
              </w:rPr>
            </w:pPr>
            <w:r w:rsidRPr="00E53E9A">
              <w:rPr>
                <w:rFonts w:ascii="Arial" w:hAnsi="Arial" w:cs="Arial"/>
                <w:sz w:val="22"/>
                <w:szCs w:val="22"/>
              </w:rPr>
              <w:t>€75.2 million</w:t>
            </w:r>
          </w:p>
        </w:tc>
      </w:tr>
      <w:tr w:rsidR="001C17AE" w:rsidRPr="00E53E9A" w14:paraId="09D9589E" w14:textId="77777777" w:rsidTr="00E53E9A">
        <w:tc>
          <w:tcPr>
            <w:tcW w:w="7088" w:type="dxa"/>
            <w:shd w:val="clear" w:color="auto" w:fill="auto"/>
          </w:tcPr>
          <w:p w14:paraId="7464AF97" w14:textId="00FE80D6" w:rsidR="001C17AE" w:rsidRPr="00E53E9A" w:rsidRDefault="001C17AE" w:rsidP="001C17AE">
            <w:pPr>
              <w:pStyle w:val="p1"/>
              <w:rPr>
                <w:rFonts w:ascii="Arial" w:hAnsi="Arial" w:cs="Arial"/>
                <w:sz w:val="22"/>
                <w:szCs w:val="22"/>
              </w:rPr>
            </w:pPr>
            <w:r w:rsidRPr="00E53E9A">
              <w:rPr>
                <w:rFonts w:ascii="Arial" w:hAnsi="Arial" w:cs="Arial"/>
                <w:sz w:val="22"/>
                <w:szCs w:val="22"/>
              </w:rPr>
              <w:t xml:space="preserve">Dividend with respect to the </w:t>
            </w:r>
            <w:r w:rsidR="00BA57B0">
              <w:rPr>
                <w:rFonts w:ascii="Arial" w:hAnsi="Arial" w:cs="Arial"/>
                <w:sz w:val="22"/>
                <w:szCs w:val="22"/>
              </w:rPr>
              <w:t>year</w:t>
            </w:r>
            <w:r w:rsidRPr="00E53E9A">
              <w:rPr>
                <w:rFonts w:ascii="Arial" w:hAnsi="Arial" w:cs="Arial"/>
                <w:sz w:val="22"/>
                <w:szCs w:val="22"/>
              </w:rPr>
              <w:t xml:space="preserve"> per share</w:t>
            </w:r>
            <w:r w:rsidRPr="00E53E9A">
              <w:rPr>
                <w:rStyle w:val="apple-converted-space"/>
                <w:rFonts w:ascii="Arial" w:eastAsiaTheme="majorEastAsia" w:hAnsi="Arial" w:cs="Arial"/>
                <w:sz w:val="22"/>
                <w:szCs w:val="22"/>
              </w:rPr>
              <w:t> </w:t>
            </w:r>
          </w:p>
        </w:tc>
        <w:tc>
          <w:tcPr>
            <w:tcW w:w="1928" w:type="dxa"/>
            <w:shd w:val="clear" w:color="auto" w:fill="auto"/>
          </w:tcPr>
          <w:p w14:paraId="55B13209" w14:textId="3B3D3FF0" w:rsidR="001C17AE" w:rsidRPr="00E53E9A" w:rsidRDefault="001C17AE" w:rsidP="001C17AE">
            <w:pPr>
              <w:pStyle w:val="p1"/>
              <w:rPr>
                <w:rFonts w:ascii="Arial" w:hAnsi="Arial" w:cs="Arial"/>
                <w:sz w:val="22"/>
                <w:szCs w:val="22"/>
              </w:rPr>
            </w:pPr>
            <w:r w:rsidRPr="00E53E9A">
              <w:rPr>
                <w:rFonts w:ascii="Arial" w:hAnsi="Arial" w:cs="Arial"/>
                <w:sz w:val="22"/>
                <w:szCs w:val="22"/>
              </w:rPr>
              <w:t>6.74 cent</w:t>
            </w:r>
          </w:p>
        </w:tc>
      </w:tr>
      <w:tr w:rsidR="001C17AE" w:rsidRPr="00E53E9A" w14:paraId="205B210F" w14:textId="77777777" w:rsidTr="00E53E9A">
        <w:tc>
          <w:tcPr>
            <w:tcW w:w="7088" w:type="dxa"/>
            <w:shd w:val="clear" w:color="auto" w:fill="auto"/>
          </w:tcPr>
          <w:p w14:paraId="7229549A" w14:textId="61DD9E7E" w:rsidR="001C17AE" w:rsidRPr="00E53E9A" w:rsidRDefault="001C17AE" w:rsidP="001C17AE">
            <w:pPr>
              <w:pStyle w:val="p1"/>
              <w:rPr>
                <w:rFonts w:ascii="Arial" w:hAnsi="Arial" w:cs="Arial"/>
                <w:sz w:val="22"/>
                <w:szCs w:val="22"/>
              </w:rPr>
            </w:pPr>
            <w:r w:rsidRPr="00E53E9A">
              <w:rPr>
                <w:rFonts w:ascii="Arial" w:hAnsi="Arial" w:cs="Arial"/>
                <w:sz w:val="22"/>
                <w:szCs w:val="22"/>
              </w:rPr>
              <w:t>GAV</w:t>
            </w:r>
          </w:p>
        </w:tc>
        <w:tc>
          <w:tcPr>
            <w:tcW w:w="1928" w:type="dxa"/>
            <w:shd w:val="clear" w:color="auto" w:fill="auto"/>
          </w:tcPr>
          <w:p w14:paraId="369F826B" w14:textId="6D634968" w:rsidR="001C17AE" w:rsidRPr="00E53E9A" w:rsidRDefault="001C17AE" w:rsidP="001C17AE">
            <w:pPr>
              <w:pStyle w:val="p1"/>
              <w:rPr>
                <w:rFonts w:ascii="Arial" w:hAnsi="Arial" w:cs="Arial"/>
                <w:sz w:val="22"/>
                <w:szCs w:val="22"/>
              </w:rPr>
            </w:pPr>
            <w:r w:rsidRPr="00E53E9A">
              <w:rPr>
                <w:rFonts w:ascii="Arial" w:hAnsi="Arial" w:cs="Arial"/>
                <w:sz w:val="22"/>
                <w:szCs w:val="22"/>
              </w:rPr>
              <w:t>€2,493 million</w:t>
            </w:r>
          </w:p>
        </w:tc>
      </w:tr>
      <w:tr w:rsidR="001C17AE" w:rsidRPr="00E53E9A" w14:paraId="17AF26EB" w14:textId="77777777" w:rsidTr="00E53E9A">
        <w:tc>
          <w:tcPr>
            <w:tcW w:w="7088" w:type="dxa"/>
            <w:shd w:val="clear" w:color="auto" w:fill="auto"/>
          </w:tcPr>
          <w:p w14:paraId="630FFC49" w14:textId="3BBB8940" w:rsidR="001C17AE" w:rsidRPr="00E53E9A" w:rsidRDefault="001C17AE" w:rsidP="001C17AE">
            <w:pPr>
              <w:pStyle w:val="p1"/>
              <w:rPr>
                <w:rFonts w:ascii="Arial" w:hAnsi="Arial" w:cs="Arial"/>
                <w:sz w:val="22"/>
                <w:szCs w:val="22"/>
              </w:rPr>
            </w:pPr>
            <w:r w:rsidRPr="00E53E9A">
              <w:rPr>
                <w:rFonts w:ascii="Arial" w:hAnsi="Arial" w:cs="Arial"/>
                <w:sz w:val="22"/>
                <w:szCs w:val="22"/>
              </w:rPr>
              <w:t>NAV</w:t>
            </w:r>
          </w:p>
        </w:tc>
        <w:tc>
          <w:tcPr>
            <w:tcW w:w="1928" w:type="dxa"/>
            <w:shd w:val="clear" w:color="auto" w:fill="auto"/>
          </w:tcPr>
          <w:p w14:paraId="774E736D" w14:textId="5EBE93EE" w:rsidR="001C17AE" w:rsidRPr="00E53E9A" w:rsidRDefault="001C17AE" w:rsidP="001C17AE">
            <w:pPr>
              <w:pStyle w:val="p1"/>
              <w:rPr>
                <w:rFonts w:ascii="Arial" w:hAnsi="Arial" w:cs="Arial"/>
                <w:sz w:val="22"/>
                <w:szCs w:val="22"/>
              </w:rPr>
            </w:pPr>
            <w:r w:rsidRPr="00E53E9A">
              <w:rPr>
                <w:rFonts w:ascii="Arial" w:hAnsi="Arial" w:cs="Arial"/>
                <w:sz w:val="22"/>
                <w:szCs w:val="22"/>
              </w:rPr>
              <w:t>€1,230 million</w:t>
            </w:r>
          </w:p>
        </w:tc>
      </w:tr>
      <w:tr w:rsidR="001C17AE" w:rsidRPr="00E53E9A" w14:paraId="314E3EFB" w14:textId="77777777" w:rsidTr="00E53E9A">
        <w:tc>
          <w:tcPr>
            <w:tcW w:w="7088" w:type="dxa"/>
            <w:shd w:val="clear" w:color="auto" w:fill="auto"/>
          </w:tcPr>
          <w:p w14:paraId="3574C4B0" w14:textId="0D5EE2E2" w:rsidR="001C17AE" w:rsidRPr="00E53E9A" w:rsidRDefault="001C17AE" w:rsidP="001C17AE">
            <w:pPr>
              <w:pStyle w:val="p1"/>
              <w:rPr>
                <w:rFonts w:ascii="Arial" w:hAnsi="Arial" w:cs="Arial"/>
                <w:sz w:val="22"/>
                <w:szCs w:val="22"/>
              </w:rPr>
            </w:pPr>
            <w:r w:rsidRPr="00E53E9A">
              <w:rPr>
                <w:rFonts w:ascii="Arial" w:hAnsi="Arial" w:cs="Arial"/>
                <w:sz w:val="22"/>
                <w:szCs w:val="22"/>
              </w:rPr>
              <w:t>NAV per share</w:t>
            </w:r>
            <w:r w:rsidRPr="00E53E9A">
              <w:rPr>
                <w:rStyle w:val="apple-converted-space"/>
                <w:rFonts w:ascii="Arial" w:eastAsiaTheme="majorEastAsia" w:hAnsi="Arial" w:cs="Arial"/>
                <w:sz w:val="22"/>
                <w:szCs w:val="22"/>
              </w:rPr>
              <w:t> </w:t>
            </w:r>
          </w:p>
        </w:tc>
        <w:tc>
          <w:tcPr>
            <w:tcW w:w="1928" w:type="dxa"/>
            <w:shd w:val="clear" w:color="auto" w:fill="auto"/>
          </w:tcPr>
          <w:p w14:paraId="5BAA5A12" w14:textId="638BC0B9" w:rsidR="001C17AE" w:rsidRPr="00E53E9A" w:rsidRDefault="001C17AE" w:rsidP="001C17AE">
            <w:pPr>
              <w:pStyle w:val="p1"/>
              <w:rPr>
                <w:rFonts w:ascii="Arial" w:hAnsi="Arial" w:cs="Arial"/>
                <w:sz w:val="22"/>
                <w:szCs w:val="22"/>
              </w:rPr>
            </w:pPr>
            <w:r w:rsidRPr="00E53E9A">
              <w:rPr>
                <w:rFonts w:ascii="Arial" w:hAnsi="Arial" w:cs="Arial"/>
                <w:sz w:val="22"/>
                <w:szCs w:val="22"/>
              </w:rPr>
              <w:t>110.5 cent</w:t>
            </w:r>
          </w:p>
        </w:tc>
      </w:tr>
      <w:tr w:rsidR="001C17AE" w:rsidRPr="00E53E9A" w14:paraId="7DC5BD1D" w14:textId="77777777" w:rsidTr="00E53E9A">
        <w:tc>
          <w:tcPr>
            <w:tcW w:w="7088" w:type="dxa"/>
            <w:shd w:val="clear" w:color="auto" w:fill="auto"/>
          </w:tcPr>
          <w:p w14:paraId="21D2DFE1" w14:textId="6AC2BC78" w:rsidR="001C17AE" w:rsidRPr="00E53E9A" w:rsidRDefault="001C17AE" w:rsidP="001C17AE">
            <w:pPr>
              <w:pStyle w:val="p1"/>
              <w:rPr>
                <w:rFonts w:ascii="Arial" w:hAnsi="Arial" w:cs="Arial"/>
                <w:sz w:val="22"/>
                <w:szCs w:val="22"/>
              </w:rPr>
            </w:pPr>
            <w:r w:rsidRPr="00E53E9A">
              <w:rPr>
                <w:rFonts w:ascii="Arial" w:hAnsi="Arial" w:cs="Arial"/>
                <w:sz w:val="22"/>
                <w:szCs w:val="22"/>
              </w:rPr>
              <w:t>Discount to NAV</w:t>
            </w:r>
            <w:r w:rsidRPr="00E53E9A">
              <w:rPr>
                <w:rStyle w:val="apple-converted-space"/>
                <w:rFonts w:ascii="Arial" w:eastAsiaTheme="majorEastAsia" w:hAnsi="Arial" w:cs="Arial"/>
                <w:sz w:val="22"/>
                <w:szCs w:val="22"/>
              </w:rPr>
              <w:t> </w:t>
            </w:r>
          </w:p>
        </w:tc>
        <w:tc>
          <w:tcPr>
            <w:tcW w:w="1928" w:type="dxa"/>
            <w:shd w:val="clear" w:color="auto" w:fill="auto"/>
          </w:tcPr>
          <w:p w14:paraId="31E37329" w14:textId="7AFF5853" w:rsidR="001C17AE" w:rsidRPr="00E53E9A" w:rsidRDefault="001C17AE" w:rsidP="001C17AE">
            <w:pPr>
              <w:pStyle w:val="p1"/>
              <w:rPr>
                <w:rFonts w:ascii="Arial" w:hAnsi="Arial" w:cs="Arial"/>
                <w:sz w:val="22"/>
                <w:szCs w:val="22"/>
              </w:rPr>
            </w:pPr>
            <w:r w:rsidRPr="00E53E9A">
              <w:rPr>
                <w:rFonts w:ascii="Arial" w:hAnsi="Arial" w:cs="Arial"/>
                <w:sz w:val="22"/>
                <w:szCs w:val="22"/>
              </w:rPr>
              <w:t>25.5%</w:t>
            </w:r>
          </w:p>
        </w:tc>
      </w:tr>
      <w:tr w:rsidR="001C17AE" w:rsidRPr="00E53E9A" w14:paraId="1EC19530" w14:textId="77777777" w:rsidTr="00E53E9A">
        <w:tc>
          <w:tcPr>
            <w:tcW w:w="7088" w:type="dxa"/>
            <w:shd w:val="clear" w:color="auto" w:fill="auto"/>
          </w:tcPr>
          <w:p w14:paraId="2EB626BF" w14:textId="1191DB72" w:rsidR="001C17AE" w:rsidRPr="00E53E9A" w:rsidRDefault="001C17AE" w:rsidP="001C17AE">
            <w:pPr>
              <w:pStyle w:val="p1"/>
              <w:rPr>
                <w:rFonts w:ascii="Arial" w:hAnsi="Arial" w:cs="Arial"/>
                <w:sz w:val="22"/>
                <w:szCs w:val="22"/>
              </w:rPr>
            </w:pPr>
            <w:r w:rsidRPr="00E53E9A">
              <w:rPr>
                <w:rFonts w:ascii="Arial" w:hAnsi="Arial" w:cs="Arial"/>
                <w:sz w:val="22"/>
                <w:szCs w:val="22"/>
              </w:rPr>
              <w:t>Renewable energy generated</w:t>
            </w:r>
            <w:r w:rsidRPr="00E53E9A">
              <w:rPr>
                <w:rStyle w:val="apple-converted-space"/>
                <w:rFonts w:ascii="Arial" w:eastAsiaTheme="majorEastAsia" w:hAnsi="Arial" w:cs="Arial"/>
                <w:sz w:val="22"/>
                <w:szCs w:val="22"/>
              </w:rPr>
              <w:t> </w:t>
            </w:r>
          </w:p>
        </w:tc>
        <w:tc>
          <w:tcPr>
            <w:tcW w:w="1928" w:type="dxa"/>
            <w:shd w:val="clear" w:color="auto" w:fill="auto"/>
          </w:tcPr>
          <w:p w14:paraId="1CF93060" w14:textId="1553C2D4" w:rsidR="001C17AE" w:rsidRPr="00E53E9A" w:rsidRDefault="001C17AE" w:rsidP="001C17AE">
            <w:pPr>
              <w:pStyle w:val="p1"/>
              <w:rPr>
                <w:rFonts w:ascii="Arial" w:hAnsi="Arial" w:cs="Arial"/>
                <w:sz w:val="22"/>
                <w:szCs w:val="22"/>
              </w:rPr>
            </w:pPr>
            <w:r w:rsidRPr="00E53E9A">
              <w:rPr>
                <w:rFonts w:ascii="Arial" w:hAnsi="Arial" w:cs="Arial"/>
                <w:sz w:val="22"/>
                <w:szCs w:val="22"/>
              </w:rPr>
              <w:t>3,443 GWh</w:t>
            </w:r>
          </w:p>
        </w:tc>
      </w:tr>
      <w:tr w:rsidR="001C17AE" w:rsidRPr="00E53E9A" w14:paraId="1F732DCD" w14:textId="77777777" w:rsidTr="00E53E9A">
        <w:tc>
          <w:tcPr>
            <w:tcW w:w="7088" w:type="dxa"/>
            <w:shd w:val="clear" w:color="auto" w:fill="auto"/>
          </w:tcPr>
          <w:p w14:paraId="221F3382" w14:textId="4F0BA587" w:rsidR="001C17AE" w:rsidRPr="00E53E9A" w:rsidRDefault="001C17AE" w:rsidP="001C17AE">
            <w:pPr>
              <w:pStyle w:val="p1"/>
              <w:rPr>
                <w:rFonts w:ascii="Arial" w:hAnsi="Arial" w:cs="Arial"/>
                <w:sz w:val="22"/>
                <w:szCs w:val="22"/>
              </w:rPr>
            </w:pPr>
            <w:r w:rsidRPr="00E53E9A">
              <w:rPr>
                <w:rFonts w:ascii="Arial" w:hAnsi="Arial" w:cs="Arial"/>
                <w:sz w:val="22"/>
                <w:szCs w:val="22"/>
              </w:rPr>
              <w:t>CO</w:t>
            </w:r>
            <w:r w:rsidRPr="00E53E9A">
              <w:rPr>
                <w:rStyle w:val="s1"/>
                <w:rFonts w:ascii="Arial" w:eastAsiaTheme="majorEastAsia" w:hAnsi="Arial" w:cs="Arial"/>
                <w:sz w:val="22"/>
                <w:szCs w:val="22"/>
              </w:rPr>
              <w:t>2</w:t>
            </w:r>
            <w:r w:rsidRPr="00E53E9A">
              <w:rPr>
                <w:rFonts w:ascii="Arial" w:hAnsi="Arial" w:cs="Arial"/>
                <w:sz w:val="22"/>
                <w:szCs w:val="22"/>
              </w:rPr>
              <w:t xml:space="preserve"> emissions avoided per annum</w:t>
            </w:r>
            <w:r w:rsidRPr="00E53E9A">
              <w:rPr>
                <w:rStyle w:val="apple-converted-space"/>
                <w:rFonts w:ascii="Arial" w:eastAsiaTheme="majorEastAsia" w:hAnsi="Arial" w:cs="Arial"/>
                <w:sz w:val="22"/>
                <w:szCs w:val="22"/>
              </w:rPr>
              <w:t> </w:t>
            </w:r>
          </w:p>
        </w:tc>
        <w:tc>
          <w:tcPr>
            <w:tcW w:w="1928" w:type="dxa"/>
            <w:shd w:val="clear" w:color="auto" w:fill="auto"/>
          </w:tcPr>
          <w:p w14:paraId="2207C73D" w14:textId="7EA203CE" w:rsidR="001C17AE" w:rsidRPr="00E53E9A" w:rsidRDefault="001C17AE" w:rsidP="001C17AE">
            <w:pPr>
              <w:pStyle w:val="p1"/>
              <w:rPr>
                <w:rFonts w:ascii="Arial" w:hAnsi="Arial" w:cs="Arial"/>
                <w:sz w:val="22"/>
                <w:szCs w:val="22"/>
              </w:rPr>
            </w:pPr>
            <w:r w:rsidRPr="00E53E9A">
              <w:rPr>
                <w:rFonts w:ascii="Arial" w:hAnsi="Arial" w:cs="Arial"/>
                <w:sz w:val="22"/>
                <w:szCs w:val="22"/>
              </w:rPr>
              <w:t>c.1.4 million</w:t>
            </w:r>
            <w:r w:rsidR="001D4103">
              <w:rPr>
                <w:rFonts w:ascii="Arial" w:hAnsi="Arial" w:cs="Arial"/>
                <w:sz w:val="22"/>
                <w:szCs w:val="22"/>
              </w:rPr>
              <w:t xml:space="preserve"> tonnes</w:t>
            </w:r>
          </w:p>
        </w:tc>
      </w:tr>
      <w:tr w:rsidR="001C17AE" w:rsidRPr="00E53E9A" w14:paraId="19B1AAF9" w14:textId="77777777" w:rsidTr="00E53E9A">
        <w:tc>
          <w:tcPr>
            <w:tcW w:w="7088" w:type="dxa"/>
            <w:shd w:val="clear" w:color="auto" w:fill="auto"/>
          </w:tcPr>
          <w:p w14:paraId="023FEF00" w14:textId="70004A96" w:rsidR="001C17AE" w:rsidRPr="00E53E9A" w:rsidRDefault="001C17AE" w:rsidP="001C17AE">
            <w:pPr>
              <w:pStyle w:val="p1"/>
              <w:rPr>
                <w:rFonts w:ascii="Arial" w:hAnsi="Arial" w:cs="Arial"/>
                <w:sz w:val="22"/>
                <w:szCs w:val="22"/>
              </w:rPr>
            </w:pPr>
            <w:r w:rsidRPr="00E53E9A">
              <w:rPr>
                <w:rFonts w:ascii="Arial" w:hAnsi="Arial" w:cs="Arial"/>
                <w:sz w:val="22"/>
                <w:szCs w:val="22"/>
              </w:rPr>
              <w:t>Homes powered per annum</w:t>
            </w:r>
            <w:r w:rsidRPr="00E53E9A">
              <w:rPr>
                <w:rStyle w:val="apple-converted-space"/>
                <w:rFonts w:ascii="Arial" w:eastAsiaTheme="majorEastAsia" w:hAnsi="Arial" w:cs="Arial"/>
                <w:sz w:val="22"/>
                <w:szCs w:val="22"/>
              </w:rPr>
              <w:t> </w:t>
            </w:r>
          </w:p>
        </w:tc>
        <w:tc>
          <w:tcPr>
            <w:tcW w:w="1928" w:type="dxa"/>
            <w:shd w:val="clear" w:color="auto" w:fill="auto"/>
          </w:tcPr>
          <w:p w14:paraId="69C084C0" w14:textId="4D905A6C" w:rsidR="001C17AE" w:rsidRPr="00E53E9A" w:rsidRDefault="001C17AE" w:rsidP="001C17AE">
            <w:pPr>
              <w:pStyle w:val="p1"/>
              <w:rPr>
                <w:rFonts w:ascii="Arial" w:hAnsi="Arial" w:cs="Arial"/>
                <w:sz w:val="22"/>
                <w:szCs w:val="22"/>
              </w:rPr>
            </w:pPr>
            <w:r w:rsidRPr="00E53E9A">
              <w:rPr>
                <w:rFonts w:ascii="Arial" w:hAnsi="Arial" w:cs="Arial"/>
                <w:sz w:val="22"/>
                <w:szCs w:val="22"/>
              </w:rPr>
              <w:t>c.775,000</w:t>
            </w:r>
          </w:p>
        </w:tc>
      </w:tr>
      <w:tr w:rsidR="001C17AE" w:rsidRPr="00E53E9A" w14:paraId="664A4CE3" w14:textId="77777777" w:rsidTr="00E53E9A">
        <w:tc>
          <w:tcPr>
            <w:tcW w:w="7088" w:type="dxa"/>
            <w:shd w:val="clear" w:color="auto" w:fill="auto"/>
          </w:tcPr>
          <w:p w14:paraId="0EDAD140" w14:textId="7FE0626A" w:rsidR="001C17AE" w:rsidRPr="00E53E9A" w:rsidRDefault="001C17AE" w:rsidP="001C17AE">
            <w:pPr>
              <w:pStyle w:val="p1"/>
              <w:rPr>
                <w:rFonts w:ascii="Arial" w:hAnsi="Arial" w:cs="Arial"/>
                <w:sz w:val="22"/>
                <w:szCs w:val="22"/>
              </w:rPr>
            </w:pPr>
            <w:r w:rsidRPr="00E53E9A">
              <w:rPr>
                <w:rFonts w:ascii="Arial" w:hAnsi="Arial" w:cs="Arial"/>
                <w:sz w:val="22"/>
                <w:szCs w:val="22"/>
              </w:rPr>
              <w:t>Funds committed in community funds and social projects</w:t>
            </w:r>
            <w:r w:rsidRPr="00E53E9A">
              <w:rPr>
                <w:rStyle w:val="apple-converted-space"/>
                <w:rFonts w:ascii="Arial" w:eastAsiaTheme="majorEastAsia" w:hAnsi="Arial" w:cs="Arial"/>
                <w:sz w:val="22"/>
                <w:szCs w:val="22"/>
              </w:rPr>
              <w:t> </w:t>
            </w:r>
          </w:p>
        </w:tc>
        <w:tc>
          <w:tcPr>
            <w:tcW w:w="1928" w:type="dxa"/>
            <w:shd w:val="clear" w:color="auto" w:fill="auto"/>
          </w:tcPr>
          <w:p w14:paraId="7B9A3759" w14:textId="1EBE224B" w:rsidR="001C17AE" w:rsidRPr="00E53E9A" w:rsidRDefault="001C17AE" w:rsidP="001C17AE">
            <w:pPr>
              <w:pStyle w:val="p1"/>
              <w:rPr>
                <w:rFonts w:ascii="Arial" w:hAnsi="Arial" w:cs="Arial"/>
                <w:sz w:val="22"/>
                <w:szCs w:val="22"/>
              </w:rPr>
            </w:pPr>
            <w:r w:rsidRPr="00E53E9A">
              <w:rPr>
                <w:rFonts w:ascii="Arial" w:hAnsi="Arial" w:cs="Arial"/>
                <w:sz w:val="22"/>
                <w:szCs w:val="22"/>
              </w:rPr>
              <w:t>€1.3 million</w:t>
            </w:r>
          </w:p>
        </w:tc>
      </w:tr>
    </w:tbl>
    <w:p w14:paraId="6DAA9266" w14:textId="77777777" w:rsidR="001C17AE" w:rsidRPr="00E53E9A" w:rsidRDefault="001C17AE" w:rsidP="00D23353">
      <w:pPr>
        <w:rPr>
          <w:rFonts w:ascii="Arial" w:hAnsi="Arial" w:cs="Arial"/>
          <w:sz w:val="22"/>
          <w:szCs w:val="40"/>
        </w:rPr>
      </w:pPr>
    </w:p>
    <w:p w14:paraId="3E14E050" w14:textId="77777777" w:rsidR="000A2FDB" w:rsidRPr="00E53E9A" w:rsidRDefault="000A2FDB" w:rsidP="00E06D3F">
      <w:pPr>
        <w:rPr>
          <w:rFonts w:ascii="Arial" w:hAnsi="Arial" w:cs="Arial"/>
          <w:sz w:val="22"/>
          <w:szCs w:val="40"/>
        </w:rPr>
      </w:pPr>
    </w:p>
    <w:p w14:paraId="5A67A112" w14:textId="7E243182" w:rsidR="000A2FDB" w:rsidRPr="00E53E9A" w:rsidRDefault="000A2FDB" w:rsidP="000A2FDB">
      <w:pPr>
        <w:pStyle w:val="lh"/>
        <w:shd w:val="clear" w:color="auto" w:fill="FFFFFF"/>
        <w:spacing w:before="0" w:beforeAutospacing="0" w:after="0" w:afterAutospacing="0"/>
        <w:jc w:val="both"/>
        <w:rPr>
          <w:rStyle w:val="li"/>
          <w:rFonts w:ascii="Arial" w:eastAsiaTheme="majorEastAsia" w:hAnsi="Arial" w:cs="Arial"/>
          <w:color w:val="000000"/>
          <w:sz w:val="20"/>
          <w:szCs w:val="20"/>
        </w:rPr>
      </w:pPr>
      <w:r w:rsidRPr="00E53E9A">
        <w:rPr>
          <w:rStyle w:val="li"/>
          <w:rFonts w:ascii="Arial" w:eastAsiaTheme="majorEastAsia" w:hAnsi="Arial" w:cs="Arial"/>
          <w:color w:val="000000"/>
          <w:sz w:val="20"/>
          <w:szCs w:val="20"/>
        </w:rPr>
        <w:t>A copy of the Final Results has been submitted to the National Storage Mechanism and will shortly be available for inspection at</w:t>
      </w:r>
      <w:r w:rsidR="00DB3E1E" w:rsidRPr="00E53E9A">
        <w:rPr>
          <w:rStyle w:val="li"/>
          <w:rFonts w:ascii="Arial" w:eastAsiaTheme="majorEastAsia" w:hAnsi="Arial" w:cs="Arial"/>
          <w:color w:val="000000"/>
          <w:sz w:val="20"/>
          <w:szCs w:val="20"/>
        </w:rPr>
        <w:t>:</w:t>
      </w:r>
      <w:r w:rsidR="0021553D">
        <w:rPr>
          <w:rStyle w:val="li"/>
          <w:rFonts w:ascii="Arial" w:eastAsiaTheme="majorEastAsia" w:hAnsi="Arial" w:cs="Arial"/>
          <w:color w:val="000000"/>
          <w:sz w:val="20"/>
          <w:szCs w:val="20"/>
        </w:rPr>
        <w:t xml:space="preserve"> </w:t>
      </w:r>
      <w:hyperlink r:id="rId11" w:history="1">
        <w:r w:rsidR="0021553D" w:rsidRPr="0021553D">
          <w:rPr>
            <w:rStyle w:val="Hyperlink"/>
            <w:rFonts w:ascii="Arial" w:eastAsiaTheme="majorEastAsia" w:hAnsi="Arial" w:cs="Arial"/>
            <w:sz w:val="20"/>
            <w:szCs w:val="20"/>
          </w:rPr>
          <w:t>https://www.fca.org.uk/markets/primary-markets/regulatory-disclosures/national-storage-mechanism</w:t>
        </w:r>
      </w:hyperlink>
      <w:r w:rsidR="0021553D" w:rsidRPr="0021553D">
        <w:rPr>
          <w:rFonts w:ascii="Arial" w:eastAsiaTheme="majorEastAsia" w:hAnsi="Arial" w:cs="Arial"/>
          <w:color w:val="000000"/>
          <w:sz w:val="20"/>
          <w:szCs w:val="20"/>
        </w:rPr>
        <w:t>.</w:t>
      </w:r>
      <w:r w:rsidR="0021553D" w:rsidRPr="0021553D" w:rsidDel="0021553D">
        <w:rPr>
          <w:rFonts w:ascii="Arial" w:eastAsiaTheme="majorEastAsia" w:hAnsi="Arial" w:cs="Arial"/>
          <w:color w:val="000000"/>
          <w:sz w:val="20"/>
          <w:szCs w:val="20"/>
        </w:rPr>
        <w:t xml:space="preserve"> </w:t>
      </w:r>
    </w:p>
    <w:p w14:paraId="0B376BEC" w14:textId="77777777" w:rsidR="004612E7" w:rsidRPr="00E53E9A" w:rsidRDefault="004612E7" w:rsidP="000A2FDB">
      <w:pPr>
        <w:pStyle w:val="lh"/>
        <w:shd w:val="clear" w:color="auto" w:fill="FFFFFF"/>
        <w:spacing w:before="0" w:beforeAutospacing="0" w:after="0" w:afterAutospacing="0"/>
        <w:jc w:val="both"/>
        <w:rPr>
          <w:rFonts w:ascii="Arial" w:hAnsi="Arial" w:cs="Arial"/>
          <w:color w:val="000000"/>
          <w:sz w:val="20"/>
          <w:szCs w:val="20"/>
        </w:rPr>
      </w:pPr>
    </w:p>
    <w:p w14:paraId="5C6A2CE6" w14:textId="4DA49D04" w:rsidR="000A2FDB" w:rsidRPr="00E53E9A" w:rsidRDefault="000A2FDB" w:rsidP="000A2FDB">
      <w:pPr>
        <w:pStyle w:val="lk"/>
        <w:shd w:val="clear" w:color="auto" w:fill="FFFFFF"/>
        <w:spacing w:before="0" w:beforeAutospacing="0" w:after="0" w:afterAutospacing="0"/>
        <w:ind w:left="480" w:hanging="480"/>
        <w:jc w:val="both"/>
        <w:rPr>
          <w:rFonts w:ascii="Arial" w:hAnsi="Arial" w:cs="Arial"/>
          <w:color w:val="000000"/>
          <w:sz w:val="20"/>
          <w:szCs w:val="20"/>
          <w:highlight w:val="yellow"/>
        </w:rPr>
      </w:pPr>
    </w:p>
    <w:p w14:paraId="704954F5" w14:textId="77777777" w:rsidR="000A2FDB" w:rsidRPr="00E53E9A" w:rsidRDefault="000A2FDB" w:rsidP="000A2FDB">
      <w:pPr>
        <w:pStyle w:val="lk"/>
        <w:shd w:val="clear" w:color="auto" w:fill="FFFFFF"/>
        <w:spacing w:before="0" w:beforeAutospacing="0" w:after="0" w:afterAutospacing="0"/>
        <w:ind w:left="480" w:hanging="480"/>
        <w:jc w:val="both"/>
        <w:rPr>
          <w:rFonts w:ascii="Arial" w:hAnsi="Arial" w:cs="Arial"/>
          <w:b/>
          <w:bCs/>
          <w:color w:val="000000"/>
          <w:sz w:val="20"/>
          <w:szCs w:val="20"/>
        </w:rPr>
      </w:pPr>
      <w:r w:rsidRPr="00E53E9A">
        <w:rPr>
          <w:rStyle w:val="ll"/>
          <w:rFonts w:ascii="Arial" w:eastAsiaTheme="majorEastAsia" w:hAnsi="Arial" w:cs="Arial"/>
          <w:b/>
          <w:bCs/>
          <w:color w:val="000000"/>
          <w:sz w:val="20"/>
          <w:szCs w:val="20"/>
        </w:rPr>
        <w:t>Conference call for analysts and investors</w:t>
      </w:r>
    </w:p>
    <w:p w14:paraId="484D404D" w14:textId="77777777" w:rsidR="000A2FDB" w:rsidRPr="00E53E9A" w:rsidRDefault="000A2FDB" w:rsidP="000A2FDB">
      <w:pPr>
        <w:pStyle w:val="lk"/>
        <w:shd w:val="clear" w:color="auto" w:fill="FFFFFF"/>
        <w:spacing w:before="0" w:beforeAutospacing="0" w:after="0" w:afterAutospacing="0"/>
        <w:ind w:left="480" w:hanging="480"/>
        <w:jc w:val="both"/>
        <w:rPr>
          <w:rFonts w:ascii="Arial" w:hAnsi="Arial" w:cs="Arial"/>
          <w:color w:val="000000"/>
          <w:sz w:val="20"/>
          <w:szCs w:val="20"/>
        </w:rPr>
      </w:pPr>
      <w:r w:rsidRPr="00E53E9A">
        <w:rPr>
          <w:rStyle w:val="ip"/>
          <w:rFonts w:ascii="Arial" w:hAnsi="Arial" w:cs="Arial"/>
          <w:color w:val="000000"/>
          <w:sz w:val="20"/>
          <w:szCs w:val="20"/>
        </w:rPr>
        <w:t> </w:t>
      </w:r>
    </w:p>
    <w:p w14:paraId="56A8A935" w14:textId="2C75391C" w:rsidR="000A2FDB" w:rsidRPr="00E53E9A" w:rsidRDefault="000A2FDB" w:rsidP="000A2FDB">
      <w:pPr>
        <w:pStyle w:val="lm"/>
        <w:shd w:val="clear" w:color="auto" w:fill="FFFFFF"/>
        <w:spacing w:before="0" w:beforeAutospacing="0" w:after="0" w:afterAutospacing="0"/>
        <w:jc w:val="both"/>
        <w:rPr>
          <w:rFonts w:ascii="Arial" w:hAnsi="Arial" w:cs="Arial"/>
          <w:color w:val="000000"/>
          <w:sz w:val="20"/>
          <w:szCs w:val="20"/>
        </w:rPr>
      </w:pPr>
      <w:r w:rsidRPr="00E53E9A">
        <w:rPr>
          <w:rStyle w:val="li"/>
          <w:rFonts w:ascii="Arial" w:eastAsiaTheme="majorEastAsia" w:hAnsi="Arial" w:cs="Arial"/>
          <w:color w:val="000000"/>
          <w:sz w:val="20"/>
          <w:szCs w:val="20"/>
        </w:rPr>
        <w:t xml:space="preserve">A conference call and webcast for analysts and investors will be held at </w:t>
      </w:r>
      <w:r w:rsidR="00954F7A">
        <w:rPr>
          <w:rStyle w:val="li"/>
          <w:rFonts w:ascii="Arial" w:eastAsiaTheme="majorEastAsia" w:hAnsi="Arial" w:cs="Arial"/>
          <w:color w:val="000000"/>
          <w:sz w:val="20"/>
          <w:szCs w:val="20"/>
        </w:rPr>
        <w:t>09.00</w:t>
      </w:r>
      <w:r w:rsidRPr="00E53E9A">
        <w:rPr>
          <w:rStyle w:val="li"/>
          <w:rFonts w:ascii="Arial" w:eastAsiaTheme="majorEastAsia" w:hAnsi="Arial" w:cs="Arial"/>
          <w:color w:val="000000"/>
          <w:sz w:val="20"/>
          <w:szCs w:val="20"/>
        </w:rPr>
        <w:t xml:space="preserve">am </w:t>
      </w:r>
      <w:r w:rsidR="00954F7A">
        <w:rPr>
          <w:rStyle w:val="li"/>
          <w:rFonts w:ascii="Arial" w:eastAsiaTheme="majorEastAsia" w:hAnsi="Arial" w:cs="Arial"/>
          <w:color w:val="000000"/>
          <w:sz w:val="20"/>
          <w:szCs w:val="20"/>
        </w:rPr>
        <w:t>GMT</w:t>
      </w:r>
      <w:r w:rsidRPr="00E53E9A">
        <w:rPr>
          <w:rStyle w:val="li"/>
          <w:rFonts w:ascii="Arial" w:eastAsiaTheme="majorEastAsia" w:hAnsi="Arial" w:cs="Arial"/>
          <w:color w:val="000000"/>
          <w:sz w:val="20"/>
          <w:szCs w:val="20"/>
        </w:rPr>
        <w:t xml:space="preserve"> today, 6 March 202</w:t>
      </w:r>
      <w:r w:rsidR="00E01B7D" w:rsidRPr="00E53E9A">
        <w:rPr>
          <w:rStyle w:val="li"/>
          <w:rFonts w:ascii="Arial" w:eastAsiaTheme="majorEastAsia" w:hAnsi="Arial" w:cs="Arial"/>
          <w:color w:val="000000"/>
          <w:sz w:val="20"/>
          <w:szCs w:val="20"/>
        </w:rPr>
        <w:t>5</w:t>
      </w:r>
      <w:r w:rsidRPr="00E53E9A">
        <w:rPr>
          <w:rStyle w:val="li"/>
          <w:rFonts w:ascii="Arial" w:eastAsiaTheme="majorEastAsia" w:hAnsi="Arial" w:cs="Arial"/>
          <w:color w:val="000000"/>
          <w:sz w:val="20"/>
          <w:szCs w:val="20"/>
        </w:rPr>
        <w:t>. To register please contact </w:t>
      </w:r>
      <w:r w:rsidRPr="00E53E9A">
        <w:rPr>
          <w:rStyle w:val="ln"/>
          <w:rFonts w:ascii="Arial" w:hAnsi="Arial" w:cs="Arial"/>
          <w:color w:val="000000"/>
          <w:sz w:val="20"/>
          <w:szCs w:val="20"/>
        </w:rPr>
        <w:t>FTI Consulting by email at </w:t>
      </w:r>
      <w:hyperlink r:id="rId12" w:history="1">
        <w:r w:rsidRPr="00E53E9A">
          <w:rPr>
            <w:rStyle w:val="Hyperlink"/>
            <w:rFonts w:ascii="Arial" w:eastAsiaTheme="majorEastAsia" w:hAnsi="Arial" w:cs="Arial"/>
            <w:sz w:val="20"/>
            <w:szCs w:val="20"/>
          </w:rPr>
          <w:t>greencoat@fticonsulting.com</w:t>
        </w:r>
      </w:hyperlink>
      <w:r w:rsidRPr="00E53E9A">
        <w:rPr>
          <w:rStyle w:val="it"/>
          <w:rFonts w:ascii="Arial" w:eastAsiaTheme="majorEastAsia" w:hAnsi="Arial" w:cs="Arial"/>
          <w:color w:val="000000"/>
          <w:sz w:val="20"/>
          <w:szCs w:val="20"/>
        </w:rPr>
        <w:t>.</w:t>
      </w:r>
    </w:p>
    <w:p w14:paraId="1F702AED" w14:textId="77777777" w:rsidR="000A2FDB" w:rsidRPr="00E53E9A" w:rsidRDefault="000A2FDB" w:rsidP="000A2FDB">
      <w:pPr>
        <w:pStyle w:val="lm"/>
        <w:shd w:val="clear" w:color="auto" w:fill="FFFFFF"/>
        <w:spacing w:before="0" w:beforeAutospacing="0" w:after="0" w:afterAutospacing="0"/>
        <w:jc w:val="both"/>
        <w:rPr>
          <w:rFonts w:ascii="Arial" w:hAnsi="Arial" w:cs="Arial"/>
          <w:color w:val="000000"/>
          <w:sz w:val="20"/>
          <w:szCs w:val="20"/>
        </w:rPr>
      </w:pPr>
      <w:r w:rsidRPr="00E53E9A">
        <w:rPr>
          <w:rStyle w:val="li"/>
          <w:rFonts w:ascii="Arial" w:eastAsiaTheme="majorEastAsia" w:hAnsi="Arial" w:cs="Arial"/>
          <w:color w:val="000000"/>
          <w:sz w:val="20"/>
          <w:szCs w:val="20"/>
        </w:rPr>
        <w:t> </w:t>
      </w:r>
    </w:p>
    <w:p w14:paraId="79597D42" w14:textId="7DD964ED" w:rsidR="000A2FDB" w:rsidRPr="00E53E9A" w:rsidRDefault="000A2FDB" w:rsidP="00E01B7D">
      <w:pPr>
        <w:pStyle w:val="lm"/>
        <w:shd w:val="clear" w:color="auto" w:fill="FFFFFF"/>
        <w:spacing w:before="0" w:beforeAutospacing="0" w:after="0" w:afterAutospacing="0"/>
        <w:jc w:val="both"/>
        <w:rPr>
          <w:rStyle w:val="lj"/>
          <w:rFonts w:ascii="Arial" w:eastAsiaTheme="majorEastAsia" w:hAnsi="Arial" w:cs="Arial"/>
          <w:color w:val="000000"/>
          <w:sz w:val="20"/>
          <w:szCs w:val="20"/>
        </w:rPr>
      </w:pPr>
      <w:r w:rsidRPr="00E53E9A">
        <w:rPr>
          <w:rStyle w:val="li"/>
          <w:rFonts w:ascii="Arial" w:eastAsiaTheme="majorEastAsia" w:hAnsi="Arial" w:cs="Arial"/>
          <w:color w:val="000000"/>
          <w:sz w:val="20"/>
          <w:szCs w:val="20"/>
        </w:rPr>
        <w:t>Presentation materials are available on the Company's website: </w:t>
      </w:r>
      <w:hyperlink r:id="rId13" w:history="1">
        <w:r w:rsidRPr="00E53E9A">
          <w:rPr>
            <w:rStyle w:val="Hyperlink"/>
            <w:rFonts w:ascii="Arial" w:eastAsiaTheme="majorEastAsia" w:hAnsi="Arial" w:cs="Arial"/>
            <w:sz w:val="20"/>
            <w:szCs w:val="20"/>
          </w:rPr>
          <w:t>www.greencoat-renewables.com</w:t>
        </w:r>
      </w:hyperlink>
      <w:r w:rsidRPr="00E53E9A">
        <w:rPr>
          <w:rStyle w:val="lj"/>
          <w:rFonts w:ascii="Arial" w:eastAsiaTheme="majorEastAsia" w:hAnsi="Arial" w:cs="Arial"/>
          <w:color w:val="000000"/>
          <w:sz w:val="20"/>
          <w:szCs w:val="20"/>
        </w:rPr>
        <w:t>.</w:t>
      </w:r>
    </w:p>
    <w:p w14:paraId="2ED793A8" w14:textId="77777777" w:rsidR="004612E7" w:rsidRPr="00E53E9A" w:rsidRDefault="004612E7" w:rsidP="00E01B7D">
      <w:pPr>
        <w:pStyle w:val="lm"/>
        <w:shd w:val="clear" w:color="auto" w:fill="FFFFFF"/>
        <w:spacing w:before="0" w:beforeAutospacing="0" w:after="0" w:afterAutospacing="0"/>
        <w:jc w:val="both"/>
        <w:rPr>
          <w:rFonts w:ascii="Arial" w:hAnsi="Arial" w:cs="Arial"/>
          <w:color w:val="000000"/>
          <w:sz w:val="20"/>
          <w:szCs w:val="20"/>
        </w:rPr>
      </w:pPr>
    </w:p>
    <w:p w14:paraId="79274E13" w14:textId="77777777" w:rsidR="000A2FDB" w:rsidRPr="00E53E9A" w:rsidRDefault="000A2FDB" w:rsidP="000A2FDB">
      <w:pPr>
        <w:pStyle w:val="ko"/>
        <w:shd w:val="clear" w:color="auto" w:fill="FFFFFF"/>
        <w:spacing w:before="0" w:beforeAutospacing="0" w:after="0" w:afterAutospacing="0"/>
        <w:jc w:val="both"/>
        <w:rPr>
          <w:rFonts w:ascii="Arial" w:hAnsi="Arial" w:cs="Arial"/>
          <w:color w:val="000000"/>
          <w:sz w:val="20"/>
          <w:szCs w:val="20"/>
        </w:rPr>
      </w:pPr>
      <w:r w:rsidRPr="00E53E9A">
        <w:rPr>
          <w:rStyle w:val="ka"/>
          <w:rFonts w:ascii="Arial" w:hAnsi="Arial" w:cs="Arial"/>
          <w:color w:val="000000"/>
          <w:sz w:val="20"/>
          <w:szCs w:val="20"/>
        </w:rPr>
        <w:t> </w:t>
      </w:r>
    </w:p>
    <w:p w14:paraId="73EB2DE7" w14:textId="77777777" w:rsidR="000A2FDB" w:rsidRPr="00E53E9A" w:rsidRDefault="000A2FDB" w:rsidP="000A2FDB">
      <w:pPr>
        <w:pStyle w:val="lo"/>
        <w:shd w:val="clear" w:color="auto" w:fill="FFFFFF"/>
        <w:spacing w:before="0" w:beforeAutospacing="0" w:after="0" w:afterAutospacing="0"/>
        <w:jc w:val="center"/>
        <w:rPr>
          <w:rStyle w:val="io"/>
          <w:rFonts w:ascii="Arial" w:hAnsi="Arial" w:cs="Arial"/>
          <w:color w:val="000000"/>
          <w:sz w:val="20"/>
          <w:szCs w:val="20"/>
        </w:rPr>
      </w:pPr>
      <w:r w:rsidRPr="00E53E9A">
        <w:rPr>
          <w:rStyle w:val="io"/>
          <w:rFonts w:ascii="Arial" w:hAnsi="Arial" w:cs="Arial"/>
          <w:color w:val="000000"/>
          <w:sz w:val="20"/>
          <w:szCs w:val="20"/>
        </w:rPr>
        <w:t>--- ENDS ---</w:t>
      </w:r>
    </w:p>
    <w:p w14:paraId="371C47A9" w14:textId="77777777" w:rsidR="004612E7" w:rsidRPr="00E53E9A" w:rsidRDefault="004612E7" w:rsidP="000A2FDB">
      <w:pPr>
        <w:pStyle w:val="lo"/>
        <w:shd w:val="clear" w:color="auto" w:fill="FFFFFF"/>
        <w:spacing w:before="0" w:beforeAutospacing="0" w:after="0" w:afterAutospacing="0"/>
        <w:jc w:val="center"/>
        <w:rPr>
          <w:rStyle w:val="io"/>
          <w:rFonts w:ascii="Arial" w:hAnsi="Arial" w:cs="Arial"/>
          <w:color w:val="000000"/>
          <w:sz w:val="20"/>
          <w:szCs w:val="20"/>
        </w:rPr>
      </w:pPr>
    </w:p>
    <w:p w14:paraId="6104B879" w14:textId="77777777" w:rsidR="003B2285" w:rsidRPr="003B2285" w:rsidRDefault="003B2285" w:rsidP="003B2285">
      <w:pPr>
        <w:rPr>
          <w:rFonts w:ascii="Arial" w:eastAsia="Times New Roman" w:hAnsi="Arial" w:cs="Arial"/>
          <w:color w:val="000000"/>
          <w:kern w:val="0"/>
          <w:szCs w:val="20"/>
          <w:lang w:eastAsia="en-GB"/>
          <w14:ligatures w14:val="none"/>
        </w:rPr>
      </w:pPr>
      <w:r w:rsidRPr="003B2285">
        <w:rPr>
          <w:rFonts w:ascii="Arial" w:eastAsia="Times New Roman" w:hAnsi="Arial" w:cs="Arial"/>
          <w:color w:val="000000"/>
          <w:kern w:val="0"/>
          <w:szCs w:val="20"/>
          <w:lang w:eastAsia="en-GB"/>
          <w14:ligatures w14:val="none"/>
        </w:rPr>
        <w:t> </w:t>
      </w:r>
    </w:p>
    <w:p w14:paraId="7E52EC76"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4E4671D0"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For further information, please contact:</w:t>
      </w:r>
    </w:p>
    <w:p w14:paraId="7F8917A5"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tbl>
      <w:tblPr>
        <w:tblW w:w="9032" w:type="dxa"/>
        <w:tblCellSpacing w:w="0" w:type="dxa"/>
        <w:shd w:val="clear" w:color="auto" w:fill="FFFFFF"/>
        <w:tblCellMar>
          <w:left w:w="0" w:type="dxa"/>
          <w:right w:w="0" w:type="dxa"/>
        </w:tblCellMar>
        <w:tblLook w:val="04A0" w:firstRow="1" w:lastRow="0" w:firstColumn="1" w:lastColumn="0" w:noHBand="0" w:noVBand="1"/>
      </w:tblPr>
      <w:tblGrid>
        <w:gridCol w:w="3899"/>
        <w:gridCol w:w="451"/>
        <w:gridCol w:w="50"/>
        <w:gridCol w:w="50"/>
        <w:gridCol w:w="135"/>
        <w:gridCol w:w="4352"/>
        <w:gridCol w:w="95"/>
      </w:tblGrid>
      <w:tr w:rsidR="00ED05B3" w:rsidRPr="00E53E9A" w14:paraId="52FC150C" w14:textId="77777777" w:rsidTr="0001088C">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495D0209"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b/>
                <w:bCs/>
                <w:color w:val="000000"/>
                <w:kern w:val="0"/>
                <w:szCs w:val="20"/>
                <w:lang w:eastAsia="en-GB"/>
                <w14:ligatures w14:val="none"/>
              </w:rPr>
              <w:t>Schroders Greencoat LLP (Investment</w:t>
            </w:r>
            <w:r w:rsidRPr="00B001C2">
              <w:rPr>
                <w:rFonts w:ascii="Arial" w:eastAsia="Times New Roman" w:hAnsi="Arial" w:cs="Arial"/>
                <w:color w:val="000000"/>
                <w:kern w:val="0"/>
                <w:szCs w:val="20"/>
                <w:lang w:eastAsia="en-GB"/>
                <w14:ligatures w14:val="none"/>
              </w:rPr>
              <w:t> </w:t>
            </w:r>
            <w:r w:rsidRPr="00B001C2">
              <w:rPr>
                <w:rFonts w:ascii="Arial" w:eastAsia="Times New Roman" w:hAnsi="Arial" w:cs="Arial"/>
                <w:b/>
                <w:bCs/>
                <w:color w:val="000000"/>
                <w:kern w:val="0"/>
                <w:szCs w:val="20"/>
                <w:lang w:eastAsia="en-GB"/>
                <w14:ligatures w14:val="none"/>
              </w:rPr>
              <w:t>Manager)</w:t>
            </w:r>
          </w:p>
        </w:tc>
        <w:tc>
          <w:tcPr>
            <w:tcW w:w="451" w:type="dxa"/>
            <w:shd w:val="clear" w:color="auto" w:fill="FFFFFF" w:themeFill="background1"/>
            <w:tcMar>
              <w:top w:w="15" w:type="dxa"/>
              <w:left w:w="15" w:type="dxa"/>
              <w:bottom w:w="15" w:type="dxa"/>
              <w:right w:w="15" w:type="dxa"/>
            </w:tcMar>
            <w:vAlign w:val="center"/>
            <w:hideMark/>
          </w:tcPr>
          <w:p w14:paraId="1023FF18"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4FFDFDCE"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5DFEA99E"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0DBDEDD0"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15" w:type="dxa"/>
              <w:bottom w:w="15" w:type="dxa"/>
              <w:right w:w="15" w:type="dxa"/>
            </w:tcMar>
            <w:vAlign w:val="center"/>
            <w:hideMark/>
          </w:tcPr>
          <w:p w14:paraId="4A590F1E"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95" w:type="dxa"/>
            <w:shd w:val="clear" w:color="auto" w:fill="FFFFFF" w:themeFill="background1"/>
            <w:tcMar>
              <w:top w:w="15" w:type="dxa"/>
              <w:left w:w="15" w:type="dxa"/>
              <w:bottom w:w="15" w:type="dxa"/>
              <w:right w:w="15" w:type="dxa"/>
            </w:tcMar>
            <w:hideMark/>
          </w:tcPr>
          <w:p w14:paraId="55A5C179"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ED05B3" w:rsidRPr="00E53E9A" w14:paraId="1A1E3080" w14:textId="77777777" w:rsidTr="0001088C">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2BC06240"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Bertrand Gautier</w:t>
            </w:r>
          </w:p>
          <w:p w14:paraId="0E85F284"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Paul O'Donnell</w:t>
            </w:r>
          </w:p>
          <w:p w14:paraId="43B56D72"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John Musk</w:t>
            </w:r>
          </w:p>
        </w:tc>
        <w:tc>
          <w:tcPr>
            <w:tcW w:w="451" w:type="dxa"/>
            <w:shd w:val="clear" w:color="auto" w:fill="FFFFFF" w:themeFill="background1"/>
            <w:tcMar>
              <w:top w:w="15" w:type="dxa"/>
              <w:left w:w="15" w:type="dxa"/>
              <w:bottom w:w="15" w:type="dxa"/>
              <w:right w:w="15" w:type="dxa"/>
            </w:tcMar>
            <w:vAlign w:val="center"/>
            <w:hideMark/>
          </w:tcPr>
          <w:p w14:paraId="223490CC"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55A3A88A"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0285AC73"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5D3563FC"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0" w:type="dxa"/>
              <w:bottom w:w="15" w:type="dxa"/>
              <w:right w:w="0" w:type="dxa"/>
            </w:tcMar>
            <w:vAlign w:val="bottom"/>
            <w:hideMark/>
          </w:tcPr>
          <w:p w14:paraId="64499AD5"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+44 20 7832 9400</w:t>
            </w:r>
          </w:p>
        </w:tc>
        <w:tc>
          <w:tcPr>
            <w:tcW w:w="95" w:type="dxa"/>
            <w:shd w:val="clear" w:color="auto" w:fill="FFFFFF" w:themeFill="background1"/>
            <w:tcMar>
              <w:top w:w="15" w:type="dxa"/>
              <w:left w:w="15" w:type="dxa"/>
              <w:bottom w:w="15" w:type="dxa"/>
              <w:right w:w="15" w:type="dxa"/>
            </w:tcMar>
            <w:hideMark/>
          </w:tcPr>
          <w:p w14:paraId="76C5B784"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ED05B3" w:rsidRPr="00E53E9A" w14:paraId="167C81FF" w14:textId="77777777" w:rsidTr="0001088C">
        <w:trPr>
          <w:trHeight w:val="300"/>
          <w:tblCellSpacing w:w="0" w:type="dxa"/>
        </w:trPr>
        <w:tc>
          <w:tcPr>
            <w:tcW w:w="3899" w:type="dxa"/>
            <w:shd w:val="clear" w:color="auto" w:fill="FFFFFF" w:themeFill="background1"/>
            <w:tcMar>
              <w:top w:w="15" w:type="dxa"/>
              <w:left w:w="15" w:type="dxa"/>
              <w:bottom w:w="15" w:type="dxa"/>
              <w:right w:w="15" w:type="dxa"/>
            </w:tcMar>
            <w:vAlign w:val="bottom"/>
            <w:hideMark/>
          </w:tcPr>
          <w:p w14:paraId="13376769"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4F86D081" w14:textId="77777777" w:rsidR="00B001C2" w:rsidRPr="00B001C2" w:rsidRDefault="00B001C2" w:rsidP="00B001C2">
            <w:pPr>
              <w:rPr>
                <w:rFonts w:ascii="Arial" w:eastAsia="Times New Roman" w:hAnsi="Arial" w:cs="Arial"/>
                <w:b/>
                <w:bCs/>
                <w:color w:val="000000"/>
                <w:kern w:val="0"/>
                <w:szCs w:val="20"/>
                <w:lang w:eastAsia="en-GB"/>
                <w14:ligatures w14:val="none"/>
              </w:rPr>
            </w:pPr>
            <w:r w:rsidRPr="00B001C2">
              <w:rPr>
                <w:rFonts w:ascii="Arial" w:eastAsia="Times New Roman" w:hAnsi="Arial" w:cs="Arial"/>
                <w:b/>
                <w:bCs/>
                <w:color w:val="000000"/>
                <w:kern w:val="0"/>
                <w:szCs w:val="20"/>
                <w:lang w:eastAsia="en-GB"/>
                <w14:ligatures w14:val="none"/>
              </w:rPr>
              <w:t>FTI Consulting (Investor Relations &amp; Media)</w:t>
            </w:r>
          </w:p>
        </w:tc>
        <w:tc>
          <w:tcPr>
            <w:tcW w:w="451" w:type="dxa"/>
            <w:shd w:val="clear" w:color="auto" w:fill="FFFFFF" w:themeFill="background1"/>
            <w:tcMar>
              <w:top w:w="15" w:type="dxa"/>
              <w:left w:w="15" w:type="dxa"/>
              <w:bottom w:w="15" w:type="dxa"/>
              <w:right w:w="15" w:type="dxa"/>
            </w:tcMar>
            <w:vAlign w:val="center"/>
            <w:hideMark/>
          </w:tcPr>
          <w:p w14:paraId="01F9C8E6"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669CBF79"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266A6D56"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5BF147B2"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15" w:type="dxa"/>
              <w:bottom w:w="15" w:type="dxa"/>
              <w:right w:w="15" w:type="dxa"/>
            </w:tcMar>
            <w:vAlign w:val="center"/>
            <w:hideMark/>
          </w:tcPr>
          <w:p w14:paraId="52584E21"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20BA395B"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tc>
        <w:tc>
          <w:tcPr>
            <w:tcW w:w="95" w:type="dxa"/>
            <w:shd w:val="clear" w:color="auto" w:fill="FFFFFF" w:themeFill="background1"/>
            <w:tcMar>
              <w:top w:w="15" w:type="dxa"/>
              <w:left w:w="15" w:type="dxa"/>
              <w:bottom w:w="15" w:type="dxa"/>
              <w:right w:w="15" w:type="dxa"/>
            </w:tcMar>
            <w:hideMark/>
          </w:tcPr>
          <w:p w14:paraId="23372B15"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ED05B3" w:rsidRPr="00E53E9A" w14:paraId="313EE2EC" w14:textId="77777777" w:rsidTr="0001088C">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4193E469"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Sam Moore</w:t>
            </w:r>
          </w:p>
        </w:tc>
        <w:tc>
          <w:tcPr>
            <w:tcW w:w="451" w:type="dxa"/>
            <w:shd w:val="clear" w:color="auto" w:fill="FFFFFF" w:themeFill="background1"/>
            <w:tcMar>
              <w:top w:w="15" w:type="dxa"/>
              <w:left w:w="15" w:type="dxa"/>
              <w:bottom w:w="15" w:type="dxa"/>
              <w:right w:w="15" w:type="dxa"/>
            </w:tcMar>
            <w:vAlign w:val="center"/>
            <w:hideMark/>
          </w:tcPr>
          <w:p w14:paraId="61AE62A4"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7A0B06E4"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14144674"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68DF79B9"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15" w:type="dxa"/>
              <w:bottom w:w="15" w:type="dxa"/>
              <w:right w:w="15" w:type="dxa"/>
            </w:tcMar>
            <w:vAlign w:val="center"/>
            <w:hideMark/>
          </w:tcPr>
          <w:p w14:paraId="604DA724"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+353 87 737 9089</w:t>
            </w:r>
          </w:p>
        </w:tc>
        <w:tc>
          <w:tcPr>
            <w:tcW w:w="95" w:type="dxa"/>
            <w:shd w:val="clear" w:color="auto" w:fill="FFFFFF" w:themeFill="background1"/>
            <w:tcMar>
              <w:top w:w="15" w:type="dxa"/>
              <w:left w:w="15" w:type="dxa"/>
              <w:bottom w:w="15" w:type="dxa"/>
              <w:right w:w="15" w:type="dxa"/>
            </w:tcMar>
            <w:hideMark/>
          </w:tcPr>
          <w:p w14:paraId="1E11F05D"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ED05B3" w:rsidRPr="00E53E9A" w14:paraId="5BF0C54E" w14:textId="77777777" w:rsidTr="0001088C">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549447FB"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Aoife Mullen</w:t>
            </w:r>
          </w:p>
        </w:tc>
        <w:tc>
          <w:tcPr>
            <w:tcW w:w="451" w:type="dxa"/>
            <w:shd w:val="clear" w:color="auto" w:fill="FFFFFF" w:themeFill="background1"/>
            <w:tcMar>
              <w:top w:w="15" w:type="dxa"/>
              <w:left w:w="15" w:type="dxa"/>
              <w:bottom w:w="15" w:type="dxa"/>
              <w:right w:w="15" w:type="dxa"/>
            </w:tcMar>
            <w:vAlign w:val="center"/>
            <w:hideMark/>
          </w:tcPr>
          <w:p w14:paraId="579A56A0"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56FA2E49"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56CE9184"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4DB15D7A"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0" w:type="dxa"/>
              <w:bottom w:w="15" w:type="dxa"/>
              <w:right w:w="15" w:type="dxa"/>
            </w:tcMar>
            <w:vAlign w:val="bottom"/>
            <w:hideMark/>
          </w:tcPr>
          <w:p w14:paraId="285BFA12" w14:textId="77777777" w:rsidR="00B001C2" w:rsidRPr="00B001C2" w:rsidRDefault="00B001C2" w:rsidP="00B001C2">
            <w:pPr>
              <w:rPr>
                <w:rFonts w:ascii="Arial" w:eastAsia="Times New Roman" w:hAnsi="Arial" w:cs="Arial"/>
                <w:color w:val="000000"/>
                <w:kern w:val="0"/>
                <w:szCs w:val="20"/>
                <w:lang w:eastAsia="en-GB"/>
                <w14:ligatures w14:val="none"/>
              </w:rPr>
            </w:pPr>
            <w:hyperlink r:id="rId14" w:history="1">
              <w:r w:rsidRPr="00B001C2">
                <w:rPr>
                  <w:rStyle w:val="Hyperlink"/>
                  <w:rFonts w:ascii="Arial" w:eastAsia="Times New Roman" w:hAnsi="Arial" w:cs="Arial"/>
                  <w:kern w:val="0"/>
                  <w:szCs w:val="20"/>
                  <w:lang w:eastAsia="en-GB"/>
                  <w14:ligatures w14:val="none"/>
                </w:rPr>
                <w:t>greencoat@fticonsulting.com</w:t>
              </w:r>
            </w:hyperlink>
          </w:p>
        </w:tc>
        <w:tc>
          <w:tcPr>
            <w:tcW w:w="95" w:type="dxa"/>
            <w:shd w:val="clear" w:color="auto" w:fill="FFFFFF" w:themeFill="background1"/>
            <w:tcMar>
              <w:top w:w="15" w:type="dxa"/>
              <w:left w:w="15" w:type="dxa"/>
              <w:bottom w:w="15" w:type="dxa"/>
              <w:right w:w="15" w:type="dxa"/>
            </w:tcMar>
            <w:hideMark/>
          </w:tcPr>
          <w:p w14:paraId="6B955BD4"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4F11C3" w:rsidRPr="00E53E9A" w14:paraId="112DC3A7" w14:textId="77777777" w:rsidTr="0001088C">
        <w:trPr>
          <w:trHeight w:val="300"/>
          <w:tblCellSpacing w:w="0" w:type="dxa"/>
        </w:trPr>
        <w:tc>
          <w:tcPr>
            <w:tcW w:w="3899" w:type="dxa"/>
            <w:shd w:val="clear" w:color="auto" w:fill="FFFFFF" w:themeFill="background1"/>
            <w:tcMar>
              <w:top w:w="15" w:type="dxa"/>
              <w:left w:w="0" w:type="dxa"/>
              <w:bottom w:w="15" w:type="dxa"/>
              <w:right w:w="15" w:type="dxa"/>
            </w:tcMar>
            <w:vAlign w:val="bottom"/>
          </w:tcPr>
          <w:p w14:paraId="575E868C" w14:textId="77777777" w:rsidR="004F11C3" w:rsidRPr="00C90C1F" w:rsidRDefault="004F11C3" w:rsidP="00B001C2">
            <w:pPr>
              <w:rPr>
                <w:rFonts w:ascii="Arial" w:eastAsia="Times New Roman" w:hAnsi="Arial" w:cs="Arial"/>
                <w:color w:val="000000"/>
                <w:kern w:val="0"/>
                <w:szCs w:val="20"/>
                <w:lang w:eastAsia="en-GB"/>
                <w14:ligatures w14:val="none"/>
              </w:rPr>
            </w:pPr>
          </w:p>
          <w:p w14:paraId="624AB804" w14:textId="77777777" w:rsidR="004F11C3" w:rsidRPr="004F11C3" w:rsidRDefault="004F11C3" w:rsidP="004F11C3">
            <w:pPr>
              <w:rPr>
                <w:rFonts w:ascii="Arial" w:eastAsia="Times New Roman" w:hAnsi="Arial" w:cs="Arial"/>
                <w:b/>
                <w:bCs/>
                <w:color w:val="000000"/>
                <w:kern w:val="0"/>
                <w:szCs w:val="20"/>
                <w:lang w:eastAsia="en-GB"/>
                <w14:ligatures w14:val="none"/>
              </w:rPr>
            </w:pPr>
            <w:r w:rsidRPr="004F11C3">
              <w:rPr>
                <w:rFonts w:ascii="Arial" w:eastAsia="Times New Roman" w:hAnsi="Arial" w:cs="Arial"/>
                <w:b/>
                <w:bCs/>
                <w:color w:val="000000"/>
                <w:kern w:val="0"/>
                <w:szCs w:val="20"/>
                <w:lang w:eastAsia="en-GB"/>
                <w14:ligatures w14:val="none"/>
              </w:rPr>
              <w:t>Barclays Bank PLC (Joint Broker)</w:t>
            </w:r>
          </w:p>
          <w:p w14:paraId="6782631E" w14:textId="77777777" w:rsidR="004F11C3" w:rsidRPr="004F11C3" w:rsidRDefault="004F11C3" w:rsidP="004F11C3">
            <w:pPr>
              <w:rPr>
                <w:rFonts w:ascii="Arial" w:eastAsia="Times New Roman" w:hAnsi="Arial" w:cs="Arial"/>
                <w:color w:val="000000"/>
                <w:kern w:val="0"/>
                <w:szCs w:val="20"/>
                <w:lang w:eastAsia="en-GB"/>
                <w14:ligatures w14:val="none"/>
              </w:rPr>
            </w:pPr>
            <w:r w:rsidRPr="004F11C3">
              <w:rPr>
                <w:rFonts w:ascii="Arial" w:eastAsia="Times New Roman" w:hAnsi="Arial" w:cs="Arial"/>
                <w:color w:val="000000"/>
                <w:kern w:val="0"/>
                <w:szCs w:val="20"/>
                <w:lang w:eastAsia="en-GB"/>
                <w14:ligatures w14:val="none"/>
              </w:rPr>
              <w:t>Dion Di Miceli</w:t>
            </w:r>
          </w:p>
          <w:p w14:paraId="102164CC" w14:textId="77777777" w:rsidR="004F11C3" w:rsidRPr="004F11C3" w:rsidRDefault="004F11C3" w:rsidP="004F11C3">
            <w:pPr>
              <w:rPr>
                <w:rFonts w:ascii="Arial" w:eastAsia="Times New Roman" w:hAnsi="Arial" w:cs="Arial"/>
                <w:color w:val="000000"/>
                <w:kern w:val="0"/>
                <w:szCs w:val="20"/>
                <w:lang w:eastAsia="en-GB"/>
                <w14:ligatures w14:val="none"/>
              </w:rPr>
            </w:pPr>
            <w:r w:rsidRPr="004F11C3">
              <w:rPr>
                <w:rFonts w:ascii="Arial" w:eastAsia="Times New Roman" w:hAnsi="Arial" w:cs="Arial"/>
                <w:color w:val="000000"/>
                <w:kern w:val="0"/>
                <w:szCs w:val="20"/>
                <w:lang w:eastAsia="en-GB"/>
                <w14:ligatures w14:val="none"/>
              </w:rPr>
              <w:t xml:space="preserve">Stuart </w:t>
            </w:r>
            <w:proofErr w:type="spellStart"/>
            <w:r w:rsidRPr="004F11C3">
              <w:rPr>
                <w:rFonts w:ascii="Arial" w:eastAsia="Times New Roman" w:hAnsi="Arial" w:cs="Arial"/>
                <w:color w:val="000000"/>
                <w:kern w:val="0"/>
                <w:szCs w:val="20"/>
                <w:lang w:eastAsia="en-GB"/>
                <w14:ligatures w14:val="none"/>
              </w:rPr>
              <w:t>Muress</w:t>
            </w:r>
            <w:proofErr w:type="spellEnd"/>
          </w:p>
          <w:p w14:paraId="076D3FDA" w14:textId="53620D6E" w:rsidR="004F11C3" w:rsidRPr="00C90C1F" w:rsidRDefault="004F11C3" w:rsidP="004F11C3">
            <w:pPr>
              <w:rPr>
                <w:rFonts w:ascii="Arial" w:eastAsia="Times New Roman" w:hAnsi="Arial" w:cs="Arial"/>
                <w:color w:val="000000"/>
                <w:kern w:val="0"/>
                <w:szCs w:val="20"/>
                <w:lang w:eastAsia="en-GB"/>
                <w14:ligatures w14:val="none"/>
              </w:rPr>
            </w:pPr>
            <w:r w:rsidRPr="004F11C3">
              <w:rPr>
                <w:rFonts w:ascii="Arial" w:eastAsia="Times New Roman" w:hAnsi="Arial" w:cs="Arial"/>
                <w:color w:val="000000"/>
                <w:kern w:val="0"/>
                <w:szCs w:val="20"/>
                <w:lang w:eastAsia="en-GB"/>
                <w14:ligatures w14:val="none"/>
              </w:rPr>
              <w:t>James Atkinson</w:t>
            </w:r>
          </w:p>
        </w:tc>
        <w:tc>
          <w:tcPr>
            <w:tcW w:w="451" w:type="dxa"/>
            <w:shd w:val="clear" w:color="auto" w:fill="FFFFFF" w:themeFill="background1"/>
            <w:tcMar>
              <w:top w:w="15" w:type="dxa"/>
              <w:left w:w="15" w:type="dxa"/>
              <w:bottom w:w="15" w:type="dxa"/>
              <w:right w:w="15" w:type="dxa"/>
            </w:tcMar>
            <w:vAlign w:val="center"/>
          </w:tcPr>
          <w:p w14:paraId="05374A37" w14:textId="77777777" w:rsidR="004F11C3" w:rsidRPr="00C90C1F" w:rsidRDefault="004F11C3"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tcPr>
          <w:p w14:paraId="3526E66A" w14:textId="77777777" w:rsidR="004F11C3" w:rsidRPr="00C90C1F" w:rsidRDefault="004F11C3"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tcPr>
          <w:p w14:paraId="30624075" w14:textId="77777777" w:rsidR="004F11C3" w:rsidRPr="00C90C1F" w:rsidRDefault="004F11C3"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tcPr>
          <w:p w14:paraId="444F9B13" w14:textId="77777777" w:rsidR="004F11C3" w:rsidRPr="00C90C1F" w:rsidRDefault="004F11C3"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0" w:type="dxa"/>
              <w:bottom w:w="15" w:type="dxa"/>
              <w:right w:w="15" w:type="dxa"/>
            </w:tcMar>
            <w:vAlign w:val="bottom"/>
          </w:tcPr>
          <w:p w14:paraId="3CFD0830" w14:textId="5D13CD7D" w:rsidR="004F11C3" w:rsidRPr="00C90C1F" w:rsidRDefault="00C90C1F" w:rsidP="00B001C2">
            <w:pPr>
              <w:rPr>
                <w:rFonts w:ascii="Arial" w:hAnsi="Arial" w:cs="Arial"/>
              </w:rPr>
            </w:pPr>
            <w:r w:rsidRPr="00C90C1F">
              <w:rPr>
                <w:rFonts w:ascii="Arial" w:hAnsi="Arial" w:cs="Arial"/>
              </w:rPr>
              <w:t>+44 20 7623 2323</w:t>
            </w:r>
          </w:p>
        </w:tc>
        <w:tc>
          <w:tcPr>
            <w:tcW w:w="95" w:type="dxa"/>
            <w:shd w:val="clear" w:color="auto" w:fill="FFFFFF" w:themeFill="background1"/>
            <w:tcMar>
              <w:top w:w="15" w:type="dxa"/>
              <w:left w:w="15" w:type="dxa"/>
              <w:bottom w:w="15" w:type="dxa"/>
              <w:right w:w="15" w:type="dxa"/>
            </w:tcMar>
          </w:tcPr>
          <w:p w14:paraId="522FDC93" w14:textId="77777777" w:rsidR="004F11C3" w:rsidRPr="00B001C2" w:rsidRDefault="004F11C3" w:rsidP="00B001C2">
            <w:pPr>
              <w:rPr>
                <w:rFonts w:ascii="Arial" w:eastAsia="Times New Roman" w:hAnsi="Arial" w:cs="Arial"/>
                <w:color w:val="000000"/>
                <w:kern w:val="0"/>
                <w:szCs w:val="20"/>
                <w:lang w:eastAsia="en-GB"/>
                <w14:ligatures w14:val="none"/>
              </w:rPr>
            </w:pPr>
          </w:p>
        </w:tc>
      </w:tr>
      <w:tr w:rsidR="00ED05B3" w:rsidRPr="00E53E9A" w14:paraId="0F9172BE" w14:textId="77777777" w:rsidTr="0001088C">
        <w:trPr>
          <w:trHeight w:val="300"/>
          <w:tblCellSpacing w:w="0" w:type="dxa"/>
        </w:trPr>
        <w:tc>
          <w:tcPr>
            <w:tcW w:w="3899" w:type="dxa"/>
            <w:shd w:val="clear" w:color="auto" w:fill="FFFFFF" w:themeFill="background1"/>
            <w:tcMar>
              <w:top w:w="15" w:type="dxa"/>
              <w:left w:w="0" w:type="dxa"/>
              <w:bottom w:w="15" w:type="dxa"/>
              <w:right w:w="15" w:type="dxa"/>
            </w:tcMar>
            <w:vAlign w:val="bottom"/>
            <w:hideMark/>
          </w:tcPr>
          <w:p w14:paraId="00C039B1" w14:textId="77777777" w:rsidR="00B001C2" w:rsidRPr="00B001C2" w:rsidRDefault="00B001C2" w:rsidP="00B001C2">
            <w:pPr>
              <w:rPr>
                <w:rFonts w:ascii="Arial" w:eastAsia="Times New Roman" w:hAnsi="Arial" w:cs="Arial"/>
                <w:b/>
                <w:bCs/>
                <w:color w:val="000000"/>
                <w:kern w:val="0"/>
                <w:szCs w:val="20"/>
                <w:lang w:eastAsia="en-GB"/>
                <w14:ligatures w14:val="none"/>
              </w:rPr>
            </w:pPr>
            <w:r w:rsidRPr="00B001C2">
              <w:rPr>
                <w:rFonts w:ascii="Arial" w:eastAsia="Times New Roman" w:hAnsi="Arial" w:cs="Arial"/>
                <w:b/>
                <w:bCs/>
                <w:color w:val="000000"/>
                <w:kern w:val="0"/>
                <w:szCs w:val="20"/>
                <w:lang w:eastAsia="en-GB"/>
                <w14:ligatures w14:val="none"/>
              </w:rPr>
              <w:t>Davy (Broker, NOMAD and Euronext Growth Listing Sponsor)</w:t>
            </w:r>
          </w:p>
          <w:p w14:paraId="6971EBC7"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Brian Garrahy</w:t>
            </w:r>
          </w:p>
          <w:p w14:paraId="526F1F23"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Ronan Veale</w:t>
            </w:r>
          </w:p>
        </w:tc>
        <w:tc>
          <w:tcPr>
            <w:tcW w:w="451" w:type="dxa"/>
            <w:shd w:val="clear" w:color="auto" w:fill="FFFFFF" w:themeFill="background1"/>
            <w:tcMar>
              <w:top w:w="15" w:type="dxa"/>
              <w:left w:w="15" w:type="dxa"/>
              <w:bottom w:w="15" w:type="dxa"/>
              <w:right w:w="15" w:type="dxa"/>
            </w:tcMar>
            <w:vAlign w:val="center"/>
            <w:hideMark/>
          </w:tcPr>
          <w:p w14:paraId="0C0A71F6"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07C2A198"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50BDF2AC"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2213A201"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0" w:type="dxa"/>
              <w:bottom w:w="15" w:type="dxa"/>
              <w:right w:w="0" w:type="dxa"/>
            </w:tcMar>
            <w:vAlign w:val="bottom"/>
            <w:hideMark/>
          </w:tcPr>
          <w:p w14:paraId="663ABAF5"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7623247D"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3D3BC74C"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39597A10"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+353 1 679 6363</w:t>
            </w:r>
          </w:p>
          <w:p w14:paraId="38AC8E48"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4EDB2B29"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tc>
        <w:tc>
          <w:tcPr>
            <w:tcW w:w="95" w:type="dxa"/>
            <w:shd w:val="clear" w:color="auto" w:fill="FFFFFF" w:themeFill="background1"/>
            <w:tcMar>
              <w:top w:w="15" w:type="dxa"/>
              <w:left w:w="15" w:type="dxa"/>
              <w:bottom w:w="15" w:type="dxa"/>
              <w:right w:w="15" w:type="dxa"/>
            </w:tcMar>
            <w:hideMark/>
          </w:tcPr>
          <w:p w14:paraId="491396EA" w14:textId="77777777" w:rsidR="00B001C2" w:rsidRPr="00B001C2" w:rsidRDefault="00B001C2" w:rsidP="00B001C2">
            <w:pPr>
              <w:rPr>
                <w:rFonts w:ascii="Arial" w:eastAsia="Times New Roman" w:hAnsi="Arial" w:cs="Arial"/>
                <w:color w:val="000000"/>
                <w:kern w:val="0"/>
                <w:szCs w:val="20"/>
                <w:lang w:eastAsia="en-GB"/>
                <w14:ligatures w14:val="none"/>
              </w:rPr>
            </w:pPr>
          </w:p>
        </w:tc>
      </w:tr>
      <w:tr w:rsidR="00ED05B3" w:rsidRPr="00E53E9A" w14:paraId="01916477" w14:textId="77777777" w:rsidTr="0001088C">
        <w:trPr>
          <w:trHeight w:val="300"/>
          <w:tblCellSpacing w:w="0" w:type="dxa"/>
        </w:trPr>
        <w:tc>
          <w:tcPr>
            <w:tcW w:w="3899" w:type="dxa"/>
            <w:shd w:val="clear" w:color="auto" w:fill="FFFFFF" w:themeFill="background1"/>
            <w:tcMar>
              <w:top w:w="15" w:type="dxa"/>
              <w:left w:w="0" w:type="dxa"/>
              <w:bottom w:w="15" w:type="dxa"/>
              <w:right w:w="0" w:type="dxa"/>
            </w:tcMar>
            <w:vAlign w:val="bottom"/>
            <w:hideMark/>
          </w:tcPr>
          <w:p w14:paraId="59EB8D6E"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3C9DADD2" w14:textId="77777777" w:rsidR="00B001C2" w:rsidRPr="00B001C2" w:rsidRDefault="00B001C2" w:rsidP="00B001C2">
            <w:pPr>
              <w:rPr>
                <w:rFonts w:ascii="Arial" w:eastAsia="Times New Roman" w:hAnsi="Arial" w:cs="Arial"/>
                <w:b/>
                <w:bCs/>
                <w:color w:val="000000"/>
                <w:kern w:val="0"/>
                <w:szCs w:val="20"/>
                <w:lang w:eastAsia="en-GB"/>
                <w14:ligatures w14:val="none"/>
              </w:rPr>
            </w:pPr>
            <w:r w:rsidRPr="00B001C2">
              <w:rPr>
                <w:rFonts w:ascii="Arial" w:eastAsia="Times New Roman" w:hAnsi="Arial" w:cs="Arial"/>
                <w:b/>
                <w:bCs/>
                <w:color w:val="000000"/>
                <w:kern w:val="0"/>
                <w:szCs w:val="20"/>
                <w:lang w:eastAsia="en-GB"/>
                <w14:ligatures w14:val="none"/>
              </w:rPr>
              <w:t>RBC Capital Markets (Joint Broker)</w:t>
            </w:r>
          </w:p>
          <w:p w14:paraId="08222A9B"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Matthew Coakes</w:t>
            </w:r>
          </w:p>
          <w:p w14:paraId="21C94391"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Elizabeth Evans</w:t>
            </w:r>
          </w:p>
        </w:tc>
        <w:tc>
          <w:tcPr>
            <w:tcW w:w="451" w:type="dxa"/>
            <w:shd w:val="clear" w:color="auto" w:fill="FFFFFF" w:themeFill="background1"/>
            <w:tcMar>
              <w:top w:w="15" w:type="dxa"/>
              <w:left w:w="15" w:type="dxa"/>
              <w:bottom w:w="15" w:type="dxa"/>
              <w:right w:w="15" w:type="dxa"/>
            </w:tcMar>
            <w:vAlign w:val="center"/>
            <w:hideMark/>
          </w:tcPr>
          <w:p w14:paraId="4131E18D"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31A6A9D4"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50" w:type="dxa"/>
            <w:shd w:val="clear" w:color="auto" w:fill="FFFFFF" w:themeFill="background1"/>
            <w:tcMar>
              <w:top w:w="15" w:type="dxa"/>
              <w:left w:w="15" w:type="dxa"/>
              <w:bottom w:w="15" w:type="dxa"/>
              <w:right w:w="15" w:type="dxa"/>
            </w:tcMar>
            <w:vAlign w:val="center"/>
            <w:hideMark/>
          </w:tcPr>
          <w:p w14:paraId="61CDE80E"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135" w:type="dxa"/>
            <w:shd w:val="clear" w:color="auto" w:fill="FFFFFF" w:themeFill="background1"/>
            <w:tcMar>
              <w:top w:w="15" w:type="dxa"/>
              <w:left w:w="15" w:type="dxa"/>
              <w:bottom w:w="15" w:type="dxa"/>
              <w:right w:w="15" w:type="dxa"/>
            </w:tcMar>
            <w:vAlign w:val="center"/>
            <w:hideMark/>
          </w:tcPr>
          <w:p w14:paraId="334C4A36" w14:textId="77777777" w:rsidR="00B001C2" w:rsidRPr="00B001C2" w:rsidRDefault="00B001C2" w:rsidP="00B001C2">
            <w:pPr>
              <w:rPr>
                <w:rFonts w:ascii="Arial" w:eastAsia="Times New Roman" w:hAnsi="Arial" w:cs="Arial"/>
                <w:color w:val="000000"/>
                <w:kern w:val="0"/>
                <w:szCs w:val="20"/>
                <w:lang w:eastAsia="en-GB"/>
                <w14:ligatures w14:val="none"/>
              </w:rPr>
            </w:pPr>
          </w:p>
        </w:tc>
        <w:tc>
          <w:tcPr>
            <w:tcW w:w="4352" w:type="dxa"/>
            <w:shd w:val="clear" w:color="auto" w:fill="FFFFFF" w:themeFill="background1"/>
            <w:tcMar>
              <w:top w:w="15" w:type="dxa"/>
              <w:left w:w="0" w:type="dxa"/>
              <w:bottom w:w="15" w:type="dxa"/>
              <w:right w:w="0" w:type="dxa"/>
            </w:tcMar>
            <w:vAlign w:val="bottom"/>
            <w:hideMark/>
          </w:tcPr>
          <w:p w14:paraId="10C7CD64"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 </w:t>
            </w:r>
          </w:p>
          <w:p w14:paraId="5C1F2BA6" w14:textId="77777777" w:rsidR="00B001C2" w:rsidRPr="00B001C2" w:rsidRDefault="00B001C2" w:rsidP="00B001C2">
            <w:pPr>
              <w:rPr>
                <w:rFonts w:ascii="Arial" w:eastAsia="Times New Roman" w:hAnsi="Arial" w:cs="Arial"/>
                <w:color w:val="000000"/>
                <w:kern w:val="0"/>
                <w:szCs w:val="20"/>
                <w:lang w:eastAsia="en-GB"/>
                <w14:ligatures w14:val="none"/>
              </w:rPr>
            </w:pPr>
            <w:r w:rsidRPr="00B001C2">
              <w:rPr>
                <w:rFonts w:ascii="Arial" w:eastAsia="Times New Roman" w:hAnsi="Arial" w:cs="Arial"/>
                <w:color w:val="000000"/>
                <w:kern w:val="0"/>
                <w:szCs w:val="20"/>
                <w:lang w:eastAsia="en-GB"/>
                <w14:ligatures w14:val="none"/>
              </w:rPr>
              <w:t>+44 20 7653 4000</w:t>
            </w:r>
          </w:p>
        </w:tc>
        <w:tc>
          <w:tcPr>
            <w:tcW w:w="95" w:type="dxa"/>
            <w:shd w:val="clear" w:color="auto" w:fill="FFFFFF" w:themeFill="background1"/>
            <w:tcMar>
              <w:top w:w="15" w:type="dxa"/>
              <w:left w:w="15" w:type="dxa"/>
              <w:bottom w:w="15" w:type="dxa"/>
              <w:right w:w="15" w:type="dxa"/>
            </w:tcMar>
            <w:hideMark/>
          </w:tcPr>
          <w:p w14:paraId="32DA7398" w14:textId="77777777" w:rsidR="00B001C2" w:rsidRPr="00B001C2" w:rsidRDefault="00B001C2" w:rsidP="00B001C2">
            <w:pPr>
              <w:rPr>
                <w:rFonts w:ascii="Arial" w:eastAsia="Times New Roman" w:hAnsi="Arial" w:cs="Arial"/>
                <w:color w:val="000000"/>
                <w:kern w:val="0"/>
                <w:szCs w:val="20"/>
                <w:lang w:eastAsia="en-GB"/>
                <w14:ligatures w14:val="none"/>
              </w:rPr>
            </w:pPr>
          </w:p>
        </w:tc>
      </w:tr>
    </w:tbl>
    <w:p w14:paraId="41C7DF54" w14:textId="41F310C9" w:rsidR="00B001C2" w:rsidRPr="00B001C2" w:rsidRDefault="00B001C2" w:rsidP="00B001C2">
      <w:pPr>
        <w:rPr>
          <w:rFonts w:ascii="Arial" w:eastAsia="Times New Roman" w:hAnsi="Arial" w:cs="Arial"/>
          <w:color w:val="000000"/>
          <w:kern w:val="0"/>
          <w:szCs w:val="20"/>
          <w:lang w:eastAsia="en-GB"/>
          <w14:ligatures w14:val="none"/>
        </w:rPr>
      </w:pPr>
    </w:p>
    <w:p w14:paraId="1F106918" w14:textId="77777777" w:rsidR="00406A23" w:rsidRDefault="00406A23" w:rsidP="003B2285">
      <w:pPr>
        <w:rPr>
          <w:rFonts w:ascii="Arial" w:eastAsia="Times New Roman" w:hAnsi="Arial" w:cs="Arial"/>
          <w:color w:val="000000"/>
          <w:kern w:val="0"/>
          <w:szCs w:val="20"/>
          <w:lang w:eastAsia="en-GB"/>
          <w14:ligatures w14:val="none"/>
        </w:rPr>
      </w:pPr>
    </w:p>
    <w:p w14:paraId="38106A66" w14:textId="77777777" w:rsidR="00406A23" w:rsidRPr="003B2285" w:rsidRDefault="00406A23" w:rsidP="003B2285">
      <w:pPr>
        <w:rPr>
          <w:rFonts w:ascii="Arial" w:eastAsia="Times New Roman" w:hAnsi="Arial" w:cs="Arial"/>
          <w:color w:val="000000"/>
          <w:kern w:val="0"/>
          <w:szCs w:val="20"/>
          <w:lang w:eastAsia="en-GB"/>
          <w14:ligatures w14:val="none"/>
        </w:rPr>
      </w:pPr>
    </w:p>
    <w:p w14:paraId="567507FA" w14:textId="77777777" w:rsidR="003B2285" w:rsidRPr="003B2285" w:rsidRDefault="003B2285" w:rsidP="003B2285">
      <w:pPr>
        <w:rPr>
          <w:rFonts w:ascii="Arial" w:eastAsia="Times New Roman" w:hAnsi="Arial" w:cs="Arial"/>
          <w:b/>
          <w:bCs/>
          <w:color w:val="000000"/>
          <w:kern w:val="0"/>
          <w:szCs w:val="20"/>
          <w:lang w:eastAsia="en-GB"/>
          <w14:ligatures w14:val="none"/>
        </w:rPr>
      </w:pPr>
      <w:r w:rsidRPr="003B2285">
        <w:rPr>
          <w:rFonts w:ascii="Arial" w:eastAsia="Times New Roman" w:hAnsi="Arial" w:cs="Arial"/>
          <w:b/>
          <w:bCs/>
          <w:color w:val="000000"/>
          <w:kern w:val="0"/>
          <w:szCs w:val="20"/>
          <w:lang w:eastAsia="en-GB"/>
          <w14:ligatures w14:val="none"/>
        </w:rPr>
        <w:t>About Greencoat Renewables PLC</w:t>
      </w:r>
    </w:p>
    <w:p w14:paraId="62BFDF7B" w14:textId="4E1CB8CB" w:rsidR="003B2285" w:rsidRPr="003B2285" w:rsidRDefault="003B2285" w:rsidP="003B2285">
      <w:pPr>
        <w:rPr>
          <w:rFonts w:ascii="Arial" w:eastAsia="Times New Roman" w:hAnsi="Arial" w:cs="Arial"/>
          <w:color w:val="000000"/>
          <w:kern w:val="0"/>
          <w:szCs w:val="20"/>
          <w:lang w:eastAsia="en-GB"/>
          <w14:ligatures w14:val="none"/>
        </w:rPr>
      </w:pPr>
      <w:r w:rsidRPr="003B2285">
        <w:rPr>
          <w:rFonts w:ascii="Arial" w:eastAsia="Times New Roman" w:hAnsi="Arial" w:cs="Arial"/>
          <w:color w:val="000000"/>
          <w:kern w:val="0"/>
          <w:szCs w:val="20"/>
          <w:lang w:eastAsia="en-GB"/>
          <w14:ligatures w14:val="none"/>
        </w:rPr>
        <w:t xml:space="preserve">Greencoat Renewables PLC is an investor in euro-denominated renewable energy infrastructure assets. Initially focused solely on the acquisition and management of operating wind farms in Ireland, the Company </w:t>
      </w:r>
      <w:r w:rsidR="007F62E4">
        <w:rPr>
          <w:rFonts w:ascii="Arial" w:eastAsia="Times New Roman" w:hAnsi="Arial" w:cs="Arial"/>
          <w:color w:val="000000"/>
          <w:kern w:val="0"/>
          <w:szCs w:val="20"/>
          <w:lang w:eastAsia="en-GB"/>
          <w14:ligatures w14:val="none"/>
        </w:rPr>
        <w:t xml:space="preserve">has also invested </w:t>
      </w:r>
      <w:r w:rsidRPr="003B2285">
        <w:rPr>
          <w:rFonts w:ascii="Arial" w:eastAsia="Times New Roman" w:hAnsi="Arial" w:cs="Arial"/>
          <w:color w:val="000000"/>
          <w:kern w:val="0"/>
          <w:szCs w:val="20"/>
          <w:lang w:eastAsia="en-GB"/>
          <w14:ligatures w14:val="none"/>
        </w:rPr>
        <w:t>in wind and solar assets in other European countries with stable and robust renewable energy frameworks. It is managed by Schroders Greencoat LLP, an experienced investment manager in the listed renewable energy infrastructure sector.</w:t>
      </w:r>
    </w:p>
    <w:p w14:paraId="321F9542" w14:textId="77777777" w:rsidR="000A2FDB" w:rsidRPr="00E53E9A" w:rsidRDefault="000A2FDB" w:rsidP="00E06D3F">
      <w:pPr>
        <w:rPr>
          <w:rFonts w:ascii="Arial" w:hAnsi="Arial" w:cs="Arial"/>
          <w:szCs w:val="20"/>
        </w:rPr>
      </w:pPr>
    </w:p>
    <w:sectPr w:rsidR="000A2FDB" w:rsidRPr="00E53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48D4A" w14:textId="77777777" w:rsidR="00413A6F" w:rsidRDefault="00413A6F" w:rsidP="00413A6F">
      <w:r>
        <w:separator/>
      </w:r>
    </w:p>
  </w:endnote>
  <w:endnote w:type="continuationSeparator" w:id="0">
    <w:p w14:paraId="5A5748EA" w14:textId="77777777" w:rsidR="00413A6F" w:rsidRDefault="00413A6F" w:rsidP="0041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Times New Roman (Body CS)">
    <w:altName w:val="Times New Roman"/>
    <w:charset w:val="00"/>
    <w:family w:val="roman"/>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chroders Circular TT">
    <w:panose1 w:val="020B0804020101010102"/>
    <w:charset w:val="00"/>
    <w:family w:val="swiss"/>
    <w:pitch w:val="variable"/>
    <w:sig w:usb0="A00000BF" w:usb1="5000E47B" w:usb2="00000008" w:usb3="00000000" w:csb0="00000093" w:csb1="00000000"/>
  </w:font>
  <w:font w:name="Cambria Math">
    <w:panose1 w:val="02040503050406030204"/>
    <w:charset w:val="00"/>
    <w:family w:val="roman"/>
    <w:pitch w:val="variable"/>
    <w:sig w:usb0="E00006FF" w:usb1="420024FF" w:usb2="02000000" w:usb3="00000000" w:csb0="0000019F" w:csb1="00000000"/>
  </w:font>
  <w:font w:name="Schroders Circular TT Normal">
    <w:panose1 w:val="020B0504020101020102"/>
    <w:charset w:val="00"/>
    <w:family w:val="swiss"/>
    <w:pitch w:val="variable"/>
    <w:sig w:usb0="A00000BF" w:usb1="5000E47B" w:usb2="00000008"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8034" w14:textId="77777777" w:rsidR="00413A6F" w:rsidRDefault="00413A6F" w:rsidP="00413A6F">
      <w:r>
        <w:separator/>
      </w:r>
    </w:p>
  </w:footnote>
  <w:footnote w:type="continuationSeparator" w:id="0">
    <w:p w14:paraId="35C820F1" w14:textId="77777777" w:rsidR="00413A6F" w:rsidRDefault="00413A6F" w:rsidP="0041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269"/>
    <w:multiLevelType w:val="hybridMultilevel"/>
    <w:tmpl w:val="047C4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C33EC"/>
    <w:multiLevelType w:val="hybridMultilevel"/>
    <w:tmpl w:val="A0BE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97962"/>
    <w:multiLevelType w:val="hybridMultilevel"/>
    <w:tmpl w:val="1E527B16"/>
    <w:lvl w:ilvl="0" w:tplc="2DF2E95C">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A7BA8"/>
    <w:multiLevelType w:val="hybridMultilevel"/>
    <w:tmpl w:val="5E4C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3631A"/>
    <w:multiLevelType w:val="hybridMultilevel"/>
    <w:tmpl w:val="2F9CB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75D00"/>
    <w:multiLevelType w:val="hybridMultilevel"/>
    <w:tmpl w:val="B38464E6"/>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5236FD2"/>
    <w:multiLevelType w:val="hybridMultilevel"/>
    <w:tmpl w:val="4560D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C655D19"/>
    <w:multiLevelType w:val="hybridMultilevel"/>
    <w:tmpl w:val="92C4F42E"/>
    <w:lvl w:ilvl="0" w:tplc="2DF2E95C">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AD796F"/>
    <w:multiLevelType w:val="hybridMultilevel"/>
    <w:tmpl w:val="F5EE3516"/>
    <w:lvl w:ilvl="0" w:tplc="2DF2E95C">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E0EE4"/>
    <w:multiLevelType w:val="multilevel"/>
    <w:tmpl w:val="D46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676DE"/>
    <w:multiLevelType w:val="hybridMultilevel"/>
    <w:tmpl w:val="98D24756"/>
    <w:lvl w:ilvl="0" w:tplc="A08EDF00">
      <w:numFmt w:val="bullet"/>
      <w:lvlText w:val="-"/>
      <w:lvlJc w:val="left"/>
      <w:pPr>
        <w:ind w:left="720" w:hanging="360"/>
      </w:pPr>
      <w:rPr>
        <w:rFonts w:ascii="Noto Sans" w:eastAsia="Calibri" w:hAnsi="Noto San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22275311">
    <w:abstractNumId w:val="3"/>
  </w:num>
  <w:num w:numId="2" w16cid:durableId="651327178">
    <w:abstractNumId w:val="1"/>
  </w:num>
  <w:num w:numId="3" w16cid:durableId="1317882975">
    <w:abstractNumId w:val="2"/>
  </w:num>
  <w:num w:numId="4" w16cid:durableId="586233124">
    <w:abstractNumId w:val="8"/>
  </w:num>
  <w:num w:numId="5" w16cid:durableId="1010568454">
    <w:abstractNumId w:val="7"/>
  </w:num>
  <w:num w:numId="6" w16cid:durableId="1357929917">
    <w:abstractNumId w:val="6"/>
  </w:num>
  <w:num w:numId="7" w16cid:durableId="130363584">
    <w:abstractNumId w:val="0"/>
  </w:num>
  <w:num w:numId="8" w16cid:durableId="1373731501">
    <w:abstractNumId w:val="9"/>
  </w:num>
  <w:num w:numId="9" w16cid:durableId="1600943330">
    <w:abstractNumId w:val="4"/>
  </w:num>
  <w:num w:numId="10" w16cid:durableId="424620057">
    <w:abstractNumId w:val="5"/>
  </w:num>
  <w:num w:numId="11" w16cid:durableId="898248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353"/>
    <w:rsid w:val="00007F82"/>
    <w:rsid w:val="0001088C"/>
    <w:rsid w:val="000151BA"/>
    <w:rsid w:val="00022FD0"/>
    <w:rsid w:val="00031F26"/>
    <w:rsid w:val="000402D2"/>
    <w:rsid w:val="00062D47"/>
    <w:rsid w:val="000644EA"/>
    <w:rsid w:val="0007388A"/>
    <w:rsid w:val="00081915"/>
    <w:rsid w:val="0009117E"/>
    <w:rsid w:val="000A050E"/>
    <w:rsid w:val="000A2DA2"/>
    <w:rsid w:val="000A2FDB"/>
    <w:rsid w:val="000A3191"/>
    <w:rsid w:val="000B476D"/>
    <w:rsid w:val="000C0BEC"/>
    <w:rsid w:val="000F6C23"/>
    <w:rsid w:val="0010131F"/>
    <w:rsid w:val="00105FCC"/>
    <w:rsid w:val="0011333F"/>
    <w:rsid w:val="00122656"/>
    <w:rsid w:val="001340D6"/>
    <w:rsid w:val="0014417D"/>
    <w:rsid w:val="00195E70"/>
    <w:rsid w:val="001C17AE"/>
    <w:rsid w:val="001D4103"/>
    <w:rsid w:val="001D4899"/>
    <w:rsid w:val="001E5AE1"/>
    <w:rsid w:val="001F480B"/>
    <w:rsid w:val="0021553D"/>
    <w:rsid w:val="00227EB7"/>
    <w:rsid w:val="002525BA"/>
    <w:rsid w:val="00263AD6"/>
    <w:rsid w:val="002C5DCD"/>
    <w:rsid w:val="002D1105"/>
    <w:rsid w:val="002D59AE"/>
    <w:rsid w:val="002F3E64"/>
    <w:rsid w:val="002F600E"/>
    <w:rsid w:val="002F6809"/>
    <w:rsid w:val="002F7E0F"/>
    <w:rsid w:val="00304AF4"/>
    <w:rsid w:val="00312BA5"/>
    <w:rsid w:val="00314DD9"/>
    <w:rsid w:val="003419A9"/>
    <w:rsid w:val="00377231"/>
    <w:rsid w:val="00386028"/>
    <w:rsid w:val="00391A99"/>
    <w:rsid w:val="00391E44"/>
    <w:rsid w:val="003B2285"/>
    <w:rsid w:val="003B29A9"/>
    <w:rsid w:val="003B326B"/>
    <w:rsid w:val="003C4324"/>
    <w:rsid w:val="003C46C8"/>
    <w:rsid w:val="003D271F"/>
    <w:rsid w:val="003F22FB"/>
    <w:rsid w:val="003F4C22"/>
    <w:rsid w:val="003F709E"/>
    <w:rsid w:val="00406A23"/>
    <w:rsid w:val="00407AE4"/>
    <w:rsid w:val="00413A6F"/>
    <w:rsid w:val="0041543F"/>
    <w:rsid w:val="0041759C"/>
    <w:rsid w:val="00422F0F"/>
    <w:rsid w:val="00430898"/>
    <w:rsid w:val="00434273"/>
    <w:rsid w:val="004612E7"/>
    <w:rsid w:val="004C1FBF"/>
    <w:rsid w:val="004E3831"/>
    <w:rsid w:val="004F11C3"/>
    <w:rsid w:val="0050251C"/>
    <w:rsid w:val="0050486F"/>
    <w:rsid w:val="00505F87"/>
    <w:rsid w:val="005250E2"/>
    <w:rsid w:val="00543C19"/>
    <w:rsid w:val="005A4798"/>
    <w:rsid w:val="005A639B"/>
    <w:rsid w:val="006000D7"/>
    <w:rsid w:val="006079B3"/>
    <w:rsid w:val="006267B5"/>
    <w:rsid w:val="006304A6"/>
    <w:rsid w:val="00635F9C"/>
    <w:rsid w:val="00636E29"/>
    <w:rsid w:val="00646876"/>
    <w:rsid w:val="0069222E"/>
    <w:rsid w:val="006A3BC2"/>
    <w:rsid w:val="006B46E1"/>
    <w:rsid w:val="006B6F2A"/>
    <w:rsid w:val="006D6E9D"/>
    <w:rsid w:val="006F4A69"/>
    <w:rsid w:val="0071046E"/>
    <w:rsid w:val="00725264"/>
    <w:rsid w:val="007439ED"/>
    <w:rsid w:val="007473C1"/>
    <w:rsid w:val="00784D13"/>
    <w:rsid w:val="007949BF"/>
    <w:rsid w:val="007C2476"/>
    <w:rsid w:val="007C6F88"/>
    <w:rsid w:val="007C7E09"/>
    <w:rsid w:val="007D7738"/>
    <w:rsid w:val="007F4B2B"/>
    <w:rsid w:val="007F62E4"/>
    <w:rsid w:val="00807764"/>
    <w:rsid w:val="00823DA5"/>
    <w:rsid w:val="00830AAD"/>
    <w:rsid w:val="00842FD5"/>
    <w:rsid w:val="00854005"/>
    <w:rsid w:val="008574C4"/>
    <w:rsid w:val="00861057"/>
    <w:rsid w:val="00873C77"/>
    <w:rsid w:val="008756F0"/>
    <w:rsid w:val="008A013F"/>
    <w:rsid w:val="008A4311"/>
    <w:rsid w:val="008B44EA"/>
    <w:rsid w:val="008C2E87"/>
    <w:rsid w:val="008C66CF"/>
    <w:rsid w:val="008D48E1"/>
    <w:rsid w:val="008E6D60"/>
    <w:rsid w:val="008E7917"/>
    <w:rsid w:val="008F16ED"/>
    <w:rsid w:val="008F2119"/>
    <w:rsid w:val="008F2B98"/>
    <w:rsid w:val="00903E54"/>
    <w:rsid w:val="00907231"/>
    <w:rsid w:val="00927396"/>
    <w:rsid w:val="00947A6A"/>
    <w:rsid w:val="00954F7A"/>
    <w:rsid w:val="00970CF5"/>
    <w:rsid w:val="0098558C"/>
    <w:rsid w:val="00992780"/>
    <w:rsid w:val="00994537"/>
    <w:rsid w:val="009B360C"/>
    <w:rsid w:val="009B676E"/>
    <w:rsid w:val="009C3DFD"/>
    <w:rsid w:val="009F11E2"/>
    <w:rsid w:val="00A012F0"/>
    <w:rsid w:val="00A10F39"/>
    <w:rsid w:val="00A2214E"/>
    <w:rsid w:val="00A274CC"/>
    <w:rsid w:val="00A41524"/>
    <w:rsid w:val="00A436C2"/>
    <w:rsid w:val="00A543F3"/>
    <w:rsid w:val="00A91A66"/>
    <w:rsid w:val="00AA58A8"/>
    <w:rsid w:val="00B001C2"/>
    <w:rsid w:val="00B02F06"/>
    <w:rsid w:val="00B700B9"/>
    <w:rsid w:val="00B94022"/>
    <w:rsid w:val="00B95500"/>
    <w:rsid w:val="00BA57B0"/>
    <w:rsid w:val="00BF2CC7"/>
    <w:rsid w:val="00C1670D"/>
    <w:rsid w:val="00C231DC"/>
    <w:rsid w:val="00C353BC"/>
    <w:rsid w:val="00C362FC"/>
    <w:rsid w:val="00C647BB"/>
    <w:rsid w:val="00C76F2B"/>
    <w:rsid w:val="00C90C1F"/>
    <w:rsid w:val="00C93C46"/>
    <w:rsid w:val="00C951AA"/>
    <w:rsid w:val="00CA4780"/>
    <w:rsid w:val="00CA49BC"/>
    <w:rsid w:val="00CB0A4D"/>
    <w:rsid w:val="00CC4823"/>
    <w:rsid w:val="00CE1C07"/>
    <w:rsid w:val="00D02C51"/>
    <w:rsid w:val="00D04A3A"/>
    <w:rsid w:val="00D0614E"/>
    <w:rsid w:val="00D07D33"/>
    <w:rsid w:val="00D23353"/>
    <w:rsid w:val="00D33433"/>
    <w:rsid w:val="00D33886"/>
    <w:rsid w:val="00D41A75"/>
    <w:rsid w:val="00D457D2"/>
    <w:rsid w:val="00D6601F"/>
    <w:rsid w:val="00D82F45"/>
    <w:rsid w:val="00D851FC"/>
    <w:rsid w:val="00DA1819"/>
    <w:rsid w:val="00DB3E1E"/>
    <w:rsid w:val="00DC69A8"/>
    <w:rsid w:val="00DD01AA"/>
    <w:rsid w:val="00DD1242"/>
    <w:rsid w:val="00DD1AB4"/>
    <w:rsid w:val="00DD453C"/>
    <w:rsid w:val="00DE2BC0"/>
    <w:rsid w:val="00DF27FB"/>
    <w:rsid w:val="00E01B7D"/>
    <w:rsid w:val="00E06D3F"/>
    <w:rsid w:val="00E22230"/>
    <w:rsid w:val="00E53E9A"/>
    <w:rsid w:val="00E83404"/>
    <w:rsid w:val="00E87AAE"/>
    <w:rsid w:val="00E91996"/>
    <w:rsid w:val="00E97A64"/>
    <w:rsid w:val="00EA534C"/>
    <w:rsid w:val="00EA768A"/>
    <w:rsid w:val="00EB3FA7"/>
    <w:rsid w:val="00ED05B3"/>
    <w:rsid w:val="00F00DF6"/>
    <w:rsid w:val="00F147C8"/>
    <w:rsid w:val="00F31826"/>
    <w:rsid w:val="00F60922"/>
    <w:rsid w:val="00F660C7"/>
    <w:rsid w:val="00F761E8"/>
    <w:rsid w:val="00F866B9"/>
    <w:rsid w:val="00F867F8"/>
    <w:rsid w:val="00F86B1E"/>
    <w:rsid w:val="00FA3413"/>
    <w:rsid w:val="00FD1B3F"/>
    <w:rsid w:val="00FD6383"/>
    <w:rsid w:val="00FE7592"/>
    <w:rsid w:val="040846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2846EDC"/>
  <w15:chartTrackingRefBased/>
  <w15:docId w15:val="{5A4F74E7-4210-A64E-A336-169CF9DC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aleway" w:eastAsiaTheme="minorHAnsi" w:hAnsi="Raleway" w:cs="Times New Roman (Body CS)"/>
        <w:kern w:val="2"/>
        <w:szCs w:val="3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353"/>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D2335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35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335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335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335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335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335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353"/>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D2335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35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335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33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33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33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33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33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3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3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233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3353"/>
    <w:rPr>
      <w:i/>
      <w:iCs/>
      <w:color w:val="404040" w:themeColor="text1" w:themeTint="BF"/>
    </w:rPr>
  </w:style>
  <w:style w:type="paragraph" w:styleId="ListParagraph">
    <w:name w:val="List Paragraph"/>
    <w:aliases w:val="Paragraphe EI,Paragraphe de liste1,EC,Normal bullet 2,List Paragraph1,Numbered List,1st level - Bullet List Paragraph,Lettre d'introduction,Paragrafo elenco,Medium Grid 1 - Accent 21,List Paragraph11,Paragraphe de liste,Dot pt"/>
    <w:basedOn w:val="Normal"/>
    <w:link w:val="ListParagraphChar"/>
    <w:uiPriority w:val="34"/>
    <w:qFormat/>
    <w:rsid w:val="00D23353"/>
    <w:pPr>
      <w:ind w:left="720"/>
      <w:contextualSpacing/>
    </w:pPr>
  </w:style>
  <w:style w:type="character" w:styleId="IntenseEmphasis">
    <w:name w:val="Intense Emphasis"/>
    <w:basedOn w:val="DefaultParagraphFont"/>
    <w:uiPriority w:val="21"/>
    <w:qFormat/>
    <w:rsid w:val="00D23353"/>
    <w:rPr>
      <w:i/>
      <w:iCs/>
      <w:color w:val="0F4761" w:themeColor="accent1" w:themeShade="BF"/>
    </w:rPr>
  </w:style>
  <w:style w:type="paragraph" w:styleId="IntenseQuote">
    <w:name w:val="Intense Quote"/>
    <w:basedOn w:val="Normal"/>
    <w:next w:val="Normal"/>
    <w:link w:val="IntenseQuoteChar"/>
    <w:uiPriority w:val="30"/>
    <w:qFormat/>
    <w:rsid w:val="00D23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353"/>
    <w:rPr>
      <w:i/>
      <w:iCs/>
      <w:color w:val="0F4761" w:themeColor="accent1" w:themeShade="BF"/>
    </w:rPr>
  </w:style>
  <w:style w:type="character" w:styleId="IntenseReference">
    <w:name w:val="Intense Reference"/>
    <w:basedOn w:val="DefaultParagraphFont"/>
    <w:uiPriority w:val="32"/>
    <w:qFormat/>
    <w:rsid w:val="00D23353"/>
    <w:rPr>
      <w:b/>
      <w:bCs/>
      <w:smallCaps/>
      <w:color w:val="0F4761" w:themeColor="accent1" w:themeShade="BF"/>
      <w:spacing w:val="5"/>
    </w:rPr>
  </w:style>
  <w:style w:type="character" w:styleId="Hyperlink">
    <w:name w:val="Hyperlink"/>
    <w:basedOn w:val="DefaultParagraphFont"/>
    <w:uiPriority w:val="99"/>
    <w:unhideWhenUsed/>
    <w:rsid w:val="00D23353"/>
    <w:rPr>
      <w:color w:val="467886" w:themeColor="hyperlink"/>
      <w:u w:val="single"/>
    </w:rPr>
  </w:style>
  <w:style w:type="character" w:styleId="UnresolvedMention">
    <w:name w:val="Unresolved Mention"/>
    <w:basedOn w:val="DefaultParagraphFont"/>
    <w:uiPriority w:val="99"/>
    <w:semiHidden/>
    <w:unhideWhenUsed/>
    <w:rsid w:val="00D23353"/>
    <w:rPr>
      <w:color w:val="605E5C"/>
      <w:shd w:val="clear" w:color="auto" w:fill="E1DFDD"/>
    </w:rPr>
  </w:style>
  <w:style w:type="paragraph" w:styleId="NormalWeb">
    <w:name w:val="Normal (Web)"/>
    <w:basedOn w:val="Normal"/>
    <w:uiPriority w:val="99"/>
    <w:semiHidden/>
    <w:unhideWhenUsed/>
    <w:rsid w:val="00E06D3F"/>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C3DFD"/>
    <w:rPr>
      <w:sz w:val="16"/>
      <w:szCs w:val="16"/>
    </w:rPr>
  </w:style>
  <w:style w:type="paragraph" w:styleId="CommentText">
    <w:name w:val="annotation text"/>
    <w:basedOn w:val="Normal"/>
    <w:link w:val="CommentTextChar"/>
    <w:uiPriority w:val="99"/>
    <w:semiHidden/>
    <w:unhideWhenUsed/>
    <w:rsid w:val="009C3DFD"/>
    <w:rPr>
      <w:szCs w:val="20"/>
    </w:rPr>
  </w:style>
  <w:style w:type="character" w:customStyle="1" w:styleId="CommentTextChar">
    <w:name w:val="Comment Text Char"/>
    <w:basedOn w:val="DefaultParagraphFont"/>
    <w:link w:val="CommentText"/>
    <w:uiPriority w:val="99"/>
    <w:semiHidden/>
    <w:rsid w:val="009C3DFD"/>
    <w:rPr>
      <w:szCs w:val="20"/>
    </w:rPr>
  </w:style>
  <w:style w:type="paragraph" w:styleId="CommentSubject">
    <w:name w:val="annotation subject"/>
    <w:basedOn w:val="CommentText"/>
    <w:next w:val="CommentText"/>
    <w:link w:val="CommentSubjectChar"/>
    <w:uiPriority w:val="99"/>
    <w:semiHidden/>
    <w:unhideWhenUsed/>
    <w:rsid w:val="009C3DFD"/>
    <w:rPr>
      <w:b/>
      <w:bCs/>
    </w:rPr>
  </w:style>
  <w:style w:type="character" w:customStyle="1" w:styleId="CommentSubjectChar">
    <w:name w:val="Comment Subject Char"/>
    <w:basedOn w:val="CommentTextChar"/>
    <w:link w:val="CommentSubject"/>
    <w:uiPriority w:val="99"/>
    <w:semiHidden/>
    <w:rsid w:val="009C3DFD"/>
    <w:rPr>
      <w:b/>
      <w:bCs/>
      <w:szCs w:val="20"/>
    </w:rPr>
  </w:style>
  <w:style w:type="paragraph" w:styleId="Revision">
    <w:name w:val="Revision"/>
    <w:hidden/>
    <w:uiPriority w:val="99"/>
    <w:semiHidden/>
    <w:rsid w:val="0010131F"/>
  </w:style>
  <w:style w:type="paragraph" w:customStyle="1" w:styleId="lh">
    <w:name w:val="lh"/>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li">
    <w:name w:val="li"/>
    <w:basedOn w:val="DefaultParagraphFont"/>
    <w:rsid w:val="000A2FDB"/>
  </w:style>
  <w:style w:type="character" w:customStyle="1" w:styleId="it">
    <w:name w:val="it"/>
    <w:basedOn w:val="DefaultParagraphFont"/>
    <w:rsid w:val="000A2FDB"/>
  </w:style>
  <w:style w:type="character" w:customStyle="1" w:styleId="lj">
    <w:name w:val="lj"/>
    <w:basedOn w:val="DefaultParagraphFont"/>
    <w:rsid w:val="000A2FDB"/>
  </w:style>
  <w:style w:type="paragraph" w:customStyle="1" w:styleId="lk">
    <w:name w:val="lk"/>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ll">
    <w:name w:val="ll"/>
    <w:basedOn w:val="DefaultParagraphFont"/>
    <w:rsid w:val="000A2FDB"/>
  </w:style>
  <w:style w:type="character" w:customStyle="1" w:styleId="ip">
    <w:name w:val="ip"/>
    <w:basedOn w:val="DefaultParagraphFont"/>
    <w:rsid w:val="000A2FDB"/>
  </w:style>
  <w:style w:type="paragraph" w:customStyle="1" w:styleId="lm">
    <w:name w:val="lm"/>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ln">
    <w:name w:val="ln"/>
    <w:basedOn w:val="DefaultParagraphFont"/>
    <w:rsid w:val="000A2FDB"/>
  </w:style>
  <w:style w:type="paragraph" w:customStyle="1" w:styleId="a">
    <w:name w:val="a"/>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jz">
    <w:name w:val="jz"/>
    <w:basedOn w:val="DefaultParagraphFont"/>
    <w:rsid w:val="000A2FDB"/>
  </w:style>
  <w:style w:type="paragraph" w:customStyle="1" w:styleId="ko">
    <w:name w:val="ko"/>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ka">
    <w:name w:val="ka"/>
    <w:basedOn w:val="DefaultParagraphFont"/>
    <w:rsid w:val="000A2FDB"/>
  </w:style>
  <w:style w:type="paragraph" w:customStyle="1" w:styleId="lo">
    <w:name w:val="lo"/>
    <w:basedOn w:val="Normal"/>
    <w:rsid w:val="000A2FD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io">
    <w:name w:val="io"/>
    <w:basedOn w:val="DefaultParagraphFont"/>
    <w:rsid w:val="000A2FDB"/>
  </w:style>
  <w:style w:type="table" w:styleId="TableGrid">
    <w:name w:val="Table Grid"/>
    <w:basedOn w:val="TableNormal"/>
    <w:uiPriority w:val="39"/>
    <w:rsid w:val="001C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C17AE"/>
    <w:rPr>
      <w:rFonts w:ascii="Schroders Circular TT" w:eastAsia="Times New Roman" w:hAnsi="Schroders Circular TT" w:cs="Schroders Circular TT"/>
      <w:color w:val="000000"/>
      <w:kern w:val="0"/>
      <w:sz w:val="15"/>
      <w:szCs w:val="15"/>
      <w:lang w:eastAsia="en-GB"/>
      <w14:ligatures w14:val="none"/>
    </w:rPr>
  </w:style>
  <w:style w:type="character" w:customStyle="1" w:styleId="apple-converted-space">
    <w:name w:val="apple-converted-space"/>
    <w:basedOn w:val="DefaultParagraphFont"/>
    <w:rsid w:val="001C17AE"/>
  </w:style>
  <w:style w:type="character" w:customStyle="1" w:styleId="s1">
    <w:name w:val="s1"/>
    <w:basedOn w:val="DefaultParagraphFont"/>
    <w:rsid w:val="001C17AE"/>
    <w:rPr>
      <w:rFonts w:ascii="Schroders Circular TT" w:hAnsi="Schroders Circular TT" w:cs="Schroders Circular TT" w:hint="default"/>
      <w:sz w:val="10"/>
      <w:szCs w:val="10"/>
    </w:rPr>
  </w:style>
  <w:style w:type="paragraph" w:styleId="Header">
    <w:name w:val="header"/>
    <w:basedOn w:val="Normal"/>
    <w:link w:val="HeaderChar"/>
    <w:uiPriority w:val="99"/>
    <w:unhideWhenUsed/>
    <w:rsid w:val="00413A6F"/>
    <w:pPr>
      <w:tabs>
        <w:tab w:val="center" w:pos="4513"/>
        <w:tab w:val="right" w:pos="9026"/>
      </w:tabs>
    </w:pPr>
  </w:style>
  <w:style w:type="character" w:customStyle="1" w:styleId="HeaderChar">
    <w:name w:val="Header Char"/>
    <w:basedOn w:val="DefaultParagraphFont"/>
    <w:link w:val="Header"/>
    <w:uiPriority w:val="99"/>
    <w:rsid w:val="00413A6F"/>
  </w:style>
  <w:style w:type="paragraph" w:styleId="Footer">
    <w:name w:val="footer"/>
    <w:basedOn w:val="Normal"/>
    <w:link w:val="FooterChar"/>
    <w:uiPriority w:val="99"/>
    <w:unhideWhenUsed/>
    <w:rsid w:val="00413A6F"/>
    <w:pPr>
      <w:tabs>
        <w:tab w:val="center" w:pos="4513"/>
        <w:tab w:val="right" w:pos="9026"/>
      </w:tabs>
    </w:pPr>
  </w:style>
  <w:style w:type="character" w:customStyle="1" w:styleId="FooterChar">
    <w:name w:val="Footer Char"/>
    <w:basedOn w:val="DefaultParagraphFont"/>
    <w:link w:val="Footer"/>
    <w:uiPriority w:val="99"/>
    <w:rsid w:val="00413A6F"/>
  </w:style>
  <w:style w:type="character" w:customStyle="1" w:styleId="ListParagraphChar">
    <w:name w:val="List Paragraph Char"/>
    <w:aliases w:val="Paragraphe EI Char,Paragraphe de liste1 Char,EC Char,Normal bullet 2 Char,List Paragraph1 Char,Numbered List Char,1st level - Bullet List Paragraph Char,Lettre d'introduction Char,Paragrafo elenco Char,Medium Grid 1 - Accent 21 Char"/>
    <w:basedOn w:val="DefaultParagraphFont"/>
    <w:link w:val="ListParagraph"/>
    <w:uiPriority w:val="34"/>
    <w:rsid w:val="0012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778">
      <w:bodyDiv w:val="1"/>
      <w:marLeft w:val="0"/>
      <w:marRight w:val="0"/>
      <w:marTop w:val="0"/>
      <w:marBottom w:val="0"/>
      <w:divBdr>
        <w:top w:val="none" w:sz="0" w:space="0" w:color="auto"/>
        <w:left w:val="none" w:sz="0" w:space="0" w:color="auto"/>
        <w:bottom w:val="none" w:sz="0" w:space="0" w:color="auto"/>
        <w:right w:val="none" w:sz="0" w:space="0" w:color="auto"/>
      </w:divBdr>
    </w:div>
    <w:div w:id="140118045">
      <w:bodyDiv w:val="1"/>
      <w:marLeft w:val="0"/>
      <w:marRight w:val="0"/>
      <w:marTop w:val="0"/>
      <w:marBottom w:val="0"/>
      <w:divBdr>
        <w:top w:val="none" w:sz="0" w:space="0" w:color="auto"/>
        <w:left w:val="none" w:sz="0" w:space="0" w:color="auto"/>
        <w:bottom w:val="none" w:sz="0" w:space="0" w:color="auto"/>
        <w:right w:val="none" w:sz="0" w:space="0" w:color="auto"/>
      </w:divBdr>
    </w:div>
    <w:div w:id="141586029">
      <w:bodyDiv w:val="1"/>
      <w:marLeft w:val="0"/>
      <w:marRight w:val="0"/>
      <w:marTop w:val="0"/>
      <w:marBottom w:val="0"/>
      <w:divBdr>
        <w:top w:val="none" w:sz="0" w:space="0" w:color="auto"/>
        <w:left w:val="none" w:sz="0" w:space="0" w:color="auto"/>
        <w:bottom w:val="none" w:sz="0" w:space="0" w:color="auto"/>
        <w:right w:val="none" w:sz="0" w:space="0" w:color="auto"/>
      </w:divBdr>
    </w:div>
    <w:div w:id="182591123">
      <w:bodyDiv w:val="1"/>
      <w:marLeft w:val="0"/>
      <w:marRight w:val="0"/>
      <w:marTop w:val="0"/>
      <w:marBottom w:val="0"/>
      <w:divBdr>
        <w:top w:val="none" w:sz="0" w:space="0" w:color="auto"/>
        <w:left w:val="none" w:sz="0" w:space="0" w:color="auto"/>
        <w:bottom w:val="none" w:sz="0" w:space="0" w:color="auto"/>
        <w:right w:val="none" w:sz="0" w:space="0" w:color="auto"/>
      </w:divBdr>
    </w:div>
    <w:div w:id="248467999">
      <w:bodyDiv w:val="1"/>
      <w:marLeft w:val="0"/>
      <w:marRight w:val="0"/>
      <w:marTop w:val="0"/>
      <w:marBottom w:val="0"/>
      <w:divBdr>
        <w:top w:val="none" w:sz="0" w:space="0" w:color="auto"/>
        <w:left w:val="none" w:sz="0" w:space="0" w:color="auto"/>
        <w:bottom w:val="none" w:sz="0" w:space="0" w:color="auto"/>
        <w:right w:val="none" w:sz="0" w:space="0" w:color="auto"/>
      </w:divBdr>
    </w:div>
    <w:div w:id="261228808">
      <w:bodyDiv w:val="1"/>
      <w:marLeft w:val="0"/>
      <w:marRight w:val="0"/>
      <w:marTop w:val="0"/>
      <w:marBottom w:val="0"/>
      <w:divBdr>
        <w:top w:val="none" w:sz="0" w:space="0" w:color="auto"/>
        <w:left w:val="none" w:sz="0" w:space="0" w:color="auto"/>
        <w:bottom w:val="none" w:sz="0" w:space="0" w:color="auto"/>
        <w:right w:val="none" w:sz="0" w:space="0" w:color="auto"/>
      </w:divBdr>
    </w:div>
    <w:div w:id="292103847">
      <w:bodyDiv w:val="1"/>
      <w:marLeft w:val="0"/>
      <w:marRight w:val="0"/>
      <w:marTop w:val="0"/>
      <w:marBottom w:val="0"/>
      <w:divBdr>
        <w:top w:val="none" w:sz="0" w:space="0" w:color="auto"/>
        <w:left w:val="none" w:sz="0" w:space="0" w:color="auto"/>
        <w:bottom w:val="none" w:sz="0" w:space="0" w:color="auto"/>
        <w:right w:val="none" w:sz="0" w:space="0" w:color="auto"/>
      </w:divBdr>
    </w:div>
    <w:div w:id="362481911">
      <w:bodyDiv w:val="1"/>
      <w:marLeft w:val="0"/>
      <w:marRight w:val="0"/>
      <w:marTop w:val="0"/>
      <w:marBottom w:val="0"/>
      <w:divBdr>
        <w:top w:val="none" w:sz="0" w:space="0" w:color="auto"/>
        <w:left w:val="none" w:sz="0" w:space="0" w:color="auto"/>
        <w:bottom w:val="none" w:sz="0" w:space="0" w:color="auto"/>
        <w:right w:val="none" w:sz="0" w:space="0" w:color="auto"/>
      </w:divBdr>
    </w:div>
    <w:div w:id="383602967">
      <w:bodyDiv w:val="1"/>
      <w:marLeft w:val="0"/>
      <w:marRight w:val="0"/>
      <w:marTop w:val="0"/>
      <w:marBottom w:val="0"/>
      <w:divBdr>
        <w:top w:val="none" w:sz="0" w:space="0" w:color="auto"/>
        <w:left w:val="none" w:sz="0" w:space="0" w:color="auto"/>
        <w:bottom w:val="none" w:sz="0" w:space="0" w:color="auto"/>
        <w:right w:val="none" w:sz="0" w:space="0" w:color="auto"/>
      </w:divBdr>
    </w:div>
    <w:div w:id="523597823">
      <w:bodyDiv w:val="1"/>
      <w:marLeft w:val="0"/>
      <w:marRight w:val="0"/>
      <w:marTop w:val="0"/>
      <w:marBottom w:val="0"/>
      <w:divBdr>
        <w:top w:val="none" w:sz="0" w:space="0" w:color="auto"/>
        <w:left w:val="none" w:sz="0" w:space="0" w:color="auto"/>
        <w:bottom w:val="none" w:sz="0" w:space="0" w:color="auto"/>
        <w:right w:val="none" w:sz="0" w:space="0" w:color="auto"/>
      </w:divBdr>
    </w:div>
    <w:div w:id="569926148">
      <w:bodyDiv w:val="1"/>
      <w:marLeft w:val="0"/>
      <w:marRight w:val="0"/>
      <w:marTop w:val="0"/>
      <w:marBottom w:val="0"/>
      <w:divBdr>
        <w:top w:val="none" w:sz="0" w:space="0" w:color="auto"/>
        <w:left w:val="none" w:sz="0" w:space="0" w:color="auto"/>
        <w:bottom w:val="none" w:sz="0" w:space="0" w:color="auto"/>
        <w:right w:val="none" w:sz="0" w:space="0" w:color="auto"/>
      </w:divBdr>
    </w:div>
    <w:div w:id="781341618">
      <w:bodyDiv w:val="1"/>
      <w:marLeft w:val="0"/>
      <w:marRight w:val="0"/>
      <w:marTop w:val="0"/>
      <w:marBottom w:val="0"/>
      <w:divBdr>
        <w:top w:val="none" w:sz="0" w:space="0" w:color="auto"/>
        <w:left w:val="none" w:sz="0" w:space="0" w:color="auto"/>
        <w:bottom w:val="none" w:sz="0" w:space="0" w:color="auto"/>
        <w:right w:val="none" w:sz="0" w:space="0" w:color="auto"/>
      </w:divBdr>
    </w:div>
    <w:div w:id="788932465">
      <w:bodyDiv w:val="1"/>
      <w:marLeft w:val="0"/>
      <w:marRight w:val="0"/>
      <w:marTop w:val="0"/>
      <w:marBottom w:val="0"/>
      <w:divBdr>
        <w:top w:val="none" w:sz="0" w:space="0" w:color="auto"/>
        <w:left w:val="none" w:sz="0" w:space="0" w:color="auto"/>
        <w:bottom w:val="none" w:sz="0" w:space="0" w:color="auto"/>
        <w:right w:val="none" w:sz="0" w:space="0" w:color="auto"/>
      </w:divBdr>
    </w:div>
    <w:div w:id="838497687">
      <w:bodyDiv w:val="1"/>
      <w:marLeft w:val="0"/>
      <w:marRight w:val="0"/>
      <w:marTop w:val="0"/>
      <w:marBottom w:val="0"/>
      <w:divBdr>
        <w:top w:val="none" w:sz="0" w:space="0" w:color="auto"/>
        <w:left w:val="none" w:sz="0" w:space="0" w:color="auto"/>
        <w:bottom w:val="none" w:sz="0" w:space="0" w:color="auto"/>
        <w:right w:val="none" w:sz="0" w:space="0" w:color="auto"/>
      </w:divBdr>
    </w:div>
    <w:div w:id="950548813">
      <w:bodyDiv w:val="1"/>
      <w:marLeft w:val="0"/>
      <w:marRight w:val="0"/>
      <w:marTop w:val="0"/>
      <w:marBottom w:val="0"/>
      <w:divBdr>
        <w:top w:val="none" w:sz="0" w:space="0" w:color="auto"/>
        <w:left w:val="none" w:sz="0" w:space="0" w:color="auto"/>
        <w:bottom w:val="none" w:sz="0" w:space="0" w:color="auto"/>
        <w:right w:val="none" w:sz="0" w:space="0" w:color="auto"/>
      </w:divBdr>
    </w:div>
    <w:div w:id="966548175">
      <w:bodyDiv w:val="1"/>
      <w:marLeft w:val="0"/>
      <w:marRight w:val="0"/>
      <w:marTop w:val="0"/>
      <w:marBottom w:val="0"/>
      <w:divBdr>
        <w:top w:val="none" w:sz="0" w:space="0" w:color="auto"/>
        <w:left w:val="none" w:sz="0" w:space="0" w:color="auto"/>
        <w:bottom w:val="none" w:sz="0" w:space="0" w:color="auto"/>
        <w:right w:val="none" w:sz="0" w:space="0" w:color="auto"/>
      </w:divBdr>
    </w:div>
    <w:div w:id="1191453711">
      <w:bodyDiv w:val="1"/>
      <w:marLeft w:val="0"/>
      <w:marRight w:val="0"/>
      <w:marTop w:val="0"/>
      <w:marBottom w:val="0"/>
      <w:divBdr>
        <w:top w:val="none" w:sz="0" w:space="0" w:color="auto"/>
        <w:left w:val="none" w:sz="0" w:space="0" w:color="auto"/>
        <w:bottom w:val="none" w:sz="0" w:space="0" w:color="auto"/>
        <w:right w:val="none" w:sz="0" w:space="0" w:color="auto"/>
      </w:divBdr>
    </w:div>
    <w:div w:id="1233738632">
      <w:bodyDiv w:val="1"/>
      <w:marLeft w:val="0"/>
      <w:marRight w:val="0"/>
      <w:marTop w:val="0"/>
      <w:marBottom w:val="0"/>
      <w:divBdr>
        <w:top w:val="none" w:sz="0" w:space="0" w:color="auto"/>
        <w:left w:val="none" w:sz="0" w:space="0" w:color="auto"/>
        <w:bottom w:val="none" w:sz="0" w:space="0" w:color="auto"/>
        <w:right w:val="none" w:sz="0" w:space="0" w:color="auto"/>
      </w:divBdr>
    </w:div>
    <w:div w:id="1240217366">
      <w:bodyDiv w:val="1"/>
      <w:marLeft w:val="0"/>
      <w:marRight w:val="0"/>
      <w:marTop w:val="0"/>
      <w:marBottom w:val="0"/>
      <w:divBdr>
        <w:top w:val="none" w:sz="0" w:space="0" w:color="auto"/>
        <w:left w:val="none" w:sz="0" w:space="0" w:color="auto"/>
        <w:bottom w:val="none" w:sz="0" w:space="0" w:color="auto"/>
        <w:right w:val="none" w:sz="0" w:space="0" w:color="auto"/>
      </w:divBdr>
    </w:div>
    <w:div w:id="1271157398">
      <w:bodyDiv w:val="1"/>
      <w:marLeft w:val="0"/>
      <w:marRight w:val="0"/>
      <w:marTop w:val="0"/>
      <w:marBottom w:val="0"/>
      <w:divBdr>
        <w:top w:val="none" w:sz="0" w:space="0" w:color="auto"/>
        <w:left w:val="none" w:sz="0" w:space="0" w:color="auto"/>
        <w:bottom w:val="none" w:sz="0" w:space="0" w:color="auto"/>
        <w:right w:val="none" w:sz="0" w:space="0" w:color="auto"/>
      </w:divBdr>
    </w:div>
    <w:div w:id="1338851546">
      <w:bodyDiv w:val="1"/>
      <w:marLeft w:val="0"/>
      <w:marRight w:val="0"/>
      <w:marTop w:val="0"/>
      <w:marBottom w:val="0"/>
      <w:divBdr>
        <w:top w:val="none" w:sz="0" w:space="0" w:color="auto"/>
        <w:left w:val="none" w:sz="0" w:space="0" w:color="auto"/>
        <w:bottom w:val="none" w:sz="0" w:space="0" w:color="auto"/>
        <w:right w:val="none" w:sz="0" w:space="0" w:color="auto"/>
      </w:divBdr>
    </w:div>
    <w:div w:id="1364013195">
      <w:bodyDiv w:val="1"/>
      <w:marLeft w:val="0"/>
      <w:marRight w:val="0"/>
      <w:marTop w:val="0"/>
      <w:marBottom w:val="0"/>
      <w:divBdr>
        <w:top w:val="none" w:sz="0" w:space="0" w:color="auto"/>
        <w:left w:val="none" w:sz="0" w:space="0" w:color="auto"/>
        <w:bottom w:val="none" w:sz="0" w:space="0" w:color="auto"/>
        <w:right w:val="none" w:sz="0" w:space="0" w:color="auto"/>
      </w:divBdr>
    </w:div>
    <w:div w:id="1371884390">
      <w:bodyDiv w:val="1"/>
      <w:marLeft w:val="0"/>
      <w:marRight w:val="0"/>
      <w:marTop w:val="0"/>
      <w:marBottom w:val="0"/>
      <w:divBdr>
        <w:top w:val="none" w:sz="0" w:space="0" w:color="auto"/>
        <w:left w:val="none" w:sz="0" w:space="0" w:color="auto"/>
        <w:bottom w:val="none" w:sz="0" w:space="0" w:color="auto"/>
        <w:right w:val="none" w:sz="0" w:space="0" w:color="auto"/>
      </w:divBdr>
    </w:div>
    <w:div w:id="1421871152">
      <w:bodyDiv w:val="1"/>
      <w:marLeft w:val="0"/>
      <w:marRight w:val="0"/>
      <w:marTop w:val="0"/>
      <w:marBottom w:val="0"/>
      <w:divBdr>
        <w:top w:val="none" w:sz="0" w:space="0" w:color="auto"/>
        <w:left w:val="none" w:sz="0" w:space="0" w:color="auto"/>
        <w:bottom w:val="none" w:sz="0" w:space="0" w:color="auto"/>
        <w:right w:val="none" w:sz="0" w:space="0" w:color="auto"/>
      </w:divBdr>
    </w:div>
    <w:div w:id="1446802112">
      <w:bodyDiv w:val="1"/>
      <w:marLeft w:val="0"/>
      <w:marRight w:val="0"/>
      <w:marTop w:val="0"/>
      <w:marBottom w:val="0"/>
      <w:divBdr>
        <w:top w:val="none" w:sz="0" w:space="0" w:color="auto"/>
        <w:left w:val="none" w:sz="0" w:space="0" w:color="auto"/>
        <w:bottom w:val="none" w:sz="0" w:space="0" w:color="auto"/>
        <w:right w:val="none" w:sz="0" w:space="0" w:color="auto"/>
      </w:divBdr>
    </w:div>
    <w:div w:id="1468468589">
      <w:bodyDiv w:val="1"/>
      <w:marLeft w:val="0"/>
      <w:marRight w:val="0"/>
      <w:marTop w:val="0"/>
      <w:marBottom w:val="0"/>
      <w:divBdr>
        <w:top w:val="none" w:sz="0" w:space="0" w:color="auto"/>
        <w:left w:val="none" w:sz="0" w:space="0" w:color="auto"/>
        <w:bottom w:val="none" w:sz="0" w:space="0" w:color="auto"/>
        <w:right w:val="none" w:sz="0" w:space="0" w:color="auto"/>
      </w:divBdr>
    </w:div>
    <w:div w:id="1507671213">
      <w:bodyDiv w:val="1"/>
      <w:marLeft w:val="0"/>
      <w:marRight w:val="0"/>
      <w:marTop w:val="0"/>
      <w:marBottom w:val="0"/>
      <w:divBdr>
        <w:top w:val="none" w:sz="0" w:space="0" w:color="auto"/>
        <w:left w:val="none" w:sz="0" w:space="0" w:color="auto"/>
        <w:bottom w:val="none" w:sz="0" w:space="0" w:color="auto"/>
        <w:right w:val="none" w:sz="0" w:space="0" w:color="auto"/>
      </w:divBdr>
    </w:div>
    <w:div w:id="1512186712">
      <w:bodyDiv w:val="1"/>
      <w:marLeft w:val="0"/>
      <w:marRight w:val="0"/>
      <w:marTop w:val="0"/>
      <w:marBottom w:val="0"/>
      <w:divBdr>
        <w:top w:val="none" w:sz="0" w:space="0" w:color="auto"/>
        <w:left w:val="none" w:sz="0" w:space="0" w:color="auto"/>
        <w:bottom w:val="none" w:sz="0" w:space="0" w:color="auto"/>
        <w:right w:val="none" w:sz="0" w:space="0" w:color="auto"/>
      </w:divBdr>
    </w:div>
    <w:div w:id="1520966380">
      <w:bodyDiv w:val="1"/>
      <w:marLeft w:val="0"/>
      <w:marRight w:val="0"/>
      <w:marTop w:val="0"/>
      <w:marBottom w:val="0"/>
      <w:divBdr>
        <w:top w:val="none" w:sz="0" w:space="0" w:color="auto"/>
        <w:left w:val="none" w:sz="0" w:space="0" w:color="auto"/>
        <w:bottom w:val="none" w:sz="0" w:space="0" w:color="auto"/>
        <w:right w:val="none" w:sz="0" w:space="0" w:color="auto"/>
      </w:divBdr>
    </w:div>
    <w:div w:id="1526019516">
      <w:bodyDiv w:val="1"/>
      <w:marLeft w:val="0"/>
      <w:marRight w:val="0"/>
      <w:marTop w:val="0"/>
      <w:marBottom w:val="0"/>
      <w:divBdr>
        <w:top w:val="none" w:sz="0" w:space="0" w:color="auto"/>
        <w:left w:val="none" w:sz="0" w:space="0" w:color="auto"/>
        <w:bottom w:val="none" w:sz="0" w:space="0" w:color="auto"/>
        <w:right w:val="none" w:sz="0" w:space="0" w:color="auto"/>
      </w:divBdr>
    </w:div>
    <w:div w:id="1598906049">
      <w:bodyDiv w:val="1"/>
      <w:marLeft w:val="0"/>
      <w:marRight w:val="0"/>
      <w:marTop w:val="0"/>
      <w:marBottom w:val="0"/>
      <w:divBdr>
        <w:top w:val="none" w:sz="0" w:space="0" w:color="auto"/>
        <w:left w:val="none" w:sz="0" w:space="0" w:color="auto"/>
        <w:bottom w:val="none" w:sz="0" w:space="0" w:color="auto"/>
        <w:right w:val="none" w:sz="0" w:space="0" w:color="auto"/>
      </w:divBdr>
    </w:div>
    <w:div w:id="1717853964">
      <w:bodyDiv w:val="1"/>
      <w:marLeft w:val="0"/>
      <w:marRight w:val="0"/>
      <w:marTop w:val="0"/>
      <w:marBottom w:val="0"/>
      <w:divBdr>
        <w:top w:val="none" w:sz="0" w:space="0" w:color="auto"/>
        <w:left w:val="none" w:sz="0" w:space="0" w:color="auto"/>
        <w:bottom w:val="none" w:sz="0" w:space="0" w:color="auto"/>
        <w:right w:val="none" w:sz="0" w:space="0" w:color="auto"/>
      </w:divBdr>
    </w:div>
    <w:div w:id="1734738516">
      <w:bodyDiv w:val="1"/>
      <w:marLeft w:val="0"/>
      <w:marRight w:val="0"/>
      <w:marTop w:val="0"/>
      <w:marBottom w:val="0"/>
      <w:divBdr>
        <w:top w:val="none" w:sz="0" w:space="0" w:color="auto"/>
        <w:left w:val="none" w:sz="0" w:space="0" w:color="auto"/>
        <w:bottom w:val="none" w:sz="0" w:space="0" w:color="auto"/>
        <w:right w:val="none" w:sz="0" w:space="0" w:color="auto"/>
      </w:divBdr>
    </w:div>
    <w:div w:id="1761020396">
      <w:bodyDiv w:val="1"/>
      <w:marLeft w:val="0"/>
      <w:marRight w:val="0"/>
      <w:marTop w:val="0"/>
      <w:marBottom w:val="0"/>
      <w:divBdr>
        <w:top w:val="none" w:sz="0" w:space="0" w:color="auto"/>
        <w:left w:val="none" w:sz="0" w:space="0" w:color="auto"/>
        <w:bottom w:val="none" w:sz="0" w:space="0" w:color="auto"/>
        <w:right w:val="none" w:sz="0" w:space="0" w:color="auto"/>
      </w:divBdr>
    </w:div>
    <w:div w:id="1835803556">
      <w:bodyDiv w:val="1"/>
      <w:marLeft w:val="0"/>
      <w:marRight w:val="0"/>
      <w:marTop w:val="0"/>
      <w:marBottom w:val="0"/>
      <w:divBdr>
        <w:top w:val="none" w:sz="0" w:space="0" w:color="auto"/>
        <w:left w:val="none" w:sz="0" w:space="0" w:color="auto"/>
        <w:bottom w:val="none" w:sz="0" w:space="0" w:color="auto"/>
        <w:right w:val="none" w:sz="0" w:space="0" w:color="auto"/>
      </w:divBdr>
    </w:div>
    <w:div w:id="1843082008">
      <w:bodyDiv w:val="1"/>
      <w:marLeft w:val="0"/>
      <w:marRight w:val="0"/>
      <w:marTop w:val="0"/>
      <w:marBottom w:val="0"/>
      <w:divBdr>
        <w:top w:val="none" w:sz="0" w:space="0" w:color="auto"/>
        <w:left w:val="none" w:sz="0" w:space="0" w:color="auto"/>
        <w:bottom w:val="none" w:sz="0" w:space="0" w:color="auto"/>
        <w:right w:val="none" w:sz="0" w:space="0" w:color="auto"/>
      </w:divBdr>
      <w:divsChild>
        <w:div w:id="588197904">
          <w:marLeft w:val="0"/>
          <w:marRight w:val="0"/>
          <w:marTop w:val="0"/>
          <w:marBottom w:val="0"/>
          <w:divBdr>
            <w:top w:val="none" w:sz="0" w:space="0" w:color="auto"/>
            <w:left w:val="none" w:sz="0" w:space="0" w:color="auto"/>
            <w:bottom w:val="none" w:sz="0" w:space="0" w:color="auto"/>
            <w:right w:val="none" w:sz="0" w:space="0" w:color="auto"/>
          </w:divBdr>
          <w:divsChild>
            <w:div w:id="2097552300">
              <w:marLeft w:val="0"/>
              <w:marRight w:val="0"/>
              <w:marTop w:val="0"/>
              <w:marBottom w:val="0"/>
              <w:divBdr>
                <w:top w:val="none" w:sz="0" w:space="0" w:color="auto"/>
                <w:left w:val="none" w:sz="0" w:space="0" w:color="auto"/>
                <w:bottom w:val="none" w:sz="0" w:space="0" w:color="auto"/>
                <w:right w:val="none" w:sz="0" w:space="0" w:color="auto"/>
              </w:divBdr>
              <w:divsChild>
                <w:div w:id="6861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7557">
      <w:bodyDiv w:val="1"/>
      <w:marLeft w:val="0"/>
      <w:marRight w:val="0"/>
      <w:marTop w:val="0"/>
      <w:marBottom w:val="0"/>
      <w:divBdr>
        <w:top w:val="none" w:sz="0" w:space="0" w:color="auto"/>
        <w:left w:val="none" w:sz="0" w:space="0" w:color="auto"/>
        <w:bottom w:val="none" w:sz="0" w:space="0" w:color="auto"/>
        <w:right w:val="none" w:sz="0" w:space="0" w:color="auto"/>
      </w:divBdr>
    </w:div>
    <w:div w:id="1898004779">
      <w:bodyDiv w:val="1"/>
      <w:marLeft w:val="0"/>
      <w:marRight w:val="0"/>
      <w:marTop w:val="0"/>
      <w:marBottom w:val="0"/>
      <w:divBdr>
        <w:top w:val="none" w:sz="0" w:space="0" w:color="auto"/>
        <w:left w:val="none" w:sz="0" w:space="0" w:color="auto"/>
        <w:bottom w:val="none" w:sz="0" w:space="0" w:color="auto"/>
        <w:right w:val="none" w:sz="0" w:space="0" w:color="auto"/>
      </w:divBdr>
    </w:div>
    <w:div w:id="2037582665">
      <w:bodyDiv w:val="1"/>
      <w:marLeft w:val="0"/>
      <w:marRight w:val="0"/>
      <w:marTop w:val="0"/>
      <w:marBottom w:val="0"/>
      <w:divBdr>
        <w:top w:val="none" w:sz="0" w:space="0" w:color="auto"/>
        <w:left w:val="none" w:sz="0" w:space="0" w:color="auto"/>
        <w:bottom w:val="none" w:sz="0" w:space="0" w:color="auto"/>
        <w:right w:val="none" w:sz="0" w:space="0" w:color="auto"/>
      </w:divBdr>
    </w:div>
    <w:div w:id="211381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reencoat-renewable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eencoat@fticonsultin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ca.org.uk/markets/primary-markets/regulatory-disclosures/national-storage-mechanis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greencoat-renewabl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reencoat@fti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2025-03-05T19:26:39+00:00</DateReceived>
  </documentManagement>
</p:properties>
</file>

<file path=customXml/itemProps1.xml><?xml version="1.0" encoding="utf-8"?>
<ds:datastoreItem xmlns:ds="http://schemas.openxmlformats.org/officeDocument/2006/customXml" ds:itemID="{1772BEFF-310E-45D9-B107-FBEB145690C5}">
  <ds:schemaRefs>
    <ds:schemaRef ds:uri="http://schemas.microsoft.com/sharepoint/v3/contenttype/forms"/>
  </ds:schemaRefs>
</ds:datastoreItem>
</file>

<file path=customXml/itemProps2.xml><?xml version="1.0" encoding="utf-8"?>
<ds:datastoreItem xmlns:ds="http://schemas.openxmlformats.org/officeDocument/2006/customXml" ds:itemID="{F3B8EDB0-4228-452A-B132-1FE4A9E8DFC0}"/>
</file>

<file path=customXml/itemProps3.xml><?xml version="1.0" encoding="utf-8"?>
<ds:datastoreItem xmlns:ds="http://schemas.openxmlformats.org/officeDocument/2006/customXml" ds:itemID="{AF67E17F-B1A1-4534-8DE5-D8312C126B98}">
  <ds:schemaRefs>
    <ds:schemaRef ds:uri="http://purl.org/dc/elements/1.1/"/>
    <ds:schemaRef ds:uri="http://schemas.microsoft.com/office/2006/metadata/properties"/>
    <ds:schemaRef ds:uri="http://purl.org/dc/terms/"/>
    <ds:schemaRef ds:uri="http://schemas.openxmlformats.org/package/2006/metadata/core-properties"/>
    <ds:schemaRef ds:uri="b9788881-0b14-4d8b-a5d4-0b7cb51b51a2"/>
    <ds:schemaRef ds:uri="http://schemas.microsoft.com/office/2006/documentManagement/types"/>
    <ds:schemaRef ds:uri="http://schemas.microsoft.com/office/infopath/2007/PartnerControls"/>
    <ds:schemaRef ds:uri="e1d438f5-7e8f-4486-a7ca-81405da6368d"/>
    <ds:schemaRef ds:uri="http://www.w3.org/XML/1998/namespace"/>
    <ds:schemaRef ds:uri="http://purl.org/dc/dcmitype/"/>
  </ds:schemaRefs>
</ds:datastoreItem>
</file>

<file path=docMetadata/LabelInfo.xml><?xml version="1.0" encoding="utf-8"?>
<clbl:labelList xmlns:clbl="http://schemas.microsoft.com/office/2020/mipLabelMetadata">
  <clbl:label id="{2f57b6c4-17e4-4965-ac1a-85ccccbe6c4a}" enabled="0" method="" siteId="{2f57b6c4-17e4-4965-ac1a-85ccccbe6c4a}" removed="1"/>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Rhianna Hurren-Myers</dc:creator>
  <cp:keywords/>
  <dc:description/>
  <cp:lastModifiedBy>Kelly, Diarmuid</cp:lastModifiedBy>
  <cp:revision>2</cp:revision>
  <cp:lastPrinted>2025-02-26T15:22:00Z</cp:lastPrinted>
  <dcterms:created xsi:type="dcterms:W3CDTF">2025-03-05T19:04:00Z</dcterms:created>
  <dcterms:modified xsi:type="dcterms:W3CDTF">2025-03-05T19:04:00Z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0x010100BE156B1CF39149A8843C57AB06C49AFE0011B886BEF4CCD94F85F46E94360FD412</vt:lpwstr>
  </property>
</Properties>
</file>